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auto"/>
        <w:jc w:val="both"/>
        <w:rPr>
          <w:rFonts w:hint="eastAsia" w:ascii="宋体" w:hAnsi="宋体" w:cs="Courier New"/>
          <w:b/>
          <w:bCs/>
          <w:color w:val="000000"/>
          <w:sz w:val="32"/>
          <w:szCs w:val="32"/>
        </w:rPr>
      </w:pPr>
      <w:bookmarkStart w:id="0" w:name="_Toc47425596"/>
      <w:bookmarkStart w:id="1" w:name="_Toc35656515"/>
      <w:bookmarkStart w:id="2" w:name="_Toc84303940"/>
      <w:bookmarkStart w:id="3" w:name="_Toc47425613"/>
      <w:bookmarkStart w:id="4" w:name="_Toc38943427"/>
    </w:p>
    <w:p>
      <w:pPr>
        <w:spacing w:line="960" w:lineRule="auto"/>
        <w:jc w:val="center"/>
        <w:rPr>
          <w:rFonts w:ascii="宋体" w:hAnsi="宋体" w:cs="Courier New"/>
          <w:b/>
          <w:bCs/>
          <w:color w:val="000000"/>
          <w:sz w:val="32"/>
          <w:szCs w:val="32"/>
        </w:rPr>
      </w:pPr>
      <w:r>
        <w:rPr>
          <w:rFonts w:hint="eastAsia" w:ascii="宋体" w:hAnsi="宋体" w:cs="Courier New"/>
          <w:b/>
          <w:bCs/>
          <w:color w:val="000000"/>
          <w:sz w:val="32"/>
          <w:szCs w:val="32"/>
        </w:rPr>
        <w:t>广州华星光电半导体显示技术有限公司</w:t>
      </w:r>
    </w:p>
    <w:p>
      <w:pPr>
        <w:spacing w:line="960" w:lineRule="auto"/>
        <w:jc w:val="center"/>
        <w:rPr>
          <w:rFonts w:ascii="宋体" w:hAnsi="宋体" w:cs="Courier New"/>
          <w:b/>
          <w:bCs/>
          <w:color w:val="000000"/>
          <w:sz w:val="32"/>
          <w:szCs w:val="32"/>
        </w:rPr>
      </w:pPr>
      <w:r>
        <w:rPr>
          <w:rFonts w:hint="eastAsia" w:ascii="宋体" w:hAnsi="宋体" w:cs="Courier New"/>
          <w:b/>
          <w:bCs/>
          <w:color w:val="000000"/>
          <w:sz w:val="32"/>
          <w:szCs w:val="32"/>
        </w:rPr>
        <w:t>广州华星第8.6代氧化物半导体新型显示器件生产线项目（ph2）洁净机电工程施工总承包</w:t>
      </w:r>
    </w:p>
    <w:p>
      <w:pPr>
        <w:spacing w:line="960" w:lineRule="auto"/>
        <w:jc w:val="center"/>
        <w:rPr>
          <w:rFonts w:ascii="宋体" w:hAnsi="宋体" w:cs="Courier New"/>
          <w:b/>
          <w:bCs/>
          <w:color w:val="000000"/>
          <w:sz w:val="32"/>
          <w:szCs w:val="32"/>
        </w:rPr>
      </w:pPr>
      <w:r>
        <w:rPr>
          <w:rFonts w:hint="eastAsia" w:ascii="宋体" w:hAnsi="宋体" w:cs="Courier New"/>
          <w:b/>
          <w:bCs/>
          <w:color w:val="000000"/>
          <w:sz w:val="32"/>
          <w:szCs w:val="32"/>
        </w:rPr>
        <w:t>合</w:t>
      </w:r>
      <w:r>
        <w:rPr>
          <w:rFonts w:ascii="宋体" w:hAnsi="宋体" w:cs="Courier New"/>
          <w:b/>
          <w:bCs/>
          <w:color w:val="000000"/>
          <w:sz w:val="32"/>
          <w:szCs w:val="32"/>
        </w:rPr>
        <w:t xml:space="preserve"> </w:t>
      </w:r>
      <w:r>
        <w:rPr>
          <w:rFonts w:hint="eastAsia" w:ascii="宋体" w:hAnsi="宋体" w:cs="Courier New"/>
          <w:b/>
          <w:bCs/>
          <w:color w:val="000000"/>
          <w:sz w:val="32"/>
          <w:szCs w:val="32"/>
        </w:rPr>
        <w:t>同</w:t>
      </w:r>
      <w:r>
        <w:rPr>
          <w:rFonts w:ascii="宋体" w:hAnsi="宋体" w:cs="Courier New"/>
          <w:b/>
          <w:bCs/>
          <w:color w:val="000000"/>
          <w:sz w:val="32"/>
          <w:szCs w:val="32"/>
        </w:rPr>
        <w:t xml:space="preserve"> 文 件</w:t>
      </w:r>
    </w:p>
    <w:p>
      <w:pPr>
        <w:jc w:val="center"/>
        <w:rPr>
          <w:rFonts w:ascii="宋体" w:hAnsi="宋体" w:cs="Courier New"/>
          <w:b/>
          <w:bCs/>
          <w:color w:val="000000"/>
          <w:sz w:val="36"/>
          <w:szCs w:val="21"/>
        </w:rPr>
      </w:pPr>
    </w:p>
    <w:p>
      <w:pPr>
        <w:ind w:firstLine="723"/>
        <w:jc w:val="center"/>
        <w:rPr>
          <w:rFonts w:ascii="宋体" w:hAnsi="宋体" w:cs="Courier New"/>
          <w:b/>
          <w:bCs/>
          <w:color w:val="000000"/>
          <w:sz w:val="36"/>
          <w:szCs w:val="21"/>
        </w:rPr>
      </w:pPr>
    </w:p>
    <w:p>
      <w:pPr>
        <w:jc w:val="center"/>
        <w:rPr>
          <w:rFonts w:ascii="宋体" w:hAnsi="宋体" w:cs="Courier New"/>
          <w:color w:val="000000"/>
          <w:sz w:val="24"/>
          <w:szCs w:val="21"/>
        </w:rPr>
      </w:pPr>
    </w:p>
    <w:p>
      <w:pPr>
        <w:spacing w:line="300" w:lineRule="auto"/>
        <w:ind w:left="2706" w:leftChars="341" w:hanging="1990" w:hangingChars="708"/>
        <w:rPr>
          <w:rFonts w:ascii="宋体" w:hAnsi="宋体"/>
          <w:b/>
          <w:bCs/>
          <w:color w:val="000000"/>
          <w:sz w:val="28"/>
          <w:u w:val="single"/>
        </w:rPr>
      </w:pPr>
      <w:r>
        <w:rPr>
          <w:rFonts w:hint="eastAsia" w:ascii="宋体" w:hAnsi="宋体"/>
          <w:b/>
          <w:bCs/>
          <w:color w:val="000000"/>
          <w:sz w:val="28"/>
        </w:rPr>
        <w:t>工程名称：</w:t>
      </w:r>
      <w:r>
        <w:rPr>
          <w:rFonts w:hint="eastAsia" w:ascii="宋体" w:hAnsi="宋体"/>
          <w:b/>
          <w:bCs/>
          <w:color w:val="000000"/>
          <w:sz w:val="28"/>
          <w:u w:val="single"/>
        </w:rPr>
        <w:t>广州华星第8.6代氧化物半导体新型显示器件生产线项目（ph2）洁净机电工程施工总承包</w:t>
      </w:r>
    </w:p>
    <w:p>
      <w:pPr>
        <w:spacing w:line="300" w:lineRule="auto"/>
        <w:ind w:left="2706" w:leftChars="341" w:hanging="1990" w:hangingChars="708"/>
        <w:rPr>
          <w:rFonts w:ascii="宋体" w:hAnsi="宋体"/>
          <w:b/>
          <w:bCs/>
          <w:color w:val="000000"/>
          <w:sz w:val="28"/>
          <w:u w:val="single"/>
        </w:rPr>
      </w:pPr>
      <w:r>
        <w:rPr>
          <w:rFonts w:hint="eastAsia" w:ascii="宋体" w:hAnsi="宋体"/>
          <w:b/>
          <w:bCs/>
          <w:color w:val="000000"/>
          <w:sz w:val="28"/>
        </w:rPr>
        <w:t>工程地点：</w:t>
      </w:r>
      <w:r>
        <w:rPr>
          <w:rFonts w:hint="eastAsia"/>
          <w:b/>
          <w:bCs/>
          <w:color w:val="000000"/>
          <w:sz w:val="28"/>
          <w:u w:val="single"/>
        </w:rPr>
        <w:t>广州市黄埔区永和街道翟洞片区永安大道以北、禾丰市政路以东</w:t>
      </w:r>
    </w:p>
    <w:p>
      <w:pPr>
        <w:spacing w:line="300" w:lineRule="auto"/>
        <w:ind w:left="2706" w:leftChars="341" w:hanging="1990" w:hangingChars="708"/>
        <w:rPr>
          <w:rFonts w:ascii="宋体" w:hAnsi="宋体"/>
          <w:b/>
          <w:bCs/>
          <w:color w:val="000000"/>
          <w:sz w:val="28"/>
          <w:u w:val="single"/>
        </w:rPr>
      </w:pPr>
      <w:r>
        <w:rPr>
          <w:rFonts w:hint="eastAsia" w:ascii="宋体" w:hAnsi="宋体"/>
          <w:b/>
          <w:bCs/>
          <w:color w:val="000000"/>
          <w:sz w:val="28"/>
        </w:rPr>
        <w:t>合同编号：</w:t>
      </w:r>
      <w:r>
        <w:rPr>
          <w:rFonts w:hint="eastAsia" w:ascii="宋体" w:hAnsi="宋体"/>
          <w:b/>
          <w:bCs/>
          <w:color w:val="000000"/>
          <w:sz w:val="28"/>
          <w:u w:val="single"/>
        </w:rPr>
        <w:t xml:space="preserve">                                        </w:t>
      </w:r>
    </w:p>
    <w:p>
      <w:pPr>
        <w:spacing w:line="300" w:lineRule="auto"/>
        <w:ind w:left="2706" w:leftChars="341" w:hanging="1990" w:hangingChars="708"/>
        <w:rPr>
          <w:rFonts w:ascii="宋体" w:hAnsi="宋体"/>
          <w:b/>
          <w:bCs/>
          <w:color w:val="000000"/>
          <w:sz w:val="28"/>
          <w:u w:val="single"/>
        </w:rPr>
      </w:pPr>
      <w:r>
        <w:rPr>
          <w:rFonts w:hint="eastAsia" w:ascii="宋体" w:hAnsi="宋体"/>
          <w:b/>
          <w:bCs/>
          <w:color w:val="000000"/>
          <w:sz w:val="28"/>
        </w:rPr>
        <w:t>发 包 人：</w:t>
      </w:r>
      <w:r>
        <w:rPr>
          <w:rFonts w:hint="eastAsia" w:ascii="宋体" w:hAnsi="宋体"/>
          <w:b/>
          <w:bCs/>
          <w:color w:val="000000"/>
          <w:sz w:val="28"/>
          <w:u w:val="single"/>
        </w:rPr>
        <w:t>广州华星光电半导体显示技术有限公司</w:t>
      </w:r>
    </w:p>
    <w:p>
      <w:pPr>
        <w:spacing w:line="480" w:lineRule="auto"/>
        <w:ind w:left="2706" w:leftChars="341" w:hanging="1990" w:hangingChars="708"/>
        <w:rPr>
          <w:rFonts w:ascii="宋体" w:hAnsi="宋体"/>
          <w:bCs/>
          <w:color w:val="000000"/>
          <w:sz w:val="32"/>
          <w:szCs w:val="32"/>
        </w:rPr>
      </w:pPr>
      <w:r>
        <w:rPr>
          <w:rFonts w:hint="eastAsia" w:ascii="宋体" w:hAnsi="宋体"/>
          <w:b/>
          <w:bCs/>
          <w:color w:val="000000"/>
          <w:sz w:val="28"/>
        </w:rPr>
        <w:t>承 包 人：</w:t>
      </w:r>
      <w:r>
        <w:rPr>
          <w:rFonts w:hint="eastAsia" w:ascii="宋体" w:hAnsi="宋体"/>
          <w:b/>
          <w:bCs/>
          <w:color w:val="000000"/>
          <w:sz w:val="28"/>
          <w:u w:val="single"/>
        </w:rPr>
        <w:t xml:space="preserve">                                        </w:t>
      </w:r>
    </w:p>
    <w:p>
      <w:pPr>
        <w:ind w:left="2706" w:leftChars="341" w:hanging="1990" w:hangingChars="708"/>
        <w:rPr>
          <w:rFonts w:ascii="宋体" w:hAnsi="宋体"/>
          <w:color w:val="000000"/>
          <w:sz w:val="28"/>
          <w:szCs w:val="28"/>
        </w:rPr>
      </w:pPr>
      <w:r>
        <w:rPr>
          <w:rFonts w:hint="eastAsia" w:ascii="宋体" w:hAnsi="宋体"/>
          <w:b/>
          <w:bCs/>
          <w:color w:val="000000"/>
          <w:sz w:val="28"/>
        </w:rPr>
        <w:t>签订日期：</w:t>
      </w:r>
      <w:r>
        <w:rPr>
          <w:rFonts w:hint="eastAsia" w:ascii="宋体" w:hAnsi="宋体"/>
          <w:b/>
          <w:bCs/>
          <w:color w:val="000000"/>
          <w:sz w:val="28"/>
          <w:lang w:val="en-US" w:eastAsia="zh-CN"/>
        </w:rPr>
        <w:t>2023</w:t>
      </w:r>
      <w:r>
        <w:rPr>
          <w:rFonts w:hint="eastAsia" w:ascii="宋体" w:hAnsi="宋体"/>
          <w:b/>
          <w:bCs/>
          <w:color w:val="000000"/>
          <w:sz w:val="28"/>
        </w:rPr>
        <w:t>年</w:t>
      </w:r>
      <w:r>
        <w:rPr>
          <w:rFonts w:ascii="宋体" w:hAnsi="宋体"/>
          <w:b/>
          <w:bCs/>
          <w:color w:val="000000"/>
          <w:sz w:val="28"/>
        </w:rPr>
        <w:t>XX</w:t>
      </w:r>
      <w:r>
        <w:rPr>
          <w:rFonts w:hint="eastAsia" w:ascii="宋体" w:hAnsi="宋体"/>
          <w:b/>
          <w:bCs/>
          <w:color w:val="000000"/>
          <w:sz w:val="28"/>
        </w:rPr>
        <w:t>月</w:t>
      </w:r>
      <w:r>
        <w:rPr>
          <w:rFonts w:ascii="宋体" w:hAnsi="宋体"/>
          <w:b/>
          <w:bCs/>
          <w:color w:val="000000"/>
          <w:sz w:val="28"/>
        </w:rPr>
        <w:t>XX</w:t>
      </w:r>
      <w:r>
        <w:rPr>
          <w:rFonts w:hint="eastAsia" w:ascii="宋体" w:hAnsi="宋体"/>
          <w:b/>
          <w:bCs/>
          <w:color w:val="000000"/>
          <w:sz w:val="28"/>
        </w:rPr>
        <w:t>日</w:t>
      </w:r>
    </w:p>
    <w:p>
      <w:pPr>
        <w:jc w:val="center"/>
        <w:outlineLvl w:val="0"/>
        <w:rPr>
          <w:b/>
          <w:color w:val="000000"/>
          <w:sz w:val="36"/>
          <w:szCs w:val="36"/>
        </w:rPr>
      </w:pPr>
      <w:r>
        <w:rPr>
          <w:rFonts w:ascii="黑体"/>
          <w:b/>
          <w:color w:val="000000"/>
          <w:sz w:val="44"/>
          <w:szCs w:val="44"/>
        </w:rPr>
        <w:br w:type="page"/>
      </w:r>
      <w:r>
        <w:rPr>
          <w:rFonts w:hint="eastAsia"/>
          <w:b/>
          <w:color w:val="000000"/>
          <w:sz w:val="36"/>
          <w:szCs w:val="36"/>
        </w:rPr>
        <w:t>目  录</w:t>
      </w:r>
    </w:p>
    <w:p>
      <w:pPr>
        <w:jc w:val="center"/>
        <w:rPr>
          <w:rFonts w:cs="Arial"/>
          <w:color w:val="000000"/>
          <w:sz w:val="30"/>
          <w:szCs w:val="30"/>
        </w:rPr>
      </w:pPr>
    </w:p>
    <w:p>
      <w:pPr>
        <w:tabs>
          <w:tab w:val="left" w:pos="1260"/>
          <w:tab w:val="right" w:pos="9288"/>
        </w:tabs>
        <w:rPr>
          <w:rFonts w:ascii="宋体" w:hAnsi="宋体" w:cs="Arial Unicode MS"/>
          <w:color w:val="000000"/>
          <w:sz w:val="28"/>
          <w:szCs w:val="28"/>
        </w:rPr>
      </w:pPr>
      <w:r>
        <w:rPr>
          <w:rFonts w:cs="Arial"/>
          <w:color w:val="000000"/>
          <w:sz w:val="30"/>
          <w:szCs w:val="30"/>
        </w:rPr>
        <w:fldChar w:fldCharType="begin"/>
      </w:r>
      <w:r>
        <w:rPr>
          <w:rFonts w:cs="Arial"/>
          <w:color w:val="000000"/>
          <w:sz w:val="30"/>
          <w:szCs w:val="30"/>
        </w:rPr>
        <w:instrText xml:space="preserve">TOC \o "1-3" \n  \h  \u </w:instrText>
      </w:r>
      <w:r>
        <w:rPr>
          <w:rFonts w:cs="Arial"/>
          <w:color w:val="000000"/>
          <w:sz w:val="30"/>
          <w:szCs w:val="30"/>
        </w:rPr>
        <w:fldChar w:fldCharType="separate"/>
      </w:r>
      <w:r>
        <w:fldChar w:fldCharType="begin"/>
      </w:r>
      <w:r>
        <w:instrText xml:space="preserve"> HYPERLINK \l "_Toc401842403" </w:instrText>
      </w:r>
      <w:r>
        <w:fldChar w:fldCharType="separate"/>
      </w:r>
      <w:r>
        <w:rPr>
          <w:rFonts w:hint="eastAsia" w:ascii="宋体" w:hAnsi="宋体" w:cs="Arial Unicode MS"/>
          <w:color w:val="000000"/>
          <w:sz w:val="28"/>
          <w:szCs w:val="28"/>
        </w:rPr>
        <w:t>第一部分 协议书</w:t>
      </w:r>
      <w:r>
        <w:rPr>
          <w:rFonts w:hint="eastAsia" w:ascii="宋体" w:hAnsi="宋体" w:cs="Arial Unicode MS"/>
          <w:color w:val="000000"/>
          <w:sz w:val="28"/>
          <w:szCs w:val="28"/>
        </w:rPr>
        <w:fldChar w:fldCharType="end"/>
      </w:r>
    </w:p>
    <w:p>
      <w:pPr>
        <w:tabs>
          <w:tab w:val="left" w:pos="1260"/>
          <w:tab w:val="right" w:pos="9288"/>
        </w:tabs>
        <w:rPr>
          <w:rFonts w:ascii="宋体" w:hAnsi="宋体" w:cs="Arial Unicode MS"/>
          <w:color w:val="000000"/>
          <w:sz w:val="28"/>
          <w:szCs w:val="28"/>
        </w:rPr>
      </w:pPr>
      <w:r>
        <w:fldChar w:fldCharType="begin"/>
      </w:r>
      <w:r>
        <w:instrText xml:space="preserve"> HYPERLINK \l "_Toc401842410" </w:instrText>
      </w:r>
      <w:r>
        <w:fldChar w:fldCharType="separate"/>
      </w:r>
      <w:r>
        <w:rPr>
          <w:rFonts w:hint="eastAsia" w:ascii="宋体" w:hAnsi="宋体" w:cs="Arial Unicode MS"/>
          <w:color w:val="000000"/>
          <w:sz w:val="28"/>
          <w:szCs w:val="28"/>
        </w:rPr>
        <w:t>第二部分</w:t>
      </w:r>
      <w:r>
        <w:rPr>
          <w:rFonts w:hint="eastAsia" w:ascii="宋体" w:hAnsi="宋体" w:cs="Arial Unicode MS"/>
          <w:color w:val="000000"/>
          <w:sz w:val="28"/>
          <w:szCs w:val="28"/>
        </w:rPr>
        <w:tab/>
      </w:r>
      <w:r>
        <w:rPr>
          <w:rFonts w:hint="eastAsia" w:ascii="宋体" w:hAnsi="宋体" w:cs="Arial Unicode MS"/>
          <w:color w:val="000000"/>
          <w:sz w:val="28"/>
          <w:szCs w:val="28"/>
        </w:rPr>
        <w:t>中</w:t>
      </w:r>
      <w:r>
        <w:rPr>
          <w:rFonts w:hint="eastAsia" w:ascii="宋体" w:hAnsi="宋体" w:cs="Arial Unicode MS"/>
          <w:color w:val="000000"/>
          <w:sz w:val="28"/>
          <w:szCs w:val="28"/>
        </w:rPr>
        <w:fldChar w:fldCharType="end"/>
      </w:r>
      <w:r>
        <w:rPr>
          <w:rFonts w:hint="eastAsia" w:ascii="宋体" w:hAnsi="宋体" w:cs="Arial Unicode MS"/>
          <w:color w:val="000000"/>
          <w:sz w:val="28"/>
          <w:szCs w:val="28"/>
        </w:rPr>
        <w:t>标通知书</w:t>
      </w:r>
    </w:p>
    <w:p>
      <w:pPr>
        <w:tabs>
          <w:tab w:val="left" w:pos="1260"/>
          <w:tab w:val="right" w:pos="9288"/>
        </w:tabs>
        <w:rPr>
          <w:rFonts w:ascii="宋体" w:hAnsi="宋体"/>
          <w:color w:val="000000"/>
          <w:szCs w:val="22"/>
        </w:rPr>
      </w:pPr>
      <w:r>
        <w:fldChar w:fldCharType="begin"/>
      </w:r>
      <w:r>
        <w:instrText xml:space="preserve"> HYPERLINK \l "_Toc401842410" </w:instrText>
      </w:r>
      <w:r>
        <w:fldChar w:fldCharType="separate"/>
      </w:r>
      <w:r>
        <w:rPr>
          <w:rFonts w:hint="eastAsia" w:ascii="宋体" w:hAnsi="宋体" w:cs="Arial Unicode MS"/>
          <w:color w:val="000000"/>
          <w:sz w:val="28"/>
          <w:szCs w:val="28"/>
        </w:rPr>
        <w:t>第三部分 补遗、答疑和澄清文件</w:t>
      </w:r>
      <w:r>
        <w:rPr>
          <w:rFonts w:hint="eastAsia" w:ascii="宋体" w:hAnsi="宋体" w:cs="Arial Unicode MS"/>
          <w:color w:val="000000"/>
          <w:sz w:val="28"/>
          <w:szCs w:val="28"/>
        </w:rPr>
        <w:fldChar w:fldCharType="end"/>
      </w:r>
    </w:p>
    <w:p>
      <w:pPr>
        <w:tabs>
          <w:tab w:val="left" w:pos="1260"/>
          <w:tab w:val="right" w:pos="9288"/>
        </w:tabs>
        <w:rPr>
          <w:rFonts w:ascii="宋体" w:hAnsi="宋体"/>
          <w:color w:val="000000"/>
          <w:szCs w:val="22"/>
        </w:rPr>
      </w:pPr>
      <w:r>
        <w:fldChar w:fldCharType="begin"/>
      </w:r>
      <w:r>
        <w:instrText xml:space="preserve"> HYPERLINK \l "_Toc401842413" </w:instrText>
      </w:r>
      <w:r>
        <w:fldChar w:fldCharType="separate"/>
      </w:r>
      <w:r>
        <w:rPr>
          <w:rFonts w:hint="eastAsia" w:ascii="宋体" w:hAnsi="宋体" w:cs="Arial Unicode MS"/>
          <w:color w:val="000000"/>
          <w:sz w:val="28"/>
          <w:szCs w:val="28"/>
        </w:rPr>
        <w:t>第四部分</w:t>
      </w:r>
      <w:r>
        <w:rPr>
          <w:rFonts w:hint="eastAsia" w:ascii="宋体" w:hAnsi="宋体" w:cs="Arial Unicode MS"/>
          <w:color w:val="000000"/>
          <w:sz w:val="28"/>
          <w:szCs w:val="28"/>
        </w:rPr>
        <w:tab/>
      </w:r>
      <w:r>
        <w:rPr>
          <w:rFonts w:hint="eastAsia" w:ascii="宋体" w:hAnsi="宋体" w:cs="Arial Unicode MS"/>
          <w:color w:val="000000"/>
          <w:sz w:val="28"/>
          <w:szCs w:val="28"/>
        </w:rPr>
        <w:t>通用条款</w:t>
      </w:r>
      <w:r>
        <w:rPr>
          <w:rFonts w:hint="eastAsia" w:ascii="宋体" w:hAnsi="宋体" w:cs="Arial Unicode MS"/>
          <w:color w:val="000000"/>
          <w:sz w:val="28"/>
          <w:szCs w:val="28"/>
        </w:rPr>
        <w:fldChar w:fldCharType="end"/>
      </w:r>
    </w:p>
    <w:p>
      <w:pPr>
        <w:rPr>
          <w:rFonts w:ascii="宋体" w:hAnsi="宋体"/>
          <w:color w:val="000000"/>
        </w:rPr>
      </w:pPr>
      <w:r>
        <w:fldChar w:fldCharType="begin"/>
      </w:r>
      <w:r>
        <w:instrText xml:space="preserve"> HYPERLINK \l "_Toc401842413" </w:instrText>
      </w:r>
      <w:r>
        <w:fldChar w:fldCharType="separate"/>
      </w:r>
      <w:r>
        <w:rPr>
          <w:rFonts w:hint="eastAsia" w:ascii="宋体" w:hAnsi="宋体" w:cs="Arial Unicode MS"/>
          <w:color w:val="000000"/>
          <w:sz w:val="28"/>
          <w:szCs w:val="28"/>
        </w:rPr>
        <w:t>第五部分</w:t>
      </w:r>
      <w:r>
        <w:rPr>
          <w:rFonts w:hint="eastAsia" w:ascii="宋体" w:hAnsi="宋体" w:cs="Arial Unicode MS"/>
          <w:color w:val="000000"/>
          <w:sz w:val="28"/>
          <w:szCs w:val="28"/>
        </w:rPr>
        <w:tab/>
      </w:r>
      <w:r>
        <w:rPr>
          <w:rFonts w:hint="eastAsia" w:ascii="宋体" w:hAnsi="宋体" w:cs="Arial Unicode MS"/>
          <w:color w:val="000000"/>
          <w:sz w:val="28"/>
          <w:szCs w:val="28"/>
        </w:rPr>
        <w:t>专用条款</w:t>
      </w:r>
      <w:r>
        <w:rPr>
          <w:rFonts w:hint="eastAsia" w:ascii="宋体" w:hAnsi="宋体" w:cs="Arial Unicode MS"/>
          <w:color w:val="000000"/>
          <w:sz w:val="28"/>
          <w:szCs w:val="28"/>
        </w:rPr>
        <w:fldChar w:fldCharType="end"/>
      </w:r>
    </w:p>
    <w:p>
      <w:pPr>
        <w:tabs>
          <w:tab w:val="left" w:pos="1260"/>
          <w:tab w:val="right" w:pos="9288"/>
        </w:tabs>
        <w:rPr>
          <w:rFonts w:ascii="宋体" w:hAnsi="宋体" w:cs="Arial Unicode MS"/>
          <w:color w:val="000000"/>
          <w:sz w:val="28"/>
          <w:szCs w:val="28"/>
        </w:rPr>
      </w:pPr>
      <w:r>
        <w:fldChar w:fldCharType="begin"/>
      </w:r>
      <w:r>
        <w:instrText xml:space="preserve"> HYPERLINK \l "_Toc401842445" </w:instrText>
      </w:r>
      <w:r>
        <w:fldChar w:fldCharType="separate"/>
      </w:r>
      <w:r>
        <w:rPr>
          <w:rFonts w:hint="eastAsia" w:ascii="宋体" w:hAnsi="宋体" w:cs="Arial Unicode MS"/>
          <w:color w:val="000000"/>
          <w:sz w:val="28"/>
          <w:szCs w:val="28"/>
        </w:rPr>
        <w:t>第六部分</w:t>
      </w:r>
      <w:r>
        <w:rPr>
          <w:rFonts w:hint="eastAsia" w:ascii="宋体" w:hAnsi="宋体" w:cs="Arial Unicode MS"/>
          <w:color w:val="000000"/>
          <w:sz w:val="28"/>
          <w:szCs w:val="28"/>
        </w:rPr>
        <w:tab/>
      </w:r>
      <w:r>
        <w:rPr>
          <w:rFonts w:hint="eastAsia" w:ascii="宋体" w:hAnsi="宋体" w:cs="Arial Unicode MS"/>
          <w:color w:val="000000"/>
          <w:sz w:val="28"/>
          <w:szCs w:val="28"/>
        </w:rPr>
        <w:t>补</w:t>
      </w:r>
      <w:r>
        <w:rPr>
          <w:rFonts w:hint="eastAsia" w:ascii="宋体" w:hAnsi="宋体" w:cs="Arial Unicode MS"/>
          <w:color w:val="000000"/>
          <w:sz w:val="28"/>
          <w:szCs w:val="28"/>
        </w:rPr>
        <w:fldChar w:fldCharType="end"/>
      </w:r>
      <w:r>
        <w:rPr>
          <w:rFonts w:hint="eastAsia" w:ascii="宋体" w:hAnsi="宋体" w:cs="Arial Unicode MS"/>
          <w:color w:val="000000"/>
          <w:sz w:val="28"/>
          <w:szCs w:val="28"/>
        </w:rPr>
        <w:t>充条款</w:t>
      </w:r>
    </w:p>
    <w:p>
      <w:pPr>
        <w:rPr>
          <w:rFonts w:ascii="宋体" w:hAnsi="宋体" w:cs="Arial Unicode MS"/>
          <w:color w:val="000000"/>
          <w:sz w:val="28"/>
          <w:szCs w:val="28"/>
        </w:rPr>
      </w:pPr>
      <w:r>
        <w:rPr>
          <w:rFonts w:hint="eastAsia" w:ascii="宋体" w:hAnsi="宋体" w:cs="Arial Unicode MS"/>
          <w:color w:val="000000"/>
          <w:sz w:val="28"/>
          <w:szCs w:val="28"/>
        </w:rPr>
        <w:t xml:space="preserve">第七部分 </w:t>
      </w:r>
      <w:r>
        <w:rPr>
          <w:rFonts w:ascii="宋体" w:hAnsi="宋体" w:cs="Arial Unicode MS"/>
          <w:color w:val="000000"/>
          <w:sz w:val="28"/>
          <w:szCs w:val="28"/>
        </w:rPr>
        <w:t>包定义文件、技术规格书及图纸</w:t>
      </w:r>
      <w:r>
        <w:rPr>
          <w:rFonts w:hint="eastAsia" w:ascii="宋体" w:hAnsi="宋体" w:cs="Arial Unicode MS"/>
          <w:color w:val="000000"/>
          <w:sz w:val="28"/>
          <w:szCs w:val="28"/>
        </w:rPr>
        <w:t>等技术（另册装订）</w:t>
      </w:r>
    </w:p>
    <w:p>
      <w:pPr>
        <w:tabs>
          <w:tab w:val="left" w:pos="1260"/>
          <w:tab w:val="right" w:pos="9288"/>
        </w:tabs>
        <w:rPr>
          <w:rFonts w:ascii="宋体" w:hAnsi="宋体" w:cs="Arial Unicode MS"/>
          <w:color w:val="000000"/>
          <w:sz w:val="28"/>
          <w:szCs w:val="28"/>
        </w:rPr>
      </w:pPr>
      <w:r>
        <w:fldChar w:fldCharType="begin"/>
      </w:r>
      <w:r>
        <w:instrText xml:space="preserve"> HYPERLINK \l "_Toc401842445" </w:instrText>
      </w:r>
      <w:r>
        <w:fldChar w:fldCharType="separate"/>
      </w:r>
      <w:r>
        <w:rPr>
          <w:rFonts w:hint="eastAsia" w:ascii="宋体" w:hAnsi="宋体" w:cs="Arial Unicode MS"/>
          <w:color w:val="000000"/>
          <w:sz w:val="28"/>
          <w:szCs w:val="28"/>
        </w:rPr>
        <w:t>第八部分</w:t>
      </w:r>
      <w:r>
        <w:rPr>
          <w:rFonts w:hint="eastAsia" w:ascii="宋体" w:hAnsi="宋体" w:cs="Arial Unicode MS"/>
          <w:color w:val="000000"/>
          <w:sz w:val="28"/>
          <w:szCs w:val="28"/>
        </w:rPr>
        <w:tab/>
      </w:r>
      <w:r>
        <w:rPr>
          <w:rFonts w:hint="eastAsia" w:ascii="宋体" w:hAnsi="宋体" w:cs="Arial Unicode MS"/>
          <w:color w:val="000000"/>
          <w:sz w:val="28"/>
          <w:szCs w:val="28"/>
        </w:rPr>
        <w:fldChar w:fldCharType="end"/>
      </w:r>
      <w:r>
        <w:rPr>
          <w:rFonts w:hint="eastAsia" w:ascii="宋体" w:hAnsi="宋体" w:cs="Arial Unicode MS"/>
          <w:color w:val="000000"/>
          <w:sz w:val="28"/>
          <w:szCs w:val="28"/>
        </w:rPr>
        <w:t>经双方确认的价格清单文件</w:t>
      </w:r>
      <w:r>
        <w:fldChar w:fldCharType="begin"/>
      </w:r>
      <w:r>
        <w:instrText xml:space="preserve"> HYPERLINK \l "_Toc401842447" </w:instrText>
      </w:r>
      <w:r>
        <w:fldChar w:fldCharType="separate"/>
      </w:r>
      <w:r>
        <w:rPr>
          <w:rFonts w:hint="eastAsia" w:ascii="宋体" w:hAnsi="宋体" w:cs="Arial Unicode MS"/>
          <w:color w:val="000000"/>
          <w:sz w:val="28"/>
          <w:szCs w:val="28"/>
        </w:rPr>
        <w:t>（另册装订）</w:t>
      </w:r>
      <w:r>
        <w:rPr>
          <w:rFonts w:hint="eastAsia" w:ascii="宋体" w:hAnsi="宋体" w:cs="Arial Unicode MS"/>
          <w:color w:val="000000"/>
          <w:sz w:val="28"/>
          <w:szCs w:val="28"/>
        </w:rPr>
        <w:fldChar w:fldCharType="end"/>
      </w:r>
    </w:p>
    <w:p>
      <w:pPr>
        <w:tabs>
          <w:tab w:val="left" w:pos="1260"/>
          <w:tab w:val="right" w:pos="9288"/>
        </w:tabs>
        <w:rPr>
          <w:rFonts w:ascii="宋体" w:hAnsi="宋体" w:cs="Arial Unicode MS"/>
          <w:color w:val="000000"/>
          <w:sz w:val="28"/>
          <w:szCs w:val="28"/>
        </w:rPr>
      </w:pPr>
      <w:r>
        <w:fldChar w:fldCharType="begin"/>
      </w:r>
      <w:r>
        <w:instrText xml:space="preserve"> HYPERLINK \l "_Toc401842448" </w:instrText>
      </w:r>
      <w:r>
        <w:fldChar w:fldCharType="separate"/>
      </w:r>
      <w:r>
        <w:rPr>
          <w:rFonts w:hint="eastAsia" w:ascii="宋体" w:hAnsi="宋体" w:cs="Arial Unicode MS"/>
          <w:color w:val="000000"/>
          <w:sz w:val="28"/>
          <w:szCs w:val="28"/>
        </w:rPr>
        <w:t>第九部分</w:t>
      </w:r>
      <w:r>
        <w:rPr>
          <w:rFonts w:hint="eastAsia" w:ascii="宋体" w:hAnsi="宋体" w:cs="Arial Unicode MS"/>
          <w:color w:val="000000"/>
          <w:sz w:val="28"/>
          <w:szCs w:val="28"/>
        </w:rPr>
        <w:tab/>
      </w:r>
      <w:r>
        <w:rPr>
          <w:rFonts w:hint="eastAsia" w:ascii="宋体" w:hAnsi="宋体" w:cs="Arial Unicode MS"/>
          <w:color w:val="000000"/>
          <w:sz w:val="28"/>
          <w:szCs w:val="28"/>
        </w:rPr>
        <w:t xml:space="preserve"> 招标文件（另册装订）</w:t>
      </w:r>
      <w:r>
        <w:rPr>
          <w:rFonts w:hint="eastAsia" w:ascii="宋体" w:hAnsi="宋体" w:cs="Arial Unicode MS"/>
          <w:color w:val="000000"/>
          <w:sz w:val="28"/>
          <w:szCs w:val="28"/>
        </w:rPr>
        <w:fldChar w:fldCharType="end"/>
      </w:r>
    </w:p>
    <w:p>
      <w:pPr>
        <w:tabs>
          <w:tab w:val="left" w:pos="1260"/>
          <w:tab w:val="right" w:pos="9288"/>
        </w:tabs>
        <w:rPr>
          <w:rFonts w:ascii="宋体" w:hAnsi="宋体" w:cs="Arial Unicode MS"/>
          <w:color w:val="000000"/>
          <w:sz w:val="28"/>
          <w:szCs w:val="28"/>
        </w:rPr>
      </w:pPr>
      <w:r>
        <w:fldChar w:fldCharType="begin"/>
      </w:r>
      <w:r>
        <w:instrText xml:space="preserve"> HYPERLINK \l "_Toc401842449" </w:instrText>
      </w:r>
      <w:r>
        <w:fldChar w:fldCharType="separate"/>
      </w:r>
      <w:r>
        <w:rPr>
          <w:rFonts w:hint="eastAsia" w:ascii="宋体" w:hAnsi="宋体" w:cs="Arial Unicode MS"/>
          <w:color w:val="000000"/>
          <w:sz w:val="28"/>
          <w:szCs w:val="28"/>
        </w:rPr>
        <w:t>第十部分</w:t>
      </w:r>
      <w:r>
        <w:rPr>
          <w:rFonts w:hint="eastAsia" w:ascii="宋体" w:hAnsi="宋体" w:cs="Arial Unicode MS"/>
          <w:color w:val="000000"/>
          <w:sz w:val="28"/>
          <w:szCs w:val="28"/>
        </w:rPr>
        <w:tab/>
      </w:r>
      <w:r>
        <w:rPr>
          <w:rFonts w:hint="eastAsia" w:ascii="宋体" w:hAnsi="宋体" w:cs="Arial Unicode MS"/>
          <w:color w:val="000000"/>
          <w:sz w:val="28"/>
          <w:szCs w:val="28"/>
        </w:rPr>
        <w:t xml:space="preserve"> 承包人投标文件（另册装订）</w:t>
      </w:r>
      <w:r>
        <w:rPr>
          <w:rFonts w:hint="eastAsia" w:ascii="宋体" w:hAnsi="宋体" w:cs="Arial Unicode MS"/>
          <w:color w:val="000000"/>
          <w:sz w:val="28"/>
          <w:szCs w:val="28"/>
        </w:rPr>
        <w:fldChar w:fldCharType="end"/>
      </w:r>
    </w:p>
    <w:p>
      <w:pPr>
        <w:tabs>
          <w:tab w:val="left" w:pos="1260"/>
          <w:tab w:val="right" w:pos="9288"/>
        </w:tabs>
        <w:rPr>
          <w:rFonts w:ascii="宋体" w:hAnsi="宋体" w:cs="Arial Unicode MS"/>
          <w:color w:val="000000"/>
          <w:sz w:val="28"/>
          <w:szCs w:val="28"/>
        </w:rPr>
      </w:pPr>
      <w:r>
        <w:fldChar w:fldCharType="begin"/>
      </w:r>
      <w:r>
        <w:instrText xml:space="preserve"> HYPERLINK \l "_Toc401842450" </w:instrText>
      </w:r>
      <w:r>
        <w:fldChar w:fldCharType="separate"/>
      </w:r>
      <w:r>
        <w:rPr>
          <w:rFonts w:hint="eastAsia" w:ascii="宋体" w:hAnsi="宋体" w:cs="Arial Unicode MS"/>
          <w:color w:val="000000"/>
          <w:sz w:val="28"/>
          <w:szCs w:val="28"/>
        </w:rPr>
        <w:t>第十一部分  附件</w:t>
      </w:r>
      <w:r>
        <w:rPr>
          <w:rFonts w:hint="eastAsia" w:ascii="宋体" w:hAnsi="宋体" w:cs="Arial Unicode MS"/>
          <w:color w:val="000000"/>
          <w:sz w:val="28"/>
          <w:szCs w:val="28"/>
        </w:rPr>
        <w:fldChar w:fldCharType="end"/>
      </w:r>
    </w:p>
    <w:p>
      <w:pPr>
        <w:pStyle w:val="111"/>
        <w:numPr>
          <w:ilvl w:val="0"/>
          <w:numId w:val="8"/>
        </w:numPr>
        <w:tabs>
          <w:tab w:val="left" w:pos="1260"/>
          <w:tab w:val="right" w:pos="9288"/>
        </w:tabs>
        <w:ind w:firstLine="14" w:firstLineChars="0"/>
        <w:rPr>
          <w:rFonts w:ascii="Calibri" w:hAnsi="Calibri"/>
          <w:color w:val="000000"/>
          <w:sz w:val="28"/>
          <w:szCs w:val="22"/>
        </w:rPr>
      </w:pPr>
      <w:r>
        <w:rPr>
          <w:rFonts w:hint="eastAsia" w:ascii="Calibri" w:hAnsi="Calibri"/>
          <w:color w:val="000000"/>
          <w:sz w:val="28"/>
          <w:szCs w:val="22"/>
        </w:rPr>
        <w:t>供应商</w:t>
      </w:r>
      <w:r>
        <w:rPr>
          <w:rFonts w:ascii="Calibri" w:hAnsi="Calibri"/>
          <w:color w:val="000000"/>
          <w:sz w:val="28"/>
          <w:szCs w:val="22"/>
        </w:rPr>
        <w:t>合作协议</w:t>
      </w:r>
    </w:p>
    <w:p>
      <w:pPr>
        <w:pStyle w:val="111"/>
        <w:numPr>
          <w:ilvl w:val="0"/>
          <w:numId w:val="8"/>
        </w:numPr>
        <w:tabs>
          <w:tab w:val="left" w:pos="1260"/>
          <w:tab w:val="right" w:pos="9288"/>
        </w:tabs>
        <w:ind w:firstLine="14" w:firstLineChars="0"/>
        <w:rPr>
          <w:rFonts w:ascii="Calibri" w:hAnsi="Calibri"/>
          <w:color w:val="000000"/>
          <w:sz w:val="28"/>
          <w:szCs w:val="22"/>
        </w:rPr>
      </w:pPr>
      <w:r>
        <w:rPr>
          <w:rFonts w:hint="eastAsia" w:ascii="Calibri" w:hAnsi="Calibri"/>
          <w:color w:val="000000"/>
          <w:sz w:val="28"/>
          <w:szCs w:val="22"/>
        </w:rPr>
        <w:t>履约保函</w:t>
      </w:r>
    </w:p>
    <w:p>
      <w:pPr>
        <w:pStyle w:val="111"/>
        <w:numPr>
          <w:ilvl w:val="0"/>
          <w:numId w:val="8"/>
        </w:numPr>
        <w:tabs>
          <w:tab w:val="left" w:pos="1260"/>
          <w:tab w:val="right" w:pos="9288"/>
        </w:tabs>
        <w:ind w:firstLine="14" w:firstLineChars="0"/>
        <w:rPr>
          <w:rFonts w:ascii="Calibri" w:hAnsi="Calibri"/>
          <w:color w:val="000000"/>
          <w:sz w:val="28"/>
          <w:szCs w:val="22"/>
        </w:rPr>
      </w:pPr>
      <w:r>
        <w:rPr>
          <w:rFonts w:hint="eastAsia" w:ascii="Calibri" w:hAnsi="Calibri"/>
          <w:color w:val="000000"/>
          <w:sz w:val="28"/>
          <w:szCs w:val="22"/>
          <w:lang w:val="en-US" w:eastAsia="zh-CN"/>
        </w:rPr>
        <w:t>项目管理文件（另册装订）</w:t>
      </w:r>
    </w:p>
    <w:p>
      <w:r>
        <w:rPr>
          <w:rFonts w:cs="Arial"/>
          <w:color w:val="000000"/>
          <w:szCs w:val="30"/>
        </w:rPr>
        <w:fldChar w:fldCharType="end"/>
      </w:r>
    </w:p>
    <w:p/>
    <w:p/>
    <w:p/>
    <w:p/>
    <w:p>
      <w:r>
        <w:br w:type="page"/>
      </w:r>
    </w:p>
    <w:p>
      <w:pPr>
        <w:pStyle w:val="2"/>
        <w:numPr>
          <w:ilvl w:val="0"/>
          <w:numId w:val="0"/>
        </w:numPr>
        <w:jc w:val="center"/>
        <w:rPr>
          <w:rFonts w:ascii="宋体" w:hAnsi="宋体"/>
          <w:color w:val="000000"/>
          <w:sz w:val="36"/>
          <w:szCs w:val="36"/>
        </w:rPr>
      </w:pPr>
      <w:r>
        <w:rPr>
          <w:rFonts w:hint="eastAsia" w:ascii="宋体" w:hAnsi="宋体"/>
          <w:color w:val="000000"/>
          <w:sz w:val="36"/>
          <w:szCs w:val="36"/>
        </w:rPr>
        <w:t>第一部分 协议书</w:t>
      </w:r>
    </w:p>
    <w:p>
      <w:pPr>
        <w:spacing w:line="360" w:lineRule="auto"/>
        <w:ind w:firstLine="482" w:firstLineChars="200"/>
        <w:rPr>
          <w:b/>
          <w:bCs/>
          <w:color w:val="000000"/>
          <w:sz w:val="24"/>
        </w:rPr>
      </w:pPr>
      <w:r>
        <w:rPr>
          <w:rFonts w:hint="eastAsia"/>
          <w:b/>
          <w:bCs/>
          <w:color w:val="000000"/>
          <w:sz w:val="24"/>
        </w:rPr>
        <w:t>发包人</w:t>
      </w:r>
      <w:r>
        <w:rPr>
          <w:rFonts w:hint="eastAsia"/>
          <w:bCs/>
          <w:color w:val="000000"/>
          <w:sz w:val="24"/>
        </w:rPr>
        <w:t>(全称)：</w:t>
      </w:r>
      <w:r>
        <w:rPr>
          <w:rFonts w:hint="eastAsia"/>
          <w:color w:val="000000"/>
          <w:sz w:val="28"/>
          <w:szCs w:val="28"/>
          <w:u w:val="single"/>
        </w:rPr>
        <w:t>广州华星光电半导体显示技术有限公司</w:t>
      </w:r>
    </w:p>
    <w:p>
      <w:pPr>
        <w:spacing w:line="360" w:lineRule="auto"/>
        <w:ind w:firstLine="482" w:firstLineChars="200"/>
        <w:rPr>
          <w:b/>
          <w:color w:val="000000"/>
          <w:sz w:val="28"/>
          <w:szCs w:val="28"/>
          <w:u w:val="single"/>
        </w:rPr>
      </w:pPr>
      <w:r>
        <w:rPr>
          <w:rFonts w:hint="eastAsia"/>
          <w:b/>
          <w:bCs/>
          <w:color w:val="000000"/>
          <w:sz w:val="24"/>
        </w:rPr>
        <w:t>承包人</w:t>
      </w:r>
      <w:r>
        <w:rPr>
          <w:rFonts w:hint="eastAsia"/>
          <w:bCs/>
          <w:color w:val="000000"/>
          <w:sz w:val="24"/>
        </w:rPr>
        <w:t>(全称)</w:t>
      </w:r>
      <w:r>
        <w:rPr>
          <w:rFonts w:hint="eastAsia"/>
          <w:b/>
          <w:bCs/>
          <w:color w:val="000000"/>
          <w:sz w:val="24"/>
        </w:rPr>
        <w:t>：</w:t>
      </w:r>
      <w:r>
        <w:rPr>
          <w:rFonts w:hint="eastAsia"/>
          <w:color w:val="000000"/>
          <w:sz w:val="28"/>
          <w:szCs w:val="28"/>
          <w:u w:val="single"/>
        </w:rPr>
        <w:t xml:space="preserve">                                    </w:t>
      </w:r>
    </w:p>
    <w:p>
      <w:pPr>
        <w:spacing w:line="360" w:lineRule="auto"/>
        <w:ind w:firstLine="480" w:firstLineChars="200"/>
        <w:rPr>
          <w:color w:val="000000"/>
          <w:sz w:val="24"/>
        </w:rPr>
      </w:pPr>
      <w:r>
        <w:rPr>
          <w:rFonts w:hint="eastAsia"/>
          <w:color w:val="000000"/>
          <w:sz w:val="24"/>
        </w:rPr>
        <w:t>根据《中华人民共和国民法典》、《中华人民共和国建筑法》等有关法律、法规，依照招标文件的要求(适用招投标工程)，遵循平等、自愿、公平和诚信的原则，发、承包人就本工程施工事项协商一致，订立本合同，达成协议如下：</w:t>
      </w:r>
    </w:p>
    <w:p>
      <w:pPr>
        <w:rPr>
          <w:b/>
          <w:color w:val="000000"/>
          <w:sz w:val="30"/>
          <w:szCs w:val="30"/>
        </w:rPr>
      </w:pPr>
      <w:r>
        <w:rPr>
          <w:rFonts w:hint="eastAsia"/>
          <w:b/>
          <w:color w:val="000000"/>
          <w:sz w:val="30"/>
          <w:szCs w:val="30"/>
        </w:rPr>
        <w:t>一、工程概况</w:t>
      </w:r>
    </w:p>
    <w:p>
      <w:pPr>
        <w:spacing w:line="360" w:lineRule="auto"/>
        <w:ind w:firstLine="480" w:firstLineChars="200"/>
        <w:rPr>
          <w:color w:val="000000"/>
          <w:sz w:val="24"/>
        </w:rPr>
      </w:pPr>
      <w:r>
        <w:rPr>
          <w:rFonts w:hint="eastAsia"/>
          <w:color w:val="000000"/>
          <w:sz w:val="24"/>
        </w:rPr>
        <w:t>工程名称：</w:t>
      </w:r>
      <w:r>
        <w:rPr>
          <w:rFonts w:hint="eastAsia"/>
          <w:color w:val="000000"/>
          <w:sz w:val="24"/>
          <w:u w:val="single"/>
        </w:rPr>
        <w:t>广州华星第8.6代氧化物半导体新型显示器件生产线项目（ph2）洁净机电工程施工总承包</w:t>
      </w:r>
    </w:p>
    <w:p>
      <w:pPr>
        <w:spacing w:line="360" w:lineRule="auto"/>
        <w:ind w:firstLine="480" w:firstLineChars="200"/>
        <w:rPr>
          <w:color w:val="000000"/>
          <w:sz w:val="24"/>
          <w:u w:val="single"/>
        </w:rPr>
      </w:pPr>
      <w:r>
        <w:rPr>
          <w:rFonts w:hint="eastAsia"/>
          <w:color w:val="000000"/>
          <w:sz w:val="24"/>
        </w:rPr>
        <w:t>工程地点：</w:t>
      </w:r>
      <w:r>
        <w:rPr>
          <w:rFonts w:hint="eastAsia"/>
          <w:color w:val="000000"/>
          <w:sz w:val="24"/>
          <w:u w:val="single"/>
        </w:rPr>
        <w:t>广州市黄埔区永和街道翟洞片区永安大道以北、禾丰市政路以东</w:t>
      </w:r>
    </w:p>
    <w:p>
      <w:pPr>
        <w:spacing w:line="360" w:lineRule="auto"/>
        <w:ind w:firstLine="480" w:firstLineChars="200"/>
        <w:rPr>
          <w:color w:val="000000"/>
          <w:sz w:val="24"/>
          <w:u w:val="single"/>
        </w:rPr>
      </w:pPr>
      <w:r>
        <w:rPr>
          <w:rFonts w:hint="eastAsia"/>
          <w:color w:val="000000"/>
          <w:sz w:val="24"/>
        </w:rPr>
        <w:t>工程规模及特征：</w:t>
      </w:r>
      <w:r>
        <w:rPr>
          <w:rFonts w:hint="eastAsia"/>
          <w:color w:val="000000"/>
          <w:sz w:val="24"/>
          <w:u w:val="single"/>
        </w:rPr>
        <w:t>本项目为广州华星第8.6代氧化物半导体新型显示器件生产线项目（ph2）洁净机电工程，建设内容主要包括：洁净</w:t>
      </w:r>
      <w:r>
        <w:rPr>
          <w:rFonts w:hint="eastAsia"/>
          <w:color w:val="000000"/>
          <w:sz w:val="24"/>
          <w:u w:val="single"/>
          <w:lang w:val="en-US" w:eastAsia="zh-CN"/>
        </w:rPr>
        <w:t>机电</w:t>
      </w:r>
      <w:r>
        <w:rPr>
          <w:rFonts w:hint="eastAsia"/>
          <w:color w:val="000000"/>
          <w:sz w:val="24"/>
          <w:u w:val="single"/>
        </w:rPr>
        <w:t>包及其配套设置（具体内容以招标人发放的包定义文件、工程量清单及施工图纸为准）。</w:t>
      </w:r>
    </w:p>
    <w:p>
      <w:pPr>
        <w:spacing w:line="360" w:lineRule="auto"/>
        <w:ind w:firstLine="480" w:firstLineChars="200"/>
        <w:rPr>
          <w:color w:val="000000"/>
          <w:sz w:val="24"/>
          <w:highlight w:val="none"/>
        </w:rPr>
      </w:pPr>
      <w:r>
        <w:rPr>
          <w:rFonts w:hint="eastAsia"/>
          <w:color w:val="000000"/>
          <w:sz w:val="24"/>
        </w:rPr>
        <w:t>资金来源</w:t>
      </w:r>
      <w:r>
        <w:rPr>
          <w:rFonts w:hint="eastAsia"/>
          <w:color w:val="000000"/>
          <w:sz w:val="24"/>
          <w:highlight w:val="none"/>
        </w:rPr>
        <w:t>：</w:t>
      </w:r>
      <w:r>
        <w:rPr>
          <w:rFonts w:hint="eastAsia"/>
          <w:color w:val="000000"/>
          <w:sz w:val="24"/>
          <w:highlight w:val="none"/>
          <w:u w:val="single"/>
        </w:rPr>
        <w:t xml:space="preserve"> 企业自筹</w:t>
      </w:r>
    </w:p>
    <w:p>
      <w:pPr>
        <w:rPr>
          <w:b/>
          <w:color w:val="000000"/>
          <w:sz w:val="30"/>
          <w:szCs w:val="30"/>
          <w:highlight w:val="none"/>
        </w:rPr>
      </w:pPr>
      <w:r>
        <w:rPr>
          <w:rFonts w:hint="eastAsia"/>
          <w:b/>
          <w:color w:val="000000"/>
          <w:sz w:val="30"/>
          <w:szCs w:val="30"/>
          <w:highlight w:val="none"/>
        </w:rPr>
        <w:t>二、工程承包范围</w:t>
      </w:r>
    </w:p>
    <w:p>
      <w:pPr>
        <w:spacing w:line="360" w:lineRule="auto"/>
        <w:ind w:firstLine="120" w:firstLineChars="50"/>
        <w:rPr>
          <w:rFonts w:hint="eastAsia"/>
          <w:color w:val="000000"/>
          <w:sz w:val="24"/>
        </w:rPr>
      </w:pPr>
      <w:r>
        <w:rPr>
          <w:rFonts w:hint="eastAsia"/>
          <w:color w:val="000000"/>
          <w:sz w:val="24"/>
        </w:rPr>
        <w:t>本次招标范围包含广州华星光电半导体显示技术有限公司</w:t>
      </w:r>
      <w:r>
        <w:rPr>
          <w:rFonts w:hint="eastAsia"/>
          <w:color w:val="000000"/>
          <w:sz w:val="24"/>
          <w:u w:val="single"/>
        </w:rPr>
        <w:t>广州华星第8.6代氧化物半导体新型显示器件生产线项目（ph2）</w:t>
      </w:r>
      <w:r>
        <w:rPr>
          <w:rFonts w:hint="eastAsia"/>
          <w:color w:val="000000"/>
          <w:sz w:val="24"/>
        </w:rPr>
        <w:t>范围内的</w:t>
      </w:r>
      <w:r>
        <w:rPr>
          <w:rFonts w:hint="eastAsia"/>
          <w:color w:val="000000"/>
          <w:sz w:val="24"/>
          <w:u w:val="single"/>
        </w:rPr>
        <w:t>洁净机电工程施工总承包</w:t>
      </w:r>
      <w:r>
        <w:rPr>
          <w:color w:val="000000"/>
          <w:sz w:val="24"/>
          <w:u w:val="single"/>
        </w:rPr>
        <w:t xml:space="preserve">   </w:t>
      </w:r>
      <w:r>
        <w:rPr>
          <w:color w:val="000000"/>
          <w:sz w:val="24"/>
        </w:rPr>
        <w:t>施工</w:t>
      </w:r>
      <w:r>
        <w:rPr>
          <w:rFonts w:hint="eastAsia"/>
          <w:color w:val="000000"/>
          <w:sz w:val="24"/>
        </w:rPr>
        <w:t>，主要工作内容包括且不限于：本包的目的是为第 8.6 代氧化物半导体新型显示器件生产线项目（PH2）1 号建筑 （Array）、2 号建筑（CF/CELL、BEOL）PH2 洁净室工程及 ph1 洁净区域改造工程，3 号建筑（综合动力站）ph2 部分区域机电工程、4 号建筑（废水处理站） ph2 部分区域机电工程；包含内容如设备安装、机电、消防、装修、暖通、电力、自控等相关配套工程的建设提供符合相关技术规格书要求的整体洁净室与机电系统。本包工作范围不仅包括具有洁净级别的洁净室，还包括划入本包范围内的洁净室配套区如上/下夹层、回风夹道、MAU 机房等洁净相关工程</w:t>
      </w:r>
    </w:p>
    <w:p>
      <w:pPr>
        <w:spacing w:line="360" w:lineRule="auto"/>
        <w:ind w:firstLine="120" w:firstLineChars="50"/>
        <w:rPr>
          <w:rFonts w:hint="eastAsia"/>
          <w:color w:val="000000"/>
          <w:sz w:val="24"/>
        </w:rPr>
      </w:pPr>
      <w:r>
        <w:rPr>
          <w:rFonts w:hint="eastAsia"/>
          <w:color w:val="000000"/>
          <w:sz w:val="24"/>
        </w:rPr>
        <w:t>（1）承重基台、现浇微振基台、华星筒开孔与封孔属于本包范围</w:t>
      </w:r>
    </w:p>
    <w:p>
      <w:pPr>
        <w:spacing w:line="360" w:lineRule="auto"/>
        <w:ind w:firstLine="120" w:firstLineChars="50"/>
        <w:rPr>
          <w:rFonts w:hint="eastAsia"/>
          <w:color w:val="000000"/>
          <w:sz w:val="24"/>
        </w:rPr>
      </w:pPr>
      <w:r>
        <w:rPr>
          <w:rFonts w:hint="eastAsia"/>
          <w:color w:val="000000"/>
          <w:sz w:val="24"/>
        </w:rPr>
        <w:t>（2）1 号生产厂房 1（Array）、2 号生产厂房 2（CF/CELL、BEOL）PH1 区域零星改造工程，具体 PH1 洁净区域内 Foundation、后做回风夹道、搬入口、沸石转轮机组、 MAU 机组等零星改造</w:t>
      </w:r>
    </w:p>
    <w:p>
      <w:pPr>
        <w:spacing w:line="360" w:lineRule="auto"/>
        <w:ind w:firstLine="120" w:firstLineChars="50"/>
        <w:rPr>
          <w:rFonts w:hint="eastAsia"/>
          <w:color w:val="000000"/>
          <w:sz w:val="24"/>
        </w:rPr>
      </w:pPr>
      <w:r>
        <w:rPr>
          <w:rFonts w:hint="eastAsia"/>
          <w:color w:val="000000"/>
          <w:sz w:val="24"/>
        </w:rPr>
        <w:t>（3） 3 号建筑（综合动力站）内 ph2 部分空压机、冷冻机、干燥机等设备的安装、配 管、配电，二次泵设备采购安装</w:t>
      </w:r>
    </w:p>
    <w:p>
      <w:pPr>
        <w:spacing w:line="360" w:lineRule="auto"/>
        <w:ind w:firstLine="120" w:firstLineChars="50"/>
        <w:rPr>
          <w:rFonts w:hint="eastAsia"/>
          <w:color w:val="000000"/>
          <w:sz w:val="24"/>
        </w:rPr>
      </w:pPr>
      <w:r>
        <w:rPr>
          <w:rFonts w:hint="eastAsia"/>
          <w:color w:val="000000"/>
          <w:sz w:val="24"/>
        </w:rPr>
        <w:t>（4）4 号建筑（废水处理站）内 ph2 新增废水处理系统配电工程</w:t>
      </w:r>
    </w:p>
    <w:p>
      <w:pPr>
        <w:spacing w:line="360" w:lineRule="auto"/>
        <w:ind w:firstLine="120" w:firstLineChars="50"/>
        <w:rPr>
          <w:rFonts w:hint="eastAsia"/>
          <w:color w:val="000000"/>
          <w:sz w:val="24"/>
        </w:rPr>
      </w:pPr>
      <w:r>
        <w:rPr>
          <w:rFonts w:hint="eastAsia"/>
          <w:color w:val="000000"/>
          <w:sz w:val="24"/>
        </w:rPr>
        <w:t xml:space="preserve">（5）1 号建筑（Array）、2 号建筑（CF/CELL、BEOL）、3 号建筑（综合动力站）、 </w:t>
      </w:r>
    </w:p>
    <w:p>
      <w:pPr>
        <w:spacing w:line="360" w:lineRule="auto"/>
        <w:ind w:firstLine="120" w:firstLineChars="50"/>
        <w:rPr>
          <w:color w:val="000000"/>
          <w:sz w:val="24"/>
        </w:rPr>
      </w:pPr>
      <w:r>
        <w:rPr>
          <w:rFonts w:hint="eastAsia"/>
          <w:color w:val="000000"/>
          <w:sz w:val="24"/>
        </w:rPr>
        <w:t>4号建筑（废水处理站）内 ph2 动力设备如 MAU、PV、纯水、废水、特殊废气、 一般废气等设备的配电。</w:t>
      </w:r>
    </w:p>
    <w:p>
      <w:pPr>
        <w:spacing w:line="360" w:lineRule="auto"/>
        <w:rPr>
          <w:b/>
          <w:color w:val="000000"/>
          <w:sz w:val="30"/>
          <w:szCs w:val="30"/>
        </w:rPr>
      </w:pPr>
      <w:r>
        <w:rPr>
          <w:rFonts w:hint="eastAsia"/>
          <w:b/>
          <w:color w:val="000000"/>
          <w:sz w:val="30"/>
          <w:szCs w:val="30"/>
        </w:rPr>
        <w:t>三、合同工期</w:t>
      </w:r>
    </w:p>
    <w:p>
      <w:pPr>
        <w:spacing w:line="360" w:lineRule="auto"/>
        <w:ind w:firstLine="480" w:firstLineChars="200"/>
        <w:rPr>
          <w:color w:val="000000"/>
          <w:sz w:val="24"/>
          <w:u w:val="single"/>
        </w:rPr>
      </w:pPr>
      <w:r>
        <w:rPr>
          <w:rFonts w:hint="eastAsia"/>
          <w:color w:val="000000"/>
          <w:sz w:val="24"/>
        </w:rPr>
        <w:t>开工日期：</w:t>
      </w:r>
      <w:r>
        <w:rPr>
          <w:rFonts w:hint="eastAsia"/>
          <w:color w:val="000000"/>
          <w:sz w:val="24"/>
          <w:u w:val="single"/>
          <w:lang w:val="en-US" w:eastAsia="zh-CN"/>
        </w:rPr>
        <w:t>2023</w:t>
      </w:r>
      <w:r>
        <w:rPr>
          <w:rFonts w:hint="eastAsia"/>
          <w:color w:val="000000"/>
          <w:sz w:val="24"/>
          <w:u w:val="single"/>
        </w:rPr>
        <w:t>年</w:t>
      </w:r>
      <w:r>
        <w:rPr>
          <w:rFonts w:hint="eastAsia"/>
          <w:color w:val="000000"/>
          <w:sz w:val="24"/>
          <w:u w:val="single"/>
          <w:lang w:val="en-US" w:eastAsia="zh-CN"/>
        </w:rPr>
        <w:t>10</w:t>
      </w:r>
      <w:r>
        <w:rPr>
          <w:rFonts w:hint="eastAsia"/>
          <w:color w:val="000000"/>
          <w:sz w:val="24"/>
          <w:u w:val="single"/>
        </w:rPr>
        <w:t>月</w:t>
      </w:r>
      <w:r>
        <w:rPr>
          <w:rFonts w:hint="eastAsia"/>
          <w:color w:val="000000"/>
          <w:sz w:val="24"/>
          <w:u w:val="single"/>
          <w:lang w:val="en-US" w:eastAsia="zh-CN"/>
        </w:rPr>
        <w:t>15</w:t>
      </w:r>
      <w:r>
        <w:rPr>
          <w:rFonts w:hint="eastAsia"/>
          <w:color w:val="000000"/>
          <w:sz w:val="24"/>
          <w:u w:val="single"/>
        </w:rPr>
        <w:t xml:space="preserve">日       </w:t>
      </w:r>
    </w:p>
    <w:p>
      <w:pPr>
        <w:spacing w:line="360" w:lineRule="auto"/>
        <w:ind w:firstLine="480" w:firstLineChars="200"/>
        <w:rPr>
          <w:color w:val="000000"/>
          <w:sz w:val="24"/>
          <w:u w:val="single"/>
        </w:rPr>
      </w:pPr>
      <w:r>
        <w:rPr>
          <w:rFonts w:hint="eastAsia"/>
          <w:color w:val="000000"/>
          <w:sz w:val="24"/>
        </w:rPr>
        <w:t>竣工日期：</w:t>
      </w:r>
      <w:r>
        <w:rPr>
          <w:rFonts w:hint="eastAsia"/>
          <w:color w:val="000000"/>
          <w:sz w:val="24"/>
          <w:u w:val="single"/>
          <w:lang w:val="en-US" w:eastAsia="zh-CN"/>
        </w:rPr>
        <w:t>2024</w:t>
      </w:r>
      <w:r>
        <w:rPr>
          <w:rFonts w:hint="eastAsia"/>
          <w:color w:val="000000"/>
          <w:sz w:val="24"/>
          <w:u w:val="single"/>
        </w:rPr>
        <w:t>年</w:t>
      </w:r>
      <w:r>
        <w:rPr>
          <w:rFonts w:hint="eastAsia"/>
          <w:color w:val="000000"/>
          <w:sz w:val="24"/>
          <w:u w:val="single"/>
          <w:lang w:val="en-US" w:eastAsia="zh-CN"/>
        </w:rPr>
        <w:t>12</w:t>
      </w:r>
      <w:r>
        <w:rPr>
          <w:rFonts w:hint="eastAsia"/>
          <w:color w:val="000000"/>
          <w:sz w:val="24"/>
          <w:u w:val="single"/>
        </w:rPr>
        <w:t>月</w:t>
      </w:r>
      <w:r>
        <w:rPr>
          <w:rFonts w:hint="eastAsia"/>
          <w:color w:val="000000"/>
          <w:sz w:val="24"/>
          <w:u w:val="single"/>
          <w:lang w:val="en-US" w:eastAsia="zh-CN"/>
        </w:rPr>
        <w:t>31</w:t>
      </w:r>
      <w:r>
        <w:rPr>
          <w:rFonts w:hint="eastAsia"/>
          <w:color w:val="000000"/>
          <w:sz w:val="24"/>
          <w:u w:val="single"/>
        </w:rPr>
        <w:t xml:space="preserve">日       </w:t>
      </w:r>
    </w:p>
    <w:p>
      <w:pPr>
        <w:spacing w:line="360" w:lineRule="auto"/>
        <w:ind w:firstLine="480" w:firstLineChars="200"/>
        <w:rPr>
          <w:color w:val="000000"/>
          <w:sz w:val="24"/>
          <w:u w:val="single"/>
        </w:rPr>
      </w:pPr>
      <w:r>
        <w:rPr>
          <w:rFonts w:hint="eastAsia"/>
          <w:color w:val="000000"/>
          <w:sz w:val="24"/>
        </w:rPr>
        <w:t>合同工期总日历天数</w:t>
      </w:r>
      <w:r>
        <w:rPr>
          <w:rFonts w:hint="eastAsia"/>
          <w:color w:val="000000"/>
          <w:sz w:val="24"/>
          <w:u w:val="single"/>
        </w:rPr>
        <w:t xml:space="preserve"> </w:t>
      </w:r>
      <w:r>
        <w:rPr>
          <w:rFonts w:hint="eastAsia"/>
          <w:color w:val="000000"/>
          <w:sz w:val="24"/>
          <w:u w:val="single"/>
          <w:lang w:val="en-US" w:eastAsia="zh-CN"/>
        </w:rPr>
        <w:t>444</w:t>
      </w:r>
      <w:r>
        <w:rPr>
          <w:rFonts w:hint="eastAsia"/>
          <w:color w:val="000000"/>
          <w:sz w:val="24"/>
        </w:rPr>
        <w:t>天。</w:t>
      </w:r>
    </w:p>
    <w:p>
      <w:pPr>
        <w:rPr>
          <w:b/>
          <w:color w:val="000000"/>
          <w:sz w:val="30"/>
          <w:szCs w:val="30"/>
        </w:rPr>
      </w:pPr>
      <w:r>
        <w:rPr>
          <w:rFonts w:hint="eastAsia"/>
          <w:b/>
          <w:color w:val="000000"/>
          <w:sz w:val="30"/>
          <w:szCs w:val="30"/>
        </w:rPr>
        <w:t>四、质量标准</w:t>
      </w:r>
    </w:p>
    <w:p>
      <w:pPr>
        <w:spacing w:line="360" w:lineRule="auto"/>
        <w:ind w:firstLine="480" w:firstLineChars="200"/>
        <w:rPr>
          <w:color w:val="000000"/>
          <w:sz w:val="24"/>
          <w:u w:val="single"/>
        </w:rPr>
      </w:pPr>
      <w:r>
        <w:rPr>
          <w:rFonts w:hint="eastAsia"/>
          <w:color w:val="000000"/>
          <w:sz w:val="24"/>
        </w:rPr>
        <w:t>本工程质量标准：</w:t>
      </w:r>
      <w:r>
        <w:rPr>
          <w:rFonts w:hint="eastAsia"/>
          <w:color w:val="000000"/>
          <w:sz w:val="24"/>
          <w:u w:val="single"/>
        </w:rPr>
        <w:t xml:space="preserve">               按《专用条款》约定执行                             </w:t>
      </w:r>
    </w:p>
    <w:p>
      <w:pPr>
        <w:rPr>
          <w:b/>
          <w:color w:val="000000"/>
          <w:sz w:val="30"/>
          <w:szCs w:val="30"/>
        </w:rPr>
      </w:pPr>
      <w:r>
        <w:rPr>
          <w:rFonts w:hint="eastAsia"/>
          <w:b/>
          <w:color w:val="000000"/>
          <w:sz w:val="30"/>
          <w:szCs w:val="30"/>
        </w:rPr>
        <w:t>五、合同价款</w:t>
      </w:r>
    </w:p>
    <w:p>
      <w:pPr>
        <w:spacing w:line="360" w:lineRule="auto"/>
        <w:ind w:firstLine="480" w:firstLineChars="200"/>
        <w:rPr>
          <w:rFonts w:hint="eastAsia"/>
          <w:color w:val="000000"/>
          <w:sz w:val="24"/>
          <w:u w:val="single"/>
        </w:rPr>
      </w:pPr>
      <w:r>
        <w:rPr>
          <w:rFonts w:hint="eastAsia"/>
          <w:color w:val="000000"/>
          <w:sz w:val="24"/>
        </w:rPr>
        <w:t>币种：</w:t>
      </w:r>
      <w:r>
        <w:rPr>
          <w:rFonts w:hint="eastAsia"/>
          <w:color w:val="000000"/>
          <w:sz w:val="24"/>
          <w:u w:val="single"/>
        </w:rPr>
        <w:t xml:space="preserve">  人民币                                                       </w:t>
      </w:r>
    </w:p>
    <w:p>
      <w:pPr>
        <w:spacing w:line="360" w:lineRule="auto"/>
        <w:ind w:firstLine="480" w:firstLineChars="200"/>
        <w:rPr>
          <w:rFonts w:hint="eastAsia"/>
          <w:color w:val="000000"/>
          <w:sz w:val="24"/>
          <w:u w:val="single"/>
        </w:rPr>
      </w:pPr>
      <w:r>
        <w:rPr>
          <w:rFonts w:hint="eastAsia"/>
          <w:color w:val="000000"/>
          <w:sz w:val="24"/>
        </w:rPr>
        <w:t>合同总价(大写)：</w:t>
      </w:r>
      <w:r>
        <w:rPr>
          <w:rFonts w:hint="eastAsia"/>
          <w:color w:val="000000"/>
          <w:sz w:val="24"/>
          <w:u w:val="single"/>
        </w:rPr>
        <w:t xml:space="preserve">                                                      </w:t>
      </w:r>
    </w:p>
    <w:p>
      <w:pPr>
        <w:spacing w:line="360" w:lineRule="auto"/>
        <w:ind w:firstLine="1440" w:firstLineChars="600"/>
        <w:rPr>
          <w:rFonts w:hint="eastAsia"/>
          <w:color w:val="000000"/>
          <w:sz w:val="24"/>
          <w:u w:val="single"/>
        </w:rPr>
      </w:pPr>
      <w:r>
        <w:rPr>
          <w:rFonts w:hint="eastAsia"/>
          <w:color w:val="000000"/>
          <w:sz w:val="24"/>
        </w:rPr>
        <w:t>(小写)：</w:t>
      </w:r>
      <w:r>
        <w:rPr>
          <w:rFonts w:hint="eastAsia"/>
          <w:color w:val="000000"/>
          <w:sz w:val="24"/>
          <w:u w:val="single"/>
        </w:rPr>
        <w:t xml:space="preserve">                                                      </w:t>
      </w:r>
    </w:p>
    <w:p>
      <w:pPr>
        <w:spacing w:line="360" w:lineRule="auto"/>
        <w:ind w:firstLine="1440" w:firstLineChars="600"/>
        <w:rPr>
          <w:color w:val="000000"/>
          <w:sz w:val="24"/>
          <w:u w:val="single"/>
        </w:rPr>
      </w:pPr>
      <w:r>
        <w:rPr>
          <w:rFonts w:hint="eastAsia"/>
          <w:color w:val="000000"/>
          <w:sz w:val="24"/>
        </w:rPr>
        <w:t>（合同未税总价）：</w:t>
      </w:r>
      <w:r>
        <w:rPr>
          <w:rFonts w:hint="eastAsia"/>
          <w:color w:val="000000"/>
          <w:sz w:val="24"/>
          <w:u w:val="single"/>
        </w:rPr>
        <w:t xml:space="preserve">                                            </w:t>
      </w:r>
    </w:p>
    <w:p>
      <w:pPr>
        <w:spacing w:line="360" w:lineRule="auto"/>
        <w:ind w:firstLine="480" w:firstLineChars="200"/>
        <w:rPr>
          <w:color w:val="000000"/>
          <w:sz w:val="24"/>
          <w:u w:val="single"/>
        </w:rPr>
      </w:pPr>
      <w:r>
        <w:rPr>
          <w:rFonts w:hint="eastAsia"/>
          <w:color w:val="000000"/>
          <w:sz w:val="24"/>
        </w:rPr>
        <w:t>其中：暂列金额为(小写)：</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p>
    <w:p>
      <w:pPr>
        <w:spacing w:line="360" w:lineRule="auto"/>
        <w:ind w:firstLine="1200" w:firstLineChars="500"/>
        <w:rPr>
          <w:color w:val="000000"/>
          <w:sz w:val="24"/>
          <w:u w:val="single"/>
        </w:rPr>
      </w:pPr>
      <w:r>
        <w:rPr>
          <w:rFonts w:hint="eastAsia"/>
          <w:color w:val="000000"/>
          <w:sz w:val="24"/>
        </w:rPr>
        <w:t>暂估价为(小写)：</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spacing w:line="360" w:lineRule="auto"/>
        <w:ind w:firstLine="1200" w:firstLineChars="500"/>
        <w:rPr>
          <w:color w:val="000000"/>
          <w:sz w:val="24"/>
        </w:rPr>
      </w:pPr>
      <w:r>
        <w:rPr>
          <w:rFonts w:hint="eastAsia"/>
          <w:color w:val="000000"/>
          <w:sz w:val="24"/>
        </w:rPr>
        <w:t>总包服务费为(小写)：</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p>
    <w:p>
      <w:pPr>
        <w:spacing w:line="360" w:lineRule="auto"/>
        <w:ind w:firstLine="1200" w:firstLineChars="500"/>
        <w:rPr>
          <w:color w:val="000000"/>
          <w:sz w:val="24"/>
          <w:u w:val="single"/>
        </w:rPr>
      </w:pPr>
      <w:r>
        <w:rPr>
          <w:rFonts w:hint="eastAsia"/>
          <w:color w:val="000000"/>
          <w:sz w:val="24"/>
        </w:rPr>
        <w:t>安全文明施工措施费为(小写)：</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p>
    <w:p>
      <w:pPr>
        <w:spacing w:line="360" w:lineRule="auto"/>
        <w:ind w:firstLine="1024" w:firstLineChars="427"/>
        <w:rPr>
          <w:color w:val="000000"/>
          <w:sz w:val="24"/>
        </w:rPr>
      </w:pPr>
      <w:r>
        <w:rPr>
          <w:rFonts w:hint="eastAsia"/>
          <w:color w:val="000000"/>
          <w:sz w:val="24"/>
        </w:rPr>
        <w:t>相对招标控制价******元的净下浮率为 ***%。</w:t>
      </w:r>
    </w:p>
    <w:p>
      <w:pPr>
        <w:spacing w:line="360" w:lineRule="auto"/>
        <w:ind w:firstLine="960" w:firstLineChars="400"/>
        <w:rPr>
          <w:color w:val="000000"/>
          <w:sz w:val="24"/>
        </w:rPr>
      </w:pPr>
      <w:r>
        <w:rPr>
          <w:rFonts w:hint="eastAsia"/>
          <w:color w:val="000000"/>
          <w:sz w:val="24"/>
        </w:rPr>
        <w:t>（ 下浮率=【(招标控制价-暂列金额-暂估价-总包服务费等不可竞争费用)-（中标价-暂列金额--暂估价-总包服务费等不可竞争费用）】×100%/【招标控制价-暂列金额-暂估价-总包服务费等不可竞争费用】=***%）。</w:t>
      </w:r>
    </w:p>
    <w:p>
      <w:pPr>
        <w:spacing w:line="360" w:lineRule="auto"/>
        <w:ind w:firstLine="480" w:firstLineChars="200"/>
        <w:rPr>
          <w:rFonts w:ascii="宋体" w:hAnsi="宋体"/>
          <w:color w:val="000000"/>
          <w:sz w:val="24"/>
          <w:u w:val="single"/>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发票类型：</w:t>
      </w:r>
      <w:r>
        <w:rPr>
          <w:rFonts w:ascii="宋体" w:hAnsi="宋体"/>
          <w:color w:val="000000"/>
          <w:sz w:val="24"/>
          <w:u w:val="single"/>
        </w:rPr>
        <w:t xml:space="preserve"> </w:t>
      </w:r>
      <w:r>
        <w:rPr>
          <w:rFonts w:hint="eastAsia" w:ascii="宋体" w:hAnsi="宋体"/>
          <w:color w:val="000000"/>
          <w:sz w:val="24"/>
          <w:u w:val="single"/>
        </w:rPr>
        <w:t xml:space="preserve"> 增值税专用发票   </w:t>
      </w:r>
      <w:r>
        <w:rPr>
          <w:rFonts w:hint="eastAsia" w:ascii="宋体" w:hAnsi="宋体"/>
          <w:color w:val="000000"/>
          <w:sz w:val="24"/>
        </w:rPr>
        <w:t>；税率：</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firstLine="448"/>
        <w:rPr>
          <w:color w:val="000000"/>
          <w:sz w:val="24"/>
        </w:rPr>
      </w:pPr>
      <w:r>
        <w:rPr>
          <w:rFonts w:hint="eastAsia"/>
          <w:color w:val="000000"/>
          <w:sz w:val="24"/>
        </w:rPr>
        <w:t>项目单价：■详见承包人的投标报价书(招标工程)</w:t>
      </w:r>
    </w:p>
    <w:p>
      <w:pPr>
        <w:spacing w:line="360" w:lineRule="auto"/>
        <w:ind w:firstLine="1680" w:firstLineChars="700"/>
        <w:rPr>
          <w:color w:val="000000"/>
          <w:sz w:val="24"/>
        </w:rPr>
      </w:pPr>
      <w:r>
        <w:rPr>
          <w:rFonts w:hint="eastAsia"/>
          <w:color w:val="000000"/>
          <w:sz w:val="24"/>
        </w:rPr>
        <w:t>□详见经确认的工程报价单或预算书(非招标工程)</w:t>
      </w:r>
    </w:p>
    <w:p>
      <w:pPr>
        <w:spacing w:line="360" w:lineRule="auto"/>
        <w:rPr>
          <w:b/>
          <w:color w:val="000000"/>
          <w:sz w:val="30"/>
          <w:szCs w:val="30"/>
        </w:rPr>
      </w:pPr>
      <w:r>
        <w:rPr>
          <w:rFonts w:hint="eastAsia"/>
          <w:b/>
          <w:color w:val="000000"/>
          <w:sz w:val="30"/>
          <w:szCs w:val="30"/>
        </w:rPr>
        <w:t>六、组成合同的文件</w:t>
      </w:r>
    </w:p>
    <w:p>
      <w:pPr>
        <w:spacing w:line="360" w:lineRule="auto"/>
        <w:ind w:left="735" w:leftChars="350"/>
        <w:rPr>
          <w:color w:val="000000"/>
          <w:sz w:val="24"/>
        </w:rPr>
      </w:pPr>
      <w:r>
        <w:rPr>
          <w:rFonts w:hint="eastAsia"/>
          <w:color w:val="000000"/>
          <w:sz w:val="24"/>
        </w:rPr>
        <w:t>1、组成合同的文件及优先解释顺序如下：</w:t>
      </w:r>
    </w:p>
    <w:p>
      <w:pPr>
        <w:spacing w:line="360" w:lineRule="auto"/>
        <w:ind w:left="735" w:leftChars="350"/>
        <w:rPr>
          <w:color w:val="000000"/>
          <w:sz w:val="24"/>
        </w:rPr>
      </w:pPr>
      <w:r>
        <w:rPr>
          <w:rFonts w:hint="eastAsia"/>
          <w:color w:val="000000"/>
          <w:sz w:val="24"/>
        </w:rPr>
        <w:t>⑴.</w:t>
      </w:r>
      <w:r>
        <w:rPr>
          <w:rFonts w:hint="eastAsia"/>
          <w:color w:val="000000"/>
          <w:sz w:val="24"/>
        </w:rPr>
        <w:tab/>
      </w:r>
      <w:r>
        <w:rPr>
          <w:rFonts w:hint="eastAsia"/>
          <w:color w:val="000000"/>
          <w:sz w:val="24"/>
        </w:rPr>
        <w:t>协议书及附件；</w:t>
      </w:r>
    </w:p>
    <w:p>
      <w:pPr>
        <w:spacing w:line="360" w:lineRule="auto"/>
        <w:ind w:left="735" w:leftChars="350"/>
        <w:rPr>
          <w:color w:val="000000"/>
          <w:sz w:val="24"/>
        </w:rPr>
      </w:pPr>
      <w:r>
        <w:rPr>
          <w:rFonts w:hint="eastAsia"/>
          <w:color w:val="000000"/>
          <w:sz w:val="24"/>
        </w:rPr>
        <w:t>⑵.</w:t>
      </w:r>
      <w:r>
        <w:rPr>
          <w:rFonts w:hint="eastAsia"/>
          <w:color w:val="000000"/>
          <w:sz w:val="24"/>
        </w:rPr>
        <w:tab/>
      </w:r>
      <w:r>
        <w:rPr>
          <w:rFonts w:hint="eastAsia"/>
          <w:color w:val="000000"/>
          <w:sz w:val="24"/>
        </w:rPr>
        <w:t>中标通知书；</w:t>
      </w:r>
    </w:p>
    <w:p>
      <w:pPr>
        <w:spacing w:line="360" w:lineRule="auto"/>
        <w:ind w:left="735" w:leftChars="350"/>
        <w:rPr>
          <w:color w:val="000000"/>
          <w:sz w:val="24"/>
        </w:rPr>
      </w:pPr>
      <w:r>
        <w:rPr>
          <w:rFonts w:hint="eastAsia"/>
          <w:color w:val="000000"/>
          <w:sz w:val="24"/>
        </w:rPr>
        <w:t>⑶.</w:t>
      </w:r>
      <w:r>
        <w:rPr>
          <w:rFonts w:hint="eastAsia"/>
          <w:color w:val="000000"/>
          <w:sz w:val="24"/>
        </w:rPr>
        <w:tab/>
      </w:r>
      <w:r>
        <w:rPr>
          <w:rFonts w:hint="eastAsia"/>
          <w:color w:val="000000"/>
          <w:sz w:val="24"/>
        </w:rPr>
        <w:t>招标的澄清与答疑文件；</w:t>
      </w:r>
    </w:p>
    <w:p>
      <w:pPr>
        <w:spacing w:line="360" w:lineRule="auto"/>
        <w:ind w:left="735" w:leftChars="350"/>
        <w:rPr>
          <w:color w:val="000000"/>
          <w:sz w:val="24"/>
        </w:rPr>
      </w:pPr>
      <w:r>
        <w:rPr>
          <w:rFonts w:hint="eastAsia"/>
          <w:color w:val="000000"/>
          <w:sz w:val="24"/>
        </w:rPr>
        <w:t>⑷.</w:t>
      </w:r>
      <w:r>
        <w:rPr>
          <w:rFonts w:hint="eastAsia"/>
          <w:color w:val="000000"/>
          <w:sz w:val="24"/>
        </w:rPr>
        <w:tab/>
      </w:r>
      <w:r>
        <w:rPr>
          <w:rFonts w:hint="eastAsia"/>
          <w:color w:val="000000"/>
          <w:sz w:val="24"/>
        </w:rPr>
        <w:t>补充条款；</w:t>
      </w:r>
    </w:p>
    <w:p>
      <w:pPr>
        <w:spacing w:line="360" w:lineRule="auto"/>
        <w:ind w:left="735" w:leftChars="350"/>
        <w:rPr>
          <w:color w:val="000000"/>
          <w:sz w:val="24"/>
        </w:rPr>
      </w:pPr>
      <w:r>
        <w:rPr>
          <w:rFonts w:hint="eastAsia"/>
          <w:color w:val="000000"/>
          <w:sz w:val="24"/>
        </w:rPr>
        <w:t>⑸.  专用条款；</w:t>
      </w:r>
    </w:p>
    <w:p>
      <w:pPr>
        <w:spacing w:line="360" w:lineRule="auto"/>
        <w:ind w:left="735" w:leftChars="350"/>
        <w:rPr>
          <w:color w:val="000000"/>
          <w:sz w:val="24"/>
        </w:rPr>
      </w:pPr>
      <w:r>
        <w:rPr>
          <w:rFonts w:hint="eastAsia"/>
          <w:color w:val="000000"/>
          <w:sz w:val="24"/>
        </w:rPr>
        <w:t>⑹.</w:t>
      </w:r>
      <w:r>
        <w:rPr>
          <w:rFonts w:hint="eastAsia"/>
          <w:color w:val="000000"/>
          <w:sz w:val="24"/>
        </w:rPr>
        <w:tab/>
      </w:r>
      <w:r>
        <w:rPr>
          <w:rFonts w:hint="eastAsia"/>
          <w:color w:val="000000"/>
          <w:sz w:val="24"/>
        </w:rPr>
        <w:t>发包人包定义、技术规格书等的技术要求；</w:t>
      </w:r>
    </w:p>
    <w:p>
      <w:pPr>
        <w:spacing w:line="360" w:lineRule="auto"/>
        <w:ind w:left="735" w:leftChars="350"/>
        <w:rPr>
          <w:color w:val="000000"/>
          <w:sz w:val="24"/>
        </w:rPr>
      </w:pPr>
      <w:r>
        <w:rPr>
          <w:rFonts w:hint="eastAsia"/>
          <w:color w:val="000000"/>
          <w:sz w:val="24"/>
        </w:rPr>
        <w:t>⑺.</w:t>
      </w:r>
      <w:r>
        <w:rPr>
          <w:rFonts w:hint="eastAsia"/>
          <w:color w:val="000000"/>
          <w:sz w:val="24"/>
        </w:rPr>
        <w:tab/>
      </w:r>
      <w:r>
        <w:rPr>
          <w:rFonts w:hint="eastAsia"/>
          <w:color w:val="000000"/>
          <w:sz w:val="24"/>
        </w:rPr>
        <w:t>发包人和工程师有关通知及工程会议纪要；</w:t>
      </w:r>
    </w:p>
    <w:p>
      <w:pPr>
        <w:spacing w:line="360" w:lineRule="auto"/>
        <w:ind w:left="735" w:leftChars="350"/>
        <w:rPr>
          <w:color w:val="000000"/>
          <w:sz w:val="24"/>
        </w:rPr>
      </w:pPr>
      <w:r>
        <w:rPr>
          <w:rFonts w:hint="eastAsia"/>
          <w:color w:val="000000"/>
          <w:sz w:val="24"/>
        </w:rPr>
        <w:t>⑻.</w:t>
      </w:r>
      <w:r>
        <w:rPr>
          <w:rFonts w:hint="eastAsia"/>
          <w:color w:val="000000"/>
          <w:sz w:val="24"/>
        </w:rPr>
        <w:tab/>
      </w:r>
      <w:r>
        <w:rPr>
          <w:rFonts w:hint="eastAsia"/>
          <w:color w:val="000000"/>
          <w:sz w:val="24"/>
        </w:rPr>
        <w:t>标准、规范及有关技术文件；</w:t>
      </w:r>
    </w:p>
    <w:p>
      <w:pPr>
        <w:spacing w:line="360" w:lineRule="auto"/>
        <w:ind w:left="735" w:leftChars="350"/>
        <w:rPr>
          <w:color w:val="000000"/>
          <w:sz w:val="24"/>
        </w:rPr>
      </w:pPr>
      <w:r>
        <w:rPr>
          <w:rFonts w:hint="eastAsia"/>
          <w:color w:val="000000"/>
          <w:sz w:val="24"/>
        </w:rPr>
        <w:t xml:space="preserve">⑼．发包人图纸； </w:t>
      </w:r>
    </w:p>
    <w:p>
      <w:pPr>
        <w:spacing w:line="360" w:lineRule="auto"/>
        <w:ind w:left="735" w:leftChars="350"/>
        <w:rPr>
          <w:color w:val="000000"/>
          <w:sz w:val="24"/>
        </w:rPr>
      </w:pPr>
      <w:r>
        <w:rPr>
          <w:rFonts w:hint="eastAsia"/>
          <w:color w:val="000000"/>
          <w:sz w:val="24"/>
        </w:rPr>
        <w:t>⑽．双方有关工程的洽商、变更等书面协议或文件；</w:t>
      </w:r>
    </w:p>
    <w:p>
      <w:pPr>
        <w:spacing w:line="360" w:lineRule="auto"/>
        <w:ind w:left="735" w:leftChars="350"/>
        <w:rPr>
          <w:color w:val="000000"/>
          <w:sz w:val="24"/>
        </w:rPr>
      </w:pPr>
      <w:r>
        <w:rPr>
          <w:rFonts w:hint="eastAsia"/>
          <w:color w:val="000000"/>
          <w:sz w:val="24"/>
        </w:rPr>
        <w:t>⑾．通用条款；</w:t>
      </w:r>
    </w:p>
    <w:p>
      <w:pPr>
        <w:spacing w:line="360" w:lineRule="auto"/>
        <w:ind w:left="735" w:leftChars="350"/>
        <w:rPr>
          <w:color w:val="000000"/>
          <w:sz w:val="24"/>
        </w:rPr>
      </w:pPr>
      <w:r>
        <w:rPr>
          <w:rFonts w:hint="eastAsia"/>
          <w:color w:val="000000"/>
          <w:sz w:val="24"/>
        </w:rPr>
        <w:t>⑿．招标文件；</w:t>
      </w:r>
    </w:p>
    <w:p>
      <w:pPr>
        <w:spacing w:line="360" w:lineRule="auto"/>
        <w:ind w:left="735" w:leftChars="350"/>
        <w:rPr>
          <w:color w:val="000000"/>
          <w:sz w:val="24"/>
        </w:rPr>
      </w:pPr>
      <w:r>
        <w:rPr>
          <w:rFonts w:hint="eastAsia"/>
          <w:color w:val="000000"/>
          <w:sz w:val="24"/>
        </w:rPr>
        <w:t>⒀. 投标文件及承包人工程报价单及其说明。</w:t>
      </w:r>
    </w:p>
    <w:p>
      <w:pPr>
        <w:spacing w:line="360" w:lineRule="auto"/>
        <w:ind w:firstLine="480" w:firstLineChars="200"/>
        <w:rPr>
          <w:color w:val="000000"/>
          <w:sz w:val="24"/>
        </w:rPr>
      </w:pPr>
      <w:r>
        <w:rPr>
          <w:rFonts w:hint="eastAsia"/>
          <w:color w:val="000000"/>
          <w:sz w:val="24"/>
        </w:rPr>
        <w:t>2、以上文件应相互解释，除非另有书面约定，如果合同文件之间出现歧义或相互矛盾，或合同文件中出现明显错误时，按以上顺序进行解释。</w:t>
      </w:r>
    </w:p>
    <w:p>
      <w:pPr>
        <w:spacing w:line="360" w:lineRule="auto"/>
        <w:ind w:firstLine="480" w:firstLineChars="200"/>
        <w:rPr>
          <w:color w:val="000000"/>
          <w:sz w:val="24"/>
        </w:rPr>
      </w:pPr>
      <w:r>
        <w:rPr>
          <w:rFonts w:hint="eastAsia"/>
          <w:color w:val="000000"/>
          <w:sz w:val="24"/>
        </w:rPr>
        <w:t>3、本合同包括附件中的知识产权协议和保密协议，该等协议优先级高于其它任何合同条款。</w:t>
      </w:r>
    </w:p>
    <w:p>
      <w:pPr>
        <w:rPr>
          <w:b/>
          <w:color w:val="000000"/>
          <w:sz w:val="30"/>
          <w:szCs w:val="30"/>
        </w:rPr>
      </w:pPr>
      <w:r>
        <w:rPr>
          <w:rFonts w:hint="eastAsia"/>
          <w:b/>
          <w:color w:val="000000"/>
          <w:sz w:val="30"/>
          <w:szCs w:val="30"/>
        </w:rPr>
        <w:t>七、词语含义</w:t>
      </w:r>
    </w:p>
    <w:p>
      <w:pPr>
        <w:spacing w:line="360" w:lineRule="auto"/>
        <w:ind w:firstLine="480" w:firstLineChars="200"/>
        <w:rPr>
          <w:color w:val="000000"/>
          <w:sz w:val="24"/>
        </w:rPr>
      </w:pPr>
      <w:r>
        <w:rPr>
          <w:rFonts w:hint="eastAsia"/>
          <w:color w:val="000000"/>
          <w:sz w:val="24"/>
        </w:rPr>
        <w:t>本协议书中有关词语含义与本合同“通用条款”中分别赋予它们的定义相同。</w:t>
      </w:r>
    </w:p>
    <w:p>
      <w:pPr>
        <w:rPr>
          <w:b/>
          <w:color w:val="000000"/>
          <w:sz w:val="30"/>
          <w:szCs w:val="30"/>
        </w:rPr>
      </w:pPr>
      <w:r>
        <w:rPr>
          <w:rFonts w:hint="eastAsia"/>
          <w:b/>
          <w:color w:val="000000"/>
          <w:sz w:val="30"/>
          <w:szCs w:val="30"/>
        </w:rPr>
        <w:t>八、承包人承诺</w:t>
      </w:r>
    </w:p>
    <w:p>
      <w:pPr>
        <w:spacing w:line="360" w:lineRule="auto"/>
        <w:ind w:firstLine="480" w:firstLineChars="200"/>
        <w:rPr>
          <w:color w:val="000000"/>
          <w:sz w:val="24"/>
        </w:rPr>
      </w:pPr>
      <w:r>
        <w:rPr>
          <w:rFonts w:hint="eastAsia"/>
          <w:color w:val="000000"/>
          <w:sz w:val="24"/>
        </w:rPr>
        <w:t>承包人向发包人承诺按照本合同约定进行施工、竣工并在缺陷保修期内承担工程质量缺陷保修责任,并履行本合同书所约定的全部义务。承诺发包人可以根据工程的进度要求调整招标图纸所示的工作范围。</w:t>
      </w:r>
    </w:p>
    <w:p>
      <w:pPr>
        <w:rPr>
          <w:b/>
          <w:bCs/>
          <w:color w:val="000000"/>
          <w:sz w:val="30"/>
        </w:rPr>
      </w:pPr>
      <w:r>
        <w:rPr>
          <w:rFonts w:hint="eastAsia"/>
          <w:b/>
          <w:bCs/>
          <w:color w:val="000000"/>
          <w:sz w:val="30"/>
        </w:rPr>
        <w:t>九、发包人承诺</w:t>
      </w:r>
    </w:p>
    <w:p>
      <w:pPr>
        <w:spacing w:line="360" w:lineRule="auto"/>
        <w:ind w:firstLine="480" w:firstLineChars="200"/>
        <w:rPr>
          <w:color w:val="000000"/>
          <w:sz w:val="24"/>
        </w:rPr>
      </w:pPr>
      <w:r>
        <w:rPr>
          <w:rFonts w:hint="eastAsia"/>
          <w:color w:val="000000"/>
          <w:sz w:val="24"/>
        </w:rPr>
        <w:t>发包人向承包人承诺按照本合同约定的期限和方式支付合同价款及其它应当支付的款项,并履行本合同所约定的全部义务。</w:t>
      </w:r>
    </w:p>
    <w:p>
      <w:pPr>
        <w:rPr>
          <w:b/>
          <w:color w:val="000000"/>
          <w:sz w:val="30"/>
          <w:szCs w:val="30"/>
        </w:rPr>
      </w:pPr>
      <w:r>
        <w:rPr>
          <w:rFonts w:hint="eastAsia"/>
          <w:b/>
          <w:color w:val="000000"/>
          <w:sz w:val="30"/>
          <w:szCs w:val="30"/>
        </w:rPr>
        <w:t>十、合同生效：</w:t>
      </w:r>
    </w:p>
    <w:p>
      <w:pPr>
        <w:spacing w:line="360" w:lineRule="auto"/>
        <w:ind w:firstLine="480" w:firstLineChars="200"/>
        <w:rPr>
          <w:color w:val="000000"/>
          <w:sz w:val="24"/>
        </w:rPr>
      </w:pPr>
      <w:r>
        <w:rPr>
          <w:rFonts w:hint="eastAsia"/>
          <w:color w:val="000000"/>
          <w:sz w:val="24"/>
        </w:rPr>
        <w:t>本合同签约时间：</w:t>
      </w:r>
      <w:r>
        <w:rPr>
          <w:rFonts w:hint="eastAsia"/>
          <w:color w:val="000000"/>
          <w:sz w:val="24"/>
          <w:u w:val="single"/>
        </w:rPr>
        <w:t xml:space="preserve">                                              </w:t>
      </w:r>
      <w:r>
        <w:rPr>
          <w:rFonts w:hint="eastAsia"/>
          <w:color w:val="000000"/>
          <w:sz w:val="24"/>
        </w:rPr>
        <w:t xml:space="preserve"> </w:t>
      </w:r>
    </w:p>
    <w:p>
      <w:pPr>
        <w:spacing w:line="360" w:lineRule="auto"/>
        <w:ind w:firstLine="480" w:firstLineChars="200"/>
        <w:rPr>
          <w:color w:val="000000"/>
          <w:sz w:val="24"/>
        </w:rPr>
      </w:pPr>
      <w:r>
        <w:rPr>
          <w:rFonts w:hint="eastAsia"/>
          <w:color w:val="000000"/>
          <w:sz w:val="24"/>
        </w:rPr>
        <w:t>签约地点：</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 xml:space="preserve"> </w:t>
      </w:r>
    </w:p>
    <w:p>
      <w:pPr>
        <w:spacing w:line="480" w:lineRule="auto"/>
        <w:ind w:firstLine="480" w:firstLineChars="200"/>
        <w:rPr>
          <w:color w:val="000000"/>
          <w:sz w:val="24"/>
        </w:rPr>
      </w:pPr>
      <w:r>
        <w:rPr>
          <w:rFonts w:hint="eastAsia"/>
          <w:color w:val="000000"/>
          <w:sz w:val="24"/>
        </w:rPr>
        <w:t>本合同自双方盖章之日起生效；如发包人、承包人在本合同签字或盖章前已开始本项目施工等行为的，则双方所做出的施工等行为受本合同约束并溯及既往。</w:t>
      </w:r>
    </w:p>
    <w:p>
      <w:pPr>
        <w:adjustRightInd w:val="0"/>
        <w:snapToGrid w:val="0"/>
        <w:spacing w:line="480" w:lineRule="auto"/>
        <w:ind w:left="-6" w:leftChars="-3"/>
        <w:jc w:val="left"/>
        <w:rPr>
          <w:rFonts w:ascii="宋体" w:hAnsi="宋体"/>
          <w:b/>
          <w:szCs w:val="21"/>
        </w:rPr>
      </w:pPr>
    </w:p>
    <w:p>
      <w:pPr>
        <w:adjustRightInd w:val="0"/>
        <w:snapToGrid w:val="0"/>
        <w:spacing w:line="480" w:lineRule="auto"/>
        <w:ind w:left="-6" w:leftChars="-3"/>
        <w:jc w:val="left"/>
        <w:rPr>
          <w:rFonts w:ascii="宋体" w:hAnsi="宋体"/>
          <w:b/>
          <w:szCs w:val="21"/>
        </w:rPr>
      </w:pPr>
      <w:r>
        <w:rPr>
          <w:rFonts w:hint="eastAsia" w:ascii="宋体" w:hAnsi="宋体"/>
          <w:b/>
          <w:szCs w:val="21"/>
        </w:rPr>
        <w:t>发包人（盖章）：                             承包人（盖章）：</w:t>
      </w:r>
    </w:p>
    <w:p>
      <w:pPr>
        <w:adjustRightInd w:val="0"/>
        <w:snapToGrid w:val="0"/>
        <w:spacing w:line="480" w:lineRule="auto"/>
        <w:ind w:left="-6" w:leftChars="-3"/>
        <w:jc w:val="left"/>
        <w:rPr>
          <w:rFonts w:ascii="宋体" w:hAnsi="宋体"/>
          <w:b/>
          <w:szCs w:val="21"/>
        </w:rPr>
      </w:pPr>
      <w:r>
        <w:rPr>
          <w:rFonts w:hint="eastAsia" w:ascii="宋体" w:hAnsi="宋体"/>
          <w:b/>
          <w:szCs w:val="21"/>
        </w:rPr>
        <w:t xml:space="preserve">广州华星光电半导体显示技术有限公司     </w:t>
      </w:r>
      <w:r>
        <w:rPr>
          <w:rFonts w:ascii="宋体" w:hAnsi="宋体"/>
          <w:b/>
          <w:szCs w:val="21"/>
        </w:rPr>
        <w:t xml:space="preserve"> </w:t>
      </w:r>
      <w:r>
        <w:rPr>
          <w:rFonts w:hint="eastAsia" w:ascii="宋体" w:hAnsi="宋体"/>
          <w:b/>
          <w:szCs w:val="21"/>
        </w:rPr>
        <w:t xml:space="preserve"> </w:t>
      </w:r>
    </w:p>
    <w:p>
      <w:pPr>
        <w:adjustRightInd w:val="0"/>
        <w:snapToGrid w:val="0"/>
        <w:spacing w:line="480" w:lineRule="auto"/>
        <w:ind w:hanging="1"/>
        <w:jc w:val="left"/>
        <w:rPr>
          <w:rFonts w:ascii="宋体" w:hAnsi="宋体"/>
          <w:b/>
          <w:szCs w:val="21"/>
        </w:rPr>
      </w:pPr>
      <w:r>
        <w:rPr>
          <w:rFonts w:hint="eastAsia" w:ascii="宋体" w:hAnsi="宋体"/>
          <w:b/>
          <w:szCs w:val="21"/>
        </w:rPr>
        <w:t>法定代表人或委托代理人：                     法定代表人或委托代理人：</w:t>
      </w:r>
    </w:p>
    <w:p>
      <w:pPr>
        <w:spacing w:line="360" w:lineRule="auto"/>
        <w:rPr>
          <w:rFonts w:ascii="宋体" w:hAnsi="宋体"/>
          <w:b/>
          <w:szCs w:val="21"/>
        </w:rPr>
      </w:pPr>
      <w:r>
        <w:rPr>
          <w:rFonts w:hint="eastAsia" w:ascii="宋体" w:hAnsi="宋体"/>
          <w:b/>
          <w:szCs w:val="21"/>
        </w:rPr>
        <w:t>签约日期:</w:t>
      </w:r>
      <w:r>
        <w:rPr>
          <w:rFonts w:hint="eastAsia" w:ascii="宋体" w:hAnsi="宋体" w:cs="宋体"/>
          <w:color w:val="000000"/>
          <w:sz w:val="22"/>
          <w:szCs w:val="22"/>
          <w:lang w:val="en-US" w:eastAsia="zh-CN"/>
        </w:rPr>
        <w:t>2023</w:t>
      </w:r>
      <w:r>
        <w:rPr>
          <w:rFonts w:hint="eastAsia" w:ascii="宋体" w:hAnsi="宋体" w:cs="宋体"/>
          <w:color w:val="000000"/>
          <w:sz w:val="22"/>
          <w:szCs w:val="22"/>
        </w:rPr>
        <w:t>年</w:t>
      </w:r>
      <w:r>
        <w:rPr>
          <w:rFonts w:hint="eastAsia" w:ascii="宋体" w:hAnsi="宋体" w:cs="宋体"/>
          <w:color w:val="000000"/>
          <w:sz w:val="22"/>
          <w:szCs w:val="22"/>
          <w:lang w:val="en-US" w:eastAsia="zh-CN"/>
        </w:rPr>
        <w:t>8</w:t>
      </w:r>
      <w:r>
        <w:rPr>
          <w:rFonts w:hint="eastAsia" w:ascii="宋体" w:hAnsi="宋体" w:cs="宋体"/>
          <w:color w:val="000000"/>
          <w:sz w:val="22"/>
          <w:szCs w:val="22"/>
        </w:rPr>
        <w:t>月</w:t>
      </w:r>
      <w:r>
        <w:rPr>
          <w:rFonts w:ascii="宋体" w:hAnsi="宋体" w:cs="宋体"/>
          <w:color w:val="000000"/>
          <w:sz w:val="22"/>
          <w:szCs w:val="22"/>
        </w:rPr>
        <w:t>XX</w:t>
      </w:r>
      <w:r>
        <w:rPr>
          <w:rFonts w:hint="eastAsia" w:ascii="宋体" w:hAnsi="宋体" w:cs="宋体"/>
          <w:color w:val="000000"/>
          <w:sz w:val="22"/>
          <w:szCs w:val="22"/>
        </w:rPr>
        <w:t xml:space="preserve">日 </w:t>
      </w:r>
      <w:r>
        <w:rPr>
          <w:rFonts w:hint="eastAsia" w:ascii="宋体" w:hAnsi="宋体"/>
          <w:b/>
          <w:szCs w:val="21"/>
        </w:rPr>
        <w:t xml:space="preserve">                 签约日期:</w:t>
      </w:r>
      <w:r>
        <w:rPr>
          <w:rFonts w:hint="eastAsia" w:ascii="宋体" w:hAnsi="宋体" w:cs="宋体"/>
          <w:color w:val="000000"/>
          <w:sz w:val="22"/>
          <w:szCs w:val="22"/>
          <w:lang w:val="en-US" w:eastAsia="zh-CN"/>
        </w:rPr>
        <w:t>2023</w:t>
      </w:r>
      <w:r>
        <w:rPr>
          <w:rFonts w:hint="eastAsia" w:ascii="宋体" w:hAnsi="宋体" w:cs="宋体"/>
          <w:color w:val="000000"/>
          <w:sz w:val="22"/>
          <w:szCs w:val="22"/>
        </w:rPr>
        <w:t>年</w:t>
      </w:r>
      <w:r>
        <w:rPr>
          <w:rFonts w:hint="eastAsia" w:ascii="宋体" w:hAnsi="宋体" w:cs="宋体"/>
          <w:color w:val="000000"/>
          <w:sz w:val="22"/>
          <w:szCs w:val="22"/>
          <w:lang w:val="en-US" w:eastAsia="zh-CN"/>
        </w:rPr>
        <w:t>8</w:t>
      </w:r>
      <w:r>
        <w:rPr>
          <w:rFonts w:hint="eastAsia" w:ascii="宋体" w:hAnsi="宋体" w:cs="宋体"/>
          <w:color w:val="000000"/>
          <w:sz w:val="22"/>
          <w:szCs w:val="22"/>
        </w:rPr>
        <w:t>月</w:t>
      </w:r>
      <w:r>
        <w:rPr>
          <w:rFonts w:ascii="宋体" w:hAnsi="宋体" w:cs="宋体"/>
          <w:color w:val="000000"/>
          <w:sz w:val="22"/>
          <w:szCs w:val="22"/>
        </w:rPr>
        <w:t>XX</w:t>
      </w:r>
      <w:r>
        <w:rPr>
          <w:rFonts w:hint="eastAsia" w:ascii="宋体" w:hAnsi="宋体" w:cs="宋体"/>
          <w:color w:val="000000"/>
          <w:sz w:val="22"/>
          <w:szCs w:val="22"/>
        </w:rPr>
        <w:t>日</w:t>
      </w:r>
    </w:p>
    <w:p>
      <w:pPr>
        <w:pStyle w:val="2"/>
        <w:numPr>
          <w:ilvl w:val="0"/>
          <w:numId w:val="0"/>
        </w:numPr>
        <w:jc w:val="center"/>
        <w:rPr>
          <w:b w:val="0"/>
          <w:color w:val="000000"/>
          <w:sz w:val="36"/>
          <w:szCs w:val="36"/>
        </w:rPr>
      </w:pPr>
      <w:r>
        <w:rPr>
          <w:color w:val="000000"/>
          <w:sz w:val="24"/>
        </w:rPr>
        <w:br w:type="page"/>
      </w:r>
      <w:r>
        <w:rPr>
          <w:rFonts w:hint="eastAsia" w:ascii="宋体" w:hAnsi="宋体"/>
          <w:color w:val="000000"/>
          <w:sz w:val="36"/>
          <w:szCs w:val="36"/>
        </w:rPr>
        <w:t>第二部分 中标通知书</w:t>
      </w:r>
    </w:p>
    <w:p>
      <w:pPr>
        <w:spacing w:line="360" w:lineRule="auto"/>
        <w:ind w:firstLine="480" w:firstLineChars="200"/>
        <w:rPr>
          <w:color w:val="000000"/>
          <w:sz w:val="24"/>
        </w:rPr>
      </w:pPr>
    </w:p>
    <w:p>
      <w:pPr>
        <w:spacing w:line="360" w:lineRule="auto"/>
        <w:ind w:firstLine="480" w:firstLineChars="200"/>
        <w:rPr>
          <w:color w:val="000000"/>
          <w:sz w:val="24"/>
        </w:rPr>
      </w:pPr>
    </w:p>
    <w:p>
      <w:pPr>
        <w:spacing w:line="360" w:lineRule="auto"/>
        <w:ind w:firstLine="480" w:firstLineChars="200"/>
        <w:rPr>
          <w:color w:val="000000"/>
          <w:sz w:val="24"/>
        </w:rPr>
      </w:pPr>
    </w:p>
    <w:p>
      <w:pPr>
        <w:spacing w:line="360" w:lineRule="auto"/>
        <w:ind w:firstLine="480" w:firstLineChars="200"/>
        <w:rPr>
          <w:color w:val="000000"/>
          <w:sz w:val="24"/>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pStyle w:val="2"/>
        <w:numPr>
          <w:ilvl w:val="0"/>
          <w:numId w:val="0"/>
        </w:numPr>
        <w:jc w:val="center"/>
        <w:rPr>
          <w:rFonts w:ascii="Times New Roman" w:hAnsi="Times New Roman"/>
          <w:color w:val="000000"/>
          <w:sz w:val="36"/>
          <w:szCs w:val="36"/>
        </w:rPr>
      </w:pPr>
      <w:r>
        <w:rPr>
          <w:rFonts w:ascii="Times New Roman" w:hAnsi="Times New Roman"/>
          <w:color w:val="000000"/>
          <w:sz w:val="36"/>
          <w:szCs w:val="36"/>
        </w:rPr>
        <w:br w:type="page"/>
      </w:r>
      <w:r>
        <w:rPr>
          <w:rFonts w:hint="eastAsia" w:ascii="Times New Roman" w:hAnsi="Times New Roman"/>
          <w:color w:val="000000"/>
          <w:sz w:val="36"/>
          <w:szCs w:val="36"/>
        </w:rPr>
        <w:t>第三部分 补遗、答疑和澄清文件</w:t>
      </w:r>
    </w:p>
    <w:p>
      <w:pPr>
        <w:spacing w:line="360" w:lineRule="auto"/>
        <w:ind w:firstLine="480" w:firstLineChars="200"/>
        <w:rPr>
          <w:color w:val="000000"/>
          <w:sz w:val="24"/>
          <w:szCs w:val="36"/>
        </w:rPr>
      </w:pPr>
      <w:r>
        <w:rPr>
          <w:rFonts w:hint="eastAsia"/>
          <w:color w:val="000000"/>
          <w:sz w:val="24"/>
          <w:szCs w:val="36"/>
        </w:rPr>
        <w:t>1、</w:t>
      </w:r>
      <w:r>
        <w:rPr>
          <w:color w:val="000000"/>
          <w:sz w:val="24"/>
          <w:szCs w:val="36"/>
        </w:rPr>
        <w:t>XXXX</w:t>
      </w:r>
      <w:r>
        <w:rPr>
          <w:rFonts w:hint="eastAsia"/>
          <w:color w:val="000000"/>
          <w:sz w:val="24"/>
          <w:szCs w:val="36"/>
        </w:rPr>
        <w:t>年</w:t>
      </w:r>
      <w:r>
        <w:rPr>
          <w:color w:val="000000"/>
          <w:sz w:val="24"/>
          <w:szCs w:val="36"/>
        </w:rPr>
        <w:t>XX</w:t>
      </w:r>
      <w:r>
        <w:rPr>
          <w:rFonts w:hint="eastAsia"/>
          <w:color w:val="000000"/>
          <w:sz w:val="24"/>
          <w:szCs w:val="36"/>
        </w:rPr>
        <w:t>月</w:t>
      </w:r>
      <w:r>
        <w:rPr>
          <w:color w:val="000000"/>
          <w:sz w:val="24"/>
          <w:szCs w:val="36"/>
        </w:rPr>
        <w:t>XX</w:t>
      </w:r>
      <w:r>
        <w:rPr>
          <w:rFonts w:hint="eastAsia"/>
          <w:color w:val="000000"/>
          <w:sz w:val="24"/>
          <w:szCs w:val="36"/>
        </w:rPr>
        <w:t>日答疑澄清文件</w:t>
      </w:r>
    </w:p>
    <w:p>
      <w:pPr>
        <w:spacing w:line="360" w:lineRule="auto"/>
        <w:ind w:firstLine="480" w:firstLineChars="200"/>
        <w:rPr>
          <w:color w:val="000000"/>
          <w:sz w:val="24"/>
          <w:szCs w:val="36"/>
        </w:rPr>
      </w:pPr>
      <w:r>
        <w:rPr>
          <w:rFonts w:hint="eastAsia"/>
          <w:color w:val="000000"/>
          <w:sz w:val="24"/>
          <w:szCs w:val="36"/>
        </w:rPr>
        <w:t>2、</w:t>
      </w:r>
      <w:r>
        <w:rPr>
          <w:color w:val="000000"/>
          <w:sz w:val="24"/>
          <w:szCs w:val="36"/>
        </w:rPr>
        <w:t>XXXX</w:t>
      </w:r>
      <w:r>
        <w:rPr>
          <w:rFonts w:hint="eastAsia"/>
          <w:color w:val="000000"/>
          <w:sz w:val="24"/>
          <w:szCs w:val="36"/>
        </w:rPr>
        <w:t>年</w:t>
      </w:r>
      <w:r>
        <w:rPr>
          <w:color w:val="000000"/>
          <w:sz w:val="24"/>
          <w:szCs w:val="36"/>
        </w:rPr>
        <w:t>XX</w:t>
      </w:r>
      <w:r>
        <w:rPr>
          <w:rFonts w:hint="eastAsia"/>
          <w:color w:val="000000"/>
          <w:sz w:val="24"/>
          <w:szCs w:val="36"/>
        </w:rPr>
        <w:t>月</w:t>
      </w:r>
      <w:r>
        <w:rPr>
          <w:color w:val="000000"/>
          <w:sz w:val="24"/>
          <w:szCs w:val="36"/>
        </w:rPr>
        <w:t>XX</w:t>
      </w:r>
      <w:r>
        <w:rPr>
          <w:rFonts w:hint="eastAsia"/>
          <w:color w:val="000000"/>
          <w:sz w:val="24"/>
          <w:szCs w:val="36"/>
        </w:rPr>
        <w:t>日澄清文件</w:t>
      </w: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ind w:firstLine="720" w:firstLineChars="200"/>
        <w:rPr>
          <w:color w:val="000000"/>
          <w:sz w:val="36"/>
          <w:szCs w:val="36"/>
        </w:rPr>
      </w:pPr>
    </w:p>
    <w:p>
      <w:pPr>
        <w:spacing w:line="360" w:lineRule="auto"/>
        <w:rPr>
          <w:color w:val="000000"/>
          <w:sz w:val="36"/>
          <w:szCs w:val="36"/>
        </w:rPr>
      </w:pPr>
    </w:p>
    <w:bookmarkEnd w:id="0"/>
    <w:bookmarkEnd w:id="1"/>
    <w:p>
      <w:pPr>
        <w:pStyle w:val="2"/>
        <w:numPr>
          <w:ilvl w:val="0"/>
          <w:numId w:val="0"/>
        </w:numPr>
        <w:jc w:val="center"/>
        <w:rPr>
          <w:rFonts w:ascii="宋体" w:hAnsi="宋体"/>
          <w:color w:val="000000"/>
          <w:sz w:val="36"/>
          <w:szCs w:val="36"/>
        </w:rPr>
      </w:pPr>
      <w:bookmarkStart w:id="5" w:name="Bookmark26"/>
      <w:bookmarkStart w:id="6" w:name="_Toc84303939"/>
      <w:bookmarkStart w:id="7" w:name="_Toc47425612"/>
      <w:bookmarkStart w:id="8" w:name="_Toc35656560"/>
      <w:r>
        <w:rPr>
          <w:rFonts w:hint="eastAsia" w:ascii="宋体" w:hAnsi="宋体"/>
          <w:color w:val="000000"/>
          <w:sz w:val="36"/>
          <w:szCs w:val="36"/>
        </w:rPr>
        <w:t>第四部分 通用条款</w:t>
      </w:r>
    </w:p>
    <w:bookmarkEnd w:id="5"/>
    <w:p>
      <w:pPr>
        <w:pStyle w:val="2"/>
        <w:keepLines w:val="0"/>
        <w:numPr>
          <w:ilvl w:val="0"/>
          <w:numId w:val="0"/>
        </w:numPr>
        <w:tabs>
          <w:tab w:val="left" w:pos="1620"/>
          <w:tab w:val="left" w:pos="2340"/>
        </w:tabs>
        <w:ind w:left="945" w:leftChars="450"/>
        <w:rPr>
          <w:rFonts w:hAnsi="宋体"/>
          <w:color w:val="000000"/>
          <w:sz w:val="30"/>
        </w:rPr>
      </w:pPr>
      <w:bookmarkStart w:id="9" w:name="_Toc34908887"/>
      <w:bookmarkStart w:id="10" w:name="_Toc35656955"/>
      <w:bookmarkStart w:id="11" w:name="_Toc35656455"/>
      <w:r>
        <w:rPr>
          <w:rFonts w:hint="eastAsia" w:hAnsi="宋体"/>
          <w:color w:val="000000"/>
          <w:sz w:val="30"/>
        </w:rPr>
        <w:t>一、词语定义和解释</w:t>
      </w:r>
      <w:bookmarkEnd w:id="9"/>
      <w:bookmarkEnd w:id="10"/>
      <w:bookmarkEnd w:id="11"/>
    </w:p>
    <w:p>
      <w:pPr>
        <w:pStyle w:val="2"/>
        <w:keepLines w:val="0"/>
        <w:tabs>
          <w:tab w:val="left" w:pos="1620"/>
          <w:tab w:val="left" w:pos="2340"/>
        </w:tabs>
        <w:ind w:left="945" w:leftChars="450"/>
        <w:rPr>
          <w:rFonts w:hAnsi="宋体"/>
          <w:color w:val="000000"/>
        </w:rPr>
      </w:pPr>
      <w:bookmarkStart w:id="12" w:name="_Toc34908888"/>
      <w:bookmarkStart w:id="13" w:name="_Toc35656456"/>
      <w:bookmarkStart w:id="14" w:name="_Toc35656956"/>
      <w:r>
        <w:rPr>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71500" cy="269240"/>
                <wp:effectExtent l="0" t="635" r="1270" b="0"/>
                <wp:wrapNone/>
                <wp:docPr id="239"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571500" cy="269240"/>
                        </a:xfrm>
                        <a:prstGeom prst="rect">
                          <a:avLst/>
                        </a:prstGeom>
                        <a:solidFill>
                          <a:srgbClr val="FFFFFF"/>
                        </a:solidFill>
                        <a:ln>
                          <a:noFill/>
                        </a:ln>
                      </wps:spPr>
                      <wps:txbx>
                        <w:txbxContent>
                          <w:p>
                            <w:pPr>
                              <w:rPr>
                                <w:rFonts w:ascii="楷体_GB2312" w:eastAsia="楷体_GB2312"/>
                                <w:szCs w:val="21"/>
                              </w:rPr>
                            </w:pPr>
                            <w:r>
                              <w:rPr>
                                <w:rFonts w:hint="eastAsia" w:ascii="楷体_GB2312" w:eastAsia="楷体_GB2312"/>
                                <w:szCs w:val="21"/>
                              </w:rPr>
                              <w:t>词语定义</w:t>
                            </w:r>
                          </w:p>
                        </w:txbxContent>
                      </wps:txbx>
                      <wps:bodyPr rot="0" vert="horz" wrap="square" lIns="0" tIns="72000" rIns="0" bIns="0" anchor="t" anchorCtr="0" upright="1">
                        <a:noAutofit/>
                      </wps:bodyPr>
                    </wps:wsp>
                  </a:graphicData>
                </a:graphic>
              </wp:anchor>
            </w:drawing>
          </mc:Choice>
          <mc:Fallback>
            <w:pict>
              <v:shape id="文本框 238" o:spid="_x0000_s1026" o:spt="202" type="#_x0000_t202" style="position:absolute;left:0pt;margin-left:0pt;margin-top:30.5pt;height:21.2pt;width:45pt;z-index:251659264;mso-width-relative:page;mso-height-relative:page;" fillcolor="#FFFFFF" filled="t" stroked="f" coordsize="21600,21600" o:gfxdata="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JWMPrWAAAABgEAAA8AAAAAAAAAAQAgAAAAIgAAAGRycy9kb3ducmV2LnhtbFBLAQIUABQAAAAI&#10;AIdO4kAOYaZBKAIAADUEAAAOAAAAAAAAAAEAIAAAACUBAABkcnMvZTJvRG9jLnhtbFBLBQYAAAAA&#10;BgAGAFkBAAC/BQAAAAA=&#10;">
                <v:fill on="t" focussize="0,0"/>
                <v:stroke on="f"/>
                <v:imagedata o:title=""/>
                <o:lock v:ext="edit" aspectratio="f"/>
                <v:textbox inset="0mm,2mm,0mm,0mm">
                  <w:txbxContent>
                    <w:p>
                      <w:pPr>
                        <w:rPr>
                          <w:rFonts w:ascii="楷体_GB2312" w:eastAsia="楷体_GB2312"/>
                          <w:szCs w:val="21"/>
                        </w:rPr>
                      </w:pPr>
                      <w:r>
                        <w:rPr>
                          <w:rFonts w:hint="eastAsia" w:ascii="楷体_GB2312" w:eastAsia="楷体_GB2312"/>
                          <w:szCs w:val="21"/>
                        </w:rPr>
                        <w:t>词语定义</w:t>
                      </w:r>
                    </w:p>
                  </w:txbxContent>
                </v:textbox>
              </v:shape>
            </w:pict>
          </mc:Fallback>
        </mc:AlternateContent>
      </w:r>
      <w:r>
        <w:rPr>
          <w:rFonts w:hint="eastAsia" w:hAnsi="宋体"/>
          <w:color w:val="000000"/>
          <w:sz w:val="28"/>
          <w:szCs w:val="28"/>
        </w:rPr>
        <w:t>词语定义</w:t>
      </w:r>
      <w:bookmarkEnd w:id="12"/>
      <w:bookmarkEnd w:id="13"/>
      <w:bookmarkEnd w:id="14"/>
    </w:p>
    <w:p>
      <w:pPr>
        <w:pStyle w:val="3"/>
        <w:tabs>
          <w:tab w:val="left" w:pos="1620"/>
          <w:tab w:val="left" w:pos="2340"/>
        </w:tabs>
        <w:spacing w:after="0"/>
        <w:ind w:left="1521"/>
        <w:rPr>
          <w:rFonts w:ascii="宋体" w:hAnsi="宋体"/>
          <w:b w:val="0"/>
          <w:color w:val="000000"/>
          <w:sz w:val="21"/>
        </w:rPr>
      </w:pPr>
      <w:bookmarkStart w:id="15" w:name="_Toc34908889"/>
      <w:r>
        <w:rPr>
          <w:rFonts w:hint="eastAsia" w:ascii="宋体" w:hAnsi="宋体"/>
          <w:b w:val="0"/>
          <w:color w:val="000000"/>
          <w:sz w:val="21"/>
        </w:rPr>
        <w:t>下列词语除专用条款另有约定外，应具有本条所赋予的定义：</w:t>
      </w:r>
      <w:bookmarkEnd w:id="15"/>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16" w:name="_Toc34908890"/>
      <w:r>
        <w:rPr>
          <w:rFonts w:hint="eastAsia" w:ascii="宋体" w:hAnsi="宋体"/>
          <w:b w:val="0"/>
          <w:color w:val="000000"/>
          <w:sz w:val="21"/>
        </w:rPr>
        <w:t>通用条款：指根据法律、法规和规章的规定及建设工程施工的需要订立，通用于建设工程施工的条款。</w:t>
      </w:r>
      <w:bookmarkEnd w:id="16"/>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17" w:name="_Toc34908891"/>
      <w:r>
        <w:rPr>
          <w:rFonts w:hint="eastAsia" w:ascii="宋体" w:hAnsi="宋体"/>
          <w:b w:val="0"/>
          <w:color w:val="000000"/>
          <w:sz w:val="21"/>
        </w:rPr>
        <w:t>专用条款：指发包人与承包人根据法律、法规和规章的规定，结合具体工程实际，经协商达成一致意见的条款，是对通用条款的具体化、补充或修订。</w:t>
      </w:r>
      <w:bookmarkEnd w:id="17"/>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18" w:name="_Toc34908892"/>
      <w:r>
        <w:rPr>
          <w:rFonts w:hint="eastAsia" w:ascii="宋体" w:hAnsi="宋体"/>
          <w:b w:val="0"/>
          <w:color w:val="000000"/>
          <w:sz w:val="21"/>
        </w:rPr>
        <w:t>发包人：指本合同指明的执行本工程投资计划的当事人,或其他指定的负责管理本工程的当事人，以及取得该当事人资格的合法继承人，但不指其任何受让人(除经承包人同意外)。</w:t>
      </w:r>
      <w:bookmarkEnd w:id="18"/>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19" w:name="_Toc34908893"/>
      <w:r>
        <w:rPr>
          <w:rFonts w:hint="eastAsia" w:ascii="宋体" w:hAnsi="宋体"/>
          <w:b w:val="0"/>
          <w:color w:val="000000"/>
          <w:sz w:val="21"/>
        </w:rPr>
        <w:t>承包人：指本合同中指明承建本工程的、具有相应工程施工资质的当事人,以及取得该当事人资格的合法继承人，但不指其任何受让人(除经发包人同意外)</w:t>
      </w:r>
      <w:bookmarkEnd w:id="19"/>
      <w:r>
        <w:rPr>
          <w:rFonts w:hint="eastAsia" w:ascii="宋体" w:hAnsi="宋体"/>
          <w:b w:val="0"/>
          <w:color w:val="000000"/>
          <w:sz w:val="21"/>
        </w:rPr>
        <w:t>。</w:t>
      </w:r>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r>
        <w:rPr>
          <w:rFonts w:hint="eastAsia" w:ascii="宋体" w:hAnsi="宋体"/>
          <w:b w:val="0"/>
          <w:color w:val="000000"/>
          <w:sz w:val="21"/>
        </w:rPr>
        <w:t>专业工程承包人：指与发包人签订专业工程施工合同并承建该合同指定工程的、具有相应工程施工资质的当事人，以及取得该当事人资格的合法继承人，但不指其任何受让人(除经发包人同意外)。</w:t>
      </w:r>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20" w:name="_Toc34908894"/>
      <w:r>
        <w:rPr>
          <w:rFonts w:hint="eastAsia" w:ascii="宋体" w:hAnsi="宋体"/>
          <w:b w:val="0"/>
          <w:color w:val="000000"/>
          <w:sz w:val="21"/>
        </w:rPr>
        <w:t>分包人：指经发包人认可并与承包人签订了分包合同承建本工程部分工程的、具有相应工程施工资质的当事人，以及取得该当事人资格的合法继承人。</w:t>
      </w:r>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r>
        <w:rPr>
          <w:rFonts w:hint="eastAsia" w:ascii="宋体" w:hAnsi="宋体"/>
          <w:b w:val="0"/>
          <w:color w:val="000000"/>
          <w:sz w:val="21"/>
        </w:rPr>
        <w:t>发包人代表：指由发包人任命的行使本合同约定的权力和义务的代表。</w:t>
      </w:r>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r>
        <w:rPr>
          <w:rFonts w:hint="eastAsia" w:ascii="宋体" w:hAnsi="宋体"/>
          <w:b w:val="0"/>
          <w:color w:val="000000"/>
          <w:sz w:val="21"/>
        </w:rPr>
        <w:t>工程师：指发包人在履行本合同中委派的工程管理人员，在本合同专用条款中指定，其具体职权由发包人承包人在本合同相应条款中明确。实施监理的工程，工程师由发包人委托的负责本工程监理并取得相应工程监理资质的监理单位任命的总监理工程师担任；不实施监理的工程，工程师由发包人委托的专业人士担任。</w:t>
      </w:r>
      <w:bookmarkEnd w:id="20"/>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21" w:name="_Toc34908895"/>
      <w:r>
        <w:rPr>
          <w:rFonts w:hint="eastAsia" w:ascii="宋体" w:hAnsi="宋体"/>
          <w:b w:val="0"/>
          <w:color w:val="000000"/>
          <w:sz w:val="21"/>
        </w:rPr>
        <w:t>项目经理：指承包人在履行本合同中委派的并取得相应资格的工程管理人员，在本合同专用条款中指定，代表承包人履行合同约定的权力和义务。</w:t>
      </w:r>
      <w:bookmarkEnd w:id="21"/>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22" w:name="_Toc34908897"/>
      <w:r>
        <w:rPr>
          <w:rFonts w:hint="eastAsia" w:ascii="宋体" w:hAnsi="宋体"/>
          <w:b w:val="0"/>
          <w:color w:val="000000"/>
          <w:sz w:val="21"/>
        </w:rPr>
        <w:t>设计人：指发包人委托的负责本工程设计并取得相应工程设计资质的当事人，以及取得该当事人资格的合法继承人。</w:t>
      </w:r>
      <w:bookmarkEnd w:id="22"/>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23" w:name="_Toc34908898"/>
      <w:r>
        <w:rPr>
          <w:rFonts w:hint="eastAsia" w:ascii="宋体" w:hAnsi="宋体"/>
          <w:b w:val="0"/>
          <w:color w:val="000000"/>
          <w:sz w:val="21"/>
        </w:rPr>
        <w:t>永久工程：指根据本合同约定应实施的永久性工程，包括1.15款所指的设备。</w:t>
      </w:r>
      <w:bookmarkEnd w:id="23"/>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24" w:name="_Toc34908899"/>
      <w:r>
        <w:rPr>
          <w:rFonts w:hint="eastAsia" w:ascii="宋体" w:hAnsi="宋体"/>
          <w:b w:val="0"/>
          <w:color w:val="000000"/>
          <w:sz w:val="21"/>
        </w:rPr>
        <w:t>临时工程：指实施和完成本工程及其缺陷的修复过程中所需的各种临时性工程，但不包括1.17款所指的承包人装备。</w:t>
      </w:r>
      <w:bookmarkEnd w:id="24"/>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25" w:name="_Toc34908900"/>
      <w:r>
        <w:rPr>
          <w:rFonts w:hint="eastAsia" w:ascii="宋体" w:hAnsi="宋体"/>
          <w:b w:val="0"/>
          <w:color w:val="000000"/>
          <w:sz w:val="21"/>
        </w:rPr>
        <w:t>工程：指永久工程和临时工程，或视具体情况指两者中的任何一个。</w:t>
      </w:r>
      <w:bookmarkEnd w:id="25"/>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26" w:name="_Toc34908901"/>
      <w:r>
        <w:rPr>
          <w:rFonts w:hint="eastAsia" w:ascii="宋体" w:hAnsi="宋体"/>
          <w:b w:val="0"/>
          <w:color w:val="000000"/>
          <w:sz w:val="21"/>
        </w:rPr>
        <w:t>单项工程：指本工程范围内、合同约定或能单独发挥效益的某一独立工程。</w:t>
      </w:r>
      <w:bookmarkEnd w:id="26"/>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27" w:name="_Toc34908902"/>
      <w:r>
        <w:rPr>
          <w:rFonts w:hint="eastAsia" w:ascii="宋体" w:hAnsi="宋体"/>
          <w:b w:val="0"/>
          <w:color w:val="000000"/>
          <w:sz w:val="21"/>
        </w:rPr>
        <w:t>设备：指预定构成或构成永久工程一部分的机械、仪器、装置。</w:t>
      </w:r>
      <w:bookmarkEnd w:id="27"/>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r>
        <w:rPr>
          <w:rFonts w:ascii="宋体" w:hAnsi="宋体"/>
          <w:b w:val="0"/>
          <w:color w:val="000000"/>
          <w:sz w:val="21"/>
        </w:rPr>
        <w:t>余泥渣土运输车辆（泥头车）：指承担本工程施工现场土石方、部分建筑材料及建筑垃圾运输任务且相关证件齐全的合格车辆。</w:t>
      </w:r>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28" w:name="_Toc34908903"/>
      <w:r>
        <w:rPr>
          <w:rFonts w:hint="eastAsia" w:ascii="宋体" w:hAnsi="宋体"/>
          <w:b w:val="0"/>
          <w:color w:val="000000"/>
          <w:sz w:val="21"/>
        </w:rPr>
        <w:t>承包人装备：指属承包人所有(或租赁)的，为实施和完成本工程及其缺陷修复所需的机械、器具或物品。</w:t>
      </w:r>
      <w:bookmarkEnd w:id="28"/>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29" w:name="_Toc34908904"/>
      <w:r>
        <w:rPr>
          <w:rFonts w:hint="eastAsia" w:ascii="宋体" w:hAnsi="宋体"/>
          <w:b w:val="0"/>
          <w:color w:val="000000"/>
          <w:sz w:val="21"/>
        </w:rPr>
        <w:t>发包人提供装备：指根据本合同约定由发包人提供的为实施和完成本工程及其缺陷修复所需的机械、器具或物品。</w:t>
      </w:r>
      <w:bookmarkEnd w:id="29"/>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30" w:name="_Toc34908905"/>
      <w:r>
        <w:rPr>
          <w:rFonts w:hint="eastAsia" w:ascii="宋体" w:hAnsi="宋体"/>
          <w:b w:val="0"/>
          <w:color w:val="000000"/>
          <w:sz w:val="21"/>
        </w:rPr>
        <w:t>现场：指由发包人提供的用于本工程施工的场地以及发包人在合同中具体指定构成现场一部分的其他场所。</w:t>
      </w:r>
      <w:bookmarkEnd w:id="30"/>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31" w:name="_Toc34908906"/>
      <w:r>
        <w:rPr>
          <w:rFonts w:hint="eastAsia" w:ascii="宋体" w:hAnsi="宋体"/>
          <w:b w:val="0"/>
          <w:color w:val="000000"/>
          <w:sz w:val="21"/>
        </w:rPr>
        <w:t>永久占地：指为实施本工程而需要的一切永久占用的土地。</w:t>
      </w:r>
      <w:bookmarkEnd w:id="31"/>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32" w:name="_Toc34908907"/>
      <w:r>
        <w:rPr>
          <w:rFonts w:hint="eastAsia" w:ascii="宋体" w:hAnsi="宋体"/>
          <w:b w:val="0"/>
          <w:color w:val="000000"/>
          <w:sz w:val="21"/>
        </w:rPr>
        <w:t>临时占地：指为实施本工程而需要的一切临时占用土地，包括施工所用的临时支线、便道、便桥和现场的临时出入通道，以及生产、生活等临时设施用地等。</w:t>
      </w:r>
      <w:bookmarkEnd w:id="32"/>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33" w:name="_Toc34908908"/>
      <w:r>
        <w:rPr>
          <w:rFonts w:hint="eastAsia" w:ascii="宋体" w:hAnsi="宋体"/>
          <w:b w:val="0"/>
          <w:color w:val="000000"/>
          <w:sz w:val="21"/>
        </w:rPr>
        <w:t>合同价款：指在中标通知书中写明的或发包人承包人双方议定的，承包人按合同约定实施和完成本工程及其缺陷的修复应得到的价款。</w:t>
      </w:r>
      <w:bookmarkEnd w:id="33"/>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r>
        <w:rPr>
          <w:rFonts w:hint="eastAsia" w:ascii="宋体" w:hAnsi="宋体"/>
          <w:b w:val="0"/>
          <w:color w:val="000000"/>
          <w:sz w:val="21"/>
        </w:rPr>
        <w:t>追加(减)合同价款：指在合同履行中发生需要增加(减少)合同价款的情况，经发包人确认后按合同约定的价款结算方法增加(减少)的合同价款。</w:t>
      </w:r>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bookmarkStart w:id="34" w:name="_Toc34908909"/>
      <w:r>
        <w:rPr>
          <w:rFonts w:hint="eastAsia" w:ascii="宋体" w:hAnsi="宋体"/>
          <w:b w:val="0"/>
          <w:color w:val="000000"/>
          <w:sz w:val="21"/>
        </w:rPr>
        <w:t>费用：指不包含在合同价款之内的应由发包人或承包人承担的经济支出。</w:t>
      </w:r>
      <w:bookmarkEnd w:id="34"/>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r>
        <w:rPr>
          <w:rFonts w:hint="eastAsia" w:ascii="宋体" w:hAnsi="宋体"/>
          <w:b w:val="0"/>
          <w:color w:val="000000"/>
          <w:sz w:val="21"/>
        </w:rPr>
        <w:t>暂列金额：发包人在工程量清单中暂定并包括在合同价款中的金额。</w:t>
      </w:r>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r>
        <w:rPr>
          <w:rFonts w:hint="eastAsia" w:ascii="宋体" w:hAnsi="宋体"/>
          <w:b w:val="0"/>
          <w:color w:val="000000"/>
          <w:sz w:val="21"/>
        </w:rPr>
        <w:t>暂估价：发包人在工程量清单中提供的用于支付必然发生但暂时不能确定价格的材料单价及专业工程的金额。</w:t>
      </w:r>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r>
        <w:rPr>
          <w:rFonts w:hint="eastAsia" w:ascii="宋体" w:hAnsi="宋体"/>
          <w:b w:val="0"/>
          <w:color w:val="000000"/>
          <w:sz w:val="21"/>
        </w:rPr>
        <w:t>计日工：承包人在合同履行过程中依发包人要求所完成的施工图纸以外的零星项目或工作。</w:t>
      </w:r>
    </w:p>
    <w:p>
      <w:pPr>
        <w:pStyle w:val="3"/>
        <w:numPr>
          <w:ilvl w:val="1"/>
          <w:numId w:val="1"/>
        </w:numPr>
        <w:tabs>
          <w:tab w:val="left" w:pos="1620"/>
          <w:tab w:val="left" w:pos="2016"/>
          <w:tab w:val="left" w:pos="2340"/>
          <w:tab w:val="clear" w:pos="1711"/>
        </w:tabs>
        <w:spacing w:after="0"/>
        <w:ind w:left="945" w:leftChars="450"/>
        <w:rPr>
          <w:rFonts w:ascii="宋体" w:hAnsi="宋体"/>
          <w:b w:val="0"/>
          <w:color w:val="000000"/>
          <w:sz w:val="21"/>
        </w:rPr>
      </w:pPr>
      <w:r>
        <w:rPr>
          <w:rFonts w:hint="eastAsia" w:ascii="宋体" w:hAnsi="宋体"/>
          <w:b w:val="0"/>
          <w:color w:val="000000"/>
          <w:sz w:val="21"/>
        </w:rPr>
        <w:t>现场签证：发包人和承包人双方对其在合同履行过程中涉及的相关责任事件所作的签认证明。</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35" w:name="_Toc34908910"/>
      <w:r>
        <w:rPr>
          <w:rFonts w:hint="eastAsia" w:ascii="宋体" w:hAnsi="宋体"/>
          <w:color w:val="000000"/>
          <w:kern w:val="0"/>
        </w:rPr>
        <w:t>交接证书：指本合同中约定有单独工期的单项工程或本工程竣工后，根据本合同约定签发的证书。</w:t>
      </w:r>
      <w:bookmarkEnd w:id="35"/>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36" w:name="_Toc34908911"/>
      <w:r>
        <w:rPr>
          <w:rFonts w:hint="eastAsia" w:ascii="宋体" w:hAnsi="宋体"/>
          <w:color w:val="000000"/>
          <w:kern w:val="0"/>
        </w:rPr>
        <w:t>开工日期：指发包人和承包人在合同中约定，承包人开始工程施工的绝对或相对的日期。</w:t>
      </w:r>
      <w:bookmarkEnd w:id="36"/>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37" w:name="_Toc34908912"/>
      <w:r>
        <w:rPr>
          <w:rFonts w:hint="eastAsia" w:ascii="宋体" w:hAnsi="宋体"/>
          <w:color w:val="000000"/>
          <w:kern w:val="0"/>
        </w:rPr>
        <w:t>竣工日期：指发包人和承包人在合同中约定，承包人完成工程施工的绝对或相对的日期。</w:t>
      </w:r>
      <w:bookmarkEnd w:id="37"/>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38" w:name="_Toc34908913"/>
      <w:r>
        <w:rPr>
          <w:rFonts w:hint="eastAsia" w:ascii="宋体" w:hAnsi="宋体"/>
          <w:color w:val="000000"/>
          <w:kern w:val="0"/>
        </w:rPr>
        <w:t>实际竣工日期：指承包人完成工程施工并通过竣工验收的日期。</w:t>
      </w:r>
      <w:bookmarkEnd w:id="38"/>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39" w:name="_Toc34908914"/>
      <w:r>
        <w:rPr>
          <w:rFonts w:hint="eastAsia" w:ascii="宋体" w:hAnsi="宋体"/>
          <w:color w:val="000000"/>
          <w:kern w:val="0"/>
        </w:rPr>
        <w:t>工期：指发包人和承包人在本合同中约定的，按总日历天数(包括法定节假日)计算的从开工日期至竣工日期的天数。</w:t>
      </w:r>
      <w:bookmarkEnd w:id="39"/>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40" w:name="_Toc34908915"/>
      <w:r>
        <w:rPr>
          <w:rFonts w:hint="eastAsia" w:ascii="宋体" w:hAnsi="宋体"/>
          <w:color w:val="000000"/>
          <w:kern w:val="0"/>
        </w:rPr>
        <w:t>实际工期：指按总日历天数(包括法定节假日)计算的从开工日期至实际竣工日期的天数。</w:t>
      </w:r>
      <w:bookmarkEnd w:id="40"/>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41" w:name="_Toc34908916"/>
      <w:r>
        <w:rPr>
          <w:rFonts w:hint="eastAsia" w:ascii="宋体" w:hAnsi="宋体"/>
          <w:color w:val="000000"/>
          <w:kern w:val="0"/>
        </w:rPr>
        <w:t>图纸：指由发包人按本合同约定向承包人提供的全部设计图纸、计算书和性质类似的技术资料，或由承包人提交并经发包人批准的所有图纸、计算书和其他性质类似的技术资料。</w:t>
      </w:r>
      <w:bookmarkEnd w:id="41"/>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42" w:name="_Toc34908917"/>
      <w:r>
        <w:rPr>
          <w:rFonts w:hint="eastAsia" w:ascii="宋体" w:hAnsi="宋体"/>
          <w:color w:val="000000"/>
          <w:kern w:val="0"/>
        </w:rPr>
        <w:t>标准、规范：指合同中约定的适用于本工程的技术标准、规范及其修改或补充。</w:t>
      </w:r>
      <w:bookmarkEnd w:id="42"/>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43" w:name="_Toc34908918"/>
      <w:r>
        <w:rPr>
          <w:rFonts w:hint="eastAsia" w:ascii="宋体" w:hAnsi="宋体"/>
          <w:color w:val="000000"/>
          <w:kern w:val="0"/>
        </w:rPr>
        <w:t>工程量清单：指根据有关工程量计算规则、图纸列出的工程项目名称和相应数量等的明细清单。</w:t>
      </w:r>
      <w:bookmarkEnd w:id="43"/>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44" w:name="_Toc34908920"/>
      <w:r>
        <w:rPr>
          <w:rFonts w:hint="eastAsia" w:ascii="宋体" w:hAnsi="宋体"/>
          <w:color w:val="000000"/>
          <w:kern w:val="0"/>
        </w:rPr>
        <w:t>书面形式：指合同、协议、信件和数据电文(包括电报、电传、传真、电子数据交换和电子邮件)等可以有形地表现所载内容的形式。</w:t>
      </w:r>
      <w:bookmarkEnd w:id="44"/>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45" w:name="_Toc34908921"/>
      <w:r>
        <w:rPr>
          <w:rFonts w:hint="eastAsia" w:ascii="宋体" w:hAnsi="宋体"/>
          <w:color w:val="000000"/>
          <w:kern w:val="0"/>
        </w:rPr>
        <w:t>违约责任：指合同一方不履行合同义务或履行合同义务不符合约定所应承担的责任。</w:t>
      </w:r>
      <w:bookmarkEnd w:id="45"/>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46" w:name="_Toc34908922"/>
      <w:r>
        <w:rPr>
          <w:rFonts w:hint="eastAsia" w:ascii="宋体" w:hAnsi="宋体"/>
          <w:color w:val="000000"/>
          <w:kern w:val="0"/>
        </w:rPr>
        <w:t>索赔：指在合同履行过程中，对于并非自己的过错、而是应由对方承担责任的情况造成的实际损失，向对方提出经济补偿和(或)工期顺延的要求。</w:t>
      </w:r>
      <w:bookmarkEnd w:id="46"/>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47" w:name="_Toc34908923"/>
      <w:r>
        <w:rPr>
          <w:rFonts w:hint="eastAsia" w:ascii="宋体" w:hAnsi="宋体"/>
          <w:color w:val="000000"/>
          <w:kern w:val="0"/>
        </w:rPr>
        <w:t>不可抗力：指不能预见、不能避免并不能克服的客观情况。</w:t>
      </w:r>
      <w:bookmarkEnd w:id="47"/>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48" w:name="_Toc34908924"/>
      <w:r>
        <w:rPr>
          <w:rFonts w:hint="eastAsia" w:ascii="宋体" w:hAnsi="宋体"/>
          <w:color w:val="000000"/>
          <w:kern w:val="0"/>
        </w:rPr>
        <w:t>小时或天：本合同中约定按小时计算时间的，从事件有效开始时计算(不扣除休息时间)；约定按天计算时间的，开始当天不计入，从次日开始计算。时限的最后一天是法定节假日的，以节假日次日为时限的最后一天，但竣工日期除外。时限的最后一天的截止时间为当日24时。</w:t>
      </w:r>
      <w:bookmarkEnd w:id="48"/>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49" w:name="_Toc34908925"/>
      <w:r>
        <w:rPr>
          <w:rFonts w:hint="eastAsia" w:ascii="宋体" w:hAnsi="宋体"/>
          <w:color w:val="000000"/>
          <w:kern w:val="0"/>
        </w:rPr>
        <w:t>法定节假日：指星期六、星期天及国家法定的节假日。</w:t>
      </w:r>
      <w:bookmarkEnd w:id="49"/>
    </w:p>
    <w:p>
      <w:pPr>
        <w:pStyle w:val="2"/>
        <w:keepLines w:val="0"/>
        <w:tabs>
          <w:tab w:val="left" w:pos="1620"/>
          <w:tab w:val="left" w:pos="2340"/>
        </w:tabs>
        <w:ind w:left="945" w:leftChars="450"/>
        <w:rPr>
          <w:rFonts w:ascii="宋体" w:hAnsi="宋体"/>
          <w:color w:val="000000"/>
        </w:rPr>
      </w:pPr>
      <w:bookmarkStart w:id="50" w:name="_Toc34908926"/>
      <w:bookmarkStart w:id="51" w:name="_Toc35656957"/>
      <w:bookmarkStart w:id="52" w:name="_Toc35656457"/>
      <w:r>
        <w:rPr>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637540</wp:posOffset>
                </wp:positionV>
                <wp:extent cx="571500" cy="455295"/>
                <wp:effectExtent l="0" t="3810" r="1270" b="0"/>
                <wp:wrapNone/>
                <wp:docPr id="238"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571500" cy="455295"/>
                        </a:xfrm>
                        <a:prstGeom prst="rect">
                          <a:avLst/>
                        </a:prstGeom>
                        <a:solidFill>
                          <a:srgbClr val="FFFFFF"/>
                        </a:solidFill>
                        <a:ln>
                          <a:noFill/>
                        </a:ln>
                      </wps:spPr>
                      <wps:txbx>
                        <w:txbxContent>
                          <w:p>
                            <w:pPr>
                              <w:rPr>
                                <w:rFonts w:ascii="楷体_GB2312" w:eastAsia="楷体_GB2312"/>
                                <w:szCs w:val="21"/>
                              </w:rPr>
                            </w:pPr>
                            <w:r>
                              <w:rPr>
                                <w:rFonts w:hint="eastAsia" w:ascii="楷体_GB2312" w:eastAsia="楷体_GB2312"/>
                              </w:rPr>
                              <w:t>标题和旁注</w:t>
                            </w:r>
                          </w:p>
                          <w:p/>
                        </w:txbxContent>
                      </wps:txbx>
                      <wps:bodyPr rot="0" vert="horz" wrap="square" lIns="0" tIns="36000" rIns="0" bIns="0" anchor="t" anchorCtr="0" upright="1">
                        <a:noAutofit/>
                      </wps:bodyPr>
                    </wps:wsp>
                  </a:graphicData>
                </a:graphic>
              </wp:anchor>
            </w:drawing>
          </mc:Choice>
          <mc:Fallback>
            <w:pict>
              <v:shape id="文本框 237" o:spid="_x0000_s1026" o:spt="202" type="#_x0000_t202" style="position:absolute;left:0pt;margin-left:0pt;margin-top:50.2pt;height:35.85pt;width:45pt;z-index:251662336;mso-width-relative:page;mso-height-relative:page;" fillcolor="#FFFFFF" filled="t" stroked="f" coordsize="21600,21600" o:gfxdata="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YO039QAAAAHAQAADwAAAAAAAAABACAAAAAiAAAAZHJzL2Rvd25yZXYueG1sUEsBAhQAFAAAAAgA&#10;h07iQCj3En4pAgAANQQAAA4AAAAAAAAAAQAgAAAAIwEAAGRycy9lMm9Eb2MueG1sUEsFBgAAAAAG&#10;AAYAWQEAAL4FAAAAAA==&#10;">
                <v:fill on="t" focussize="0,0"/>
                <v:stroke on="f"/>
                <v:imagedata o:title=""/>
                <o:lock v:ext="edit" aspectratio="f"/>
                <v:textbox inset="0mm,1mm,0mm,0mm">
                  <w:txbxContent>
                    <w:p>
                      <w:pPr>
                        <w:rPr>
                          <w:rFonts w:ascii="楷体_GB2312" w:eastAsia="楷体_GB2312"/>
                          <w:szCs w:val="21"/>
                        </w:rPr>
                      </w:pPr>
                      <w:r>
                        <w:rPr>
                          <w:rFonts w:hint="eastAsia" w:ascii="楷体_GB2312" w:eastAsia="楷体_GB2312"/>
                        </w:rPr>
                        <w:t>标题和旁注</w:t>
                      </w:r>
                    </w:p>
                    <w:p/>
                  </w:txbxContent>
                </v:textbox>
              </v:shape>
            </w:pict>
          </mc:Fallback>
        </mc:AlternateContent>
      </w:r>
      <w:r>
        <w:rPr>
          <w:rFonts w:hint="eastAsia" w:ascii="宋体" w:hAnsi="宋体"/>
          <w:color w:val="000000"/>
          <w:sz w:val="28"/>
          <w:szCs w:val="28"/>
        </w:rPr>
        <w:t>标题和旁注</w:t>
      </w:r>
      <w:bookmarkEnd w:id="50"/>
      <w:bookmarkEnd w:id="51"/>
      <w:bookmarkEnd w:id="52"/>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53" w:name="_Toc34908927"/>
      <w:r>
        <w:rPr>
          <w:rFonts w:hint="eastAsia" w:ascii="宋体" w:hAnsi="宋体"/>
          <w:color w:val="000000"/>
          <w:kern w:val="0"/>
        </w:rPr>
        <w:t>本合同条款的标题和旁注不视为合同条款或合同本身的一部分，在解释及推定合同条款时，不列入考虑。</w:t>
      </w:r>
      <w:bookmarkEnd w:id="53"/>
    </w:p>
    <w:p>
      <w:pPr>
        <w:pStyle w:val="2"/>
        <w:keepLines w:val="0"/>
        <w:tabs>
          <w:tab w:val="left" w:pos="1620"/>
          <w:tab w:val="left" w:pos="2340"/>
        </w:tabs>
        <w:ind w:left="945" w:leftChars="450"/>
        <w:rPr>
          <w:rFonts w:ascii="宋体" w:hAnsi="宋体"/>
          <w:color w:val="000000"/>
        </w:rPr>
      </w:pPr>
      <w:bookmarkStart w:id="54" w:name="_Toc35656458"/>
      <w:bookmarkStart w:id="55" w:name="_Toc34908928"/>
      <w:bookmarkStart w:id="56" w:name="_Toc35656958"/>
      <w:r>
        <w:rPr>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643890</wp:posOffset>
                </wp:positionV>
                <wp:extent cx="571500" cy="228600"/>
                <wp:effectExtent l="0" t="1270" r="1270" b="0"/>
                <wp:wrapNone/>
                <wp:docPr id="237"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szCs w:val="21"/>
                              </w:rPr>
                            </w:pPr>
                            <w:r>
                              <w:rPr>
                                <w:rFonts w:hint="eastAsia" w:ascii="楷体_GB2312" w:eastAsia="楷体_GB2312"/>
                              </w:rPr>
                              <w:t>书面形式</w:t>
                            </w:r>
                          </w:p>
                          <w:p/>
                        </w:txbxContent>
                      </wps:txbx>
                      <wps:bodyPr rot="0" vert="horz" wrap="square" lIns="0" tIns="36000" rIns="0" bIns="0" anchor="t" anchorCtr="0" upright="1">
                        <a:noAutofit/>
                      </wps:bodyPr>
                    </wps:wsp>
                  </a:graphicData>
                </a:graphic>
              </wp:anchor>
            </w:drawing>
          </mc:Choice>
          <mc:Fallback>
            <w:pict>
              <v:shape id="文本框 236" o:spid="_x0000_s1026" o:spt="202" type="#_x0000_t202" style="position:absolute;left:0pt;margin-left:0pt;margin-top:50.7pt;height:18pt;width:45pt;z-index:251663360;mso-width-relative:page;mso-height-relative:page;" fillcolor="#FFFFFF" filled="t" stroked="f" coordsize="21600,21600" o:gfxdata="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TN&#10;vVjVAAAABwEAAA8AAAAAAAAAAQAgAAAAIgAAAGRycy9kb3ducmV2LnhtbFBLAQIUABQAAAAIAIdO&#10;4kCv+zXKJgIAADUEAAAOAAAAAAAAAAEAIAAAACQBAABkcnMvZTJvRG9jLnhtbFBLBQYAAAAABgAG&#10;AFkBAAC8BQAAAAA=&#10;">
                <v:fill on="t" focussize="0,0"/>
                <v:stroke on="f"/>
                <v:imagedata o:title=""/>
                <o:lock v:ext="edit" aspectratio="f"/>
                <v:textbox inset="0mm,1mm,0mm,0mm">
                  <w:txbxContent>
                    <w:p>
                      <w:pPr>
                        <w:rPr>
                          <w:rFonts w:ascii="楷体_GB2312" w:eastAsia="楷体_GB2312"/>
                          <w:szCs w:val="21"/>
                        </w:rPr>
                      </w:pPr>
                      <w:r>
                        <w:rPr>
                          <w:rFonts w:hint="eastAsia" w:ascii="楷体_GB2312" w:eastAsia="楷体_GB2312"/>
                        </w:rPr>
                        <w:t>书面形式</w:t>
                      </w:r>
                    </w:p>
                    <w:p/>
                  </w:txbxContent>
                </v:textbox>
              </v:shape>
            </w:pict>
          </mc:Fallback>
        </mc:AlternateContent>
      </w:r>
      <w:r>
        <w:rPr>
          <w:rFonts w:hint="eastAsia" w:ascii="宋体" w:hAnsi="宋体"/>
          <w:color w:val="000000"/>
          <w:sz w:val="28"/>
          <w:szCs w:val="28"/>
        </w:rPr>
        <w:t>书面形式</w:t>
      </w:r>
      <w:bookmarkEnd w:id="54"/>
      <w:bookmarkEnd w:id="55"/>
      <w:bookmarkEnd w:id="56"/>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57" w:name="_Toc34908929"/>
      <w:r>
        <w:rPr>
          <w:rFonts w:hint="eastAsia" w:ascii="宋体" w:hAnsi="宋体"/>
          <w:color w:val="000000"/>
          <w:kern w:val="0"/>
        </w:rPr>
        <w:t>除合同另有约定外，在合同履行过程中当事人各方发出或发布的任何通知、指令，均应是书面的，收件方应在回执上签署姓名和收到时间</w:t>
      </w:r>
      <w:bookmarkEnd w:id="57"/>
      <w:r>
        <w:rPr>
          <w:rFonts w:hint="eastAsia" w:ascii="宋体" w:hAnsi="宋体"/>
          <w:color w:val="000000"/>
          <w:kern w:val="0"/>
        </w:rPr>
        <w:t>，不应无理扣压或拖延。</w:t>
      </w:r>
    </w:p>
    <w:p>
      <w:pPr>
        <w:pStyle w:val="2"/>
        <w:keepLines w:val="0"/>
        <w:numPr>
          <w:ilvl w:val="0"/>
          <w:numId w:val="0"/>
        </w:numPr>
        <w:tabs>
          <w:tab w:val="left" w:pos="1620"/>
          <w:tab w:val="left" w:pos="2340"/>
        </w:tabs>
        <w:ind w:left="945" w:leftChars="450"/>
        <w:rPr>
          <w:rFonts w:hAnsi="宋体"/>
          <w:color w:val="000000"/>
          <w:sz w:val="30"/>
        </w:rPr>
      </w:pPr>
      <w:bookmarkStart w:id="58" w:name="_Toc35656459"/>
      <w:bookmarkStart w:id="59" w:name="_Toc35656959"/>
      <w:bookmarkStart w:id="60" w:name="_Toc34908930"/>
      <w:r>
        <w:rPr>
          <w:rFonts w:hint="eastAsia" w:hAnsi="宋体"/>
          <w:color w:val="000000"/>
          <w:sz w:val="30"/>
        </w:rPr>
        <w:t>二、合同文件</w:t>
      </w:r>
      <w:bookmarkEnd w:id="58"/>
      <w:bookmarkEnd w:id="59"/>
      <w:bookmarkEnd w:id="60"/>
    </w:p>
    <w:p>
      <w:pPr>
        <w:pStyle w:val="2"/>
        <w:keepLines w:val="0"/>
        <w:tabs>
          <w:tab w:val="left" w:pos="1620"/>
          <w:tab w:val="left" w:pos="2340"/>
        </w:tabs>
        <w:ind w:left="945" w:leftChars="450"/>
        <w:rPr>
          <w:rFonts w:ascii="宋体" w:hAnsi="宋体"/>
          <w:color w:val="000000"/>
          <w:sz w:val="28"/>
          <w:szCs w:val="28"/>
        </w:rPr>
      </w:pPr>
      <w:bookmarkStart w:id="61" w:name="_Toc35656960"/>
      <w:bookmarkStart w:id="62" w:name="_Toc34908931"/>
      <w:bookmarkStart w:id="63" w:name="_Toc35656460"/>
      <w:r>
        <w:rPr>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424815</wp:posOffset>
                </wp:positionV>
                <wp:extent cx="571500" cy="571500"/>
                <wp:effectExtent l="0" t="3810" r="1270" b="0"/>
                <wp:wrapNone/>
                <wp:docPr id="236"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合同文件组成及解释顺序</w:t>
                            </w:r>
                          </w:p>
                          <w:p/>
                        </w:txbxContent>
                      </wps:txbx>
                      <wps:bodyPr rot="0" vert="horz" wrap="square" lIns="0" tIns="36000" rIns="0" bIns="0" anchor="t" anchorCtr="0" upright="1">
                        <a:noAutofit/>
                      </wps:bodyPr>
                    </wps:wsp>
                  </a:graphicData>
                </a:graphic>
              </wp:anchor>
            </w:drawing>
          </mc:Choice>
          <mc:Fallback>
            <w:pict>
              <v:shape id="文本框 235" o:spid="_x0000_s1026" o:spt="202" type="#_x0000_t202" style="position:absolute;left:0pt;margin-left:0pt;margin-top:33.45pt;height:45pt;width:45pt;z-index:251661312;mso-width-relative:page;mso-height-relative:page;" fillcolor="#FFFFFF" filled="t" stroked="f" coordsize="21600,21600" o:gfxdata="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6FY1AAA&#10;AAYBAAAPAAAAAAAAAAEAIAAAACIAAABkcnMvZG93bnJldi54bWxQSwECFAAUAAAACACHTuJAUp9w&#10;HSICAAA1BAAADgAAAAAAAAABACAAAAAjAQAAZHJzL2Uyb0RvYy54bWxQSwUGAAAAAAYABgBZAQAA&#10;twUAAAAA&#10;">
                <v:fill on="t" focussize="0,0"/>
                <v:stroke on="f"/>
                <v:imagedata o:title=""/>
                <o:lock v:ext="edit" aspectratio="f"/>
                <v:textbox inset="0mm,1mm,0mm,0mm">
                  <w:txbxContent>
                    <w:p>
                      <w:pPr>
                        <w:rPr>
                          <w:rFonts w:ascii="楷体_GB2312" w:eastAsia="楷体_GB2312"/>
                          <w:szCs w:val="21"/>
                        </w:rPr>
                      </w:pPr>
                      <w:r>
                        <w:rPr>
                          <w:rFonts w:hint="eastAsia" w:ascii="楷体_GB2312" w:hAnsi="宋体" w:eastAsia="楷体_GB2312"/>
                        </w:rPr>
                        <w:t>合同文件组成及解释顺序</w:t>
                      </w:r>
                    </w:p>
                    <w:p/>
                  </w:txbxContent>
                </v:textbox>
              </v:shape>
            </w:pict>
          </mc:Fallback>
        </mc:AlternateContent>
      </w:r>
      <w:r>
        <w:rPr>
          <w:rFonts w:hint="eastAsia" w:ascii="宋体" w:hAnsi="宋体"/>
          <w:color w:val="000000"/>
          <w:sz w:val="28"/>
          <w:szCs w:val="28"/>
        </w:rPr>
        <w:t>合同文件组成及解释顺序</w:t>
      </w:r>
      <w:bookmarkEnd w:id="61"/>
      <w:bookmarkEnd w:id="62"/>
      <w:bookmarkEnd w:id="63"/>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64" w:name="_Toc34908932"/>
      <w:r>
        <w:rPr>
          <w:rFonts w:hint="eastAsia" w:ascii="宋体" w:hAnsi="宋体"/>
          <w:color w:val="000000"/>
          <w:kern w:val="0"/>
        </w:rPr>
        <w:t>组成合同的各个文件应该是一个整体，彼此相互解释，互为说明。本合同的文件及优先解释顺序按协议书第六条约定执行</w:t>
      </w:r>
      <w:bookmarkEnd w:id="64"/>
      <w:r>
        <w:rPr>
          <w:rFonts w:hint="eastAsia" w:ascii="宋体" w:hAnsi="宋体"/>
          <w:color w:val="000000"/>
          <w:kern w:val="0"/>
        </w:rPr>
        <w:t>。</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65" w:name="_Toc34908933"/>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137160</wp:posOffset>
                </wp:positionV>
                <wp:extent cx="571500" cy="457200"/>
                <wp:effectExtent l="0" t="0" r="1270" b="3175"/>
                <wp:wrapNone/>
                <wp:docPr id="235"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工程师作出解释</w:t>
                            </w:r>
                          </w:p>
                          <w:p/>
                        </w:txbxContent>
                      </wps:txbx>
                      <wps:bodyPr rot="0" vert="horz" wrap="square" lIns="0" tIns="36000" rIns="0" bIns="0" anchor="t" anchorCtr="0" upright="1">
                        <a:noAutofit/>
                      </wps:bodyPr>
                    </wps:wsp>
                  </a:graphicData>
                </a:graphic>
              </wp:anchor>
            </w:drawing>
          </mc:Choice>
          <mc:Fallback>
            <w:pict>
              <v:shape id="文本框 234" o:spid="_x0000_s1026" o:spt="202" type="#_x0000_t202" style="position:absolute;left:0pt;margin-left:0pt;margin-top:10.8pt;height:36pt;width:45pt;z-index:251660288;mso-width-relative:page;mso-height-relative:page;" fillcolor="#FFFFFF" filled="t" stroked="f" coordsize="21600,21600" o:gfxdata="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SHeD1AAAAAUBAAAPAAAAAAAAAAEAIAAAACIAAABkcnMvZG93bnJldi54bWxQSwECFAAUAAAACACH&#10;TuJAULWVtCgCAAA1BAAADgAAAAAAAAABACAAAAAjAQAAZHJzL2Uyb0RvYy54bWxQSwUGAAAAAAYA&#10;BgBZAQAAvQUAAAAA&#10;">
                <v:fill on="t" focussize="0,0"/>
                <v:stroke on="f"/>
                <v:imagedata o:title=""/>
                <o:lock v:ext="edit" aspectratio="f"/>
                <v:textbox inset="0mm,1mm,0mm,0mm">
                  <w:txbxContent>
                    <w:p>
                      <w:pPr>
                        <w:rPr>
                          <w:rFonts w:ascii="楷体_GB2312" w:eastAsia="楷体_GB2312"/>
                          <w:szCs w:val="21"/>
                        </w:rPr>
                      </w:pPr>
                      <w:r>
                        <w:rPr>
                          <w:rFonts w:hint="eastAsia" w:ascii="楷体_GB2312" w:hAnsi="宋体" w:eastAsia="楷体_GB2312"/>
                        </w:rPr>
                        <w:t>工程师作出解释</w:t>
                      </w:r>
                    </w:p>
                    <w:p/>
                  </w:txbxContent>
                </v:textbox>
              </v:shape>
            </w:pict>
          </mc:Fallback>
        </mc:AlternateContent>
      </w:r>
      <w:r>
        <w:rPr>
          <w:rFonts w:hint="eastAsia" w:ascii="宋体" w:hAnsi="宋体"/>
          <w:color w:val="000000"/>
          <w:kern w:val="0"/>
        </w:rPr>
        <w:t>当合同文件内容含糊不清或相互矛盾时，由工程师作出解释。如不同意工程师的解释时，按通用条款第38条关于争议的约定处理。</w:t>
      </w:r>
      <w:bookmarkEnd w:id="65"/>
    </w:p>
    <w:p>
      <w:pPr>
        <w:pStyle w:val="2"/>
        <w:keepLines w:val="0"/>
        <w:tabs>
          <w:tab w:val="left" w:pos="1620"/>
          <w:tab w:val="left" w:pos="2340"/>
        </w:tabs>
        <w:ind w:left="945" w:leftChars="450"/>
        <w:rPr>
          <w:rFonts w:ascii="宋体" w:hAnsi="宋体"/>
          <w:color w:val="000000"/>
          <w:sz w:val="28"/>
          <w:szCs w:val="28"/>
        </w:rPr>
      </w:pPr>
      <w:bookmarkStart w:id="66" w:name="_Toc34908934"/>
      <w:bookmarkStart w:id="67" w:name="_Toc35656461"/>
      <w:bookmarkStart w:id="68" w:name="_Toc35656961"/>
      <w:r>
        <w:rPr>
          <w:rFonts w:hint="eastAsia" w:ascii="宋体" w:hAnsi="宋体"/>
          <w:color w:val="000000"/>
          <w:sz w:val="28"/>
          <w:szCs w:val="28"/>
        </w:rPr>
        <w:t>语言文字和适用法律、法规</w:t>
      </w:r>
      <w:bookmarkEnd w:id="66"/>
      <w:bookmarkEnd w:id="67"/>
      <w:bookmarkEnd w:id="68"/>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69" w:name="_Toc34908935"/>
      <w:r>
        <mc:AlternateContent>
          <mc:Choice Requires="wps">
            <w:drawing>
              <wp:anchor distT="0" distB="0" distL="114300" distR="114300" simplePos="0" relativeHeight="251867136" behindDoc="0" locked="0" layoutInCell="1" allowOverlap="1">
                <wp:simplePos x="0" y="0"/>
                <wp:positionH relativeFrom="column">
                  <wp:posOffset>0</wp:posOffset>
                </wp:positionH>
                <wp:positionV relativeFrom="paragraph">
                  <wp:posOffset>17145</wp:posOffset>
                </wp:positionV>
                <wp:extent cx="571500" cy="159385"/>
                <wp:effectExtent l="0" t="2540" r="1270" b="0"/>
                <wp:wrapNone/>
                <wp:docPr id="234"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571500" cy="159385"/>
                        </a:xfrm>
                        <a:prstGeom prst="rect">
                          <a:avLst/>
                        </a:prstGeom>
                        <a:solidFill>
                          <a:srgbClr val="FFFFFF"/>
                        </a:solidFill>
                        <a:ln>
                          <a:noFill/>
                        </a:ln>
                      </wps:spPr>
                      <wps:txbx>
                        <w:txbxContent>
                          <w:p>
                            <w:r>
                              <w:rPr>
                                <w:rFonts w:hint="eastAsia" w:ascii="楷体_GB2312" w:hAnsi="宋体" w:eastAsia="楷体_GB2312"/>
                              </w:rPr>
                              <w:t>语言文字</w:t>
                            </w:r>
                          </w:p>
                        </w:txbxContent>
                      </wps:txbx>
                      <wps:bodyPr rot="0" vert="horz" wrap="square" lIns="0" tIns="0" rIns="0" bIns="0" anchor="t" anchorCtr="0" upright="1">
                        <a:noAutofit/>
                      </wps:bodyPr>
                    </wps:wsp>
                  </a:graphicData>
                </a:graphic>
              </wp:anchor>
            </w:drawing>
          </mc:Choice>
          <mc:Fallback>
            <w:pict>
              <v:shape id="文本框 233" o:spid="_x0000_s1026" o:spt="202" type="#_x0000_t202" style="position:absolute;left:0pt;margin-left:0pt;margin-top:1.35pt;height:12.55pt;width:45pt;z-index:251867136;mso-width-relative:page;mso-height-relative:page;" fillcolor="#FFFFFF" filled="t" stroked="f" coordsize="21600,21600" o:gfxdata="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Cpoy20gAA&#10;AAQBAAAPAAAAAAAAAAEAIAAAACIAAABkcnMvZG93bnJldi54bWxQSwECFAAUAAAACACHTuJAOD7s&#10;0SQCAAAxBAAADgAAAAAAAAABACAAAAAhAQAAZHJzL2Uyb0RvYy54bWxQSwUGAAAAAAYABgBZAQAA&#10;twUAAAAA&#10;">
                <v:fill on="t" focussize="0,0"/>
                <v:stroke on="f"/>
                <v:imagedata o:title=""/>
                <o:lock v:ext="edit" aspectratio="f"/>
                <v:textbox inset="0mm,0mm,0mm,0mm">
                  <w:txbxContent>
                    <w:p>
                      <w:r>
                        <w:rPr>
                          <w:rFonts w:hint="eastAsia" w:ascii="楷体_GB2312" w:hAnsi="宋体" w:eastAsia="楷体_GB2312"/>
                        </w:rPr>
                        <w:t>语言文字</w:t>
                      </w:r>
                    </w:p>
                  </w:txbxContent>
                </v:textbox>
              </v:shape>
            </w:pict>
          </mc:Fallback>
        </mc:AlternateContent>
      </w:r>
      <w:r>
        <w:rPr>
          <w:rFonts w:hint="eastAsia" w:ascii="宋体" w:hAnsi="宋体"/>
          <w:color w:val="000000"/>
          <w:kern w:val="0"/>
        </w:rPr>
        <w:t>本合同文件使用汉语语言文字书写、解释和说明。如专用条款约定使用两种以上(含两种)语言文字时，汉语应为解释和说明本合同的标准语言文字。</w:t>
      </w:r>
      <w:bookmarkEnd w:id="69"/>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70" w:name="_Toc34908936"/>
      <w:r>
        <mc:AlternateContent>
          <mc:Choice Requires="wps">
            <w:drawing>
              <wp:anchor distT="0" distB="0" distL="114300" distR="114300" simplePos="0" relativeHeight="251866112" behindDoc="0" locked="0" layoutInCell="1" allowOverlap="1">
                <wp:simplePos x="0" y="0"/>
                <wp:positionH relativeFrom="column">
                  <wp:posOffset>0</wp:posOffset>
                </wp:positionH>
                <wp:positionV relativeFrom="paragraph">
                  <wp:posOffset>164465</wp:posOffset>
                </wp:positionV>
                <wp:extent cx="571500" cy="342900"/>
                <wp:effectExtent l="0" t="3175" r="1270" b="0"/>
                <wp:wrapNone/>
                <wp:docPr id="233"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适用法律和法规</w:t>
                            </w:r>
                          </w:p>
                          <w:p/>
                        </w:txbxContent>
                      </wps:txbx>
                      <wps:bodyPr rot="0" vert="horz" wrap="square" lIns="0" tIns="0" rIns="0" bIns="0" anchor="t" anchorCtr="0" upright="1">
                        <a:noAutofit/>
                      </wps:bodyPr>
                    </wps:wsp>
                  </a:graphicData>
                </a:graphic>
              </wp:anchor>
            </w:drawing>
          </mc:Choice>
          <mc:Fallback>
            <w:pict>
              <v:shape id="文本框 232" o:spid="_x0000_s1026" o:spt="202" type="#_x0000_t202" style="position:absolute;left:0pt;margin-left:0pt;margin-top:12.95pt;height:27pt;width:45pt;z-index:251866112;mso-width-relative:page;mso-height-relative:page;" fillcolor="#FFFFFF" filled="t" stroked="f" coordsize="21600,21600" o:gfxdata="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Irv2/UAAAA&#10;BQEAAA8AAAAAAAAAAQAgAAAAIgAAAGRycy9kb3ducmV2LnhtbFBLAQIUABQAAAAIAIdO4kBejCdu&#10;IQIAADEEAAAOAAAAAAAAAAEAIAAAACM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适用法律和法规</w:t>
                      </w:r>
                    </w:p>
                    <w:p/>
                  </w:txbxContent>
                </v:textbox>
              </v:shape>
            </w:pict>
          </mc:Fallback>
        </mc:AlternateContent>
      </w:r>
      <w:r>
        <w:rPr>
          <w:rFonts w:hint="eastAsia" w:ascii="宋体" w:hAnsi="宋体"/>
          <w:color w:val="000000"/>
          <w:kern w:val="0"/>
        </w:rPr>
        <w:t>本合同适用中华人民共和国法律、法规和规章。需要明示的法律、法规和规章，由双方在专用条款中约定。</w:t>
      </w:r>
      <w:bookmarkEnd w:id="70"/>
    </w:p>
    <w:p>
      <w:pPr>
        <w:pStyle w:val="2"/>
        <w:keepLines w:val="0"/>
        <w:tabs>
          <w:tab w:val="left" w:pos="1620"/>
          <w:tab w:val="left" w:pos="2340"/>
        </w:tabs>
        <w:ind w:left="945" w:leftChars="450"/>
        <w:rPr>
          <w:rFonts w:ascii="宋体" w:hAnsi="宋体"/>
          <w:color w:val="000000"/>
          <w:sz w:val="28"/>
          <w:szCs w:val="28"/>
        </w:rPr>
      </w:pPr>
      <w:bookmarkStart w:id="71" w:name="_Toc35656962"/>
      <w:bookmarkStart w:id="72" w:name="_Toc34908937"/>
      <w:bookmarkStart w:id="73" w:name="_Toc35656462"/>
      <w:r>
        <w:rPr>
          <w:rFonts w:hint="eastAsia" w:ascii="宋体" w:hAnsi="宋体"/>
          <w:color w:val="000000"/>
          <w:sz w:val="28"/>
          <w:szCs w:val="28"/>
        </w:rPr>
        <w:t>适用标准、规范</w:t>
      </w:r>
      <w:bookmarkEnd w:id="71"/>
      <w:bookmarkEnd w:id="72"/>
      <w:bookmarkEnd w:id="73"/>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74" w:name="_Toc34908938"/>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7620</wp:posOffset>
                </wp:positionV>
                <wp:extent cx="571500" cy="342900"/>
                <wp:effectExtent l="0" t="0" r="1270" b="635"/>
                <wp:wrapNone/>
                <wp:docPr id="232"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eastAsia="楷体_GB2312"/>
                              </w:rPr>
                              <w:t>适用标准及规范</w:t>
                            </w:r>
                          </w:p>
                          <w:p/>
                        </w:txbxContent>
                      </wps:txbx>
                      <wps:bodyPr rot="0" vert="horz" wrap="square" lIns="0" tIns="0" rIns="0" bIns="0" anchor="t" anchorCtr="0" upright="1">
                        <a:noAutofit/>
                      </wps:bodyPr>
                    </wps:wsp>
                  </a:graphicData>
                </a:graphic>
              </wp:anchor>
            </w:drawing>
          </mc:Choice>
          <mc:Fallback>
            <w:pict>
              <v:shape id="文本框 231" o:spid="_x0000_s1026" o:spt="202" type="#_x0000_t202" style="position:absolute;left:0pt;margin-left:0pt;margin-top:0.6pt;height:27pt;width:45pt;z-index:251664384;mso-width-relative:page;mso-height-relative:page;" fillcolor="#FFFFFF" filled="t" stroked="f" coordsize="21600,21600" o:gfxdata="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ZyVEvTAAAA&#10;BAEAAA8AAAAAAAAAAQAgAAAAIgAAAGRycy9kb3ducmV2LnhtbFBLAQIUABQAAAAIAIdO4kBrCQHE&#10;IgIAADEEAAAOAAAAAAAAAAEAIAAAACI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eastAsia="楷体_GB2312"/>
                        </w:rPr>
                        <w:t>适用标准及规范</w:t>
                      </w:r>
                    </w:p>
                    <w:p/>
                  </w:txbxContent>
                </v:textbox>
              </v:shape>
            </w:pict>
          </mc:Fallback>
        </mc:AlternateContent>
      </w:r>
      <w:r>
        <w:rPr>
          <w:rFonts w:hint="eastAsia" w:ascii="宋体" w:hAnsi="宋体"/>
          <w:color w:val="000000"/>
          <w:kern w:val="0"/>
        </w:rPr>
        <w:t>本工程的材料、设备、施工必须符合现行国家、行业及工程所在地地方标准、规范的要求。国家、行业及工程所在地地方标准、规范存在不一致时，发、承包人根据标准、规范的适用范围和本工程的实际情况在专用条款中约定选用的标准、规范名称。发包人应按专用条款约定的时间向承包人提供一式两份约定选用的标准、规范。</w:t>
      </w:r>
      <w:bookmarkEnd w:id="74"/>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75" w:name="_Toc34908939"/>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167005</wp:posOffset>
                </wp:positionV>
                <wp:extent cx="571500" cy="571500"/>
                <wp:effectExtent l="0" t="0" r="1270" b="3175"/>
                <wp:wrapNone/>
                <wp:docPr id="231"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国内没有相应标准规范</w:t>
                            </w:r>
                          </w:p>
                          <w:p/>
                        </w:txbxContent>
                      </wps:txbx>
                      <wps:bodyPr rot="0" vert="horz" wrap="square" lIns="0" tIns="0" rIns="0" bIns="0" anchor="t" anchorCtr="0" upright="1">
                        <a:noAutofit/>
                      </wps:bodyPr>
                    </wps:wsp>
                  </a:graphicData>
                </a:graphic>
              </wp:anchor>
            </w:drawing>
          </mc:Choice>
          <mc:Fallback>
            <w:pict>
              <v:shape id="文本框 230" o:spid="_x0000_s1026" o:spt="202" type="#_x0000_t202" style="position:absolute;left:0pt;margin-left:0pt;margin-top:13.15pt;height:45pt;width:45pt;z-index:251665408;mso-width-relative:page;mso-height-relative:page;" fillcolor="#FFFFFF" filled="t" stroked="f" coordsize="21600,21600" o:gfxdata="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5qwT7UAAAABgEA&#10;AA8AAAAAAAAAAQAgAAAAIgAAAGRycy9kb3ducmV2LnhtbFBLAQIUABQAAAAIAIdO4kBEPwUYHgIA&#10;ADEEAAAOAAAAAAAAAAEAIAAAACMBAABkcnMvZTJvRG9jLnhtbFBLBQYAAAAABgAGAFkBAACzBQAA&#10;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国内没有相应标准规范</w:t>
                      </w:r>
                    </w:p>
                    <w:p/>
                  </w:txbxContent>
                </v:textbox>
              </v:shape>
            </w:pict>
          </mc:Fallback>
        </mc:AlternateContent>
      </w:r>
      <w:r>
        <w:rPr>
          <w:rFonts w:hint="eastAsia" w:ascii="宋体" w:hAnsi="宋体"/>
          <w:color w:val="000000"/>
          <w:kern w:val="0"/>
        </w:rPr>
        <w:t>国内没有相应标准、规范的，由发包人按专用条款约定的时间向承包人提出施工技术要求，承包人按约定的时间和要求提出施工工艺，经发包人认可后执行；发包人要求使用国外标准、规范的，应在专用条款中明示国外标准、规范名称，并负责提供中文译本。</w:t>
      </w:r>
      <w:bookmarkEnd w:id="75"/>
    </w:p>
    <w:p>
      <w:pPr>
        <w:pStyle w:val="2"/>
        <w:keepLines w:val="0"/>
        <w:tabs>
          <w:tab w:val="left" w:pos="1620"/>
          <w:tab w:val="left" w:pos="2340"/>
        </w:tabs>
        <w:ind w:left="945" w:leftChars="450"/>
        <w:rPr>
          <w:rFonts w:ascii="宋体" w:hAnsi="宋体"/>
          <w:color w:val="000000"/>
          <w:sz w:val="28"/>
          <w:szCs w:val="28"/>
        </w:rPr>
      </w:pPr>
      <w:bookmarkStart w:id="76" w:name="_Toc35656963"/>
      <w:bookmarkStart w:id="77" w:name="_Toc35656463"/>
      <w:bookmarkStart w:id="78" w:name="_Toc34908940"/>
      <w:r>
        <w:rPr>
          <w:rFonts w:hint="eastAsia" w:ascii="宋体" w:hAnsi="宋体"/>
          <w:color w:val="000000"/>
          <w:sz w:val="28"/>
          <w:szCs w:val="28"/>
        </w:rPr>
        <w:t>图纸</w:t>
      </w:r>
      <w:bookmarkEnd w:id="76"/>
      <w:bookmarkEnd w:id="77"/>
      <w:bookmarkEnd w:id="78"/>
    </w:p>
    <w:p>
      <w:pPr>
        <w:widowControl/>
        <w:numPr>
          <w:ilvl w:val="1"/>
          <w:numId w:val="1"/>
        </w:numPr>
        <w:tabs>
          <w:tab w:val="left" w:pos="1656"/>
          <w:tab w:val="clear" w:pos="1711"/>
        </w:tabs>
        <w:spacing w:before="260"/>
        <w:ind w:left="945" w:leftChars="450"/>
        <w:jc w:val="left"/>
        <w:outlineLvl w:val="1"/>
        <w:rPr>
          <w:rFonts w:ascii="宋体" w:hAnsi="Arial"/>
          <w:color w:val="000000"/>
          <w:kern w:val="0"/>
        </w:rPr>
      </w:pPr>
      <w:bookmarkStart w:id="79" w:name="_Toc34908941"/>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14605</wp:posOffset>
                </wp:positionV>
                <wp:extent cx="571500" cy="342900"/>
                <wp:effectExtent l="0" t="4445" r="1270" b="0"/>
                <wp:wrapNone/>
                <wp:docPr id="230"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rPr>
                              <w:t>图纸的提</w:t>
                            </w:r>
                          </w:p>
                          <w:p>
                            <w:r>
                              <w:rPr>
                                <w:rFonts w:hint="eastAsia" w:ascii="楷体_GB2312" w:hAnsi="宋体" w:eastAsia="楷体_GB2312"/>
                              </w:rPr>
                              <w:t>供和使用</w:t>
                            </w:r>
                          </w:p>
                        </w:txbxContent>
                      </wps:txbx>
                      <wps:bodyPr rot="0" vert="horz" wrap="square" lIns="0" tIns="0" rIns="0" bIns="0" anchor="t" anchorCtr="0" upright="1">
                        <a:noAutofit/>
                      </wps:bodyPr>
                    </wps:wsp>
                  </a:graphicData>
                </a:graphic>
              </wp:anchor>
            </w:drawing>
          </mc:Choice>
          <mc:Fallback>
            <w:pict>
              <v:shape id="文本框 229" o:spid="_x0000_s1026" o:spt="202" type="#_x0000_t202" style="position:absolute;left:0pt;margin-left:0pt;margin-top:1.15pt;height:27pt;width:45pt;z-index:251666432;mso-width-relative:page;mso-height-relative:page;" fillcolor="#FFFFFF" filled="t" stroked="f" coordsize="21600,21600" o:gfxdata="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LTYZjUAAAA&#10;BAEAAA8AAAAAAAAAAQAgAAAAIgAAAGRycy9kb3ducmV2LnhtbFBLAQIUABQAAAAIAIdO4kBLu+LM&#10;IQIAADEEAAAOAAAAAAAAAAEAIAAAACMBAABkcnMvZTJvRG9jLnhtbFBLBQYAAAAABgAGAFkBAAC2&#10;BQAAAAA=&#10;">
                <v:fill on="t" focussize="0,0"/>
                <v:stroke on="f"/>
                <v:imagedata o:title=""/>
                <o:lock v:ext="edit" aspectratio="f"/>
                <v:textbox inset="0mm,0mm,0mm,0mm">
                  <w:txbxContent>
                    <w:p>
                      <w:pPr>
                        <w:rPr>
                          <w:rFonts w:ascii="楷体_GB2312" w:hAnsi="宋体" w:eastAsia="楷体_GB2312"/>
                        </w:rPr>
                      </w:pPr>
                      <w:r>
                        <w:rPr>
                          <w:rFonts w:hint="eastAsia" w:ascii="楷体_GB2312" w:hAnsi="宋体" w:eastAsia="楷体_GB2312"/>
                        </w:rPr>
                        <w:t>图纸的提</w:t>
                      </w:r>
                    </w:p>
                    <w:p>
                      <w:r>
                        <w:rPr>
                          <w:rFonts w:hint="eastAsia" w:ascii="楷体_GB2312" w:hAnsi="宋体" w:eastAsia="楷体_GB2312"/>
                        </w:rPr>
                        <w:t>供和使用</w:t>
                      </w:r>
                    </w:p>
                  </w:txbxContent>
                </v:textbox>
              </v:shape>
            </w:pict>
          </mc:Fallback>
        </mc:AlternateContent>
      </w:r>
      <w:r>
        <w:rPr>
          <w:rFonts w:hint="eastAsia" w:ascii="宋体" w:hAnsi="Arial"/>
          <w:color w:val="000000"/>
          <w:kern w:val="0"/>
        </w:rPr>
        <w:t>发包人应按专用条款约定的套数和日期，向承包人提供图纸。承包人需要增加图纸套数的，发包人应代为复制，复制费用由承包人承担。承包人应在施工现场保留一套完整的图纸，供工程师及有关人员进行工程检查时使用。未经发包人书面同意，承包人不得将图纸提供给与本工程施工无关的第三方。</w:t>
      </w:r>
      <w:bookmarkEnd w:id="79"/>
    </w:p>
    <w:p>
      <w:pPr>
        <w:widowControl/>
        <w:numPr>
          <w:ilvl w:val="1"/>
          <w:numId w:val="1"/>
        </w:numPr>
        <w:tabs>
          <w:tab w:val="left" w:pos="1656"/>
          <w:tab w:val="clear" w:pos="1711"/>
        </w:tabs>
        <w:spacing w:before="260"/>
        <w:ind w:left="945" w:leftChars="450"/>
        <w:jc w:val="left"/>
        <w:outlineLvl w:val="1"/>
        <w:rPr>
          <w:rFonts w:ascii="宋体" w:hAnsi="Arial"/>
          <w:color w:val="000000"/>
          <w:kern w:val="0"/>
        </w:rPr>
      </w:pPr>
      <w:r>
        <mc:AlternateContent>
          <mc:Choice Requires="wps">
            <w:drawing>
              <wp:anchor distT="0" distB="0" distL="114300" distR="114300" simplePos="0" relativeHeight="251840512" behindDoc="0" locked="0" layoutInCell="1" allowOverlap="1">
                <wp:simplePos x="0" y="0"/>
                <wp:positionH relativeFrom="column">
                  <wp:posOffset>0</wp:posOffset>
                </wp:positionH>
                <wp:positionV relativeFrom="paragraph">
                  <wp:posOffset>142240</wp:posOffset>
                </wp:positionV>
                <wp:extent cx="571500" cy="228600"/>
                <wp:effectExtent l="0" t="635" r="1270" b="0"/>
                <wp:wrapNone/>
                <wp:docPr id="229"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r>
                              <w:rPr>
                                <w:rFonts w:hint="eastAsia" w:ascii="楷体_GB2312" w:hAnsi="宋体" w:eastAsia="楷体_GB2312"/>
                              </w:rPr>
                              <w:t>保密要求</w:t>
                            </w:r>
                          </w:p>
                        </w:txbxContent>
                      </wps:txbx>
                      <wps:bodyPr rot="0" vert="horz" wrap="square" lIns="0" tIns="36000" rIns="0" bIns="0" anchor="t" anchorCtr="0" upright="1">
                        <a:noAutofit/>
                      </wps:bodyPr>
                    </wps:wsp>
                  </a:graphicData>
                </a:graphic>
              </wp:anchor>
            </w:drawing>
          </mc:Choice>
          <mc:Fallback>
            <w:pict>
              <v:shape id="文本框 228" o:spid="_x0000_s1026" o:spt="202" type="#_x0000_t202" style="position:absolute;left:0pt;margin-left:0pt;margin-top:11.2pt;height:18pt;width:45pt;z-index:251840512;mso-width-relative:page;mso-height-relative:page;" fillcolor="#FFFFFF" filled="t" stroked="f" coordsize="21600,21600" o:gfxdata="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KF9LU&#10;AAAABQEAAA8AAAAAAAAAAQAgAAAAIgAAAGRycy9kb3ducmV2LnhtbFBLAQIUABQAAAAIAIdO4kDb&#10;VkJDJAIAADUEAAAOAAAAAAAAAAEAIAAAACMBAABkcnMvZTJvRG9jLnhtbFBLBQYAAAAABgAGAFkB&#10;AAC5BQAAAAA=&#10;">
                <v:fill on="t" focussize="0,0"/>
                <v:stroke on="f"/>
                <v:imagedata o:title=""/>
                <o:lock v:ext="edit" aspectratio="f"/>
                <v:textbox inset="0mm,1mm,0mm,0mm">
                  <w:txbxContent>
                    <w:p>
                      <w:r>
                        <w:rPr>
                          <w:rFonts w:hint="eastAsia" w:ascii="楷体_GB2312" w:hAnsi="宋体" w:eastAsia="楷体_GB2312"/>
                        </w:rPr>
                        <w:t>保密要求</w:t>
                      </w:r>
                    </w:p>
                  </w:txbxContent>
                </v:textbox>
              </v:shape>
            </w:pict>
          </mc:Fallback>
        </mc:AlternateContent>
      </w:r>
      <w:r>
        <w:rPr>
          <w:rFonts w:hint="eastAsia" w:ascii="宋体" w:hAnsi="Arial"/>
          <w:color w:val="000000"/>
          <w:kern w:val="0"/>
        </w:rPr>
        <w:t>发包人对工程有保密要求的，应在专用条款中提出保密要求和保密期限。承包人在约定的保密期限内履行保密义务。</w:t>
      </w:r>
    </w:p>
    <w:p>
      <w:pPr>
        <w:widowControl/>
        <w:numPr>
          <w:ilvl w:val="1"/>
          <w:numId w:val="1"/>
        </w:numPr>
        <w:tabs>
          <w:tab w:val="left" w:pos="1656"/>
          <w:tab w:val="clear" w:pos="1711"/>
        </w:tabs>
        <w:spacing w:before="260"/>
        <w:ind w:left="945" w:leftChars="450"/>
        <w:jc w:val="left"/>
        <w:outlineLvl w:val="1"/>
        <w:rPr>
          <w:rFonts w:ascii="宋体" w:hAnsi="Arial"/>
          <w:color w:val="000000"/>
          <w:kern w:val="0"/>
        </w:rPr>
      </w:pPr>
      <w:bookmarkStart w:id="80" w:name="_Toc34908942"/>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167005</wp:posOffset>
                </wp:positionV>
                <wp:extent cx="571500" cy="342900"/>
                <wp:effectExtent l="0" t="0" r="1270" b="3810"/>
                <wp:wrapNone/>
                <wp:docPr id="228"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r>
                              <w:rPr>
                                <w:rFonts w:hint="eastAsia" w:ascii="楷体_GB2312" w:hAnsi="宋体" w:eastAsia="楷体_GB2312"/>
                              </w:rPr>
                              <w:t>图纸提供延误</w:t>
                            </w:r>
                          </w:p>
                        </w:txbxContent>
                      </wps:txbx>
                      <wps:bodyPr rot="0" vert="horz" wrap="square" lIns="0" tIns="0" rIns="0" bIns="0" anchor="t" anchorCtr="0" upright="1">
                        <a:noAutofit/>
                      </wps:bodyPr>
                    </wps:wsp>
                  </a:graphicData>
                </a:graphic>
              </wp:anchor>
            </w:drawing>
          </mc:Choice>
          <mc:Fallback>
            <w:pict>
              <v:shape id="文本框 227" o:spid="_x0000_s1026" o:spt="202" type="#_x0000_t202" style="position:absolute;left:0pt;margin-left:0pt;margin-top:13.15pt;height:27pt;width:45pt;z-index:251667456;mso-width-relative:page;mso-height-relative:page;" fillcolor="#FFFFFF" filled="t" stroked="f" coordsize="21600,21600" o:gfxdata="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ah60zUAAAA&#10;BQEAAA8AAAAAAAAAAQAgAAAAIgAAAGRycy9kb3ducmV2LnhtbFBLAQIUABQAAAAIAIdO4kBazx5O&#10;IQIAADEEAAAOAAAAAAAAAAEAIAAAACMBAABkcnMvZTJvRG9jLnhtbFBLBQYAAAAABgAGAFkBAAC2&#10;BQAAAAA=&#10;">
                <v:fill on="t" focussize="0,0"/>
                <v:stroke on="f"/>
                <v:imagedata o:title=""/>
                <o:lock v:ext="edit" aspectratio="f"/>
                <v:textbox inset="0mm,0mm,0mm,0mm">
                  <w:txbxContent>
                    <w:p>
                      <w:r>
                        <w:rPr>
                          <w:rFonts w:hint="eastAsia" w:ascii="楷体_GB2312" w:hAnsi="宋体" w:eastAsia="楷体_GB2312"/>
                        </w:rPr>
                        <w:t>图纸提供延误</w:t>
                      </w:r>
                    </w:p>
                  </w:txbxContent>
                </v:textbox>
              </v:shape>
            </w:pict>
          </mc:Fallback>
        </mc:AlternateContent>
      </w:r>
      <w:r>
        <w:rPr>
          <w:rFonts w:hint="eastAsia" w:ascii="宋体" w:hAnsi="Arial"/>
          <w:color w:val="000000"/>
          <w:kern w:val="0"/>
        </w:rPr>
        <w:t>因发包人未能按约定提供图纸，打乱工程施工计划，给承包人造成损失和(或)导致工期延误的，发包人应赔偿承包人损失和(或)顺延延误的工期。</w:t>
      </w:r>
      <w:bookmarkEnd w:id="80"/>
    </w:p>
    <w:p>
      <w:pPr>
        <w:widowControl/>
        <w:numPr>
          <w:ilvl w:val="1"/>
          <w:numId w:val="1"/>
        </w:numPr>
        <w:tabs>
          <w:tab w:val="left" w:pos="1656"/>
          <w:tab w:val="clear" w:pos="1711"/>
        </w:tabs>
        <w:spacing w:before="260"/>
        <w:ind w:left="945" w:leftChars="450"/>
        <w:jc w:val="left"/>
        <w:outlineLvl w:val="1"/>
        <w:rPr>
          <w:rFonts w:ascii="宋体" w:hAnsi="Arial"/>
          <w:color w:val="000000"/>
          <w:kern w:val="0"/>
        </w:rPr>
      </w:pPr>
      <w:bookmarkStart w:id="81" w:name="_Toc34908943"/>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198120</wp:posOffset>
                </wp:positionV>
                <wp:extent cx="571500" cy="342900"/>
                <wp:effectExtent l="0" t="0" r="1270" b="1905"/>
                <wp:wrapNone/>
                <wp:docPr id="227"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r>
                              <w:rPr>
                                <w:rFonts w:hint="eastAsia" w:ascii="楷体_GB2312" w:hAnsi="宋体" w:eastAsia="楷体_GB2312"/>
                              </w:rPr>
                              <w:t>承包人未提交图纸</w:t>
                            </w:r>
                          </w:p>
                        </w:txbxContent>
                      </wps:txbx>
                      <wps:bodyPr rot="0" vert="horz" wrap="square" lIns="0" tIns="0" rIns="0" bIns="0" anchor="t" anchorCtr="0" upright="1">
                        <a:noAutofit/>
                      </wps:bodyPr>
                    </wps:wsp>
                  </a:graphicData>
                </a:graphic>
              </wp:anchor>
            </w:drawing>
          </mc:Choice>
          <mc:Fallback>
            <w:pict>
              <v:shape id="文本框 226" o:spid="_x0000_s1026" o:spt="202" type="#_x0000_t202" style="position:absolute;left:0pt;margin-left:0pt;margin-top:15.6pt;height:27pt;width:45pt;z-index:251668480;mso-width-relative:page;mso-height-relative:page;" fillcolor="#FFFFFF" filled="t" stroked="f" coordsize="21600,21600" o:gfxdata="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0l2j1AAA&#10;AAUBAAAPAAAAAAAAAAEAIAAAACIAAABkcnMvZG93bnJldi54bWxQSwECFAAUAAAACACHTuJArszR&#10;EyICAAAxBAAADgAAAAAAAAABACAAAAAjAQAAZHJzL2Uyb0RvYy54bWxQSwUGAAAAAAYABgBZAQAA&#10;twUAAAAA&#10;">
                <v:fill on="t" focussize="0,0"/>
                <v:stroke on="f"/>
                <v:imagedata o:title=""/>
                <o:lock v:ext="edit" aspectratio="f"/>
                <v:textbox inset="0mm,0mm,0mm,0mm">
                  <w:txbxContent>
                    <w:p>
                      <w:r>
                        <w:rPr>
                          <w:rFonts w:hint="eastAsia" w:ascii="楷体_GB2312" w:hAnsi="宋体" w:eastAsia="楷体_GB2312"/>
                        </w:rPr>
                        <w:t>承包人未提交图纸</w:t>
                      </w:r>
                    </w:p>
                  </w:txbxContent>
                </v:textbox>
              </v:shape>
            </w:pict>
          </mc:Fallback>
        </mc:AlternateContent>
      </w:r>
      <w:r>
        <w:rPr>
          <w:rFonts w:hint="eastAsia" w:ascii="宋体" w:hAnsi="Arial"/>
          <w:color w:val="000000"/>
          <w:kern w:val="0"/>
        </w:rPr>
        <w:t>发包人之所以不能按约定提供图纸，是因为承包人未能提交合同约定应由其提交的图纸或提交的图纸有误所致，承包人无权要求发包人赔偿损失、顺延工期。</w:t>
      </w:r>
      <w:bookmarkEnd w:id="81"/>
    </w:p>
    <w:p>
      <w:pPr>
        <w:widowControl/>
        <w:numPr>
          <w:ilvl w:val="1"/>
          <w:numId w:val="1"/>
        </w:numPr>
        <w:tabs>
          <w:tab w:val="left" w:pos="1656"/>
          <w:tab w:val="clear" w:pos="1711"/>
        </w:tabs>
        <w:spacing w:before="260"/>
        <w:ind w:left="1523" w:leftChars="450" w:hanging="578"/>
        <w:jc w:val="left"/>
        <w:outlineLvl w:val="1"/>
        <w:rPr>
          <w:rFonts w:ascii="宋体" w:hAnsi="Arial"/>
          <w:color w:val="000000"/>
          <w:kern w:val="0"/>
        </w:rPr>
      </w:pPr>
      <w:bookmarkStart w:id="82" w:name="_Toc34908944"/>
      <w: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144145</wp:posOffset>
                </wp:positionV>
                <wp:extent cx="571500" cy="393700"/>
                <wp:effectExtent l="0" t="635" r="1270" b="0"/>
                <wp:wrapNone/>
                <wp:docPr id="226"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571500" cy="393700"/>
                        </a:xfrm>
                        <a:prstGeom prst="rect">
                          <a:avLst/>
                        </a:prstGeom>
                        <a:solidFill>
                          <a:srgbClr val="FFFFFF"/>
                        </a:solidFill>
                        <a:ln>
                          <a:noFill/>
                        </a:ln>
                      </wps:spPr>
                      <wps:txbx>
                        <w:txbxContent>
                          <w:p>
                            <w:pPr>
                              <w:ind w:left="210" w:hanging="210" w:hangingChars="100"/>
                              <w:rPr>
                                <w:rFonts w:ascii="楷体_GB2312" w:eastAsia="楷体_GB2312"/>
                                <w:szCs w:val="21"/>
                              </w:rPr>
                            </w:pPr>
                            <w:r>
                              <w:rPr>
                                <w:rFonts w:hint="eastAsia" w:ascii="楷体_GB2312" w:hAnsi="宋体" w:eastAsia="楷体_GB2312"/>
                              </w:rPr>
                              <w:t>临时工程</w:t>
                            </w:r>
                          </w:p>
                          <w:p>
                            <w:r>
                              <w:rPr>
                                <w:rFonts w:hint="eastAsia" w:ascii="楷体_GB2312" w:hAnsi="宋体" w:eastAsia="楷体_GB2312"/>
                              </w:rPr>
                              <w:t>图纸</w:t>
                            </w:r>
                          </w:p>
                        </w:txbxContent>
                      </wps:txbx>
                      <wps:bodyPr rot="0" vert="horz" wrap="square" lIns="0" tIns="0" rIns="0" bIns="0" anchor="t" anchorCtr="0" upright="1">
                        <a:noAutofit/>
                      </wps:bodyPr>
                    </wps:wsp>
                  </a:graphicData>
                </a:graphic>
              </wp:anchor>
            </w:drawing>
          </mc:Choice>
          <mc:Fallback>
            <w:pict>
              <v:shape id="文本框 225" o:spid="_x0000_s1026" o:spt="202" type="#_x0000_t202" style="position:absolute;left:0pt;margin-left:0pt;margin-top:11.35pt;height:31pt;width:45pt;z-index:251669504;mso-width-relative:page;mso-height-relative:page;" fillcolor="#FFFFFF" filled="t" stroked="f" coordsize="21600,21600" o:gfxdata="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EykW9UA&#10;AAAFAQAADwAAAAAAAAABACAAAAAiAAAAZHJzL2Rvd25yZXYueG1sUEsBAhQAFAAAAAgAh07iQAL/&#10;OcMiAgAAMQQAAA4AAAAAAAAAAQAgAAAAJAEAAGRycy9lMm9Eb2MueG1sUEsFBgAAAAAGAAYAWQEA&#10;ALgFAAAAAA==&#10;">
                <v:fill on="t" focussize="0,0"/>
                <v:stroke on="f"/>
                <v:imagedata o:title=""/>
                <o:lock v:ext="edit" aspectratio="f"/>
                <v:textbox inset="0mm,0mm,0mm,0mm">
                  <w:txbxContent>
                    <w:p>
                      <w:pPr>
                        <w:ind w:left="210" w:hanging="210" w:hangingChars="100"/>
                        <w:rPr>
                          <w:rFonts w:ascii="楷体_GB2312" w:eastAsia="楷体_GB2312"/>
                          <w:szCs w:val="21"/>
                        </w:rPr>
                      </w:pPr>
                      <w:r>
                        <w:rPr>
                          <w:rFonts w:hint="eastAsia" w:ascii="楷体_GB2312" w:hAnsi="宋体" w:eastAsia="楷体_GB2312"/>
                        </w:rPr>
                        <w:t>临时工程</w:t>
                      </w:r>
                    </w:p>
                    <w:p>
                      <w:r>
                        <w:rPr>
                          <w:rFonts w:hint="eastAsia" w:ascii="楷体_GB2312" w:hAnsi="宋体" w:eastAsia="楷体_GB2312"/>
                        </w:rPr>
                        <w:t>图纸</w:t>
                      </w:r>
                    </w:p>
                  </w:txbxContent>
                </v:textbox>
              </v:shape>
            </w:pict>
          </mc:Fallback>
        </mc:AlternateContent>
      </w:r>
      <w:r>
        <w:rPr>
          <w:rFonts w:hint="eastAsia" w:ascii="宋体" w:hAnsi="Arial"/>
          <w:color w:val="000000"/>
          <w:kern w:val="0"/>
        </w:rPr>
        <w:t>当工程师认为需要时，承包人应提交临时工程的设计图纸2份，供工程师批准或备查。</w:t>
      </w:r>
      <w:bookmarkEnd w:id="82"/>
    </w:p>
    <w:p>
      <w:pPr>
        <w:widowControl/>
        <w:numPr>
          <w:ilvl w:val="1"/>
          <w:numId w:val="1"/>
        </w:numPr>
        <w:tabs>
          <w:tab w:val="left" w:pos="1656"/>
          <w:tab w:val="clear" w:pos="1711"/>
        </w:tabs>
        <w:spacing w:before="320"/>
        <w:ind w:left="1523" w:leftChars="450" w:hanging="578"/>
        <w:jc w:val="left"/>
        <w:outlineLvl w:val="1"/>
        <w:rPr>
          <w:rFonts w:ascii="宋体" w:hAnsi="Arial"/>
          <w:color w:val="000000"/>
          <w:kern w:val="0"/>
        </w:rPr>
      </w:pPr>
      <w:bookmarkStart w:id="83" w:name="_Toc34908945"/>
      <w: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195580</wp:posOffset>
                </wp:positionV>
                <wp:extent cx="571500" cy="457200"/>
                <wp:effectExtent l="0" t="3810" r="1270" b="0"/>
                <wp:wrapNone/>
                <wp:docPr id="225"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r>
                              <w:rPr>
                                <w:rFonts w:hint="eastAsia" w:ascii="楷体_GB2312" w:hAnsi="宋体" w:eastAsia="楷体_GB2312"/>
                              </w:rPr>
                              <w:t>补充图纸技术资料</w:t>
                            </w:r>
                          </w:p>
                        </w:txbxContent>
                      </wps:txbx>
                      <wps:bodyPr rot="0" vert="horz" wrap="square" lIns="0" tIns="0" rIns="0" bIns="0" anchor="t" anchorCtr="0" upright="1">
                        <a:noAutofit/>
                      </wps:bodyPr>
                    </wps:wsp>
                  </a:graphicData>
                </a:graphic>
              </wp:anchor>
            </w:drawing>
          </mc:Choice>
          <mc:Fallback>
            <w:pict>
              <v:shape id="文本框 224" o:spid="_x0000_s1026" o:spt="202" type="#_x0000_t202" style="position:absolute;left:0pt;margin-left:0pt;margin-top:15.4pt;height:36pt;width:45pt;z-index:251670528;mso-width-relative:page;mso-height-relative:page;" fillcolor="#FFFFFF" filled="t" stroked="f" coordsize="21600,21600" o:gfxdata="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9ALaNQA&#10;AAAGAQAADwAAAAAAAAABACAAAAAiAAAAZHJzL2Rvd25yZXYueG1sUEsBAhQAFAAAAAgAh07iQNJC&#10;TF0jAgAAMQQAAA4AAAAAAAAAAQAgAAAAIwEAAGRycy9lMm9Eb2MueG1sUEsFBgAAAAAGAAYAWQEA&#10;ALgFAAAAAA==&#10;">
                <v:fill on="t" focussize="0,0"/>
                <v:stroke on="f"/>
                <v:imagedata o:title=""/>
                <o:lock v:ext="edit" aspectratio="f"/>
                <v:textbox inset="0mm,0mm,0mm,0mm">
                  <w:txbxContent>
                    <w:p>
                      <w:r>
                        <w:rPr>
                          <w:rFonts w:hint="eastAsia" w:ascii="楷体_GB2312" w:hAnsi="宋体" w:eastAsia="楷体_GB2312"/>
                        </w:rPr>
                        <w:t>补充图纸技术资料</w:t>
                      </w:r>
                    </w:p>
                  </w:txbxContent>
                </v:textbox>
              </v:shape>
            </w:pict>
          </mc:Fallback>
        </mc:AlternateContent>
      </w:r>
      <w:r>
        <w:rPr>
          <w:rFonts w:hint="eastAsia" w:ascii="宋体" w:hAnsi="Arial"/>
          <w:color w:val="000000"/>
          <w:kern w:val="0"/>
        </w:rPr>
        <w:t>发包人或工程师有权随时向承包人发出为满足本工程的正确实施和完成及其缺陷修复所需的补充图纸和技术资料，承包人应予执行。</w:t>
      </w:r>
      <w:bookmarkEnd w:id="83"/>
    </w:p>
    <w:p>
      <w:pPr>
        <w:pStyle w:val="2"/>
        <w:keepLines w:val="0"/>
        <w:tabs>
          <w:tab w:val="left" w:pos="1620"/>
          <w:tab w:val="left" w:pos="2340"/>
        </w:tabs>
        <w:ind w:left="945" w:leftChars="450"/>
        <w:rPr>
          <w:rFonts w:ascii="宋体" w:hAnsi="宋体"/>
          <w:color w:val="000000"/>
          <w:sz w:val="28"/>
          <w:szCs w:val="28"/>
        </w:rPr>
      </w:pPr>
      <w:bookmarkStart w:id="84" w:name="_Toc34908946"/>
      <w:bookmarkStart w:id="85" w:name="_Toc35656464"/>
      <w:bookmarkStart w:id="86" w:name="_Toc35656964"/>
      <w:r>
        <w:rPr>
          <w:rFonts w:hint="eastAsia" w:ascii="宋体" w:hAnsi="宋体"/>
          <w:color w:val="000000"/>
          <w:sz w:val="28"/>
          <w:szCs w:val="28"/>
        </w:rPr>
        <w:t>通知</w:t>
      </w:r>
      <w:bookmarkEnd w:id="84"/>
      <w:bookmarkEnd w:id="85"/>
      <w:bookmarkEnd w:id="86"/>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87" w:name="_Toc34908947"/>
      <w: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18415</wp:posOffset>
                </wp:positionV>
                <wp:extent cx="571500" cy="342900"/>
                <wp:effectExtent l="0" t="0" r="1270" b="0"/>
                <wp:wrapNone/>
                <wp:docPr id="224"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致承包人通知</w:t>
                            </w:r>
                          </w:p>
                          <w:p/>
                        </w:txbxContent>
                      </wps:txbx>
                      <wps:bodyPr rot="0" vert="horz" wrap="square" lIns="0" tIns="0" rIns="0" bIns="0" anchor="t" anchorCtr="0" upright="1">
                        <a:noAutofit/>
                      </wps:bodyPr>
                    </wps:wsp>
                  </a:graphicData>
                </a:graphic>
              </wp:anchor>
            </w:drawing>
          </mc:Choice>
          <mc:Fallback>
            <w:pict>
              <v:shape id="文本框 223" o:spid="_x0000_s1026" o:spt="202" type="#_x0000_t202" style="position:absolute;left:0pt;margin-left:0pt;margin-top:1.45pt;height:27pt;width:45pt;z-index:251671552;mso-width-relative:page;mso-height-relative:page;" fillcolor="#FFFFFF" filled="t" stroked="f" coordsize="21600,21600" o:gfxdata="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JAfGvTAAAA&#10;BAEAAA8AAAAAAAAAAQAgAAAAIgAAAGRycy9kb3ducmV2LnhtbFBLAQIUABQAAAAIAIdO4kCwRcs2&#10;IgIAADEEAAAOAAAAAAAAAAEAIAAAACI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致承包人通知</w:t>
                      </w:r>
                    </w:p>
                    <w:p/>
                  </w:txbxContent>
                </v:textbox>
              </v:shape>
            </w:pict>
          </mc:Fallback>
        </mc:AlternateContent>
      </w:r>
      <w:r>
        <w:rPr>
          <w:rFonts w:hint="eastAsia" w:ascii="宋体" w:hAnsi="宋体"/>
          <w:color w:val="000000"/>
          <w:kern w:val="0"/>
        </w:rPr>
        <w:t>根据本合同条款由发包人或工程师发给承包人的一切证书、通知或指令均应发送或派专人送达承包人在本合同专用条款中指定的地址或承包人为此指定的其它地址。</w:t>
      </w:r>
      <w:bookmarkEnd w:id="87"/>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88" w:name="_Toc34908948"/>
      <w: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165100</wp:posOffset>
                </wp:positionV>
                <wp:extent cx="571500" cy="571500"/>
                <wp:effectExtent l="0" t="0" r="1270" b="1270"/>
                <wp:wrapNone/>
                <wp:docPr id="223"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致发包人或工程师通知</w:t>
                            </w:r>
                          </w:p>
                          <w:p/>
                        </w:txbxContent>
                      </wps:txbx>
                      <wps:bodyPr rot="0" vert="horz" wrap="square" lIns="0" tIns="0" rIns="0" bIns="0" anchor="t" anchorCtr="0" upright="1">
                        <a:noAutofit/>
                      </wps:bodyPr>
                    </wps:wsp>
                  </a:graphicData>
                </a:graphic>
              </wp:anchor>
            </w:drawing>
          </mc:Choice>
          <mc:Fallback>
            <w:pict>
              <v:shape id="文本框 222" o:spid="_x0000_s1026" o:spt="202" type="#_x0000_t202" style="position:absolute;left:0pt;margin-left:0pt;margin-top:13pt;height:45pt;width:45pt;z-index:251672576;mso-width-relative:page;mso-height-relative:page;" fillcolor="#FFFFFF" filled="t" stroked="f" coordsize="21600,21600" o:gfxdata="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5l3f51AAAAAYBAAAP&#10;AAAAAAAAAAEAIAAAACIAAABkcnMvZG93bnJldi54bWxQSwECFAAUAAAACACHTuJARdIOjxwCAAAx&#10;BAAADgAAAAAAAAABACAAAAAjAQAAZHJzL2Uyb0RvYy54bWxQSwUGAAAAAAYABgBZAQAAsQU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致发包人或工程师通知</w:t>
                      </w:r>
                    </w:p>
                    <w:p/>
                  </w:txbxContent>
                </v:textbox>
              </v:shape>
            </w:pict>
          </mc:Fallback>
        </mc:AlternateContent>
      </w:r>
      <w:r>
        <w:rPr>
          <w:rFonts w:hint="eastAsia" w:ascii="宋体" w:hAnsi="宋体"/>
          <w:color w:val="000000"/>
          <w:kern w:val="0"/>
        </w:rPr>
        <w:t>根据本合同条款由承包人发给发包人或工程师的一切通知均应发送或派专人送达发包人或工程师在本合同专用条款中指定的地址，或者发包人或工程师为此指定的其它地址。</w:t>
      </w:r>
      <w:bookmarkEnd w:id="88"/>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r>
        <mc:AlternateContent>
          <mc:Choice Requires="wps">
            <w:drawing>
              <wp:anchor distT="0" distB="0" distL="114300" distR="114300" simplePos="0" relativeHeight="251868160" behindDoc="0" locked="0" layoutInCell="1" allowOverlap="1">
                <wp:simplePos x="0" y="0"/>
                <wp:positionH relativeFrom="column">
                  <wp:posOffset>0</wp:posOffset>
                </wp:positionH>
                <wp:positionV relativeFrom="paragraph">
                  <wp:posOffset>170180</wp:posOffset>
                </wp:positionV>
                <wp:extent cx="571500" cy="228600"/>
                <wp:effectExtent l="0" t="0" r="1270" b="1905"/>
                <wp:wrapNone/>
                <wp:docPr id="222"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拒收通知</w:t>
                            </w:r>
                          </w:p>
                          <w:p/>
                        </w:txbxContent>
                      </wps:txbx>
                      <wps:bodyPr rot="0" vert="horz" wrap="square" lIns="0" tIns="0" rIns="0" bIns="0" anchor="t" anchorCtr="0" upright="1">
                        <a:noAutofit/>
                      </wps:bodyPr>
                    </wps:wsp>
                  </a:graphicData>
                </a:graphic>
              </wp:anchor>
            </w:drawing>
          </mc:Choice>
          <mc:Fallback>
            <w:pict>
              <v:shape id="文本框 221" o:spid="_x0000_s1026" o:spt="202" type="#_x0000_t202" style="position:absolute;left:0pt;margin-left:0pt;margin-top:13.4pt;height:18pt;width:45pt;z-index:251868160;mso-width-relative:page;mso-height-relative:page;" fillcolor="#FFFFFF" filled="t" stroked="f" coordsize="21600,21600" o:gfxdata="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t+LvtMAAAAF&#10;AQAADwAAAAAAAAABACAAAAAiAAAAZHJzL2Rvd25yZXYueG1sUEsBAhQAFAAAAAgAh07iQN0ip9ch&#10;AgAAMQQAAA4AAAAAAAAAAQAgAAAAIgEAAGRycy9lMm9Eb2MueG1sUEsFBgAAAAAGAAYAWQEAALUF&#10;A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拒收通知</w:t>
                      </w:r>
                    </w:p>
                    <w:p/>
                  </w:txbxContent>
                </v:textbox>
              </v:shape>
            </w:pict>
          </mc:Fallback>
        </mc:AlternateContent>
      </w:r>
      <w:r>
        <w:rPr>
          <w:rFonts w:hint="eastAsia" w:ascii="宋体" w:hAnsi="宋体"/>
          <w:color w:val="000000"/>
          <w:kern w:val="0"/>
        </w:rPr>
        <w:t>如一方拒绝签收另一方通知，另一方以特快专递等专用条款约定的方式将通知送至专用条款中指定的地址，视为送达。</w:t>
      </w:r>
    </w:p>
    <w:p>
      <w:pPr>
        <w:pStyle w:val="2"/>
        <w:keepLines w:val="0"/>
        <w:numPr>
          <w:ilvl w:val="0"/>
          <w:numId w:val="0"/>
        </w:numPr>
        <w:tabs>
          <w:tab w:val="left" w:pos="1620"/>
          <w:tab w:val="left" w:pos="2340"/>
        </w:tabs>
        <w:ind w:left="945" w:leftChars="450"/>
        <w:rPr>
          <w:rFonts w:hAnsi="宋体"/>
          <w:color w:val="000000"/>
          <w:sz w:val="30"/>
        </w:rPr>
      </w:pPr>
      <w:bookmarkStart w:id="89" w:name="_Toc35656465"/>
      <w:bookmarkStart w:id="90" w:name="_Toc35656965"/>
      <w:bookmarkStart w:id="91" w:name="_Toc34908949"/>
      <w:r>
        <w:rPr>
          <w:rFonts w:hint="eastAsia" w:hAnsi="宋体"/>
          <w:color w:val="000000"/>
          <w:sz w:val="30"/>
        </w:rPr>
        <w:t>三、发包人和承包人</w:t>
      </w:r>
      <w:bookmarkEnd w:id="89"/>
      <w:bookmarkEnd w:id="90"/>
      <w:bookmarkEnd w:id="91"/>
    </w:p>
    <w:p>
      <w:pPr>
        <w:pStyle w:val="2"/>
        <w:keepLines w:val="0"/>
        <w:tabs>
          <w:tab w:val="left" w:pos="1620"/>
          <w:tab w:val="left" w:pos="2340"/>
        </w:tabs>
        <w:ind w:left="945" w:leftChars="450"/>
        <w:rPr>
          <w:rFonts w:ascii="宋体" w:hAnsi="宋体"/>
          <w:color w:val="000000"/>
        </w:rPr>
      </w:pPr>
      <w:bookmarkStart w:id="92" w:name="_Toc34908950"/>
      <w:bookmarkStart w:id="93" w:name="_Toc35656466"/>
      <w:bookmarkStart w:id="94" w:name="_Toc35656966"/>
      <w:r>
        <w:rPr>
          <w:sz w:val="28"/>
          <w:szCs w:val="28"/>
        </w:rPr>
        <mc:AlternateContent>
          <mc:Choice Requires="wps">
            <w:drawing>
              <wp:anchor distT="0" distB="0" distL="114300" distR="114300" simplePos="0" relativeHeight="251841536" behindDoc="0" locked="0" layoutInCell="1" allowOverlap="1">
                <wp:simplePos x="0" y="0"/>
                <wp:positionH relativeFrom="column">
                  <wp:posOffset>0</wp:posOffset>
                </wp:positionH>
                <wp:positionV relativeFrom="paragraph">
                  <wp:posOffset>452120</wp:posOffset>
                </wp:positionV>
                <wp:extent cx="571500" cy="342900"/>
                <wp:effectExtent l="0" t="0" r="1270" b="3810"/>
                <wp:wrapNone/>
                <wp:docPr id="221"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发包人</w:t>
                            </w:r>
                            <w:r>
                              <w:rPr>
                                <w:rFonts w:hint="eastAsia" w:ascii="楷体_GB2312" w:eastAsia="楷体_GB2312"/>
                                <w:szCs w:val="21"/>
                              </w:rPr>
                              <w:t>代表</w:t>
                            </w:r>
                          </w:p>
                          <w:p/>
                        </w:txbxContent>
                      </wps:txbx>
                      <wps:bodyPr rot="0" vert="horz" wrap="square" lIns="0" tIns="18000" rIns="0" bIns="0" anchor="t" anchorCtr="0" upright="1">
                        <a:noAutofit/>
                      </wps:bodyPr>
                    </wps:wsp>
                  </a:graphicData>
                </a:graphic>
              </wp:anchor>
            </w:drawing>
          </mc:Choice>
          <mc:Fallback>
            <w:pict>
              <v:shape id="文本框 220" o:spid="_x0000_s1026" o:spt="202" type="#_x0000_t202" style="position:absolute;left:0pt;margin-left:0pt;margin-top:35.6pt;height:27pt;width:45pt;z-index:251841536;mso-width-relative:page;mso-height-relative:page;" fillcolor="#FFFFFF" filled="t" stroked="f" coordsize="21600,21600" o:gfxdata="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nJ&#10;DqvVAAAABgEAAA8AAAAAAAAAAQAgAAAAIgAAAGRycy9kb3ducmV2LnhtbFBLAQIUABQAAAAIAIdO&#10;4kBPsELjJgIAADUEAAAOAAAAAAAAAAEAIAAAACQBAABkcnMvZTJvRG9jLnhtbFBLBQYAAAAABgAG&#10;AFkBAAC8BQAAAAA=&#10;">
                <v:fill on="t" focussize="0,0"/>
                <v:stroke on="f"/>
                <v:imagedata o:title=""/>
                <o:lock v:ext="edit" aspectratio="f"/>
                <v:textbox inset="0mm,0.5mm,0mm,0mm">
                  <w:txbxContent>
                    <w:p>
                      <w:pPr>
                        <w:rPr>
                          <w:rFonts w:ascii="楷体_GB2312" w:eastAsia="楷体_GB2312"/>
                          <w:szCs w:val="21"/>
                        </w:rPr>
                      </w:pPr>
                      <w:r>
                        <w:rPr>
                          <w:rFonts w:hint="eastAsia" w:ascii="楷体_GB2312" w:hAnsi="宋体" w:eastAsia="楷体_GB2312"/>
                        </w:rPr>
                        <w:t>发包人</w:t>
                      </w:r>
                      <w:r>
                        <w:rPr>
                          <w:rFonts w:hint="eastAsia" w:ascii="楷体_GB2312" w:eastAsia="楷体_GB2312"/>
                          <w:szCs w:val="21"/>
                        </w:rPr>
                        <w:t>代表</w:t>
                      </w:r>
                    </w:p>
                    <w:p/>
                  </w:txbxContent>
                </v:textbox>
              </v:shape>
            </w:pict>
          </mc:Fallback>
        </mc:AlternateContent>
      </w:r>
      <w:r>
        <w:rPr>
          <w:rFonts w:hint="eastAsia" w:ascii="宋体" w:hAnsi="宋体"/>
          <w:color w:val="000000"/>
          <w:sz w:val="28"/>
          <w:szCs w:val="28"/>
        </w:rPr>
        <w:t>发包人</w:t>
      </w:r>
      <w:bookmarkEnd w:id="92"/>
      <w:bookmarkEnd w:id="93"/>
      <w:bookmarkEnd w:id="94"/>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95" w:name="_Toc34908951"/>
      <w:r>
        <w:rPr>
          <w:rFonts w:hint="eastAsia" w:ascii="宋体" w:hAnsi="宋体"/>
          <w:color w:val="000000"/>
          <w:kern w:val="0"/>
        </w:rPr>
        <w:t>发包人可任命发包人代表，发包人代表的姓名在专用条款中明确。本合同中约定由发包人确认、批准、同意、审批等事项均应以发包人盖章或发包人代表签字为准。发包人如需更换发包人代表，应至少提前7天以书面形式通知工程师和承包人。</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172085</wp:posOffset>
                </wp:positionV>
                <wp:extent cx="571500" cy="342900"/>
                <wp:effectExtent l="0" t="0" r="1270" b="3175"/>
                <wp:wrapNone/>
                <wp:docPr id="220"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发包人义务</w:t>
                            </w:r>
                          </w:p>
                          <w:p/>
                        </w:txbxContent>
                      </wps:txbx>
                      <wps:bodyPr rot="0" vert="horz" wrap="square" lIns="0" tIns="0" rIns="0" bIns="0" anchor="t" anchorCtr="0" upright="1">
                        <a:noAutofit/>
                      </wps:bodyPr>
                    </wps:wsp>
                  </a:graphicData>
                </a:graphic>
              </wp:anchor>
            </w:drawing>
          </mc:Choice>
          <mc:Fallback>
            <w:pict>
              <v:shape id="文本框 219" o:spid="_x0000_s1026" o:spt="202" type="#_x0000_t202" style="position:absolute;left:0pt;margin-left:0pt;margin-top:13.55pt;height:27pt;width:45pt;z-index:251673600;mso-width-relative:page;mso-height-relative:page;" fillcolor="#FFFFFF" filled="t" stroked="f" coordsize="21600,21600" o:gfxdata="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VhBYzUAAAA&#10;BQEAAA8AAAAAAAAAAQAgAAAAIgAAAGRycy9kb3ducmV2LnhtbFBLAQIUABQAAAAIAIdO4kDtWfua&#10;IQIAADEEAAAOAAAAAAAAAAEAIAAAACM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发包人义务</w:t>
                      </w:r>
                    </w:p>
                    <w:p/>
                  </w:txbxContent>
                </v:textbox>
              </v:shape>
            </w:pict>
          </mc:Fallback>
        </mc:AlternateContent>
      </w:r>
      <w:r>
        <w:rPr>
          <w:rFonts w:hint="eastAsia" w:ascii="宋体" w:hAnsi="宋体"/>
          <w:color w:val="000000"/>
          <w:kern w:val="0"/>
        </w:rPr>
        <w:t>发包人应履行本合同所约定的全部义务。发包人应按本合同约定的期限和方式向承包人支付合同价款及其它应支付的款项，并按本合同约定向承包人提供标准、规范、图纸、材料、设备、装备及其它物品。</w:t>
      </w:r>
      <w:bookmarkEnd w:id="95"/>
      <w:r>
        <w:rPr>
          <w:rFonts w:hint="eastAsia" w:ascii="宋体" w:hAnsi="宋体"/>
          <w:color w:val="000000"/>
          <w:kern w:val="0"/>
        </w:rPr>
        <w:t>发包人应保证其人员配合承包人的工作并遵守关于工程安全与环境保护的规定。</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96" w:name="_Toc34908952"/>
      <w: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173990</wp:posOffset>
                </wp:positionV>
                <wp:extent cx="571500" cy="342900"/>
                <wp:effectExtent l="0" t="3810" r="1270" b="0"/>
                <wp:wrapNone/>
                <wp:docPr id="219"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发包人工作</w:t>
                            </w:r>
                          </w:p>
                          <w:p/>
                        </w:txbxContent>
                      </wps:txbx>
                      <wps:bodyPr rot="0" vert="horz" wrap="square" lIns="0" tIns="0" rIns="0" bIns="0" anchor="t" anchorCtr="0" upright="1">
                        <a:noAutofit/>
                      </wps:bodyPr>
                    </wps:wsp>
                  </a:graphicData>
                </a:graphic>
              </wp:anchor>
            </w:drawing>
          </mc:Choice>
          <mc:Fallback>
            <w:pict>
              <v:shape id="文本框 218" o:spid="_x0000_s1026" o:spt="202" type="#_x0000_t202" style="position:absolute;left:0pt;margin-left:0pt;margin-top:13.7pt;height:27pt;width:45pt;z-index:251674624;mso-width-relative:page;mso-height-relative:page;" fillcolor="#FFFFFF" filled="t" stroked="f" coordsize="21600,21600" o:gfxdata="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aiL9dUA&#10;AAAFAQAADwAAAAAAAAABACAAAAAiAAAAZHJzL2Rvd25yZXYueG1sUEsBAhQAFAAAAAgAh07iQBFp&#10;YMwiAgAAMQQAAA4AAAAAAAAAAQAgAAAAJAEAAGRycy9lMm9Eb2MueG1sUEsFBgAAAAAGAAYAWQEA&#10;ALgFA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发包人工作</w:t>
                      </w:r>
                    </w:p>
                    <w:p/>
                  </w:txbxContent>
                </v:textbox>
              </v:shape>
            </w:pict>
          </mc:Fallback>
        </mc:AlternateContent>
      </w:r>
      <w:r>
        <w:rPr>
          <w:rFonts w:hint="eastAsia" w:ascii="宋体" w:hAnsi="宋体"/>
          <w:color w:val="000000"/>
          <w:kern w:val="0"/>
        </w:rPr>
        <w:t>发包人应在本工程开工前按照专用条款的约定完成以下工作，并承担相关费用</w:t>
      </w:r>
      <w:bookmarkEnd w:id="96"/>
      <w:r>
        <w:rPr>
          <w:rFonts w:hint="eastAsia" w:ascii="宋体" w:hAnsi="宋体"/>
          <w:color w:val="000000"/>
          <w:kern w:val="0"/>
        </w:rPr>
        <w:t>：</w:t>
      </w:r>
    </w:p>
    <w:p>
      <w:pPr>
        <w:widowControl/>
        <w:ind w:left="1449" w:leftChars="690"/>
        <w:rPr>
          <w:rFonts w:ascii="宋体" w:hAnsi="宋体"/>
          <w:color w:val="000000"/>
          <w:kern w:val="0"/>
        </w:rPr>
      </w:pPr>
      <w:r>
        <w:rPr>
          <w:rFonts w:hint="eastAsia" w:ascii="宋体" w:hAnsi="宋体"/>
          <w:color w:val="000000"/>
          <w:kern w:val="0"/>
        </w:rPr>
        <w:t>⑴办理土地征用、拆迁补偿、平整施工场地等工作，使施工场地具备施工条件，在开工后继续负责解决上述工作遗留的问题；</w:t>
      </w:r>
    </w:p>
    <w:p>
      <w:pPr>
        <w:widowControl/>
        <w:ind w:left="1449" w:leftChars="690"/>
        <w:rPr>
          <w:rFonts w:ascii="宋体" w:hAnsi="宋体"/>
          <w:color w:val="000000"/>
          <w:kern w:val="0"/>
        </w:rPr>
      </w:pPr>
      <w:r>
        <w:rPr>
          <w:rFonts w:hint="eastAsia" w:ascii="宋体" w:hAnsi="宋体"/>
          <w:color w:val="000000"/>
          <w:kern w:val="0"/>
        </w:rPr>
        <w:t>⑵将施工所需水、电、通讯线路从施工场地外部接驳到施工场地内，保证施工期间的需要；</w:t>
      </w:r>
    </w:p>
    <w:p>
      <w:pPr>
        <w:widowControl/>
        <w:ind w:left="1449" w:leftChars="690"/>
        <w:jc w:val="left"/>
        <w:rPr>
          <w:rFonts w:ascii="宋体" w:hAnsi="宋体"/>
          <w:color w:val="000000"/>
          <w:kern w:val="0"/>
        </w:rPr>
      </w:pPr>
      <w:r>
        <w:rPr>
          <w:rFonts w:hint="eastAsia" w:ascii="宋体" w:hAnsi="宋体"/>
          <w:color w:val="000000"/>
          <w:kern w:val="0"/>
        </w:rPr>
        <w:t>⑶开通施工场地与城乡公共道路间的通道，满足施工运输的需要；</w:t>
      </w:r>
    </w:p>
    <w:p>
      <w:pPr>
        <w:widowControl/>
        <w:ind w:left="1449" w:leftChars="690"/>
        <w:jc w:val="left"/>
        <w:rPr>
          <w:rFonts w:ascii="宋体" w:hAnsi="宋体"/>
          <w:color w:val="000000"/>
          <w:kern w:val="0"/>
        </w:rPr>
      </w:pPr>
      <w:r>
        <w:rPr>
          <w:rFonts w:hint="eastAsia" w:ascii="宋体" w:hAnsi="宋体"/>
          <w:color w:val="000000"/>
          <w:kern w:val="0"/>
        </w:rPr>
        <w:t>⑷向承包人提供施工场地的工程地质和地下管线资料，对资料的真实性、准确性负责；</w:t>
      </w:r>
    </w:p>
    <w:p>
      <w:pPr>
        <w:widowControl/>
        <w:ind w:left="1449" w:leftChars="690"/>
        <w:jc w:val="left"/>
        <w:rPr>
          <w:rFonts w:ascii="宋体" w:hAnsi="宋体"/>
          <w:color w:val="000000"/>
          <w:kern w:val="0"/>
        </w:rPr>
      </w:pPr>
      <w:r>
        <w:rPr>
          <w:rFonts w:hint="eastAsia" w:ascii="宋体" w:hAnsi="宋体"/>
          <w:color w:val="000000"/>
          <w:kern w:val="0"/>
        </w:rPr>
        <w:t>⑸办理规划、施工许可证以及停水、停电、中断道路交通、爆破作业等的批件；</w:t>
      </w:r>
    </w:p>
    <w:p>
      <w:pPr>
        <w:widowControl/>
        <w:ind w:left="1449" w:leftChars="690"/>
        <w:jc w:val="left"/>
        <w:rPr>
          <w:rFonts w:ascii="宋体" w:hAnsi="宋体"/>
          <w:color w:val="000000"/>
          <w:kern w:val="0"/>
        </w:rPr>
      </w:pPr>
      <w:r>
        <w:rPr>
          <w:rFonts w:hint="eastAsia" w:ascii="宋体" w:hAnsi="宋体"/>
          <w:color w:val="000000"/>
          <w:kern w:val="0"/>
        </w:rPr>
        <w:t>⑹确定水准点与坐标控制点，组织现场交验并移交给承包人；</w:t>
      </w:r>
    </w:p>
    <w:p>
      <w:pPr>
        <w:widowControl/>
        <w:ind w:left="1449" w:leftChars="690"/>
        <w:jc w:val="left"/>
        <w:rPr>
          <w:rFonts w:ascii="宋体" w:hAnsi="宋体"/>
          <w:color w:val="000000"/>
          <w:kern w:val="0"/>
        </w:rPr>
      </w:pPr>
      <w:r>
        <w:rPr>
          <w:rFonts w:hint="eastAsia" w:ascii="宋体" w:hAnsi="宋体"/>
          <w:color w:val="000000"/>
          <w:kern w:val="0"/>
        </w:rPr>
        <w:t>⑺组织承包人和设计人进行图纸会审和设计交底；</w:t>
      </w:r>
    </w:p>
    <w:p>
      <w:pPr>
        <w:widowControl/>
        <w:ind w:left="1449" w:leftChars="690"/>
        <w:jc w:val="left"/>
        <w:rPr>
          <w:rFonts w:ascii="宋体" w:hAnsi="宋体"/>
          <w:color w:val="000000"/>
          <w:kern w:val="0"/>
        </w:rPr>
      </w:pPr>
      <w:r>
        <w:rPr>
          <w:rFonts w:hint="eastAsia" w:ascii="宋体" w:hAnsi="宋体"/>
          <w:color w:val="000000"/>
          <w:kern w:val="0"/>
        </w:rPr>
        <w:t>⑻协调处理施工场地周围地下管线和邻近建筑物、构筑物(包括文物保护建筑)、古树名木等的保护工作；</w:t>
      </w:r>
    </w:p>
    <w:p>
      <w:pPr>
        <w:widowControl/>
        <w:ind w:left="1449" w:leftChars="690"/>
        <w:jc w:val="left"/>
        <w:rPr>
          <w:rFonts w:ascii="宋体" w:hAnsi="宋体"/>
          <w:color w:val="000000"/>
          <w:kern w:val="0"/>
        </w:rPr>
      </w:pPr>
      <w:r>
        <w:rPr>
          <w:rFonts w:hint="eastAsia" w:ascii="宋体" w:hAnsi="宋体"/>
          <w:color w:val="000000"/>
          <w:kern w:val="0"/>
        </w:rPr>
        <w:t>⑼发包人承包人在专用条款内约定发包人应做的其他工作。</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97" w:name="_Toc34908953"/>
      <w: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627380</wp:posOffset>
                </wp:positionV>
                <wp:extent cx="571500" cy="571500"/>
                <wp:effectExtent l="0" t="0" r="1270" b="4445"/>
                <wp:wrapNone/>
                <wp:docPr id="218"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发包人未完成约定工作</w:t>
                            </w:r>
                          </w:p>
                          <w:p/>
                        </w:txbxContent>
                      </wps:txbx>
                      <wps:bodyPr rot="0" vert="horz" wrap="square" lIns="0" tIns="64800" rIns="0" bIns="0" anchor="t" anchorCtr="0" upright="1">
                        <a:noAutofit/>
                      </wps:bodyPr>
                    </wps:wsp>
                  </a:graphicData>
                </a:graphic>
              </wp:anchor>
            </w:drawing>
          </mc:Choice>
          <mc:Fallback>
            <w:pict>
              <v:shape id="文本框 217" o:spid="_x0000_s1026" o:spt="202" type="#_x0000_t202" style="position:absolute;left:0pt;margin-left:0pt;margin-top:49.4pt;height:45pt;width:45pt;z-index:251676672;mso-width-relative:page;mso-height-relative:page;" fillcolor="#FFFFFF" filled="t" stroked="f" coordsize="21600,21600" o:gfxdata="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KJn0QAAAAYB&#10;AAAPAAAAAAAAAAEAIAAAACIAAABkcnMvZG93bnJldi54bWxQSwECFAAUAAAACACHTuJA/6UUTSIC&#10;AAA1BAAADgAAAAAAAAABACAAAAAgAQAAZHJzL2Uyb0RvYy54bWxQSwUGAAAAAAYABgBZAQAAtAUA&#10;AAAA&#10;">
                <v:fill on="t" focussize="0,0"/>
                <v:stroke on="f"/>
                <v:imagedata o:title=""/>
                <o:lock v:ext="edit" aspectratio="f"/>
                <v:textbox inset="0mm,1.8mm,0mm,0mm">
                  <w:txbxContent>
                    <w:p>
                      <w:pPr>
                        <w:rPr>
                          <w:rFonts w:ascii="楷体_GB2312" w:eastAsia="楷体_GB2312"/>
                          <w:szCs w:val="21"/>
                        </w:rPr>
                      </w:pPr>
                      <w:r>
                        <w:rPr>
                          <w:rFonts w:hint="eastAsia" w:ascii="楷体_GB2312" w:hAnsi="宋体" w:eastAsia="楷体_GB2312"/>
                        </w:rPr>
                        <w:t>发包人未完成约定工作</w:t>
                      </w:r>
                    </w:p>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170180</wp:posOffset>
                </wp:positionV>
                <wp:extent cx="571500" cy="346075"/>
                <wp:effectExtent l="0" t="0" r="1270" b="1270"/>
                <wp:wrapNone/>
                <wp:docPr id="217"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571500" cy="346075"/>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发包人委托</w:t>
                            </w:r>
                          </w:p>
                          <w:p/>
                        </w:txbxContent>
                      </wps:txbx>
                      <wps:bodyPr rot="0" vert="horz" wrap="square" lIns="0" tIns="0" rIns="0" bIns="0" anchor="t" anchorCtr="0" upright="1">
                        <a:noAutofit/>
                      </wps:bodyPr>
                    </wps:wsp>
                  </a:graphicData>
                </a:graphic>
              </wp:anchor>
            </w:drawing>
          </mc:Choice>
          <mc:Fallback>
            <w:pict>
              <v:shape id="文本框 216" o:spid="_x0000_s1026" o:spt="202" type="#_x0000_t202" style="position:absolute;left:0pt;margin-left:0pt;margin-top:13.4pt;height:27.25pt;width:45pt;z-index:251675648;mso-width-relative:page;mso-height-relative:page;" fillcolor="#FFFFFF" filled="t" stroked="f" coordsize="21600,21600" o:gfxdata="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wFGmjU&#10;AAAABQEAAA8AAAAAAAAAAQAgAAAAIgAAAGRycy9kb3ducmV2LnhtbFBLAQIUABQAAAAIAIdO4kC3&#10;sW60JAIAADEEAAAOAAAAAAAAAAEAIAAAACMBAABkcnMvZTJvRG9jLnhtbFBLBQYAAAAABgAGAFkB&#10;AAC5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发包人委托</w:t>
                      </w:r>
                    </w:p>
                    <w:p/>
                  </w:txbxContent>
                </v:textbox>
              </v:shape>
            </w:pict>
          </mc:Fallback>
        </mc:AlternateContent>
      </w:r>
      <w:r>
        <w:rPr>
          <w:rFonts w:hint="eastAsia" w:ascii="宋体" w:hAnsi="宋体"/>
          <w:color w:val="000000"/>
          <w:kern w:val="0"/>
        </w:rPr>
        <w:t>发包人可将9.3款部分工作委托承包人办理，具体委托内容由双方在专用条款中约定，费用由发包人承担。</w:t>
      </w:r>
      <w:bookmarkEnd w:id="97"/>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98" w:name="_Toc34908954"/>
      <w:r>
        <w:rPr>
          <w:rFonts w:hint="eastAsia" w:ascii="宋体" w:hAnsi="宋体"/>
          <w:color w:val="000000"/>
          <w:kern w:val="0"/>
        </w:rPr>
        <w:t>发包人未完成9.3款约定的各项工作，且未委托承包人办理，给承包人造成损失和(或)导致工期延误的，发包人应赔偿承包人损失和(或)顺延延误的工期。</w:t>
      </w:r>
      <w:bookmarkEnd w:id="98"/>
    </w:p>
    <w:p>
      <w:pPr>
        <w:pStyle w:val="2"/>
        <w:keepLines w:val="0"/>
        <w:tabs>
          <w:tab w:val="left" w:pos="1620"/>
          <w:tab w:val="left" w:pos="2340"/>
        </w:tabs>
        <w:ind w:left="945" w:leftChars="450"/>
        <w:rPr>
          <w:rFonts w:ascii="宋体" w:hAnsi="宋体"/>
          <w:color w:val="000000"/>
        </w:rPr>
      </w:pPr>
      <w:bookmarkStart w:id="99" w:name="_Toc35656467"/>
      <w:bookmarkStart w:id="100" w:name="_Toc34908955"/>
      <w:bookmarkStart w:id="101" w:name="_Toc35656967"/>
      <w:r>
        <w:rPr>
          <w:sz w:val="28"/>
          <w:szCs w:val="28"/>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619125</wp:posOffset>
                </wp:positionV>
                <wp:extent cx="571500" cy="432435"/>
                <wp:effectExtent l="0" t="0" r="1270" b="635"/>
                <wp:wrapNone/>
                <wp:docPr id="216"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571500" cy="432435"/>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承包人义务</w:t>
                            </w:r>
                          </w:p>
                          <w:p/>
                        </w:txbxContent>
                      </wps:txbx>
                      <wps:bodyPr rot="0" vert="horz" wrap="square" lIns="0" tIns="54000" rIns="0" bIns="0" anchor="t" anchorCtr="0" upright="1">
                        <a:noAutofit/>
                      </wps:bodyPr>
                    </wps:wsp>
                  </a:graphicData>
                </a:graphic>
              </wp:anchor>
            </w:drawing>
          </mc:Choice>
          <mc:Fallback>
            <w:pict>
              <v:shape id="文本框 215" o:spid="_x0000_s1026" o:spt="202" type="#_x0000_t202" style="position:absolute;left:0pt;margin-left:0pt;margin-top:48.75pt;height:34.05pt;width:45pt;z-index:251677696;mso-width-relative:page;mso-height-relative:page;" fillcolor="#FFFFFF" filled="t" stroked="f" coordsize="21600,21600" o:gfxdata="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T19HTWAAAABgEAAA8AAAAAAAAAAQAgAAAAIgAAAGRycy9kb3ducmV2LnhtbFBLAQIUABQAAAAI&#10;AIdO4kAFM4sWKAIAADUEAAAOAAAAAAAAAAEAIAAAACUBAABkcnMvZTJvRG9jLnhtbFBLBQYAAAAA&#10;BgAGAFkBAAC/BQAAAAA=&#10;">
                <v:fill on="t" focussize="0,0"/>
                <v:stroke on="f"/>
                <v:imagedata o:title=""/>
                <o:lock v:ext="edit" aspectratio="f"/>
                <v:textbox inset="0mm,1.5mm,0mm,0mm">
                  <w:txbxContent>
                    <w:p>
                      <w:pPr>
                        <w:rPr>
                          <w:rFonts w:ascii="楷体_GB2312" w:eastAsia="楷体_GB2312"/>
                          <w:szCs w:val="21"/>
                        </w:rPr>
                      </w:pPr>
                      <w:r>
                        <w:rPr>
                          <w:rFonts w:hint="eastAsia" w:ascii="楷体_GB2312" w:hAnsi="宋体" w:eastAsia="楷体_GB2312"/>
                        </w:rPr>
                        <w:t>承包人义务</w:t>
                      </w:r>
                    </w:p>
                    <w:p/>
                  </w:txbxContent>
                </v:textbox>
              </v:shape>
            </w:pict>
          </mc:Fallback>
        </mc:AlternateContent>
      </w:r>
      <w:r>
        <w:rPr>
          <w:rFonts w:hint="eastAsia" w:ascii="宋体" w:hAnsi="宋体"/>
          <w:color w:val="000000"/>
          <w:sz w:val="28"/>
          <w:szCs w:val="28"/>
        </w:rPr>
        <w:t>承包人</w:t>
      </w:r>
      <w:bookmarkEnd w:id="99"/>
      <w:bookmarkEnd w:id="100"/>
      <w:bookmarkEnd w:id="101"/>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02" w:name="_Toc34908956"/>
      <w:r>
        <w:rPr>
          <w:rFonts w:hint="eastAsia" w:ascii="宋体" w:hAnsi="宋体"/>
          <w:color w:val="000000"/>
          <w:kern w:val="0"/>
        </w:rPr>
        <w:t>承包人应履行本合同所约定的全部义务。承包人应负责做好合同约定的设计工作，精心组织施工，按时完成本工程及其在缺陷保修期内对缺陷的修复。为此，承包人应提供所需的全部监督管理、人工、材料、设备、施工装备、往返工地的交通以及合同订明或合理地推断为进行本工程而需要的各种事物。</w:t>
      </w:r>
      <w:bookmarkEnd w:id="102"/>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03" w:name="_Toc34908957"/>
      <w: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182880</wp:posOffset>
                </wp:positionV>
                <wp:extent cx="571500" cy="342900"/>
                <wp:effectExtent l="0" t="0" r="1270" b="4445"/>
                <wp:wrapNone/>
                <wp:docPr id="215"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承包人工作</w:t>
                            </w:r>
                          </w:p>
                          <w:p/>
                        </w:txbxContent>
                      </wps:txbx>
                      <wps:bodyPr rot="0" vert="horz" wrap="square" lIns="0" tIns="0" rIns="0" bIns="0" anchor="t" anchorCtr="0" upright="1">
                        <a:noAutofit/>
                      </wps:bodyPr>
                    </wps:wsp>
                  </a:graphicData>
                </a:graphic>
              </wp:anchor>
            </w:drawing>
          </mc:Choice>
          <mc:Fallback>
            <w:pict>
              <v:shape id="文本框 214" o:spid="_x0000_s1026" o:spt="202" type="#_x0000_t202" style="position:absolute;left:0pt;margin-left:0pt;margin-top:14.4pt;height:27pt;width:45pt;z-index:251678720;mso-width-relative:page;mso-height-relative:page;" fillcolor="#FFFFFF" filled="t" stroked="f" coordsize="21600,21600" o:gfxdata="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JUk1NMAAAAF&#10;AQAADwAAAAAAAAABACAAAAAiAAAAZHJzL2Rvd25yZXYueG1sUEsBAhQAFAAAAAgAh07iQLI06sIh&#10;AgAAMQQAAA4AAAAAAAAAAQAgAAAAIgEAAGRycy9lMm9Eb2MueG1sUEsFBgAAAAAGAAYAWQEAALUF&#10;A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承包人工作</w:t>
                      </w:r>
                    </w:p>
                    <w:p/>
                  </w:txbxContent>
                </v:textbox>
              </v:shape>
            </w:pict>
          </mc:Fallback>
        </mc:AlternateContent>
      </w:r>
      <w:bookmarkEnd w:id="103"/>
      <w:r>
        <w:rPr>
          <w:rFonts w:hint="eastAsia" w:ascii="宋体" w:hAnsi="宋体"/>
          <w:color w:val="000000"/>
          <w:kern w:val="0"/>
        </w:rPr>
        <w:t>承包人应按照专用条款约定完成以下工作：</w:t>
      </w:r>
    </w:p>
    <w:p>
      <w:pPr>
        <w:widowControl/>
        <w:ind w:left="1449" w:leftChars="690"/>
        <w:jc w:val="left"/>
        <w:rPr>
          <w:rFonts w:ascii="宋体" w:hAnsi="宋体"/>
          <w:color w:val="000000"/>
          <w:kern w:val="0"/>
        </w:rPr>
      </w:pPr>
      <w:r>
        <w:rPr>
          <w:rFonts w:hint="eastAsia" w:ascii="宋体" w:hAnsi="宋体"/>
          <w:color w:val="000000"/>
          <w:kern w:val="0"/>
        </w:rPr>
        <w:t>⑴由承包人负责设计的工程，在其设计资质等级和业务允许的范围内完成发包人委托的工程施工图设计，经工程师审核发包人确认后使用；</w:t>
      </w:r>
    </w:p>
    <w:p>
      <w:pPr>
        <w:widowControl/>
        <w:ind w:left="1449" w:leftChars="690"/>
        <w:rPr>
          <w:rFonts w:ascii="宋体" w:hAnsi="宋体"/>
          <w:color w:val="000000"/>
          <w:kern w:val="0"/>
        </w:rPr>
      </w:pPr>
      <w:r>
        <w:rPr>
          <w:rFonts w:hint="eastAsia" w:ascii="宋体" w:hAnsi="宋体"/>
          <w:color w:val="000000"/>
          <w:kern w:val="0"/>
        </w:rPr>
        <w:t>⑵承担施工场地安全保卫工作，提供和维修非夜间施工使用的照明、围护设施；</w:t>
      </w:r>
    </w:p>
    <w:p>
      <w:pPr>
        <w:widowControl/>
        <w:ind w:left="1449" w:leftChars="690"/>
        <w:rPr>
          <w:rFonts w:ascii="宋体" w:hAnsi="宋体"/>
          <w:color w:val="000000"/>
          <w:kern w:val="0"/>
        </w:rPr>
      </w:pPr>
      <w:r>
        <w:rPr>
          <w:rFonts w:hint="eastAsia" w:ascii="宋体" w:hAnsi="宋体"/>
          <w:color w:val="000000"/>
          <w:kern w:val="0"/>
        </w:rPr>
        <w:t>⑶向发包人提供施工场地办公和生活的房屋及设施，发包人承担由此发生的费用；</w:t>
      </w:r>
    </w:p>
    <w:p>
      <w:pPr>
        <w:widowControl/>
        <w:ind w:left="1449" w:leftChars="690"/>
        <w:jc w:val="left"/>
        <w:rPr>
          <w:rFonts w:ascii="宋体" w:hAnsi="宋体"/>
          <w:color w:val="000000"/>
          <w:kern w:val="0"/>
        </w:rPr>
      </w:pPr>
      <w:r>
        <w:rPr>
          <w:rFonts w:hint="eastAsia" w:ascii="宋体" w:hAnsi="宋体"/>
          <w:color w:val="000000"/>
          <w:kern w:val="0"/>
        </w:rPr>
        <w:t>⑷根据法律、法规和规章有关施工场地交通、环境保护、施工噪音、安全生产、文明施工等的管理规定，办理相关手续，并通知工程师。发包人承担由此发生的费用，因承包人责任造成的罚款除外；</w:t>
      </w:r>
    </w:p>
    <w:p>
      <w:pPr>
        <w:widowControl/>
        <w:ind w:left="1449" w:leftChars="690"/>
        <w:jc w:val="left"/>
        <w:rPr>
          <w:rFonts w:ascii="宋体" w:hAnsi="宋体"/>
          <w:color w:val="000000"/>
          <w:kern w:val="0"/>
        </w:rPr>
      </w:pPr>
      <w:r>
        <w:rPr>
          <w:rFonts w:hint="eastAsia" w:ascii="宋体" w:hAnsi="宋体"/>
          <w:color w:val="000000"/>
          <w:kern w:val="0"/>
        </w:rPr>
        <w:t>⑸在本工程或本工程中某单项工程已竣工但未交付发包人以前，负责已完工程的保护工作，保护期间发生损坏，应予以修复并承担费用。如发包人要求承包人采取特殊保护措施，发包人应承担相应费用；</w:t>
      </w:r>
    </w:p>
    <w:p>
      <w:pPr>
        <w:widowControl/>
        <w:ind w:left="1449" w:leftChars="690"/>
        <w:jc w:val="left"/>
        <w:rPr>
          <w:rFonts w:ascii="宋体" w:hAnsi="宋体"/>
          <w:color w:val="000000"/>
          <w:kern w:val="0"/>
        </w:rPr>
      </w:pPr>
      <w:r>
        <w:rPr>
          <w:rFonts w:hint="eastAsia" w:ascii="宋体" w:hAnsi="宋体"/>
          <w:color w:val="000000"/>
          <w:kern w:val="0"/>
        </w:rPr>
        <w:t>⑹做好施工场地地下管线和邻近建筑物、构筑物(包括文物保护建筑)、古树名木等的保护工作；</w:t>
      </w:r>
    </w:p>
    <w:p>
      <w:pPr>
        <w:widowControl/>
        <w:ind w:left="1449" w:leftChars="690"/>
        <w:jc w:val="left"/>
        <w:rPr>
          <w:rFonts w:ascii="宋体" w:hAnsi="宋体"/>
          <w:color w:val="000000"/>
          <w:kern w:val="0"/>
        </w:rPr>
      </w:pPr>
      <w:r>
        <w:rPr>
          <w:rFonts w:hint="eastAsia" w:ascii="宋体" w:hAnsi="宋体"/>
          <w:color w:val="000000"/>
          <w:kern w:val="0"/>
        </w:rPr>
        <w:t>⑺保证施工场地清洁符合环境卫生管理的有关规定，交工前清洁施工现场，承担因自身原因违反有关规定造成的损失和罚款；</w:t>
      </w:r>
    </w:p>
    <w:p>
      <w:pPr>
        <w:widowControl/>
        <w:ind w:left="1449" w:leftChars="690"/>
        <w:jc w:val="left"/>
        <w:rPr>
          <w:rFonts w:ascii="宋体" w:hAnsi="宋体"/>
          <w:color w:val="000000"/>
          <w:kern w:val="0"/>
        </w:rPr>
      </w:pPr>
      <w:r>
        <w:rPr>
          <w:rFonts w:hint="eastAsia" w:ascii="宋体" w:hAnsi="宋体"/>
          <w:color w:val="000000"/>
          <w:kern w:val="0"/>
        </w:rPr>
        <w:t>⑻发包人和承包人在专用条款内约定承包人应做的其他工作。</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04" w:name="_Toc34908958"/>
      <w: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161925</wp:posOffset>
                </wp:positionV>
                <wp:extent cx="571500" cy="516255"/>
                <wp:effectExtent l="0" t="4445" r="1270" b="3175"/>
                <wp:wrapNone/>
                <wp:docPr id="214"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571500" cy="516255"/>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承包人未完成约定工作</w:t>
                            </w:r>
                          </w:p>
                          <w:p/>
                        </w:txbxContent>
                      </wps:txbx>
                      <wps:bodyPr rot="0" vert="horz" wrap="square" lIns="0" tIns="18000" rIns="0" bIns="0" anchor="t" anchorCtr="0" upright="1">
                        <a:noAutofit/>
                      </wps:bodyPr>
                    </wps:wsp>
                  </a:graphicData>
                </a:graphic>
              </wp:anchor>
            </w:drawing>
          </mc:Choice>
          <mc:Fallback>
            <w:pict>
              <v:shape id="文本框 213" o:spid="_x0000_s1026" o:spt="202" type="#_x0000_t202" style="position:absolute;left:0pt;margin-left:0pt;margin-top:12.75pt;height:40.65pt;width:45pt;z-index:251679744;mso-width-relative:page;mso-height-relative:page;" fillcolor="#FFFFFF" filled="t" stroked="f" coordsize="21600,21600" o:gfxdata="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XrrXnWAAAABgEAAA8AAAAAAAAAAQAgAAAAIgAAAGRycy9kb3ducmV2LnhtbFBLAQIUABQAAAAI&#10;AIdO4kBFoU28KAIAADUEAAAOAAAAAAAAAAEAIAAAACUBAABkcnMvZTJvRG9jLnhtbFBLBQYAAAAA&#10;BgAGAFkBAAC/BQAAAAA=&#10;">
                <v:fill on="t" focussize="0,0"/>
                <v:stroke on="f"/>
                <v:imagedata o:title=""/>
                <o:lock v:ext="edit" aspectratio="f"/>
                <v:textbox inset="0mm,0.5mm,0mm,0mm">
                  <w:txbxContent>
                    <w:p>
                      <w:pPr>
                        <w:rPr>
                          <w:rFonts w:ascii="楷体_GB2312" w:eastAsia="楷体_GB2312"/>
                          <w:szCs w:val="21"/>
                        </w:rPr>
                      </w:pPr>
                      <w:r>
                        <w:rPr>
                          <w:rFonts w:hint="eastAsia" w:ascii="楷体_GB2312" w:hAnsi="宋体" w:eastAsia="楷体_GB2312"/>
                        </w:rPr>
                        <w:t>承包人未完成约定工作</w:t>
                      </w:r>
                    </w:p>
                    <w:p/>
                  </w:txbxContent>
                </v:textbox>
              </v:shape>
            </w:pict>
          </mc:Fallback>
        </mc:AlternateContent>
      </w:r>
      <w:r>
        <w:rPr>
          <w:rFonts w:hint="eastAsia" w:ascii="宋体" w:hAnsi="宋体"/>
          <w:color w:val="000000"/>
          <w:kern w:val="0"/>
        </w:rPr>
        <w:t>承包人未完成10.2款约定的各项工作，给发包人造成损失的，承包人应赔偿发包人的损失。</w:t>
      </w:r>
      <w:bookmarkEnd w:id="104"/>
    </w:p>
    <w:p>
      <w:pPr>
        <w:pStyle w:val="2"/>
        <w:keepLines w:val="0"/>
        <w:numPr>
          <w:ilvl w:val="0"/>
          <w:numId w:val="0"/>
        </w:numPr>
        <w:tabs>
          <w:tab w:val="left" w:pos="1620"/>
          <w:tab w:val="left" w:pos="2340"/>
        </w:tabs>
        <w:ind w:left="945" w:leftChars="450"/>
        <w:rPr>
          <w:rFonts w:hAnsi="宋体"/>
          <w:color w:val="000000"/>
          <w:sz w:val="30"/>
        </w:rPr>
      </w:pPr>
      <w:bookmarkStart w:id="105" w:name="_Toc34908959"/>
      <w:bookmarkStart w:id="106" w:name="_Toc35656968"/>
      <w:r>
        <w:rPr>
          <w:rFonts w:hint="eastAsia" w:hAnsi="宋体"/>
          <w:color w:val="000000"/>
          <w:sz w:val="30"/>
        </w:rPr>
        <w:t>四、工程管理人员</w:t>
      </w:r>
      <w:bookmarkEnd w:id="105"/>
      <w:bookmarkEnd w:id="106"/>
    </w:p>
    <w:p>
      <w:pPr>
        <w:pStyle w:val="2"/>
        <w:keepLines w:val="0"/>
        <w:tabs>
          <w:tab w:val="left" w:pos="1620"/>
          <w:tab w:val="left" w:pos="2340"/>
        </w:tabs>
        <w:ind w:left="945" w:leftChars="450"/>
        <w:rPr>
          <w:rFonts w:ascii="宋体" w:hAnsi="宋体"/>
          <w:color w:val="000000"/>
          <w:sz w:val="28"/>
          <w:szCs w:val="28"/>
        </w:rPr>
      </w:pPr>
      <w:bookmarkStart w:id="107" w:name="_Toc35656468"/>
      <w:bookmarkStart w:id="108" w:name="_Toc34908960"/>
      <w:bookmarkStart w:id="109" w:name="_Toc35656969"/>
      <w:r>
        <w:rPr>
          <w:sz w:val="28"/>
          <w:szCs w:val="28"/>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434340</wp:posOffset>
                </wp:positionV>
                <wp:extent cx="571500" cy="228600"/>
                <wp:effectExtent l="0" t="2540" r="1270" b="0"/>
                <wp:wrapNone/>
                <wp:docPr id="213"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工程师</w:t>
                            </w:r>
                          </w:p>
                          <w:p/>
                        </w:txbxContent>
                      </wps:txbx>
                      <wps:bodyPr rot="0" vert="horz" wrap="square" lIns="0" tIns="36000" rIns="0" bIns="0" anchor="t" anchorCtr="0" upright="1">
                        <a:noAutofit/>
                      </wps:bodyPr>
                    </wps:wsp>
                  </a:graphicData>
                </a:graphic>
              </wp:anchor>
            </w:drawing>
          </mc:Choice>
          <mc:Fallback>
            <w:pict>
              <v:shape id="文本框 212" o:spid="_x0000_s1026" o:spt="202" type="#_x0000_t202" style="position:absolute;left:0pt;margin-left:0pt;margin-top:34.2pt;height:18pt;width:45pt;z-index:251680768;mso-width-relative:page;mso-height-relative:page;" fillcolor="#FFFFFF" filled="t" stroked="f" coordsize="21600,21600" o:gfxdata="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PIOd&#10;1AAAAAYBAAAPAAAAAAAAAAEAIAAAACIAAABkcnMvZG93bnJldi54bWxQSwECFAAUAAAACACHTuJA&#10;mgp3OSUCAAA1BAAADgAAAAAAAAABACAAAAAjAQAAZHJzL2Uyb0RvYy54bWxQSwUGAAAAAAYABgBZ&#10;AQAAugUAAAAA&#10;">
                <v:fill on="t" focussize="0,0"/>
                <v:stroke on="f"/>
                <v:imagedata o:title=""/>
                <o:lock v:ext="edit" aspectratio="f"/>
                <v:textbox inset="0mm,1mm,0mm,0mm">
                  <w:txbxContent>
                    <w:p>
                      <w:pPr>
                        <w:rPr>
                          <w:rFonts w:ascii="楷体_GB2312" w:eastAsia="楷体_GB2312"/>
                          <w:szCs w:val="21"/>
                        </w:rPr>
                      </w:pPr>
                      <w:r>
                        <w:rPr>
                          <w:rFonts w:hint="eastAsia" w:ascii="楷体_GB2312" w:hAnsi="宋体" w:eastAsia="楷体_GB2312"/>
                        </w:rPr>
                        <w:t>工程师</w:t>
                      </w:r>
                    </w:p>
                    <w:p/>
                  </w:txbxContent>
                </v:textbox>
              </v:shape>
            </w:pict>
          </mc:Fallback>
        </mc:AlternateContent>
      </w:r>
      <w:r>
        <w:rPr>
          <w:rFonts w:hint="eastAsia" w:ascii="宋体" w:hAnsi="宋体"/>
          <w:color w:val="000000"/>
          <w:sz w:val="28"/>
          <w:szCs w:val="28"/>
        </w:rPr>
        <w:t>工程师</w:t>
      </w:r>
      <w:bookmarkEnd w:id="107"/>
      <w:bookmarkEnd w:id="108"/>
      <w:bookmarkEnd w:id="109"/>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10" w:name="_Toc34908961"/>
      <w:r>
        <w:rPr>
          <w:rFonts w:hint="eastAsia" w:ascii="宋体" w:hAnsi="宋体"/>
          <w:color w:val="000000"/>
          <w:kern w:val="0"/>
        </w:rPr>
        <w:t>发包人应在本合同专用条款中指定工程</w:t>
      </w:r>
      <w:bookmarkEnd w:id="110"/>
      <w:r>
        <w:rPr>
          <w:rFonts w:hint="eastAsia" w:ascii="宋体" w:hAnsi="宋体"/>
          <w:color w:val="000000"/>
          <w:kern w:val="0"/>
        </w:rPr>
        <w:t>师或者在开工前将工程师的姓名通知承包人。实施监理的工程，发包人应在开工前将监理单位和总监理工程师的名称、监理内容书面通知承包人。发包人对承包人的任何指令必须通过工程师发出。发包人如需更换工程师，应至少提前7天以书面形式通知承包人。</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11" w:name="_Toc34908962"/>
      <w: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191770</wp:posOffset>
                </wp:positionV>
                <wp:extent cx="571500" cy="400050"/>
                <wp:effectExtent l="0" t="2540" r="1270" b="0"/>
                <wp:wrapNone/>
                <wp:docPr id="212"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571500" cy="400050"/>
                        </a:xfrm>
                        <a:prstGeom prst="rect">
                          <a:avLst/>
                        </a:prstGeom>
                        <a:solidFill>
                          <a:srgbClr val="FFFFFF"/>
                        </a:solidFill>
                        <a:ln>
                          <a:noFill/>
                        </a:ln>
                      </wps:spPr>
                      <wps:txbx>
                        <w:txbxContent>
                          <w:p>
                            <w:r>
                              <w:rPr>
                                <w:rFonts w:hint="eastAsia" w:ascii="楷体_GB2312" w:hAnsi="宋体" w:eastAsia="楷体_GB2312"/>
                              </w:rPr>
                              <w:t>工程师职权</w:t>
                            </w:r>
                          </w:p>
                        </w:txbxContent>
                      </wps:txbx>
                      <wps:bodyPr rot="0" vert="horz" wrap="square" lIns="0" tIns="0" rIns="0" bIns="0" anchor="t" anchorCtr="0" upright="1">
                        <a:noAutofit/>
                      </wps:bodyPr>
                    </wps:wsp>
                  </a:graphicData>
                </a:graphic>
              </wp:anchor>
            </w:drawing>
          </mc:Choice>
          <mc:Fallback>
            <w:pict>
              <v:shape id="文本框 211" o:spid="_x0000_s1026" o:spt="202" type="#_x0000_t202" style="position:absolute;left:0pt;margin-left:0pt;margin-top:15.1pt;height:31.5pt;width:45pt;z-index:251681792;mso-width-relative:page;mso-height-relative:page;" fillcolor="#FFFFFF" filled="t" stroked="f" coordsize="21600,21600" o:gfxdata="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GNQt1AAA&#10;AAUBAAAPAAAAAAAAAAEAIAAAACIAAABkcnMvZG93bnJldi54bWxQSwECFAAUAAAACACHTuJAmyq/&#10;eCICAAAxBAAADgAAAAAAAAABACAAAAAjAQAAZHJzL2Uyb0RvYy54bWxQSwUGAAAAAAYABgBZAQAA&#10;twUAAAAA&#10;">
                <v:fill on="t" focussize="0,0"/>
                <v:stroke on="f"/>
                <v:imagedata o:title=""/>
                <o:lock v:ext="edit" aspectratio="f"/>
                <v:textbox inset="0mm,0mm,0mm,0mm">
                  <w:txbxContent>
                    <w:p>
                      <w:r>
                        <w:rPr>
                          <w:rFonts w:hint="eastAsia" w:ascii="楷体_GB2312" w:hAnsi="宋体" w:eastAsia="楷体_GB2312"/>
                        </w:rPr>
                        <w:t>工程师职权</w:t>
                      </w:r>
                    </w:p>
                  </w:txbxContent>
                </v:textbox>
              </v:shape>
            </w:pict>
          </mc:Fallback>
        </mc:AlternateContent>
      </w:r>
      <w:r>
        <w:rPr>
          <w:rFonts w:hint="eastAsia" w:ascii="宋体" w:hAnsi="宋体"/>
          <w:color w:val="000000"/>
          <w:kern w:val="0"/>
        </w:rPr>
        <w:t>工程师应履行本合同条款约定的职责，行使本合同订明或必然隐含的权力。除合同明确说明外，工程师无权修改合同，亦无权免除承包人在合同内的任何职责和义务。工程师在履行和行使其职权时，其任何行为或遗漏，不免除承包人履行合同约定的任何职责和义务。</w:t>
      </w:r>
      <w:bookmarkEnd w:id="111"/>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12" w:name="_Toc34908963"/>
      <w: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134620</wp:posOffset>
                </wp:positionV>
                <wp:extent cx="571500" cy="457200"/>
                <wp:effectExtent l="0" t="0" r="1270" b="1905"/>
                <wp:wrapNone/>
                <wp:docPr id="211"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r>
                              <w:rPr>
                                <w:rFonts w:hint="eastAsia" w:ascii="楷体_GB2312" w:hAnsi="宋体" w:eastAsia="楷体_GB2312"/>
                              </w:rPr>
                              <w:t>工程师权力限制</w:t>
                            </w:r>
                          </w:p>
                        </w:txbxContent>
                      </wps:txbx>
                      <wps:bodyPr rot="0" vert="horz" wrap="square" lIns="0" tIns="36000" rIns="0" bIns="0" anchor="t" anchorCtr="0" upright="1">
                        <a:noAutofit/>
                      </wps:bodyPr>
                    </wps:wsp>
                  </a:graphicData>
                </a:graphic>
              </wp:anchor>
            </w:drawing>
          </mc:Choice>
          <mc:Fallback>
            <w:pict>
              <v:shape id="文本框 210" o:spid="_x0000_s1026" o:spt="202" type="#_x0000_t202" style="position:absolute;left:0pt;margin-left:0pt;margin-top:10.6pt;height:36pt;width:45pt;z-index:251682816;mso-width-relative:page;mso-height-relative:page;" fillcolor="#FFFFFF" filled="t" stroked="f" coordsize="21600,21600" o:gfxdata="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M&#10;FoXi1AAAAAUBAAAPAAAAAAAAAAEAIAAAACIAAABkcnMvZG93bnJldi54bWxQSwECFAAUAAAACACH&#10;TuJAZUTXRygCAAA1BAAADgAAAAAAAAABACAAAAAjAQAAZHJzL2Uyb0RvYy54bWxQSwUGAAAAAAYA&#10;BgBZAQAAvQUAAAAA&#10;">
                <v:fill on="t" focussize="0,0"/>
                <v:stroke on="f"/>
                <v:imagedata o:title=""/>
                <o:lock v:ext="edit" aspectratio="f"/>
                <v:textbox inset="0mm,1mm,0mm,0mm">
                  <w:txbxContent>
                    <w:p>
                      <w:r>
                        <w:rPr>
                          <w:rFonts w:hint="eastAsia" w:ascii="楷体_GB2312" w:hAnsi="宋体" w:eastAsia="楷体_GB2312"/>
                        </w:rPr>
                        <w:t>工程师权力限制</w:t>
                      </w:r>
                    </w:p>
                  </w:txbxContent>
                </v:textbox>
              </v:shape>
            </w:pict>
          </mc:Fallback>
        </mc:AlternateContent>
      </w:r>
      <w:r>
        <w:rPr>
          <w:rFonts w:hint="eastAsia" w:ascii="宋体" w:hAnsi="宋体"/>
          <w:color w:val="000000"/>
          <w:kern w:val="0"/>
        </w:rPr>
        <w:t>工程师行使下列权力时，应先取得发包人的书面批准：</w:t>
      </w:r>
      <w:bookmarkEnd w:id="112"/>
    </w:p>
    <w:p>
      <w:pPr>
        <w:widowControl/>
        <w:ind w:left="1449" w:leftChars="690"/>
        <w:jc w:val="left"/>
        <w:rPr>
          <w:rFonts w:ascii="宋体" w:hAnsi="宋体"/>
          <w:color w:val="000000"/>
          <w:kern w:val="0"/>
        </w:rPr>
      </w:pPr>
      <w:r>
        <w:rPr>
          <w:rFonts w:hint="eastAsia" w:ascii="宋体" w:hAnsi="宋体"/>
          <w:color w:val="000000"/>
          <w:kern w:val="0"/>
        </w:rPr>
        <w:t>⑴发布开工令、停工令、复工令；</w:t>
      </w:r>
    </w:p>
    <w:p>
      <w:pPr>
        <w:widowControl/>
        <w:ind w:left="1449" w:leftChars="690"/>
        <w:jc w:val="left"/>
        <w:rPr>
          <w:rFonts w:ascii="宋体" w:hAnsi="宋体"/>
          <w:color w:val="000000"/>
          <w:kern w:val="0"/>
        </w:rPr>
      </w:pPr>
      <w:r>
        <w:rPr>
          <w:rFonts w:hint="eastAsia" w:ascii="宋体" w:hAnsi="宋体"/>
          <w:color w:val="000000"/>
          <w:kern w:val="0"/>
        </w:rPr>
        <w:t>⑵向设计人或承包人提出建议且提出的建议可能会提高工程造价或延误工期；</w:t>
      </w:r>
    </w:p>
    <w:p>
      <w:pPr>
        <w:widowControl/>
        <w:ind w:left="1449" w:leftChars="690"/>
        <w:jc w:val="left"/>
        <w:rPr>
          <w:rFonts w:ascii="宋体" w:hAnsi="宋体"/>
          <w:color w:val="000000"/>
          <w:kern w:val="0"/>
        </w:rPr>
      </w:pPr>
      <w:r>
        <w:rPr>
          <w:rFonts w:hint="eastAsia" w:ascii="宋体" w:hAnsi="宋体"/>
          <w:color w:val="000000"/>
          <w:kern w:val="0"/>
        </w:rPr>
        <w:t>⑶对本工程任何形式、数量、质量、价款和内容上的变动；</w:t>
      </w:r>
    </w:p>
    <w:p>
      <w:pPr>
        <w:widowControl/>
        <w:ind w:left="1449" w:leftChars="690"/>
        <w:jc w:val="left"/>
        <w:rPr>
          <w:rFonts w:ascii="宋体" w:hAnsi="宋体"/>
          <w:color w:val="000000"/>
          <w:kern w:val="0"/>
        </w:rPr>
      </w:pPr>
      <w:r>
        <w:rPr>
          <w:rFonts w:hint="eastAsia" w:ascii="宋体" w:hAnsi="宋体"/>
          <w:color w:val="000000"/>
          <w:kern w:val="0"/>
        </w:rPr>
        <w:t>⑷对合同约定的承包人职责和义务进行变更；</w:t>
      </w:r>
    </w:p>
    <w:p>
      <w:pPr>
        <w:widowControl/>
        <w:ind w:left="1449" w:leftChars="690"/>
        <w:jc w:val="left"/>
        <w:rPr>
          <w:rFonts w:ascii="宋体" w:hAnsi="宋体"/>
          <w:color w:val="000000"/>
          <w:kern w:val="0"/>
        </w:rPr>
      </w:pPr>
      <w:r>
        <w:rPr>
          <w:rFonts w:hint="eastAsia" w:ascii="宋体" w:hAnsi="宋体"/>
          <w:color w:val="000000"/>
          <w:kern w:val="0"/>
        </w:rPr>
        <w:t>⑸提出或批准索赔；</w:t>
      </w:r>
    </w:p>
    <w:p>
      <w:pPr>
        <w:widowControl/>
        <w:ind w:left="1449" w:leftChars="690"/>
        <w:jc w:val="left"/>
        <w:rPr>
          <w:rFonts w:ascii="宋体" w:hAnsi="宋体"/>
          <w:color w:val="000000"/>
          <w:kern w:val="0"/>
        </w:rPr>
      </w:pPr>
      <w:r>
        <w:rPr>
          <w:rFonts w:hint="eastAsia" w:ascii="宋体" w:hAnsi="宋体"/>
          <w:color w:val="000000"/>
          <w:kern w:val="0"/>
        </w:rPr>
        <w:t>⑹签发工程款支付证书；</w:t>
      </w:r>
    </w:p>
    <w:p>
      <w:pPr>
        <w:widowControl/>
        <w:ind w:left="1449" w:leftChars="690"/>
        <w:jc w:val="left"/>
        <w:rPr>
          <w:rFonts w:ascii="宋体" w:hAnsi="宋体"/>
          <w:color w:val="000000"/>
          <w:kern w:val="0"/>
        </w:rPr>
      </w:pPr>
      <w:r>
        <w:rPr>
          <w:rFonts w:hint="eastAsia" w:ascii="宋体" w:hAnsi="宋体"/>
          <w:color w:val="000000"/>
          <w:kern w:val="0"/>
        </w:rPr>
        <w:t>⑺合同条款中明确约定应取得发包人批准的其他权力；</w:t>
      </w:r>
    </w:p>
    <w:p>
      <w:pPr>
        <w:widowControl/>
        <w:ind w:left="1449" w:leftChars="690"/>
        <w:jc w:val="left"/>
        <w:rPr>
          <w:rFonts w:ascii="宋体" w:hAnsi="宋体"/>
          <w:color w:val="000000"/>
          <w:kern w:val="0"/>
        </w:rPr>
      </w:pPr>
      <w:r>
        <w:rPr>
          <w:rFonts w:hint="eastAsia" w:ascii="宋体" w:hAnsi="宋体"/>
          <w:color w:val="000000"/>
          <w:kern w:val="0"/>
        </w:rPr>
        <w:t>⑻专用条款中明确的其他需经发包人批准的权力。</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13" w:name="_Toc34908964"/>
      <w: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191770</wp:posOffset>
                </wp:positionV>
                <wp:extent cx="571500" cy="342900"/>
                <wp:effectExtent l="0" t="635" r="1270" b="0"/>
                <wp:wrapNone/>
                <wp:docPr id="210"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紧急情况时</w:t>
                            </w:r>
                          </w:p>
                          <w:p/>
                        </w:txbxContent>
                      </wps:txbx>
                      <wps:bodyPr rot="0" vert="horz" wrap="square" lIns="0" tIns="0" rIns="0" bIns="0" anchor="t" anchorCtr="0" upright="1">
                        <a:noAutofit/>
                      </wps:bodyPr>
                    </wps:wsp>
                  </a:graphicData>
                </a:graphic>
              </wp:anchor>
            </w:drawing>
          </mc:Choice>
          <mc:Fallback>
            <w:pict>
              <v:shape id="文本框 209" o:spid="_x0000_s1026" o:spt="202" type="#_x0000_t202" style="position:absolute;left:0pt;margin-left:0pt;margin-top:15.1pt;height:27pt;width:45pt;z-index:251683840;mso-width-relative:page;mso-height-relative:page;" fillcolor="#FFFFFF" filled="t" stroked="f" coordsize="21600,21600" o:gfxdata="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w9SlPUAAAA&#10;BQEAAA8AAAAAAAAAAQAgAAAAIgAAAGRycy9kb3ducmV2LnhtbFBLAQIUABQAAAAIAIdO4kBWrtKK&#10;IQIAADEEAAAOAAAAAAAAAAEAIAAAACM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紧急情况时</w:t>
                      </w:r>
                    </w:p>
                    <w:p/>
                  </w:txbxContent>
                </v:textbox>
              </v:shape>
            </w:pict>
          </mc:Fallback>
        </mc:AlternateContent>
      </w:r>
      <w:r>
        <w:rPr>
          <w:rFonts w:hint="eastAsia" w:ascii="宋体" w:hAnsi="宋体"/>
          <w:color w:val="000000"/>
          <w:kern w:val="0"/>
        </w:rPr>
        <w:t>当工程师认为出现了危及人身、财产安全和立即影响工程安危的紧急情况，且不可能在事前把情况报告给发包人时，在不免除合同约定的承包人的任何职责和义务的情况下，工程师</w:t>
      </w:r>
      <w:bookmarkEnd w:id="113"/>
      <w:r>
        <w:rPr>
          <w:rFonts w:hint="eastAsia" w:ascii="宋体" w:hAnsi="宋体"/>
          <w:color w:val="000000"/>
          <w:kern w:val="0"/>
        </w:rPr>
        <w:t>可先行行使11.3款中的权力，并应在事后24小时内向发包人作出书面报告。</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14" w:name="_Toc34908965"/>
      <w: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165735</wp:posOffset>
                </wp:positionV>
                <wp:extent cx="571500" cy="342900"/>
                <wp:effectExtent l="0" t="0" r="1270" b="1270"/>
                <wp:wrapNone/>
                <wp:docPr id="209"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工程师权力委托</w:t>
                            </w:r>
                          </w:p>
                          <w:p/>
                        </w:txbxContent>
                      </wps:txbx>
                      <wps:bodyPr rot="0" vert="horz" wrap="square" lIns="0" tIns="0" rIns="0" bIns="0" anchor="t" anchorCtr="0" upright="1">
                        <a:noAutofit/>
                      </wps:bodyPr>
                    </wps:wsp>
                  </a:graphicData>
                </a:graphic>
              </wp:anchor>
            </w:drawing>
          </mc:Choice>
          <mc:Fallback>
            <w:pict>
              <v:shape id="文本框 208" o:spid="_x0000_s1026" o:spt="202" type="#_x0000_t202" style="position:absolute;left:0pt;margin-left:0pt;margin-top:13.05pt;height:27pt;width:45pt;z-index:251684864;mso-width-relative:page;mso-height-relative:page;" fillcolor="#FFFFFF" filled="t" stroked="f" coordsize="21600,21600" o:gfxdata="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aOEnzTAAAA&#10;BQEAAA8AAAAAAAAAAQAgAAAAIgAAAGRycy9kb3ducmV2LnhtbFBLAQIUABQAAAAIAIdO4kC/4MAC&#10;IgIAADEEAAAOAAAAAAAAAAEAIAAAACI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工程师权力委托</w:t>
                      </w:r>
                    </w:p>
                    <w:p/>
                  </w:txbxContent>
                </v:textbox>
              </v:shape>
            </w:pict>
          </mc:Fallback>
        </mc:AlternateContent>
      </w:r>
      <w:r>
        <w:rPr>
          <w:rFonts w:hint="eastAsia" w:ascii="宋体" w:hAnsi="宋体"/>
          <w:color w:val="000000"/>
          <w:kern w:val="0"/>
        </w:rPr>
        <w:t>工程师可随时将其任何职责和权力授予其任命的工程师代表(按有关规定或发包人指定必须由工程师亲自履行的职权不得转授)，亦可随时将其授予工程师代表的任何职权撤回。任何此类授权和撤回应由工程师提前7天书面通知发包人和承包人，在未将有关文件副本送交承包人之前，该项授权和撤回不能生效。</w:t>
      </w:r>
      <w:bookmarkEnd w:id="114"/>
      <w:bookmarkStart w:id="115" w:name="_Toc34908966"/>
      <w:r>
        <w:rPr>
          <w:rFonts w:hint="eastAsia" w:ascii="宋体" w:hAnsi="宋体"/>
          <w:color w:val="000000"/>
          <w:kern w:val="0"/>
        </w:rPr>
        <w:t>工程师代表对工程师负责，履行和行使工程师授予的职责和权力。工程师代表在其授权范围内履行职权时，视同工程师。</w:t>
      </w:r>
      <w:bookmarkEnd w:id="115"/>
    </w:p>
    <w:p>
      <w:pPr>
        <w:widowControl/>
        <w:numPr>
          <w:ilvl w:val="1"/>
          <w:numId w:val="1"/>
        </w:numPr>
        <w:tabs>
          <w:tab w:val="left" w:pos="1656"/>
          <w:tab w:val="clear" w:pos="1711"/>
        </w:tabs>
        <w:spacing w:before="260"/>
        <w:ind w:left="1523" w:leftChars="450" w:hanging="578"/>
        <w:jc w:val="left"/>
        <w:outlineLvl w:val="1"/>
        <w:rPr>
          <w:rFonts w:ascii="宋体" w:hAnsi="宋体"/>
          <w:color w:val="000000"/>
          <w:kern w:val="0"/>
        </w:rPr>
      </w:pPr>
      <w:bookmarkStart w:id="116" w:name="_Toc34908969"/>
      <w: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171450</wp:posOffset>
                </wp:positionV>
                <wp:extent cx="571500" cy="342900"/>
                <wp:effectExtent l="0" t="0" r="1270" b="3810"/>
                <wp:wrapNone/>
                <wp:docPr id="208"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工程师指令</w:t>
                            </w:r>
                          </w:p>
                          <w:p/>
                        </w:txbxContent>
                      </wps:txbx>
                      <wps:bodyPr rot="0" vert="horz" wrap="square" lIns="0" tIns="0" rIns="0" bIns="0" anchor="t" anchorCtr="0" upright="1">
                        <a:noAutofit/>
                      </wps:bodyPr>
                    </wps:wsp>
                  </a:graphicData>
                </a:graphic>
              </wp:anchor>
            </w:drawing>
          </mc:Choice>
          <mc:Fallback>
            <w:pict>
              <v:shape id="文本框 207" o:spid="_x0000_s1026" o:spt="202" type="#_x0000_t202" style="position:absolute;left:0pt;margin-left:0pt;margin-top:13.5pt;height:27pt;width:45pt;z-index:251685888;mso-width-relative:page;mso-height-relative:page;" fillcolor="#FFFFFF" filled="t" stroked="f" coordsize="21600,21600" o:gfxdata="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X2eZTUAAAA&#10;BQEAAA8AAAAAAAAAAQAgAAAAIgAAAGRycy9kb3ducmV2LnhtbFBLAQIUABQAAAAIAIdO4kBH2i4I&#10;IQIAADEEAAAOAAAAAAAAAAEAIAAAACM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工程师指令</w:t>
                      </w:r>
                    </w:p>
                    <w:p/>
                  </w:txbxContent>
                </v:textbox>
              </v:shape>
            </w:pict>
          </mc:Fallback>
        </mc:AlternateContent>
      </w:r>
      <w:r>
        <w:rPr>
          <w:rFonts w:hint="eastAsia" w:ascii="宋体" w:hAnsi="宋体"/>
          <w:color w:val="000000"/>
          <w:kern w:val="0"/>
        </w:rPr>
        <w:t>工程师应按合同约定，及时向承包人提供所需的指令。工程师的指令由其本人签字后以书面形式送达项目经理，项目经理在回执上签署姓名和收到时间后生效。</w:t>
      </w:r>
    </w:p>
    <w:p>
      <w:pPr>
        <w:widowControl/>
        <w:ind w:left="1415" w:leftChars="674" w:firstLine="420" w:firstLineChars="200"/>
        <w:rPr>
          <w:rFonts w:ascii="宋体" w:hAnsi="宋体"/>
          <w:color w:val="000000"/>
          <w:kern w:val="0"/>
        </w:rPr>
      </w:pPr>
      <w:r>
        <w:rPr>
          <w:rFonts w:hint="eastAsia" w:ascii="宋体" w:hAnsi="宋体"/>
          <w:color w:val="000000"/>
          <w:kern w:val="0"/>
        </w:rPr>
        <w:t>必要时，工程师可以发出口头指令，并在48小时内给予书面确认。对工程师的口头指令，承包人应予执行。如承包人在工程师发出的口头指令48小时之后，未收到工程师的书面确认，应在工程师发出口头指令后7天内提出书面确认要求。</w:t>
      </w:r>
      <w:bookmarkEnd w:id="116"/>
    </w:p>
    <w:p>
      <w:pPr>
        <w:widowControl/>
        <w:ind w:left="1415" w:leftChars="674" w:firstLine="420" w:firstLineChars="200"/>
        <w:rPr>
          <w:rFonts w:ascii="宋体" w:hAnsi="宋体"/>
          <w:color w:val="000000"/>
          <w:kern w:val="0"/>
        </w:rPr>
      </w:pPr>
      <w:r>
        <w:rPr>
          <w:rFonts w:hint="eastAsia" w:ascii="宋体" w:hAnsi="宋体"/>
          <w:color w:val="000000"/>
          <w:kern w:val="0"/>
        </w:rPr>
        <w:t>承包人认为工程师的指令不合理，应在收到指令后24小时内向工程师报告。</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r>
        <mc:AlternateContent>
          <mc:Choice Requires="wps">
            <w:drawing>
              <wp:anchor distT="0" distB="0" distL="114300" distR="114300" simplePos="0" relativeHeight="251850752" behindDoc="0" locked="0" layoutInCell="1" allowOverlap="1">
                <wp:simplePos x="0" y="0"/>
                <wp:positionH relativeFrom="column">
                  <wp:posOffset>0</wp:posOffset>
                </wp:positionH>
                <wp:positionV relativeFrom="paragraph">
                  <wp:posOffset>164465</wp:posOffset>
                </wp:positionV>
                <wp:extent cx="571500" cy="571500"/>
                <wp:effectExtent l="0" t="0" r="1270" b="1905"/>
                <wp:wrapNone/>
                <wp:docPr id="207"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工程师未尽义务或失误</w:t>
                            </w:r>
                          </w:p>
                          <w:p/>
                        </w:txbxContent>
                      </wps:txbx>
                      <wps:bodyPr rot="0" vert="horz" wrap="square" lIns="0" tIns="0" rIns="0" bIns="0" anchor="t" anchorCtr="0" upright="1">
                        <a:noAutofit/>
                      </wps:bodyPr>
                    </wps:wsp>
                  </a:graphicData>
                </a:graphic>
              </wp:anchor>
            </w:drawing>
          </mc:Choice>
          <mc:Fallback>
            <w:pict>
              <v:shape id="文本框 206" o:spid="_x0000_s1026" o:spt="202" type="#_x0000_t202" style="position:absolute;left:0pt;margin-left:0pt;margin-top:12.95pt;height:45pt;width:45pt;z-index:251850752;mso-width-relative:page;mso-height-relative:page;" fillcolor="#FFFFFF" filled="t" stroked="f" coordsize="21600,21600" o:gfxdata="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R0sN9QAAAAGAQAA&#10;DwAAAAAAAAABACAAAAAiAAAAZHJzL2Rvd25yZXYueG1sUEsBAhQAFAAAAAgAh07iQAYOaHodAgAA&#10;MQQAAA4AAAAAAAAAAQAgAAAAIwEAAGRycy9lMm9Eb2MueG1sUEsFBgAAAAAGAAYAWQEAALIFAAAA&#10;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工程师未尽义务或失误</w:t>
                      </w:r>
                    </w:p>
                    <w:p/>
                  </w:txbxContent>
                </v:textbox>
              </v:shape>
            </w:pict>
          </mc:Fallback>
        </mc:AlternateContent>
      </w:r>
      <w:r>
        <w:rPr>
          <w:rFonts w:hint="eastAsia" w:ascii="宋体" w:hAnsi="宋体"/>
          <w:color w:val="000000"/>
          <w:kern w:val="0"/>
        </w:rPr>
        <w:t>工程师应按合同约定，及时向承包人提供所需的指令、批准并履行约定的其他义务。因工程师未能按合同约定履行义务或者因工程师的失误，给承包人造成的损失和(或)导致工期延误的，发包人应赔偿承包人的损失，顺延延误的工期。</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17" w:name="_Toc34908970"/>
      <w: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168275</wp:posOffset>
                </wp:positionV>
                <wp:extent cx="571500" cy="342900"/>
                <wp:effectExtent l="0" t="0" r="1270" b="635"/>
                <wp:wrapNone/>
                <wp:docPr id="206"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工程师须公正无私</w:t>
                            </w:r>
                          </w:p>
                          <w:p/>
                        </w:txbxContent>
                      </wps:txbx>
                      <wps:bodyPr rot="0" vert="horz" wrap="square" lIns="0" tIns="0" rIns="0" bIns="0" anchor="t" anchorCtr="0" upright="1">
                        <a:noAutofit/>
                      </wps:bodyPr>
                    </wps:wsp>
                  </a:graphicData>
                </a:graphic>
              </wp:anchor>
            </w:drawing>
          </mc:Choice>
          <mc:Fallback>
            <w:pict>
              <v:shape id="文本框 205" o:spid="_x0000_s1026" o:spt="202" type="#_x0000_t202" style="position:absolute;left:0pt;margin-left:0pt;margin-top:13.25pt;height:27pt;width:45pt;z-index:251686912;mso-width-relative:page;mso-height-relative:page;" fillcolor="#FFFFFF" filled="t" stroked="f" coordsize="21600,21600" o:gfxdata="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bQ4B3UAAAA&#10;BQEAAA8AAAAAAAAAAQAgAAAAIgAAAGRycy9kb3ducmV2LnhtbFBLAQIUABQAAAAIAIdO4kCGXMf/&#10;IQIAADEEAAAOAAAAAAAAAAEAIAAAACM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工程师须公正无私</w:t>
                      </w:r>
                    </w:p>
                    <w:p/>
                  </w:txbxContent>
                </v:textbox>
              </v:shape>
            </w:pict>
          </mc:Fallback>
        </mc:AlternateContent>
      </w:r>
      <w:bookmarkEnd w:id="117"/>
      <w:r>
        <w:rPr>
          <w:rFonts w:hint="eastAsia" w:ascii="宋体" w:hAnsi="宋体"/>
          <w:color w:val="000000"/>
          <w:kern w:val="0"/>
        </w:rPr>
        <w:t>工程师在履行和行使职权或处理涉及发包人和承包人的权利和义务事项时，应根据合同条款约定，考虑各种情况，行使其酌情权，实事求是和公正无私地作出判断并接受检查，如发现有不当之处，应进行修正。</w:t>
      </w:r>
    </w:p>
    <w:p>
      <w:pPr>
        <w:pStyle w:val="2"/>
        <w:keepLines w:val="0"/>
        <w:tabs>
          <w:tab w:val="left" w:pos="1620"/>
          <w:tab w:val="left" w:pos="2340"/>
        </w:tabs>
        <w:ind w:left="945" w:leftChars="450"/>
        <w:rPr>
          <w:rFonts w:ascii="宋体" w:hAnsi="宋体"/>
          <w:color w:val="000000"/>
          <w:sz w:val="28"/>
          <w:szCs w:val="28"/>
        </w:rPr>
      </w:pPr>
      <w:bookmarkStart w:id="118" w:name="_Toc34908971"/>
      <w:bookmarkStart w:id="119" w:name="_Toc35656469"/>
      <w:bookmarkStart w:id="120" w:name="_Toc35656970"/>
      <w:r>
        <w:rPr>
          <w:rFonts w:hint="eastAsia" w:ascii="宋体" w:hAnsi="宋体"/>
          <w:color w:val="000000"/>
          <w:sz w:val="28"/>
          <w:szCs w:val="28"/>
        </w:rPr>
        <w:t>项目经理</w:t>
      </w:r>
      <w:bookmarkEnd w:id="118"/>
      <w:bookmarkEnd w:id="119"/>
      <w:bookmarkEnd w:id="120"/>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21" w:name="_Toc34908972"/>
      <w: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7620</wp:posOffset>
                </wp:positionV>
                <wp:extent cx="571500" cy="222885"/>
                <wp:effectExtent l="0" t="635" r="1270" b="0"/>
                <wp:wrapNone/>
                <wp:docPr id="205"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571500" cy="222885"/>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rPr>
                              <w:t>项目经理</w:t>
                            </w:r>
                          </w:p>
                        </w:txbxContent>
                      </wps:txbx>
                      <wps:bodyPr rot="0" vert="horz" wrap="square" lIns="0" tIns="0" rIns="0" bIns="0" anchor="t" anchorCtr="0" upright="1">
                        <a:noAutofit/>
                      </wps:bodyPr>
                    </wps:wsp>
                  </a:graphicData>
                </a:graphic>
              </wp:anchor>
            </w:drawing>
          </mc:Choice>
          <mc:Fallback>
            <w:pict>
              <v:shape id="文本框 204" o:spid="_x0000_s1026" o:spt="202" type="#_x0000_t202" style="position:absolute;left:0pt;margin-left:0pt;margin-top:0.6pt;height:17.55pt;width:45pt;z-index:251687936;mso-width-relative:page;mso-height-relative:page;" fillcolor="#FFFFFF" filled="t" stroked="f" coordsize="21600,21600" o:gfxdata="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iuiLF0wAA&#10;AAQBAAAPAAAAAAAAAAEAIAAAACIAAABkcnMvZG93bnJldi54bWxQSwECFAAUAAAACACHTuJAjl2c&#10;VCMCAAAxBAAADgAAAAAAAAABACAAAAAiAQAAZHJzL2Uyb0RvYy54bWxQSwUGAAAAAAYABgBZAQAA&#10;twUAAAAA&#10;">
                <v:fill on="t" focussize="0,0"/>
                <v:stroke on="f"/>
                <v:imagedata o:title=""/>
                <o:lock v:ext="edit" aspectratio="f"/>
                <v:textbox inset="0mm,0mm,0mm,0mm">
                  <w:txbxContent>
                    <w:p>
                      <w:pPr>
                        <w:rPr>
                          <w:rFonts w:ascii="楷体_GB2312" w:hAnsi="宋体" w:eastAsia="楷体_GB2312"/>
                        </w:rPr>
                      </w:pPr>
                      <w:r>
                        <w:rPr>
                          <w:rFonts w:hint="eastAsia" w:ascii="楷体_GB2312" w:hAnsi="宋体" w:eastAsia="楷体_GB2312"/>
                        </w:rPr>
                        <w:t>项目经理</w:t>
                      </w:r>
                    </w:p>
                  </w:txbxContent>
                </v:textbox>
              </v:shape>
            </w:pict>
          </mc:Fallback>
        </mc:AlternateContent>
      </w:r>
      <w:bookmarkEnd w:id="121"/>
      <w:r>
        <w:rPr>
          <w:rFonts w:hint="eastAsia" w:ascii="宋体" w:hAnsi="宋体"/>
          <w:color w:val="000000"/>
          <w:kern w:val="0"/>
        </w:rPr>
        <w:t>承包人应按投标文件的承诺任命项目经理，授权其代表承包人履行本合同约定的权力和义务，并经发包人同意后在专用条款中明确。</w:t>
      </w:r>
    </w:p>
    <w:p>
      <w:pPr>
        <w:widowControl/>
        <w:numPr>
          <w:ilvl w:val="1"/>
          <w:numId w:val="1"/>
        </w:numPr>
        <w:tabs>
          <w:tab w:val="left" w:pos="1656"/>
          <w:tab w:val="clear" w:pos="1711"/>
        </w:tabs>
        <w:spacing w:before="260" w:after="468" w:afterLines="150"/>
        <w:ind w:left="1523" w:leftChars="450" w:hanging="578"/>
        <w:jc w:val="left"/>
        <w:outlineLvl w:val="1"/>
        <w:rPr>
          <w:rFonts w:ascii="宋体" w:hAnsi="宋体"/>
          <w:color w:val="000000"/>
          <w:kern w:val="0"/>
        </w:rPr>
      </w:pPr>
      <w:bookmarkStart w:id="122" w:name="_Toc34908973"/>
      <w: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185420</wp:posOffset>
                </wp:positionV>
                <wp:extent cx="571500" cy="402590"/>
                <wp:effectExtent l="0" t="3175" r="1270" b="3810"/>
                <wp:wrapNone/>
                <wp:docPr id="204"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571500" cy="40259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项目经理签字</w:t>
                            </w:r>
                          </w:p>
                        </w:txbxContent>
                      </wps:txbx>
                      <wps:bodyPr rot="0" vert="horz" wrap="square" lIns="0" tIns="0" rIns="0" bIns="0" anchor="t" anchorCtr="0" upright="1">
                        <a:noAutofit/>
                      </wps:bodyPr>
                    </wps:wsp>
                  </a:graphicData>
                </a:graphic>
              </wp:anchor>
            </w:drawing>
          </mc:Choice>
          <mc:Fallback>
            <w:pict>
              <v:shape id="文本框 203" o:spid="_x0000_s1026" o:spt="202" type="#_x0000_t202" style="position:absolute;left:0pt;margin-left:0pt;margin-top:14.6pt;height:31.7pt;width:45pt;z-index:251688960;mso-width-relative:page;mso-height-relative:page;" fillcolor="#FFFFFF" filled="t" stroked="f" coordsize="21600,21600" o:gfxdata="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Vz7xNQA&#10;AAAFAQAADwAAAAAAAAABACAAAAAiAAAAZHJzL2Rvd25yZXYueG1sUEsBAhQAFAAAAAgAh07iQE99&#10;0jsjAgAAMQQAAA4AAAAAAAAAAQAgAAAAIw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项目经理签字</w:t>
                      </w:r>
                    </w:p>
                  </w:txbxContent>
                </v:textbox>
              </v:shape>
            </w:pict>
          </mc:Fallback>
        </mc:AlternateContent>
      </w:r>
      <w:r>
        <w:rPr>
          <w:rFonts w:hint="eastAsia" w:ascii="宋体" w:hAnsi="宋体"/>
          <w:color w:val="000000"/>
          <w:kern w:val="0"/>
        </w:rPr>
        <w:t>承包人根据合同发出的一切文件(包括致发包人或工程师的通知)，均应以书面形式由项目经理签字后发出。</w:t>
      </w:r>
      <w:bookmarkEnd w:id="122"/>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123" w:name="_Toc34908974"/>
      <w: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-635</wp:posOffset>
                </wp:positionV>
                <wp:extent cx="571500" cy="420370"/>
                <wp:effectExtent l="0" t="4445" r="1270" b="3810"/>
                <wp:wrapNone/>
                <wp:docPr id="203"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571500" cy="42037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项目经理更换</w:t>
                            </w:r>
                          </w:p>
                        </w:txbxContent>
                      </wps:txbx>
                      <wps:bodyPr rot="0" vert="horz" wrap="square" lIns="0" tIns="36000" rIns="0" bIns="0" anchor="t" anchorCtr="0" upright="1">
                        <a:noAutofit/>
                      </wps:bodyPr>
                    </wps:wsp>
                  </a:graphicData>
                </a:graphic>
              </wp:anchor>
            </w:drawing>
          </mc:Choice>
          <mc:Fallback>
            <w:pict>
              <v:shape id="文本框 202" o:spid="_x0000_s1026" o:spt="202" type="#_x0000_t202" style="position:absolute;left:0pt;margin-left:0pt;margin-top:-0.05pt;height:33.1pt;width:45pt;z-index:251689984;mso-width-relative:page;mso-height-relative:page;" fillcolor="#FFFFFF" filled="t" stroked="f" coordsize="21600,21600" o:gfxdata="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Tmi&#10;r9MAAAAEAQAADwAAAAAAAAABACAAAAAiAAAAZHJzL2Rvd25yZXYueG1sUEsBAhQAFAAAAAgAh07i&#10;QAvDcjonAgAANQQAAA4AAAAAAAAAAQAgAAAAIgEAAGRycy9lMm9Eb2MueG1sUEsFBgAAAAAGAAYA&#10;WQEAALsFAAAAAA==&#10;">
                <v:fill on="t" focussize="0,0"/>
                <v:stroke on="f"/>
                <v:imagedata o:title=""/>
                <o:lock v:ext="edit" aspectratio="f"/>
                <v:textbox inset="0mm,1mm,0mm,0mm">
                  <w:txbxContent>
                    <w:p>
                      <w:pPr>
                        <w:rPr>
                          <w:rFonts w:ascii="楷体_GB2312" w:eastAsia="楷体_GB2312"/>
                          <w:szCs w:val="21"/>
                        </w:rPr>
                      </w:pPr>
                      <w:r>
                        <w:rPr>
                          <w:rFonts w:hint="eastAsia" w:ascii="楷体_GB2312" w:hAnsi="宋体" w:eastAsia="楷体_GB2312"/>
                        </w:rPr>
                        <w:t>项目经理更换</w:t>
                      </w:r>
                    </w:p>
                  </w:txbxContent>
                </v:textbox>
              </v:shape>
            </w:pict>
          </mc:Fallback>
        </mc:AlternateContent>
      </w:r>
      <w:r>
        <w:rPr>
          <w:rFonts w:hint="eastAsia" w:ascii="宋体" w:hAnsi="宋体"/>
          <w:color w:val="000000"/>
          <w:kern w:val="0"/>
        </w:rPr>
        <w:t>承包人应保证其任命的项目经理与投标文件的承诺一致，并保证项目经理及时到位，保证施工过程中项目管理班子的稳定。若任命的项目经理与投标文件的承诺不一致或项目经理未及时到位，发包人可按照专用条款中的约定对承包人进行相应处罚。如需更换项目经理，应至少提前7天以书面形式通知工程师，并报发包人同意。未经发包人同意，承包人不得更换项目经理。</w:t>
      </w:r>
      <w:bookmarkEnd w:id="123"/>
    </w:p>
    <w:p>
      <w:pPr>
        <w:widowControl/>
        <w:numPr>
          <w:ilvl w:val="1"/>
          <w:numId w:val="1"/>
        </w:numPr>
        <w:tabs>
          <w:tab w:val="left" w:pos="1656"/>
          <w:tab w:val="clear" w:pos="1711"/>
        </w:tabs>
        <w:spacing w:before="300"/>
        <w:ind w:left="1523" w:leftChars="450" w:hanging="578"/>
        <w:jc w:val="left"/>
        <w:outlineLvl w:val="1"/>
        <w:rPr>
          <w:rFonts w:ascii="宋体" w:hAnsi="宋体"/>
          <w:color w:val="000000"/>
          <w:kern w:val="0"/>
        </w:rPr>
      </w:pPr>
      <w:bookmarkStart w:id="124" w:name="_Toc34908975"/>
      <w: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192405</wp:posOffset>
                </wp:positionV>
                <wp:extent cx="571500" cy="335915"/>
                <wp:effectExtent l="0" t="0" r="1270" b="0"/>
                <wp:wrapNone/>
                <wp:docPr id="202"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571500" cy="335915"/>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szCs w:val="21"/>
                              </w:rPr>
                              <w:t>项目经理组织施工</w:t>
                            </w:r>
                          </w:p>
                        </w:txbxContent>
                      </wps:txbx>
                      <wps:bodyPr rot="0" vert="horz" wrap="square" lIns="0" tIns="0" rIns="0" bIns="0" anchor="t" anchorCtr="0" upright="1">
                        <a:noAutofit/>
                      </wps:bodyPr>
                    </wps:wsp>
                  </a:graphicData>
                </a:graphic>
              </wp:anchor>
            </w:drawing>
          </mc:Choice>
          <mc:Fallback>
            <w:pict>
              <v:shape id="文本框 201" o:spid="_x0000_s1026" o:spt="202" type="#_x0000_t202" style="position:absolute;left:0pt;margin-left:0pt;margin-top:15.15pt;height:26.45pt;width:45pt;z-index:251691008;mso-width-relative:page;mso-height-relative:page;" fillcolor="#FFFFFF" filled="t" stroked="f" coordsize="21600,21600" o:gfxdata="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eMkH3UAAAA&#10;BQEAAA8AAAAAAAAAAQAgAAAAIgAAAGRycy9kb3ducmV2LnhtbFBLAQIUABQAAAAIAIdO4kD+MFEv&#10;IQIAADEEAAAOAAAAAAAAAAEAIAAAACM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szCs w:val="21"/>
                        </w:rPr>
                        <w:t>项目经理组织施工</w:t>
                      </w:r>
                    </w:p>
                  </w:txbxContent>
                </v:textbox>
              </v:shape>
            </w:pict>
          </mc:Fallback>
        </mc:AlternateContent>
      </w:r>
      <w:r>
        <w:rPr>
          <w:rFonts w:hint="eastAsia" w:ascii="宋体" w:hAnsi="宋体"/>
          <w:color w:val="000000"/>
          <w:kern w:val="0"/>
        </w:rPr>
        <w:t>项目经理按发包人和工程师批准的施工组织设计(施工方案)、工程进度计划和工程师发出的指令合理组织施工。在发生危及人身、财产安全和立即影响工程安危的紧急情况且无法与工程师取得联系时，项目经理应采取保证人身和工程、财产安全的紧急措施，并在采取措施后24小时内向发包人及工程师送交报告。</w:t>
      </w:r>
      <w:bookmarkEnd w:id="124"/>
    </w:p>
    <w:p>
      <w:pPr>
        <w:pStyle w:val="2"/>
        <w:keepLines w:val="0"/>
        <w:numPr>
          <w:ilvl w:val="0"/>
          <w:numId w:val="0"/>
        </w:numPr>
        <w:tabs>
          <w:tab w:val="left" w:pos="1620"/>
          <w:tab w:val="left" w:pos="2340"/>
        </w:tabs>
        <w:ind w:left="945" w:leftChars="450"/>
        <w:rPr>
          <w:rFonts w:hAnsi="宋体"/>
          <w:color w:val="000000"/>
          <w:sz w:val="30"/>
        </w:rPr>
      </w:pPr>
      <w:bookmarkStart w:id="125" w:name="_Toc34908976"/>
      <w:bookmarkStart w:id="126" w:name="_Toc35656971"/>
      <w:r>
        <w:rPr>
          <w:rFonts w:hint="eastAsia" w:hAnsi="宋体"/>
          <w:color w:val="000000"/>
          <w:sz w:val="30"/>
        </w:rPr>
        <w:t>五、转让、分包</w:t>
      </w:r>
      <w:bookmarkEnd w:id="125"/>
      <w:bookmarkEnd w:id="126"/>
      <w:r>
        <w:rPr>
          <w:rFonts w:hint="eastAsia" w:hAnsi="宋体"/>
          <w:color w:val="000000"/>
          <w:sz w:val="30"/>
        </w:rPr>
        <w:t>、专业工程发包</w:t>
      </w:r>
    </w:p>
    <w:p>
      <w:pPr>
        <w:pStyle w:val="2"/>
        <w:keepLines w:val="0"/>
        <w:tabs>
          <w:tab w:val="left" w:pos="1620"/>
          <w:tab w:val="left" w:pos="2340"/>
        </w:tabs>
        <w:ind w:left="945" w:leftChars="450"/>
        <w:rPr>
          <w:rFonts w:ascii="宋体" w:hAnsi="宋体"/>
          <w:color w:val="000000"/>
          <w:sz w:val="28"/>
          <w:szCs w:val="28"/>
        </w:rPr>
      </w:pPr>
      <w:bookmarkStart w:id="127" w:name="_Toc35656470"/>
      <w:bookmarkStart w:id="128" w:name="_Toc34908977"/>
      <w:bookmarkStart w:id="129" w:name="_Toc35656972"/>
      <w:r>
        <w:rPr>
          <w:rFonts w:hint="eastAsia" w:ascii="宋体" w:hAnsi="宋体"/>
          <w:color w:val="000000"/>
          <w:sz w:val="28"/>
          <w:szCs w:val="28"/>
        </w:rPr>
        <w:t>转让</w:t>
      </w:r>
      <w:bookmarkEnd w:id="127"/>
      <w:bookmarkEnd w:id="128"/>
      <w:bookmarkEnd w:id="129"/>
    </w:p>
    <w:p>
      <w:pPr>
        <w:pStyle w:val="3"/>
        <w:numPr>
          <w:ilvl w:val="1"/>
          <w:numId w:val="1"/>
        </w:numPr>
        <w:tabs>
          <w:tab w:val="left" w:pos="1620"/>
          <w:tab w:val="left" w:pos="2016"/>
          <w:tab w:val="left" w:pos="2340"/>
          <w:tab w:val="clear" w:pos="1711"/>
        </w:tabs>
        <w:spacing w:after="0"/>
        <w:ind w:left="945" w:leftChars="450"/>
        <w:jc w:val="both"/>
        <w:rPr>
          <w:rFonts w:ascii="宋体"/>
          <w:b w:val="0"/>
          <w:color w:val="000000"/>
          <w:sz w:val="21"/>
        </w:rPr>
      </w:pPr>
      <w:bookmarkStart w:id="130" w:name="_Toc34908978"/>
      <w: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17780</wp:posOffset>
                </wp:positionV>
                <wp:extent cx="457200" cy="228600"/>
                <wp:effectExtent l="0" t="1270" r="1270" b="0"/>
                <wp:wrapNone/>
                <wp:docPr id="201"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转让</w:t>
                            </w:r>
                          </w:p>
                          <w:p/>
                        </w:txbxContent>
                      </wps:txbx>
                      <wps:bodyPr rot="0" vert="horz" wrap="square" lIns="0" tIns="0" rIns="0" bIns="0" anchor="t" anchorCtr="0" upright="1">
                        <a:noAutofit/>
                      </wps:bodyPr>
                    </wps:wsp>
                  </a:graphicData>
                </a:graphic>
              </wp:anchor>
            </w:drawing>
          </mc:Choice>
          <mc:Fallback>
            <w:pict>
              <v:shape id="文本框 200" o:spid="_x0000_s1026" o:spt="202" type="#_x0000_t202" style="position:absolute;left:0pt;margin-left:0pt;margin-top:1.4pt;height:18pt;width:36pt;z-index:251692032;mso-width-relative:page;mso-height-relative:page;" fillcolor="#FFFFFF" filled="t" stroked="f" coordsize="21600,21600" o:gfxdata="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J2E6DTAAAABAEA&#10;AA8AAAAAAAAAAQAgAAAAIgAAAGRycy9kb3ducmV2LnhtbFBLAQIUABQAAAAIAIdO4kDXq5+sHwIA&#10;ADEEAAAOAAAAAAAAAAEAIAAAACIBAABkcnMvZTJvRG9jLnhtbFBLBQYAAAAABgAGAFkBAACzBQAA&#10;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转让</w:t>
                      </w:r>
                    </w:p>
                    <w:p/>
                  </w:txbxContent>
                </v:textbox>
              </v:shape>
            </w:pict>
          </mc:Fallback>
        </mc:AlternateContent>
      </w:r>
      <w:r>
        <w:rPr>
          <w:rFonts w:hint="eastAsia" w:ascii="宋体"/>
          <w:b w:val="0"/>
          <w:color w:val="000000"/>
          <w:sz w:val="21"/>
        </w:rPr>
        <w:t>承包人不得将本合同或其中任何部分转让给其他单位或个人。</w:t>
      </w:r>
      <w:bookmarkEnd w:id="130"/>
    </w:p>
    <w:p>
      <w:pPr>
        <w:pStyle w:val="2"/>
        <w:keepLines w:val="0"/>
        <w:tabs>
          <w:tab w:val="left" w:pos="1620"/>
          <w:tab w:val="left" w:pos="2340"/>
        </w:tabs>
        <w:ind w:left="945" w:leftChars="450"/>
        <w:rPr>
          <w:rFonts w:hAnsi="宋体"/>
          <w:color w:val="000000"/>
          <w:sz w:val="28"/>
          <w:szCs w:val="28"/>
        </w:rPr>
      </w:pPr>
      <w:bookmarkStart w:id="131" w:name="_Toc35656973"/>
      <w:bookmarkStart w:id="132" w:name="_Toc34908979"/>
      <w:bookmarkStart w:id="133" w:name="_Toc35656471"/>
      <w:r>
        <w:rPr>
          <w:rFonts w:hint="eastAsia" w:hAnsi="宋体"/>
          <w:color w:val="000000"/>
          <w:sz w:val="28"/>
          <w:szCs w:val="28"/>
        </w:rPr>
        <w:t>分包</w:t>
      </w:r>
      <w:bookmarkEnd w:id="131"/>
      <w:bookmarkEnd w:id="132"/>
      <w:bookmarkEnd w:id="133"/>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34" w:name="_Toc34908980"/>
      <w:r>
        <mc:AlternateContent>
          <mc:Choice Requires="wps">
            <w:drawing>
              <wp:anchor distT="0" distB="0" distL="114300" distR="114300" simplePos="0" relativeHeight="251876352" behindDoc="0" locked="0" layoutInCell="1" allowOverlap="1">
                <wp:simplePos x="0" y="0"/>
                <wp:positionH relativeFrom="column">
                  <wp:posOffset>-9525</wp:posOffset>
                </wp:positionH>
                <wp:positionV relativeFrom="paragraph">
                  <wp:posOffset>20320</wp:posOffset>
                </wp:positionV>
                <wp:extent cx="571500" cy="342900"/>
                <wp:effectExtent l="0" t="4445" r="1270" b="0"/>
                <wp:wrapNone/>
                <wp:docPr id="200"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r>
                              <w:rPr>
                                <w:rFonts w:hint="eastAsia" w:ascii="楷体_GB2312" w:hAnsi="宋体" w:eastAsia="楷体_GB2312"/>
                              </w:rPr>
                              <w:t>承包人分包工程</w:t>
                            </w:r>
                          </w:p>
                        </w:txbxContent>
                      </wps:txbx>
                      <wps:bodyPr rot="0" vert="horz" wrap="square" lIns="0" tIns="0" rIns="0" bIns="0" anchor="t" anchorCtr="0" upright="1">
                        <a:noAutofit/>
                      </wps:bodyPr>
                    </wps:wsp>
                  </a:graphicData>
                </a:graphic>
              </wp:anchor>
            </w:drawing>
          </mc:Choice>
          <mc:Fallback>
            <w:pict>
              <v:shape id="文本框 199" o:spid="_x0000_s1026" o:spt="202" type="#_x0000_t202" style="position:absolute;left:0pt;margin-left:-0.75pt;margin-top:1.6pt;height:27pt;width:45pt;z-index:251876352;mso-width-relative:page;mso-height-relative:page;" fillcolor="#FFFFFF" filled="t" stroked="f" coordsize="21600,21600" o:gfxdata="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kac/fVAAAA&#10;BgEAAA8AAAAAAAAAAQAgAAAAIgAAAGRycy9kb3ducmV2LnhtbFBLAQIUABQAAAAIAIdO4kDOq96v&#10;IAIAADEEAAAOAAAAAAAAAAEAIAAAACQBAABkcnMvZTJvRG9jLnhtbFBLBQYAAAAABgAGAFkBAAC2&#10;BQAAAAA=&#10;">
                <v:fill on="t" focussize="0,0"/>
                <v:stroke on="f"/>
                <v:imagedata o:title=""/>
                <o:lock v:ext="edit" aspectratio="f"/>
                <v:textbox inset="0mm,0mm,0mm,0mm">
                  <w:txbxContent>
                    <w:p>
                      <w:r>
                        <w:rPr>
                          <w:rFonts w:hint="eastAsia" w:ascii="楷体_GB2312" w:hAnsi="宋体" w:eastAsia="楷体_GB2312"/>
                        </w:rPr>
                        <w:t>承包人分包工程</w:t>
                      </w:r>
                    </w:p>
                  </w:txbxContent>
                </v:textbox>
              </v:shape>
            </w:pict>
          </mc:Fallback>
        </mc:AlternateContent>
      </w:r>
      <w:r>
        <w:rPr>
          <w:rFonts w:hint="eastAsia" w:ascii="宋体" w:hAnsi="宋体"/>
          <w:b w:val="0"/>
          <w:color w:val="000000"/>
          <w:sz w:val="21"/>
        </w:rPr>
        <w:t>承包人拟进行分包的工程及分包人，经发包人批准，在专用条款中约定。承包人将其承包范围的部分项目分包，不解除合同约定的承包人任何责任和义务。</w:t>
      </w:r>
    </w:p>
    <w:bookmarkEnd w:id="134"/>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35" w:name="_Toc34908984"/>
      <w:bookmarkStart w:id="136" w:name="_Toc34908982"/>
      <w:r>
        <mc:AlternateContent>
          <mc:Choice Requires="wps">
            <w:drawing>
              <wp:anchor distT="0" distB="0" distL="114300" distR="114300" simplePos="0" relativeHeight="251852800" behindDoc="0" locked="0" layoutInCell="1" allowOverlap="1">
                <wp:simplePos x="0" y="0"/>
                <wp:positionH relativeFrom="column">
                  <wp:posOffset>-28575</wp:posOffset>
                </wp:positionH>
                <wp:positionV relativeFrom="paragraph">
                  <wp:posOffset>177165</wp:posOffset>
                </wp:positionV>
                <wp:extent cx="571500" cy="228600"/>
                <wp:effectExtent l="0" t="0" r="1270" b="4445"/>
                <wp:wrapNone/>
                <wp:docPr id="199"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承建资质</w:t>
                            </w:r>
                          </w:p>
                          <w:p/>
                        </w:txbxContent>
                      </wps:txbx>
                      <wps:bodyPr rot="0" vert="horz" wrap="square" lIns="0" tIns="0" rIns="0" bIns="0" anchor="t" anchorCtr="0" upright="1">
                        <a:noAutofit/>
                      </wps:bodyPr>
                    </wps:wsp>
                  </a:graphicData>
                </a:graphic>
              </wp:anchor>
            </w:drawing>
          </mc:Choice>
          <mc:Fallback>
            <w:pict>
              <v:shape id="文本框 198" o:spid="_x0000_s1026" o:spt="202" type="#_x0000_t202" style="position:absolute;left:0pt;margin-left:-2.25pt;margin-top:13.95pt;height:18pt;width:45pt;z-index:251852800;mso-width-relative:page;mso-height-relative:page;" fillcolor="#FFFFFF" filled="t" stroked="f" coordsize="21600,21600" o:gfxdata="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hD1OdYA&#10;AAAHAQAADwAAAAAAAAABACAAAAAiAAAAZHJzL2Rvd25yZXYueG1sUEsBAhQAFAAAAAgAh07iQJbr&#10;N4AhAgAAMQQAAA4AAAAAAAAAAQAgAAAAJQEAAGRycy9lMm9Eb2MueG1sUEsFBgAAAAAGAAYAWQEA&#10;ALgFA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承建资质</w:t>
                      </w:r>
                    </w:p>
                    <w:p/>
                  </w:txbxContent>
                </v:textbox>
              </v:shape>
            </w:pict>
          </mc:Fallback>
        </mc:AlternateContent>
      </w:r>
      <w:r>
        <w:rPr>
          <w:rFonts w:hint="eastAsia" w:ascii="宋体" w:hAnsi="宋体"/>
          <w:b w:val="0"/>
          <w:color w:val="000000"/>
          <w:sz w:val="21"/>
        </w:rPr>
        <w:t>如承包人没有承担本合同中某专业工程的承建资质，承包人必须根据14.1款的约定将该专业工程进行分包，分包人必须具备承建该专业工程的资质条件。</w:t>
      </w:r>
      <w:bookmarkEnd w:id="135"/>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177800</wp:posOffset>
                </wp:positionV>
                <wp:extent cx="571500" cy="342900"/>
                <wp:effectExtent l="0" t="0" r="1270" b="4445"/>
                <wp:wrapNone/>
                <wp:docPr id="198"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分包人的资料</w:t>
                            </w:r>
                          </w:p>
                          <w:p/>
                        </w:txbxContent>
                      </wps:txbx>
                      <wps:bodyPr rot="0" vert="horz" wrap="square" lIns="0" tIns="0" rIns="0" bIns="0" anchor="t" anchorCtr="0" upright="1">
                        <a:noAutofit/>
                      </wps:bodyPr>
                    </wps:wsp>
                  </a:graphicData>
                </a:graphic>
              </wp:anchor>
            </w:drawing>
          </mc:Choice>
          <mc:Fallback>
            <w:pict>
              <v:shape id="文本框 197" o:spid="_x0000_s1026" o:spt="202" type="#_x0000_t202" style="position:absolute;left:0pt;margin-left:-0.75pt;margin-top:14pt;height:27pt;width:45pt;z-index:251693056;mso-width-relative:page;mso-height-relative:page;" fillcolor="#FFFFFF" filled="t" stroked="f" coordsize="21600,21600" o:gfxdata="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EppDw1QAA&#10;AAcBAAAPAAAAAAAAAAEAIAAAACIAAABkcnMvZG93bnJldi54bWxQSwECFAAUAAAACACHTuJAdnPf&#10;VyECAAAxBAAADgAAAAAAAAABACAAAAAkAQAAZHJzL2Uyb0RvYy54bWxQSwUGAAAAAAYABgBZAQAA&#10;twU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分包人的资料</w:t>
                      </w:r>
                    </w:p>
                    <w:p/>
                  </w:txbxContent>
                </v:textbox>
              </v:shape>
            </w:pict>
          </mc:Fallback>
        </mc:AlternateContent>
      </w:r>
      <w:r>
        <w:rPr>
          <w:rFonts w:hint="eastAsia" w:ascii="宋体" w:hAnsi="宋体"/>
          <w:b w:val="0"/>
          <w:color w:val="000000"/>
          <w:sz w:val="21"/>
        </w:rPr>
        <w:t>承包人有义务依据工程师的要求向发包人及工程师提供已分包或拟分包工程的分包人的一切资料。</w:t>
      </w:r>
      <w:bookmarkEnd w:id="13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37" w:name="_Toc34908985"/>
      <w:r>
        <mc:AlternateContent>
          <mc:Choice Requires="wps">
            <w:drawing>
              <wp:anchor distT="0" distB="0" distL="114300" distR="114300" simplePos="0" relativeHeight="251694080" behindDoc="0" locked="0" layoutInCell="1" allowOverlap="1">
                <wp:simplePos x="0" y="0"/>
                <wp:positionH relativeFrom="column">
                  <wp:posOffset>-9525</wp:posOffset>
                </wp:positionH>
                <wp:positionV relativeFrom="paragraph">
                  <wp:posOffset>134620</wp:posOffset>
                </wp:positionV>
                <wp:extent cx="571500" cy="379730"/>
                <wp:effectExtent l="0" t="0" r="1270" b="1905"/>
                <wp:wrapNone/>
                <wp:docPr id="197"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571500" cy="37973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分包工程价款</w:t>
                            </w:r>
                          </w:p>
                        </w:txbxContent>
                      </wps:txbx>
                      <wps:bodyPr rot="0" vert="horz" wrap="square" lIns="0" tIns="36000" rIns="0" bIns="0" anchor="t" anchorCtr="0" upright="1">
                        <a:noAutofit/>
                      </wps:bodyPr>
                    </wps:wsp>
                  </a:graphicData>
                </a:graphic>
              </wp:anchor>
            </w:drawing>
          </mc:Choice>
          <mc:Fallback>
            <w:pict>
              <v:shape id="文本框 196" o:spid="_x0000_s1026" o:spt="202" type="#_x0000_t202" style="position:absolute;left:0pt;margin-left:-0.75pt;margin-top:10.6pt;height:29.9pt;width:45pt;z-index:251694080;mso-width-relative:page;mso-height-relative:page;" fillcolor="#FFFFFF" filled="t" stroked="f" coordsize="21600,21600" o:gfxdata="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Ps0x1AAAAAcBAAAPAAAAAAAAAAEAIAAAACIAAABkcnMvZG93bnJldi54bWxQSwECFAAUAAAACACH&#10;TuJA7GzUeygCAAA1BAAADgAAAAAAAAABACAAAAAjAQAAZHJzL2Uyb0RvYy54bWxQSwUGAAAAAAYA&#10;BgBZAQAAvQUAAAAA&#10;">
                <v:fill on="t" focussize="0,0"/>
                <v:stroke on="f"/>
                <v:imagedata o:title=""/>
                <o:lock v:ext="edit" aspectratio="f"/>
                <v:textbox inset="0mm,1mm,0mm,0mm">
                  <w:txbxContent>
                    <w:p>
                      <w:pPr>
                        <w:rPr>
                          <w:rFonts w:ascii="楷体_GB2312" w:eastAsia="楷体_GB2312"/>
                          <w:szCs w:val="21"/>
                        </w:rPr>
                      </w:pPr>
                      <w:r>
                        <w:rPr>
                          <w:rFonts w:hint="eastAsia" w:ascii="楷体_GB2312" w:hAnsi="宋体" w:eastAsia="楷体_GB2312"/>
                        </w:rPr>
                        <w:t>分包工程价款</w:t>
                      </w:r>
                    </w:p>
                  </w:txbxContent>
                </v:textbox>
              </v:shape>
            </w:pict>
          </mc:Fallback>
        </mc:AlternateContent>
      </w:r>
      <w:r>
        <w:rPr>
          <w:rFonts w:hint="eastAsia" w:ascii="宋体" w:hAnsi="宋体"/>
          <w:b w:val="0"/>
          <w:color w:val="000000"/>
          <w:sz w:val="21"/>
        </w:rPr>
        <w:t>承包人与分包人应签订分包合同。分包工程价款由承包人与分包人结算。</w:t>
      </w:r>
      <w:bookmarkEnd w:id="137"/>
      <w:bookmarkStart w:id="138" w:name="_Toc34908983"/>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53824" behindDoc="0" locked="0" layoutInCell="1" allowOverlap="1">
                <wp:simplePos x="0" y="0"/>
                <wp:positionH relativeFrom="column">
                  <wp:posOffset>0</wp:posOffset>
                </wp:positionH>
                <wp:positionV relativeFrom="paragraph">
                  <wp:posOffset>170815</wp:posOffset>
                </wp:positionV>
                <wp:extent cx="571500" cy="356235"/>
                <wp:effectExtent l="0" t="0" r="1270" b="0"/>
                <wp:wrapNone/>
                <wp:docPr id="196"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571500" cy="356235"/>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肢解分包与再分包</w:t>
                            </w:r>
                          </w:p>
                          <w:p/>
                        </w:txbxContent>
                      </wps:txbx>
                      <wps:bodyPr rot="0" vert="horz" wrap="square" lIns="0" tIns="0" rIns="0" bIns="0" anchor="t" anchorCtr="0" upright="1">
                        <a:noAutofit/>
                      </wps:bodyPr>
                    </wps:wsp>
                  </a:graphicData>
                </a:graphic>
              </wp:anchor>
            </w:drawing>
          </mc:Choice>
          <mc:Fallback>
            <w:pict>
              <v:shape id="文本框 195" o:spid="_x0000_s1026" o:spt="202" type="#_x0000_t202" style="position:absolute;left:0pt;margin-left:0pt;margin-top:13.45pt;height:28.05pt;width:45pt;z-index:251853824;mso-width-relative:page;mso-height-relative:page;" fillcolor="#FFFFFF" filled="t" stroked="f" coordsize="21600,21600" o:gfxdata="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8eIcztQA&#10;AAAFAQAADwAAAAAAAAABACAAAAAiAAAAZHJzL2Rvd25yZXYueG1sUEsBAhQAFAAAAAgAh07iQLdZ&#10;OHQjAgAAMQQAAA4AAAAAAAAAAQAgAAAAIwEAAGRycy9lMm9Eb2MueG1sUEsFBgAAAAAGAAYAWQEA&#10;ALgFA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肢解分包与再分包</w:t>
                      </w:r>
                    </w:p>
                    <w:p/>
                  </w:txbxContent>
                </v:textbox>
              </v:shape>
            </w:pict>
          </mc:Fallback>
        </mc:AlternateContent>
      </w:r>
      <w:r>
        <w:rPr>
          <w:rFonts w:hint="eastAsia" w:ascii="宋体" w:hAnsi="宋体"/>
          <w:b w:val="0"/>
          <w:color w:val="000000"/>
          <w:sz w:val="21"/>
        </w:rPr>
        <w:t>承包人不得将全部工程肢解分包。承包人应禁止分包人将分包工程的任何部分再分包。</w:t>
      </w:r>
      <w:bookmarkEnd w:id="138"/>
    </w:p>
    <w:p>
      <w:pPr>
        <w:pStyle w:val="2"/>
        <w:keepLines w:val="0"/>
        <w:tabs>
          <w:tab w:val="left" w:pos="1620"/>
          <w:tab w:val="left" w:pos="2340"/>
        </w:tabs>
        <w:ind w:left="945" w:leftChars="450"/>
        <w:rPr>
          <w:rFonts w:hAnsi="宋体"/>
          <w:color w:val="000000"/>
          <w:sz w:val="28"/>
          <w:szCs w:val="28"/>
        </w:rPr>
      </w:pPr>
      <w:r>
        <w:rPr>
          <w:rFonts w:hint="eastAsia" w:hAnsi="宋体"/>
          <w:color w:val="000000"/>
          <w:sz w:val="28"/>
          <w:szCs w:val="28"/>
        </w:rPr>
        <w:t>专业工程发包</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80448" behindDoc="0" locked="0" layoutInCell="1" allowOverlap="1">
                <wp:simplePos x="0" y="0"/>
                <wp:positionH relativeFrom="column">
                  <wp:posOffset>0</wp:posOffset>
                </wp:positionH>
                <wp:positionV relativeFrom="paragraph">
                  <wp:posOffset>20320</wp:posOffset>
                </wp:positionV>
                <wp:extent cx="571500" cy="356235"/>
                <wp:effectExtent l="0" t="2540" r="1270" b="3175"/>
                <wp:wrapNone/>
                <wp:docPr id="195"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571500" cy="356235"/>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专业工程发包</w:t>
                            </w:r>
                          </w:p>
                          <w:p/>
                        </w:txbxContent>
                      </wps:txbx>
                      <wps:bodyPr rot="0" vert="horz" wrap="square" lIns="0" tIns="0" rIns="0" bIns="0" anchor="t" anchorCtr="0" upright="1">
                        <a:noAutofit/>
                      </wps:bodyPr>
                    </wps:wsp>
                  </a:graphicData>
                </a:graphic>
              </wp:anchor>
            </w:drawing>
          </mc:Choice>
          <mc:Fallback>
            <w:pict>
              <v:shape id="文本框 194" o:spid="_x0000_s1026" o:spt="202" type="#_x0000_t202" style="position:absolute;left:0pt;margin-left:0pt;margin-top:1.6pt;height:28.05pt;width:45pt;z-index:251880448;mso-width-relative:page;mso-height-relative:page;" fillcolor="#FFFFFF" filled="t" stroked="f" coordsize="21600,21600" o:gfxdata="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5gEL7U&#10;AAAABAEAAA8AAAAAAAAAAQAgAAAAIgAAAGRycy9kb3ducmV2LnhtbFBLAQIUABQAAAAIAIdO4kAt&#10;uLWHJAIAADEEAAAOAAAAAAAAAAEAIAAAACMBAABkcnMvZTJvRG9jLnhtbFBLBQYAAAAABgAGAFkB&#10;AAC5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专业工程发包</w:t>
                      </w:r>
                    </w:p>
                    <w:p/>
                  </w:txbxContent>
                </v:textbox>
              </v:shape>
            </w:pict>
          </mc:Fallback>
        </mc:AlternateContent>
      </w:r>
      <w:r>
        <w:rPr>
          <w:rFonts w:hint="eastAsia" w:ascii="宋体" w:hAnsi="宋体"/>
          <w:b w:val="0"/>
          <w:color w:val="000000"/>
          <w:sz w:val="21"/>
        </w:rPr>
        <w:t>发包人自行发包专业工程的，应遵循有关法律、法规的规定，在专用条款中明确专业工程承包人。专业工程施工合同由发包人与专业工程承包人签订，承包人与专业工程承包人为总包与分包关系。</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82496" behindDoc="0" locked="0" layoutInCell="1" allowOverlap="1">
                <wp:simplePos x="0" y="0"/>
                <wp:positionH relativeFrom="column">
                  <wp:posOffset>0</wp:posOffset>
                </wp:positionH>
                <wp:positionV relativeFrom="paragraph">
                  <wp:posOffset>174625</wp:posOffset>
                </wp:positionV>
                <wp:extent cx="571500" cy="228600"/>
                <wp:effectExtent l="0" t="0" r="1270" b="1270"/>
                <wp:wrapNone/>
                <wp:docPr id="194"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责任划分</w:t>
                            </w:r>
                          </w:p>
                          <w:p/>
                        </w:txbxContent>
                      </wps:txbx>
                      <wps:bodyPr rot="0" vert="horz" wrap="square" lIns="0" tIns="0" rIns="0" bIns="0" anchor="t" anchorCtr="0" upright="1">
                        <a:noAutofit/>
                      </wps:bodyPr>
                    </wps:wsp>
                  </a:graphicData>
                </a:graphic>
              </wp:anchor>
            </w:drawing>
          </mc:Choice>
          <mc:Fallback>
            <w:pict>
              <v:shape id="文本框 193" o:spid="_x0000_s1026" o:spt="202" type="#_x0000_t202" style="position:absolute;left:0pt;margin-left:0pt;margin-top:13.75pt;height:18pt;width:45pt;z-index:251882496;mso-width-relative:page;mso-height-relative:page;" fillcolor="#FFFFFF" filled="t" stroked="f" coordsize="21600,21600" o:gfxdata="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lF9vTUAAAA&#10;BQEAAA8AAAAAAAAAAQAgAAAAIgAAAGRycy9kb3ducmV2LnhtbFBLAQIUABQAAAAIAIdO4kCEWwzy&#10;IQIAADEEAAAOAAAAAAAAAAEAIAAAACM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责任划分</w:t>
                      </w:r>
                    </w:p>
                    <w:p/>
                  </w:txbxContent>
                </v:textbox>
              </v:shape>
            </w:pict>
          </mc:Fallback>
        </mc:AlternateContent>
      </w:r>
      <w:r>
        <w:rPr>
          <w:rFonts w:hint="eastAsia" w:ascii="宋体" w:hAnsi="宋体"/>
          <w:b w:val="0"/>
          <w:color w:val="000000"/>
          <w:sz w:val="21"/>
        </w:rPr>
        <w:t>⑴发包人应保障承包人免于承担应由专业工程承包人承担的责任和义务，保护承包人在上述责任和义务方面不受损害；任何由于专业工程承包人未履行上述责任和义务而引起的与本合同有关的一切索赔、赔偿、诉讼等费用及其他开支，承包人免于承担；</w:t>
      </w:r>
    </w:p>
    <w:p>
      <w:pPr>
        <w:tabs>
          <w:tab w:val="left" w:pos="1620"/>
          <w:tab w:val="left" w:pos="2340"/>
        </w:tabs>
        <w:ind w:firstLine="1680" w:firstLineChars="800"/>
        <w:rPr>
          <w:rFonts w:ascii="宋体" w:hAnsi="宋体"/>
          <w:color w:val="000000"/>
        </w:rPr>
      </w:pPr>
      <w:r>
        <w:rPr>
          <w:rFonts w:hint="eastAsia" w:ascii="宋体" w:hAnsi="宋体"/>
          <w:color w:val="000000"/>
        </w:rPr>
        <w:t>⑵对于因专业工程承包人的过失而造成的任何损失，承包人免于承担；</w:t>
      </w:r>
    </w:p>
    <w:p>
      <w:pPr>
        <w:tabs>
          <w:tab w:val="left" w:pos="1620"/>
          <w:tab w:val="left" w:pos="2340"/>
        </w:tabs>
        <w:ind w:firstLine="1680" w:firstLineChars="800"/>
        <w:rPr>
          <w:rFonts w:ascii="宋体" w:hAnsi="宋体"/>
          <w:color w:val="000000"/>
        </w:rPr>
      </w:pPr>
      <w:r>
        <w:rPr>
          <w:rFonts w:hint="eastAsia" w:ascii="宋体" w:hAnsi="宋体"/>
          <w:color w:val="000000"/>
        </w:rPr>
        <w:t>⑶承包人对整个工程施工进行统一协调管理，专业工程承包人应接受承包</w:t>
      </w:r>
    </w:p>
    <w:p>
      <w:pPr>
        <w:tabs>
          <w:tab w:val="left" w:pos="1620"/>
          <w:tab w:val="left" w:pos="2340"/>
        </w:tabs>
        <w:ind w:left="1680" w:leftChars="800"/>
        <w:rPr>
          <w:rFonts w:ascii="宋体" w:hAnsi="宋体"/>
          <w:color w:val="000000"/>
        </w:rPr>
      </w:pPr>
      <w:r>
        <w:rPr>
          <w:rFonts w:hint="eastAsia" w:ascii="宋体" w:hAnsi="宋体"/>
          <w:color w:val="000000"/>
        </w:rPr>
        <w:t>人的管理，施工中协作配合。但是因承包人的过失而造成的任何损失，承包人应当承担。</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81472" behindDoc="0" locked="0" layoutInCell="1" allowOverlap="1">
                <wp:simplePos x="0" y="0"/>
                <wp:positionH relativeFrom="column">
                  <wp:posOffset>0</wp:posOffset>
                </wp:positionH>
                <wp:positionV relativeFrom="paragraph">
                  <wp:posOffset>168910</wp:posOffset>
                </wp:positionV>
                <wp:extent cx="571500" cy="356235"/>
                <wp:effectExtent l="0" t="635" r="1270" b="0"/>
                <wp:wrapNone/>
                <wp:docPr id="193"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571500" cy="356235"/>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管理费与配合费</w:t>
                            </w:r>
                          </w:p>
                          <w:p/>
                        </w:txbxContent>
                      </wps:txbx>
                      <wps:bodyPr rot="0" vert="horz" wrap="square" lIns="0" tIns="0" rIns="0" bIns="0" anchor="t" anchorCtr="0" upright="1">
                        <a:noAutofit/>
                      </wps:bodyPr>
                    </wps:wsp>
                  </a:graphicData>
                </a:graphic>
              </wp:anchor>
            </w:drawing>
          </mc:Choice>
          <mc:Fallback>
            <w:pict>
              <v:shape id="文本框 192" o:spid="_x0000_s1026" o:spt="202" type="#_x0000_t202" style="position:absolute;left:0pt;margin-left:0pt;margin-top:13.3pt;height:28.05pt;width:45pt;z-index:251881472;mso-width-relative:page;mso-height-relative:page;" fillcolor="#FFFFFF" filled="t" stroked="f" coordsize="21600,21600" o:gfxdata="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p5JKNQA&#10;AAAFAQAADwAAAAAAAAABACAAAAAiAAAAZHJzL2Rvd25yZXYueG1sUEsBAhQAFAAAAAgAh07iQNwV&#10;SG0jAgAAMQQAAA4AAAAAAAAAAQAgAAAAIwEAAGRycy9lMm9Eb2MueG1sUEsFBgAAAAAGAAYAWQEA&#10;ALgFA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管理费与配合费</w:t>
                      </w:r>
                    </w:p>
                    <w:p/>
                  </w:txbxContent>
                </v:textbox>
              </v:shape>
            </w:pict>
          </mc:Fallback>
        </mc:AlternateContent>
      </w:r>
      <w:r>
        <w:rPr>
          <w:rFonts w:hint="eastAsia" w:ascii="宋体" w:hAnsi="宋体"/>
          <w:b w:val="0"/>
          <w:color w:val="000000"/>
          <w:sz w:val="21"/>
        </w:rPr>
        <w:t>根据专业工程施工合同与本合同关联程度，发包人与承包人另行约定配合费与管理费的金额与支付方式。</w:t>
      </w:r>
    </w:p>
    <w:p>
      <w:pPr>
        <w:pStyle w:val="2"/>
        <w:keepLines w:val="0"/>
        <w:numPr>
          <w:ilvl w:val="0"/>
          <w:numId w:val="0"/>
        </w:numPr>
        <w:tabs>
          <w:tab w:val="left" w:pos="1620"/>
          <w:tab w:val="left" w:pos="2340"/>
        </w:tabs>
        <w:ind w:left="945" w:leftChars="450"/>
        <w:rPr>
          <w:rFonts w:hAnsi="宋体"/>
          <w:color w:val="000000"/>
          <w:sz w:val="30"/>
        </w:rPr>
      </w:pPr>
      <w:bookmarkStart w:id="139" w:name="_Toc35656975"/>
      <w:bookmarkStart w:id="140" w:name="_Toc35656473"/>
      <w:bookmarkStart w:id="141" w:name="_Toc34908990"/>
      <w:r>
        <w:rPr>
          <w:rFonts w:hint="eastAsia" w:hAnsi="宋体"/>
          <w:color w:val="000000"/>
          <w:sz w:val="30"/>
        </w:rPr>
        <w:t>六、施工准备工作</w:t>
      </w:r>
      <w:bookmarkEnd w:id="139"/>
      <w:bookmarkEnd w:id="140"/>
      <w:bookmarkEnd w:id="141"/>
    </w:p>
    <w:p>
      <w:pPr>
        <w:pStyle w:val="2"/>
        <w:keepLines w:val="0"/>
        <w:tabs>
          <w:tab w:val="left" w:pos="1620"/>
          <w:tab w:val="left" w:pos="2340"/>
        </w:tabs>
        <w:ind w:left="945" w:leftChars="450"/>
        <w:rPr>
          <w:rFonts w:hAnsi="宋体"/>
          <w:color w:val="000000"/>
          <w:sz w:val="28"/>
          <w:szCs w:val="28"/>
        </w:rPr>
      </w:pPr>
      <w:bookmarkStart w:id="142" w:name="_Toc35656976"/>
      <w:bookmarkStart w:id="143" w:name="_Toc35656474"/>
      <w:bookmarkStart w:id="144" w:name="_Toc34908991"/>
      <w:r>
        <w:rPr>
          <w:rFonts w:hint="eastAsia" w:hAnsi="宋体"/>
          <w:color w:val="000000"/>
          <w:sz w:val="28"/>
          <w:szCs w:val="28"/>
        </w:rPr>
        <w:t>施工组织设计和进度计划</w:t>
      </w:r>
      <w:bookmarkEnd w:id="142"/>
      <w:bookmarkEnd w:id="143"/>
      <w:bookmarkEnd w:id="144"/>
    </w:p>
    <w:p>
      <w:pPr>
        <w:pStyle w:val="3"/>
        <w:numPr>
          <w:ilvl w:val="1"/>
          <w:numId w:val="1"/>
        </w:numPr>
        <w:tabs>
          <w:tab w:val="left" w:pos="1620"/>
          <w:tab w:val="left" w:pos="2016"/>
          <w:tab w:val="left" w:pos="2340"/>
          <w:tab w:val="clear" w:pos="1711"/>
        </w:tabs>
        <w:spacing w:after="312" w:afterLines="100"/>
        <w:ind w:left="1523" w:leftChars="450" w:hanging="578"/>
        <w:jc w:val="both"/>
        <w:rPr>
          <w:rFonts w:ascii="宋体" w:hAnsi="宋体"/>
          <w:b w:val="0"/>
          <w:color w:val="000000"/>
          <w:sz w:val="21"/>
        </w:rPr>
      </w:pPr>
      <w:bookmarkStart w:id="145" w:name="_Toc34908992"/>
      <w: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6350</wp:posOffset>
                </wp:positionV>
                <wp:extent cx="571500" cy="519430"/>
                <wp:effectExtent l="0" t="4445" r="1270" b="0"/>
                <wp:wrapNone/>
                <wp:docPr id="192"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571500" cy="51943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施工组织设计和进度计划</w:t>
                            </w:r>
                          </w:p>
                          <w:p/>
                        </w:txbxContent>
                      </wps:txbx>
                      <wps:bodyPr rot="0" vert="horz" wrap="square" lIns="0" tIns="0" rIns="0" bIns="0" anchor="t" anchorCtr="0" upright="1">
                        <a:noAutofit/>
                      </wps:bodyPr>
                    </wps:wsp>
                  </a:graphicData>
                </a:graphic>
              </wp:anchor>
            </w:drawing>
          </mc:Choice>
          <mc:Fallback>
            <w:pict>
              <v:shape id="文本框 191" o:spid="_x0000_s1026" o:spt="202" type="#_x0000_t202" style="position:absolute;left:0pt;margin-left:0pt;margin-top:0.5pt;height:40.9pt;width:45pt;z-index:251695104;mso-width-relative:page;mso-height-relative:page;" fillcolor="#FFFFFF" filled="t" stroked="f" coordsize="21600,21600" o:gfxdata="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NomTvSAAAA&#10;BAEAAA8AAAAAAAAAAQAgAAAAIgAAAGRycy9kb3ducmV2LnhtbFBLAQIUABQAAAAIAIdO4kBRK0Rd&#10;IwIAADEEAAAOAAAAAAAAAAEAIAAAACE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施工组织设计和进度计划</w:t>
                      </w:r>
                    </w:p>
                    <w:p/>
                  </w:txbxContent>
                </v:textbox>
              </v:shape>
            </w:pict>
          </mc:Fallback>
        </mc:AlternateContent>
      </w:r>
      <w:r>
        <w:rPr>
          <w:rFonts w:hint="eastAsia" w:ascii="宋体" w:hAnsi="宋体"/>
          <w:b w:val="0"/>
          <w:color w:val="000000"/>
          <w:sz w:val="21"/>
        </w:rPr>
        <w:t>承包人应编制本工程和专用条款约定的单项工程的施工组织设计和进度计划。</w:t>
      </w:r>
      <w:bookmarkEnd w:id="145"/>
    </w:p>
    <w:p>
      <w:pPr>
        <w:tabs>
          <w:tab w:val="left" w:pos="1620"/>
          <w:tab w:val="left" w:pos="2340"/>
        </w:tabs>
        <w:spacing w:line="60" w:lineRule="auto"/>
        <w:rPr>
          <w:rFonts w:ascii="宋体" w:hAnsi="宋体"/>
          <w:color w:val="000000"/>
        </w:rPr>
      </w:pPr>
    </w:p>
    <w:p>
      <w:pPr>
        <w:pStyle w:val="3"/>
        <w:numPr>
          <w:ilvl w:val="1"/>
          <w:numId w:val="1"/>
        </w:numPr>
        <w:tabs>
          <w:tab w:val="left" w:pos="1620"/>
          <w:tab w:val="left" w:pos="2016"/>
          <w:tab w:val="left" w:pos="2340"/>
          <w:tab w:val="clear" w:pos="1711"/>
        </w:tabs>
        <w:spacing w:before="400" w:after="0"/>
        <w:ind w:left="1523" w:leftChars="450" w:hanging="578"/>
        <w:jc w:val="both"/>
        <w:rPr>
          <w:rFonts w:ascii="宋体" w:hAnsi="宋体"/>
          <w:b w:val="0"/>
          <w:color w:val="000000"/>
          <w:sz w:val="21"/>
        </w:rPr>
      </w:pPr>
      <w:bookmarkStart w:id="146" w:name="_Toc34908993"/>
      <w: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247650</wp:posOffset>
                </wp:positionV>
                <wp:extent cx="571500" cy="742315"/>
                <wp:effectExtent l="0" t="1905" r="1270" b="0"/>
                <wp:wrapNone/>
                <wp:docPr id="191"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571500" cy="742315"/>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施工组织设计和进度计划提交和确认</w:t>
                            </w:r>
                          </w:p>
                          <w:p/>
                        </w:txbxContent>
                      </wps:txbx>
                      <wps:bodyPr rot="0" vert="horz" wrap="square" lIns="0" tIns="0" rIns="0" bIns="0" anchor="t" anchorCtr="0" upright="1">
                        <a:noAutofit/>
                      </wps:bodyPr>
                    </wps:wsp>
                  </a:graphicData>
                </a:graphic>
              </wp:anchor>
            </w:drawing>
          </mc:Choice>
          <mc:Fallback>
            <w:pict>
              <v:shape id="文本框 190" o:spid="_x0000_s1026" o:spt="202" type="#_x0000_t202" style="position:absolute;left:0pt;margin-left:0pt;margin-top:19.5pt;height:58.45pt;width:45pt;z-index:251696128;mso-width-relative:page;mso-height-relative:page;" fillcolor="#FFFFFF" filled="t" stroked="f" coordsize="21600,21600" o:gfxdata="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Wenj/&#10;1QAAAAYBAAAPAAAAAAAAAAEAIAAAACIAAABkcnMvZG93bnJldi54bWxQSwECFAAUAAAACACHTuJA&#10;LgEtTyQCAAAxBAAADgAAAAAAAAABACAAAAAkAQAAZHJzL2Uyb0RvYy54bWxQSwUGAAAAAAYABgBZ&#10;AQAAugU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施工组织设计和进度计划提交和确认</w:t>
                      </w:r>
                    </w:p>
                    <w:p/>
                  </w:txbxContent>
                </v:textbox>
              </v:shape>
            </w:pict>
          </mc:Fallback>
        </mc:AlternateContent>
      </w:r>
      <w:r>
        <w:rPr>
          <w:rFonts w:hint="eastAsia" w:ascii="宋体" w:hAnsi="宋体"/>
          <w:b w:val="0"/>
          <w:color w:val="000000"/>
          <w:sz w:val="21"/>
        </w:rPr>
        <w:t>承包人应按专用条款中约定的时间和要求(专用条款无明确时间约定时则应在承包人收到本工程或专用条款约定的单项工程图纸后14天内)向工程师提交施工组织设计和工程进度计划。</w:t>
      </w:r>
      <w:bookmarkEnd w:id="146"/>
      <w:r>
        <w:rPr>
          <w:rFonts w:hint="eastAsia" w:ascii="宋体" w:hAnsi="宋体"/>
          <w:b w:val="0"/>
          <w:color w:val="000000"/>
          <w:sz w:val="21"/>
        </w:rPr>
        <w:t>工程师如提出合理修改意见的，承包人应根据该意见按专用条款约定的时间或要求(专用条款无明确时间约定时则应在承包人收到修改意见后7天内)提交修改后的施工组织设计和工程进度计划，待工程师确认后执行。</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47" w:name="_Toc34908994"/>
      <w: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169545</wp:posOffset>
                </wp:positionV>
                <wp:extent cx="571500" cy="342900"/>
                <wp:effectExtent l="0" t="4445" r="1270" b="0"/>
                <wp:wrapNone/>
                <wp:docPr id="190"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进度计划的要求</w:t>
                            </w:r>
                          </w:p>
                          <w:p/>
                        </w:txbxContent>
                      </wps:txbx>
                      <wps:bodyPr rot="0" vert="horz" wrap="square" lIns="0" tIns="0" rIns="0" bIns="0" anchor="t" anchorCtr="0" upright="1">
                        <a:noAutofit/>
                      </wps:bodyPr>
                    </wps:wsp>
                  </a:graphicData>
                </a:graphic>
              </wp:anchor>
            </w:drawing>
          </mc:Choice>
          <mc:Fallback>
            <w:pict>
              <v:shape id="文本框 189" o:spid="_x0000_s1026" o:spt="202" type="#_x0000_t202" style="position:absolute;left:0pt;margin-left:0pt;margin-top:13.35pt;height:27pt;width:45pt;z-index:251697152;mso-width-relative:page;mso-height-relative:page;" fillcolor="#FFFFFF" filled="t" stroked="f" coordsize="21600,21600" o:gfxdata="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b/GS3UAAAA&#10;BQEAAA8AAAAAAAAAAQAgAAAAIgAAAGRycy9kb3ducmV2LnhtbFBLAQIUABQAAAAIAIdO4kDJjoMb&#10;IQIAADEEAAAOAAAAAAAAAAEAIAAAACMBAABkcnMvZTJvRG9jLnhtbFBLBQYAAAAABgAGAFkBAAC2&#10;BQ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进度计划的要求</w:t>
                      </w:r>
                    </w:p>
                    <w:p/>
                  </w:txbxContent>
                </v:textbox>
              </v:shape>
            </w:pict>
          </mc:Fallback>
        </mc:AlternateContent>
      </w:r>
      <w:r>
        <w:rPr>
          <w:rFonts w:hint="eastAsia" w:ascii="宋体" w:hAnsi="宋体"/>
          <w:b w:val="0"/>
          <w:color w:val="000000"/>
          <w:sz w:val="21"/>
        </w:rPr>
        <w:t>工程进度计划应反映出各施工区段或各工序之间的搭接关系、施工期限和开、竣工日期，并应包括每月预计完成的工作量和形象进度。</w:t>
      </w:r>
      <w:bookmarkEnd w:id="147"/>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48" w:name="_Toc34908995"/>
      <w: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153670</wp:posOffset>
                </wp:positionV>
                <wp:extent cx="571500" cy="419100"/>
                <wp:effectExtent l="0" t="0" r="1270" b="2540"/>
                <wp:wrapNone/>
                <wp:docPr id="189"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571500" cy="4191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按进度计划施工</w:t>
                            </w:r>
                          </w:p>
                          <w:p/>
                        </w:txbxContent>
                      </wps:txbx>
                      <wps:bodyPr rot="0" vert="horz" wrap="square" lIns="0" tIns="18000" rIns="0" bIns="0" anchor="t" anchorCtr="0" upright="1">
                        <a:noAutofit/>
                      </wps:bodyPr>
                    </wps:wsp>
                  </a:graphicData>
                </a:graphic>
              </wp:anchor>
            </w:drawing>
          </mc:Choice>
          <mc:Fallback>
            <w:pict>
              <v:shape id="文本框 188" o:spid="_x0000_s1026" o:spt="202" type="#_x0000_t202" style="position:absolute;left:0pt;margin-left:0pt;margin-top:12.1pt;height:33pt;width:45pt;z-index:251698176;mso-width-relative:page;mso-height-relative:page;" fillcolor="#FFFFFF" filled="t" stroked="f" coordsize="21600,21600" o:gfxdata="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JcU&#10;1NUAAAAFAQAADwAAAAAAAAABACAAAAAiAAAAZHJzL2Rvd25yZXYueG1sUEsBAhQAFAAAAAgAh07i&#10;QJZNx44lAgAANQQAAA4AAAAAAAAAAQAgAAAAJAEAAGRycy9lMm9Eb2MueG1sUEsFBgAAAAAGAAYA&#10;WQEAALsFAAAAAA==&#10;">
                <v:fill on="t" focussize="0,0"/>
                <v:stroke on="f"/>
                <v:imagedata o:title=""/>
                <o:lock v:ext="edit" aspectratio="f"/>
                <v:textbox inset="0mm,0.5mm,0mm,0mm">
                  <w:txbxContent>
                    <w:p>
                      <w:pPr>
                        <w:rPr>
                          <w:rFonts w:ascii="楷体_GB2312" w:eastAsia="楷体_GB2312"/>
                          <w:szCs w:val="21"/>
                        </w:rPr>
                      </w:pPr>
                      <w:r>
                        <w:rPr>
                          <w:rFonts w:hint="eastAsia" w:ascii="楷体_GB2312" w:hAnsi="宋体" w:eastAsia="楷体_GB2312"/>
                        </w:rPr>
                        <w:t>按进度计划施工</w:t>
                      </w:r>
                    </w:p>
                    <w:p/>
                  </w:txbxContent>
                </v:textbox>
              </v:shape>
            </w:pict>
          </mc:Fallback>
        </mc:AlternateContent>
      </w:r>
      <w:r>
        <w:rPr>
          <w:rFonts w:hint="eastAsia" w:ascii="宋体" w:hAnsi="宋体"/>
          <w:b w:val="0"/>
          <w:color w:val="000000"/>
          <w:sz w:val="21"/>
        </w:rPr>
        <w:t>承包人必须按工程师确认的工程进度计划组织施工，接受工程师对工程进度的检查、监督。</w:t>
      </w:r>
      <w:bookmarkEnd w:id="148"/>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49" w:name="_Toc34908996"/>
      <w: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182880</wp:posOffset>
                </wp:positionV>
                <wp:extent cx="571500" cy="350520"/>
                <wp:effectExtent l="0" t="0" r="1270" b="4445"/>
                <wp:wrapNone/>
                <wp:docPr id="188"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571500" cy="35052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进度计划的修改</w:t>
                            </w:r>
                          </w:p>
                          <w:p/>
                        </w:txbxContent>
                      </wps:txbx>
                      <wps:bodyPr rot="0" vert="horz" wrap="square" lIns="0" tIns="0" rIns="0" bIns="0" anchor="t" anchorCtr="0" upright="1">
                        <a:noAutofit/>
                      </wps:bodyPr>
                    </wps:wsp>
                  </a:graphicData>
                </a:graphic>
              </wp:anchor>
            </w:drawing>
          </mc:Choice>
          <mc:Fallback>
            <w:pict>
              <v:shape id="文本框 187" o:spid="_x0000_s1026" o:spt="202" type="#_x0000_t202" style="position:absolute;left:0pt;margin-left:0pt;margin-top:14.4pt;height:27.6pt;width:45pt;z-index:251699200;mso-width-relative:page;mso-height-relative:page;" fillcolor="#FFFFFF" filled="t" stroked="f" coordsize="21600,21600" o:gfxdata="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4FaZZ1AAA&#10;AAUBAAAPAAAAAAAAAAEAIAAAACIAAABkcnMvZG93bnJldi54bWxQSwECFAAUAAAACACHTuJAAvPs&#10;ACICAAAxBAAADgAAAAAAAAABACAAAAAjAQAAZHJzL2Uyb0RvYy54bWxQSwUGAAAAAAYABgBZAQAA&#10;twU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进度计划的修改</w:t>
                      </w:r>
                    </w:p>
                    <w:p/>
                  </w:txbxContent>
                </v:textbox>
              </v:shape>
            </w:pict>
          </mc:Fallback>
        </mc:AlternateContent>
      </w:r>
      <w:r>
        <w:rPr>
          <w:rFonts w:hint="eastAsia" w:ascii="宋体" w:hAnsi="宋体"/>
          <w:b w:val="0"/>
          <w:color w:val="000000"/>
          <w:sz w:val="21"/>
        </w:rPr>
        <w:t>如工程师认为工程实际进度不符合已经确认的工程进度计划，在承包人无任何理由取得延长工期的情况下，</w:t>
      </w:r>
      <w:bookmarkEnd w:id="149"/>
      <w:r>
        <w:rPr>
          <w:rFonts w:hint="eastAsia" w:ascii="宋体" w:hAnsi="宋体"/>
          <w:b w:val="0"/>
          <w:color w:val="000000"/>
          <w:sz w:val="21"/>
        </w:rPr>
        <w:t>承包人应根据工程师的要求，在合同约定的工期内修改工程进度计划，并提出改进措施，提交给工程师确认后执行。批准修改后的工程进度计划并不解除承包人根据合同约定应负的任何责任或义务。</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50" w:name="_Toc34908997"/>
      <w: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176530</wp:posOffset>
                </wp:positionV>
                <wp:extent cx="571500" cy="342900"/>
                <wp:effectExtent l="0" t="0" r="1270" b="3810"/>
                <wp:wrapNone/>
                <wp:docPr id="187"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提交工程用款计划</w:t>
                            </w:r>
                          </w:p>
                          <w:p/>
                        </w:txbxContent>
                      </wps:txbx>
                      <wps:bodyPr rot="0" vert="horz" wrap="square" lIns="0" tIns="0" rIns="0" bIns="0" anchor="t" anchorCtr="0" upright="1">
                        <a:noAutofit/>
                      </wps:bodyPr>
                    </wps:wsp>
                  </a:graphicData>
                </a:graphic>
              </wp:anchor>
            </w:drawing>
          </mc:Choice>
          <mc:Fallback>
            <w:pict>
              <v:shape id="文本框 186" o:spid="_x0000_s1026" o:spt="202" type="#_x0000_t202" style="position:absolute;left:0pt;margin-left:0pt;margin-top:13.9pt;height:27pt;width:45pt;z-index:251700224;mso-width-relative:page;mso-height-relative:page;" fillcolor="#FFFFFF" filled="t" stroked="f" coordsize="21600,21600" o:gfxdata="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UqdV9MAAAAF&#10;AQAADwAAAAAAAAABACAAAAAiAAAAZHJzL2Rvd25yZXYueG1sUEsBAhQAFAAAAAgAh07iQCz5sMQh&#10;AgAAMQQAAA4AAAAAAAAAAQAgAAAAIgEAAGRycy9lMm9Eb2MueG1sUEsFBgAAAAAGAAYAWQEAALUF&#10;A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提交工程用款计划</w:t>
                      </w:r>
                    </w:p>
                    <w:p/>
                  </w:txbxContent>
                </v:textbox>
              </v:shape>
            </w:pict>
          </mc:Fallback>
        </mc:AlternateContent>
      </w:r>
      <w:r>
        <w:rPr>
          <w:rFonts w:hint="eastAsia" w:ascii="宋体" w:hAnsi="宋体"/>
          <w:b w:val="0"/>
          <w:color w:val="000000"/>
          <w:sz w:val="21"/>
        </w:rPr>
        <w:t>承包人应随工程进度计划向工程师提交按合同约定承包人有权得到支付的工程用款计划，以备工程师查阅。如工程师提出要求，承包人还应按要求提交修改的工程用款计划。</w:t>
      </w:r>
      <w:bookmarkEnd w:id="150"/>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51" w:name="_Toc34908998"/>
      <w: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148590</wp:posOffset>
                </wp:positionV>
                <wp:extent cx="571500" cy="571500"/>
                <wp:effectExtent l="0" t="3810" r="1270" b="0"/>
                <wp:wrapNone/>
                <wp:docPr id="186"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未解除承包人的责任和义务</w:t>
                            </w:r>
                          </w:p>
                          <w:p/>
                        </w:txbxContent>
                      </wps:txbx>
                      <wps:bodyPr rot="0" vert="horz" wrap="square" lIns="0" tIns="36000" rIns="0" bIns="0" anchor="t" anchorCtr="0" upright="1">
                        <a:noAutofit/>
                      </wps:bodyPr>
                    </wps:wsp>
                  </a:graphicData>
                </a:graphic>
              </wp:anchor>
            </w:drawing>
          </mc:Choice>
          <mc:Fallback>
            <w:pict>
              <v:shape id="文本框 185" o:spid="_x0000_s1026" o:spt="202" type="#_x0000_t202" style="position:absolute;left:0pt;margin-left:0pt;margin-top:11.7pt;height:45pt;width:45pt;z-index:251701248;mso-width-relative:page;mso-height-relative:page;" fillcolor="#FFFFFF" filled="t" stroked="f" coordsize="21600,21600" o:gfxdata="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V2aj7UAAAA&#10;BgEAAA8AAAAAAAAAAQAgAAAAIgAAAGRycy9kb3ducmV2LnhtbFBLAQIUABQAAAAIAIdO4kBvxlqN&#10;IQIAADUEAAAOAAAAAAAAAAEAIAAAACMBAABkcnMvZTJvRG9jLnhtbFBLBQYAAAAABgAGAFkBAAC2&#10;BQAAAAA=&#10;">
                <v:fill on="t" focussize="0,0"/>
                <v:stroke on="f"/>
                <v:imagedata o:title=""/>
                <o:lock v:ext="edit" aspectratio="f"/>
                <v:textbox inset="0mm,1mm,0mm,0mm">
                  <w:txbxContent>
                    <w:p>
                      <w:pPr>
                        <w:rPr>
                          <w:rFonts w:ascii="楷体_GB2312" w:eastAsia="楷体_GB2312"/>
                          <w:szCs w:val="21"/>
                        </w:rPr>
                      </w:pPr>
                      <w:r>
                        <w:rPr>
                          <w:rFonts w:hint="eastAsia" w:ascii="楷体_GB2312" w:hAnsi="宋体" w:eastAsia="楷体_GB2312"/>
                        </w:rPr>
                        <w:t>未解除承包人的责任和义务</w:t>
                      </w:r>
                    </w:p>
                    <w:p/>
                  </w:txbxContent>
                </v:textbox>
              </v:shape>
            </w:pict>
          </mc:Fallback>
        </mc:AlternateContent>
      </w:r>
      <w:r>
        <w:rPr>
          <w:rFonts w:hint="eastAsia" w:ascii="宋体" w:hAnsi="宋体"/>
          <w:b w:val="0"/>
          <w:color w:val="000000"/>
          <w:sz w:val="21"/>
        </w:rPr>
        <w:t>承包人向工程师提交上述施工组织设计、工程进度计划和说明、工程用款计划，并取得工程师同意，不能因此而解除承包人根据合同约定应负的任何责任或义务。</w:t>
      </w:r>
      <w:bookmarkEnd w:id="151"/>
    </w:p>
    <w:p>
      <w:pPr>
        <w:pStyle w:val="2"/>
        <w:keepLines w:val="0"/>
        <w:tabs>
          <w:tab w:val="left" w:pos="1620"/>
          <w:tab w:val="left" w:pos="2340"/>
        </w:tabs>
        <w:ind w:left="945" w:leftChars="450"/>
        <w:rPr>
          <w:rFonts w:hAnsi="宋体"/>
          <w:color w:val="000000"/>
          <w:sz w:val="28"/>
          <w:szCs w:val="28"/>
        </w:rPr>
      </w:pPr>
      <w:bookmarkStart w:id="152" w:name="_Toc35656475"/>
      <w:bookmarkStart w:id="153" w:name="_Toc35656977"/>
      <w:bookmarkStart w:id="154" w:name="_Toc34908999"/>
      <w:r>
        <w:rPr>
          <w:rFonts w:hint="eastAsia" w:hAnsi="宋体"/>
          <w:color w:val="000000"/>
          <w:sz w:val="28"/>
          <w:szCs w:val="28"/>
        </w:rPr>
        <w:t>施工准备</w:t>
      </w:r>
      <w:bookmarkEnd w:id="152"/>
      <w:bookmarkEnd w:id="153"/>
      <w:bookmarkEnd w:id="154"/>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55" w:name="_Toc34909000"/>
      <w: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13335</wp:posOffset>
                </wp:positionV>
                <wp:extent cx="571500" cy="581660"/>
                <wp:effectExtent l="0" t="0" r="0" b="2540"/>
                <wp:wrapNone/>
                <wp:docPr id="185"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571500" cy="581660"/>
                        </a:xfrm>
                        <a:prstGeom prst="rect">
                          <a:avLst/>
                        </a:prstGeom>
                        <a:solidFill>
                          <a:srgbClr val="FFFFFF"/>
                        </a:solidFill>
                        <a:ln>
                          <a:noFill/>
                        </a:ln>
                      </wps:spPr>
                      <wps:txbx>
                        <w:txbxContent>
                          <w:p>
                            <w:pPr>
                              <w:rPr>
                                <w:rFonts w:ascii="楷体_GB2312" w:eastAsia="楷体_GB2312"/>
                                <w:szCs w:val="21"/>
                              </w:rPr>
                            </w:pPr>
                            <w:r>
                              <w:rPr>
                                <w:rFonts w:hint="eastAsia" w:ascii="楷体_GB2312" w:hAnsi="宋体" w:eastAsia="楷体_GB2312"/>
                              </w:rPr>
                              <w:t>现场作业和施工方法</w:t>
                            </w:r>
                          </w:p>
                          <w:p/>
                        </w:txbxContent>
                      </wps:txbx>
                      <wps:bodyPr rot="0" vert="horz" wrap="square" lIns="0" tIns="0" rIns="0" bIns="0" anchor="t" anchorCtr="0" upright="1">
                        <a:noAutofit/>
                      </wps:bodyPr>
                    </wps:wsp>
                  </a:graphicData>
                </a:graphic>
              </wp:anchor>
            </w:drawing>
          </mc:Choice>
          <mc:Fallback>
            <w:pict>
              <v:shape id="文本框 184" o:spid="_x0000_s1026" o:spt="202" type="#_x0000_t202" style="position:absolute;left:0pt;margin-left:0pt;margin-top:1.05pt;height:45.8pt;width:45pt;z-index:251702272;mso-width-relative:page;mso-height-relative:page;" fillcolor="#FFFFFF" filled="t" stroked="f" coordsize="21600,21600" o:gfxdata="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yrFKdQA&#10;AAAEAQAADwAAAAAAAAABACAAAAAiAAAAZHJzL2Rvd25yZXYueG1sUEsBAhQAFAAAAAgAh07iQLDh&#10;iNAjAgAAMQQAAA4AAAAAAAAAAQAgAAAAIwEAAGRycy9lMm9Eb2MueG1sUEsFBgAAAAAGAAYAWQEA&#10;ALgFAAAAAA==&#10;">
                <v:fill on="t" focussize="0,0"/>
                <v:stroke on="f"/>
                <v:imagedata o:title=""/>
                <o:lock v:ext="edit" aspectratio="f"/>
                <v:textbox inset="0mm,0mm,0mm,0mm">
                  <w:txbxContent>
                    <w:p>
                      <w:pPr>
                        <w:rPr>
                          <w:rFonts w:ascii="楷体_GB2312" w:eastAsia="楷体_GB2312"/>
                          <w:szCs w:val="21"/>
                        </w:rPr>
                      </w:pPr>
                      <w:r>
                        <w:rPr>
                          <w:rFonts w:hint="eastAsia" w:ascii="楷体_GB2312" w:hAnsi="宋体" w:eastAsia="楷体_GB2312"/>
                        </w:rPr>
                        <w:t>现场作业和施工方法</w:t>
                      </w:r>
                    </w:p>
                    <w:p/>
                  </w:txbxContent>
                </v:textbox>
              </v:shape>
            </w:pict>
          </mc:Fallback>
        </mc:AlternateContent>
      </w:r>
      <w:bookmarkEnd w:id="155"/>
      <w:r>
        <w:rPr>
          <w:rFonts w:hint="eastAsia" w:ascii="宋体" w:hAnsi="宋体"/>
          <w:b w:val="0"/>
          <w:color w:val="000000"/>
          <w:sz w:val="21"/>
        </w:rPr>
        <w:t>承包人应对全部现场作业和施工方法的适应性、稳妥性和安全性负责，但因设计、标准、规范原因造成相应问题的例外。如合同明确约定部分或全部工程由承包人设计，即使有工程师的批准，承包人仍应对所设计工程负全部责任。</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56" w:name="_Toc34909001"/>
      <w: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189865</wp:posOffset>
                </wp:positionV>
                <wp:extent cx="571500" cy="342900"/>
                <wp:effectExtent l="0" t="4445" r="1270" b="0"/>
                <wp:wrapNone/>
                <wp:docPr id="184"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r>
                              <w:rPr>
                                <w:rFonts w:hint="eastAsia" w:ascii="楷体_GB2312" w:hAnsi="宋体" w:eastAsia="楷体_GB2312"/>
                              </w:rPr>
                              <w:t>合同文件中的缺陷</w:t>
                            </w:r>
                          </w:p>
                        </w:txbxContent>
                      </wps:txbx>
                      <wps:bodyPr rot="0" vert="horz" wrap="square" lIns="0" tIns="0" rIns="0" bIns="0" anchor="t" anchorCtr="0" upright="1">
                        <a:noAutofit/>
                      </wps:bodyPr>
                    </wps:wsp>
                  </a:graphicData>
                </a:graphic>
              </wp:anchor>
            </w:drawing>
          </mc:Choice>
          <mc:Fallback>
            <w:pict>
              <v:shape id="文本框 183" o:spid="_x0000_s1026" o:spt="202" type="#_x0000_t202" style="position:absolute;left:0pt;margin-left:0pt;margin-top:14.95pt;height:27pt;width:45pt;z-index:251703296;mso-width-relative:page;mso-height-relative:page;" fillcolor="#FFFFFF" filled="t" stroked="f" coordsize="21600,21600" o:gfxdata="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vtTzzUAAAA&#10;BQEAAA8AAAAAAAAAAQAgAAAAIgAAAGRycy9kb3ducmV2LnhtbFBLAQIUABQAAAAIAIdO4kAycKrh&#10;IQIAADEEAAAOAAAAAAAAAAEAIAAAACMBAABkcnMvZTJvRG9jLnhtbFBLBQYAAAAABgAGAFkBAAC2&#10;BQAAAAA=&#10;">
                <v:fill on="t" focussize="0,0"/>
                <v:stroke on="f"/>
                <v:imagedata o:title=""/>
                <o:lock v:ext="edit" aspectratio="f"/>
                <v:textbox inset="0mm,0mm,0mm,0mm">
                  <w:txbxContent>
                    <w:p>
                      <w:r>
                        <w:rPr>
                          <w:rFonts w:hint="eastAsia" w:ascii="楷体_GB2312" w:hAnsi="宋体" w:eastAsia="楷体_GB2312"/>
                        </w:rPr>
                        <w:t>合同文件中的缺陷</w:t>
                      </w:r>
                    </w:p>
                  </w:txbxContent>
                </v:textbox>
              </v:shape>
            </w:pict>
          </mc:Fallback>
        </mc:AlternateContent>
      </w:r>
      <w:r>
        <w:rPr>
          <w:rFonts w:hint="eastAsia" w:ascii="宋体" w:hAnsi="宋体"/>
          <w:b w:val="0"/>
          <w:color w:val="000000"/>
          <w:sz w:val="21"/>
        </w:rPr>
        <w:t>承包人在查阅合同文件或在本工程实施过程中，有责任对图纸、标准、规范或其他资料进行复核。如发现其中有任何缺陷，应在有关工程开工前及时书面通知工程师，工程师在接到承包人的通知后，应立即就此作出决定。如承包人未发现对于有经验的承包人应能发现的上述缺陷，并给发包人造成损失的，承包人应承担赔偿责任。</w:t>
      </w:r>
      <w:bookmarkEnd w:id="15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57" w:name="_Toc34909002"/>
      <w: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187960</wp:posOffset>
                </wp:positionV>
                <wp:extent cx="571500" cy="342900"/>
                <wp:effectExtent l="0" t="0" r="1270" b="3810"/>
                <wp:wrapNone/>
                <wp:docPr id="183"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rPr>
                              <w:t>勘察资料</w:t>
                            </w:r>
                          </w:p>
                          <w:p>
                            <w:pPr>
                              <w:rPr>
                                <w:rFonts w:eastAsia="楷体_GB2312"/>
                              </w:rPr>
                            </w:pPr>
                            <w:r>
                              <w:rPr>
                                <w:rFonts w:hint="eastAsia" w:eastAsia="楷体_GB2312"/>
                              </w:rPr>
                              <w:t>研究分析</w:t>
                            </w:r>
                          </w:p>
                        </w:txbxContent>
                      </wps:txbx>
                      <wps:bodyPr rot="0" vert="horz" wrap="square" lIns="0" tIns="0" rIns="0" bIns="0" anchor="t" anchorCtr="0" upright="1">
                        <a:noAutofit/>
                      </wps:bodyPr>
                    </wps:wsp>
                  </a:graphicData>
                </a:graphic>
              </wp:anchor>
            </w:drawing>
          </mc:Choice>
          <mc:Fallback>
            <w:pict>
              <v:shape id="文本框 182" o:spid="_x0000_s1026" o:spt="202" type="#_x0000_t202" style="position:absolute;left:0pt;margin-left:0pt;margin-top:14.8pt;height:27pt;width:45pt;z-index:251704320;mso-width-relative:page;mso-height-relative:page;" fillcolor="#FFFFFF" filled="t" stroked="f" coordsize="21600,21600" o:gfxdata="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u33LbUAAAA&#10;BQEAAA8AAAAAAAAAAQAgAAAAIgAAAGRycy9kb3ducmV2LnhtbFBLAQIUABQAAAAIAIdO4kByMOZ3&#10;IQIAADEEAAAOAAAAAAAAAAEAIAAAACMBAABkcnMvZTJvRG9jLnhtbFBLBQYAAAAABgAGAFkBAAC2&#10;BQAAAAA=&#10;">
                <v:fill on="t" focussize="0,0"/>
                <v:stroke on="f"/>
                <v:imagedata o:title=""/>
                <o:lock v:ext="edit" aspectratio="f"/>
                <v:textbox inset="0mm,0mm,0mm,0mm">
                  <w:txbxContent>
                    <w:p>
                      <w:pPr>
                        <w:rPr>
                          <w:rFonts w:ascii="楷体_GB2312" w:hAnsi="宋体" w:eastAsia="楷体_GB2312"/>
                        </w:rPr>
                      </w:pPr>
                      <w:r>
                        <w:rPr>
                          <w:rFonts w:hint="eastAsia" w:ascii="楷体_GB2312" w:hAnsi="宋体" w:eastAsia="楷体_GB2312"/>
                        </w:rPr>
                        <w:t>勘察资料</w:t>
                      </w:r>
                    </w:p>
                    <w:p>
                      <w:pPr>
                        <w:rPr>
                          <w:rFonts w:eastAsia="楷体_GB2312"/>
                        </w:rPr>
                      </w:pPr>
                      <w:r>
                        <w:rPr>
                          <w:rFonts w:hint="eastAsia" w:eastAsia="楷体_GB2312"/>
                        </w:rPr>
                        <w:t>研究分析</w:t>
                      </w:r>
                    </w:p>
                  </w:txbxContent>
                </v:textbox>
              </v:shape>
            </w:pict>
          </mc:Fallback>
        </mc:AlternateContent>
      </w:r>
      <w:r>
        <w:rPr>
          <w:rFonts w:hint="eastAsia" w:ascii="宋体" w:hAnsi="宋体"/>
          <w:b w:val="0"/>
          <w:color w:val="000000"/>
          <w:sz w:val="21"/>
        </w:rPr>
        <w:t>承包人在签订合同之前，应研究和分析发包人提供的水文、地质、气象等资料。承包人应对其对该资料的理解、判断和应用负责。</w:t>
      </w:r>
      <w:bookmarkEnd w:id="157"/>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58" w:name="_Toc34909003"/>
      <w: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24765</wp:posOffset>
                </wp:positionV>
                <wp:extent cx="571500" cy="228600"/>
                <wp:effectExtent l="0" t="3810" r="1270" b="0"/>
                <wp:wrapNone/>
                <wp:docPr id="182"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r>
                              <w:rPr>
                                <w:rFonts w:hint="eastAsia" w:ascii="楷体_GB2312" w:hAnsi="宋体" w:eastAsia="楷体_GB2312"/>
                              </w:rPr>
                              <w:t>现场考察</w:t>
                            </w:r>
                          </w:p>
                        </w:txbxContent>
                      </wps:txbx>
                      <wps:bodyPr rot="0" vert="horz" wrap="square" lIns="0" tIns="0" rIns="0" bIns="0" anchor="t" anchorCtr="0" upright="1">
                        <a:noAutofit/>
                      </wps:bodyPr>
                    </wps:wsp>
                  </a:graphicData>
                </a:graphic>
              </wp:anchor>
            </w:drawing>
          </mc:Choice>
          <mc:Fallback>
            <w:pict>
              <v:shape id="文本框 181" o:spid="_x0000_s1026" o:spt="202" type="#_x0000_t202" style="position:absolute;left:0pt;margin-left:0pt;margin-top:1.95pt;height:18pt;width:45pt;z-index:251705344;mso-width-relative:page;mso-height-relative:page;" fillcolor="#FFFFFF" filled="t" stroked="f" coordsize="21600,21600" o:gfxdata="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DhrnTSAAAABAEA&#10;AA8AAAAAAAAAAQAgAAAAIgAAAGRycy9kb3ducmV2LnhtbFBLAQIUABQAAAAIAIdO4kBfF8YAIAIA&#10;ADEEAAAOAAAAAAAAAAEAIAAAACEBAABkcnMvZTJvRG9jLnhtbFBLBQYAAAAABgAGAFkBAACzBQAA&#10;AAA=&#10;">
                <v:fill on="t" focussize="0,0"/>
                <v:stroke on="f"/>
                <v:imagedata o:title=""/>
                <o:lock v:ext="edit" aspectratio="f"/>
                <v:textbox inset="0mm,0mm,0mm,0mm">
                  <w:txbxContent>
                    <w:p>
                      <w:r>
                        <w:rPr>
                          <w:rFonts w:hint="eastAsia" w:ascii="楷体_GB2312" w:hAnsi="宋体" w:eastAsia="楷体_GB2312"/>
                        </w:rPr>
                        <w:t>现场考察</w:t>
                      </w:r>
                    </w:p>
                  </w:txbxContent>
                </v:textbox>
              </v:shape>
            </w:pict>
          </mc:Fallback>
        </mc:AlternateContent>
      </w:r>
      <w:r>
        <w:rPr>
          <w:rFonts w:hint="eastAsia" w:ascii="宋体" w:hAnsi="宋体"/>
          <w:b w:val="0"/>
          <w:color w:val="000000"/>
          <w:sz w:val="21"/>
        </w:rPr>
        <w:t>承包人在签订合同之前，应视为已研究和察看了工地及其四周环境；已清楚知道关于通往工地的现有道路或其他交通条件、土地及工地的外形和性质、损毁物业的危险、挖掘对象的性质、进行本工程所需的工程及材料的性质、生活与施工条件；已取得影响其签订合同及进行本工程施工的资料。</w:t>
      </w:r>
      <w:bookmarkEnd w:id="158"/>
      <w:bookmarkStart w:id="159" w:name="_Toc34909004"/>
      <w:r>
        <w:rPr>
          <w:rFonts w:hint="eastAsia" w:ascii="宋体" w:hAnsi="宋体"/>
          <w:b w:val="0"/>
          <w:color w:val="000000"/>
          <w:sz w:val="21"/>
        </w:rPr>
        <w:t>承包人不得以对上述事项了解不够充分而向发包人索赔，也不得免除根据合同约定须承担的责任。</w:t>
      </w:r>
      <w:bookmarkEnd w:id="159"/>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60" w:name="_Toc34909005"/>
      <w: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163830</wp:posOffset>
                </wp:positionV>
                <wp:extent cx="571500" cy="571500"/>
                <wp:effectExtent l="0" t="3175" r="1270" b="0"/>
                <wp:wrapNone/>
                <wp:docPr id="181"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r>
                              <w:rPr>
                                <w:rFonts w:hint="eastAsia" w:ascii="楷体_GB2312" w:hAnsi="宋体" w:eastAsia="楷体_GB2312"/>
                              </w:rPr>
                              <w:t>不利的外界障碍或条件</w:t>
                            </w:r>
                          </w:p>
                        </w:txbxContent>
                      </wps:txbx>
                      <wps:bodyPr rot="0" vert="horz" wrap="square" lIns="0" tIns="0" rIns="0" bIns="0" anchor="t" anchorCtr="0" upright="1">
                        <a:noAutofit/>
                      </wps:bodyPr>
                    </wps:wsp>
                  </a:graphicData>
                </a:graphic>
              </wp:anchor>
            </w:drawing>
          </mc:Choice>
          <mc:Fallback>
            <w:pict>
              <v:shape id="文本框 180" o:spid="_x0000_s1026" o:spt="202" type="#_x0000_t202" style="position:absolute;left:0pt;margin-left:0pt;margin-top:12.9pt;height:45pt;width:45pt;z-index:251706368;mso-width-relative:page;mso-height-relative:page;" fillcolor="#FFFFFF" filled="t" stroked="f" coordsize="21600,21600" o:gfxdata="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4Sb510wAAAAYBAAAP&#10;AAAAAAAAAAEAIAAAACIAAABkcnMvZG93bnJldi54bWxQSwECFAAUAAAACACHTuJAaIPEAR0CAAAx&#10;BAAADgAAAAAAAAABACAAAAAiAQAAZHJzL2Uyb0RvYy54bWxQSwUGAAAAAAYABgBZAQAAsQUAAAAA&#10;">
                <v:fill on="t" focussize="0,0"/>
                <v:stroke on="f"/>
                <v:imagedata o:title=""/>
                <o:lock v:ext="edit" aspectratio="f"/>
                <v:textbox inset="0mm,0mm,0mm,0mm">
                  <w:txbxContent>
                    <w:p>
                      <w:r>
                        <w:rPr>
                          <w:rFonts w:hint="eastAsia" w:ascii="楷体_GB2312" w:hAnsi="宋体" w:eastAsia="楷体_GB2312"/>
                        </w:rPr>
                        <w:t>不利的外界障碍或条件</w:t>
                      </w:r>
                    </w:p>
                  </w:txbxContent>
                </v:textbox>
              </v:shape>
            </w:pict>
          </mc:Fallback>
        </mc:AlternateContent>
      </w:r>
      <w:r>
        <w:rPr>
          <w:rFonts w:hint="eastAsia" w:ascii="宋体" w:hAnsi="宋体"/>
          <w:b w:val="0"/>
          <w:color w:val="000000"/>
          <w:sz w:val="21"/>
        </w:rPr>
        <w:t>在施工期间，如遇到对于有经验的承包人无法预见的外界障碍或条件，给承包人造成损失和(或)导致工期延误的，发包人应赔偿承包人的损失，顺延延误的工期。</w:t>
      </w:r>
    </w:p>
    <w:p>
      <w:pPr>
        <w:pStyle w:val="3"/>
        <w:numPr>
          <w:ilvl w:val="1"/>
          <w:numId w:val="1"/>
        </w:numPr>
        <w:tabs>
          <w:tab w:val="left" w:pos="1620"/>
          <w:tab w:val="left" w:pos="2016"/>
          <w:tab w:val="left" w:pos="2340"/>
          <w:tab w:val="clear" w:pos="1711"/>
        </w:tabs>
        <w:spacing w:before="360" w:after="0"/>
        <w:ind w:left="1523" w:leftChars="450" w:hanging="578"/>
        <w:jc w:val="both"/>
        <w:rPr>
          <w:rFonts w:ascii="宋体" w:hAnsi="宋体"/>
          <w:b w:val="0"/>
          <w:color w:val="000000"/>
          <w:sz w:val="21"/>
        </w:rPr>
      </w:pPr>
      <w:r>
        <mc:AlternateContent>
          <mc:Choice Requires="wps">
            <w:drawing>
              <wp:anchor distT="0" distB="0" distL="114300" distR="114300" simplePos="0" relativeHeight="251854848" behindDoc="0" locked="0" layoutInCell="1" allowOverlap="1">
                <wp:simplePos x="0" y="0"/>
                <wp:positionH relativeFrom="column">
                  <wp:posOffset>0</wp:posOffset>
                </wp:positionH>
                <wp:positionV relativeFrom="paragraph">
                  <wp:posOffset>232410</wp:posOffset>
                </wp:positionV>
                <wp:extent cx="571500" cy="571500"/>
                <wp:effectExtent l="0" t="2540" r="1270" b="0"/>
                <wp:wrapNone/>
                <wp:docPr id="180"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r>
                              <w:rPr>
                                <w:rFonts w:hint="eastAsia" w:ascii="楷体_GB2312" w:hAnsi="宋体" w:eastAsia="楷体_GB2312"/>
                              </w:rPr>
                              <w:t>已明示的外界障碍或条件</w:t>
                            </w:r>
                          </w:p>
                        </w:txbxContent>
                      </wps:txbx>
                      <wps:bodyPr rot="0" vert="horz" wrap="square" lIns="0" tIns="0" rIns="0" bIns="0" anchor="t" anchorCtr="0" upright="1">
                        <a:noAutofit/>
                      </wps:bodyPr>
                    </wps:wsp>
                  </a:graphicData>
                </a:graphic>
              </wp:anchor>
            </w:drawing>
          </mc:Choice>
          <mc:Fallback>
            <w:pict>
              <v:shape id="文本框 179" o:spid="_x0000_s1026" o:spt="202" type="#_x0000_t202" style="position:absolute;left:0pt;margin-left:0pt;margin-top:18.3pt;height:45pt;width:45pt;z-index:251854848;mso-width-relative:page;mso-height-relative:page;" fillcolor="#FFFFFF" filled="t" stroked="f" coordsize="21600,21600" o:gfxdata="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XFP1b1AAAAAYBAAAP&#10;AAAAAAAAAAEAIAAAACIAAABkcnMvZG93bnJldi54bWxQSwECFAAUAAAACACHTuJAaM1mhxwCAAAx&#10;BAAADgAAAAAAAAABACAAAAAjAQAAZHJzL2Uyb0RvYy54bWxQSwUGAAAAAAYABgBZAQAAsQUAAAAA&#10;">
                <v:fill on="t" focussize="0,0"/>
                <v:stroke on="f"/>
                <v:imagedata o:title=""/>
                <o:lock v:ext="edit" aspectratio="f"/>
                <v:textbox inset="0mm,0mm,0mm,0mm">
                  <w:txbxContent>
                    <w:p>
                      <w:r>
                        <w:rPr>
                          <w:rFonts w:hint="eastAsia" w:ascii="楷体_GB2312" w:hAnsi="宋体" w:eastAsia="楷体_GB2312"/>
                        </w:rPr>
                        <w:t>已明示的外界障碍或条件</w:t>
                      </w:r>
                    </w:p>
                  </w:txbxContent>
                </v:textbox>
              </v:shape>
            </w:pict>
          </mc:Fallback>
        </mc:AlternateContent>
      </w:r>
      <w:r>
        <w:rPr>
          <w:rFonts w:hint="eastAsia" w:ascii="宋体" w:hAnsi="宋体"/>
          <w:b w:val="0"/>
          <w:color w:val="000000"/>
          <w:sz w:val="21"/>
        </w:rPr>
        <w:t>在确定损失和(或)延误的工期时，应该考虑工程师已经发给承包人与此有关的指令，以及在没有工程师具体指令情况下，承包人采取使工程师可接受的措施。</w:t>
      </w:r>
    </w:p>
    <w:p>
      <w:pPr>
        <w:tabs>
          <w:tab w:val="left" w:pos="1620"/>
          <w:tab w:val="left" w:pos="2340"/>
        </w:tabs>
        <w:ind w:left="1428" w:leftChars="680"/>
        <w:rPr>
          <w:rFonts w:ascii="宋体" w:hAnsi="宋体"/>
          <w:color w:val="000000"/>
        </w:rPr>
      </w:pPr>
      <w:r>
        <w:rPr>
          <w:rFonts w:hint="eastAsia" w:ascii="宋体" w:hAnsi="宋体"/>
          <w:color w:val="000000"/>
        </w:rPr>
        <w:t>但是，对于合同已经明确指出的不利的外界障碍或条件，均视为承包人在接受合同时已预见其影响因素并已在合同报价中计入由于其影响而可能发生的一切费用。</w:t>
      </w:r>
    </w:p>
    <w:p>
      <w:pPr>
        <w:tabs>
          <w:tab w:val="left" w:pos="1620"/>
          <w:tab w:val="left" w:pos="2340"/>
        </w:tabs>
        <w:ind w:left="1428" w:leftChars="680"/>
        <w:rPr>
          <w:rFonts w:ascii="宋体" w:hAnsi="宋体"/>
          <w:color w:val="000000"/>
        </w:rPr>
      </w:pPr>
      <w:r>
        <w:rPr>
          <w:rFonts w:hint="eastAsia" w:ascii="宋体" w:hAnsi="宋体"/>
          <w:color w:val="000000"/>
        </w:rPr>
        <w:t>对于合同未明确指出但在不利的外界障碍或条件发生之前，工程师已经明确告知承包人有可能发生，但承包人未能采取有效措施而导致的后果均由承包人负责。</w:t>
      </w:r>
      <w:bookmarkEnd w:id="160"/>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61" w:name="_Toc34909006"/>
      <w: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161925</wp:posOffset>
                </wp:positionV>
                <wp:extent cx="571500" cy="363855"/>
                <wp:effectExtent l="0" t="4445" r="1270" b="3175"/>
                <wp:wrapNone/>
                <wp:docPr id="179"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571500" cy="363855"/>
                        </a:xfrm>
                        <a:prstGeom prst="rect">
                          <a:avLst/>
                        </a:prstGeom>
                        <a:solidFill>
                          <a:srgbClr val="FFFFFF"/>
                        </a:solidFill>
                        <a:ln>
                          <a:noFill/>
                        </a:ln>
                      </wps:spPr>
                      <wps:txbx>
                        <w:txbxContent>
                          <w:p>
                            <w:r>
                              <w:rPr>
                                <w:rFonts w:hint="eastAsia" w:ascii="楷体_GB2312" w:hAnsi="宋体" w:eastAsia="楷体_GB2312"/>
                              </w:rPr>
                              <w:t>地下构筑物</w:t>
                            </w:r>
                          </w:p>
                        </w:txbxContent>
                      </wps:txbx>
                      <wps:bodyPr rot="0" vert="horz" wrap="square" lIns="0" tIns="18000" rIns="0" bIns="0" anchor="t" anchorCtr="0" upright="1">
                        <a:noAutofit/>
                      </wps:bodyPr>
                    </wps:wsp>
                  </a:graphicData>
                </a:graphic>
              </wp:anchor>
            </w:drawing>
          </mc:Choice>
          <mc:Fallback>
            <w:pict>
              <v:shape id="文本框 178" o:spid="_x0000_s1026" o:spt="202" type="#_x0000_t202" style="position:absolute;left:0pt;margin-left:0pt;margin-top:12.75pt;height:28.65pt;width:45pt;z-index:251707392;mso-width-relative:page;mso-height-relative:page;" fillcolor="#FFFFFF" filled="t" stroked="f" coordsize="21600,21600" o:gfxdata="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AsatUAAAAFAQAADwAAAAAAAAABACAAAAAiAAAAZHJzL2Rvd25yZXYueG1sUEsBAhQAFAAAAAgA&#10;h07iQAcz7kIoAgAANQQAAA4AAAAAAAAAAQAgAAAAJAEAAGRycy9lMm9Eb2MueG1sUEsFBgAAAAAG&#10;AAYAWQEAAL4FAAAAAA==&#10;">
                <v:fill on="t" focussize="0,0"/>
                <v:stroke on="f"/>
                <v:imagedata o:title=""/>
                <o:lock v:ext="edit" aspectratio="f"/>
                <v:textbox inset="0mm,0.5mm,0mm,0mm">
                  <w:txbxContent>
                    <w:p>
                      <w:r>
                        <w:rPr>
                          <w:rFonts w:hint="eastAsia" w:ascii="楷体_GB2312" w:hAnsi="宋体" w:eastAsia="楷体_GB2312"/>
                        </w:rPr>
                        <w:t>地下构筑物</w:t>
                      </w:r>
                    </w:p>
                  </w:txbxContent>
                </v:textbox>
              </v:shape>
            </w:pict>
          </mc:Fallback>
        </mc:AlternateContent>
      </w:r>
      <w:r>
        <w:rPr>
          <w:rFonts w:hint="eastAsia" w:ascii="宋体" w:hAnsi="宋体"/>
          <w:b w:val="0"/>
          <w:color w:val="000000"/>
          <w:sz w:val="21"/>
        </w:rPr>
        <w:t>承包人在签订合同之前，应在勘察设计资料和发包人提供的相关资料的基础上，对现场存在的管线等地下构筑物作进一步调查和了解，以取得其对施工影响的全部信息，并在施工组织设计和进度计划中作出充分的考虑。</w:t>
      </w:r>
      <w:bookmarkEnd w:id="161"/>
    </w:p>
    <w:p>
      <w:pPr>
        <w:pStyle w:val="3"/>
        <w:numPr>
          <w:ilvl w:val="1"/>
          <w:numId w:val="1"/>
        </w:numPr>
        <w:tabs>
          <w:tab w:val="left" w:pos="1620"/>
          <w:tab w:val="left" w:pos="2016"/>
          <w:tab w:val="left" w:pos="2340"/>
          <w:tab w:val="clear" w:pos="1711"/>
        </w:tabs>
        <w:spacing w:after="0"/>
        <w:ind w:left="1523" w:leftChars="450" w:hanging="578"/>
        <w:jc w:val="both"/>
        <w:rPr>
          <w:rFonts w:ascii="宋体" w:hAnsi="宋体"/>
          <w:b w:val="0"/>
          <w:color w:val="000000"/>
          <w:sz w:val="21"/>
        </w:rPr>
      </w:pPr>
      <w:bookmarkStart w:id="162" w:name="_Toc34909007"/>
      <w: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114935</wp:posOffset>
                </wp:positionV>
                <wp:extent cx="571500" cy="342900"/>
                <wp:effectExtent l="0" t="2540" r="1270" b="0"/>
                <wp:wrapNone/>
                <wp:docPr id="178"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施工放线</w:t>
                            </w:r>
                          </w:p>
                        </w:txbxContent>
                      </wps:txbx>
                      <wps:bodyPr rot="0" vert="horz" wrap="square" lIns="0" tIns="72000" rIns="0" bIns="0" anchor="t" anchorCtr="0" upright="1">
                        <a:noAutofit/>
                      </wps:bodyPr>
                    </wps:wsp>
                  </a:graphicData>
                </a:graphic>
              </wp:anchor>
            </w:drawing>
          </mc:Choice>
          <mc:Fallback>
            <w:pict>
              <v:shape id="文本框 177" o:spid="_x0000_s1026" o:spt="202" type="#_x0000_t202" style="position:absolute;left:0pt;margin-left:0pt;margin-top:9.05pt;height:27pt;width:45pt;z-index:251708416;mso-width-relative:page;mso-height-relative:page;" fillcolor="#FFFFFF" filled="t" stroked="f" coordsize="21600,21600" o:gfxdata="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H1N&#10;itYAAAAFAQAADwAAAAAAAAABACAAAAAiAAAAZHJzL2Rvd25yZXYueG1sUEsBAhQAFAAAAAgAh07i&#10;QCS55zIkAgAANQQAAA4AAAAAAAAAAQAgAAAAJQEAAGRycy9lMm9Eb2MueG1sUEsFBgAAAAAGAAYA&#10;WQEAALsFAAAAAA==&#10;">
                <v:fill on="t" focussize="0,0"/>
                <v:stroke on="f"/>
                <v:imagedata o:title=""/>
                <o:lock v:ext="edit" aspectratio="f"/>
                <v:textbox inset="0mm,2mm,0mm,0mm">
                  <w:txbxContent>
                    <w:p>
                      <w:pPr>
                        <w:rPr>
                          <w:rFonts w:ascii="楷体_GB2312" w:eastAsia="楷体_GB2312"/>
                        </w:rPr>
                      </w:pPr>
                      <w:r>
                        <w:rPr>
                          <w:rFonts w:hint="eastAsia" w:ascii="楷体_GB2312" w:hAnsi="宋体" w:eastAsia="楷体_GB2312"/>
                        </w:rPr>
                        <w:t>施工放线</w:t>
                      </w:r>
                    </w:p>
                  </w:txbxContent>
                </v:textbox>
              </v:shape>
            </w:pict>
          </mc:Fallback>
        </mc:AlternateContent>
      </w:r>
      <w:r>
        <w:rPr>
          <w:rFonts w:hint="eastAsia" w:ascii="宋体" w:hAnsi="宋体"/>
          <w:b w:val="0"/>
          <w:color w:val="000000"/>
          <w:sz w:val="21"/>
        </w:rPr>
        <w:t>发包人应向承包人提供工程施工所需的原始基准点、基准线和基准标高，并对其真实准确性负责，同时承担由于其错误而引起的承包人的费用损失和工期延误的补偿责任。承包人应在工程放线前作出合理的努力对其准确性进行验证，认真保护一切基准点、标桩和其他有关标志。</w:t>
      </w:r>
    </w:p>
    <w:p>
      <w:pPr>
        <w:tabs>
          <w:tab w:val="left" w:pos="1620"/>
          <w:tab w:val="left" w:pos="2340"/>
        </w:tabs>
        <w:ind w:left="1449" w:leftChars="690"/>
        <w:rPr>
          <w:rFonts w:ascii="宋体" w:hAnsi="宋体"/>
          <w:color w:val="000000"/>
        </w:rPr>
      </w:pPr>
      <w:r>
        <w:rPr>
          <w:rFonts w:hint="eastAsia" w:ascii="宋体" w:hAnsi="宋体"/>
          <w:color w:val="000000"/>
        </w:rPr>
        <w:t>承包人按上述基准负责对工程的所有部位正确定位，纠正在工程的位置、标高、尺寸或定线中的任何错误。工程师对放样、准线或标高的核查，均不应解除承包人对其准确性所负的责任。</w:t>
      </w:r>
      <w:bookmarkEnd w:id="162"/>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63" w:name="_Toc34909008"/>
      <w: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136525</wp:posOffset>
                </wp:positionV>
                <wp:extent cx="571500" cy="228600"/>
                <wp:effectExtent l="0" t="0" r="1270" b="1270"/>
                <wp:wrapNone/>
                <wp:docPr id="177"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提供场地</w:t>
                            </w:r>
                          </w:p>
                        </w:txbxContent>
                      </wps:txbx>
                      <wps:bodyPr rot="0" vert="horz" wrap="square" lIns="0" tIns="54000" rIns="0" bIns="0" anchor="t" anchorCtr="0" upright="1">
                        <a:noAutofit/>
                      </wps:bodyPr>
                    </wps:wsp>
                  </a:graphicData>
                </a:graphic>
              </wp:anchor>
            </w:drawing>
          </mc:Choice>
          <mc:Fallback>
            <w:pict>
              <v:shape id="文本框 176" o:spid="_x0000_s1026" o:spt="202" type="#_x0000_t202" style="position:absolute;left:0pt;margin-left:0pt;margin-top:10.75pt;height:18pt;width:45pt;z-index:251709440;mso-width-relative:page;mso-height-relative:page;" fillcolor="#FFFFFF" filled="t" stroked="f" coordsize="21600,21600" o:gfxdata="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7d&#10;d5vWAAAABQEAAA8AAAAAAAAAAQAgAAAAIgAAAGRycy9kb3ducmV2LnhtbFBLAQIUABQAAAAIAIdO&#10;4kABl4dAJQIAADUEAAAOAAAAAAAAAAEAIAAAACUBAABkcnMvZTJvRG9jLnhtbFBLBQYAAAAABgAG&#10;AFkBAAC8BQAAAAA=&#10;">
                <v:fill on="t" focussize="0,0"/>
                <v:stroke on="f"/>
                <v:imagedata o:title=""/>
                <o:lock v:ext="edit" aspectratio="f"/>
                <v:textbox inset="0mm,1.5mm,0mm,0mm">
                  <w:txbxContent>
                    <w:p>
                      <w:pPr>
                        <w:rPr>
                          <w:rFonts w:ascii="楷体_GB2312" w:eastAsia="楷体_GB2312"/>
                        </w:rPr>
                      </w:pPr>
                      <w:r>
                        <w:rPr>
                          <w:rFonts w:hint="eastAsia" w:ascii="楷体_GB2312" w:hAnsi="宋体" w:eastAsia="楷体_GB2312"/>
                        </w:rPr>
                        <w:t>提供场地</w:t>
                      </w:r>
                    </w:p>
                  </w:txbxContent>
                </v:textbox>
              </v:shape>
            </w:pict>
          </mc:Fallback>
        </mc:AlternateContent>
      </w:r>
      <w:r>
        <w:rPr>
          <w:rFonts w:hint="eastAsia" w:ascii="宋体" w:hAnsi="宋体"/>
          <w:b w:val="0"/>
          <w:color w:val="000000"/>
          <w:sz w:val="21"/>
        </w:rPr>
        <w:t>发包人应按专用条款的约定向承包人提供施工所需的场地，以满足承包人进行本工程施工。发包人未按约定提供施工所需的场地，致使本工程或其他任何部分的进展受到影响，给承包人造成损失和(或)导致工期延误的，发包人应赔偿承包人损失，顺延延误的工期。</w:t>
      </w:r>
      <w:bookmarkEnd w:id="163"/>
      <w:bookmarkStart w:id="164" w:name="_Toc34909009"/>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185420</wp:posOffset>
                </wp:positionV>
                <wp:extent cx="571500" cy="337820"/>
                <wp:effectExtent l="0" t="1905" r="1270" b="3175"/>
                <wp:wrapNone/>
                <wp:docPr id="176"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571500" cy="33782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未能办妥土地征用</w:t>
                            </w:r>
                          </w:p>
                        </w:txbxContent>
                      </wps:txbx>
                      <wps:bodyPr rot="0" vert="horz" wrap="square" lIns="0" tIns="0" rIns="0" bIns="0" anchor="t" anchorCtr="0" upright="1">
                        <a:noAutofit/>
                      </wps:bodyPr>
                    </wps:wsp>
                  </a:graphicData>
                </a:graphic>
              </wp:anchor>
            </w:drawing>
          </mc:Choice>
          <mc:Fallback>
            <w:pict>
              <v:shape id="文本框 175" o:spid="_x0000_s1026" o:spt="202" type="#_x0000_t202" style="position:absolute;left:0pt;margin-left:0pt;margin-top:14.6pt;height:26.6pt;width:45pt;z-index:251710464;mso-width-relative:page;mso-height-relative:page;" fillcolor="#FFFFFF" filled="t" stroked="f" coordsize="21600,21600" o:gfxdata="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tmVL9QA&#10;AAAFAQAADwAAAAAAAAABACAAAAAiAAAAZHJzL2Rvd25yZXYueG1sUEsBAhQAFAAAAAgAh07iQCvU&#10;p8cjAgAAMQQAAA4AAAAAAAAAAQAgAAAAIw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未能办妥土地征用</w:t>
                      </w:r>
                    </w:p>
                  </w:txbxContent>
                </v:textbox>
              </v:shape>
            </w:pict>
          </mc:Fallback>
        </mc:AlternateContent>
      </w:r>
      <w:r>
        <w:rPr>
          <w:rFonts w:hint="eastAsia" w:ascii="宋体" w:hAnsi="宋体"/>
          <w:b w:val="0"/>
          <w:color w:val="000000"/>
          <w:sz w:val="21"/>
        </w:rPr>
        <w:t>发包人未能按期办妥土地征用和拆迁手续，承包人在接到工程师通知后，应按工程师的指示及时调整工程组织设计和进度计划中的各项工作的施工方案和顺序，以便能够继续施工或者对施工人员和施工机械及时进行调整，以避免停工损失的发生。发包人未能按期办妥土地征用和拆迁手续，给承包人造成损失和(或)导致工期延误的，发包人应赔偿承包人损失，顺延延误的工期。</w:t>
      </w:r>
      <w:bookmarkEnd w:id="164"/>
      <w:bookmarkStart w:id="165" w:name="_Toc34909010"/>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163830</wp:posOffset>
                </wp:positionV>
                <wp:extent cx="571500" cy="342900"/>
                <wp:effectExtent l="0" t="2540" r="1270" b="0"/>
                <wp:wrapNone/>
                <wp:docPr id="175"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临时占地的租用</w:t>
                            </w:r>
                          </w:p>
                        </w:txbxContent>
                      </wps:txbx>
                      <wps:bodyPr rot="0" vert="horz" wrap="square" lIns="0" tIns="0" rIns="0" bIns="0" anchor="t" anchorCtr="0" upright="1">
                        <a:noAutofit/>
                      </wps:bodyPr>
                    </wps:wsp>
                  </a:graphicData>
                </a:graphic>
              </wp:anchor>
            </w:drawing>
          </mc:Choice>
          <mc:Fallback>
            <w:pict>
              <v:shape id="文本框 174" o:spid="_x0000_s1026" o:spt="202" type="#_x0000_t202" style="position:absolute;left:0pt;margin-left:0pt;margin-top:12.9pt;height:27pt;width:45pt;z-index:251711488;mso-width-relative:page;mso-height-relative:page;" fillcolor="#FFFFFF" filled="t" stroked="f" coordsize="21600,21600" o:gfxdata="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K8w3fUAAAA&#10;BQEAAA8AAAAAAAAAAQAgAAAAIgAAAGRycy9kb3ducmV2LnhtbFBLAQIUABQAAAAIAIdO4kA/eVpa&#10;IQIAADEEAAAOAAAAAAAAAAEAIAAAACM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临时占地的租用</w:t>
                      </w:r>
                    </w:p>
                  </w:txbxContent>
                </v:textbox>
              </v:shape>
            </w:pict>
          </mc:Fallback>
        </mc:AlternateContent>
      </w:r>
      <w:r>
        <w:rPr>
          <w:rFonts w:hint="eastAsia" w:ascii="宋体" w:hAnsi="宋体"/>
          <w:b w:val="0"/>
          <w:color w:val="000000"/>
          <w:sz w:val="21"/>
        </w:rPr>
        <w:t>征地红线内的工程用地，在不影响施工的前提下，经发包人批准，可免费提供给承包人作施工临时用地。红线范围外的临时占地的租用，由发包人根据开工需要和施工先后顺序，分期办理租用手续，提供给承包人作施工临时用地。红线外的临时占地租用费用由发包人支付(专用条款另有约定除外)。临时用地使用完毕后，承包人应自费将临时用地恢复原状。</w:t>
      </w:r>
      <w:bookmarkEnd w:id="165"/>
    </w:p>
    <w:p>
      <w:pPr>
        <w:pStyle w:val="3"/>
        <w:numPr>
          <w:ilvl w:val="1"/>
          <w:numId w:val="1"/>
        </w:numPr>
        <w:tabs>
          <w:tab w:val="left" w:pos="1620"/>
          <w:tab w:val="left" w:pos="2016"/>
          <w:tab w:val="left" w:pos="2340"/>
          <w:tab w:val="clear" w:pos="1711"/>
        </w:tabs>
        <w:spacing w:after="0"/>
        <w:ind w:left="945" w:leftChars="450"/>
        <w:jc w:val="both"/>
        <w:rPr>
          <w:rFonts w:ascii="宋体" w:hAnsi="宋体"/>
          <w:color w:val="000000"/>
          <w:sz w:val="21"/>
        </w:rPr>
      </w:pPr>
      <w: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180340</wp:posOffset>
                </wp:positionV>
                <wp:extent cx="571500" cy="347980"/>
                <wp:effectExtent l="0" t="3175" r="1270" b="1270"/>
                <wp:wrapNone/>
                <wp:docPr id="174"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571500" cy="34798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供本工程专用</w:t>
                            </w:r>
                          </w:p>
                        </w:txbxContent>
                      </wps:txbx>
                      <wps:bodyPr rot="0" vert="horz" wrap="square" lIns="0" tIns="0" rIns="0" bIns="0" anchor="t" anchorCtr="0" upright="1">
                        <a:noAutofit/>
                      </wps:bodyPr>
                    </wps:wsp>
                  </a:graphicData>
                </a:graphic>
              </wp:anchor>
            </w:drawing>
          </mc:Choice>
          <mc:Fallback>
            <w:pict>
              <v:shape id="文本框 173" o:spid="_x0000_s1026" o:spt="202" type="#_x0000_t202" style="position:absolute;left:0pt;margin-left:0pt;margin-top:14.2pt;height:27.4pt;width:45pt;z-index:251712512;mso-width-relative:page;mso-height-relative:page;" fillcolor="#FFFFFF" filled="t" stroked="f" coordsize="21600,21600" o:gfxdata="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1HiY7U&#10;AAAABQEAAA8AAAAAAAAAAQAgAAAAIgAAAGRycy9kb3ducmV2LnhtbFBLAQIUABQAAAAIAIdO4kAV&#10;rNkOJAIAADEEAAAOAAAAAAAAAAEAIAAAACMBAABkcnMvZTJvRG9jLnhtbFBLBQYAAAAABgAGAFkB&#10;AAC5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供本工程专用</w:t>
                      </w:r>
                    </w:p>
                  </w:txbxContent>
                </v:textbox>
              </v:shape>
            </w:pict>
          </mc:Fallback>
        </mc:AlternateContent>
      </w:r>
      <w:r>
        <w:rPr>
          <w:rFonts w:hint="eastAsia" w:ascii="宋体" w:hAnsi="宋体"/>
          <w:b w:val="0"/>
          <w:color w:val="000000"/>
          <w:sz w:val="21"/>
        </w:rPr>
        <w:t>承包人为本工程提供的一切承包人装备、临时工程和材料，一经运到现场，即视为供本工程专用。若无工程师同意，承包人不得将上述物品或其中任何部分运出现场。</w:t>
      </w:r>
    </w:p>
    <w:p>
      <w:pPr>
        <w:pStyle w:val="2"/>
        <w:keepLines w:val="0"/>
        <w:numPr>
          <w:ilvl w:val="0"/>
          <w:numId w:val="0"/>
        </w:numPr>
        <w:tabs>
          <w:tab w:val="left" w:pos="1620"/>
          <w:tab w:val="left" w:pos="2340"/>
        </w:tabs>
        <w:ind w:left="945" w:leftChars="450"/>
        <w:rPr>
          <w:rFonts w:hAnsi="宋体"/>
          <w:color w:val="000000"/>
          <w:sz w:val="30"/>
        </w:rPr>
      </w:pPr>
      <w:bookmarkStart w:id="166" w:name="_Toc35656476"/>
      <w:bookmarkStart w:id="167" w:name="_Toc35656978"/>
      <w:bookmarkStart w:id="168" w:name="_Toc34909011"/>
      <w:r>
        <w:rPr>
          <w:rFonts w:hint="eastAsia" w:hAnsi="宋体"/>
          <w:color w:val="000000"/>
          <w:sz w:val="30"/>
        </w:rPr>
        <w:t>七、开工、暂时停工、工期及延误</w:t>
      </w:r>
      <w:bookmarkEnd w:id="166"/>
      <w:bookmarkEnd w:id="167"/>
      <w:bookmarkEnd w:id="168"/>
    </w:p>
    <w:p>
      <w:pPr>
        <w:pStyle w:val="2"/>
        <w:keepLines w:val="0"/>
        <w:tabs>
          <w:tab w:val="left" w:pos="1620"/>
          <w:tab w:val="left" w:pos="2340"/>
        </w:tabs>
        <w:ind w:left="945" w:leftChars="450"/>
        <w:rPr>
          <w:rFonts w:hAnsi="宋体"/>
          <w:color w:val="000000"/>
          <w:sz w:val="28"/>
          <w:szCs w:val="28"/>
        </w:rPr>
      </w:pPr>
      <w:bookmarkStart w:id="169" w:name="_Toc34909013"/>
      <w:bookmarkStart w:id="170" w:name="_Toc34909012"/>
      <w:bookmarkStart w:id="171" w:name="_Toc35656979"/>
      <w:bookmarkStart w:id="172" w:name="_Toc35656477"/>
      <w:r>
        <w:rPr>
          <w:sz w:val="28"/>
          <w:szCs w:val="28"/>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445135</wp:posOffset>
                </wp:positionV>
                <wp:extent cx="571500" cy="228600"/>
                <wp:effectExtent l="0" t="1270" r="1270" b="0"/>
                <wp:wrapNone/>
                <wp:docPr id="173"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工程开工</w:t>
                            </w:r>
                          </w:p>
                        </w:txbxContent>
                      </wps:txbx>
                      <wps:bodyPr rot="0" vert="horz" wrap="square" lIns="0" tIns="18000" rIns="0" bIns="0" anchor="t" anchorCtr="0" upright="1">
                        <a:noAutofit/>
                      </wps:bodyPr>
                    </wps:wsp>
                  </a:graphicData>
                </a:graphic>
              </wp:anchor>
            </w:drawing>
          </mc:Choice>
          <mc:Fallback>
            <w:pict>
              <v:shape id="文本框 172" o:spid="_x0000_s1026" o:spt="202" type="#_x0000_t202" style="position:absolute;left:0pt;margin-left:0pt;margin-top:35.05pt;height:18pt;width:45pt;z-index:251714560;mso-width-relative:page;mso-height-relative:page;" fillcolor="#FFFFFF" filled="t" stroked="f" coordsize="21600,21600" o:gfxdata="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m8l&#10;p9UAAAAGAQAADwAAAAAAAAABACAAAAAiAAAAZHJzL2Rvd25yZXYueG1sUEsBAhQAFAAAAAgAh07i&#10;QFBNNRMlAgAANQQAAA4AAAAAAAAAAQAgAAAAJAEAAGRycy9lMm9Eb2MueG1sUEsFBgAAAAAGAAYA&#10;WQEAALsFA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工程开工</w:t>
                      </w:r>
                    </w:p>
                  </w:txbxContent>
                </v:textbox>
              </v:shape>
            </w:pict>
          </mc:Fallback>
        </mc:AlternateContent>
      </w:r>
      <w:bookmarkEnd w:id="169"/>
      <w:r>
        <w:rPr>
          <w:rFonts w:hint="eastAsia" w:hAnsi="宋体"/>
          <w:color w:val="000000"/>
          <w:sz w:val="28"/>
          <w:szCs w:val="28"/>
        </w:rPr>
        <w:t>开工及延期</w:t>
      </w:r>
      <w:bookmarkEnd w:id="170"/>
      <w:bookmarkEnd w:id="171"/>
      <w:bookmarkEnd w:id="172"/>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w:rPr>
          <w:rFonts w:hint="eastAsia" w:ascii="宋体" w:hAnsi="宋体"/>
          <w:b w:val="0"/>
          <w:color w:val="000000"/>
          <w:sz w:val="21"/>
        </w:rPr>
        <w:t>发包人或工程师应按合同约定的开工日期在不少于7天前向承包人发出开工通知书，承包人应按合同约定的开工日期开始本工程或本工程中某单项工程的施工。</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73" w:name="_Toc34909014"/>
      <w: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145415</wp:posOffset>
                </wp:positionV>
                <wp:extent cx="571500" cy="571500"/>
                <wp:effectExtent l="0" t="3175" r="1270" b="0"/>
                <wp:wrapNone/>
                <wp:docPr id="172"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承包人造成的开工延期</w:t>
                            </w:r>
                          </w:p>
                        </w:txbxContent>
                      </wps:txbx>
                      <wps:bodyPr rot="0" vert="horz" wrap="square" lIns="0" tIns="18000" rIns="0" bIns="0" anchor="t" anchorCtr="0" upright="1">
                        <a:noAutofit/>
                      </wps:bodyPr>
                    </wps:wsp>
                  </a:graphicData>
                </a:graphic>
              </wp:anchor>
            </w:drawing>
          </mc:Choice>
          <mc:Fallback>
            <w:pict>
              <v:shape id="文本框 171" o:spid="_x0000_s1026" o:spt="202" type="#_x0000_t202" style="position:absolute;left:0pt;margin-left:0pt;margin-top:11.45pt;height:45pt;width:45pt;z-index:251713536;mso-width-relative:page;mso-height-relative:page;" fillcolor="#FFFFFF" filled="t" stroked="f" coordsize="21600,21600" o:gfxdata="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sg7oD1AAA&#10;AAYBAAAPAAAAAAAAAAEAIAAAACIAAABkcnMvZG93bnJldi54bWxQSwECFAAUAAAACACHTuJArSlw&#10;xCICAAA1BAAADgAAAAAAAAABACAAAAAjAQAAZHJzL2Uyb0RvYy54bWxQSwUGAAAAAAYABgBZAQAA&#10;twU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承包人造成的开工延期</w:t>
                      </w:r>
                    </w:p>
                  </w:txbxContent>
                </v:textbox>
              </v:shape>
            </w:pict>
          </mc:Fallback>
        </mc:AlternateContent>
      </w:r>
      <w:r>
        <w:rPr>
          <w:rFonts w:hint="eastAsia" w:ascii="宋体" w:hAnsi="宋体"/>
          <w:b w:val="0"/>
          <w:color w:val="000000"/>
          <w:sz w:val="21"/>
        </w:rPr>
        <w:t>承包人因自身的原因不能按时开工，应在不少于本合同约定的开工日期前3天，以书面形式向发包人或工程师提出开工延期的要求和理由。工程师应在接到开工延期申请后24小时内予以审核，并报发包人审批后答复承包人。发包人同意开工延期或逾期未予答复的，开工延期并相应顺延工期；发包人不同意开工延期或承包人未在约定时限内提出开工延期申请的，开工不予延期并工期不予顺延</w:t>
      </w:r>
      <w:bookmarkEnd w:id="173"/>
      <w:r>
        <w:rPr>
          <w:rFonts w:hint="eastAsia" w:ascii="宋体" w:hAnsi="宋体"/>
          <w:b w:val="0"/>
          <w:color w:val="000000"/>
          <w:sz w:val="21"/>
        </w:rPr>
        <w:t>。</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74" w:name="_Toc34909015"/>
      <w: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108585</wp:posOffset>
                </wp:positionV>
                <wp:extent cx="571500" cy="571500"/>
                <wp:effectExtent l="0" t="0" r="1270" b="1905"/>
                <wp:wrapNone/>
                <wp:docPr id="171"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发包人造成的开工延期</w:t>
                            </w:r>
                          </w:p>
                        </w:txbxContent>
                      </wps:txbx>
                      <wps:bodyPr rot="0" vert="horz" wrap="square" lIns="0" tIns="72000" rIns="0" bIns="0" anchor="t" anchorCtr="0" upright="1">
                        <a:noAutofit/>
                      </wps:bodyPr>
                    </wps:wsp>
                  </a:graphicData>
                </a:graphic>
              </wp:anchor>
            </w:drawing>
          </mc:Choice>
          <mc:Fallback>
            <w:pict>
              <v:shape id="文本框 170" o:spid="_x0000_s1026" o:spt="202" type="#_x0000_t202" style="position:absolute;left:0pt;margin-left:0pt;margin-top:8.55pt;height:45pt;width:45pt;z-index:251715584;mso-width-relative:page;mso-height-relative:page;" fillcolor="#FFFFFF" filled="t" stroked="f" coordsize="21600,21600" o:gfxdata="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hnvb3UAAAA&#10;BgEAAA8AAAAAAAAAAQAgAAAAIgAAAGRycy9kb3ducmV2LnhtbFBLAQIUABQAAAAIAIdO4kBkyFCN&#10;IQIAADUEAAAOAAAAAAAAAAEAIAAAACMBAABkcnMvZTJvRG9jLnhtbFBLBQYAAAAABgAGAFkBAAC2&#10;BQAAAAA=&#10;">
                <v:fill on="t" focussize="0,0"/>
                <v:stroke on="f"/>
                <v:imagedata o:title=""/>
                <o:lock v:ext="edit" aspectratio="f"/>
                <v:textbox inset="0mm,2mm,0mm,0mm">
                  <w:txbxContent>
                    <w:p>
                      <w:pPr>
                        <w:rPr>
                          <w:rFonts w:ascii="楷体_GB2312" w:eastAsia="楷体_GB2312"/>
                        </w:rPr>
                      </w:pPr>
                      <w:r>
                        <w:rPr>
                          <w:rFonts w:hint="eastAsia" w:ascii="楷体_GB2312" w:hAnsi="宋体" w:eastAsia="楷体_GB2312"/>
                        </w:rPr>
                        <w:t>发包人造成的开工延期</w:t>
                      </w:r>
                    </w:p>
                  </w:txbxContent>
                </v:textbox>
              </v:shape>
            </w:pict>
          </mc:Fallback>
        </mc:AlternateContent>
      </w:r>
      <w:r>
        <w:rPr>
          <w:rFonts w:hint="eastAsia" w:ascii="宋体" w:hAnsi="宋体"/>
          <w:b w:val="0"/>
          <w:color w:val="000000"/>
          <w:sz w:val="21"/>
        </w:rPr>
        <w:t>因发包人的原因造成承包人不能在本合同约定的开工日期开工，工程师应以书面形式通知承包人，延期开工并相应顺延工期。</w:t>
      </w:r>
      <w:bookmarkEnd w:id="174"/>
    </w:p>
    <w:p>
      <w:pPr>
        <w:pStyle w:val="2"/>
        <w:keepLines w:val="0"/>
        <w:tabs>
          <w:tab w:val="left" w:pos="1620"/>
          <w:tab w:val="left" w:pos="2340"/>
        </w:tabs>
        <w:ind w:left="945" w:leftChars="450"/>
        <w:rPr>
          <w:rFonts w:hAnsi="宋体"/>
          <w:color w:val="000000"/>
          <w:sz w:val="28"/>
          <w:szCs w:val="28"/>
        </w:rPr>
      </w:pPr>
      <w:bookmarkStart w:id="175" w:name="_Toc34909016"/>
      <w:bookmarkStart w:id="176" w:name="_Toc35656980"/>
      <w:bookmarkStart w:id="177" w:name="_Toc35656478"/>
      <w:r>
        <w:rPr>
          <w:rFonts w:hint="eastAsia" w:hAnsi="宋体"/>
          <w:color w:val="000000"/>
          <w:sz w:val="28"/>
          <w:szCs w:val="28"/>
        </w:rPr>
        <w:t>暂停施工和复工</w:t>
      </w:r>
      <w:bookmarkEnd w:id="175"/>
      <w:bookmarkEnd w:id="176"/>
      <w:bookmarkEnd w:id="177"/>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78" w:name="_Toc34909017"/>
      <w: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-1905</wp:posOffset>
                </wp:positionV>
                <wp:extent cx="571500" cy="228600"/>
                <wp:effectExtent l="0" t="3810" r="1270" b="0"/>
                <wp:wrapNone/>
                <wp:docPr id="170"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暂停施工</w:t>
                            </w:r>
                          </w:p>
                        </w:txbxContent>
                      </wps:txbx>
                      <wps:bodyPr rot="0" vert="horz" wrap="square" lIns="0" tIns="18000" rIns="0" bIns="0" anchor="t" anchorCtr="0" upright="1">
                        <a:noAutofit/>
                      </wps:bodyPr>
                    </wps:wsp>
                  </a:graphicData>
                </a:graphic>
              </wp:anchor>
            </w:drawing>
          </mc:Choice>
          <mc:Fallback>
            <w:pict>
              <v:shape id="文本框 169" o:spid="_x0000_s1026" o:spt="202" type="#_x0000_t202" style="position:absolute;left:0pt;margin-left:0pt;margin-top:-0.15pt;height:18pt;width:45pt;z-index:251716608;mso-width-relative:page;mso-height-relative:page;" fillcolor="#FFFFFF" filled="t" stroked="f" coordsize="21600,21600" o:gfxdata="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lASAi&#10;1QAAAAQBAAAPAAAAAAAAAAEAIAAAACIAAABkcnMvZG93bnJldi54bWxQSwECFAAUAAAACACHTuJA&#10;J/iD2yQCAAA1BAAADgAAAAAAAAABACAAAAAkAQAAZHJzL2Uyb0RvYy54bWxQSwUGAAAAAAYABgBZ&#10;AQAAugU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暂停施工</w:t>
                      </w:r>
                    </w:p>
                  </w:txbxContent>
                </v:textbox>
              </v:shape>
            </w:pict>
          </mc:Fallback>
        </mc:AlternateContent>
      </w:r>
      <w:r>
        <w:rPr>
          <w:rFonts w:hint="eastAsia" w:ascii="宋体" w:hAnsi="宋体"/>
          <w:b w:val="0"/>
          <w:color w:val="000000"/>
          <w:sz w:val="21"/>
        </w:rPr>
        <w:t>发包人或工程师认为确有必要暂停施工时，可向承包人发出暂停某一部分或全部工程的施工令，并在发出指令后24小时内提出书面处理意见。承包人应按工程师的指令暂停某一部分或全部工程的施工。在暂停施工期间，承包人应妥善地保护本工程或其任何部分工程，并保障其安全。</w:t>
      </w:r>
      <w:bookmarkEnd w:id="178"/>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79" w:name="_Toc34909018"/>
      <w: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165100</wp:posOffset>
                </wp:positionV>
                <wp:extent cx="571500" cy="574675"/>
                <wp:effectExtent l="0" t="4445" r="1270" b="1905"/>
                <wp:wrapNone/>
                <wp:docPr id="169"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571500" cy="57467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承包人造成的暂停施工</w:t>
                            </w:r>
                          </w:p>
                        </w:txbxContent>
                      </wps:txbx>
                      <wps:bodyPr rot="0" vert="horz" wrap="square" lIns="0" tIns="0" rIns="0" bIns="0" anchor="t" anchorCtr="0" upright="1">
                        <a:noAutofit/>
                      </wps:bodyPr>
                    </wps:wsp>
                  </a:graphicData>
                </a:graphic>
              </wp:anchor>
            </w:drawing>
          </mc:Choice>
          <mc:Fallback>
            <w:pict>
              <v:shape id="文本框 168" o:spid="_x0000_s1026" o:spt="202" type="#_x0000_t202" style="position:absolute;left:0pt;margin-left:0pt;margin-top:13pt;height:45.25pt;width:45pt;z-index:251717632;mso-width-relative:page;mso-height-relative:page;" fillcolor="#FFFFFF" filled="t" stroked="f" coordsize="21600,21600" o:gfxdata="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xr9x9QA&#10;AAAGAQAADwAAAAAAAAABACAAAAAiAAAAZHJzL2Rvd25yZXYueG1sUEsBAhQAFAAAAAgAh07iQDiY&#10;AbEjAgAAMQQAAA4AAAAAAAAAAQAgAAAAIw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承包人造成的暂停施工</w:t>
                      </w:r>
                    </w:p>
                  </w:txbxContent>
                </v:textbox>
              </v:shape>
            </w:pict>
          </mc:Fallback>
        </mc:AlternateContent>
      </w:r>
      <w:r>
        <w:rPr>
          <w:rFonts w:hint="eastAsia" w:ascii="宋体" w:hAnsi="宋体"/>
          <w:b w:val="0"/>
          <w:color w:val="000000"/>
          <w:sz w:val="21"/>
        </w:rPr>
        <w:t>下述原因造成的暂停施工所涉及的费用增加和(或)工期延误，发包人不予补偿：</w:t>
      </w:r>
      <w:bookmarkEnd w:id="179"/>
    </w:p>
    <w:p>
      <w:pPr>
        <w:tabs>
          <w:tab w:val="left" w:pos="1620"/>
          <w:tab w:val="left" w:pos="2340"/>
        </w:tabs>
        <w:ind w:left="1449" w:leftChars="690"/>
        <w:rPr>
          <w:rFonts w:ascii="宋体" w:hAnsi="宋体"/>
          <w:color w:val="000000"/>
        </w:rPr>
      </w:pPr>
      <w:r>
        <w:rPr>
          <w:rFonts w:hint="eastAsia" w:ascii="宋体" w:hAnsi="宋体"/>
          <w:color w:val="000000"/>
        </w:rPr>
        <w:t>⑴因承包人某种失误或违约造成的，或应由承包人负责的必要停工；</w:t>
      </w:r>
    </w:p>
    <w:p>
      <w:pPr>
        <w:tabs>
          <w:tab w:val="left" w:pos="1620"/>
          <w:tab w:val="left" w:pos="2340"/>
        </w:tabs>
        <w:ind w:left="1449" w:leftChars="690"/>
        <w:rPr>
          <w:rFonts w:ascii="宋体" w:hAnsi="宋体"/>
          <w:color w:val="000000"/>
        </w:rPr>
      </w:pPr>
      <w:r>
        <w:rPr>
          <w:rFonts w:hint="eastAsia" w:ascii="宋体" w:hAnsi="宋体"/>
          <w:color w:val="000000"/>
        </w:rPr>
        <w:t>⑵承包人为了本工程的合理施工调整部署，或为了工程及其任何部分的安全而采取必要的技术措施所需要的停工；</w:t>
      </w:r>
    </w:p>
    <w:p>
      <w:pPr>
        <w:tabs>
          <w:tab w:val="left" w:pos="1620"/>
          <w:tab w:val="left" w:pos="2340"/>
        </w:tabs>
        <w:ind w:left="1449" w:leftChars="690"/>
        <w:rPr>
          <w:rFonts w:ascii="宋体" w:hAnsi="宋体"/>
          <w:color w:val="000000"/>
        </w:rPr>
      </w:pPr>
      <w:r>
        <w:rPr>
          <w:rFonts w:hint="eastAsia" w:ascii="宋体" w:hAnsi="宋体"/>
          <w:color w:val="000000"/>
        </w:rPr>
        <w:t>⑶因现场气候条件(不可抗力情况除外)导致的必要停工。</w:t>
      </w:r>
    </w:p>
    <w:p>
      <w:pPr>
        <w:pStyle w:val="3"/>
        <w:numPr>
          <w:ilvl w:val="1"/>
          <w:numId w:val="1"/>
        </w:numPr>
        <w:tabs>
          <w:tab w:val="left" w:pos="1620"/>
          <w:tab w:val="left" w:pos="2016"/>
          <w:tab w:val="left" w:pos="2340"/>
          <w:tab w:val="clear" w:pos="1711"/>
        </w:tabs>
        <w:spacing w:after="624" w:afterLines="200"/>
        <w:ind w:left="1523" w:leftChars="450" w:hanging="578"/>
        <w:jc w:val="both"/>
        <w:rPr>
          <w:rFonts w:ascii="宋体" w:hAnsi="宋体"/>
          <w:b w:val="0"/>
          <w:color w:val="000000"/>
          <w:sz w:val="21"/>
        </w:rPr>
      </w:pPr>
      <w: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168910</wp:posOffset>
                </wp:positionV>
                <wp:extent cx="571500" cy="571500"/>
                <wp:effectExtent l="0" t="1905" r="1270" b="0"/>
                <wp:wrapNone/>
                <wp:docPr id="168"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发包人或工程师造成停工</w:t>
                            </w:r>
                          </w:p>
                        </w:txbxContent>
                      </wps:txbx>
                      <wps:bodyPr rot="0" vert="horz" wrap="square" lIns="0" tIns="0" rIns="0" bIns="0" anchor="t" anchorCtr="0" upright="1">
                        <a:noAutofit/>
                      </wps:bodyPr>
                    </wps:wsp>
                  </a:graphicData>
                </a:graphic>
              </wp:anchor>
            </w:drawing>
          </mc:Choice>
          <mc:Fallback>
            <w:pict>
              <v:shape id="文本框 167" o:spid="_x0000_s1026" o:spt="202" type="#_x0000_t202" style="position:absolute;left:0pt;margin-left:0pt;margin-top:13.3pt;height:45pt;width:45pt;z-index:251718656;mso-width-relative:page;mso-height-relative:page;" fillcolor="#FFFFFF" filled="t" stroked="f" coordsize="21600,21600" o:gfxdata="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ra63TAAAABgEAAA8A&#10;AAAAAAAAAQAgAAAAIgAAAGRycy9kb3ducmV2LnhtbFBLAQIUABQAAAAIAIdO4kB/QBe/HAIAADEE&#10;AAAOAAAAAAAAAAEAIAAAACIBAABkcnMvZTJvRG9jLnhtbFBLBQYAAAAABgAGAFkBAACw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发包人或工程师造成停工</w:t>
                      </w:r>
                    </w:p>
                  </w:txbxContent>
                </v:textbox>
              </v:shape>
            </w:pict>
          </mc:Fallback>
        </mc:AlternateContent>
      </w:r>
      <w:r>
        <w:rPr>
          <w:rFonts w:hint="eastAsia" w:ascii="宋体" w:hAnsi="宋体"/>
          <w:b w:val="0"/>
          <w:color w:val="000000"/>
          <w:sz w:val="21"/>
        </w:rPr>
        <w:t>因发包人或工程师的行为或失误造成停工，给承包人造成损失和(或)导致工期延误的，发包人应赔偿承包人损失和(或)顺延延误的工期。</w:t>
      </w:r>
      <w:bookmarkStart w:id="180" w:name="_Toc34909019"/>
    </w:p>
    <w:p>
      <w:pPr>
        <w:pStyle w:val="3"/>
        <w:numPr>
          <w:ilvl w:val="1"/>
          <w:numId w:val="1"/>
        </w:numPr>
        <w:tabs>
          <w:tab w:val="left" w:pos="1620"/>
          <w:tab w:val="left" w:pos="2016"/>
          <w:tab w:val="left" w:pos="2340"/>
          <w:tab w:val="clear" w:pos="1711"/>
        </w:tabs>
        <w:spacing w:before="120" w:after="0"/>
        <w:ind w:left="1523" w:leftChars="450" w:hanging="578"/>
        <w:jc w:val="both"/>
        <w:rPr>
          <w:rFonts w:ascii="宋体" w:hAnsi="宋体"/>
          <w:b w:val="0"/>
          <w:color w:val="000000"/>
          <w:sz w:val="21"/>
        </w:rPr>
      </w:pPr>
      <w: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12065</wp:posOffset>
                </wp:positionV>
                <wp:extent cx="571500" cy="571500"/>
                <wp:effectExtent l="0" t="2540" r="1270" b="0"/>
                <wp:wrapNone/>
                <wp:docPr id="167"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暂停施工持续63天以上</w:t>
                            </w:r>
                          </w:p>
                        </w:txbxContent>
                      </wps:txbx>
                      <wps:bodyPr rot="0" vert="horz" wrap="square" lIns="0" tIns="0" rIns="0" bIns="0" anchor="t" anchorCtr="0" upright="1">
                        <a:noAutofit/>
                      </wps:bodyPr>
                    </wps:wsp>
                  </a:graphicData>
                </a:graphic>
              </wp:anchor>
            </w:drawing>
          </mc:Choice>
          <mc:Fallback>
            <w:pict>
              <v:shape id="文本框 166" o:spid="_x0000_s1026" o:spt="202" type="#_x0000_t202" style="position:absolute;left:0pt;margin-left:0pt;margin-top:0.95pt;height:45pt;width:45pt;z-index:251719680;mso-width-relative:page;mso-height-relative:page;" fillcolor="#FFFFFF" filled="t" stroked="f" coordsize="21600,21600" o:gfxdata="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SkNPZ0QAAAAQBAAAPAAAA&#10;AAAAAAEAIAAAACIAAABkcnMvZG93bnJldi54bWxQSwECFAAUAAAACACHTuJAi0PY4hwCAAAxBAAA&#10;DgAAAAAAAAABACAAAAAgAQAAZHJzL2Uyb0RvYy54bWxQSwUGAAAAAAYABgBZAQAArg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暂停施工持续63天以上</w:t>
                      </w:r>
                    </w:p>
                  </w:txbxContent>
                </v:textbox>
              </v:shape>
            </w:pict>
          </mc:Fallback>
        </mc:AlternateContent>
      </w:r>
      <w:r>
        <w:rPr>
          <w:rFonts w:hint="eastAsia" w:ascii="宋体" w:hAnsi="宋体"/>
          <w:b w:val="0"/>
          <w:color w:val="000000"/>
          <w:sz w:val="21"/>
        </w:rPr>
        <w:t>承包人根据工程师的指令暂时停止全部工程或部分工程的施工，自暂停施工之日起63天内，发包人或工程师未发出复工令，并且该暂停施工不在19.2款范围之内，承包人可向工程师发出通知，要求自收到该通知后14天内准许暂停施工的工程继续施工。在上述期限内未得到准许，承包人可以作出以下选择(但并非必须)：</w:t>
      </w:r>
      <w:bookmarkEnd w:id="180"/>
    </w:p>
    <w:p>
      <w:pPr>
        <w:tabs>
          <w:tab w:val="left" w:pos="1620"/>
          <w:tab w:val="left" w:pos="2340"/>
        </w:tabs>
        <w:ind w:left="1449" w:leftChars="690"/>
        <w:rPr>
          <w:rFonts w:ascii="宋体" w:hAnsi="宋体"/>
          <w:color w:val="000000"/>
        </w:rPr>
      </w:pPr>
      <w:r>
        <w:rPr>
          <w:rFonts w:hint="eastAsia" w:ascii="宋体" w:hAnsi="宋体"/>
          <w:color w:val="000000"/>
        </w:rPr>
        <w:t>⑴当此项停工仅影响本工程的一部分时，承包人有权将该部分工程从合同中取消，同时将此事通知发包人；</w:t>
      </w:r>
    </w:p>
    <w:p>
      <w:pPr>
        <w:tabs>
          <w:tab w:val="left" w:pos="1620"/>
          <w:tab w:val="left" w:pos="2340"/>
        </w:tabs>
        <w:ind w:left="1449" w:leftChars="690"/>
        <w:rPr>
          <w:rFonts w:ascii="宋体" w:hAnsi="宋体"/>
          <w:color w:val="000000"/>
        </w:rPr>
      </w:pPr>
      <w:r>
        <w:rPr>
          <w:rFonts w:hint="eastAsia" w:ascii="宋体" w:hAnsi="宋体"/>
          <w:color w:val="000000"/>
        </w:rPr>
        <w:t>⑵当此项停工影响整个工程时，承包人有权根据通用条款第36条的约定将此项停工视为违约事件，并终止对本合同的承包。</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81" w:name="_Toc34909020"/>
      <w: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142875</wp:posOffset>
                </wp:positionV>
                <wp:extent cx="342900" cy="228600"/>
                <wp:effectExtent l="0" t="1905" r="1270" b="0"/>
                <wp:wrapNone/>
                <wp:docPr id="166"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复工</w:t>
                            </w:r>
                          </w:p>
                        </w:txbxContent>
                      </wps:txbx>
                      <wps:bodyPr rot="0" vert="horz" wrap="square" lIns="0" tIns="36000" rIns="0" bIns="0" anchor="t" anchorCtr="0" upright="1">
                        <a:noAutofit/>
                      </wps:bodyPr>
                    </wps:wsp>
                  </a:graphicData>
                </a:graphic>
              </wp:anchor>
            </w:drawing>
          </mc:Choice>
          <mc:Fallback>
            <w:pict>
              <v:shape id="文本框 165" o:spid="_x0000_s1026" o:spt="202" type="#_x0000_t202" style="position:absolute;left:0pt;margin-left:0pt;margin-top:11.25pt;height:18pt;width:27pt;z-index:251720704;mso-width-relative:page;mso-height-relative:page;" fillcolor="#FFFFFF" filled="t" stroked="f" coordsize="21600,21600" o:gfxdata="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BODjXU&#10;AAAABQEAAA8AAAAAAAAAAQAgAAAAIgAAAGRycy9kb3ducmV2LnhtbFBLAQIUABQAAAAIAIdO4kAm&#10;5+c+JAIAADUEAAAOAAAAAAAAAAEAIAAAACMBAABkcnMvZTJvRG9jLnhtbFBLBQYAAAAABgAGAFkB&#10;AAC5BQ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复工</w:t>
                      </w:r>
                    </w:p>
                  </w:txbxContent>
                </v:textbox>
              </v:shape>
            </w:pict>
          </mc:Fallback>
        </mc:AlternateContent>
      </w:r>
      <w:r>
        <w:rPr>
          <w:rFonts w:hint="eastAsia" w:ascii="宋体" w:hAnsi="宋体"/>
          <w:b w:val="0"/>
          <w:color w:val="000000"/>
          <w:sz w:val="21"/>
        </w:rPr>
        <w:t>在发包人或工程师发出复工令后，承包人和工程师应联合对受暂时停工影响的工程、生产设备和材料进行检查。承包人应负责修复在暂停期间发生的工程、设备或材料的任何变质、缺陷或损坏。</w:t>
      </w:r>
      <w:bookmarkEnd w:id="181"/>
    </w:p>
    <w:p>
      <w:pPr>
        <w:pStyle w:val="2"/>
        <w:keepLines w:val="0"/>
        <w:tabs>
          <w:tab w:val="left" w:pos="1620"/>
          <w:tab w:val="left" w:pos="2340"/>
        </w:tabs>
        <w:ind w:left="945" w:leftChars="450"/>
        <w:rPr>
          <w:rFonts w:hAnsi="宋体"/>
          <w:color w:val="000000"/>
          <w:sz w:val="28"/>
          <w:szCs w:val="28"/>
        </w:rPr>
      </w:pPr>
      <w:bookmarkStart w:id="182" w:name="_Toc34909021"/>
      <w:bookmarkStart w:id="183" w:name="_Toc35656981"/>
      <w:bookmarkStart w:id="184" w:name="_Toc35656479"/>
      <w:r>
        <w:rPr>
          <w:rFonts w:hint="eastAsia" w:hAnsi="宋体"/>
          <w:color w:val="000000"/>
          <w:sz w:val="28"/>
          <w:szCs w:val="28"/>
        </w:rPr>
        <w:t>工期及延误</w:t>
      </w:r>
      <w:bookmarkEnd w:id="182"/>
      <w:bookmarkEnd w:id="183"/>
      <w:bookmarkEnd w:id="184"/>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85" w:name="_Toc34909022"/>
      <w:r>
        <mc:AlternateContent>
          <mc:Choice Requires="wps">
            <w:drawing>
              <wp:anchor distT="0" distB="0" distL="114300" distR="114300" simplePos="0" relativeHeight="251721728" behindDoc="0" locked="0" layoutInCell="1" allowOverlap="1">
                <wp:simplePos x="0" y="0"/>
                <wp:positionH relativeFrom="column">
                  <wp:posOffset>57150</wp:posOffset>
                </wp:positionH>
                <wp:positionV relativeFrom="paragraph">
                  <wp:posOffset>38100</wp:posOffset>
                </wp:positionV>
                <wp:extent cx="342900" cy="228600"/>
                <wp:effectExtent l="0" t="1905" r="1270" b="0"/>
                <wp:wrapNone/>
                <wp:docPr id="165"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工期</w:t>
                            </w:r>
                          </w:p>
                        </w:txbxContent>
                      </wps:txbx>
                      <wps:bodyPr rot="0" vert="horz" wrap="square" lIns="0" tIns="0" rIns="0" bIns="0" anchor="t" anchorCtr="0" upright="1">
                        <a:noAutofit/>
                      </wps:bodyPr>
                    </wps:wsp>
                  </a:graphicData>
                </a:graphic>
              </wp:anchor>
            </w:drawing>
          </mc:Choice>
          <mc:Fallback>
            <w:pict>
              <v:shape id="文本框 164" o:spid="_x0000_s1026" o:spt="202" type="#_x0000_t202" style="position:absolute;left:0pt;margin-left:4.5pt;margin-top:3pt;height:18pt;width:27pt;z-index:251721728;mso-width-relative:page;mso-height-relative:page;" fillcolor="#FFFFFF" filled="t" stroked="f" coordsize="21600,21600" o:gfxdata="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Kid+tQAAAAF&#10;AQAADwAAAAAAAAABACAAAAAiAAAAZHJzL2Rvd25yZXYueG1sUEsBAhQAFAAAAAgAh07iQPzujcQg&#10;AgAAMQ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工期</w:t>
                      </w:r>
                    </w:p>
                  </w:txbxContent>
                </v:textbox>
              </v:shape>
            </w:pict>
          </mc:Fallback>
        </mc:AlternateContent>
      </w:r>
      <w:r>
        <w:rPr>
          <w:rFonts w:hint="eastAsia" w:ascii="宋体" w:hAnsi="宋体"/>
          <w:b w:val="0"/>
          <w:color w:val="000000"/>
          <w:sz w:val="21"/>
        </w:rPr>
        <w:t>本工程须在本合同协议书中约定的时间内完成，或在根据20.2款约定的延长期限内完成。</w:t>
      </w:r>
    </w:p>
    <w:p>
      <w:pPr>
        <w:pStyle w:val="3"/>
        <w:tabs>
          <w:tab w:val="left" w:pos="1620"/>
          <w:tab w:val="left" w:pos="2340"/>
        </w:tabs>
        <w:spacing w:before="0"/>
        <w:ind w:left="1647"/>
        <w:jc w:val="both"/>
        <w:rPr>
          <w:rFonts w:ascii="宋体" w:hAnsi="宋体"/>
          <w:b w:val="0"/>
          <w:color w:val="000000"/>
          <w:sz w:val="21"/>
        </w:rPr>
      </w:pPr>
      <w:r>
        <w:rPr>
          <w:rFonts w:hint="eastAsia" w:ascii="宋体" w:hAnsi="宋体"/>
          <w:b w:val="0"/>
          <w:color w:val="000000"/>
          <w:sz w:val="21"/>
        </w:rPr>
        <w:t>本工程的任何单项工程须在专用条款约定的各段时间内完成，或在根据20.2款约定的延长期限内完成。</w:t>
      </w:r>
      <w:bookmarkEnd w:id="185"/>
      <w:bookmarkStart w:id="186" w:name="_Toc34909023"/>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22752" behindDoc="0" locked="0" layoutInCell="1" allowOverlap="1">
                <wp:simplePos x="0" y="0"/>
                <wp:positionH relativeFrom="column">
                  <wp:posOffset>38100</wp:posOffset>
                </wp:positionH>
                <wp:positionV relativeFrom="paragraph">
                  <wp:posOffset>169545</wp:posOffset>
                </wp:positionV>
                <wp:extent cx="571500" cy="228600"/>
                <wp:effectExtent l="0" t="0" r="1270" b="4445"/>
                <wp:wrapNone/>
                <wp:docPr id="164"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工期顺延</w:t>
                            </w:r>
                          </w:p>
                        </w:txbxContent>
                      </wps:txbx>
                      <wps:bodyPr rot="0" vert="horz" wrap="square" lIns="0" tIns="18000" rIns="0" bIns="0" anchor="t" anchorCtr="0" upright="1">
                        <a:noAutofit/>
                      </wps:bodyPr>
                    </wps:wsp>
                  </a:graphicData>
                </a:graphic>
              </wp:anchor>
            </w:drawing>
          </mc:Choice>
          <mc:Fallback>
            <w:pict>
              <v:shape id="文本框 163" o:spid="_x0000_s1026" o:spt="202" type="#_x0000_t202" style="position:absolute;left:0pt;margin-left:3pt;margin-top:13.35pt;height:18pt;width:45pt;z-index:251722752;mso-width-relative:page;mso-height-relative:page;" fillcolor="#FFFFFF" filled="t" stroked="f" coordsize="21600,21600" o:gfxdata="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Uz&#10;Ou3WAAAABgEAAA8AAAAAAAAAAQAgAAAAIgAAAGRycy9kb3ducmV2LnhtbFBLAQIUABQAAAAIAIdO&#10;4kCys5AsJQIAADUEAAAOAAAAAAAAAAEAIAAAACUBAABkcnMvZTJvRG9jLnhtbFBLBQYAAAAABgAG&#10;AFkBAAC8BQ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工期顺延</w:t>
                      </w:r>
                    </w:p>
                  </w:txbxContent>
                </v:textbox>
              </v:shape>
            </w:pict>
          </mc:Fallback>
        </mc:AlternateContent>
      </w:r>
      <w:r>
        <w:rPr>
          <w:rFonts w:hint="eastAsia" w:ascii="宋体" w:hAnsi="宋体"/>
          <w:b w:val="0"/>
          <w:color w:val="000000"/>
          <w:sz w:val="21"/>
        </w:rPr>
        <w:t>因以下原因造成的工期延误，工期顺延</w:t>
      </w:r>
      <w:bookmarkEnd w:id="186"/>
      <w:r>
        <w:rPr>
          <w:rFonts w:hint="eastAsia" w:ascii="宋体" w:hAnsi="宋体"/>
          <w:b w:val="0"/>
          <w:color w:val="000000"/>
          <w:sz w:val="21"/>
        </w:rPr>
        <w:t>：</w:t>
      </w:r>
    </w:p>
    <w:p>
      <w:pPr>
        <w:tabs>
          <w:tab w:val="left" w:pos="1620"/>
          <w:tab w:val="left" w:pos="2340"/>
        </w:tabs>
        <w:ind w:left="1449" w:leftChars="690"/>
        <w:rPr>
          <w:rFonts w:ascii="宋体" w:hAnsi="宋体"/>
          <w:color w:val="000000"/>
        </w:rPr>
      </w:pPr>
      <w:r>
        <w:rPr>
          <w:rFonts w:hint="eastAsia" w:ascii="宋体" w:hAnsi="宋体"/>
          <w:color w:val="000000"/>
        </w:rPr>
        <w:t>⑴发包人未能按约定提供图纸及开工条件；</w:t>
      </w:r>
    </w:p>
    <w:p>
      <w:pPr>
        <w:tabs>
          <w:tab w:val="left" w:pos="1620"/>
          <w:tab w:val="left" w:pos="2340"/>
        </w:tabs>
        <w:ind w:left="1449" w:leftChars="690"/>
        <w:rPr>
          <w:rFonts w:ascii="宋体" w:hAnsi="宋体"/>
          <w:color w:val="000000"/>
        </w:rPr>
      </w:pPr>
      <w:r>
        <w:rPr>
          <w:rFonts w:hint="eastAsia" w:ascii="宋体" w:hAnsi="宋体"/>
          <w:color w:val="000000"/>
        </w:rPr>
        <w:t>⑵发包人未能按约定日期支付工程预付款、进度款，致使施工不能正常进行；</w:t>
      </w:r>
    </w:p>
    <w:p>
      <w:pPr>
        <w:tabs>
          <w:tab w:val="left" w:pos="1620"/>
          <w:tab w:val="left" w:pos="2340"/>
        </w:tabs>
        <w:ind w:left="1449" w:leftChars="690"/>
        <w:rPr>
          <w:rFonts w:ascii="宋体" w:hAnsi="宋体"/>
          <w:color w:val="000000"/>
        </w:rPr>
      </w:pPr>
      <w:r>
        <w:rPr>
          <w:rFonts w:hint="eastAsia" w:ascii="宋体" w:hAnsi="宋体"/>
          <w:color w:val="000000"/>
        </w:rPr>
        <w:t>⑶工程师未能按约定提供所需的指令、批准等，致使施工不能正常进行；</w:t>
      </w:r>
    </w:p>
    <w:p>
      <w:pPr>
        <w:tabs>
          <w:tab w:val="left" w:pos="1620"/>
          <w:tab w:val="left" w:pos="2340"/>
        </w:tabs>
        <w:ind w:left="1449" w:leftChars="690"/>
        <w:rPr>
          <w:rFonts w:ascii="宋体" w:hAnsi="宋体"/>
          <w:color w:val="000000"/>
        </w:rPr>
      </w:pPr>
      <w:r>
        <w:rPr>
          <w:rFonts w:hint="eastAsia" w:ascii="宋体" w:hAnsi="宋体"/>
          <w:color w:val="000000"/>
        </w:rPr>
        <w:t>⑷发包人要求的工程变更；</w:t>
      </w:r>
    </w:p>
    <w:p>
      <w:pPr>
        <w:tabs>
          <w:tab w:val="left" w:pos="1620"/>
          <w:tab w:val="left" w:pos="2340"/>
        </w:tabs>
        <w:ind w:left="1449" w:leftChars="690"/>
        <w:rPr>
          <w:rFonts w:ascii="宋体" w:hAnsi="宋体"/>
          <w:color w:val="000000"/>
        </w:rPr>
      </w:pPr>
      <w:r>
        <w:rPr>
          <w:rFonts w:hint="eastAsia" w:ascii="宋体" w:hAnsi="宋体"/>
          <w:color w:val="000000"/>
        </w:rPr>
        <w:t>⑸一周内非承包人原因停水、停电造成停工累计超过8小时；</w:t>
      </w:r>
    </w:p>
    <w:p>
      <w:pPr>
        <w:tabs>
          <w:tab w:val="left" w:pos="1620"/>
          <w:tab w:val="left" w:pos="2340"/>
        </w:tabs>
        <w:ind w:left="1449" w:leftChars="690"/>
        <w:rPr>
          <w:rFonts w:ascii="宋体" w:hAnsi="宋体"/>
          <w:color w:val="000000"/>
        </w:rPr>
      </w:pPr>
      <w:r>
        <w:rPr>
          <w:rFonts w:hint="eastAsia" w:ascii="宋体" w:hAnsi="宋体"/>
          <w:color w:val="000000"/>
        </w:rPr>
        <w:t>⑹遇不可抗力；</w:t>
      </w:r>
    </w:p>
    <w:p>
      <w:pPr>
        <w:tabs>
          <w:tab w:val="left" w:pos="1620"/>
          <w:tab w:val="left" w:pos="2340"/>
        </w:tabs>
        <w:ind w:left="1449" w:leftChars="690"/>
        <w:rPr>
          <w:rFonts w:ascii="宋体" w:hAnsi="宋体"/>
          <w:color w:val="000000"/>
        </w:rPr>
      </w:pPr>
      <w:r>
        <w:rPr>
          <w:rFonts w:hint="eastAsia" w:ascii="宋体" w:hAnsi="宋体"/>
          <w:color w:val="000000"/>
        </w:rPr>
        <w:t>⑺合同条款已明确约定或发包人同意的其他工期顺延情况。</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87" w:name="_Toc34909027"/>
      <w: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184785</wp:posOffset>
                </wp:positionV>
                <wp:extent cx="571500" cy="400685"/>
                <wp:effectExtent l="0" t="0" r="1270" b="3810"/>
                <wp:wrapNone/>
                <wp:docPr id="163"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571500" cy="40068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工作时间的限制</w:t>
                            </w:r>
                          </w:p>
                        </w:txbxContent>
                      </wps:txbx>
                      <wps:bodyPr rot="0" vert="horz" wrap="square" lIns="0" tIns="0" rIns="0" bIns="0" anchor="t" anchorCtr="0" upright="1">
                        <a:noAutofit/>
                      </wps:bodyPr>
                    </wps:wsp>
                  </a:graphicData>
                </a:graphic>
              </wp:anchor>
            </w:drawing>
          </mc:Choice>
          <mc:Fallback>
            <w:pict>
              <v:shape id="文本框 162" o:spid="_x0000_s1026" o:spt="202" type="#_x0000_t202" style="position:absolute;left:0pt;margin-left:0pt;margin-top:14.55pt;height:31.55pt;width:45pt;z-index:251723776;mso-width-relative:page;mso-height-relative:page;" fillcolor="#FFFFFF" filled="t" stroked="f" coordsize="21600,21600" o:gfxdata="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ab0Cm1AAA&#10;AAUBAAAPAAAAAAAAAAEAIAAAACIAAABkcnMvZG93bnJldi54bWxQSwECFAAUAAAACACHTuJAWT/I&#10;MSICAAAx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工作时间的限制</w:t>
                      </w:r>
                    </w:p>
                  </w:txbxContent>
                </v:textbox>
              </v:shape>
            </w:pict>
          </mc:Fallback>
        </mc:AlternateContent>
      </w:r>
      <w:r>
        <w:rPr>
          <w:rFonts w:hint="eastAsia" w:ascii="宋体" w:hAnsi="宋体"/>
          <w:b w:val="0"/>
          <w:color w:val="000000"/>
          <w:sz w:val="21"/>
        </w:rPr>
        <w:t>承包人在夜间或国家法定节假日进行工程施工应经工程师的认可，并遵守当地政府的有关规定或取得有关部门的批准。但是为了抢救生命、保护财产或为了工程的安全、质量而绝对必要的作业，不必事先经工程师的许可。在这种情况下，承包人应在事后立即向工程师报告。</w:t>
      </w:r>
      <w:bookmarkEnd w:id="187"/>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71232" behindDoc="0" locked="0" layoutInCell="1" allowOverlap="1">
                <wp:simplePos x="0" y="0"/>
                <wp:positionH relativeFrom="column">
                  <wp:posOffset>0</wp:posOffset>
                </wp:positionH>
                <wp:positionV relativeFrom="paragraph">
                  <wp:posOffset>161925</wp:posOffset>
                </wp:positionV>
                <wp:extent cx="571500" cy="403860"/>
                <wp:effectExtent l="0" t="0" r="1270" b="0"/>
                <wp:wrapNone/>
                <wp:docPr id="162"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571500" cy="40386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提前竣工奖励费</w:t>
                            </w:r>
                          </w:p>
                        </w:txbxContent>
                      </wps:txbx>
                      <wps:bodyPr rot="0" vert="horz" wrap="square" lIns="0" tIns="18000" rIns="0" bIns="0" anchor="t" anchorCtr="0" upright="1">
                        <a:noAutofit/>
                      </wps:bodyPr>
                    </wps:wsp>
                  </a:graphicData>
                </a:graphic>
              </wp:anchor>
            </w:drawing>
          </mc:Choice>
          <mc:Fallback>
            <w:pict>
              <v:shape id="文本框 161" o:spid="_x0000_s1026" o:spt="202" type="#_x0000_t202" style="position:absolute;left:0pt;margin-left:0pt;margin-top:12.75pt;height:31.8pt;width:45pt;z-index:251871232;mso-width-relative:page;mso-height-relative:page;" fillcolor="#FFFFFF" filled="t" stroked="f" coordsize="21600,21600" o:gfxdata="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XGHYbWAAAABQEAAA8AAAAAAAAAAQAgAAAAIgAAAGRycy9kb3ducmV2LnhtbFBLAQIUABQAAAAI&#10;AIdO4kBEZ2VJKAIAADUEAAAOAAAAAAAAAAEAIAAAACUBAABkcnMvZTJvRG9jLnhtbFBLBQYAAAAA&#10;BgAGAFkBAAC/BQ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提前竣工奖励费</w:t>
                      </w:r>
                    </w:p>
                  </w:txbxContent>
                </v:textbox>
              </v:shape>
            </w:pict>
          </mc:Fallback>
        </mc:AlternateContent>
      </w:r>
      <w:r>
        <w:rPr>
          <w:rFonts w:hint="eastAsia" w:ascii="宋体" w:hAnsi="宋体"/>
          <w:b w:val="0"/>
          <w:color w:val="000000"/>
          <w:sz w:val="21"/>
        </w:rPr>
        <w:t>如发包人要求提前竣工，且承包人在20.1款约定的工期及20.2款经批准的延长工期期限内提前完成本工程，或者在相应的期限内提前完成本工程中某单项工程，发包人应向承包人支付专用条款约定的提前竣工奖励费。提前时间是以工期加上已批准的延长工期减去实际工期计算(即：提前时间=工期+批准的延长工期-实际工期)。</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88" w:name="_Toc34909028"/>
      <w: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160020</wp:posOffset>
                </wp:positionV>
                <wp:extent cx="571500" cy="433070"/>
                <wp:effectExtent l="0" t="635" r="1270" b="4445"/>
                <wp:wrapNone/>
                <wp:docPr id="161"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571500" cy="43307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延期损失赔偿费</w:t>
                            </w:r>
                          </w:p>
                        </w:txbxContent>
                      </wps:txbx>
                      <wps:bodyPr rot="0" vert="horz" wrap="square" lIns="0" tIns="18000" rIns="0" bIns="0" anchor="t" anchorCtr="0" upright="1">
                        <a:noAutofit/>
                      </wps:bodyPr>
                    </wps:wsp>
                  </a:graphicData>
                </a:graphic>
              </wp:anchor>
            </w:drawing>
          </mc:Choice>
          <mc:Fallback>
            <w:pict>
              <v:shape id="文本框 160" o:spid="_x0000_s1026" o:spt="202" type="#_x0000_t202" style="position:absolute;left:0pt;margin-left:0pt;margin-top:12.6pt;height:34.1pt;width:45pt;z-index:251724800;mso-width-relative:page;mso-height-relative:page;" fillcolor="#FFFFFF" filled="t" stroked="f" coordsize="21600,21600" o:gfxdata="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QFEXPWAAAABQEAAA8AAAAAAAAAAQAgAAAAIgAAAGRycy9kb3ducmV2LnhtbFBLAQIUABQAAAAI&#10;AIdO4kB2Cwi7KAIAADUEAAAOAAAAAAAAAAEAIAAAACUBAABkcnMvZTJvRG9jLnhtbFBLBQYAAAAA&#10;BgAGAFkBAAC/BQ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延期损失赔偿费</w:t>
                      </w:r>
                    </w:p>
                  </w:txbxContent>
                </v:textbox>
              </v:shape>
            </w:pict>
          </mc:Fallback>
        </mc:AlternateContent>
      </w:r>
      <w:r>
        <w:rPr>
          <w:rFonts w:hint="eastAsia" w:ascii="宋体" w:hAnsi="宋体"/>
          <w:b w:val="0"/>
          <w:color w:val="000000"/>
          <w:sz w:val="21"/>
        </w:rPr>
        <w:t>承包人因自身原因未能按照20.1款约定的工期及20.2款经批准的延长工期期限内完成本工程，或者未能在相应的期限完成本工程中某单项工程，承包人应承担违约责任，并向发包人支付专用条款约定的延期损失赔偿费，但延期赔偿费的支付不能免除承包人根据合同约定应负的任何责任和义务。延期时间是以实际工期减去工期及已批准的延长工期计算(即：延期时间=实际工期-工期-批准的延长工期)。</w:t>
      </w:r>
      <w:bookmarkEnd w:id="188"/>
      <w:bookmarkStart w:id="189" w:name="_Toc34909029"/>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153670</wp:posOffset>
                </wp:positionV>
                <wp:extent cx="571500" cy="571500"/>
                <wp:effectExtent l="0" t="0" r="1270" b="4445"/>
                <wp:wrapNone/>
                <wp:docPr id="160"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延期损害赔偿费的减少</w:t>
                            </w:r>
                          </w:p>
                        </w:txbxContent>
                      </wps:txbx>
                      <wps:bodyPr rot="0" vert="horz" wrap="square" lIns="0" tIns="36000" rIns="0" bIns="0" anchor="t" anchorCtr="0" upright="1">
                        <a:noAutofit/>
                      </wps:bodyPr>
                    </wps:wsp>
                  </a:graphicData>
                </a:graphic>
              </wp:anchor>
            </w:drawing>
          </mc:Choice>
          <mc:Fallback>
            <w:pict>
              <v:shape id="文本框 159" o:spid="_x0000_s1026" o:spt="202" type="#_x0000_t202" style="position:absolute;left:0pt;margin-left:0pt;margin-top:12.1pt;height:45pt;width:45pt;z-index:251725824;mso-width-relative:page;mso-height-relative:page;" fillcolor="#FFFFFF" filled="t" stroked="f" coordsize="21600,21600" o:gfxdata="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RQC/0wAAAAYB&#10;AAAPAAAAAAAAAAEAIAAAACIAAABkcnMvZG93bnJldi54bWxQSwECFAAUAAAACACHTuJATxlcVSAC&#10;AAA1BAAADgAAAAAAAAABACAAAAAiAQAAZHJzL2Uyb0RvYy54bWxQSwUGAAAAAAYABgBZAQAAtAUA&#10;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延期损害赔偿费的减少</w:t>
                      </w:r>
                    </w:p>
                  </w:txbxContent>
                </v:textbox>
              </v:shape>
            </w:pict>
          </mc:Fallback>
        </mc:AlternateContent>
      </w:r>
      <w:r>
        <w:rPr>
          <w:rFonts w:hint="eastAsia" w:ascii="宋体" w:hAnsi="宋体"/>
          <w:b w:val="0"/>
          <w:color w:val="000000"/>
          <w:sz w:val="21"/>
        </w:rPr>
        <w:t>如在本工程竣工之前，已对本工程中某单项工程签发了交接证书，且交接证书中写明的实际竣工日期并未延误，而是本工程中的其他部分产生了工期延误，则本工程的延期损失赔偿费应予减少。减少的幅度按已签发交接证书的单项工程的价值占本工程价值的比例计算，但专用条款约定的延期损失赔偿费限额不应受此影响。</w:t>
      </w:r>
      <w:bookmarkEnd w:id="189"/>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highlight w:val="none"/>
        </w:rPr>
      </w:pPr>
      <w:r>
        <mc:AlternateContent>
          <mc:Choice Requires="wps">
            <w:drawing>
              <wp:anchor distT="0" distB="0" distL="114300" distR="114300" simplePos="0" relativeHeight="251901952" behindDoc="0" locked="0" layoutInCell="1" allowOverlap="1">
                <wp:simplePos x="0" y="0"/>
                <wp:positionH relativeFrom="column">
                  <wp:posOffset>-20955</wp:posOffset>
                </wp:positionH>
                <wp:positionV relativeFrom="paragraph">
                  <wp:posOffset>158115</wp:posOffset>
                </wp:positionV>
                <wp:extent cx="571500" cy="228600"/>
                <wp:effectExtent l="0" t="3175" r="3175" b="0"/>
                <wp:wrapNone/>
                <wp:docPr id="159"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工期压缩</w:t>
                            </w:r>
                          </w:p>
                        </w:txbxContent>
                      </wps:txbx>
                      <wps:bodyPr rot="0" vert="horz" wrap="square" lIns="0" tIns="18000" rIns="0" bIns="0" anchor="t" anchorCtr="0" upright="1">
                        <a:noAutofit/>
                      </wps:bodyPr>
                    </wps:wsp>
                  </a:graphicData>
                </a:graphic>
              </wp:anchor>
            </w:drawing>
          </mc:Choice>
          <mc:Fallback>
            <w:pict>
              <v:shape id="文本框 158" o:spid="_x0000_s1026" o:spt="202" type="#_x0000_t202" style="position:absolute;left:0pt;margin-left:-1.65pt;margin-top:12.45pt;height:18pt;width:45pt;z-index:251901952;mso-width-relative:page;mso-height-relative:page;" fillcolor="#FFFFFF" filled="t" stroked="f" coordsize="21600,21600" o:gfxdata="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Ak/MtgAAAAHAQAADwAAAAAAAAABACAAAAAiAAAAZHJzL2Rvd25yZXYueG1sUEsBAhQAFAAAAAgA&#10;h07iQHYMi/glAgAANQQAAA4AAAAAAAAAAQAgAAAAJwEAAGRycy9lMm9Eb2MueG1sUEsFBgAAAAAG&#10;AAYAWQEAAL4FA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工期压缩</w:t>
                      </w:r>
                    </w:p>
                  </w:txbxContent>
                </v:textbox>
              </v:shape>
            </w:pict>
          </mc:Fallback>
        </mc:AlternateContent>
      </w:r>
      <w:r>
        <w:rPr>
          <w:rFonts w:hint="eastAsia" w:ascii="宋体" w:hAnsi="宋体"/>
          <w:b w:val="0"/>
          <w:color w:val="000000"/>
          <w:sz w:val="21"/>
        </w:rPr>
        <w:t xml:space="preserve"> 如</w:t>
      </w:r>
      <w:r>
        <w:rPr>
          <w:rFonts w:hint="eastAsia" w:ascii="宋体" w:hAnsi="宋体"/>
          <w:b w:val="0"/>
          <w:color w:val="000000"/>
          <w:sz w:val="21"/>
          <w:highlight w:val="none"/>
        </w:rPr>
        <w:t>本工程施工过程中，发包人要求压缩工期的，工期压缩超过定额工期15%的，应按</w:t>
      </w:r>
      <w:r>
        <w:rPr>
          <w:rStyle w:val="48"/>
          <w:rFonts w:hint="eastAsia"/>
          <w:b w:val="0"/>
          <w:bCs w:val="0"/>
          <w:color w:val="000000"/>
          <w:sz w:val="21"/>
          <w:szCs w:val="21"/>
          <w:highlight w:val="none"/>
        </w:rPr>
        <w:t>《</w:t>
      </w:r>
      <w:r>
        <w:rPr>
          <w:rStyle w:val="48"/>
          <w:rFonts w:hint="eastAsia"/>
          <w:b w:val="0"/>
          <w:bCs w:val="0"/>
          <w:color w:val="000000"/>
          <w:sz w:val="21"/>
          <w:szCs w:val="21"/>
          <w:highlight w:val="none"/>
          <w:lang w:val="en-US" w:eastAsia="zh-CN"/>
        </w:rPr>
        <w:t>广州</w:t>
      </w:r>
      <w:r>
        <w:rPr>
          <w:rStyle w:val="48"/>
          <w:rFonts w:hint="eastAsia"/>
          <w:b w:val="0"/>
          <w:bCs w:val="0"/>
          <w:color w:val="000000"/>
          <w:sz w:val="21"/>
          <w:szCs w:val="21"/>
          <w:highlight w:val="none"/>
        </w:rPr>
        <w:t>市建设工程工程量清单计价实施细则》</w:t>
      </w:r>
      <w:r>
        <w:rPr>
          <w:rFonts w:hint="eastAsia" w:ascii="宋体" w:hAnsi="宋体"/>
          <w:b w:val="0"/>
          <w:color w:val="000000"/>
          <w:sz w:val="21"/>
          <w:highlight w:val="none"/>
        </w:rPr>
        <w:t>规定的方法和推荐系数计算赶工措施费和夜间施工费，并扣除本工程招标控制价中已列明的赶工措施费和夜间施工费后向承包人支付补偿费用。</w:t>
      </w:r>
    </w:p>
    <w:p>
      <w:pPr>
        <w:tabs>
          <w:tab w:val="left" w:pos="1620"/>
          <w:tab w:val="left" w:pos="2340"/>
        </w:tabs>
        <w:ind w:left="1449" w:leftChars="690" w:firstLine="420" w:firstLineChars="200"/>
        <w:rPr>
          <w:color w:val="000000"/>
          <w:highlight w:val="none"/>
        </w:rPr>
      </w:pPr>
      <w:r>
        <w:rPr>
          <w:rFonts w:hint="eastAsia"/>
          <w:color w:val="000000"/>
          <w:highlight w:val="none"/>
        </w:rPr>
        <w:t>发包人向承包人支付上述补偿费用后，不再按照20.4款的约定向承包人支付提前竣工奖励费。</w:t>
      </w:r>
    </w:p>
    <w:p>
      <w:pPr>
        <w:tabs>
          <w:tab w:val="left" w:pos="1620"/>
          <w:tab w:val="left" w:pos="2340"/>
        </w:tabs>
        <w:ind w:left="1449" w:leftChars="690" w:firstLine="420" w:firstLineChars="200"/>
        <w:rPr>
          <w:color w:val="000000"/>
        </w:rPr>
      </w:pPr>
      <w:r>
        <w:rPr>
          <w:rFonts w:hint="eastAsia"/>
          <w:color w:val="000000"/>
          <w:highlight w:val="none"/>
        </w:rPr>
        <w:t>《</w:t>
      </w:r>
      <w:r>
        <w:rPr>
          <w:rFonts w:hint="eastAsia"/>
          <w:color w:val="000000"/>
          <w:highlight w:val="none"/>
          <w:lang w:val="en-US" w:eastAsia="zh-CN"/>
        </w:rPr>
        <w:t>广州</w:t>
      </w:r>
      <w:r>
        <w:rPr>
          <w:rFonts w:hint="eastAsia"/>
          <w:color w:val="000000"/>
          <w:highlight w:val="none"/>
        </w:rPr>
        <w:t>市建设工程施工工期标准》缺项的专业工程，或需采取特殊措施以缩短工期的，由发包</w:t>
      </w:r>
      <w:r>
        <w:rPr>
          <w:rFonts w:hint="eastAsia"/>
          <w:color w:val="000000"/>
        </w:rPr>
        <w:t>人、承包人在专用条款中约定补偿费用计算方法。</w:t>
      </w:r>
    </w:p>
    <w:p>
      <w:pPr>
        <w:pStyle w:val="2"/>
        <w:keepLines w:val="0"/>
        <w:numPr>
          <w:ilvl w:val="0"/>
          <w:numId w:val="0"/>
        </w:numPr>
        <w:tabs>
          <w:tab w:val="left" w:pos="1620"/>
          <w:tab w:val="left" w:pos="2340"/>
        </w:tabs>
        <w:ind w:left="945" w:leftChars="450"/>
        <w:rPr>
          <w:rFonts w:hAnsi="宋体"/>
          <w:color w:val="000000"/>
          <w:sz w:val="30"/>
        </w:rPr>
      </w:pPr>
      <w:bookmarkStart w:id="190" w:name="_Toc34909030"/>
      <w:bookmarkStart w:id="191" w:name="_Toc35656982"/>
      <w:bookmarkStart w:id="192" w:name="_Toc35656480"/>
      <w:r>
        <w:rPr>
          <w:rFonts w:hint="eastAsia" w:hAnsi="宋体"/>
          <w:color w:val="000000"/>
          <w:sz w:val="30"/>
        </w:rPr>
        <w:t>八、材料、设备供应</w:t>
      </w:r>
      <w:bookmarkEnd w:id="190"/>
      <w:bookmarkEnd w:id="191"/>
      <w:bookmarkEnd w:id="192"/>
    </w:p>
    <w:p>
      <w:pPr>
        <w:pStyle w:val="2"/>
        <w:keepLines w:val="0"/>
        <w:tabs>
          <w:tab w:val="left" w:pos="1620"/>
          <w:tab w:val="left" w:pos="2340"/>
        </w:tabs>
        <w:ind w:left="945" w:leftChars="450"/>
        <w:rPr>
          <w:rFonts w:hAnsi="宋体"/>
          <w:color w:val="000000"/>
          <w:sz w:val="28"/>
          <w:szCs w:val="28"/>
        </w:rPr>
      </w:pPr>
      <w:bookmarkStart w:id="193" w:name="_Toc34909044"/>
      <w:bookmarkStart w:id="194" w:name="_Toc35656482"/>
      <w:bookmarkStart w:id="195" w:name="_Toc35656984"/>
      <w:r>
        <w:rPr>
          <w:rFonts w:hint="eastAsia" w:hAnsi="宋体"/>
          <w:color w:val="000000"/>
          <w:sz w:val="28"/>
          <w:szCs w:val="28"/>
        </w:rPr>
        <w:t>发包人供应材料设备</w:t>
      </w:r>
      <w:bookmarkEnd w:id="193"/>
      <w:bookmarkEnd w:id="194"/>
      <w:bookmarkEnd w:id="195"/>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96" w:name="_Toc34909045"/>
      <w: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3810</wp:posOffset>
                </wp:positionV>
                <wp:extent cx="571500" cy="571500"/>
                <wp:effectExtent l="0" t="3810" r="1270" b="0"/>
                <wp:wrapNone/>
                <wp:docPr id="158"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发包人供应材料设备</w:t>
                            </w:r>
                          </w:p>
                        </w:txbxContent>
                      </wps:txbx>
                      <wps:bodyPr rot="0" vert="horz" wrap="square" lIns="0" tIns="0" rIns="0" bIns="0" anchor="t" anchorCtr="0" upright="1">
                        <a:noAutofit/>
                      </wps:bodyPr>
                    </wps:wsp>
                  </a:graphicData>
                </a:graphic>
              </wp:anchor>
            </w:drawing>
          </mc:Choice>
          <mc:Fallback>
            <w:pict>
              <v:shape id="文本框 157" o:spid="_x0000_s1026" o:spt="202" type="#_x0000_t202" style="position:absolute;left:0pt;margin-left:0pt;margin-top:0.3pt;height:45pt;width:45pt;z-index:251726848;mso-width-relative:page;mso-height-relative:page;" fillcolor="#FFFFFF" filled="t" stroked="f" coordsize="21600,21600" o:gfxdata="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lopLA0QAAAAMBAAAPAAAA&#10;AAAAAAEAIAAAACIAAABkcnMvZG93bnJldi54bWxQSwECFAAUAAAACACHTuJAzNyHNxwCAAAxBAAA&#10;DgAAAAAAAAABACAAAAAgAQAAZHJzL2Uyb0RvYy54bWxQSwUGAAAAAAYABgBZAQAArg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发包人供应材料设备</w:t>
                      </w:r>
                    </w:p>
                  </w:txbxContent>
                </v:textbox>
              </v:shape>
            </w:pict>
          </mc:Fallback>
        </mc:AlternateContent>
      </w:r>
      <w:r>
        <w:rPr>
          <w:rFonts w:hint="eastAsia" w:ascii="宋体" w:hAnsi="宋体"/>
          <w:b w:val="0"/>
          <w:color w:val="000000"/>
          <w:sz w:val="21"/>
        </w:rPr>
        <w:t>发包人供应材料设备的，应在专用条款中列出相应材料设备清单。材料设备清单中应约定发包人供应材料设备的品种、规格、型号、数量、单价、质量等级、提供时间和地点。发包人应按材料设备清单中的约定向承包人提供材料设备，并提供产品质量合格证明，对材料设备质量负责。发包人在所供材料设备到货前24小时通知承包人，双方在工程师的见证下验收交接，并按承包人指定的地点和方式堆放。</w:t>
      </w:r>
      <w:bookmarkEnd w:id="19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97" w:name="_Toc34909046"/>
      <w: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166370</wp:posOffset>
                </wp:positionV>
                <wp:extent cx="571500" cy="457200"/>
                <wp:effectExtent l="0" t="0" r="1270" b="0"/>
                <wp:wrapNone/>
                <wp:docPr id="157"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承包人负责保管</w:t>
                            </w:r>
                          </w:p>
                        </w:txbxContent>
                      </wps:txbx>
                      <wps:bodyPr rot="0" vert="horz" wrap="square" lIns="0" tIns="0" rIns="0" bIns="0" anchor="t" anchorCtr="0" upright="1">
                        <a:noAutofit/>
                      </wps:bodyPr>
                    </wps:wsp>
                  </a:graphicData>
                </a:graphic>
              </wp:anchor>
            </w:drawing>
          </mc:Choice>
          <mc:Fallback>
            <w:pict>
              <v:shape id="文本框 156" o:spid="_x0000_s1026" o:spt="202" type="#_x0000_t202" style="position:absolute;left:0pt;margin-left:0pt;margin-top:13.1pt;height:36pt;width:45pt;z-index:251727872;mso-width-relative:page;mso-height-relative:page;" fillcolor="#FFFFFF" filled="t" stroked="f" coordsize="21600,21600" o:gfxdata="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6Y5ZW1AAA&#10;AAUBAAAPAAAAAAAAAAEAIAAAACIAAABkcnMvZG93bnJldi54bWxQSwECFAAUAAAACACHTuJAXuL3&#10;UiICAAAx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承包人负责保管</w:t>
                      </w:r>
                    </w:p>
                  </w:txbxContent>
                </v:textbox>
              </v:shape>
            </w:pict>
          </mc:Fallback>
        </mc:AlternateContent>
      </w:r>
      <w:bookmarkEnd w:id="197"/>
      <w:r>
        <w:rPr>
          <w:rFonts w:hint="eastAsia" w:ascii="宋体" w:hAnsi="宋体"/>
          <w:b w:val="0"/>
          <w:color w:val="000000"/>
          <w:sz w:val="21"/>
        </w:rPr>
        <w:t>发包人对其供应的材料设备履行完毕21.1款约定验交程序，且承包人接收后，由承包人负责保管，发包人支付相应保管费用；因承包人原因发生的丢失、盗失、毁损等由承包人负责赔偿。如发包人未履行21.1款约定的验交程序，则承包人不负责保管，发生的丢失、盗失、毁损等由发包人负责，但承包人没有提出异议，且已收取发包人支付的相应保管费用的除外。</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98" w:name="_Toc34909047"/>
      <w: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110490</wp:posOffset>
                </wp:positionV>
                <wp:extent cx="571500" cy="457200"/>
                <wp:effectExtent l="0" t="1270" r="1270" b="0"/>
                <wp:wrapNone/>
                <wp:docPr id="156"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发包人承担责任</w:t>
                            </w:r>
                          </w:p>
                        </w:txbxContent>
                      </wps:txbx>
                      <wps:bodyPr rot="0" vert="horz" wrap="square" lIns="0" tIns="54000" rIns="0" bIns="0" anchor="t" anchorCtr="0" upright="1">
                        <a:noAutofit/>
                      </wps:bodyPr>
                    </wps:wsp>
                  </a:graphicData>
                </a:graphic>
              </wp:anchor>
            </w:drawing>
          </mc:Choice>
          <mc:Fallback>
            <w:pict>
              <v:shape id="文本框 155" o:spid="_x0000_s1026" o:spt="202" type="#_x0000_t202" style="position:absolute;left:0pt;margin-left:0pt;margin-top:8.7pt;height:36pt;width:45pt;z-index:251728896;mso-width-relative:page;mso-height-relative:page;" fillcolor="#FFFFFF" filled="t" stroked="f" coordsize="21600,21600" o:gfxdata="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9keDodYAAAAFAQAADwAAAAAAAAABACAAAAAiAAAAZHJzL2Rvd25yZXYueG1sUEsBAhQAFAAAAAgA&#10;h07iQIYbBBYnAgAANQQAAA4AAAAAAAAAAQAgAAAAJQEAAGRycy9lMm9Eb2MueG1sUEsFBgAAAAAG&#10;AAYAWQEAAL4FAAAAAA==&#10;">
                <v:fill on="t" focussize="0,0"/>
                <v:stroke on="f"/>
                <v:imagedata o:title=""/>
                <o:lock v:ext="edit" aspectratio="f"/>
                <v:textbox inset="0mm,1.5mm,0mm,0mm">
                  <w:txbxContent>
                    <w:p>
                      <w:pPr>
                        <w:rPr>
                          <w:rFonts w:ascii="楷体_GB2312" w:eastAsia="楷体_GB2312"/>
                        </w:rPr>
                      </w:pPr>
                      <w:r>
                        <w:rPr>
                          <w:rFonts w:hint="eastAsia" w:ascii="楷体_GB2312" w:hAnsi="宋体" w:eastAsia="楷体_GB2312"/>
                        </w:rPr>
                        <w:t>发包人承担责任</w:t>
                      </w:r>
                    </w:p>
                  </w:txbxContent>
                </v:textbox>
              </v:shape>
            </w:pict>
          </mc:Fallback>
        </mc:AlternateContent>
      </w:r>
      <w:r>
        <w:rPr>
          <w:rFonts w:hint="eastAsia" w:ascii="宋体" w:hAnsi="宋体"/>
          <w:b w:val="0"/>
          <w:color w:val="000000"/>
          <w:sz w:val="21"/>
        </w:rPr>
        <w:t>发包人供应的材料设备与专用条款列出的材料设备清单中的约定不符时，发包人承担相关责任，具体如下：</w:t>
      </w:r>
      <w:bookmarkEnd w:id="198"/>
    </w:p>
    <w:p>
      <w:pPr>
        <w:tabs>
          <w:tab w:val="left" w:pos="1620"/>
          <w:tab w:val="left" w:pos="2340"/>
        </w:tabs>
        <w:ind w:left="1449" w:leftChars="690"/>
        <w:rPr>
          <w:rFonts w:ascii="宋体" w:hAnsi="宋体"/>
          <w:color w:val="000000"/>
        </w:rPr>
      </w:pPr>
      <w:r>
        <w:rPr>
          <w:rFonts w:hint="eastAsia" w:ascii="宋体" w:hAnsi="宋体"/>
          <w:color w:val="000000"/>
        </w:rPr>
        <w:t>⑴材料设备单价不符合约定，由发包人承担所有价差；</w:t>
      </w:r>
    </w:p>
    <w:p>
      <w:pPr>
        <w:tabs>
          <w:tab w:val="left" w:pos="1620"/>
          <w:tab w:val="left" w:pos="2340"/>
        </w:tabs>
        <w:ind w:left="1449" w:leftChars="690"/>
        <w:rPr>
          <w:rFonts w:ascii="宋体" w:hAnsi="宋体"/>
          <w:color w:val="000000"/>
        </w:rPr>
      </w:pPr>
      <w:r>
        <w:rPr>
          <w:rFonts w:hint="eastAsia" w:ascii="宋体" w:hAnsi="宋体"/>
          <w:color w:val="000000"/>
        </w:rPr>
        <w:t>⑵材料设备的品种、规格、型号、质量等级不符合约定，承包人可拒绝接收、保管，由发包人负责运出施工场地并重新采购；</w:t>
      </w:r>
    </w:p>
    <w:p>
      <w:pPr>
        <w:tabs>
          <w:tab w:val="left" w:pos="1620"/>
          <w:tab w:val="left" w:pos="2340"/>
        </w:tabs>
        <w:ind w:left="1449" w:leftChars="690"/>
        <w:rPr>
          <w:rFonts w:ascii="宋体" w:hAnsi="宋体"/>
          <w:color w:val="000000"/>
        </w:rPr>
      </w:pPr>
      <w:r>
        <w:rPr>
          <w:rFonts w:hint="eastAsia" w:ascii="宋体" w:hAnsi="宋体"/>
          <w:color w:val="000000"/>
        </w:rPr>
        <w:t>⑶材料的规格、型号不符合约定，经发包人同意，可由承包人代为代换，相关费用由发包人承担；</w:t>
      </w:r>
    </w:p>
    <w:p>
      <w:pPr>
        <w:tabs>
          <w:tab w:val="left" w:pos="1620"/>
          <w:tab w:val="left" w:pos="2340"/>
        </w:tabs>
        <w:ind w:left="1449" w:leftChars="690"/>
        <w:rPr>
          <w:rFonts w:ascii="宋体" w:hAnsi="宋体"/>
          <w:color w:val="000000"/>
        </w:rPr>
      </w:pPr>
      <w:r>
        <w:rPr>
          <w:rFonts w:hint="eastAsia" w:ascii="宋体" w:hAnsi="宋体"/>
          <w:color w:val="000000"/>
        </w:rPr>
        <w:t>⑷材料设备的到货地点不符合约定，由发包人负责运至材料设备清单约定的地点；</w:t>
      </w:r>
    </w:p>
    <w:p>
      <w:pPr>
        <w:tabs>
          <w:tab w:val="left" w:pos="1620"/>
          <w:tab w:val="left" w:pos="2340"/>
        </w:tabs>
        <w:ind w:left="1449" w:leftChars="690"/>
        <w:rPr>
          <w:rFonts w:ascii="宋体" w:hAnsi="宋体"/>
          <w:color w:val="000000"/>
        </w:rPr>
      </w:pPr>
      <w:r>
        <w:rPr>
          <w:rFonts w:hint="eastAsia" w:ascii="宋体" w:hAnsi="宋体"/>
          <w:color w:val="000000"/>
        </w:rPr>
        <w:t>⑸材料设备供应数量不符合约定，多于清单中约定的数量时由发包人负责运出施工场地，少于清单中约定数量时由发包人负责补齐；</w:t>
      </w:r>
    </w:p>
    <w:p>
      <w:pPr>
        <w:tabs>
          <w:tab w:val="left" w:pos="1620"/>
          <w:tab w:val="left" w:pos="2340"/>
        </w:tabs>
        <w:ind w:left="1449" w:leftChars="690"/>
        <w:rPr>
          <w:rFonts w:ascii="宋体" w:hAnsi="宋体"/>
          <w:color w:val="000000"/>
        </w:rPr>
      </w:pPr>
      <w:r>
        <w:rPr>
          <w:rFonts w:hint="eastAsia" w:ascii="宋体" w:hAnsi="宋体"/>
          <w:color w:val="000000"/>
        </w:rPr>
        <w:t>⑹材料设备到货交接时间不符合约定，早于约定时间的由发包人承担因此产生的保管费用，迟于约定时间给承包人造成损失和(或)导致工期延误的，发包人应赔偿承包人损失，顺延延误的工期。</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199" w:name="_Toc34909049"/>
      <w: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176530</wp:posOffset>
                </wp:positionV>
                <wp:extent cx="571500" cy="228600"/>
                <wp:effectExtent l="0" t="0" r="1270" b="1905"/>
                <wp:wrapNone/>
                <wp:docPr id="155"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结算方式</w:t>
                            </w:r>
                          </w:p>
                        </w:txbxContent>
                      </wps:txbx>
                      <wps:bodyPr rot="0" vert="horz" wrap="square" lIns="0" tIns="0" rIns="0" bIns="0" anchor="t" anchorCtr="0" upright="1">
                        <a:noAutofit/>
                      </wps:bodyPr>
                    </wps:wsp>
                  </a:graphicData>
                </a:graphic>
              </wp:anchor>
            </w:drawing>
          </mc:Choice>
          <mc:Fallback>
            <w:pict>
              <v:shape id="文本框 154" o:spid="_x0000_s1026" o:spt="202" type="#_x0000_t202" style="position:absolute;left:0pt;margin-left:0pt;margin-top:13.9pt;height:18pt;width:45pt;z-index:251729920;mso-width-relative:page;mso-height-relative:page;" fillcolor="#FFFFFF" filled="t" stroked="f" coordsize="21600,21600" o:gfxdata="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MJxO0wAAAAUB&#10;AAAPAAAAAAAAAAEAIAAAACIAAABkcnMvZG93bnJldi54bWxQSwECFAAUAAAACACHTuJAOs5swSAC&#10;AAAxBAAADgAAAAAAAAABACAAAAAiAQAAZHJzL2Uyb0RvYy54bWxQSwUGAAAAAAYABgBZAQAAtAUA&#10;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结算方式</w:t>
                      </w:r>
                    </w:p>
                  </w:txbxContent>
                </v:textbox>
              </v:shape>
            </w:pict>
          </mc:Fallback>
        </mc:AlternateContent>
      </w:r>
      <w:r>
        <w:rPr>
          <w:rFonts w:hint="eastAsia" w:ascii="宋体" w:hAnsi="宋体"/>
          <w:b w:val="0"/>
          <w:color w:val="000000"/>
          <w:sz w:val="21"/>
        </w:rPr>
        <w:t>发包人供应的材料设备的结算方式由发包人和承包人在专用条款中约定。</w:t>
      </w:r>
      <w:bookmarkEnd w:id="199"/>
    </w:p>
    <w:p>
      <w:pPr>
        <w:pStyle w:val="2"/>
        <w:keepLines w:val="0"/>
        <w:tabs>
          <w:tab w:val="left" w:pos="1620"/>
          <w:tab w:val="left" w:pos="2340"/>
        </w:tabs>
        <w:ind w:left="945" w:leftChars="450"/>
        <w:rPr>
          <w:rFonts w:hAnsi="宋体"/>
          <w:color w:val="000000"/>
          <w:sz w:val="28"/>
          <w:szCs w:val="28"/>
        </w:rPr>
      </w:pPr>
      <w:bookmarkStart w:id="200" w:name="_Toc34909050"/>
      <w:bookmarkStart w:id="201" w:name="_Toc35656483"/>
      <w:bookmarkStart w:id="202" w:name="_Toc35656985"/>
      <w:r>
        <w:rPr>
          <w:rFonts w:hint="eastAsia" w:hAnsi="宋体"/>
          <w:color w:val="000000"/>
          <w:sz w:val="28"/>
          <w:szCs w:val="28"/>
        </w:rPr>
        <w:t>承包人采购材料设备</w:t>
      </w:r>
      <w:bookmarkEnd w:id="200"/>
      <w:bookmarkEnd w:id="201"/>
      <w:bookmarkEnd w:id="202"/>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03" w:name="_Toc34909051"/>
      <w: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17145</wp:posOffset>
                </wp:positionV>
                <wp:extent cx="571500" cy="571500"/>
                <wp:effectExtent l="0" t="4445" r="1270" b="0"/>
                <wp:wrapNone/>
                <wp:docPr id="154"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承包人采购材料设备</w:t>
                            </w:r>
                          </w:p>
                        </w:txbxContent>
                      </wps:txbx>
                      <wps:bodyPr rot="0" vert="horz" wrap="square" lIns="0" tIns="0" rIns="0" bIns="0" anchor="t" anchorCtr="0" upright="1">
                        <a:noAutofit/>
                      </wps:bodyPr>
                    </wps:wsp>
                  </a:graphicData>
                </a:graphic>
              </wp:anchor>
            </w:drawing>
          </mc:Choice>
          <mc:Fallback>
            <w:pict>
              <v:shape id="文本框 153" o:spid="_x0000_s1026" o:spt="202" type="#_x0000_t202" style="position:absolute;left:0pt;margin-left:0pt;margin-top:1.35pt;height:45pt;width:45pt;z-index:251730944;mso-width-relative:page;mso-height-relative:page;" fillcolor="#FFFFFF" filled="t" stroked="f" coordsize="21600,21600" o:gfxdata="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mt1gNIAAAAEAQAADwAA&#10;AAAAAAABACAAAAAiAAAAZHJzL2Rvd25yZXYueG1sUEsBAhQAFAAAAAgAh07iQCZWUk8cAgAAMQQA&#10;AA4AAAAAAAAAAQAgAAAAIQEAAGRycy9lMm9Eb2MueG1sUEsFBgAAAAAGAAYAWQEAAK8F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承包人采购材料设备</w:t>
                      </w:r>
                    </w:p>
                  </w:txbxContent>
                </v:textbox>
              </v:shape>
            </w:pict>
          </mc:Fallback>
        </mc:AlternateContent>
      </w:r>
      <w:r>
        <w:rPr>
          <w:rFonts w:hint="eastAsia" w:ascii="宋体" w:hAnsi="宋体"/>
          <w:b w:val="0"/>
          <w:color w:val="000000"/>
          <w:sz w:val="21"/>
        </w:rPr>
        <w:t>承包人负责采购的材料设备，应符合设计、标准规范、专用条款约定的要求以及投标文件的承诺，并提供产品质量合格证明，承包人对材料设备质量负责。承包人应在材料设备到货前24小时通知发包人，双方在工程师的见证下进行联合验收。</w:t>
      </w:r>
      <w:bookmarkEnd w:id="203"/>
    </w:p>
    <w:p>
      <w:pPr>
        <w:pStyle w:val="3"/>
        <w:numPr>
          <w:ilvl w:val="1"/>
          <w:numId w:val="1"/>
        </w:numPr>
        <w:tabs>
          <w:tab w:val="left" w:pos="1620"/>
          <w:tab w:val="left" w:pos="2016"/>
          <w:tab w:val="left" w:pos="2340"/>
          <w:tab w:val="clear" w:pos="1711"/>
        </w:tabs>
        <w:spacing w:after="0"/>
        <w:ind w:left="1523" w:leftChars="450" w:hanging="578"/>
        <w:jc w:val="both"/>
        <w:rPr>
          <w:rFonts w:ascii="宋体" w:hAnsi="宋体"/>
          <w:b w:val="0"/>
          <w:color w:val="000000"/>
          <w:sz w:val="21"/>
        </w:rPr>
      </w:pPr>
      <w:bookmarkStart w:id="204" w:name="_Toc34909052"/>
      <w:r>
        <mc:AlternateContent>
          <mc:Choice Requires="wps">
            <w:drawing>
              <wp:anchor distT="0" distB="0" distL="114300" distR="114300" simplePos="0" relativeHeight="251837440" behindDoc="0" locked="0" layoutInCell="1" allowOverlap="1">
                <wp:simplePos x="0" y="0"/>
                <wp:positionH relativeFrom="column">
                  <wp:posOffset>0</wp:posOffset>
                </wp:positionH>
                <wp:positionV relativeFrom="paragraph">
                  <wp:posOffset>147320</wp:posOffset>
                </wp:positionV>
                <wp:extent cx="571500" cy="457200"/>
                <wp:effectExtent l="0" t="3175" r="1270" b="0"/>
                <wp:wrapNone/>
                <wp:docPr id="153"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承包人承担责任</w:t>
                            </w:r>
                          </w:p>
                        </w:txbxContent>
                      </wps:txbx>
                      <wps:bodyPr rot="0" vert="horz" wrap="square" lIns="0" tIns="36000" rIns="0" bIns="0" anchor="t" anchorCtr="0" upright="1">
                        <a:noAutofit/>
                      </wps:bodyPr>
                    </wps:wsp>
                  </a:graphicData>
                </a:graphic>
              </wp:anchor>
            </w:drawing>
          </mc:Choice>
          <mc:Fallback>
            <w:pict>
              <v:shape id="文本框 152" o:spid="_x0000_s1026" o:spt="202" type="#_x0000_t202" style="position:absolute;left:0pt;margin-left:0pt;margin-top:11.6pt;height:36pt;width:45pt;z-index:251837440;mso-width-relative:page;mso-height-relative:page;" fillcolor="#FFFFFF" filled="t" stroked="f" coordsize="21600,21600" o:gfxdata="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Ik&#10;NpfUAAAABQEAAA8AAAAAAAAAAQAgAAAAIgAAAGRycy9kb3ducmV2LnhtbFBLAQIUABQAAAAIAIdO&#10;4kCMW0LHJwIAADUEAAAOAAAAAAAAAAEAIAAAACMBAABkcnMvZTJvRG9jLnhtbFBLBQYAAAAABgAG&#10;AFkBAAC8BQ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承包人承担责任</w:t>
                      </w:r>
                    </w:p>
                  </w:txbxContent>
                </v:textbox>
              </v:shape>
            </w:pict>
          </mc:Fallback>
        </mc:AlternateContent>
      </w:r>
      <w:r>
        <w:rPr>
          <w:rFonts w:hint="eastAsia" w:ascii="宋体" w:hAnsi="宋体"/>
          <w:b w:val="0"/>
          <w:color w:val="000000"/>
          <w:sz w:val="21"/>
        </w:rPr>
        <w:t>承包人采购的材料设备与设计、标准、规范以及专用条款约定的要求不符时，承包人应按工程师要求的时间运出施工场地，重新采购符合要求的材料设备，承担因此产生的费用，由此延误的工期不予顺延。</w:t>
      </w:r>
    </w:p>
    <w:p>
      <w:pPr>
        <w:tabs>
          <w:tab w:val="left" w:pos="1620"/>
          <w:tab w:val="left" w:pos="2340"/>
        </w:tabs>
        <w:ind w:left="1418" w:leftChars="675"/>
        <w:rPr>
          <w:rFonts w:ascii="宋体" w:hAnsi="宋体"/>
          <w:color w:val="000000"/>
        </w:rPr>
      </w:pPr>
      <w:r>
        <w:rPr>
          <w:rFonts w:hint="eastAsia" w:ascii="宋体" w:hAnsi="宋体"/>
          <w:color w:val="000000"/>
        </w:rPr>
        <w:t>如承包人使用了不符合设计、标准规范以及专用条款约定要求的材料设备，则应按工程师的指令负责修复、拆除或重新采购，并承担因此产生的费用，由此延误的工期不予顺延。</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05" w:name="_Toc34909043"/>
      <w: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132080</wp:posOffset>
                </wp:positionV>
                <wp:extent cx="571500" cy="457200"/>
                <wp:effectExtent l="0" t="0" r="1270" b="1270"/>
                <wp:wrapNone/>
                <wp:docPr id="152"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承包人不执行指令</w:t>
                            </w:r>
                          </w:p>
                        </w:txbxContent>
                      </wps:txbx>
                      <wps:bodyPr rot="0" vert="horz" wrap="square" lIns="0" tIns="36000" rIns="0" bIns="0" anchor="t" anchorCtr="0" upright="1">
                        <a:noAutofit/>
                      </wps:bodyPr>
                    </wps:wsp>
                  </a:graphicData>
                </a:graphic>
              </wp:anchor>
            </w:drawing>
          </mc:Choice>
          <mc:Fallback>
            <w:pict>
              <v:shape id="文本框 151" o:spid="_x0000_s1026" o:spt="202" type="#_x0000_t202" style="position:absolute;left:0pt;margin-left:0pt;margin-top:10.4pt;height:36pt;width:45pt;z-index:251839488;mso-width-relative:page;mso-height-relative:page;" fillcolor="#FFFFFF" filled="t" stroked="f" coordsize="21600,21600" o:gfxdata="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qP4dIA&#10;AAAFAQAADwAAAAAAAAABACAAAAAiAAAAZHJzL2Rvd25yZXYueG1sUEsBAhQAFAAAAAgAh07iQKZD&#10;lBIlAgAANQQAAA4AAAAAAAAAAQAgAAAAIQEAAGRycy9lMm9Eb2MueG1sUEsFBgAAAAAGAAYAWQEA&#10;ALgFA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承包人不执行指令</w:t>
                      </w:r>
                    </w:p>
                  </w:txbxContent>
                </v:textbox>
              </v:shape>
            </w:pict>
          </mc:Fallback>
        </mc:AlternateContent>
      </w:r>
      <w:r>
        <w:rPr>
          <w:rFonts w:hint="eastAsia" w:ascii="宋体" w:hAnsi="宋体"/>
          <w:b w:val="0"/>
          <w:color w:val="000000"/>
          <w:sz w:val="21"/>
        </w:rPr>
        <w:t>如承包人不执行22.2款工程师的指令，则发包人有权雇佣他人执行该指令，并向其支付有关费用。所有因此产生或伴随产生的费用</w:t>
      </w:r>
      <w:bookmarkEnd w:id="205"/>
      <w:r>
        <w:rPr>
          <w:rFonts w:hint="eastAsia" w:ascii="宋体" w:hAnsi="宋体"/>
          <w:b w:val="0"/>
          <w:color w:val="000000"/>
          <w:sz w:val="21"/>
        </w:rPr>
        <w:t>由承包人承担。</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167640</wp:posOffset>
                </wp:positionV>
                <wp:extent cx="571500" cy="228600"/>
                <wp:effectExtent l="0" t="0" r="1270" b="4445"/>
                <wp:wrapNone/>
                <wp:docPr id="151"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代用材料</w:t>
                            </w:r>
                          </w:p>
                        </w:txbxContent>
                      </wps:txbx>
                      <wps:bodyPr rot="0" vert="horz" wrap="square" lIns="0" tIns="18000" rIns="0" bIns="0" anchor="t" anchorCtr="0" upright="1">
                        <a:noAutofit/>
                      </wps:bodyPr>
                    </wps:wsp>
                  </a:graphicData>
                </a:graphic>
              </wp:anchor>
            </w:drawing>
          </mc:Choice>
          <mc:Fallback>
            <w:pict>
              <v:shape id="文本框 150" o:spid="_x0000_s1026" o:spt="202" type="#_x0000_t202" style="position:absolute;left:0pt;margin-left:0pt;margin-top:13.2pt;height:18pt;width:45pt;z-index:251731968;mso-width-relative:page;mso-height-relative:page;" fillcolor="#FFFFFF" filled="t" stroked="f" coordsize="21600,21600" o:gfxdata="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bBU&#10;8tYAAAAFAQAADwAAAAAAAAABACAAAAAiAAAAZHJzL2Rvd25yZXYueG1sUEsBAhQAFAAAAAgAh07i&#10;QAKXwO4kAgAANQQAAA4AAAAAAAAAAQAgAAAAJQEAAGRycy9lMm9Eb2MueG1sUEsFBgAAAAAGAAYA&#10;WQEAALsFA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代用材料</w:t>
                      </w:r>
                    </w:p>
                  </w:txbxContent>
                </v:textbox>
              </v:shape>
            </w:pict>
          </mc:Fallback>
        </mc:AlternateContent>
      </w:r>
      <w:r>
        <w:rPr>
          <w:rFonts w:hint="eastAsia" w:ascii="宋体" w:hAnsi="宋体"/>
          <w:b w:val="0"/>
          <w:color w:val="000000"/>
          <w:sz w:val="21"/>
        </w:rPr>
        <w:t>承包人需要使用代用材料时，应提前向工程师提出申请，经工程师确认报发包人同意后方可使用</w:t>
      </w:r>
      <w:bookmarkEnd w:id="204"/>
      <w:r>
        <w:rPr>
          <w:rFonts w:hint="eastAsia" w:ascii="宋体" w:hAnsi="宋体"/>
          <w:b w:val="0"/>
          <w:color w:val="000000"/>
          <w:sz w:val="21"/>
        </w:rPr>
        <w:t>，因此增减的合同价款和产生的费用的承担，发、承包双方以书面形式约定。</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06" w:name="_Toc34909054"/>
      <w: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121920</wp:posOffset>
                </wp:positionV>
                <wp:extent cx="571500" cy="228600"/>
                <wp:effectExtent l="0" t="4445" r="1270" b="0"/>
                <wp:wrapNone/>
                <wp:docPr id="150"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货物运输</w:t>
                            </w:r>
                          </w:p>
                        </w:txbxContent>
                      </wps:txbx>
                      <wps:bodyPr rot="0" vert="horz" wrap="square" lIns="0" tIns="54000" rIns="0" bIns="0" anchor="t" anchorCtr="0" upright="1">
                        <a:noAutofit/>
                      </wps:bodyPr>
                    </wps:wsp>
                  </a:graphicData>
                </a:graphic>
              </wp:anchor>
            </w:drawing>
          </mc:Choice>
          <mc:Fallback>
            <w:pict>
              <v:shape id="文本框 149" o:spid="_x0000_s1026" o:spt="202" type="#_x0000_t202" style="position:absolute;left:0pt;margin-left:0pt;margin-top:9.6pt;height:18pt;width:45pt;z-index:251732992;mso-width-relative:page;mso-height-relative:page;" fillcolor="#FFFFFF" filled="t" stroked="f" coordsize="21600,21600" o:gfxdata="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MP&#10;MtYAAAAFAQAADwAAAAAAAAABACAAAAAiAAAAZHJzL2Rvd25yZXYueG1sUEsBAhQAFAAAAAgAh07i&#10;QEPTc3skAgAANQQAAA4AAAAAAAAAAQAgAAAAJQEAAGRycy9lMm9Eb2MueG1sUEsFBgAAAAAGAAYA&#10;WQEAALsFAAAAAA==&#10;">
                <v:fill on="t" focussize="0,0"/>
                <v:stroke on="f"/>
                <v:imagedata o:title=""/>
                <o:lock v:ext="edit" aspectratio="f"/>
                <v:textbox inset="0mm,1.5mm,0mm,0mm">
                  <w:txbxContent>
                    <w:p>
                      <w:pPr>
                        <w:rPr>
                          <w:rFonts w:ascii="楷体_GB2312" w:eastAsia="楷体_GB2312"/>
                        </w:rPr>
                      </w:pPr>
                      <w:r>
                        <w:rPr>
                          <w:rFonts w:hint="eastAsia" w:ascii="楷体_GB2312" w:hAnsi="宋体" w:eastAsia="楷体_GB2312"/>
                        </w:rPr>
                        <w:t>货物运输</w:t>
                      </w:r>
                    </w:p>
                  </w:txbxContent>
                </v:textbox>
              </v:shape>
            </w:pict>
          </mc:Fallback>
        </mc:AlternateContent>
      </w:r>
      <w:r>
        <w:rPr>
          <w:rFonts w:hint="eastAsia" w:ascii="宋体" w:hAnsi="宋体"/>
          <w:b w:val="0"/>
          <w:color w:val="000000"/>
          <w:sz w:val="21"/>
        </w:rPr>
        <w:t>承包人应负责其采购的所有材料设备的包装、运输、接收、装卸、存储和保护，并承担因货物运输引起的民事和(或)刑事责任。</w:t>
      </w:r>
      <w:bookmarkEnd w:id="20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38464" behindDoc="0" locked="0" layoutInCell="1" allowOverlap="1">
                <wp:simplePos x="0" y="0"/>
                <wp:positionH relativeFrom="column">
                  <wp:posOffset>0</wp:posOffset>
                </wp:positionH>
                <wp:positionV relativeFrom="paragraph">
                  <wp:posOffset>20955</wp:posOffset>
                </wp:positionV>
                <wp:extent cx="571500" cy="196850"/>
                <wp:effectExtent l="0" t="1905" r="0" b="1270"/>
                <wp:wrapNone/>
                <wp:docPr id="149"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571500" cy="19685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不得指定</w:t>
                            </w:r>
                          </w:p>
                        </w:txbxContent>
                      </wps:txbx>
                      <wps:bodyPr rot="0" vert="horz" wrap="square" lIns="0" tIns="0" rIns="0" bIns="0" anchor="t" anchorCtr="0" upright="1">
                        <a:noAutofit/>
                      </wps:bodyPr>
                    </wps:wsp>
                  </a:graphicData>
                </a:graphic>
              </wp:anchor>
            </w:drawing>
          </mc:Choice>
          <mc:Fallback>
            <w:pict>
              <v:shape id="文本框 148" o:spid="_x0000_s1026" o:spt="202" type="#_x0000_t202" style="position:absolute;left:0pt;margin-left:0pt;margin-top:1.65pt;height:15.5pt;width:45pt;z-index:251838464;mso-width-relative:page;mso-height-relative:page;" fillcolor="#FFFFFF" filled="t" stroked="f" coordsize="21600,21600" o:gfxdata="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NdOIx0wAA&#10;AAQBAAAPAAAAAAAAAAEAIAAAACIAAABkcnMvZG93bnJldi54bWxQSwECFAAUAAAACACHTuJALlkY&#10;jiMCAAAxBAAADgAAAAAAAAABACAAAAAi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不得指定</w:t>
                      </w:r>
                    </w:p>
                  </w:txbxContent>
                </v:textbox>
              </v:shape>
            </w:pict>
          </mc:Fallback>
        </mc:AlternateContent>
      </w:r>
      <w:r>
        <w:rPr>
          <w:rFonts w:hint="eastAsia" w:ascii="宋体" w:hAnsi="宋体"/>
          <w:b w:val="0"/>
          <w:color w:val="000000"/>
          <w:sz w:val="21"/>
        </w:rPr>
        <w:t>由承包人采购的材料设备，发包人不得指定生产厂家或供应商。</w:t>
      </w:r>
    </w:p>
    <w:p>
      <w:pPr>
        <w:pStyle w:val="2"/>
        <w:keepLines w:val="0"/>
        <w:tabs>
          <w:tab w:val="left" w:pos="1620"/>
          <w:tab w:val="left" w:pos="2340"/>
        </w:tabs>
        <w:ind w:left="945" w:leftChars="450"/>
        <w:rPr>
          <w:rFonts w:hAnsi="宋体"/>
          <w:color w:val="000000"/>
          <w:sz w:val="28"/>
          <w:szCs w:val="28"/>
        </w:rPr>
      </w:pPr>
      <w:bookmarkStart w:id="207" w:name="_Toc35656481"/>
      <w:bookmarkStart w:id="208" w:name="_Toc35656983"/>
      <w:bookmarkStart w:id="209" w:name="_Toc34909031"/>
      <w:r>
        <w:rPr>
          <w:rFonts w:hint="eastAsia" w:hAnsi="宋体"/>
          <w:color w:val="000000"/>
          <w:sz w:val="28"/>
          <w:szCs w:val="28"/>
        </w:rPr>
        <w:t>材料设备的</w:t>
      </w:r>
      <w:bookmarkEnd w:id="207"/>
      <w:bookmarkEnd w:id="208"/>
      <w:bookmarkEnd w:id="209"/>
      <w:r>
        <w:rPr>
          <w:rFonts w:hint="eastAsia" w:hAnsi="宋体"/>
          <w:color w:val="000000"/>
          <w:sz w:val="28"/>
          <w:szCs w:val="28"/>
        </w:rPr>
        <w:t>检验</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10" w:name="_Toc34909032"/>
      <w:r>
        <mc:AlternateContent>
          <mc:Choice Requires="wps">
            <w:drawing>
              <wp:anchor distT="0" distB="0" distL="114300" distR="114300" simplePos="0" relativeHeight="251833344" behindDoc="0" locked="0" layoutInCell="1" allowOverlap="1">
                <wp:simplePos x="0" y="0"/>
                <wp:positionH relativeFrom="column">
                  <wp:posOffset>0</wp:posOffset>
                </wp:positionH>
                <wp:positionV relativeFrom="paragraph">
                  <wp:posOffset>17145</wp:posOffset>
                </wp:positionV>
                <wp:extent cx="571500" cy="363220"/>
                <wp:effectExtent l="0" t="0" r="0" b="635"/>
                <wp:wrapNone/>
                <wp:docPr id="148"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571500" cy="36322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材料和设备的检验</w:t>
                            </w:r>
                          </w:p>
                        </w:txbxContent>
                      </wps:txbx>
                      <wps:bodyPr rot="0" vert="horz" wrap="square" lIns="0" tIns="0" rIns="0" bIns="0" anchor="t" anchorCtr="0" upright="1">
                        <a:noAutofit/>
                      </wps:bodyPr>
                    </wps:wsp>
                  </a:graphicData>
                </a:graphic>
              </wp:anchor>
            </w:drawing>
          </mc:Choice>
          <mc:Fallback>
            <w:pict>
              <v:shape id="文本框 147" o:spid="_x0000_s1026" o:spt="202" type="#_x0000_t202" style="position:absolute;left:0pt;margin-left:0pt;margin-top:1.35pt;height:28.6pt;width:45pt;z-index:251833344;mso-width-relative:page;mso-height-relative:page;" fillcolor="#FFFFFF" filled="t" stroked="f" coordsize="21600,21600" o:gfxdata="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l63ER1AAA&#10;AAQBAAAPAAAAAAAAAAEAIAAAACIAAABkcnMvZG93bnJldi54bWxQSwECFAAUAAAACACHTuJA7xSU&#10;+SICAAAx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材料和设备的检验</w:t>
                      </w:r>
                    </w:p>
                  </w:txbxContent>
                </v:textbox>
              </v:shape>
            </w:pict>
          </mc:Fallback>
        </mc:AlternateContent>
      </w:r>
      <w:r>
        <w:rPr>
          <w:rFonts w:hint="eastAsia" w:ascii="宋体" w:hAnsi="宋体"/>
          <w:b w:val="0"/>
          <w:color w:val="000000"/>
          <w:sz w:val="21"/>
        </w:rPr>
        <w:t>本工程一切材料设备在</w:t>
      </w:r>
      <w:bookmarkEnd w:id="210"/>
      <w:bookmarkStart w:id="211" w:name="_Toc34909033"/>
      <w:r>
        <w:rPr>
          <w:rFonts w:hint="eastAsia" w:ascii="宋体" w:hAnsi="宋体"/>
          <w:b w:val="0"/>
          <w:color w:val="000000"/>
          <w:sz w:val="21"/>
        </w:rPr>
        <w:t>用于本工程之前，均应按照法律、法规、规章和有关标准、规范的规定以及本合同的约定，在工程师的监督、见证下，由承包人负责取样并送有资质的检验机构进行检验，不合格的不得使用。</w:t>
      </w:r>
      <w:bookmarkEnd w:id="211"/>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42560" behindDoc="0" locked="0" layoutInCell="1" allowOverlap="1">
                <wp:simplePos x="0" y="0"/>
                <wp:positionH relativeFrom="column">
                  <wp:posOffset>0</wp:posOffset>
                </wp:positionH>
                <wp:positionV relativeFrom="paragraph">
                  <wp:posOffset>142875</wp:posOffset>
                </wp:positionV>
                <wp:extent cx="571500" cy="228600"/>
                <wp:effectExtent l="0" t="0" r="0" b="0"/>
                <wp:wrapNone/>
                <wp:docPr id="147"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检验内容</w:t>
                            </w:r>
                          </w:p>
                        </w:txbxContent>
                      </wps:txbx>
                      <wps:bodyPr rot="0" vert="horz" wrap="square" lIns="0" tIns="36000" rIns="0" bIns="0" anchor="t" anchorCtr="0" upright="1">
                        <a:noAutofit/>
                      </wps:bodyPr>
                    </wps:wsp>
                  </a:graphicData>
                </a:graphic>
              </wp:anchor>
            </w:drawing>
          </mc:Choice>
          <mc:Fallback>
            <w:pict>
              <v:shape id="文本框 146" o:spid="_x0000_s1026" o:spt="202" type="#_x0000_t202" style="position:absolute;left:0pt;margin-left:0pt;margin-top:11.25pt;height:18pt;width:45pt;z-index:251842560;mso-width-relative:page;mso-height-relative:page;" fillcolor="#FFFFFF" filled="t" stroked="f" coordsize="21600,21600" o:gfxdata="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cda8rT&#10;AAAABQEAAA8AAAAAAAAAAQAgAAAAIgAAAGRycy9kb3ducmV2LnhtbFBLAQIUABQAAAAIAIdO4kBz&#10;I94mJQIAADUEAAAOAAAAAAAAAAEAIAAAACIBAABkcnMvZTJvRG9jLnhtbFBLBQYAAAAABgAGAFkB&#10;AAC5BQ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检验内容</w:t>
                      </w:r>
                    </w:p>
                  </w:txbxContent>
                </v:textbox>
              </v:shape>
            </w:pict>
          </mc:Fallback>
        </mc:AlternateContent>
      </w:r>
      <w:r>
        <w:rPr>
          <w:rFonts w:hint="eastAsia" w:ascii="宋体" w:hAnsi="宋体"/>
          <w:b w:val="0"/>
          <w:color w:val="000000"/>
          <w:sz w:val="21"/>
        </w:rPr>
        <w:t>材料设备的检验时间和地点、取样办法、检验频次和内容由承包人根据法律、法规、规章和有关标准、规范的规定以及本合同的约定提出，报工程师确认后施行。</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12" w:name="_Toc34909035"/>
      <w:r>
        <mc:AlternateContent>
          <mc:Choice Requires="wps">
            <w:drawing>
              <wp:anchor distT="0" distB="0" distL="114300" distR="114300" simplePos="0" relativeHeight="251834368" behindDoc="0" locked="0" layoutInCell="1" allowOverlap="1">
                <wp:simplePos x="0" y="0"/>
                <wp:positionH relativeFrom="column">
                  <wp:posOffset>0</wp:posOffset>
                </wp:positionH>
                <wp:positionV relativeFrom="paragraph">
                  <wp:posOffset>120650</wp:posOffset>
                </wp:positionV>
                <wp:extent cx="571500" cy="294005"/>
                <wp:effectExtent l="0" t="0" r="0" b="4445"/>
                <wp:wrapNone/>
                <wp:docPr id="146"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571500" cy="29400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color w:val="000000"/>
                              </w:rPr>
                              <w:t>检验</w:t>
                            </w:r>
                            <w:r>
                              <w:rPr>
                                <w:rFonts w:hint="eastAsia" w:ascii="楷体_GB2312" w:hAnsi="宋体" w:eastAsia="楷体_GB2312"/>
                              </w:rPr>
                              <w:t>费用</w:t>
                            </w:r>
                          </w:p>
                        </w:txbxContent>
                      </wps:txbx>
                      <wps:bodyPr rot="0" vert="horz" wrap="square" lIns="0" tIns="54000" rIns="0" bIns="0" anchor="t" anchorCtr="0" upright="1">
                        <a:noAutofit/>
                      </wps:bodyPr>
                    </wps:wsp>
                  </a:graphicData>
                </a:graphic>
              </wp:anchor>
            </w:drawing>
          </mc:Choice>
          <mc:Fallback>
            <w:pict>
              <v:shape id="文本框 145" o:spid="_x0000_s1026" o:spt="202" type="#_x0000_t202" style="position:absolute;left:0pt;margin-left:0pt;margin-top:9.5pt;height:23.15pt;width:45pt;z-index:251834368;mso-width-relative:page;mso-height-relative:page;" fillcolor="#FFFFFF" filled="t" stroked="f" coordsize="21600,21600" o:gfxdata="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6L7a1gAAAAUBAAAPAAAAAAAAAAEAIAAAACIAAABkcnMvZG93bnJldi54bWxQSwECFAAUAAAACACH&#10;TuJAblz7FiYCAAA1BAAADgAAAAAAAAABACAAAAAlAQAAZHJzL2Uyb0RvYy54bWxQSwUGAAAAAAYA&#10;BgBZAQAAvQUAAAAA&#10;">
                <v:fill on="t" focussize="0,0"/>
                <v:stroke on="f"/>
                <v:imagedata o:title=""/>
                <o:lock v:ext="edit" aspectratio="f"/>
                <v:textbox inset="0mm,1.5mm,0mm,0mm">
                  <w:txbxContent>
                    <w:p>
                      <w:pPr>
                        <w:rPr>
                          <w:rFonts w:ascii="楷体_GB2312" w:eastAsia="楷体_GB2312"/>
                        </w:rPr>
                      </w:pPr>
                      <w:r>
                        <w:rPr>
                          <w:rFonts w:hint="eastAsia" w:ascii="楷体_GB2312" w:hAnsi="宋体" w:eastAsia="楷体_GB2312"/>
                          <w:color w:val="000000"/>
                        </w:rPr>
                        <w:t>检验</w:t>
                      </w:r>
                      <w:r>
                        <w:rPr>
                          <w:rFonts w:hint="eastAsia" w:ascii="楷体_GB2312" w:hAnsi="宋体" w:eastAsia="楷体_GB2312"/>
                        </w:rPr>
                        <w:t>费用</w:t>
                      </w:r>
                    </w:p>
                  </w:txbxContent>
                </v:textbox>
              </v:shape>
            </w:pict>
          </mc:Fallback>
        </mc:AlternateContent>
      </w:r>
      <w:r>
        <w:rPr>
          <w:rFonts w:hint="eastAsia" w:ascii="宋体" w:hAnsi="宋体"/>
          <w:b w:val="0"/>
          <w:color w:val="000000"/>
          <w:sz w:val="21"/>
        </w:rPr>
        <w:t>拟用于建设工程的材料设备应当经检验合格后使用。除专用条款另有约定，发包人供应的材料设备的检验费用由发包人承担；承包人采购的材料设备检验费用由承包人承担。发包人对具有出厂合格证明材料设备的检验，各种材料的破坏性检验及其他特殊要求的检验如经检验合格的，检验费用由发包人承担</w:t>
      </w:r>
      <w:bookmarkEnd w:id="212"/>
      <w:r>
        <w:rPr>
          <w:rFonts w:hint="eastAsia" w:ascii="宋体" w:hAnsi="宋体"/>
          <w:b w:val="0"/>
          <w:color w:val="000000"/>
          <w:sz w:val="21"/>
        </w:rPr>
        <w:t>；</w:t>
      </w:r>
      <w:bookmarkStart w:id="213" w:name="_Toc34909036"/>
      <w:r>
        <w:rPr>
          <w:rFonts w:hint="eastAsia" w:ascii="宋体" w:hAnsi="宋体"/>
          <w:b w:val="0"/>
          <w:color w:val="000000"/>
          <w:sz w:val="21"/>
        </w:rPr>
        <w:t>若检验不合格且为承包人采购的材料设备，检验费用由承包人承担。</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r>
        <mc:AlternateContent>
          <mc:Choice Requires="wps">
            <w:drawing>
              <wp:anchor distT="0" distB="0" distL="114300" distR="114300" simplePos="0" relativeHeight="251835392" behindDoc="0" locked="0" layoutInCell="1" allowOverlap="1">
                <wp:simplePos x="0" y="0"/>
                <wp:positionH relativeFrom="column">
                  <wp:posOffset>0</wp:posOffset>
                </wp:positionH>
                <wp:positionV relativeFrom="paragraph">
                  <wp:posOffset>132080</wp:posOffset>
                </wp:positionV>
                <wp:extent cx="571500" cy="236855"/>
                <wp:effectExtent l="0" t="0" r="0" b="2540"/>
                <wp:wrapNone/>
                <wp:docPr id="145"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571500" cy="23685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再次</w:t>
                            </w:r>
                            <w:r>
                              <w:rPr>
                                <w:rFonts w:hint="eastAsia" w:ascii="楷体_GB2312" w:hAnsi="宋体"/>
                                <w:color w:val="000000"/>
                              </w:rPr>
                              <w:t>检验</w:t>
                            </w:r>
                          </w:p>
                        </w:txbxContent>
                      </wps:txbx>
                      <wps:bodyPr rot="0" vert="horz" wrap="square" lIns="0" tIns="36000" rIns="0" bIns="0" anchor="t" anchorCtr="0" upright="1">
                        <a:noAutofit/>
                      </wps:bodyPr>
                    </wps:wsp>
                  </a:graphicData>
                </a:graphic>
              </wp:anchor>
            </w:drawing>
          </mc:Choice>
          <mc:Fallback>
            <w:pict>
              <v:shape id="文本框 144" o:spid="_x0000_s1026" o:spt="202" type="#_x0000_t202" style="position:absolute;left:0pt;margin-left:0pt;margin-top:10.4pt;height:18.65pt;width:45pt;z-index:251835392;mso-width-relative:page;mso-height-relative:page;" fillcolor="#FFFFFF" filled="t" stroked="f" coordsize="21600,21600" o:gfxdata="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VrS&#10;X9IAAAAFAQAADwAAAAAAAAABACAAAAAiAAAAZHJzL2Rvd25yZXYueG1sUEsBAhQAFAAAAAgAh07i&#10;QMZhXKIoAgAANQQAAA4AAAAAAAAAAQAgAAAAIQEAAGRycy9lMm9Eb2MueG1sUEsFBgAAAAAGAAYA&#10;WQEAALsFA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再次</w:t>
                      </w:r>
                      <w:r>
                        <w:rPr>
                          <w:rFonts w:hint="eastAsia" w:ascii="楷体_GB2312" w:hAnsi="宋体"/>
                          <w:color w:val="000000"/>
                        </w:rPr>
                        <w:t>检验</w:t>
                      </w:r>
                    </w:p>
                  </w:txbxContent>
                </v:textbox>
              </v:shape>
            </w:pict>
          </mc:Fallback>
        </mc:AlternateContent>
      </w:r>
      <w:r>
        <w:rPr>
          <w:rFonts w:hint="eastAsia" w:ascii="宋体" w:hAnsi="宋体"/>
          <w:color w:val="000000"/>
          <w:kern w:val="0"/>
        </w:rPr>
        <w:t>如工程师认为需要，可要求对材料设备进行再次</w:t>
      </w:r>
      <w:r>
        <w:rPr>
          <w:rFonts w:hint="eastAsia" w:ascii="宋体" w:hAnsi="宋体"/>
          <w:bCs/>
          <w:color w:val="000000"/>
        </w:rPr>
        <w:t>检</w:t>
      </w:r>
      <w:r>
        <w:rPr>
          <w:rFonts w:hint="eastAsia" w:hAnsi="宋体"/>
          <w:color w:val="000000"/>
        </w:rPr>
        <w:t>测</w:t>
      </w:r>
      <w:r>
        <w:rPr>
          <w:rFonts w:hint="eastAsia" w:ascii="宋体" w:hAnsi="宋体"/>
          <w:bCs/>
          <w:color w:val="000000"/>
        </w:rPr>
        <w:t>。</w:t>
      </w:r>
      <w:r>
        <w:rPr>
          <w:rFonts w:hint="eastAsia" w:ascii="宋体" w:hAnsi="宋体"/>
          <w:color w:val="000000"/>
          <w:kern w:val="0"/>
        </w:rPr>
        <w:t>发包人供应的材料设备，再次</w:t>
      </w:r>
      <w:r>
        <w:rPr>
          <w:rFonts w:hint="eastAsia" w:ascii="宋体" w:hAnsi="宋体"/>
          <w:bCs/>
          <w:color w:val="000000"/>
        </w:rPr>
        <w:t>检</w:t>
      </w:r>
      <w:r>
        <w:rPr>
          <w:rFonts w:hint="eastAsia" w:hAnsi="宋体"/>
          <w:color w:val="000000"/>
        </w:rPr>
        <w:t>测</w:t>
      </w:r>
      <w:r>
        <w:rPr>
          <w:rFonts w:hint="eastAsia" w:ascii="宋体" w:hAnsi="宋体"/>
          <w:color w:val="000000"/>
          <w:kern w:val="0"/>
        </w:rPr>
        <w:t>费用由发包人承担。承包人采购的材料设备，如再次</w:t>
      </w:r>
      <w:r>
        <w:rPr>
          <w:rFonts w:hint="eastAsia" w:ascii="宋体" w:hAnsi="宋体"/>
          <w:bCs/>
          <w:color w:val="000000"/>
        </w:rPr>
        <w:t>检</w:t>
      </w:r>
      <w:r>
        <w:rPr>
          <w:rFonts w:hint="eastAsia" w:hAnsi="宋体"/>
          <w:color w:val="000000"/>
        </w:rPr>
        <w:t>测</w:t>
      </w:r>
      <w:r>
        <w:rPr>
          <w:rFonts w:hint="eastAsia" w:ascii="宋体" w:hAnsi="宋体"/>
          <w:color w:val="000000"/>
          <w:kern w:val="0"/>
        </w:rPr>
        <w:t>结果表明该材料设备不符合有关标准、规范的规定或本合同的约定，</w:t>
      </w:r>
      <w:r>
        <w:rPr>
          <w:rFonts w:hint="eastAsia" w:ascii="宋体" w:hAnsi="宋体"/>
          <w:bCs/>
          <w:color w:val="000000"/>
        </w:rPr>
        <w:t>检</w:t>
      </w:r>
      <w:r>
        <w:rPr>
          <w:rFonts w:hint="eastAsia" w:hAnsi="宋体"/>
          <w:color w:val="000000"/>
        </w:rPr>
        <w:t>测</w:t>
      </w:r>
      <w:r>
        <w:rPr>
          <w:rFonts w:hint="eastAsia" w:ascii="宋体" w:hAnsi="宋体"/>
          <w:color w:val="000000"/>
          <w:kern w:val="0"/>
        </w:rPr>
        <w:t>费用由承包人承担，否则由发包人承担。</w:t>
      </w:r>
      <w:bookmarkEnd w:id="213"/>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14" w:name="_Toc34909037"/>
      <w:r>
        <mc:AlternateContent>
          <mc:Choice Requires="wps">
            <w:drawing>
              <wp:anchor distT="0" distB="0" distL="114300" distR="114300" simplePos="0" relativeHeight="251836416" behindDoc="0" locked="0" layoutInCell="1" allowOverlap="1">
                <wp:simplePos x="0" y="0"/>
                <wp:positionH relativeFrom="column">
                  <wp:posOffset>0</wp:posOffset>
                </wp:positionH>
                <wp:positionV relativeFrom="paragraph">
                  <wp:posOffset>114935</wp:posOffset>
                </wp:positionV>
                <wp:extent cx="571500" cy="342900"/>
                <wp:effectExtent l="0" t="635" r="0" b="0"/>
                <wp:wrapNone/>
                <wp:docPr id="144"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随时检查</w:t>
                            </w:r>
                          </w:p>
                        </w:txbxContent>
                      </wps:txbx>
                      <wps:bodyPr rot="0" vert="horz" wrap="square" lIns="0" tIns="54000" rIns="0" bIns="0" anchor="t" anchorCtr="0" upright="1">
                        <a:noAutofit/>
                      </wps:bodyPr>
                    </wps:wsp>
                  </a:graphicData>
                </a:graphic>
              </wp:anchor>
            </w:drawing>
          </mc:Choice>
          <mc:Fallback>
            <w:pict>
              <v:shape id="文本框 143" o:spid="_x0000_s1026" o:spt="202" type="#_x0000_t202" style="position:absolute;left:0pt;margin-left:0pt;margin-top:9.05pt;height:27pt;width:45pt;z-index:251836416;mso-width-relative:page;mso-height-relative:page;" fillcolor="#FFFFFF" filled="t" stroked="f" coordsize="21600,21600" o:gfxdata="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cI&#10;eorVAAAABQEAAA8AAAAAAAAAAQAgAAAAIgAAAGRycy9kb3ducmV2LnhtbFBLAQIUABQAAAAIAIdO&#10;4kBHZwltJgIAADUEAAAOAAAAAAAAAAEAIAAAACQBAABkcnMvZTJvRG9jLnhtbFBLBQYAAAAABgAG&#10;AFkBAAC8BQAAAAA=&#10;">
                <v:fill on="t" focussize="0,0"/>
                <v:stroke on="f"/>
                <v:imagedata o:title=""/>
                <o:lock v:ext="edit" aspectratio="f"/>
                <v:textbox inset="0mm,1.5mm,0mm,0mm">
                  <w:txbxContent>
                    <w:p>
                      <w:pPr>
                        <w:rPr>
                          <w:rFonts w:ascii="楷体_GB2312" w:eastAsia="楷体_GB2312"/>
                        </w:rPr>
                      </w:pPr>
                      <w:r>
                        <w:rPr>
                          <w:rFonts w:hint="eastAsia" w:ascii="楷体_GB2312" w:hAnsi="宋体" w:eastAsia="楷体_GB2312"/>
                        </w:rPr>
                        <w:t>随时检查</w:t>
                      </w:r>
                    </w:p>
                  </w:txbxContent>
                </v:textbox>
              </v:shape>
            </w:pict>
          </mc:Fallback>
        </mc:AlternateContent>
      </w:r>
      <w:r>
        <w:rPr>
          <w:rFonts w:hint="eastAsia" w:ascii="宋体" w:hAnsi="宋体"/>
          <w:b w:val="0"/>
          <w:color w:val="000000"/>
          <w:sz w:val="21"/>
        </w:rPr>
        <w:t>工程师在一切合理的时间内均应能进入施工现场以及半成品的制造、加工或制配的所有车间和场所，承包人应为他们进入上述场所提供一切便利和协助。</w:t>
      </w:r>
      <w:bookmarkEnd w:id="214"/>
    </w:p>
    <w:p>
      <w:pPr>
        <w:pStyle w:val="2"/>
        <w:keepLines w:val="0"/>
        <w:numPr>
          <w:ilvl w:val="0"/>
          <w:numId w:val="0"/>
        </w:numPr>
        <w:tabs>
          <w:tab w:val="left" w:pos="1620"/>
          <w:tab w:val="left" w:pos="2340"/>
        </w:tabs>
        <w:ind w:left="945" w:leftChars="450"/>
        <w:rPr>
          <w:rFonts w:hAnsi="宋体"/>
          <w:color w:val="000000"/>
          <w:sz w:val="30"/>
        </w:rPr>
      </w:pPr>
      <w:bookmarkStart w:id="215" w:name="_Toc35656484"/>
      <w:bookmarkStart w:id="216" w:name="_Toc35656986"/>
      <w:bookmarkStart w:id="217" w:name="_Toc34909055"/>
      <w:r>
        <w:rPr>
          <w:rFonts w:hint="eastAsia" w:hAnsi="宋体"/>
          <w:color w:val="000000"/>
          <w:sz w:val="30"/>
        </w:rPr>
        <w:t>九、质量、安全和文明施工</w:t>
      </w:r>
      <w:bookmarkEnd w:id="215"/>
      <w:bookmarkEnd w:id="216"/>
      <w:bookmarkEnd w:id="217"/>
    </w:p>
    <w:p>
      <w:pPr>
        <w:pStyle w:val="2"/>
        <w:keepLines w:val="0"/>
        <w:tabs>
          <w:tab w:val="left" w:pos="1620"/>
          <w:tab w:val="left" w:pos="2340"/>
        </w:tabs>
        <w:ind w:left="945" w:leftChars="450"/>
        <w:rPr>
          <w:rFonts w:hAnsi="宋体"/>
          <w:color w:val="000000"/>
          <w:sz w:val="28"/>
          <w:szCs w:val="28"/>
        </w:rPr>
      </w:pPr>
      <w:bookmarkStart w:id="218" w:name="_Toc35656485"/>
      <w:bookmarkStart w:id="219" w:name="_Toc35656987"/>
      <w:bookmarkStart w:id="220" w:name="_Toc34909056"/>
      <w:r>
        <w:rPr>
          <w:sz w:val="28"/>
          <w:szCs w:val="28"/>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397510</wp:posOffset>
                </wp:positionV>
                <wp:extent cx="571500" cy="342900"/>
                <wp:effectExtent l="0" t="0" r="0" b="2540"/>
                <wp:wrapNone/>
                <wp:docPr id="143"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工程质量</w:t>
                            </w:r>
                          </w:p>
                        </w:txbxContent>
                      </wps:txbx>
                      <wps:bodyPr rot="0" vert="horz" wrap="square" lIns="0" tIns="54000" rIns="0" bIns="0" anchor="t" anchorCtr="0" upright="1">
                        <a:noAutofit/>
                      </wps:bodyPr>
                    </wps:wsp>
                  </a:graphicData>
                </a:graphic>
              </wp:anchor>
            </w:drawing>
          </mc:Choice>
          <mc:Fallback>
            <w:pict>
              <v:shape id="文本框 142" o:spid="_x0000_s1026" o:spt="202" type="#_x0000_t202" style="position:absolute;left:0pt;margin-left:0pt;margin-top:31.3pt;height:27pt;width:45pt;z-index:251734016;mso-width-relative:page;mso-height-relative:page;" fillcolor="#FFFFFF" filled="t" stroked="f" coordsize="21600,21600" o:gfxdata="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ID&#10;wJnVAAAABgEAAA8AAAAAAAAAAQAgAAAAIgAAAGRycy9kb3ducmV2LnhtbFBLAQIUABQAAAAIAIdO&#10;4kDChCfDJgIAADUEAAAOAAAAAAAAAAEAIAAAACQBAABkcnMvZTJvRG9jLnhtbFBLBQYAAAAABgAG&#10;AFkBAAC8BQAAAAA=&#10;">
                <v:fill on="t" focussize="0,0"/>
                <v:stroke on="f"/>
                <v:imagedata o:title=""/>
                <o:lock v:ext="edit" aspectratio="f"/>
                <v:textbox inset="0mm,1.5mm,0mm,0mm">
                  <w:txbxContent>
                    <w:p>
                      <w:pPr>
                        <w:rPr>
                          <w:rFonts w:ascii="楷体_GB2312" w:eastAsia="楷体_GB2312"/>
                        </w:rPr>
                      </w:pPr>
                      <w:r>
                        <w:rPr>
                          <w:rFonts w:hint="eastAsia" w:ascii="楷体_GB2312" w:eastAsia="楷体_GB2312"/>
                        </w:rPr>
                        <w:t>工程质量</w:t>
                      </w:r>
                    </w:p>
                  </w:txbxContent>
                </v:textbox>
              </v:shape>
            </w:pict>
          </mc:Fallback>
        </mc:AlternateContent>
      </w:r>
      <w:r>
        <w:rPr>
          <w:rFonts w:hint="eastAsia" w:hAnsi="宋体"/>
          <w:color w:val="000000"/>
          <w:sz w:val="28"/>
          <w:szCs w:val="28"/>
        </w:rPr>
        <w:t>工程质量和检测</w:t>
      </w:r>
      <w:bookmarkEnd w:id="218"/>
      <w:bookmarkEnd w:id="219"/>
      <w:bookmarkEnd w:id="220"/>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21" w:name="_Toc34909057"/>
      <w:r>
        <w:rPr>
          <w:rFonts w:hint="eastAsia" w:ascii="宋体" w:hAnsi="宋体"/>
          <w:b w:val="0"/>
          <w:color w:val="000000"/>
          <w:sz w:val="21"/>
        </w:rPr>
        <w:t>工程质量应达到本合同协议书中约定的质量标准。工程质量标准的评定应以本合同约定的标准、规范为依据。</w:t>
      </w:r>
      <w:bookmarkEnd w:id="221"/>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22" w:name="_Toc34909058"/>
      <w: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176530</wp:posOffset>
                </wp:positionV>
                <wp:extent cx="571500" cy="228600"/>
                <wp:effectExtent l="0" t="0" r="0" b="4445"/>
                <wp:wrapNone/>
                <wp:docPr id="142"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质量保证</w:t>
                            </w:r>
                          </w:p>
                        </w:txbxContent>
                      </wps:txbx>
                      <wps:bodyPr rot="0" vert="horz" wrap="square" lIns="0" tIns="0" rIns="0" bIns="0" anchor="t" anchorCtr="0" upright="1">
                        <a:noAutofit/>
                      </wps:bodyPr>
                    </wps:wsp>
                  </a:graphicData>
                </a:graphic>
              </wp:anchor>
            </w:drawing>
          </mc:Choice>
          <mc:Fallback>
            <w:pict>
              <v:shape id="文本框 141" o:spid="_x0000_s1026" o:spt="202" type="#_x0000_t202" style="position:absolute;left:0pt;margin-left:0pt;margin-top:13.9pt;height:18pt;width:45pt;z-index:251735040;mso-width-relative:page;mso-height-relative:page;" fillcolor="#FFFFFF" filled="t" stroked="f" coordsize="21600,21600" o:gfxdata="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TCcTtMAAAAF&#10;AQAADwAAAAAAAAABACAAAAAiAAAAZHJzL2Rvd25yZXYueG1sUEsBAhQAFAAAAAgAh07iQFBvF08h&#10;AgAAMQQAAA4AAAAAAAAAAQAgAAAAIg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质量保证</w:t>
                      </w:r>
                    </w:p>
                  </w:txbxContent>
                </v:textbox>
              </v:shape>
            </w:pict>
          </mc:Fallback>
        </mc:AlternateContent>
      </w:r>
      <w:r>
        <w:rPr>
          <w:rFonts w:hint="eastAsia" w:ascii="宋体" w:hAnsi="宋体"/>
          <w:b w:val="0"/>
          <w:color w:val="000000"/>
          <w:sz w:val="21"/>
        </w:rPr>
        <w:t>承包人应建立质量保证体系，该体系应符合本合同的约定。工程师有权对体系的任何方面进行审查。在每一设计和实施阶段开始前，工程师有权要求承包人向其提交所有程序和如何贯彻要求的文件。遵守质量保证体系不应解除合同约定的承包人的任何义务和职责。</w:t>
      </w:r>
      <w:bookmarkEnd w:id="222"/>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98880" behindDoc="0" locked="0" layoutInCell="1" allowOverlap="1">
                <wp:simplePos x="0" y="0"/>
                <wp:positionH relativeFrom="column">
                  <wp:posOffset>0</wp:posOffset>
                </wp:positionH>
                <wp:positionV relativeFrom="paragraph">
                  <wp:posOffset>180340</wp:posOffset>
                </wp:positionV>
                <wp:extent cx="571500" cy="342900"/>
                <wp:effectExtent l="0" t="0" r="0" b="635"/>
                <wp:wrapNone/>
                <wp:docPr id="141"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color w:val="000000"/>
                              </w:rPr>
                            </w:pPr>
                            <w:r>
                              <w:rPr>
                                <w:rFonts w:hint="eastAsia" w:ascii="楷体_GB2312" w:hAnsi="宋体" w:eastAsia="楷体_GB2312"/>
                                <w:color w:val="000000"/>
                              </w:rPr>
                              <w:t>工程检测费分担</w:t>
                            </w:r>
                          </w:p>
                        </w:txbxContent>
                      </wps:txbx>
                      <wps:bodyPr rot="0" vert="horz" wrap="square" lIns="0" tIns="0" rIns="0" bIns="0" anchor="t" anchorCtr="0" upright="1">
                        <a:noAutofit/>
                      </wps:bodyPr>
                    </wps:wsp>
                  </a:graphicData>
                </a:graphic>
              </wp:anchor>
            </w:drawing>
          </mc:Choice>
          <mc:Fallback>
            <w:pict>
              <v:shape id="文本框 140" o:spid="_x0000_s1026" o:spt="202" type="#_x0000_t202" style="position:absolute;left:0pt;margin-left:0pt;margin-top:14.2pt;height:27pt;width:45pt;z-index:251898880;mso-width-relative:page;mso-height-relative:page;" fillcolor="#FFFFFF" filled="t" stroked="f" coordsize="21600,21600" o:gfxdata="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h3MnbUAAAA&#10;BQEAAA8AAAAAAAAAAQAgAAAAIgAAAGRycy9kb3ducmV2LnhtbFBLAQIUABQAAAAIAIdO4kDSLJxh&#10;IQIAADEEAAAOAAAAAAAAAAEAIAAAACMBAABkcnMvZTJvRG9jLnhtbFBLBQYAAAAABgAGAFkBAAC2&#10;BQAAAAA=&#10;">
                <v:fill on="t" focussize="0,0"/>
                <v:stroke on="f"/>
                <v:imagedata o:title=""/>
                <o:lock v:ext="edit" aspectratio="f"/>
                <v:textbox inset="0mm,0mm,0mm,0mm">
                  <w:txbxContent>
                    <w:p>
                      <w:pPr>
                        <w:rPr>
                          <w:rFonts w:ascii="楷体_GB2312" w:eastAsia="楷体_GB2312"/>
                          <w:color w:val="000000"/>
                        </w:rPr>
                      </w:pPr>
                      <w:r>
                        <w:rPr>
                          <w:rFonts w:hint="eastAsia" w:ascii="楷体_GB2312" w:hAnsi="宋体" w:eastAsia="楷体_GB2312"/>
                          <w:color w:val="000000"/>
                        </w:rPr>
                        <w:t>工程检测费分担</w:t>
                      </w:r>
                    </w:p>
                  </w:txbxContent>
                </v:textbox>
              </v:shape>
            </w:pict>
          </mc:Fallback>
        </mc:AlternateContent>
      </w:r>
      <w:r>
        <w:rPr>
          <w:rFonts w:hint="eastAsia" w:ascii="宋体" w:hAnsi="宋体"/>
          <w:b w:val="0"/>
          <w:color w:val="000000"/>
          <w:sz w:val="21"/>
        </w:rPr>
        <w:t>发包人应承担已完的建筑物（构筑物）或其中的分部分项工程的检测费用。因承包人原因导致检测结果不合格的，承包人承担本次检测的所有检测费用，并无偿返工、修复。</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23" w:name="_Toc34909059"/>
      <w: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173990</wp:posOffset>
                </wp:positionV>
                <wp:extent cx="571500" cy="708025"/>
                <wp:effectExtent l="0" t="2540" r="0" b="3810"/>
                <wp:wrapNone/>
                <wp:docPr id="140"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571500" cy="70802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承包人在质量控制方面的责任</w:t>
                            </w:r>
                          </w:p>
                        </w:txbxContent>
                      </wps:txbx>
                      <wps:bodyPr rot="0" vert="horz" wrap="square" lIns="0" tIns="0" rIns="0" bIns="0" anchor="t" anchorCtr="0" upright="1">
                        <a:noAutofit/>
                      </wps:bodyPr>
                    </wps:wsp>
                  </a:graphicData>
                </a:graphic>
              </wp:anchor>
            </w:drawing>
          </mc:Choice>
          <mc:Fallback>
            <w:pict>
              <v:shape id="文本框 139" o:spid="_x0000_s1026" o:spt="202" type="#_x0000_t202" style="position:absolute;left:0pt;margin-left:0pt;margin-top:13.7pt;height:55.75pt;width:45pt;z-index:251736064;mso-width-relative:page;mso-height-relative:page;" fillcolor="#FFFFFF" filled="t" stroked="f" coordsize="21600,21600" o:gfxdata="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YPqGLV&#10;AAAABgEAAA8AAAAAAAAAAQAgAAAAIgAAAGRycy9kb3ducmV2LnhtbFBLAQIUABQAAAAIAIdO4kAe&#10;OsE4IwIAADEEAAAOAAAAAAAAAAEAIAAAACQBAABkcnMvZTJvRG9jLnhtbFBLBQYAAAAABgAGAFkB&#10;AAC5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承包人在质量控制方面的责任</w:t>
                      </w:r>
                    </w:p>
                  </w:txbxContent>
                </v:textbox>
              </v:shape>
            </w:pict>
          </mc:Fallback>
        </mc:AlternateContent>
      </w:r>
      <w:r>
        <w:rPr>
          <w:rFonts w:hint="eastAsia" w:ascii="宋体" w:hAnsi="宋体"/>
          <w:b w:val="0"/>
          <w:color w:val="000000"/>
          <w:sz w:val="21"/>
        </w:rPr>
        <w:t>承包人就本工程的工程质量向发包人负责，其职责包括但不限于下列内容：</w:t>
      </w:r>
      <w:bookmarkEnd w:id="223"/>
    </w:p>
    <w:p>
      <w:pPr>
        <w:tabs>
          <w:tab w:val="left" w:pos="1620"/>
          <w:tab w:val="left" w:pos="2340"/>
        </w:tabs>
        <w:ind w:left="1449" w:leftChars="690"/>
        <w:rPr>
          <w:rFonts w:ascii="宋体" w:hAnsi="宋体"/>
          <w:color w:val="000000"/>
        </w:rPr>
      </w:pPr>
      <w:r>
        <w:rPr>
          <w:rFonts w:hint="eastAsia" w:ascii="宋体" w:hAnsi="宋体"/>
          <w:color w:val="000000"/>
        </w:rPr>
        <w:t>⑴编制和审查施工技术方案，确定特殊工程的施工技术措施，制定工程质量保证体系，虽然这些方案和措施须经工程师审批，但并不免除承包人的责任；</w:t>
      </w:r>
    </w:p>
    <w:p>
      <w:pPr>
        <w:widowControl/>
        <w:ind w:left="1449" w:leftChars="690"/>
        <w:jc w:val="left"/>
        <w:rPr>
          <w:rFonts w:ascii="宋体" w:hAnsi="宋体"/>
          <w:color w:val="000000"/>
        </w:rPr>
      </w:pPr>
      <w:r>
        <w:rPr>
          <w:rFonts w:hint="eastAsia" w:ascii="宋体" w:hAnsi="宋体"/>
          <w:color w:val="000000"/>
        </w:rPr>
        <w:t>⑵提供和组织足够的工程质量控制和</w:t>
      </w:r>
      <w:r>
        <w:rPr>
          <w:rFonts w:hint="eastAsia" w:ascii="宋体" w:hAnsi="宋体"/>
          <w:color w:val="000000"/>
          <w:kern w:val="0"/>
        </w:rPr>
        <w:t>检</w:t>
      </w:r>
      <w:r>
        <w:rPr>
          <w:rFonts w:hint="eastAsia" w:hAnsi="宋体"/>
          <w:color w:val="000000"/>
        </w:rPr>
        <w:t>测</w:t>
      </w:r>
      <w:r>
        <w:rPr>
          <w:rFonts w:hint="eastAsia" w:ascii="宋体" w:hAnsi="宋体"/>
          <w:color w:val="000000"/>
        </w:rPr>
        <w:t>人员，检查和控制工程施工质量；</w:t>
      </w:r>
    </w:p>
    <w:p>
      <w:pPr>
        <w:tabs>
          <w:tab w:val="left" w:pos="1620"/>
          <w:tab w:val="left" w:pos="2340"/>
        </w:tabs>
        <w:ind w:left="1449" w:leftChars="690"/>
        <w:rPr>
          <w:rFonts w:ascii="宋体" w:hAnsi="宋体"/>
          <w:color w:val="000000"/>
        </w:rPr>
      </w:pPr>
      <w:r>
        <w:rPr>
          <w:rFonts w:hint="eastAsia" w:ascii="宋体" w:hAnsi="宋体"/>
          <w:color w:val="000000"/>
        </w:rPr>
        <w:t>⑶控制施工所用的材料、设备包括承包人、分包人采购的材料、设备，使其不低于标准、规范、设计文件和合同约定的标准；</w:t>
      </w:r>
    </w:p>
    <w:p>
      <w:pPr>
        <w:tabs>
          <w:tab w:val="left" w:pos="1620"/>
          <w:tab w:val="left" w:pos="2340"/>
        </w:tabs>
        <w:ind w:left="1449" w:leftChars="690"/>
        <w:rPr>
          <w:rFonts w:ascii="宋体" w:hAnsi="宋体"/>
          <w:color w:val="000000"/>
        </w:rPr>
      </w:pPr>
      <w:r>
        <w:rPr>
          <w:rFonts w:hint="eastAsia" w:ascii="宋体" w:hAnsi="宋体"/>
          <w:color w:val="000000"/>
        </w:rPr>
        <w:t>⑷参加所有工程的验收工作，包括隐蔽验收、中间验收和竣工验收，并组织分包人参加工程竣工验收；</w:t>
      </w:r>
    </w:p>
    <w:p>
      <w:pPr>
        <w:tabs>
          <w:tab w:val="left" w:pos="1620"/>
          <w:tab w:val="left" w:pos="2340"/>
        </w:tabs>
        <w:ind w:left="1449" w:leftChars="690"/>
        <w:rPr>
          <w:rFonts w:ascii="宋体" w:hAnsi="宋体"/>
          <w:color w:val="000000"/>
        </w:rPr>
      </w:pPr>
      <w:r>
        <w:rPr>
          <w:rFonts w:hint="eastAsia" w:ascii="宋体" w:hAnsi="宋体"/>
          <w:color w:val="000000"/>
        </w:rPr>
        <w:t>⑸负责组织分包人共同承担缺陷责任期的工程保修责任；</w:t>
      </w:r>
    </w:p>
    <w:p>
      <w:pPr>
        <w:tabs>
          <w:tab w:val="left" w:pos="1620"/>
          <w:tab w:val="left" w:pos="2340"/>
        </w:tabs>
        <w:ind w:left="1453" w:leftChars="675" w:hanging="35" w:hangingChars="17"/>
        <w:rPr>
          <w:rFonts w:ascii="宋体" w:hAnsi="宋体"/>
          <w:color w:val="000000"/>
        </w:rPr>
      </w:pPr>
      <w:r>
        <w:rPr>
          <w:rFonts w:hint="eastAsia" w:ascii="宋体" w:hAnsi="宋体"/>
          <w:color w:val="000000"/>
        </w:rPr>
        <w:t>因承包人在质量控制方面的责任造成的工程损坏，由承包人自行修复，并承担因此造成的发包人的损失，延误的工期不予顺延。</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224" w:name="_Toc34909060"/>
      <w: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90805</wp:posOffset>
                </wp:positionV>
                <wp:extent cx="571500" cy="480695"/>
                <wp:effectExtent l="0" t="0" r="0" b="0"/>
                <wp:wrapNone/>
                <wp:docPr id="139"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571500" cy="480695"/>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rPr>
                              <w:t>施工质量</w:t>
                            </w:r>
                            <w:r>
                              <w:rPr>
                                <w:rFonts w:hint="eastAsia" w:ascii="楷体_GB2312" w:hAnsi="宋体"/>
                                <w:color w:val="000000"/>
                              </w:rPr>
                              <w:t>检测</w:t>
                            </w:r>
                          </w:p>
                        </w:txbxContent>
                      </wps:txbx>
                      <wps:bodyPr rot="0" vert="horz" wrap="square" lIns="0" tIns="72000" rIns="0" bIns="0" anchor="t" anchorCtr="0" upright="1">
                        <a:noAutofit/>
                      </wps:bodyPr>
                    </wps:wsp>
                  </a:graphicData>
                </a:graphic>
              </wp:anchor>
            </w:drawing>
          </mc:Choice>
          <mc:Fallback>
            <w:pict>
              <v:shape id="文本框 138" o:spid="_x0000_s1026" o:spt="202" type="#_x0000_t202" style="position:absolute;left:0pt;margin-left:0pt;margin-top:7.15pt;height:37.85pt;width:45pt;z-index:251737088;mso-width-relative:page;mso-height-relative:page;" fillcolor="#FFFFFF" filled="t" stroked="f" coordsize="21600,21600" o:gfxdata="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RHE0jVAAAABQEAAA8AAAAAAAAAAQAgAAAAIgAAAGRycy9kb3ducmV2LnhtbFBLAQIUABQAAAAI&#10;AIdO4kA87Yx1KQIAADUEAAAOAAAAAAAAAAEAIAAAACQBAABkcnMvZTJvRG9jLnhtbFBLBQYAAAAA&#10;BgAGAFkBAAC/BQAAAAA=&#10;">
                <v:fill on="t" focussize="0,0"/>
                <v:stroke on="f"/>
                <v:imagedata o:title=""/>
                <o:lock v:ext="edit" aspectratio="f"/>
                <v:textbox inset="0mm,2mm,0mm,0mm">
                  <w:txbxContent>
                    <w:p>
                      <w:pPr>
                        <w:rPr>
                          <w:rFonts w:ascii="楷体_GB2312" w:hAnsi="宋体" w:eastAsia="楷体_GB2312"/>
                        </w:rPr>
                      </w:pPr>
                      <w:r>
                        <w:rPr>
                          <w:rFonts w:hint="eastAsia" w:ascii="楷体_GB2312" w:hAnsi="宋体" w:eastAsia="楷体_GB2312"/>
                        </w:rPr>
                        <w:t>施工质量</w:t>
                      </w:r>
                      <w:r>
                        <w:rPr>
                          <w:rFonts w:hint="eastAsia" w:ascii="楷体_GB2312" w:hAnsi="宋体"/>
                          <w:color w:val="000000"/>
                        </w:rPr>
                        <w:t>检测</w:t>
                      </w:r>
                    </w:p>
                  </w:txbxContent>
                </v:textbox>
              </v:shape>
            </w:pict>
          </mc:Fallback>
        </mc:AlternateContent>
      </w:r>
      <w:r>
        <w:rPr>
          <w:rFonts w:hint="eastAsia" w:ascii="宋体" w:hAnsi="宋体"/>
          <w:color w:val="000000"/>
          <w:kern w:val="0"/>
        </w:rPr>
        <w:t>承包人应按照有关标准、规范和设计图纸要求以及工程师的指令施工，并随时接受工程师的检查</w:t>
      </w:r>
      <w:r>
        <w:rPr>
          <w:rFonts w:hint="eastAsia" w:ascii="宋体" w:hAnsi="宋体"/>
          <w:bCs/>
          <w:color w:val="000000"/>
        </w:rPr>
        <w:t>检</w:t>
      </w:r>
      <w:r>
        <w:rPr>
          <w:rFonts w:hint="eastAsia" w:hAnsi="宋体"/>
          <w:color w:val="000000"/>
        </w:rPr>
        <w:t>测</w:t>
      </w:r>
      <w:r>
        <w:rPr>
          <w:rFonts w:hint="eastAsia" w:ascii="宋体" w:hAnsi="宋体"/>
          <w:color w:val="000000"/>
          <w:kern w:val="0"/>
        </w:rPr>
        <w:t>，为检查</w:t>
      </w:r>
      <w:r>
        <w:rPr>
          <w:rFonts w:hint="eastAsia" w:ascii="宋体" w:hAnsi="宋体"/>
          <w:bCs/>
          <w:color w:val="000000"/>
        </w:rPr>
        <w:t>检</w:t>
      </w:r>
      <w:r>
        <w:rPr>
          <w:rFonts w:hint="eastAsia" w:hAnsi="宋体"/>
          <w:color w:val="000000"/>
        </w:rPr>
        <w:t>测</w:t>
      </w:r>
      <w:r>
        <w:rPr>
          <w:rFonts w:hint="eastAsia" w:ascii="宋体" w:hAnsi="宋体"/>
          <w:color w:val="000000"/>
          <w:kern w:val="0"/>
        </w:rPr>
        <w:t>提供一切便利条件，但工程师的检查</w:t>
      </w:r>
      <w:r>
        <w:rPr>
          <w:rFonts w:hint="eastAsia" w:ascii="宋体" w:hAnsi="宋体"/>
          <w:bCs/>
          <w:color w:val="000000"/>
        </w:rPr>
        <w:t>检</w:t>
      </w:r>
      <w:r>
        <w:rPr>
          <w:rFonts w:hint="eastAsia" w:hAnsi="宋体"/>
          <w:color w:val="000000"/>
        </w:rPr>
        <w:t>测</w:t>
      </w:r>
      <w:r>
        <w:rPr>
          <w:rFonts w:hint="eastAsia" w:ascii="宋体" w:hAnsi="宋体"/>
          <w:color w:val="000000"/>
          <w:kern w:val="0"/>
        </w:rPr>
        <w:t>，不应影响施工的正常进行，否则承包人有权提出索赔和得到补偿。</w:t>
      </w:r>
      <w:bookmarkEnd w:id="224"/>
      <w:r>
        <w:rPr>
          <w:rFonts w:hint="eastAsia" w:ascii="宋体" w:hAnsi="宋体"/>
          <w:color w:val="000000"/>
          <w:kern w:val="0"/>
        </w:rPr>
        <w:t>工程质量达不到约定标准，承包人应拆除和重新施工，直到符合约定标准为止。因承包人原因达不到约定标准的，由承包人承担拆除和重新施工的费用，工期不予顺延；因发包人原因达不到约定标准的，由发包人承担拆除和重新施工的费用及相应的损失，顺延延误工期。</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225" w:name="_Toc34909061"/>
      <w: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170180</wp:posOffset>
                </wp:positionV>
                <wp:extent cx="571500" cy="457200"/>
                <wp:effectExtent l="0" t="0" r="0" b="1270"/>
                <wp:wrapNone/>
                <wp:docPr id="138"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工程隐蔽前的</w:t>
                            </w:r>
                            <w:r>
                              <w:rPr>
                                <w:rFonts w:hint="eastAsia" w:ascii="楷体_GB2312" w:hAnsi="宋体"/>
                                <w:color w:val="000000"/>
                              </w:rPr>
                              <w:t>检测</w:t>
                            </w:r>
                          </w:p>
                        </w:txbxContent>
                      </wps:txbx>
                      <wps:bodyPr rot="0" vert="horz" wrap="square" lIns="0" tIns="0" rIns="0" bIns="0" anchor="t" anchorCtr="0" upright="1">
                        <a:noAutofit/>
                      </wps:bodyPr>
                    </wps:wsp>
                  </a:graphicData>
                </a:graphic>
              </wp:anchor>
            </w:drawing>
          </mc:Choice>
          <mc:Fallback>
            <w:pict>
              <v:shape id="文本框 137" o:spid="_x0000_s1026" o:spt="202" type="#_x0000_t202" style="position:absolute;left:0pt;margin-left:0pt;margin-top:13.4pt;height:36pt;width:45pt;z-index:251738112;mso-width-relative:page;mso-height-relative:page;" fillcolor="#FFFFFF" filled="t" stroked="f" coordsize="21600,21600" o:gfxdata="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a8Iul1AAA&#10;AAUBAAAPAAAAAAAAAAEAIAAAACIAAABkcnMvZG93bnJldi54bWxQSwECFAAUAAAACACHTuJAjd5o&#10;xSICAAAx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工程隐蔽前的</w:t>
                      </w:r>
                      <w:r>
                        <w:rPr>
                          <w:rFonts w:hint="eastAsia" w:ascii="楷体_GB2312" w:hAnsi="宋体"/>
                          <w:color w:val="000000"/>
                        </w:rPr>
                        <w:t>检测</w:t>
                      </w:r>
                    </w:p>
                  </w:txbxContent>
                </v:textbox>
              </v:shape>
            </w:pict>
          </mc:Fallback>
        </mc:AlternateContent>
      </w:r>
      <w:r>
        <w:rPr>
          <w:rFonts w:hint="eastAsia" w:ascii="宋体" w:hAnsi="宋体"/>
          <w:color w:val="000000"/>
          <w:kern w:val="0"/>
        </w:rPr>
        <w:t>没有工程师的批准，任何工程均不得隐蔽。当本工程任何部分具备隐蔽条件时，承包人应提前24小时通知工程师，告知</w:t>
      </w:r>
      <w:r>
        <w:rPr>
          <w:rFonts w:hint="eastAsia" w:ascii="宋体" w:hAnsi="宋体"/>
          <w:bCs/>
          <w:color w:val="000000"/>
        </w:rPr>
        <w:t>检</w:t>
      </w:r>
      <w:r>
        <w:rPr>
          <w:rFonts w:hint="eastAsia" w:hAnsi="宋体"/>
          <w:color w:val="000000"/>
        </w:rPr>
        <w:t>测</w:t>
      </w:r>
      <w:r>
        <w:rPr>
          <w:rFonts w:hint="eastAsia" w:ascii="宋体" w:hAnsi="宋体"/>
          <w:color w:val="000000"/>
          <w:kern w:val="0"/>
        </w:rPr>
        <w:t>的时间、内容和地点，保证工程师有充分的时间对隐蔽工程进行</w:t>
      </w:r>
      <w:r>
        <w:rPr>
          <w:rFonts w:hint="eastAsia" w:ascii="宋体" w:hAnsi="宋体"/>
          <w:bCs/>
          <w:color w:val="000000"/>
        </w:rPr>
        <w:t>检</w:t>
      </w:r>
      <w:r>
        <w:rPr>
          <w:rFonts w:hint="eastAsia" w:hAnsi="宋体"/>
          <w:color w:val="000000"/>
        </w:rPr>
        <w:t>测</w:t>
      </w:r>
      <w:r>
        <w:rPr>
          <w:rFonts w:hint="eastAsia" w:ascii="宋体" w:hAnsi="宋体"/>
          <w:color w:val="000000"/>
          <w:kern w:val="0"/>
        </w:rPr>
        <w:t>，并为工程师提供一切必要的资料和协助。工程师应按时参加隐蔽工程的</w:t>
      </w:r>
      <w:r>
        <w:rPr>
          <w:rFonts w:hint="eastAsia" w:ascii="宋体" w:hAnsi="宋体"/>
          <w:bCs/>
          <w:color w:val="000000"/>
        </w:rPr>
        <w:t>检</w:t>
      </w:r>
      <w:r>
        <w:rPr>
          <w:rFonts w:hint="eastAsia" w:hAnsi="宋体"/>
          <w:color w:val="000000"/>
        </w:rPr>
        <w:t>测</w:t>
      </w:r>
      <w:r>
        <w:rPr>
          <w:rFonts w:hint="eastAsia" w:ascii="宋体" w:hAnsi="宋体"/>
          <w:color w:val="000000"/>
          <w:kern w:val="0"/>
        </w:rPr>
        <w:t>，不得无故拖延，除非认为没有必要</w:t>
      </w:r>
      <w:r>
        <w:rPr>
          <w:rFonts w:hint="eastAsia" w:ascii="宋体" w:hAnsi="宋体"/>
          <w:bCs/>
          <w:color w:val="000000"/>
        </w:rPr>
        <w:t>检</w:t>
      </w:r>
      <w:r>
        <w:rPr>
          <w:rFonts w:hint="eastAsia" w:hAnsi="宋体"/>
          <w:color w:val="000000"/>
        </w:rPr>
        <w:t>测</w:t>
      </w:r>
      <w:r>
        <w:rPr>
          <w:rFonts w:hint="eastAsia" w:ascii="宋体" w:hAnsi="宋体"/>
          <w:color w:val="000000"/>
          <w:kern w:val="0"/>
        </w:rPr>
        <w:t>，并就此通知承包人。上述约定时间后12小时内，工程师未能到场对隐蔽工程进行</w:t>
      </w:r>
      <w:r>
        <w:rPr>
          <w:rFonts w:hint="eastAsia" w:ascii="宋体" w:hAnsi="宋体"/>
          <w:bCs/>
          <w:color w:val="000000"/>
        </w:rPr>
        <w:t>检</w:t>
      </w:r>
      <w:r>
        <w:rPr>
          <w:rFonts w:hint="eastAsia" w:hAnsi="宋体"/>
          <w:color w:val="000000"/>
        </w:rPr>
        <w:t>测</w:t>
      </w:r>
      <w:r>
        <w:rPr>
          <w:rFonts w:hint="eastAsia" w:ascii="宋体" w:hAnsi="宋体"/>
          <w:color w:val="000000"/>
          <w:kern w:val="0"/>
        </w:rPr>
        <w:t>，承包人即可自行</w:t>
      </w:r>
      <w:r>
        <w:rPr>
          <w:rFonts w:hint="eastAsia" w:ascii="宋体" w:hAnsi="宋体"/>
          <w:bCs/>
          <w:color w:val="000000"/>
        </w:rPr>
        <w:t>检</w:t>
      </w:r>
      <w:r>
        <w:rPr>
          <w:rFonts w:hint="eastAsia" w:hAnsi="宋体"/>
          <w:color w:val="000000"/>
        </w:rPr>
        <w:t>测</w:t>
      </w:r>
      <w:r>
        <w:rPr>
          <w:rFonts w:hint="eastAsia" w:ascii="宋体" w:hAnsi="宋体"/>
          <w:color w:val="000000"/>
          <w:kern w:val="0"/>
        </w:rPr>
        <w:t>，在如实作出隐蔽验收报告后进行隐蔽，事后工程师应予认可。工程师在组织隐蔽工程验收时，应通知发包人及政府有关部门派人参加。</w:t>
      </w:r>
      <w:bookmarkEnd w:id="225"/>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226" w:name="_Toc34909062"/>
      <w: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194310</wp:posOffset>
                </wp:positionV>
                <wp:extent cx="571500" cy="228600"/>
                <wp:effectExtent l="0" t="3810" r="0" b="0"/>
                <wp:wrapNone/>
                <wp:docPr id="137"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重新检</w:t>
                            </w:r>
                            <w:r>
                              <w:rPr>
                                <w:rFonts w:hint="eastAsia" w:hAnsi="宋体"/>
                              </w:rPr>
                              <w:t>测</w:t>
                            </w:r>
                            <w:r>
                              <w:rPr>
                                <w:rFonts w:hint="eastAsia" w:ascii="楷体_GB2312" w:hAnsi="宋体" w:eastAsia="楷体_GB2312"/>
                                <w:color w:val="FF0000"/>
                              </w:rPr>
                              <w:t>检测</w:t>
                            </w:r>
                          </w:p>
                        </w:txbxContent>
                      </wps:txbx>
                      <wps:bodyPr rot="0" vert="horz" wrap="square" lIns="0" tIns="0" rIns="0" bIns="0" anchor="t" anchorCtr="0" upright="1">
                        <a:noAutofit/>
                      </wps:bodyPr>
                    </wps:wsp>
                  </a:graphicData>
                </a:graphic>
              </wp:anchor>
            </w:drawing>
          </mc:Choice>
          <mc:Fallback>
            <w:pict>
              <v:shape id="文本框 136" o:spid="_x0000_s1026" o:spt="202" type="#_x0000_t202" style="position:absolute;left:0pt;margin-left:0pt;margin-top:15.3pt;height:18pt;width:45pt;z-index:251739136;mso-width-relative:page;mso-height-relative:page;" fillcolor="#FFFFFF" filled="t" stroked="f" coordsize="21600,21600" o:gfxdata="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Bm5K9MAAAAF&#10;AQAADwAAAAAAAAABACAAAAAiAAAAZHJzL2Rvd25yZXYueG1sUEsBAhQAFAAAAAgAh07iQLKVl1Ih&#10;AgAAMQQAAA4AAAAAAAAAAQAgAAAAIg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重新检</w:t>
                      </w:r>
                      <w:r>
                        <w:rPr>
                          <w:rFonts w:hint="eastAsia" w:hAnsi="宋体"/>
                        </w:rPr>
                        <w:t>测</w:t>
                      </w:r>
                      <w:r>
                        <w:rPr>
                          <w:rFonts w:hint="eastAsia" w:ascii="楷体_GB2312" w:hAnsi="宋体" w:eastAsia="楷体_GB2312"/>
                          <w:color w:val="FF0000"/>
                        </w:rPr>
                        <w:t>检测</w:t>
                      </w:r>
                    </w:p>
                  </w:txbxContent>
                </v:textbox>
              </v:shape>
            </w:pict>
          </mc:Fallback>
        </mc:AlternateContent>
      </w:r>
      <w:r>
        <w:rPr>
          <w:rFonts w:hint="eastAsia" w:ascii="宋体" w:hAnsi="宋体"/>
          <w:color w:val="000000"/>
          <w:kern w:val="0"/>
        </w:rPr>
        <w:t>无论工程师是否进行验收，当其要求对已经隐蔽的工程重新</w:t>
      </w:r>
      <w:r>
        <w:rPr>
          <w:rFonts w:hint="eastAsia" w:ascii="宋体" w:hAnsi="宋体"/>
          <w:bCs/>
          <w:color w:val="000000"/>
        </w:rPr>
        <w:t>检</w:t>
      </w:r>
      <w:r>
        <w:rPr>
          <w:rFonts w:hint="eastAsia" w:hAnsi="宋体"/>
          <w:color w:val="000000"/>
        </w:rPr>
        <w:t>测</w:t>
      </w:r>
      <w:r>
        <w:rPr>
          <w:rFonts w:hint="eastAsia" w:ascii="宋体" w:hAnsi="宋体"/>
          <w:color w:val="000000"/>
          <w:kern w:val="0"/>
        </w:rPr>
        <w:t>时，承包人应按要求进行剥离或开孔，并在</w:t>
      </w:r>
      <w:r>
        <w:rPr>
          <w:rFonts w:hint="eastAsia" w:ascii="宋体" w:hAnsi="宋体"/>
          <w:bCs/>
          <w:color w:val="000000"/>
        </w:rPr>
        <w:t>检</w:t>
      </w:r>
      <w:r>
        <w:rPr>
          <w:rFonts w:hint="eastAsia" w:hAnsi="宋体"/>
          <w:color w:val="000000"/>
        </w:rPr>
        <w:t>测</w:t>
      </w:r>
      <w:r>
        <w:rPr>
          <w:rFonts w:hint="eastAsia" w:ascii="宋体" w:hAnsi="宋体"/>
          <w:color w:val="000000"/>
          <w:kern w:val="0"/>
        </w:rPr>
        <w:t>后重新隐蔽。如</w:t>
      </w:r>
      <w:r>
        <w:rPr>
          <w:rFonts w:hint="eastAsia" w:ascii="宋体" w:hAnsi="宋体"/>
          <w:bCs/>
          <w:color w:val="000000"/>
        </w:rPr>
        <w:t>检</w:t>
      </w:r>
      <w:r>
        <w:rPr>
          <w:rFonts w:hint="eastAsia" w:hAnsi="宋体"/>
          <w:color w:val="000000"/>
        </w:rPr>
        <w:t>测</w:t>
      </w:r>
      <w:r>
        <w:rPr>
          <w:rFonts w:hint="eastAsia" w:ascii="宋体" w:hAnsi="宋体"/>
          <w:color w:val="000000"/>
          <w:kern w:val="0"/>
        </w:rPr>
        <w:t>合格，则发包人承担因此发生的全部增加费用，赔偿承包人损失和(或)相应顺延工期；如</w:t>
      </w:r>
      <w:r>
        <w:rPr>
          <w:rFonts w:hint="eastAsia" w:ascii="宋体" w:hAnsi="宋体"/>
          <w:bCs/>
          <w:color w:val="000000"/>
        </w:rPr>
        <w:t>检</w:t>
      </w:r>
      <w:r>
        <w:rPr>
          <w:rFonts w:hint="eastAsia" w:hAnsi="宋体"/>
          <w:color w:val="000000"/>
        </w:rPr>
        <w:t>测</w:t>
      </w:r>
      <w:r>
        <w:rPr>
          <w:rFonts w:hint="eastAsia" w:ascii="宋体" w:hAnsi="宋体"/>
          <w:color w:val="000000"/>
          <w:kern w:val="0"/>
        </w:rPr>
        <w:t>不合格，则承包人应按工程师的指令重新施工，直到</w:t>
      </w:r>
      <w:r>
        <w:rPr>
          <w:rFonts w:hint="eastAsia" w:ascii="宋体" w:hAnsi="宋体"/>
          <w:bCs/>
          <w:color w:val="000000"/>
        </w:rPr>
        <w:t>检</w:t>
      </w:r>
      <w:r>
        <w:rPr>
          <w:rFonts w:hint="eastAsia" w:hAnsi="宋体"/>
          <w:color w:val="000000"/>
        </w:rPr>
        <w:t>测</w:t>
      </w:r>
      <w:r>
        <w:rPr>
          <w:rFonts w:hint="eastAsia" w:ascii="宋体" w:hAnsi="宋体"/>
          <w:color w:val="000000"/>
          <w:kern w:val="0"/>
        </w:rPr>
        <w:t>合格，并承担由此发生的全部费用，工期不予顺延。</w:t>
      </w:r>
      <w:bookmarkEnd w:id="226"/>
    </w:p>
    <w:p>
      <w:pPr>
        <w:pStyle w:val="2"/>
        <w:keepLines w:val="0"/>
        <w:tabs>
          <w:tab w:val="left" w:pos="1620"/>
          <w:tab w:val="left" w:pos="2340"/>
        </w:tabs>
        <w:ind w:left="945" w:leftChars="450"/>
        <w:rPr>
          <w:rFonts w:hAnsi="宋体"/>
          <w:color w:val="000000"/>
          <w:sz w:val="28"/>
          <w:szCs w:val="28"/>
        </w:rPr>
      </w:pPr>
      <w:r>
        <w:rPr>
          <w:rFonts w:hint="eastAsia" w:hAnsi="宋体"/>
          <w:color w:val="000000"/>
          <w:sz w:val="28"/>
          <w:szCs w:val="28"/>
        </w:rPr>
        <w:t>工程试车</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571500" cy="228600"/>
                <wp:effectExtent l="0" t="0" r="0" b="0"/>
                <wp:wrapNone/>
                <wp:docPr id="136"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工程试车</w:t>
                            </w:r>
                          </w:p>
                        </w:txbxContent>
                      </wps:txbx>
                      <wps:bodyPr rot="0" vert="horz" wrap="square" lIns="0" tIns="0" rIns="0" bIns="0" anchor="t" anchorCtr="0" upright="1">
                        <a:noAutofit/>
                      </wps:bodyPr>
                    </wps:wsp>
                  </a:graphicData>
                </a:graphic>
              </wp:anchor>
            </w:drawing>
          </mc:Choice>
          <mc:Fallback>
            <w:pict>
              <v:shape id="文本框 135" o:spid="_x0000_s1026" o:spt="202" type="#_x0000_t202" style="position:absolute;left:0pt;margin-left:0pt;margin-top:0pt;height:18pt;width:45pt;z-index:251740160;mso-width-relative:page;mso-height-relative:page;" fillcolor="#FFFFFF" filled="t" stroked="f" coordsize="21600,21600" o:gfxdata="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bRozU0gAAAAMB&#10;AAAPAAAAAAAAAAEAIAAAACIAAABkcnMvZG93bnJldi54bWxQSwECFAAUAAAACACHTuJAhxCx+CEC&#10;AAAxBAAADgAAAAAAAAABACAAAAAhAQAAZHJzL2Uyb0RvYy54bWxQSwUGAAAAAAYABgBZAQAAtAUA&#10;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工程试车</w:t>
                      </w:r>
                    </w:p>
                  </w:txbxContent>
                </v:textbox>
              </v:shape>
            </w:pict>
          </mc:Fallback>
        </mc:AlternateContent>
      </w:r>
      <w:r>
        <w:rPr>
          <w:rFonts w:hint="eastAsia" w:ascii="宋体" w:hAnsi="宋体"/>
          <w:b w:val="0"/>
          <w:color w:val="000000"/>
          <w:sz w:val="21"/>
        </w:rPr>
        <w:t>如发包人和承包人约定本工程需要试车的，双方在本合同专用条款中约定试车的内容和费用承担。</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114935</wp:posOffset>
                </wp:positionV>
                <wp:extent cx="571500" cy="457200"/>
                <wp:effectExtent l="0" t="635" r="0" b="0"/>
                <wp:wrapNone/>
                <wp:docPr id="135"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工程试车程序</w:t>
                            </w:r>
                          </w:p>
                        </w:txbxContent>
                      </wps:txbx>
                      <wps:bodyPr rot="0" vert="horz" wrap="square" lIns="0" tIns="72000" rIns="0" bIns="0" anchor="t" anchorCtr="0" upright="1">
                        <a:noAutofit/>
                      </wps:bodyPr>
                    </wps:wsp>
                  </a:graphicData>
                </a:graphic>
              </wp:anchor>
            </w:drawing>
          </mc:Choice>
          <mc:Fallback>
            <w:pict>
              <v:shape id="文本框 134" o:spid="_x0000_s1026" o:spt="202" type="#_x0000_t202" style="position:absolute;left:0pt;margin-left:0pt;margin-top:9.05pt;height:36pt;width:45pt;z-index:251741184;mso-width-relative:page;mso-height-relative:page;" fillcolor="#FFFFFF" filled="t" stroked="f" coordsize="21600,21600" o:gfxdata="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QH&#10;TJPVAAAABQEAAA8AAAAAAAAAAQAgAAAAIgAAAGRycy9kb3ducmV2LnhtbFBLAQIUABQAAAAIAIdO&#10;4kB0rmvUJgIAADUEAAAOAAAAAAAAAAEAIAAAACQBAABkcnMvZTJvRG9jLnhtbFBLBQYAAAAABgAG&#10;AFkBAAC8BQAAAAA=&#10;">
                <v:fill on="t" focussize="0,0"/>
                <v:stroke on="f"/>
                <v:imagedata o:title=""/>
                <o:lock v:ext="edit" aspectratio="f"/>
                <v:textbox inset="0mm,2mm,0mm,0mm">
                  <w:txbxContent>
                    <w:p>
                      <w:pPr>
                        <w:rPr>
                          <w:rFonts w:ascii="楷体_GB2312" w:eastAsia="楷体_GB2312"/>
                        </w:rPr>
                      </w:pPr>
                      <w:r>
                        <w:rPr>
                          <w:rFonts w:hint="eastAsia" w:ascii="楷体_GB2312" w:hAnsi="宋体" w:eastAsia="楷体_GB2312"/>
                        </w:rPr>
                        <w:t>工程试车程序</w:t>
                      </w:r>
                    </w:p>
                  </w:txbxContent>
                </v:textbox>
              </v:shape>
            </w:pict>
          </mc:Fallback>
        </mc:AlternateContent>
      </w:r>
      <w:r>
        <w:rPr>
          <w:rFonts w:hint="eastAsia" w:ascii="宋体" w:hAnsi="宋体"/>
          <w:b w:val="0"/>
          <w:color w:val="000000"/>
          <w:sz w:val="21"/>
        </w:rPr>
        <w:t>本工程试车应按如下程序进行：</w:t>
      </w:r>
    </w:p>
    <w:p>
      <w:pPr>
        <w:tabs>
          <w:tab w:val="left" w:pos="1620"/>
          <w:tab w:val="left" w:pos="2340"/>
        </w:tabs>
        <w:ind w:left="1449" w:leftChars="690"/>
        <w:rPr>
          <w:rFonts w:ascii="宋体" w:hAnsi="宋体"/>
          <w:color w:val="000000"/>
        </w:rPr>
      </w:pPr>
      <w:r>
        <w:rPr>
          <w:rFonts w:ascii="宋体" w:hAnsi="宋体"/>
          <w:color w:val="000000"/>
        </w:rPr>
        <w:t>⑴</w:t>
      </w:r>
      <w:r>
        <w:rPr>
          <w:rFonts w:hint="eastAsia" w:ascii="宋体" w:hAnsi="宋体"/>
          <w:color w:val="000000"/>
        </w:rPr>
        <w:t>设备安装工程具备单机无负荷试车条件，承包人组织试车，并在试车前48小时通知工程师，告知试车的时间、内容和地点。承包人准备试车记录，发包人根据承包人要求为试车提供必要条件。工程师应按时参加试车，试车合格，工程师在试车记录上签字。</w:t>
      </w:r>
    </w:p>
    <w:p>
      <w:pPr>
        <w:tabs>
          <w:tab w:val="left" w:pos="1620"/>
          <w:tab w:val="left" w:pos="2340"/>
        </w:tabs>
        <w:ind w:left="1449" w:leftChars="690"/>
        <w:rPr>
          <w:rFonts w:ascii="宋体" w:hAnsi="宋体"/>
          <w:color w:val="000000"/>
        </w:rPr>
      </w:pPr>
      <w:r>
        <w:rPr>
          <w:rFonts w:ascii="宋体" w:hAnsi="宋体"/>
          <w:color w:val="000000"/>
        </w:rPr>
        <w:t>⑵</w:t>
      </w:r>
      <w:r>
        <w:rPr>
          <w:rFonts w:hint="eastAsia" w:ascii="宋体" w:hAnsi="宋体"/>
          <w:color w:val="000000"/>
        </w:rPr>
        <w:t>设备安装工程具备无负荷联动试车条件，发包人组织试车，并在试车前48小时通知承包人，告知试车的时间、内容、地点和对承包人的要求，承包人按要求做好准备工作。试车合格，双方在试车记录上签字。</w:t>
      </w:r>
    </w:p>
    <w:p>
      <w:pPr>
        <w:tabs>
          <w:tab w:val="left" w:pos="1620"/>
          <w:tab w:val="left" w:pos="2340"/>
        </w:tabs>
        <w:ind w:left="1449" w:leftChars="690"/>
        <w:rPr>
          <w:rFonts w:ascii="宋体" w:hAnsi="宋体"/>
          <w:color w:val="000000"/>
        </w:rPr>
      </w:pPr>
      <w:r>
        <w:rPr>
          <w:rFonts w:ascii="宋体" w:hAnsi="宋体"/>
          <w:color w:val="000000"/>
        </w:rPr>
        <w:t>⑶</w:t>
      </w:r>
      <w:r>
        <w:rPr>
          <w:rFonts w:hint="eastAsia" w:ascii="宋体" w:hAnsi="宋体"/>
          <w:color w:val="000000"/>
        </w:rPr>
        <w:t>投料试车应在工程竣工验收后由发包人负责，如发包人要求在工程竣工验收前进行或需要承包人配合时，应征得承包人同意，并另行签订补充协议。</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w:rPr>
          <w:rFonts w:hint="eastAsia" w:ascii="宋体" w:hAnsi="宋体"/>
          <w:b w:val="0"/>
          <w:color w:val="000000"/>
          <w:sz w:val="21"/>
        </w:rPr>
        <w:t>发包人和承包人</w:t>
      </w:r>
      <w: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176530</wp:posOffset>
                </wp:positionV>
                <wp:extent cx="571500" cy="513080"/>
                <wp:effectExtent l="0" t="0" r="0" b="0"/>
                <wp:wrapNone/>
                <wp:docPr id="134"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571500" cy="51308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工程试车中双方的责任</w:t>
                            </w:r>
                          </w:p>
                        </w:txbxContent>
                      </wps:txbx>
                      <wps:bodyPr rot="0" vert="horz" wrap="square" lIns="0" tIns="0" rIns="0" bIns="0" anchor="t" anchorCtr="0" upright="1">
                        <a:noAutofit/>
                      </wps:bodyPr>
                    </wps:wsp>
                  </a:graphicData>
                </a:graphic>
              </wp:anchor>
            </w:drawing>
          </mc:Choice>
          <mc:Fallback>
            <w:pict>
              <v:shape id="文本框 133" o:spid="_x0000_s1026" o:spt="202" type="#_x0000_t202" style="position:absolute;left:0pt;margin-left:0pt;margin-top:13.9pt;height:40.4pt;width:45pt;z-index:251742208;mso-width-relative:page;mso-height-relative:page;" fillcolor="#FFFFFF" filled="t" stroked="f" coordsize="21600,21600" o:gfxdata="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8tkS1AAA&#10;AAYBAAAPAAAAAAAAAAEAIAAAACIAAABkcnMvZG93bnJldi54bWxQSwECFAAUAAAACACHTuJAygvc&#10;zyICAAAx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工程试车中双方的责任</w:t>
                      </w:r>
                    </w:p>
                  </w:txbxContent>
                </v:textbox>
              </v:shape>
            </w:pict>
          </mc:Fallback>
        </mc:AlternateContent>
      </w:r>
      <w:r>
        <w:rPr>
          <w:rFonts w:hint="eastAsia" w:ascii="宋体" w:hAnsi="宋体"/>
          <w:b w:val="0"/>
          <w:color w:val="000000"/>
          <w:sz w:val="21"/>
        </w:rPr>
        <w:t>在本工程试车中的责任如下：</w:t>
      </w:r>
    </w:p>
    <w:p>
      <w:pPr>
        <w:tabs>
          <w:tab w:val="left" w:pos="1620"/>
          <w:tab w:val="left" w:pos="2340"/>
        </w:tabs>
        <w:ind w:left="1449" w:leftChars="690"/>
        <w:rPr>
          <w:rFonts w:ascii="宋体" w:hAnsi="宋体"/>
          <w:color w:val="000000"/>
        </w:rPr>
      </w:pPr>
      <w:r>
        <w:rPr>
          <w:rFonts w:ascii="宋体" w:hAnsi="宋体"/>
          <w:color w:val="000000"/>
        </w:rPr>
        <w:t>⑴</w:t>
      </w:r>
      <w:r>
        <w:rPr>
          <w:rFonts w:hint="eastAsia" w:ascii="宋体" w:hAnsi="宋体"/>
          <w:color w:val="000000"/>
        </w:rPr>
        <w:t>由于设计原因试车达不到验收要求，发包人应要求设计人修改设计，承包人按修改后的设计重新安装。发包人承担修改设计、拆除及重新安装的全部费用，工期相应顺延。</w:t>
      </w:r>
    </w:p>
    <w:p>
      <w:pPr>
        <w:tabs>
          <w:tab w:val="left" w:pos="1620"/>
          <w:tab w:val="left" w:pos="2340"/>
        </w:tabs>
        <w:ind w:left="1449" w:leftChars="690"/>
        <w:rPr>
          <w:rFonts w:ascii="宋体" w:hAnsi="宋体"/>
          <w:color w:val="000000"/>
        </w:rPr>
      </w:pPr>
      <w:r>
        <w:rPr>
          <w:rFonts w:ascii="宋体" w:hAnsi="宋体"/>
          <w:color w:val="000000"/>
        </w:rPr>
        <w:t>⑵</w:t>
      </w:r>
      <w:r>
        <w:rPr>
          <w:rFonts w:hint="eastAsia" w:ascii="宋体" w:hAnsi="宋体"/>
          <w:color w:val="000000"/>
        </w:rPr>
        <w:t>由于设备制造原因试车达不到验收要求，如该设备由承包人采购的，则承包人负责修理或重新购置、拆除和重新安装并承担有关费用，工期不予顺延；如该设备由发包人采购的，则发包人负责修理或重新购置，并由承包人进行拆除和重新安装，发包人承担有关费用，工期相应顺延。</w:t>
      </w:r>
    </w:p>
    <w:p>
      <w:pPr>
        <w:tabs>
          <w:tab w:val="left" w:pos="1620"/>
          <w:tab w:val="left" w:pos="2340"/>
        </w:tabs>
        <w:ind w:left="1449" w:leftChars="690"/>
        <w:rPr>
          <w:rFonts w:ascii="宋体" w:hAnsi="宋体"/>
          <w:color w:val="000000"/>
        </w:rPr>
      </w:pPr>
      <w:r>
        <w:rPr>
          <w:rFonts w:ascii="宋体" w:hAnsi="宋体"/>
          <w:color w:val="000000"/>
        </w:rPr>
        <w:t>⑶</w:t>
      </w:r>
      <w:r>
        <w:rPr>
          <w:rFonts w:hint="eastAsia" w:ascii="宋体" w:hAnsi="宋体"/>
          <w:color w:val="000000"/>
        </w:rPr>
        <w:t>由于承包人施工原因试车达不到验收要求，承包人应按工程师要求重新安装和试车，并承担有关费用，工期不予顺延。</w:t>
      </w:r>
    </w:p>
    <w:p>
      <w:pPr>
        <w:tabs>
          <w:tab w:val="left" w:pos="1620"/>
          <w:tab w:val="left" w:pos="2340"/>
        </w:tabs>
        <w:ind w:left="1449" w:leftChars="690"/>
        <w:rPr>
          <w:rFonts w:ascii="宋体" w:hAnsi="宋体"/>
          <w:color w:val="000000"/>
        </w:rPr>
      </w:pPr>
      <w:r>
        <w:rPr>
          <w:rFonts w:ascii="宋体" w:hAnsi="宋体"/>
          <w:color w:val="000000"/>
        </w:rPr>
        <w:t>⑷</w:t>
      </w:r>
      <w:r>
        <w:rPr>
          <w:rFonts w:hint="eastAsia" w:ascii="宋体" w:hAnsi="宋体"/>
          <w:color w:val="000000"/>
        </w:rPr>
        <w:t>试车费用除已包括在合同价款之内的或专用条款另有约定的，均由发包人承担。</w:t>
      </w:r>
    </w:p>
    <w:p>
      <w:pPr>
        <w:pStyle w:val="2"/>
        <w:keepLines w:val="0"/>
        <w:tabs>
          <w:tab w:val="left" w:pos="1620"/>
          <w:tab w:val="left" w:pos="2340"/>
        </w:tabs>
        <w:ind w:left="945" w:leftChars="450"/>
        <w:rPr>
          <w:rFonts w:hAnsi="宋体"/>
          <w:color w:val="000000"/>
          <w:sz w:val="28"/>
          <w:szCs w:val="28"/>
          <w:highlight w:val="none"/>
        </w:rPr>
      </w:pPr>
      <w:bookmarkStart w:id="227" w:name="_Toc34909063"/>
      <w:bookmarkStart w:id="228" w:name="_Toc35656486"/>
      <w:bookmarkStart w:id="229" w:name="_Toc35656988"/>
      <w:r>
        <w:rPr>
          <w:rFonts w:hint="eastAsia" w:hAnsi="宋体"/>
          <w:color w:val="000000"/>
          <w:sz w:val="28"/>
          <w:szCs w:val="28"/>
        </w:rPr>
        <w:t>安全</w:t>
      </w:r>
      <w:r>
        <w:rPr>
          <w:rFonts w:hint="eastAsia" w:hAnsi="宋体"/>
          <w:color w:val="000000"/>
          <w:sz w:val="28"/>
          <w:szCs w:val="28"/>
          <w:highlight w:val="none"/>
        </w:rPr>
        <w:t>文明施工</w:t>
      </w:r>
      <w:bookmarkEnd w:id="227"/>
      <w:bookmarkEnd w:id="228"/>
      <w:bookmarkEnd w:id="229"/>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30" w:name="_Toc34909065"/>
      <w:bookmarkStart w:id="231" w:name="_Toc34909064"/>
      <w:r>
        <w:rPr>
          <w:rFonts w:hAnsi="宋体"/>
          <w:b w:val="0"/>
          <w:color w:val="000000"/>
          <w:sz w:val="21"/>
          <w:highlight w:val="none"/>
        </w:rPr>
        <w:t>⑴</w:t>
      </w:r>
      <w:r>
        <w:rPr>
          <w:highlight w:val="none"/>
        </w:rPr>
        <mc:AlternateContent>
          <mc:Choice Requires="wps">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571500" cy="598170"/>
                <wp:effectExtent l="0" t="0" r="0" b="1905"/>
                <wp:wrapNone/>
                <wp:docPr id="133"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571500" cy="598170"/>
                        </a:xfrm>
                        <a:prstGeom prst="rect">
                          <a:avLst/>
                        </a:prstGeom>
                        <a:solidFill>
                          <a:srgbClr val="FFFFFF"/>
                        </a:solidFill>
                        <a:ln>
                          <a:noFill/>
                        </a:ln>
                      </wps:spPr>
                      <wps:txbx>
                        <w:txbxContent>
                          <w:p>
                            <w:r>
                              <w:rPr>
                                <w:rFonts w:hint="eastAsia"/>
                              </w:rPr>
                              <w:t>发包人的安全文明施工责任</w:t>
                            </w:r>
                          </w:p>
                        </w:txbxContent>
                      </wps:txbx>
                      <wps:bodyPr rot="0" vert="horz" wrap="square" lIns="0" tIns="0" rIns="0" bIns="0" anchor="t" anchorCtr="0" upright="1">
                        <a:noAutofit/>
                      </wps:bodyPr>
                    </wps:wsp>
                  </a:graphicData>
                </a:graphic>
              </wp:anchor>
            </w:drawing>
          </mc:Choice>
          <mc:Fallback>
            <w:pict>
              <v:shape id="文本框 132" o:spid="_x0000_s1026" o:spt="202" type="#_x0000_t202" style="position:absolute;left:0pt;margin-left:0pt;margin-top:0pt;height:47.1pt;width:45pt;z-index:251865088;mso-width-relative:page;mso-height-relative:page;" fillcolor="#FFFFFF" filled="t" stroked="f" coordsize="21600,21600" o:gfxdata="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0+wKvSAAAA&#10;AwEAAA8AAAAAAAAAAQAgAAAAIgAAAGRycy9kb3ducmV2LnhtbFBLAQIUABQAAAAIAIdO4kBEQ6jt&#10;IwIAADEEAAAOAAAAAAAAAAEAIAAAACEBAABkcnMvZTJvRG9jLnhtbFBLBQYAAAAABgAGAFkBAAC2&#10;BQAAAAA=&#10;">
                <v:fill on="t" focussize="0,0"/>
                <v:stroke on="f"/>
                <v:imagedata o:title=""/>
                <o:lock v:ext="edit" aspectratio="f"/>
                <v:textbox inset="0mm,0mm,0mm,0mm">
                  <w:txbxContent>
                    <w:p>
                      <w:r>
                        <w:rPr>
                          <w:rFonts w:hint="eastAsia"/>
                        </w:rPr>
                        <w:t>发包人的安全文明施工责任</w:t>
                      </w:r>
                    </w:p>
                  </w:txbxContent>
                </v:textbox>
              </v:shape>
            </w:pict>
          </mc:Fallback>
        </mc:AlternateContent>
      </w:r>
      <w:r>
        <w:rPr>
          <w:rFonts w:hint="eastAsia" w:hAnsi="宋体"/>
          <w:b w:val="0"/>
          <w:color w:val="000000"/>
          <w:sz w:val="21"/>
          <w:highlight w:val="none"/>
        </w:rPr>
        <w:t>发包人应按照</w:t>
      </w:r>
      <w:r>
        <w:rPr>
          <w:rFonts w:hint="eastAsia" w:hAnsi="宋体"/>
          <w:b w:val="0"/>
          <w:color w:val="000000"/>
          <w:sz w:val="21"/>
          <w:highlight w:val="none"/>
          <w:lang w:val="en-US" w:eastAsia="zh-CN"/>
        </w:rPr>
        <w:t>广州</w:t>
      </w:r>
      <w:r>
        <w:rPr>
          <w:rFonts w:hint="eastAsia" w:hAnsi="宋体"/>
          <w:b w:val="0"/>
          <w:color w:val="000000"/>
          <w:sz w:val="21"/>
          <w:highlight w:val="none"/>
        </w:rPr>
        <w:t>市建设行</w:t>
      </w:r>
      <w:r>
        <w:rPr>
          <w:rFonts w:hint="eastAsia" w:hAnsi="宋体"/>
          <w:b w:val="0"/>
          <w:color w:val="000000"/>
          <w:sz w:val="21"/>
        </w:rPr>
        <w:t>政主管</w:t>
      </w:r>
      <w:r>
        <w:rPr>
          <w:rFonts w:hint="eastAsia" w:ascii="宋体" w:hAnsi="宋体"/>
          <w:b w:val="0"/>
          <w:color w:val="000000"/>
          <w:sz w:val="21"/>
        </w:rPr>
        <w:t>部门发布的施工安全文明施工措施费清单管理与支付办法，编制安全文明施工措施费清单并向承包人支付安全文明措施费。</w:t>
      </w:r>
    </w:p>
    <w:p>
      <w:pPr>
        <w:tabs>
          <w:tab w:val="left" w:pos="1620"/>
          <w:tab w:val="left" w:pos="2340"/>
        </w:tabs>
        <w:ind w:left="1449" w:leftChars="690"/>
        <w:rPr>
          <w:rFonts w:ascii="宋体" w:hAnsi="宋体"/>
          <w:color w:val="000000"/>
        </w:rPr>
      </w:pPr>
      <w:r>
        <w:rPr>
          <w:rFonts w:ascii="宋体" w:hAnsi="宋体"/>
          <w:color w:val="000000"/>
        </w:rPr>
        <w:t>⑵</w:t>
      </w:r>
      <w:r>
        <w:rPr>
          <w:rFonts w:hint="eastAsia" w:ascii="宋体" w:hAnsi="宋体"/>
          <w:color w:val="000000"/>
        </w:rPr>
        <w:t>发包人应对其在施工现场的工作人员进行安全教育，并对他们的安全负责。</w:t>
      </w:r>
    </w:p>
    <w:p>
      <w:pPr>
        <w:tabs>
          <w:tab w:val="left" w:pos="1620"/>
          <w:tab w:val="left" w:pos="2340"/>
        </w:tabs>
        <w:ind w:left="1449" w:leftChars="690"/>
        <w:rPr>
          <w:rFonts w:ascii="宋体" w:hAnsi="宋体"/>
          <w:color w:val="000000"/>
        </w:rPr>
      </w:pPr>
      <w:r>
        <w:rPr>
          <w:rFonts w:ascii="宋体" w:hAnsi="宋体"/>
          <w:color w:val="000000"/>
        </w:rPr>
        <w:t>⑶</w:t>
      </w:r>
      <w:r>
        <w:rPr>
          <w:rFonts w:hint="eastAsia" w:ascii="宋体" w:hAnsi="宋体"/>
          <w:color w:val="000000"/>
        </w:rPr>
        <w:t>发包人不得要求承包人违反安全文明施工的规定进行施工。</w:t>
      </w:r>
    </w:p>
    <w:p>
      <w:pPr>
        <w:tabs>
          <w:tab w:val="left" w:pos="1620"/>
          <w:tab w:val="left" w:pos="2340"/>
        </w:tabs>
        <w:ind w:left="1449" w:leftChars="690"/>
        <w:rPr>
          <w:rFonts w:ascii="宋体" w:hAnsi="宋体"/>
          <w:color w:val="000000"/>
        </w:rPr>
      </w:pPr>
      <w:r>
        <w:rPr>
          <w:rFonts w:ascii="宋体" w:hAnsi="宋体"/>
          <w:color w:val="000000"/>
        </w:rPr>
        <w:t>⑷</w:t>
      </w:r>
      <w:r>
        <w:rPr>
          <w:rFonts w:hint="eastAsia" w:ascii="宋体" w:hAnsi="宋体"/>
          <w:color w:val="000000"/>
        </w:rPr>
        <w:t>由于发包人原因造成的安全事故，由发包人承担相应责任及发生的费用</w:t>
      </w:r>
      <w:bookmarkEnd w:id="230"/>
      <w:r>
        <w:rPr>
          <w:rFonts w:hint="eastAsia" w:ascii="宋体" w:hAnsi="宋体"/>
          <w:color w:val="000000"/>
        </w:rPr>
        <w:t>，并顺延延误的工期。</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186055</wp:posOffset>
                </wp:positionV>
                <wp:extent cx="571500" cy="575945"/>
                <wp:effectExtent l="0" t="0" r="0" b="0"/>
                <wp:wrapNone/>
                <wp:docPr id="132"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571500" cy="575945"/>
                        </a:xfrm>
                        <a:prstGeom prst="rect">
                          <a:avLst/>
                        </a:prstGeom>
                        <a:solidFill>
                          <a:srgbClr val="FFFFFF"/>
                        </a:solidFill>
                        <a:ln>
                          <a:noFill/>
                        </a:ln>
                      </wps:spPr>
                      <wps:txbx>
                        <w:txbxContent>
                          <w:p>
                            <w:r>
                              <w:rPr>
                                <w:rFonts w:hint="eastAsia"/>
                              </w:rPr>
                              <w:t>承包人的安全文明施工责任</w:t>
                            </w:r>
                          </w:p>
                        </w:txbxContent>
                      </wps:txbx>
                      <wps:bodyPr rot="0" vert="horz" wrap="square" lIns="0" tIns="0" rIns="0" bIns="0" anchor="t" anchorCtr="0" upright="1">
                        <a:noAutofit/>
                      </wps:bodyPr>
                    </wps:wsp>
                  </a:graphicData>
                </a:graphic>
              </wp:anchor>
            </w:drawing>
          </mc:Choice>
          <mc:Fallback>
            <w:pict>
              <v:shape id="文本框 131" o:spid="_x0000_s1026" o:spt="202" type="#_x0000_t202" style="position:absolute;left:0pt;margin-left:0pt;margin-top:14.65pt;height:45.35pt;width:45pt;z-index:251743232;mso-width-relative:page;mso-height-relative:page;" fillcolor="#FFFFFF" filled="t" stroked="f" coordsize="21600,21600" o:gfxdata="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A3PorUAAAA&#10;BgEAAA8AAAAAAAAAAQAgAAAAIgAAAGRycy9kb3ducmV2LnhtbFBLAQIUABQAAAAIAIdO4kD3c8YZ&#10;IQIAADEEAAAOAAAAAAAAAAEAIAAAACMBAABkcnMvZTJvRG9jLnhtbFBLBQYAAAAABgAGAFkBAAC2&#10;BQAAAAA=&#10;">
                <v:fill on="t" focussize="0,0"/>
                <v:stroke on="f"/>
                <v:imagedata o:title=""/>
                <o:lock v:ext="edit" aspectratio="f"/>
                <v:textbox inset="0mm,0mm,0mm,0mm">
                  <w:txbxContent>
                    <w:p>
                      <w:r>
                        <w:rPr>
                          <w:rFonts w:hint="eastAsia"/>
                        </w:rPr>
                        <w:t>承包人的安全文明施工责任</w:t>
                      </w:r>
                    </w:p>
                  </w:txbxContent>
                </v:textbox>
              </v:shape>
            </w:pict>
          </mc:Fallback>
        </mc:AlternateContent>
      </w:r>
      <w:r>
        <w:rPr>
          <w:rFonts w:ascii="宋体" w:hAnsi="宋体"/>
          <w:b w:val="0"/>
          <w:color w:val="000000"/>
          <w:sz w:val="21"/>
        </w:rPr>
        <w:t>⑴</w:t>
      </w:r>
      <w:r>
        <w:rPr>
          <w:rFonts w:hint="eastAsia" w:ascii="宋体" w:hAnsi="宋体"/>
          <w:b w:val="0"/>
          <w:color w:val="000000"/>
          <w:sz w:val="21"/>
        </w:rPr>
        <w:t>承包人应遵守有关工程建设安全生产及文明施工的标准和规定，按照发包人提供的安全文明施工措施费清单，制定合理的安全文明施工措施和方案，并以书面形式提交给工程师。承包人应按照安全文明施工标准组织施工，采取必要的安全防护措施，消除事故隐患，并随时接受行业安全检查人员依法实施的监督检查。</w:t>
      </w:r>
    </w:p>
    <w:p>
      <w:pPr>
        <w:tabs>
          <w:tab w:val="left" w:pos="1620"/>
          <w:tab w:val="left" w:pos="2340"/>
        </w:tabs>
        <w:ind w:left="1449" w:leftChars="690"/>
        <w:rPr>
          <w:rFonts w:ascii="宋体" w:hAnsi="宋体"/>
          <w:color w:val="000000"/>
        </w:rPr>
      </w:pPr>
      <w:r>
        <w:rPr>
          <w:rFonts w:ascii="宋体" w:hAnsi="宋体"/>
          <w:color w:val="000000"/>
        </w:rPr>
        <w:t>⑵</w:t>
      </w:r>
      <w:r>
        <w:rPr>
          <w:rFonts w:hint="eastAsia" w:ascii="宋体" w:hAnsi="宋体"/>
          <w:color w:val="000000"/>
        </w:rPr>
        <w:t>承包人安全生产管理机构和专职安全生产管理人员负责对施工企业现场安全文明措施的组织实施进行现场监督检查，并及时向发包人和建设行政主管部门反映情况。</w:t>
      </w:r>
    </w:p>
    <w:p>
      <w:pPr>
        <w:tabs>
          <w:tab w:val="left" w:pos="1620"/>
          <w:tab w:val="left" w:pos="2340"/>
        </w:tabs>
        <w:ind w:left="1449" w:leftChars="690"/>
        <w:rPr>
          <w:rFonts w:ascii="宋体" w:hAnsi="宋体"/>
          <w:color w:val="000000"/>
        </w:rPr>
      </w:pPr>
      <w:r>
        <w:rPr>
          <w:rFonts w:ascii="宋体" w:hAnsi="宋体"/>
          <w:color w:val="000000"/>
        </w:rPr>
        <w:t>⑶</w:t>
      </w:r>
      <w:r>
        <w:rPr>
          <w:rFonts w:hint="eastAsia" w:ascii="宋体" w:hAnsi="宋体"/>
          <w:color w:val="000000"/>
        </w:rPr>
        <w:t>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pPr>
        <w:tabs>
          <w:tab w:val="left" w:pos="1620"/>
          <w:tab w:val="left" w:pos="2340"/>
        </w:tabs>
        <w:ind w:left="1449" w:leftChars="690"/>
        <w:rPr>
          <w:rFonts w:ascii="宋体" w:hAnsi="宋体"/>
          <w:color w:val="000000"/>
        </w:rPr>
      </w:pPr>
      <w:r>
        <w:rPr>
          <w:rFonts w:ascii="宋体" w:hAnsi="宋体"/>
          <w:color w:val="000000"/>
        </w:rPr>
        <w:t>⑷</w:t>
      </w:r>
      <w:r>
        <w:rPr>
          <w:rFonts w:hint="eastAsia" w:ascii="宋体" w:hAnsi="宋体"/>
          <w:color w:val="000000"/>
        </w:rPr>
        <w:t>由于承包人原因造成的安全事故，由承包人承担相应责任及发生的费用，工期不予顺延。</w:t>
      </w:r>
      <w:bookmarkEnd w:id="231"/>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32" w:name="_Toc34909067"/>
      <w:r>
        <mc:AlternateContent>
          <mc:Choice Requires="wps">
            <w:drawing>
              <wp:anchor distT="0" distB="0" distL="114300" distR="114300" simplePos="0" relativeHeight="251862016" behindDoc="0" locked="0" layoutInCell="1" allowOverlap="1">
                <wp:simplePos x="0" y="0"/>
                <wp:positionH relativeFrom="column">
                  <wp:posOffset>0</wp:posOffset>
                </wp:positionH>
                <wp:positionV relativeFrom="paragraph">
                  <wp:posOffset>175895</wp:posOffset>
                </wp:positionV>
                <wp:extent cx="571500" cy="525780"/>
                <wp:effectExtent l="0" t="4445" r="0" b="3175"/>
                <wp:wrapNone/>
                <wp:docPr id="131"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571500" cy="52578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工程师对</w:t>
                            </w:r>
                            <w:r>
                              <w:rPr>
                                <w:rFonts w:hint="eastAsia" w:ascii="楷体_GB2312" w:hAnsi="宋体" w:eastAsia="楷体_GB2312"/>
                              </w:rPr>
                              <w:t>安全文明进行</w:t>
                            </w:r>
                            <w:r>
                              <w:rPr>
                                <w:rFonts w:hint="eastAsia" w:ascii="楷体_GB2312" w:eastAsia="楷体_GB2312"/>
                              </w:rPr>
                              <w:t>监督</w:t>
                            </w:r>
                          </w:p>
                        </w:txbxContent>
                      </wps:txbx>
                      <wps:bodyPr rot="0" vert="horz" wrap="square" lIns="0" tIns="0" rIns="0" bIns="0" anchor="t" anchorCtr="0" upright="1">
                        <a:noAutofit/>
                      </wps:bodyPr>
                    </wps:wsp>
                  </a:graphicData>
                </a:graphic>
              </wp:anchor>
            </w:drawing>
          </mc:Choice>
          <mc:Fallback>
            <w:pict>
              <v:shape id="文本框 130" o:spid="_x0000_s1026" o:spt="202" type="#_x0000_t202" style="position:absolute;left:0pt;margin-left:0pt;margin-top:13.85pt;height:41.4pt;width:45pt;z-index:251862016;mso-width-relative:page;mso-height-relative:page;" fillcolor="#FFFFFF" filled="t" stroked="f" coordsize="21600,21600" o:gfxdata="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Cznp/V&#10;AAAABgEAAA8AAAAAAAAAAQAgAAAAIgAAAGRycy9kb3ducmV2LnhtbFBLAQIUABQAAAAIAIdO4kCU&#10;DvUuIwIAADEEAAAOAAAAAAAAAAEAIAAAACQBAABkcnMvZTJvRG9jLnhtbFBLBQYAAAAABgAGAFkB&#10;AAC5BQ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工程师对</w:t>
                      </w:r>
                      <w:r>
                        <w:rPr>
                          <w:rFonts w:hint="eastAsia" w:ascii="楷体_GB2312" w:hAnsi="宋体" w:eastAsia="楷体_GB2312"/>
                        </w:rPr>
                        <w:t>安全文明进行</w:t>
                      </w:r>
                      <w:r>
                        <w:rPr>
                          <w:rFonts w:hint="eastAsia" w:ascii="楷体_GB2312" w:eastAsia="楷体_GB2312"/>
                        </w:rPr>
                        <w:t>监督</w:t>
                      </w:r>
                    </w:p>
                  </w:txbxContent>
                </v:textbox>
              </v:shape>
            </w:pict>
          </mc:Fallback>
        </mc:AlternateContent>
      </w:r>
      <w:r>
        <w:rPr>
          <w:rFonts w:hint="eastAsia" w:ascii="宋体" w:hAnsi="宋体"/>
          <w:b w:val="0"/>
          <w:color w:val="000000"/>
          <w:sz w:val="21"/>
        </w:rPr>
        <w:t>工程师应当对承包人落实施工企业现场安全文明措施情况进行现场监督。对承包人已经落实的施工企业现场安全文明措施，工程师应当及时审查确认。工程师发现承包人未落实施工组织设计及专项施工方案中安全防护和文明施工措施的，有权责令其立即整改，承包人拒不整改或未按期限要求完成整改的，工程师应当及时向发包人和建设行政主管部门报告，必要时责令其暂停施工。</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45632" behindDoc="0" locked="0" layoutInCell="1" allowOverlap="1">
                <wp:simplePos x="0" y="0"/>
                <wp:positionH relativeFrom="column">
                  <wp:posOffset>0</wp:posOffset>
                </wp:positionH>
                <wp:positionV relativeFrom="paragraph">
                  <wp:posOffset>173355</wp:posOffset>
                </wp:positionV>
                <wp:extent cx="571500" cy="228600"/>
                <wp:effectExtent l="0" t="1905" r="0" b="0"/>
                <wp:wrapNone/>
                <wp:docPr id="130"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r>
                              <w:rPr>
                                <w:rFonts w:hint="eastAsia"/>
                              </w:rPr>
                              <w:t>安全防护</w:t>
                            </w:r>
                          </w:p>
                        </w:txbxContent>
                      </wps:txbx>
                      <wps:bodyPr rot="0" vert="horz" wrap="square" lIns="0" tIns="0" rIns="0" bIns="0" anchor="t" anchorCtr="0" upright="1">
                        <a:noAutofit/>
                      </wps:bodyPr>
                    </wps:wsp>
                  </a:graphicData>
                </a:graphic>
              </wp:anchor>
            </w:drawing>
          </mc:Choice>
          <mc:Fallback>
            <w:pict>
              <v:shape id="文本框 129" o:spid="_x0000_s1026" o:spt="202" type="#_x0000_t202" style="position:absolute;left:0pt;margin-left:0pt;margin-top:13.65pt;height:18pt;width:45pt;z-index:251845632;mso-width-relative:page;mso-height-relative:page;" fillcolor="#FFFFFF" filled="t" stroked="f" coordsize="21600,21600" o:gfxdata="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TT9pdQAAAAF&#10;AQAADwAAAAAAAAABACAAAAAiAAAAZHJzL2Rvd25yZXYueG1sUEsBAhQAFAAAAAgAh07iQPlrBEMg&#10;AgAAMQQAAA4AAAAAAAAAAQAgAAAAIwEAAGRycy9lMm9Eb2MueG1sUEsFBgAAAAAGAAYAWQEAALUF&#10;AAAAAA==&#10;">
                <v:fill on="t" focussize="0,0"/>
                <v:stroke on="f"/>
                <v:imagedata o:title=""/>
                <o:lock v:ext="edit" aspectratio="f"/>
                <v:textbox inset="0mm,0mm,0mm,0mm">
                  <w:txbxContent>
                    <w:p>
                      <w:r>
                        <w:rPr>
                          <w:rFonts w:hint="eastAsia"/>
                        </w:rPr>
                        <w:t>安全防护</w:t>
                      </w:r>
                    </w:p>
                  </w:txbxContent>
                </v:textbox>
              </v:shape>
            </w:pict>
          </mc:Fallback>
        </mc:AlternateContent>
      </w:r>
      <w:r>
        <w:rPr>
          <w:rFonts w:hint="eastAsia" w:ascii="宋体" w:hAnsi="宋体"/>
          <w:b w:val="0"/>
          <w:color w:val="000000"/>
          <w:sz w:val="21"/>
        </w:rPr>
        <w:t>承包人在动力设备、输电线路、地下管道、密封防震车间、易燃易爆地段、临街交通要道附近、放射毒害性环境中施工以及实施爆破作业、使用毒害性腐蚀性物品施工时，施工前应向工程师提出安全防护措施，经工程师认可后实施，由发包人承担相应安全防护措施费用。</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175260</wp:posOffset>
                </wp:positionV>
                <wp:extent cx="571500" cy="342900"/>
                <wp:effectExtent l="0" t="3810" r="0" b="0"/>
                <wp:wrapNone/>
                <wp:docPr id="129"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承包人的现场作业</w:t>
                            </w:r>
                          </w:p>
                        </w:txbxContent>
                      </wps:txbx>
                      <wps:bodyPr rot="0" vert="horz" wrap="square" lIns="0" tIns="0" rIns="0" bIns="0" anchor="t" anchorCtr="0" upright="1">
                        <a:noAutofit/>
                      </wps:bodyPr>
                    </wps:wsp>
                  </a:graphicData>
                </a:graphic>
              </wp:anchor>
            </w:drawing>
          </mc:Choice>
          <mc:Fallback>
            <w:pict>
              <v:shape id="文本框 128" o:spid="_x0000_s1026" o:spt="202" type="#_x0000_t202" style="position:absolute;left:0pt;margin-left:0pt;margin-top:13.8pt;height:27pt;width:45pt;z-index:251744256;mso-width-relative:page;mso-height-relative:page;" fillcolor="#FFFFFF" filled="t" stroked="f" coordsize="21600,21600" o:gfxdata="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WHcsXUAAAA&#10;BQEAAA8AAAAAAAAAAQAgAAAAIgAAAGRycy9kb3ducmV2LnhtbFBLAQIUABQAAAAIAIdO4kAIhxAW&#10;IQIAADEEAAAOAAAAAAAAAAEAIAAAACM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承包人的现场作业</w:t>
                      </w:r>
                    </w:p>
                  </w:txbxContent>
                </v:textbox>
              </v:shape>
            </w:pict>
          </mc:Fallback>
        </mc:AlternateContent>
      </w:r>
      <w:r>
        <w:rPr>
          <w:rFonts w:hint="eastAsia" w:ascii="宋体" w:hAnsi="宋体"/>
          <w:b w:val="0"/>
          <w:color w:val="000000"/>
          <w:sz w:val="21"/>
        </w:rPr>
        <w:t>承包人应将其作业限制在现场内。在施工期间，承包人应保持现场没有障碍物，妥善存放和处理材料设备和承包人装备，及时从现场清除并运走任何残物、垃圾和不再需要的临时工程。</w:t>
      </w:r>
      <w:bookmarkEnd w:id="232"/>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33" w:name="_Toc34909069"/>
      <w: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183515</wp:posOffset>
                </wp:positionV>
                <wp:extent cx="571500" cy="342900"/>
                <wp:effectExtent l="0" t="2540" r="0" b="0"/>
                <wp:wrapNone/>
                <wp:docPr id="128"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化石、文物</w:t>
                            </w:r>
                          </w:p>
                        </w:txbxContent>
                      </wps:txbx>
                      <wps:bodyPr rot="0" vert="horz" wrap="square" lIns="0" tIns="0" rIns="0" bIns="0" anchor="t" anchorCtr="0" upright="1">
                        <a:noAutofit/>
                      </wps:bodyPr>
                    </wps:wsp>
                  </a:graphicData>
                </a:graphic>
              </wp:anchor>
            </w:drawing>
          </mc:Choice>
          <mc:Fallback>
            <w:pict>
              <v:shape id="文本框 127" o:spid="_x0000_s1026" o:spt="202" type="#_x0000_t202" style="position:absolute;left:0pt;margin-left:0pt;margin-top:14.45pt;height:27pt;width:45pt;z-index:251745280;mso-width-relative:page;mso-height-relative:page;" fillcolor="#FFFFFF" filled="t" stroked="f" coordsize="21600,21600" o:gfxdata="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AJYzNQAAAAF&#10;AQAADwAAAAAAAAABACAAAAAiAAAAZHJzL2Rvd25yZXYueG1sUEsBAhQAFAAAAAgAh07iQPC9/hwg&#10;AgAAMQ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化石、文物</w:t>
                      </w:r>
                    </w:p>
                  </w:txbxContent>
                </v:textbox>
              </v:shape>
            </w:pict>
          </mc:Fallback>
        </mc:AlternateContent>
      </w:r>
      <w:r>
        <w:rPr>
          <w:rFonts w:hint="eastAsia" w:ascii="宋体" w:hAnsi="宋体"/>
          <w:b w:val="0"/>
          <w:color w:val="000000"/>
          <w:sz w:val="21"/>
        </w:rPr>
        <w:t>在现场发现的所有化石、文物，以及有地质或考古意义的结构物和其他遗迹或物品时，承包人应立即保护好现场并于4小时内通知工程师，工程师应于收到通知后24小时内报告当地文物管理部门，发包人和承包人应按文物管理部门的要求采取妥善保护措施。</w:t>
      </w:r>
      <w:bookmarkEnd w:id="233"/>
      <w:r>
        <w:rPr>
          <w:rFonts w:hint="eastAsia" w:ascii="宋体" w:hAnsi="宋体"/>
          <w:b w:val="0"/>
          <w:color w:val="000000"/>
          <w:sz w:val="21"/>
        </w:rPr>
        <w:t>发包人承担由此发生的费用，顺延延误的工期。如发现后隐瞒不报或报告不及时，致使上述化石、文物遭受破坏，责任人依法承担相应责任。</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46656" behindDoc="0" locked="0" layoutInCell="1" allowOverlap="1">
                <wp:simplePos x="0" y="0"/>
                <wp:positionH relativeFrom="column">
                  <wp:posOffset>0</wp:posOffset>
                </wp:positionH>
                <wp:positionV relativeFrom="paragraph">
                  <wp:posOffset>144145</wp:posOffset>
                </wp:positionV>
                <wp:extent cx="571500" cy="393065"/>
                <wp:effectExtent l="0" t="1270" r="0" b="0"/>
                <wp:wrapNone/>
                <wp:docPr id="127"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571500" cy="39306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安全事故处理</w:t>
                            </w:r>
                          </w:p>
                        </w:txbxContent>
                      </wps:txbx>
                      <wps:bodyPr rot="0" vert="horz" wrap="square" lIns="0" tIns="36000" rIns="0" bIns="0" anchor="t" anchorCtr="0" upright="1">
                        <a:noAutofit/>
                      </wps:bodyPr>
                    </wps:wsp>
                  </a:graphicData>
                </a:graphic>
              </wp:anchor>
            </w:drawing>
          </mc:Choice>
          <mc:Fallback>
            <w:pict>
              <v:shape id="文本框 126" o:spid="_x0000_s1026" o:spt="202" type="#_x0000_t202" style="position:absolute;left:0pt;margin-left:0pt;margin-top:11.35pt;height:30.95pt;width:45pt;z-index:251846656;mso-width-relative:page;mso-height-relative:page;" fillcolor="#FFFFFF" filled="t" stroked="f" coordsize="21600,21600" o:gfxdata="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cB&#10;l1bUAAAABQEAAA8AAAAAAAAAAQAgAAAAIgAAAGRycy9kb3ducmV2LnhtbFBLAQIUABQAAAAIAIdO&#10;4kBlYPnZJwIAADUEAAAOAAAAAAAAAAEAIAAAACMBAABkcnMvZTJvRG9jLnhtbFBLBQYAAAAABgAG&#10;AFkBAAC8BQAAAAA=&#10;">
                <v:fill on="t" focussize="0,0"/>
                <v:stroke on="f"/>
                <v:imagedata o:title=""/>
                <o:lock v:ext="edit" aspectratio="f"/>
                <v:textbox inset="0mm,1mm,0mm,0mm">
                  <w:txbxContent>
                    <w:p>
                      <w:pPr>
                        <w:rPr>
                          <w:rFonts w:ascii="楷体_GB2312" w:eastAsia="楷体_GB2312"/>
                        </w:rPr>
                      </w:pPr>
                      <w:r>
                        <w:rPr>
                          <w:rFonts w:hint="eastAsia" w:ascii="楷体_GB2312" w:eastAsia="楷体_GB2312"/>
                        </w:rPr>
                        <w:t>安全事故处理</w:t>
                      </w:r>
                    </w:p>
                  </w:txbxContent>
                </v:textbox>
              </v:shape>
            </w:pict>
          </mc:Fallback>
        </mc:AlternateContent>
      </w:r>
      <w:r>
        <w:rPr>
          <w:rFonts w:hint="eastAsia" w:ascii="宋体" w:hAnsi="宋体"/>
          <w:b w:val="0"/>
          <w:color w:val="000000"/>
          <w:sz w:val="21"/>
        </w:rPr>
        <w:t>发生重大伤亡及其他安全事故，承包人应按相关规定立即上报有关部门并通知发包人及工程师，同时按政府有关部门要求处理。发包人和承包人对事故责任有争议时，由政府有关部门认定。</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64064" behindDoc="0" locked="0" layoutInCell="1" allowOverlap="1">
                <wp:simplePos x="0" y="0"/>
                <wp:positionH relativeFrom="column">
                  <wp:posOffset>0</wp:posOffset>
                </wp:positionH>
                <wp:positionV relativeFrom="paragraph">
                  <wp:posOffset>155575</wp:posOffset>
                </wp:positionV>
                <wp:extent cx="571500" cy="527685"/>
                <wp:effectExtent l="0" t="3175" r="0" b="2540"/>
                <wp:wrapNone/>
                <wp:docPr id="126"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571500" cy="52768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安全文明措施费应</w:t>
                            </w:r>
                            <w:r>
                              <w:rPr>
                                <w:rFonts w:hint="eastAsia" w:ascii="楷体_GB2312" w:eastAsia="楷体_GB2312"/>
                              </w:rPr>
                              <w:t>专款专用</w:t>
                            </w:r>
                          </w:p>
                        </w:txbxContent>
                      </wps:txbx>
                      <wps:bodyPr rot="0" vert="horz" wrap="square" lIns="0" tIns="18000" rIns="0" bIns="0" anchor="t" anchorCtr="0" upright="1">
                        <a:noAutofit/>
                      </wps:bodyPr>
                    </wps:wsp>
                  </a:graphicData>
                </a:graphic>
              </wp:anchor>
            </w:drawing>
          </mc:Choice>
          <mc:Fallback>
            <w:pict>
              <v:shape id="文本框 125" o:spid="_x0000_s1026" o:spt="202" type="#_x0000_t202" style="position:absolute;left:0pt;margin-left:0pt;margin-top:12.25pt;height:41.55pt;width:45pt;z-index:251864064;mso-width-relative:page;mso-height-relative:page;" fillcolor="#FFFFFF" filled="t" stroked="f" coordsize="21600,21600" o:gfxdata="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tFHCNYAAAAGAQAADwAAAAAAAAABACAAAAAiAAAAZHJzL2Rvd25yZXYueG1sUEsBAhQAFAAAAAgA&#10;h07iQLeygNwnAgAANQQAAA4AAAAAAAAAAQAgAAAAJQEAAGRycy9lMm9Eb2MueG1sUEsFBgAAAAAG&#10;AAYAWQEAAL4FA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安全文明措施费应</w:t>
                      </w:r>
                      <w:r>
                        <w:rPr>
                          <w:rFonts w:hint="eastAsia" w:ascii="楷体_GB2312" w:eastAsia="楷体_GB2312"/>
                        </w:rPr>
                        <w:t>专款专用</w:t>
                      </w:r>
                    </w:p>
                  </w:txbxContent>
                </v:textbox>
              </v:shape>
            </w:pict>
          </mc:Fallback>
        </mc:AlternateContent>
      </w:r>
      <w:r>
        <w:rPr>
          <w:rFonts w:hint="eastAsia" w:ascii="宋体" w:hAnsi="宋体"/>
          <w:b w:val="0"/>
          <w:color w:val="000000"/>
          <w:sz w:val="21"/>
        </w:rPr>
        <w:t>承包人应确保施工现场安全文明措施费专款专用，在财务管理中单独列出施工企业现场安全文明措施项目费用清单及金额备查，并设立单独的安全文明措施费银行账户，接受发包人的监管。承包人应当按照分包合同约定及时向分包人支付施工现场安全文明措施费。承包人不按约定支付费用，造成分包人不能及时落实安全防护措施导致发生事故的，由承包人负责。</w:t>
      </w:r>
    </w:p>
    <w:p>
      <w:pPr>
        <w:pStyle w:val="2"/>
        <w:keepLines w:val="0"/>
        <w:tabs>
          <w:tab w:val="left" w:pos="1620"/>
          <w:tab w:val="left" w:pos="2340"/>
        </w:tabs>
        <w:ind w:left="945" w:leftChars="450"/>
        <w:rPr>
          <w:rFonts w:hAnsi="宋体"/>
          <w:color w:val="000000"/>
          <w:sz w:val="28"/>
          <w:szCs w:val="28"/>
        </w:rPr>
      </w:pPr>
      <w:bookmarkStart w:id="234" w:name="_Toc34909070"/>
      <w:bookmarkStart w:id="235" w:name="_Toc35656989"/>
      <w:bookmarkStart w:id="236" w:name="_Toc35656487"/>
      <w:r>
        <w:rPr>
          <w:rFonts w:hint="eastAsia" w:hAnsi="宋体"/>
          <w:color w:val="000000"/>
          <w:sz w:val="28"/>
          <w:szCs w:val="28"/>
        </w:rPr>
        <w:t>工程的保护</w:t>
      </w:r>
      <w:bookmarkEnd w:id="234"/>
      <w:bookmarkEnd w:id="235"/>
      <w:bookmarkEnd w:id="23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37" w:name="_Toc34909071"/>
      <w: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12700</wp:posOffset>
                </wp:positionV>
                <wp:extent cx="571500" cy="342900"/>
                <wp:effectExtent l="0" t="3175" r="0" b="0"/>
                <wp:wrapNone/>
                <wp:docPr id="125"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工程的保护</w:t>
                            </w:r>
                          </w:p>
                        </w:txbxContent>
                      </wps:txbx>
                      <wps:bodyPr rot="0" vert="horz" wrap="square" lIns="0" tIns="0" rIns="0" bIns="0" anchor="t" anchorCtr="0" upright="1">
                        <a:noAutofit/>
                      </wps:bodyPr>
                    </wps:wsp>
                  </a:graphicData>
                </a:graphic>
              </wp:anchor>
            </w:drawing>
          </mc:Choice>
          <mc:Fallback>
            <w:pict>
              <v:shape id="文本框 124" o:spid="_x0000_s1026" o:spt="202" type="#_x0000_t202" style="position:absolute;left:0pt;margin-left:0pt;margin-top:1pt;height:27pt;width:45pt;z-index:251746304;mso-width-relative:page;mso-height-relative:page;" fillcolor="#FFFFFF" filled="t" stroked="f" coordsize="21600,21600" o:gfxdata="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ia+Sw0wAAAAQB&#10;AAAPAAAAAAAAAAEAIAAAACIAAABkcnMvZG93bnJldi54bWxQSwECFAAUAAAACACHTuJAq9qaGCAC&#10;AAAxBAAADgAAAAAAAAABACAAAAAiAQAAZHJzL2Uyb0RvYy54bWxQSwUGAAAAAAYABgBZAQAAtAUA&#10;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工程的保护</w:t>
                      </w:r>
                    </w:p>
                  </w:txbxContent>
                </v:textbox>
              </v:shape>
            </w:pict>
          </mc:Fallback>
        </mc:AlternateContent>
      </w:r>
      <w:r>
        <w:rPr>
          <w:rFonts w:hint="eastAsia" w:ascii="宋体" w:hAnsi="宋体"/>
          <w:b w:val="0"/>
          <w:color w:val="000000"/>
          <w:sz w:val="21"/>
        </w:rPr>
        <w:t>从开工之日起，承包人应全面负责照管本工程及将用于和安装在本工程中的材料、设备，直到本工程交接证书签发之日止。此后，上述照管责任即交给发包人。如在整个工程交接证书颁发前，已就其中任何单项工程颁发了交接证书，则从交接证书签发之日起承包人无须对该单项工程负责保护，而转由发包人负责。但是，承包人对其在缺陷责任期内承担的尚未完成的工程和将用于和安装在工程中的材料、设备的照管负责，直到该工程完工为止。</w:t>
      </w:r>
    </w:p>
    <w:p>
      <w:pPr>
        <w:pStyle w:val="3"/>
        <w:tabs>
          <w:tab w:val="left" w:pos="1620"/>
          <w:tab w:val="left" w:pos="2340"/>
        </w:tabs>
        <w:spacing w:before="0"/>
        <w:ind w:left="1418" w:leftChars="675"/>
        <w:jc w:val="both"/>
        <w:rPr>
          <w:rFonts w:ascii="宋体" w:hAnsi="宋体"/>
          <w:b w:val="0"/>
          <w:color w:val="000000"/>
          <w:sz w:val="21"/>
        </w:rPr>
      </w:pPr>
      <w:r>
        <w:rPr>
          <w:rFonts w:hint="eastAsia" w:ascii="宋体" w:hAnsi="宋体"/>
          <w:b w:val="0"/>
          <w:color w:val="000000"/>
          <w:sz w:val="21"/>
        </w:rPr>
        <w:t>本款所述照管责任是指照管责任人应对因丢失、盗失、毁损等行为引起的材料、设备使用状态和存在状态不符合合同约定承担修复、赔偿、损失自担等责任。</w:t>
      </w:r>
      <w:bookmarkEnd w:id="237"/>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38" w:name="_Toc34909072"/>
      <w: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114935</wp:posOffset>
                </wp:positionV>
                <wp:extent cx="571500" cy="459105"/>
                <wp:effectExtent l="0" t="635" r="0" b="0"/>
                <wp:wrapNone/>
                <wp:docPr id="124"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571500" cy="45910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工程的修复</w:t>
                            </w:r>
                          </w:p>
                        </w:txbxContent>
                      </wps:txbx>
                      <wps:bodyPr rot="0" vert="horz" wrap="square" lIns="0" tIns="54000" rIns="0" bIns="0" anchor="t" anchorCtr="0" upright="1">
                        <a:noAutofit/>
                      </wps:bodyPr>
                    </wps:wsp>
                  </a:graphicData>
                </a:graphic>
              </wp:anchor>
            </w:drawing>
          </mc:Choice>
          <mc:Fallback>
            <w:pict>
              <v:shape id="文本框 123" o:spid="_x0000_s1026" o:spt="202" type="#_x0000_t202" style="position:absolute;left:0pt;margin-left:0pt;margin-top:9.05pt;height:36.15pt;width:45pt;z-index:251747328;mso-width-relative:page;mso-height-relative:page;" fillcolor="#FFFFFF" filled="t" stroked="f" coordsize="21600,21600" o:gfxdata="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f/xrdUAAAAFAQAADwAAAAAAAAABACAAAAAiAAAAZHJzL2Rvd25yZXYueG1sUEsBAhQAFAAAAAgA&#10;h07iQJR1CVsoAgAANQQAAA4AAAAAAAAAAQAgAAAAJAEAAGRycy9lMm9Eb2MueG1sUEsFBgAAAAAG&#10;AAYAWQEAAL4FAAAAAA==&#10;">
                <v:fill on="t" focussize="0,0"/>
                <v:stroke on="f"/>
                <v:imagedata o:title=""/>
                <o:lock v:ext="edit" aspectratio="f"/>
                <v:textbox inset="0mm,1.5mm,0mm,0mm">
                  <w:txbxContent>
                    <w:p>
                      <w:pPr>
                        <w:rPr>
                          <w:rFonts w:ascii="楷体_GB2312" w:eastAsia="楷体_GB2312"/>
                        </w:rPr>
                      </w:pPr>
                      <w:r>
                        <w:rPr>
                          <w:rFonts w:hint="eastAsia" w:ascii="楷体_GB2312" w:eastAsia="楷体_GB2312"/>
                        </w:rPr>
                        <w:t>工程的修复</w:t>
                      </w:r>
                    </w:p>
                  </w:txbxContent>
                </v:textbox>
              </v:shape>
            </w:pict>
          </mc:Fallback>
        </mc:AlternateContent>
      </w:r>
      <w:r>
        <w:rPr>
          <w:rFonts w:hint="eastAsia" w:ascii="宋体" w:hAnsi="宋体"/>
          <w:b w:val="0"/>
          <w:color w:val="000000"/>
          <w:sz w:val="21"/>
        </w:rPr>
        <w:t>承包人在负责照管期间，如因承包人自身或（和）第三方原因造成本工程或其任何部分，以及材料、设备、装备、临时工程的毁损，承包人均应自费弥补上述损坏、损失或损伤，以使工程在各方面都符合合同约定的标准。</w:t>
      </w:r>
      <w:bookmarkEnd w:id="238"/>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39" w:name="_Toc34909073"/>
      <w: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133350</wp:posOffset>
                </wp:positionV>
                <wp:extent cx="571500" cy="457200"/>
                <wp:effectExtent l="0" t="0" r="0" b="0"/>
                <wp:wrapNone/>
                <wp:docPr id="123"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成品、半成品保护</w:t>
                            </w:r>
                          </w:p>
                        </w:txbxContent>
                      </wps:txbx>
                      <wps:bodyPr rot="0" vert="horz" wrap="square" lIns="0" tIns="54000" rIns="0" bIns="0" anchor="t" anchorCtr="0" upright="1">
                        <a:noAutofit/>
                      </wps:bodyPr>
                    </wps:wsp>
                  </a:graphicData>
                </a:graphic>
              </wp:anchor>
            </w:drawing>
          </mc:Choice>
          <mc:Fallback>
            <w:pict>
              <v:shape id="文本框 122" o:spid="_x0000_s1026" o:spt="202" type="#_x0000_t202" style="position:absolute;left:0pt;margin-left:0pt;margin-top:10.5pt;height:36pt;width:45pt;z-index:251748352;mso-width-relative:page;mso-height-relative:page;" fillcolor="#FFFFFF" filled="t" stroked="f" coordsize="21600,21600" o:gfxdata="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ry&#10;H5vUAAAABQEAAA8AAAAAAAAAAQAgAAAAIgAAAGRycy9kb3ducmV2LnhtbFBLAQIUABQAAAAIAIdO&#10;4kChkKSKJwIAADUEAAAOAAAAAAAAAAEAIAAAACMBAABkcnMvZTJvRG9jLnhtbFBLBQYAAAAABgAG&#10;AFkBAAC8BQAAAAA=&#10;">
                <v:fill on="t" focussize="0,0"/>
                <v:stroke on="f"/>
                <v:imagedata o:title=""/>
                <o:lock v:ext="edit" aspectratio="f"/>
                <v:textbox inset="0mm,1.5mm,0mm,0mm">
                  <w:txbxContent>
                    <w:p>
                      <w:pPr>
                        <w:rPr>
                          <w:rFonts w:ascii="楷体_GB2312" w:eastAsia="楷体_GB2312"/>
                        </w:rPr>
                      </w:pPr>
                      <w:r>
                        <w:rPr>
                          <w:rFonts w:hint="eastAsia" w:ascii="楷体_GB2312" w:eastAsia="楷体_GB2312"/>
                        </w:rPr>
                        <w:t>成品、半成品保护</w:t>
                      </w:r>
                    </w:p>
                  </w:txbxContent>
                </v:textbox>
              </v:shape>
            </w:pict>
          </mc:Fallback>
        </mc:AlternateContent>
      </w:r>
      <w:r>
        <w:rPr>
          <w:rFonts w:hint="eastAsia" w:ascii="宋体" w:hAnsi="宋体"/>
          <w:b w:val="0"/>
          <w:color w:val="000000"/>
          <w:sz w:val="21"/>
        </w:rPr>
        <w:t>对工程中分期完成的成品、半成品，在工程竣工移交前，承包人负保护责任，任何其他分包人对其使用或在其基础上施工，必须得到承包人的许可。对工程师确认因承包人保护措施不当造成的损坏，由承包人负责修复；对分包人在施工过程中造成的损坏由责任人负责修复。</w:t>
      </w:r>
      <w:bookmarkEnd w:id="239"/>
    </w:p>
    <w:p>
      <w:pPr>
        <w:pStyle w:val="2"/>
        <w:keepLines w:val="0"/>
        <w:tabs>
          <w:tab w:val="left" w:pos="1620"/>
          <w:tab w:val="left" w:pos="2340"/>
        </w:tabs>
        <w:ind w:left="945" w:leftChars="450"/>
        <w:rPr>
          <w:color w:val="000000"/>
          <w:sz w:val="28"/>
          <w:szCs w:val="28"/>
        </w:rPr>
      </w:pPr>
      <w:r>
        <w:rPr>
          <w:rFonts w:hint="eastAsia" w:hAnsi="宋体"/>
          <w:color w:val="000000"/>
          <w:sz w:val="28"/>
          <w:szCs w:val="28"/>
        </w:rPr>
        <w:t>余泥渣土运输车辆要求</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86592" behindDoc="0" locked="0" layoutInCell="1" allowOverlap="1">
                <wp:simplePos x="0" y="0"/>
                <wp:positionH relativeFrom="column">
                  <wp:posOffset>0</wp:posOffset>
                </wp:positionH>
                <wp:positionV relativeFrom="paragraph">
                  <wp:posOffset>3175</wp:posOffset>
                </wp:positionV>
                <wp:extent cx="571500" cy="464185"/>
                <wp:effectExtent l="0" t="3175" r="0" b="0"/>
                <wp:wrapNone/>
                <wp:docPr id="122"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571500" cy="46418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证件种类要求</w:t>
                            </w:r>
                          </w:p>
                        </w:txbxContent>
                      </wps:txbx>
                      <wps:bodyPr rot="0" vert="horz" wrap="square" lIns="0" tIns="18000" rIns="0" bIns="0" anchor="t" anchorCtr="0" upright="1">
                        <a:noAutofit/>
                      </wps:bodyPr>
                    </wps:wsp>
                  </a:graphicData>
                </a:graphic>
              </wp:anchor>
            </w:drawing>
          </mc:Choice>
          <mc:Fallback>
            <w:pict>
              <v:shape id="文本框 121" o:spid="_x0000_s1026" o:spt="202" type="#_x0000_t202" style="position:absolute;left:0pt;margin-left:0pt;margin-top:0.25pt;height:36.55pt;width:45pt;z-index:251886592;mso-width-relative:page;mso-height-relative:page;" fillcolor="#FFFFFF" filled="t" stroked="f" coordsize="21600,21600" o:gfxdata="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Wvo&#10;DNQAAAADAQAADwAAAAAAAAABACAAAAAiAAAAZHJzL2Rvd25yZXYueG1sUEsBAhQAFAAAAAgAh07i&#10;QL6g/zcmAgAANQQAAA4AAAAAAAAAAQAgAAAAIwEAAGRycy9lMm9Eb2MueG1sUEsFBgAAAAAGAAYA&#10;WQEAALsFA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证件种类要求</w:t>
                      </w:r>
                    </w:p>
                  </w:txbxContent>
                </v:textbox>
              </v:shape>
            </w:pict>
          </mc:Fallback>
        </mc:AlternateContent>
      </w:r>
      <w:r>
        <w:rPr>
          <w:rFonts w:hint="eastAsia" w:ascii="宋体" w:hAnsi="宋体"/>
          <w:b w:val="0"/>
          <w:color w:val="000000"/>
          <w:sz w:val="21"/>
        </w:rPr>
        <w:t>承</w:t>
      </w:r>
      <w:r>
        <w:rPr>
          <w:rFonts w:ascii="宋体" w:hAnsi="宋体"/>
          <w:b w:val="0"/>
          <w:color w:val="000000"/>
          <w:sz w:val="21"/>
        </w:rPr>
        <w:t>担本合同余泥渣土运输任务的专业运输单位及其营运的余泥渣土运输车辆应当具备相关职能部门核发的下列证件：</w:t>
      </w:r>
    </w:p>
    <w:p>
      <w:pPr>
        <w:tabs>
          <w:tab w:val="left" w:pos="1620"/>
          <w:tab w:val="left" w:pos="2340"/>
        </w:tabs>
        <w:ind w:firstLine="1470" w:firstLineChars="700"/>
        <w:rPr>
          <w:rFonts w:ascii="宋体" w:hAnsi="宋体"/>
          <w:color w:val="000000"/>
        </w:rPr>
      </w:pPr>
      <w:r>
        <w:rPr>
          <w:rFonts w:ascii="宋体" w:hAnsi="宋体"/>
          <w:color w:val="000000"/>
        </w:rPr>
        <w:t>（1）专业运输单位应具备：《道路运输经营许可证》；</w:t>
      </w:r>
    </w:p>
    <w:p>
      <w:pPr>
        <w:tabs>
          <w:tab w:val="left" w:pos="1620"/>
          <w:tab w:val="left" w:pos="2340"/>
        </w:tabs>
        <w:ind w:left="2841" w:leftChars="675" w:hanging="1423" w:hangingChars="678"/>
        <w:rPr>
          <w:rFonts w:ascii="宋体" w:hAnsi="宋体"/>
          <w:color w:val="000000"/>
        </w:rPr>
      </w:pPr>
      <w:r>
        <w:rPr>
          <w:rFonts w:ascii="宋体" w:hAnsi="宋体"/>
          <w:color w:val="000000"/>
        </w:rPr>
        <w:t>（2）余泥渣土运输车辆应具备：《道路运输许可证》</w:t>
      </w:r>
      <w:r>
        <w:rPr>
          <w:rFonts w:hint="eastAsia" w:ascii="宋体" w:hAnsi="宋体"/>
          <w:color w:val="000000"/>
        </w:rPr>
        <w:t>、《机动车行驶证》</w:t>
      </w:r>
      <w:r>
        <w:rPr>
          <w:rFonts w:ascii="宋体" w:hAnsi="宋体"/>
          <w:color w:val="000000"/>
        </w:rPr>
        <w:t>；</w:t>
      </w:r>
    </w:p>
    <w:p>
      <w:pPr>
        <w:tabs>
          <w:tab w:val="left" w:pos="1620"/>
          <w:tab w:val="left" w:pos="2340"/>
        </w:tabs>
        <w:ind w:left="1415" w:leftChars="674"/>
        <w:rPr>
          <w:rFonts w:ascii="宋体" w:hAnsi="宋体"/>
          <w:color w:val="000000"/>
        </w:rPr>
      </w:pPr>
      <w:r>
        <w:rPr>
          <w:rFonts w:ascii="宋体" w:hAnsi="宋体"/>
          <w:color w:val="000000"/>
        </w:rPr>
        <w:t>（3）因工程客观情况需要，余泥渣土运输车辆需承担建筑垃圾运输任务，应办理《城市建筑垃圾准运证》；以及，余泥渣土运输车辆需行驶市区内禁行路段，还应办</w:t>
      </w:r>
      <w:r>
        <w:rPr>
          <w:rFonts w:ascii="宋体" w:hAnsi="宋体"/>
          <w:color w:val="000000"/>
          <w:highlight w:val="none"/>
        </w:rPr>
        <w:t>理《</w:t>
      </w:r>
      <w:r>
        <w:rPr>
          <w:rFonts w:hint="eastAsia" w:ascii="宋体" w:hAnsi="宋体"/>
          <w:color w:val="000000"/>
          <w:highlight w:val="none"/>
          <w:lang w:val="en-US" w:eastAsia="zh-CN"/>
        </w:rPr>
        <w:t>广州</w:t>
      </w:r>
      <w:r>
        <w:rPr>
          <w:rFonts w:ascii="宋体" w:hAnsi="宋体"/>
          <w:color w:val="000000"/>
          <w:highlight w:val="none"/>
        </w:rPr>
        <w:t>市余泥渣土运</w:t>
      </w:r>
      <w:r>
        <w:rPr>
          <w:rFonts w:ascii="宋体" w:hAnsi="宋体"/>
          <w:color w:val="000000"/>
        </w:rPr>
        <w:t>输车辆临时通行证》。</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w:rPr>
          <w:rFonts w:ascii="宋体" w:hAnsi="宋体"/>
          <w:b w:val="0"/>
          <w:color w:val="000000"/>
          <w:sz w:val="21"/>
        </w:rPr>
        <w:t>若承包人具备第2</w:t>
      </w:r>
      <w:r>
        <w:rPr>
          <w:rFonts w:hint="eastAsia" w:ascii="宋体" w:hAnsi="宋体"/>
          <w:b w:val="0"/>
          <w:color w:val="000000"/>
          <w:sz w:val="21"/>
        </w:rPr>
        <w:t>8</w:t>
      </w:r>
      <w:r>
        <w:rPr>
          <w:rFonts w:ascii="宋体" w:hAnsi="宋体"/>
          <w:b w:val="0"/>
          <w:color w:val="000000"/>
          <w:sz w:val="21"/>
        </w:rPr>
        <w:t>.1款</w:t>
      </w:r>
      <w:r>
        <w:rPr>
          <w:rFonts w:hint="eastAsia" w:ascii="宋体" w:hAnsi="宋体"/>
          <w:b w:val="0"/>
          <w:color w:val="000000"/>
          <w:sz w:val="21"/>
        </w:rPr>
        <w:t>第（1）、（2）项</w:t>
      </w:r>
      <w:r>
        <w:rPr>
          <w:rFonts w:ascii="宋体" w:hAnsi="宋体"/>
          <w:b w:val="0"/>
          <w:color w:val="000000"/>
          <w:sz w:val="21"/>
        </w:rPr>
        <w:t>证件，可自行组织完成本合同约定的余泥渣土运输任务。</w:t>
      </w:r>
      <w:r>
        <mc:AlternateContent>
          <mc:Choice Requires="wps">
            <w:drawing>
              <wp:anchor distT="0" distB="0" distL="114300" distR="114300" simplePos="0" relativeHeight="251887616" behindDoc="0" locked="0" layoutInCell="1" allowOverlap="1">
                <wp:simplePos x="0" y="0"/>
                <wp:positionH relativeFrom="column">
                  <wp:posOffset>0</wp:posOffset>
                </wp:positionH>
                <wp:positionV relativeFrom="paragraph">
                  <wp:posOffset>149860</wp:posOffset>
                </wp:positionV>
                <wp:extent cx="571500" cy="464185"/>
                <wp:effectExtent l="0" t="0" r="0" b="0"/>
                <wp:wrapNone/>
                <wp:docPr id="121"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571500" cy="46418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承包人自行运输</w:t>
                            </w:r>
                          </w:p>
                        </w:txbxContent>
                      </wps:txbx>
                      <wps:bodyPr rot="0" vert="horz" wrap="square" lIns="0" tIns="18000" rIns="0" bIns="0" anchor="t" anchorCtr="0" upright="1">
                        <a:noAutofit/>
                      </wps:bodyPr>
                    </wps:wsp>
                  </a:graphicData>
                </a:graphic>
              </wp:anchor>
            </w:drawing>
          </mc:Choice>
          <mc:Fallback>
            <w:pict>
              <v:shape id="文本框 120" o:spid="_x0000_s1026" o:spt="202" type="#_x0000_t202" style="position:absolute;left:0pt;margin-left:0pt;margin-top:11.8pt;height:36.55pt;width:45pt;z-index:251887616;mso-width-relative:page;mso-height-relative:page;" fillcolor="#FFFFFF" filled="t" stroked="f" coordsize="21600,21600" o:gfxdata="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z3l7rWAAAABQEAAA8AAAAAAAAAAQAgAAAAIgAAAGRycy9kb3ducmV2LnhtbFBLAQIUABQAAAAI&#10;AIdO4kBJXrvnKAIAADUEAAAOAAAAAAAAAAEAIAAAACUBAABkcnMvZTJvRG9jLnhtbFBLBQYAAAAA&#10;BgAGAFkBAAC/BQ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承包人自行运输</w:t>
                      </w:r>
                    </w:p>
                  </w:txbxContent>
                </v:textbox>
              </v:shape>
            </w:pict>
          </mc:Fallback>
        </mc:AlternateConten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88640" behindDoc="0" locked="0" layoutInCell="1" allowOverlap="1">
                <wp:simplePos x="0" y="0"/>
                <wp:positionH relativeFrom="column">
                  <wp:posOffset>0</wp:posOffset>
                </wp:positionH>
                <wp:positionV relativeFrom="paragraph">
                  <wp:posOffset>167005</wp:posOffset>
                </wp:positionV>
                <wp:extent cx="571500" cy="464185"/>
                <wp:effectExtent l="0" t="0" r="0" b="0"/>
                <wp:wrapNone/>
                <wp:docPr id="120"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571500" cy="46418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余泥渣土运输分包</w:t>
                            </w:r>
                          </w:p>
                        </w:txbxContent>
                      </wps:txbx>
                      <wps:bodyPr rot="0" vert="horz" wrap="square" lIns="0" tIns="18000" rIns="0" bIns="0" anchor="t" anchorCtr="0" upright="1">
                        <a:noAutofit/>
                      </wps:bodyPr>
                    </wps:wsp>
                  </a:graphicData>
                </a:graphic>
              </wp:anchor>
            </w:drawing>
          </mc:Choice>
          <mc:Fallback>
            <w:pict>
              <v:shape id="文本框 119" o:spid="_x0000_s1026" o:spt="202" type="#_x0000_t202" style="position:absolute;left:0pt;margin-left:0pt;margin-top:13.15pt;height:36.55pt;width:45pt;z-index:251888640;mso-width-relative:page;mso-height-relative:page;" fillcolor="#FFFFFF" filled="t" stroked="f" coordsize="21600,21600" o:gfxdata="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Ml6j9YAAAAFAQAADwAAAAAAAAABACAAAAAiAAAAZHJzL2Rvd25yZXYueG1sUEsBAhQAFAAAAAgA&#10;h07iQEoPemAnAgAANQQAAA4AAAAAAAAAAQAgAAAAJQEAAGRycy9lMm9Eb2MueG1sUEsFBgAAAAAG&#10;AAYAWQEAAL4FA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余泥渣土运输分包</w:t>
                      </w:r>
                    </w:p>
                  </w:txbxContent>
                </v:textbox>
              </v:shape>
            </w:pict>
          </mc:Fallback>
        </mc:AlternateContent>
      </w:r>
      <w:r>
        <w:rPr>
          <w:rFonts w:ascii="宋体" w:hAnsi="宋体"/>
          <w:b w:val="0"/>
          <w:color w:val="000000"/>
          <w:sz w:val="21"/>
        </w:rPr>
        <w:t>若承包人不具备第2</w:t>
      </w:r>
      <w:r>
        <w:rPr>
          <w:rFonts w:hint="eastAsia" w:ascii="宋体" w:hAnsi="宋体"/>
          <w:b w:val="0"/>
          <w:color w:val="000000"/>
          <w:sz w:val="21"/>
        </w:rPr>
        <w:t>8</w:t>
      </w:r>
      <w:r>
        <w:rPr>
          <w:rFonts w:ascii="宋体" w:hAnsi="宋体"/>
          <w:b w:val="0"/>
          <w:color w:val="000000"/>
          <w:sz w:val="21"/>
        </w:rPr>
        <w:t>.1款第</w:t>
      </w:r>
      <w:r>
        <w:rPr>
          <w:rFonts w:hint="eastAsia" w:ascii="宋体" w:hAnsi="宋体"/>
          <w:b w:val="0"/>
          <w:color w:val="000000"/>
          <w:sz w:val="21"/>
        </w:rPr>
        <w:t>（1）</w:t>
      </w:r>
      <w:r>
        <w:rPr>
          <w:rFonts w:ascii="宋体" w:hAnsi="宋体"/>
          <w:b w:val="0"/>
          <w:color w:val="000000"/>
          <w:sz w:val="21"/>
        </w:rPr>
        <w:t>项证件，经发包人同意，承包人应将余泥渣土运输任务分包给符合第2</w:t>
      </w:r>
      <w:r>
        <w:rPr>
          <w:rFonts w:hint="eastAsia" w:ascii="宋体" w:hAnsi="宋体"/>
          <w:b w:val="0"/>
          <w:color w:val="000000"/>
          <w:sz w:val="21"/>
        </w:rPr>
        <w:t>8</w:t>
      </w:r>
      <w:r>
        <w:rPr>
          <w:rFonts w:ascii="宋体" w:hAnsi="宋体"/>
          <w:b w:val="0"/>
          <w:color w:val="000000"/>
          <w:sz w:val="21"/>
        </w:rPr>
        <w:t>.1款</w:t>
      </w:r>
      <w:r>
        <w:rPr>
          <w:rFonts w:hint="eastAsia" w:ascii="宋体" w:hAnsi="宋体"/>
          <w:b w:val="0"/>
          <w:color w:val="000000"/>
          <w:sz w:val="21"/>
        </w:rPr>
        <w:t>第（1）、（2）项</w:t>
      </w:r>
      <w:r>
        <w:rPr>
          <w:rFonts w:ascii="宋体" w:hAnsi="宋体"/>
          <w:b w:val="0"/>
          <w:color w:val="000000"/>
          <w:sz w:val="21"/>
        </w:rPr>
        <w:t>证件要求的专业运输单位。并且，承包人应将余泥渣土运输分包合同及其他相关资料送发包人</w:t>
      </w:r>
      <w:r>
        <w:rPr>
          <w:rFonts w:hint="eastAsia" w:ascii="宋体" w:hAnsi="宋体"/>
          <w:b w:val="0"/>
          <w:color w:val="000000"/>
          <w:sz w:val="21"/>
        </w:rPr>
        <w:t>备案</w:t>
      </w:r>
      <w:r>
        <w:rPr>
          <w:rFonts w:ascii="宋体" w:hAnsi="宋体"/>
          <w:b w:val="0"/>
          <w:color w:val="000000"/>
          <w:sz w:val="21"/>
        </w:rPr>
        <w:t>。此审核并不免除承包人应承担的本合同义务。</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89664" behindDoc="0" locked="0" layoutInCell="1" allowOverlap="1">
                <wp:simplePos x="0" y="0"/>
                <wp:positionH relativeFrom="column">
                  <wp:posOffset>0</wp:posOffset>
                </wp:positionH>
                <wp:positionV relativeFrom="paragraph">
                  <wp:posOffset>165100</wp:posOffset>
                </wp:positionV>
                <wp:extent cx="571500" cy="464185"/>
                <wp:effectExtent l="0" t="3175" r="0" b="0"/>
                <wp:wrapNone/>
                <wp:docPr id="119"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571500" cy="46418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承包人违约</w:t>
                            </w:r>
                          </w:p>
                        </w:txbxContent>
                      </wps:txbx>
                      <wps:bodyPr rot="0" vert="horz" wrap="square" lIns="0" tIns="18000" rIns="0" bIns="0" anchor="t" anchorCtr="0" upright="1">
                        <a:noAutofit/>
                      </wps:bodyPr>
                    </wps:wsp>
                  </a:graphicData>
                </a:graphic>
              </wp:anchor>
            </w:drawing>
          </mc:Choice>
          <mc:Fallback>
            <w:pict>
              <v:shape id="文本框 118" o:spid="_x0000_s1026" o:spt="202" type="#_x0000_t202" style="position:absolute;left:0pt;margin-left:0pt;margin-top:13pt;height:36.55pt;width:45pt;z-index:251889664;mso-width-relative:page;mso-height-relative:page;" fillcolor="#FFFFFF" filled="t" stroked="f" coordsize="21600,21600" o:gfxdata="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96&#10;IzrUAAAABQEAAA8AAAAAAAAAAQAgAAAAIgAAAGRycy9kb3ducmV2LnhtbFBLAQIUABQAAAAIAIdO&#10;4kDV5ByYJwIAADUEAAAOAAAAAAAAAAEAIAAAACMBAABkcnMvZTJvRG9jLnhtbFBLBQYAAAAABgAG&#10;AFkBAAC8BQ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承包人违约</w:t>
                      </w:r>
                    </w:p>
                  </w:txbxContent>
                </v:textbox>
              </v:shape>
            </w:pict>
          </mc:Fallback>
        </mc:AlternateContent>
      </w:r>
      <w:r>
        <w:rPr>
          <w:rFonts w:ascii="宋体" w:hAnsi="宋体"/>
          <w:b w:val="0"/>
          <w:color w:val="000000"/>
          <w:sz w:val="21"/>
        </w:rPr>
        <w:t>若承包人不具备第2</w:t>
      </w:r>
      <w:r>
        <w:rPr>
          <w:rFonts w:hint="eastAsia" w:ascii="宋体" w:hAnsi="宋体"/>
          <w:b w:val="0"/>
          <w:color w:val="000000"/>
          <w:sz w:val="21"/>
        </w:rPr>
        <w:t>8</w:t>
      </w:r>
      <w:r>
        <w:rPr>
          <w:rFonts w:ascii="宋体" w:hAnsi="宋体"/>
          <w:b w:val="0"/>
          <w:color w:val="000000"/>
          <w:sz w:val="21"/>
        </w:rPr>
        <w:t>.1款第</w:t>
      </w:r>
      <w:r>
        <w:rPr>
          <w:rFonts w:hint="eastAsia" w:ascii="宋体" w:hAnsi="宋体"/>
          <w:b w:val="0"/>
          <w:color w:val="000000"/>
          <w:sz w:val="21"/>
        </w:rPr>
        <w:t>（1）</w:t>
      </w:r>
      <w:r>
        <w:rPr>
          <w:rFonts w:ascii="宋体" w:hAnsi="宋体"/>
          <w:b w:val="0"/>
          <w:color w:val="000000"/>
          <w:sz w:val="21"/>
        </w:rPr>
        <w:t>项证件而自行承担余泥渣土运输任务，应按照专用条款的约定承担违约责任。</w:t>
      </w:r>
    </w:p>
    <w:p>
      <w:pPr>
        <w:tabs>
          <w:tab w:val="left" w:pos="1620"/>
          <w:tab w:val="left" w:pos="2340"/>
        </w:tabs>
        <w:ind w:left="1415" w:leftChars="674"/>
        <w:rPr>
          <w:rFonts w:ascii="宋体" w:hAnsi="宋体"/>
          <w:color w:val="000000"/>
        </w:rPr>
      </w:pPr>
      <w:r>
        <w:rPr>
          <w:rFonts w:ascii="宋体" w:hAnsi="宋体"/>
          <w:color w:val="000000"/>
        </w:rPr>
        <w:t>若承包人将余泥渣土运输任务分包给不符合第2</w:t>
      </w:r>
      <w:r>
        <w:rPr>
          <w:rFonts w:hint="eastAsia" w:ascii="宋体" w:hAnsi="宋体"/>
          <w:color w:val="000000"/>
        </w:rPr>
        <w:t>8</w:t>
      </w:r>
      <w:r>
        <w:rPr>
          <w:rFonts w:ascii="宋体" w:hAnsi="宋体"/>
          <w:color w:val="000000"/>
        </w:rPr>
        <w:t>.1款第</w:t>
      </w:r>
      <w:r>
        <w:rPr>
          <w:rFonts w:hint="eastAsia" w:ascii="宋体" w:hAnsi="宋体"/>
          <w:color w:val="000000"/>
        </w:rPr>
        <w:t>（1）</w:t>
      </w:r>
      <w:r>
        <w:rPr>
          <w:rFonts w:ascii="宋体" w:hAnsi="宋体"/>
          <w:color w:val="000000"/>
        </w:rPr>
        <w:t>项证件要求的专业运输单位，亦将承担专用条款约定的违约责任。</w:t>
      </w:r>
    </w:p>
    <w:p>
      <w:pPr>
        <w:tabs>
          <w:tab w:val="left" w:pos="1620"/>
          <w:tab w:val="left" w:pos="2340"/>
        </w:tabs>
        <w:ind w:left="1415" w:leftChars="674"/>
        <w:rPr>
          <w:rFonts w:ascii="宋体" w:hAnsi="宋体"/>
          <w:color w:val="000000"/>
        </w:rPr>
      </w:pPr>
      <w:r>
        <w:rPr>
          <w:rFonts w:ascii="宋体" w:hAnsi="宋体"/>
          <w:color w:val="000000"/>
        </w:rPr>
        <w:t>同时，对上述两种违约行为导致的工期延误和（或）招致费用增加，承包人责任自担。</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90688" behindDoc="0" locked="0" layoutInCell="1" allowOverlap="1">
                <wp:simplePos x="0" y="0"/>
                <wp:positionH relativeFrom="column">
                  <wp:posOffset>0</wp:posOffset>
                </wp:positionH>
                <wp:positionV relativeFrom="paragraph">
                  <wp:posOffset>159385</wp:posOffset>
                </wp:positionV>
                <wp:extent cx="571500" cy="464185"/>
                <wp:effectExtent l="0" t="0" r="0" b="0"/>
                <wp:wrapNone/>
                <wp:docPr id="118"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571500" cy="46418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车辆与人员</w:t>
                            </w:r>
                          </w:p>
                        </w:txbxContent>
                      </wps:txbx>
                      <wps:bodyPr rot="0" vert="horz" wrap="square" lIns="0" tIns="18000" rIns="0" bIns="0" anchor="t" anchorCtr="0" upright="1">
                        <a:noAutofit/>
                      </wps:bodyPr>
                    </wps:wsp>
                  </a:graphicData>
                </a:graphic>
              </wp:anchor>
            </w:drawing>
          </mc:Choice>
          <mc:Fallback>
            <w:pict>
              <v:shape id="文本框 117" o:spid="_x0000_s1026" o:spt="202" type="#_x0000_t202" style="position:absolute;left:0pt;margin-left:0pt;margin-top:12.55pt;height:36.55pt;width:45pt;z-index:251890688;mso-width-relative:page;mso-height-relative:page;" fillcolor="#FFFFFF" filled="t" stroked="f" coordsize="21600,21600" o:gfxdata="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qtsV9YAAAAFAQAADwAAAAAAAAABACAAAAAiAAAAZHJzL2Rvd25yZXYueG1sUEsBAhQAFAAAAAgA&#10;h07iQKeNGtInAgAANQQAAA4AAAAAAAAAAQAgAAAAJQEAAGRycy9lMm9Eb2MueG1sUEsFBgAAAAAG&#10;AAYAWQEAAL4FA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车辆与人员</w:t>
                      </w:r>
                    </w:p>
                  </w:txbxContent>
                </v:textbox>
              </v:shape>
            </w:pict>
          </mc:Fallback>
        </mc:AlternateContent>
      </w:r>
      <w:r>
        <w:rPr>
          <w:rFonts w:ascii="宋体" w:hAnsi="宋体"/>
          <w:b w:val="0"/>
          <w:color w:val="000000"/>
          <w:sz w:val="21"/>
        </w:rPr>
        <w:t>承担本工程余泥渣土运输任务的车辆证件应当符合第2</w:t>
      </w:r>
      <w:r>
        <w:rPr>
          <w:rFonts w:hint="eastAsia" w:ascii="宋体" w:hAnsi="宋体"/>
          <w:b w:val="0"/>
          <w:color w:val="000000"/>
          <w:sz w:val="21"/>
        </w:rPr>
        <w:t>8</w:t>
      </w:r>
      <w:r>
        <w:rPr>
          <w:rFonts w:ascii="宋体" w:hAnsi="宋体"/>
          <w:b w:val="0"/>
          <w:color w:val="000000"/>
          <w:sz w:val="21"/>
        </w:rPr>
        <w:t>.1款第</w:t>
      </w:r>
      <w:r>
        <w:rPr>
          <w:rFonts w:hint="eastAsia" w:ascii="宋体" w:hAnsi="宋体"/>
          <w:b w:val="0"/>
          <w:color w:val="000000"/>
          <w:sz w:val="21"/>
        </w:rPr>
        <w:t>（2）</w:t>
      </w:r>
      <w:r>
        <w:rPr>
          <w:rFonts w:ascii="宋体" w:hAnsi="宋体"/>
          <w:b w:val="0"/>
          <w:color w:val="000000"/>
          <w:sz w:val="21"/>
        </w:rPr>
        <w:t>项和第</w:t>
      </w:r>
      <w:r>
        <w:rPr>
          <w:rFonts w:hint="eastAsia" w:ascii="宋体" w:hAnsi="宋体"/>
          <w:b w:val="0"/>
          <w:color w:val="000000"/>
          <w:sz w:val="21"/>
        </w:rPr>
        <w:t>（3）</w:t>
      </w:r>
      <w:r>
        <w:rPr>
          <w:rFonts w:ascii="宋体" w:hAnsi="宋体"/>
          <w:b w:val="0"/>
          <w:color w:val="000000"/>
          <w:sz w:val="21"/>
        </w:rPr>
        <w:t>项证件</w:t>
      </w:r>
      <w:r>
        <w:rPr>
          <w:rFonts w:hint="eastAsia" w:ascii="宋体" w:hAnsi="宋体"/>
          <w:b w:val="0"/>
          <w:color w:val="000000"/>
          <w:sz w:val="21"/>
        </w:rPr>
        <w:t>（如有）</w:t>
      </w:r>
      <w:r>
        <w:rPr>
          <w:rFonts w:ascii="宋体" w:hAnsi="宋体"/>
          <w:b w:val="0"/>
          <w:color w:val="000000"/>
          <w:sz w:val="21"/>
        </w:rPr>
        <w:t>要求</w:t>
      </w:r>
      <w:r>
        <w:rPr>
          <w:rFonts w:hint="eastAsia" w:ascii="宋体" w:hAnsi="宋体"/>
          <w:b w:val="0"/>
          <w:color w:val="000000"/>
          <w:sz w:val="21"/>
        </w:rPr>
        <w:t>，同时车辆还应具有第28.9款所要求的车辆保险单</w:t>
      </w:r>
      <w:r>
        <w:rPr>
          <w:rFonts w:ascii="宋体" w:hAnsi="宋体"/>
          <w:b w:val="0"/>
          <w:color w:val="000000"/>
          <w:sz w:val="21"/>
        </w:rPr>
        <w:t>。</w:t>
      </w:r>
    </w:p>
    <w:p>
      <w:pPr>
        <w:tabs>
          <w:tab w:val="left" w:pos="1620"/>
          <w:tab w:val="left" w:pos="2340"/>
        </w:tabs>
        <w:ind w:left="1418" w:leftChars="675"/>
        <w:rPr>
          <w:rFonts w:ascii="宋体" w:hAnsi="宋体"/>
          <w:color w:val="000000"/>
        </w:rPr>
      </w:pPr>
      <w:r>
        <w:rPr>
          <w:rFonts w:ascii="宋体" w:hAnsi="宋体"/>
          <w:color w:val="000000"/>
        </w:rPr>
        <w:t>基于2</w:t>
      </w:r>
      <w:r>
        <w:rPr>
          <w:rFonts w:hint="eastAsia" w:ascii="宋体" w:hAnsi="宋体"/>
          <w:color w:val="000000"/>
        </w:rPr>
        <w:t>8</w:t>
      </w:r>
      <w:r>
        <w:rPr>
          <w:rFonts w:ascii="宋体" w:hAnsi="宋体"/>
          <w:color w:val="000000"/>
        </w:rPr>
        <w:t>.2款约定，发包人和承包人应在本合同专用条款中明确承担合同约定余泥渣土运输任务的余泥渣土运输车辆和专职司机。</w:t>
      </w:r>
    </w:p>
    <w:p>
      <w:pPr>
        <w:tabs>
          <w:tab w:val="left" w:pos="1620"/>
          <w:tab w:val="left" w:pos="2340"/>
        </w:tabs>
        <w:ind w:left="1418" w:leftChars="675"/>
        <w:rPr>
          <w:rFonts w:ascii="宋体" w:hAnsi="宋体"/>
          <w:color w:val="000000"/>
        </w:rPr>
      </w:pPr>
      <w:r>
        <w:rPr>
          <w:rFonts w:ascii="宋体" w:hAnsi="宋体"/>
          <w:color w:val="000000"/>
        </w:rPr>
        <w:t>基于2</w:t>
      </w:r>
      <w:r>
        <w:rPr>
          <w:rFonts w:hint="eastAsia" w:ascii="宋体" w:hAnsi="宋体"/>
          <w:color w:val="000000"/>
        </w:rPr>
        <w:t>8</w:t>
      </w:r>
      <w:r>
        <w:rPr>
          <w:rFonts w:ascii="宋体" w:hAnsi="宋体"/>
          <w:color w:val="000000"/>
        </w:rPr>
        <w:t>.3款约定，承包人和车辆运输分包人应在余泥渣土运输分包合同中明确承担合同约定余泥渣土运输任务的余泥渣土运输车辆和专职司机。</w:t>
      </w:r>
    </w:p>
    <w:p>
      <w:pPr>
        <w:widowControl/>
        <w:ind w:left="1418" w:leftChars="675"/>
        <w:jc w:val="left"/>
        <w:rPr>
          <w:rFonts w:ascii="宋体" w:hAnsi="宋体"/>
          <w:color w:val="000000"/>
        </w:rPr>
      </w:pPr>
      <w:r>
        <w:rPr>
          <w:rFonts w:ascii="宋体" w:hAnsi="宋体"/>
          <w:color w:val="000000"/>
        </w:rPr>
        <w:t>对上述情形，如需改变已提交的车辆和专职司机名单，承包人或车辆运输分包人应在确定改变</w:t>
      </w:r>
      <w:r>
        <w:rPr>
          <w:rFonts w:ascii="宋体" w:hAnsi="宋体"/>
          <w:color w:val="000000"/>
          <w:kern w:val="0"/>
          <w:szCs w:val="21"/>
        </w:rPr>
        <w:t>前7</w:t>
      </w:r>
      <w:r>
        <w:rPr>
          <w:rFonts w:hint="eastAsia" w:ascii="宋体" w:hAnsi="宋体"/>
          <w:color w:val="000000"/>
          <w:kern w:val="0"/>
          <w:szCs w:val="21"/>
        </w:rPr>
        <w:t>天</w:t>
      </w:r>
      <w:r>
        <w:rPr>
          <w:rFonts w:ascii="宋体" w:hAnsi="宋体"/>
          <w:color w:val="000000"/>
        </w:rPr>
        <w:t>将拟改变的名单提交发包人或承包人审核确认。</w:t>
      </w:r>
    </w:p>
    <w:p>
      <w:pPr>
        <w:tabs>
          <w:tab w:val="left" w:pos="1620"/>
          <w:tab w:val="left" w:pos="2340"/>
        </w:tabs>
        <w:ind w:left="1418" w:leftChars="675"/>
        <w:rPr>
          <w:rFonts w:ascii="宋体" w:hAnsi="宋体"/>
          <w:color w:val="000000"/>
        </w:rPr>
      </w:pPr>
      <w:r>
        <w:rPr>
          <w:rFonts w:ascii="宋体" w:hAnsi="宋体"/>
          <w:color w:val="000000"/>
        </w:rPr>
        <w:t>若承包人违反上述规定，应承担专用条款中约定的违约责任；对于车辆运输分包人违反上述规定，承包人亦应在运输分包合同中约定此违约责任。</w:t>
      </w:r>
    </w:p>
    <w:p>
      <w:pPr>
        <w:pStyle w:val="3"/>
        <w:numPr>
          <w:ilvl w:val="1"/>
          <w:numId w:val="1"/>
        </w:numPr>
        <w:tabs>
          <w:tab w:val="left" w:pos="1620"/>
          <w:tab w:val="left" w:pos="2016"/>
          <w:tab w:val="left" w:pos="2340"/>
          <w:tab w:val="clear" w:pos="1711"/>
        </w:tabs>
        <w:spacing w:after="0"/>
        <w:ind w:left="1523" w:leftChars="450" w:hanging="578"/>
        <w:jc w:val="both"/>
        <w:rPr>
          <w:rFonts w:ascii="宋体" w:hAnsi="宋体"/>
          <w:b w:val="0"/>
          <w:color w:val="000000"/>
          <w:sz w:val="21"/>
        </w:rPr>
      </w:pPr>
      <w:r>
        <mc:AlternateContent>
          <mc:Choice Requires="wps">
            <w:drawing>
              <wp:anchor distT="0" distB="0" distL="114300" distR="114300" simplePos="0" relativeHeight="251892736" behindDoc="0" locked="0" layoutInCell="1" allowOverlap="1">
                <wp:simplePos x="0" y="0"/>
                <wp:positionH relativeFrom="column">
                  <wp:posOffset>0</wp:posOffset>
                </wp:positionH>
                <wp:positionV relativeFrom="paragraph">
                  <wp:posOffset>158750</wp:posOffset>
                </wp:positionV>
                <wp:extent cx="571500" cy="542290"/>
                <wp:effectExtent l="0" t="0" r="0" b="3810"/>
                <wp:wrapNone/>
                <wp:docPr id="117"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571500" cy="54229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专职检查</w:t>
                            </w:r>
                          </w:p>
                        </w:txbxContent>
                      </wps:txbx>
                      <wps:bodyPr rot="0" vert="horz" wrap="square" lIns="0" tIns="18000" rIns="0" bIns="0" anchor="t" anchorCtr="0" upright="1">
                        <a:noAutofit/>
                      </wps:bodyPr>
                    </wps:wsp>
                  </a:graphicData>
                </a:graphic>
              </wp:anchor>
            </w:drawing>
          </mc:Choice>
          <mc:Fallback>
            <w:pict>
              <v:shape id="文本框 116" o:spid="_x0000_s1026" o:spt="202" type="#_x0000_t202" style="position:absolute;left:0pt;margin-left:0pt;margin-top:12.5pt;height:42.7pt;width:45pt;z-index:251892736;mso-width-relative:page;mso-height-relative:page;" fillcolor="#FFFFFF" filled="t" stroked="f" coordsize="21600,21600" o:gfxdata="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m9L9YAAAAGAQAADwAAAAAAAAABACAAAAAiAAAAZHJzL2Rvd25yZXYueG1sUEsBAhQAFAAAAAgA&#10;h07iQBQ2cNQnAgAANQQAAA4AAAAAAAAAAQAgAAAAJQEAAGRycy9lMm9Eb2MueG1sUEsFBgAAAAAG&#10;AAYAWQEAAL4FA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专职检查</w:t>
                      </w:r>
                    </w:p>
                  </w:txbxContent>
                </v:textbox>
              </v:shape>
            </w:pict>
          </mc:Fallback>
        </mc:AlternateContent>
      </w:r>
      <w:r>
        <w:rPr>
          <w:rFonts w:ascii="宋体" w:hAnsi="宋体"/>
          <w:b w:val="0"/>
          <w:color w:val="000000"/>
          <w:sz w:val="21"/>
        </w:rPr>
        <w:t>承包人应安排专职检查人员对余泥渣土运输车辆和专职司机依合同约定的内容进行检查。对违反合同约定的检查结果，承包人应责令相关方限期整改。整改期间，整改所涉余泥渣土运输车辆不得承担本工程约定的运输任务。承包人安排的专职检查人员和检查内容在本合同专用条款中明确。</w:t>
      </w:r>
    </w:p>
    <w:p>
      <w:pPr>
        <w:pStyle w:val="3"/>
        <w:numPr>
          <w:ilvl w:val="1"/>
          <w:numId w:val="1"/>
        </w:numPr>
        <w:tabs>
          <w:tab w:val="left" w:pos="1620"/>
          <w:tab w:val="left" w:pos="2016"/>
          <w:tab w:val="left" w:pos="2340"/>
          <w:tab w:val="clear" w:pos="1711"/>
        </w:tabs>
        <w:spacing w:after="0"/>
        <w:ind w:left="1523" w:leftChars="450" w:hanging="578"/>
        <w:jc w:val="both"/>
        <w:rPr>
          <w:rFonts w:ascii="宋体" w:hAnsi="宋体"/>
          <w:b w:val="0"/>
          <w:color w:val="000000"/>
          <w:sz w:val="21"/>
        </w:rPr>
      </w:pPr>
      <w:r>
        <mc:AlternateContent>
          <mc:Choice Requires="wps">
            <w:drawing>
              <wp:anchor distT="0" distB="0" distL="114300" distR="114300" simplePos="0" relativeHeight="251893760" behindDoc="0" locked="0" layoutInCell="1" allowOverlap="1">
                <wp:simplePos x="0" y="0"/>
                <wp:positionH relativeFrom="column">
                  <wp:posOffset>0</wp:posOffset>
                </wp:positionH>
                <wp:positionV relativeFrom="paragraph">
                  <wp:posOffset>163830</wp:posOffset>
                </wp:positionV>
                <wp:extent cx="571500" cy="542290"/>
                <wp:effectExtent l="0" t="1905" r="0" b="0"/>
                <wp:wrapNone/>
                <wp:docPr id="116"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571500" cy="54229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安全文明运输</w:t>
                            </w:r>
                          </w:p>
                        </w:txbxContent>
                      </wps:txbx>
                      <wps:bodyPr rot="0" vert="horz" wrap="square" lIns="0" tIns="18000" rIns="0" bIns="0" anchor="t" anchorCtr="0" upright="1">
                        <a:noAutofit/>
                      </wps:bodyPr>
                    </wps:wsp>
                  </a:graphicData>
                </a:graphic>
              </wp:anchor>
            </w:drawing>
          </mc:Choice>
          <mc:Fallback>
            <w:pict>
              <v:shape id="文本框 115" o:spid="_x0000_s1026" o:spt="202" type="#_x0000_t202" style="position:absolute;left:0pt;margin-left:0pt;margin-top:12.9pt;height:42.7pt;width:45pt;z-index:251893760;mso-width-relative:page;mso-height-relative:page;" fillcolor="#FFFFFF" filled="t" stroked="f" coordsize="21600,21600" o:gfxdata="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A&#10;6Kan1QAAAAYBAAAPAAAAAAAAAAEAIAAAACIAAABkcnMvZG93bnJldi54bWxQSwECFAAUAAAACACH&#10;TuJAPi6mAScCAAA1BAAADgAAAAAAAAABACAAAAAkAQAAZHJzL2Uyb0RvYy54bWxQSwUGAAAAAAYA&#10;BgBZAQAAvQU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安全文明运输</w:t>
                      </w:r>
                    </w:p>
                  </w:txbxContent>
                </v:textbox>
              </v:shape>
            </w:pict>
          </mc:Fallback>
        </mc:AlternateContent>
      </w:r>
      <w:r>
        <w:rPr>
          <w:rFonts w:ascii="宋体" w:hAnsi="宋体"/>
          <w:b w:val="0"/>
          <w:color w:val="000000"/>
          <w:sz w:val="21"/>
        </w:rPr>
        <w:t>承包人对余泥渣土运输车辆在离开施工现场前核查是否存在超载、车盖密封不严等违反城市道路管理、环境保护等相关规定及安全隐患的问题。如发现上述问题，承包人应指派本合同专用条款第2</w:t>
      </w:r>
      <w:r>
        <w:rPr>
          <w:rFonts w:hint="eastAsia" w:ascii="宋体" w:hAnsi="宋体"/>
          <w:b w:val="0"/>
          <w:color w:val="000000"/>
          <w:sz w:val="21"/>
        </w:rPr>
        <w:t>8</w:t>
      </w:r>
      <w:r>
        <w:rPr>
          <w:rFonts w:ascii="宋体" w:hAnsi="宋体"/>
          <w:b w:val="0"/>
          <w:color w:val="000000"/>
          <w:sz w:val="21"/>
        </w:rPr>
        <w:t>.6款指定的专职检查人员责令相关方采取纠正措施至符合相关规定和（或）合同约定。对存在问题拒不纠正或纠正仍不符合相关规定和（或）合同约定的，该专职检查人员不得放行其离开施工现场，并立即通知项目经理和余泥渣土运输分包人（如有）。</w:t>
      </w:r>
    </w:p>
    <w:p>
      <w:pPr>
        <w:pStyle w:val="3"/>
        <w:tabs>
          <w:tab w:val="left" w:pos="1620"/>
          <w:tab w:val="left" w:pos="2340"/>
        </w:tabs>
        <w:spacing w:before="0"/>
        <w:ind w:left="945" w:leftChars="450" w:firstLine="556" w:firstLineChars="306"/>
        <w:jc w:val="both"/>
        <w:rPr>
          <w:rFonts w:ascii="宋体" w:hAnsi="宋体"/>
          <w:b w:val="0"/>
          <w:color w:val="000000"/>
          <w:spacing w:val="-14"/>
          <w:sz w:val="21"/>
        </w:rPr>
      </w:pPr>
      <w:r>
        <w:rPr>
          <w:rFonts w:ascii="宋体" w:hAnsi="宋体"/>
          <w:b w:val="0"/>
          <w:color w:val="000000"/>
          <w:spacing w:val="-14"/>
          <w:sz w:val="21"/>
        </w:rPr>
        <w:t>若承包人对本款发现的问题拒不履行合同义务，将承担专用条款约定的违约责任</w:t>
      </w:r>
      <w:r>
        <w:rPr>
          <w:rFonts w:hint="eastAsia" w:ascii="宋体" w:hAnsi="宋体"/>
          <w:b w:val="0"/>
          <w:color w:val="000000"/>
          <w:spacing w:val="-14"/>
          <w:sz w:val="21"/>
        </w:rPr>
        <w:t>。</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94784" behindDoc="0" locked="0" layoutInCell="1" allowOverlap="1">
                <wp:simplePos x="0" y="0"/>
                <wp:positionH relativeFrom="column">
                  <wp:posOffset>0</wp:posOffset>
                </wp:positionH>
                <wp:positionV relativeFrom="paragraph">
                  <wp:posOffset>146685</wp:posOffset>
                </wp:positionV>
                <wp:extent cx="571500" cy="542290"/>
                <wp:effectExtent l="0" t="3810" r="0" b="0"/>
                <wp:wrapNone/>
                <wp:docPr id="115"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571500" cy="54229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检查纠正责任</w:t>
                            </w:r>
                          </w:p>
                        </w:txbxContent>
                      </wps:txbx>
                      <wps:bodyPr rot="0" vert="horz" wrap="square" lIns="0" tIns="18000" rIns="0" bIns="0" anchor="t" anchorCtr="0" upright="1">
                        <a:noAutofit/>
                      </wps:bodyPr>
                    </wps:wsp>
                  </a:graphicData>
                </a:graphic>
              </wp:anchor>
            </w:drawing>
          </mc:Choice>
          <mc:Fallback>
            <w:pict>
              <v:shape id="文本框 114" o:spid="_x0000_s1026" o:spt="202" type="#_x0000_t202" style="position:absolute;left:0pt;margin-left:0pt;margin-top:11.55pt;height:42.7pt;width:45pt;z-index:251894784;mso-width-relative:page;mso-height-relative:page;" fillcolor="#FFFFFF" filled="t" stroked="f" coordsize="21600,21600" o:gfxdata="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a&#10;Fuzb1QAAAAYBAAAPAAAAAAAAAAEAIAAAACIAAABkcnMvZG93bnJldi54bWxQSwECFAAUAAAACACH&#10;TuJAydDi0ScCAAA1BAAADgAAAAAAAAABACAAAAAkAQAAZHJzL2Uyb0RvYy54bWxQSwUGAAAAAAYA&#10;BgBZAQAAvQU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检查纠正责任</w:t>
                      </w:r>
                    </w:p>
                  </w:txbxContent>
                </v:textbox>
              </v:shape>
            </w:pict>
          </mc:Fallback>
        </mc:AlternateContent>
      </w:r>
      <w:r>
        <w:rPr>
          <w:rFonts w:ascii="宋体" w:hAnsi="宋体"/>
          <w:b w:val="0"/>
          <w:color w:val="000000"/>
          <w:sz w:val="21"/>
        </w:rPr>
        <w:t>承包人应对第2</w:t>
      </w:r>
      <w:r>
        <w:rPr>
          <w:rFonts w:hint="eastAsia" w:ascii="宋体" w:hAnsi="宋体"/>
          <w:b w:val="0"/>
          <w:color w:val="000000"/>
          <w:sz w:val="21"/>
        </w:rPr>
        <w:t>8</w:t>
      </w:r>
      <w:r>
        <w:rPr>
          <w:rFonts w:ascii="宋体" w:hAnsi="宋体"/>
          <w:b w:val="0"/>
          <w:color w:val="000000"/>
          <w:sz w:val="21"/>
        </w:rPr>
        <w:t>.6款和第2</w:t>
      </w:r>
      <w:r>
        <w:rPr>
          <w:rFonts w:hint="eastAsia" w:ascii="宋体" w:hAnsi="宋体"/>
          <w:b w:val="0"/>
          <w:color w:val="000000"/>
          <w:sz w:val="21"/>
        </w:rPr>
        <w:t>8</w:t>
      </w:r>
      <w:r>
        <w:rPr>
          <w:rFonts w:ascii="宋体" w:hAnsi="宋体"/>
          <w:b w:val="0"/>
          <w:color w:val="000000"/>
          <w:sz w:val="21"/>
        </w:rPr>
        <w:t>.7款约定的检查纠正工作制定专项工作程序，并监督和督促专职检查人员认真履行合同约定的职责。此项监督和督促并不免除承包人应承担的本合同义务。</w:t>
      </w:r>
    </w:p>
    <w:p>
      <w:pPr>
        <w:tabs>
          <w:tab w:val="left" w:pos="1620"/>
          <w:tab w:val="left" w:pos="2340"/>
        </w:tabs>
        <w:ind w:left="1415" w:leftChars="674"/>
        <w:rPr>
          <w:rFonts w:ascii="宋体" w:hAnsi="宋体"/>
          <w:color w:val="000000"/>
        </w:rPr>
      </w:pPr>
      <w:r>
        <w:rPr>
          <w:rFonts w:ascii="宋体" w:hAnsi="宋体"/>
          <w:color w:val="000000"/>
        </w:rPr>
        <w:t>若承包人指定的专职检查人员违反合同约定的检查纠正职责，承包人应承担专用条款约定的违约责任。</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91712" behindDoc="0" locked="0" layoutInCell="1" allowOverlap="1">
                <wp:simplePos x="0" y="0"/>
                <wp:positionH relativeFrom="column">
                  <wp:posOffset>0</wp:posOffset>
                </wp:positionH>
                <wp:positionV relativeFrom="paragraph">
                  <wp:posOffset>173990</wp:posOffset>
                </wp:positionV>
                <wp:extent cx="571500" cy="542290"/>
                <wp:effectExtent l="0" t="2540" r="0" b="0"/>
                <wp:wrapNone/>
                <wp:docPr id="114"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571500" cy="542290"/>
                        </a:xfrm>
                        <a:prstGeom prst="rect">
                          <a:avLst/>
                        </a:prstGeom>
                        <a:solidFill>
                          <a:srgbClr val="FFFFFF"/>
                        </a:solidFill>
                        <a:ln>
                          <a:noFill/>
                        </a:ln>
                      </wps:spPr>
                      <wps:txbx>
                        <w:txbxContent>
                          <w:p>
                            <w:pPr>
                              <w:rPr>
                                <w:rFonts w:ascii="楷体_GB2312" w:eastAsia="楷体_GB2312"/>
                                <w:szCs w:val="21"/>
                              </w:rPr>
                            </w:pPr>
                            <w:r>
                              <w:rPr>
                                <w:rFonts w:hint="eastAsia" w:ascii="楷体_GB2312" w:eastAsia="楷体_GB2312"/>
                                <w:szCs w:val="21"/>
                              </w:rPr>
                              <w:t>车辆保险</w:t>
                            </w:r>
                          </w:p>
                        </w:txbxContent>
                      </wps:txbx>
                      <wps:bodyPr rot="0" vert="horz" wrap="square" lIns="0" tIns="18000" rIns="0" bIns="0" anchor="t" anchorCtr="0" upright="1">
                        <a:noAutofit/>
                      </wps:bodyPr>
                    </wps:wsp>
                  </a:graphicData>
                </a:graphic>
              </wp:anchor>
            </w:drawing>
          </mc:Choice>
          <mc:Fallback>
            <w:pict>
              <v:shape id="文本框 113" o:spid="_x0000_s1026" o:spt="202" type="#_x0000_t202" style="position:absolute;left:0pt;margin-left:0pt;margin-top:13.7pt;height:42.7pt;width:45pt;z-index:251891712;mso-width-relative:page;mso-height-relative:page;" fillcolor="#FFFFFF" filled="t" stroked="f" coordsize="21600,21600" o:gfxdata="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9759YAAAAGAQAADwAAAAAAAAABACAAAAAiAAAAZHJzL2Rvd25yZXYueG1sUEsBAhQAFAAAAAgA&#10;h07iQCsYe3EnAgAANQQAAA4AAAAAAAAAAQAgAAAAJQEAAGRycy9lMm9Eb2MueG1sUEsFBgAAAAAG&#10;AAYAWQEAAL4FAAAAAA==&#10;">
                <v:fill on="t" focussize="0,0"/>
                <v:stroke on="f"/>
                <v:imagedata o:title=""/>
                <o:lock v:ext="edit" aspectratio="f"/>
                <v:textbox inset="0mm,0.5mm,0mm,0mm">
                  <w:txbxContent>
                    <w:p>
                      <w:pPr>
                        <w:rPr>
                          <w:rFonts w:ascii="楷体_GB2312" w:eastAsia="楷体_GB2312"/>
                          <w:szCs w:val="21"/>
                        </w:rPr>
                      </w:pPr>
                      <w:r>
                        <w:rPr>
                          <w:rFonts w:hint="eastAsia" w:ascii="楷体_GB2312" w:eastAsia="楷体_GB2312"/>
                          <w:szCs w:val="21"/>
                        </w:rPr>
                        <w:t>车辆保险</w:t>
                      </w:r>
                    </w:p>
                  </w:txbxContent>
                </v:textbox>
              </v:shape>
            </w:pict>
          </mc:Fallback>
        </mc:AlternateContent>
      </w:r>
      <w:r>
        <w:rPr>
          <w:rFonts w:hint="eastAsia" w:ascii="宋体" w:hAnsi="宋体"/>
          <w:b w:val="0"/>
          <w:color w:val="000000"/>
          <w:sz w:val="21"/>
        </w:rPr>
        <w:t>本条所述的承担工程</w:t>
      </w:r>
      <w:r>
        <w:rPr>
          <w:rFonts w:ascii="宋体" w:hAnsi="宋体"/>
          <w:b w:val="0"/>
          <w:color w:val="000000"/>
          <w:sz w:val="21"/>
        </w:rPr>
        <w:t>余泥渣土运输</w:t>
      </w:r>
      <w:r>
        <w:rPr>
          <w:rFonts w:hint="eastAsia" w:ascii="宋体" w:hAnsi="宋体"/>
          <w:b w:val="0"/>
          <w:color w:val="000000"/>
          <w:sz w:val="21"/>
        </w:rPr>
        <w:t>任务的</w:t>
      </w:r>
      <w:r>
        <w:rPr>
          <w:rFonts w:ascii="宋体" w:hAnsi="宋体"/>
          <w:b w:val="0"/>
          <w:color w:val="000000"/>
          <w:sz w:val="21"/>
        </w:rPr>
        <w:t>车辆</w:t>
      </w:r>
      <w:r>
        <w:rPr>
          <w:rFonts w:hint="eastAsia" w:ascii="宋体" w:hAnsi="宋体"/>
          <w:b w:val="0"/>
          <w:color w:val="000000"/>
          <w:sz w:val="21"/>
        </w:rPr>
        <w:t>应当向有关保险公司投保，并取得车辆保险单。如因未投保的</w:t>
      </w:r>
      <w:r>
        <w:rPr>
          <w:rFonts w:ascii="宋体" w:hAnsi="宋体"/>
          <w:b w:val="0"/>
          <w:color w:val="000000"/>
          <w:sz w:val="21"/>
        </w:rPr>
        <w:t>余泥渣土运输车辆</w:t>
      </w:r>
      <w:r>
        <w:rPr>
          <w:rFonts w:hint="eastAsia" w:ascii="宋体" w:hAnsi="宋体"/>
          <w:b w:val="0"/>
          <w:color w:val="000000"/>
          <w:sz w:val="21"/>
        </w:rPr>
        <w:t>造成第三人财产损失和（或）人身伤亡，</w:t>
      </w:r>
      <w:r>
        <w:rPr>
          <w:rFonts w:ascii="宋体" w:hAnsi="宋体"/>
          <w:b w:val="0"/>
          <w:color w:val="000000"/>
          <w:sz w:val="21"/>
        </w:rPr>
        <w:t>余泥渣土运输车辆</w:t>
      </w:r>
      <w:r>
        <w:rPr>
          <w:rFonts w:hint="eastAsia" w:ascii="宋体" w:hAnsi="宋体"/>
          <w:b w:val="0"/>
          <w:color w:val="000000"/>
          <w:sz w:val="21"/>
        </w:rPr>
        <w:t>所属专业运输单位应承担连带责任。</w:t>
      </w:r>
    </w:p>
    <w:p>
      <w:pPr>
        <w:pStyle w:val="3"/>
        <w:tabs>
          <w:tab w:val="left" w:pos="1620"/>
          <w:tab w:val="left" w:pos="2340"/>
        </w:tabs>
        <w:spacing w:before="0"/>
        <w:ind w:left="1620"/>
        <w:jc w:val="both"/>
        <w:rPr>
          <w:rFonts w:ascii="宋体" w:hAnsi="宋体"/>
          <w:b w:val="0"/>
          <w:color w:val="000000"/>
          <w:sz w:val="21"/>
        </w:rPr>
      </w:pPr>
      <w:r>
        <w:rPr>
          <w:rFonts w:ascii="宋体" w:hAnsi="宋体"/>
          <w:b w:val="0"/>
          <w:color w:val="000000"/>
          <w:sz w:val="21"/>
        </w:rPr>
        <w:t>基于2</w:t>
      </w:r>
      <w:r>
        <w:rPr>
          <w:rFonts w:hint="eastAsia" w:ascii="宋体" w:hAnsi="宋体"/>
          <w:b w:val="0"/>
          <w:color w:val="000000"/>
          <w:sz w:val="21"/>
        </w:rPr>
        <w:t>8</w:t>
      </w:r>
      <w:r>
        <w:rPr>
          <w:rFonts w:ascii="宋体" w:hAnsi="宋体"/>
          <w:b w:val="0"/>
          <w:color w:val="000000"/>
          <w:sz w:val="21"/>
        </w:rPr>
        <w:t>.3款约定，承包人和车辆运输分包人应在余泥渣土运输分包合同中明确</w:t>
      </w:r>
      <w:r>
        <w:rPr>
          <w:rFonts w:hint="eastAsia" w:ascii="宋体" w:hAnsi="宋体"/>
          <w:b w:val="0"/>
          <w:color w:val="000000"/>
          <w:sz w:val="21"/>
        </w:rPr>
        <w:t>本款所述的连带责任</w:t>
      </w:r>
      <w:r>
        <w:rPr>
          <w:rFonts w:ascii="宋体" w:hAnsi="宋体"/>
          <w:b w:val="0"/>
          <w:color w:val="000000"/>
          <w:sz w:val="21"/>
        </w:rPr>
        <w:t>。</w:t>
      </w:r>
    </w:p>
    <w:p>
      <w:pPr>
        <w:pStyle w:val="2"/>
        <w:keepLines w:val="0"/>
        <w:numPr>
          <w:ilvl w:val="0"/>
          <w:numId w:val="0"/>
        </w:numPr>
        <w:tabs>
          <w:tab w:val="left" w:pos="1620"/>
          <w:tab w:val="left" w:pos="2340"/>
        </w:tabs>
        <w:ind w:left="945" w:leftChars="450"/>
        <w:rPr>
          <w:rFonts w:hAnsi="宋体"/>
          <w:color w:val="000000"/>
          <w:sz w:val="30"/>
        </w:rPr>
      </w:pPr>
      <w:bookmarkStart w:id="240" w:name="_Toc35656488"/>
      <w:bookmarkStart w:id="241" w:name="_Toc35656990"/>
      <w:bookmarkStart w:id="242" w:name="_Toc34909074"/>
      <w:r>
        <w:rPr>
          <w:rFonts w:hint="eastAsia" w:hAnsi="宋体"/>
          <w:color w:val="000000"/>
          <w:sz w:val="30"/>
        </w:rPr>
        <w:t>十、合同价款、工程量确认和工程款支付</w:t>
      </w:r>
      <w:bookmarkEnd w:id="240"/>
      <w:bookmarkEnd w:id="241"/>
      <w:bookmarkEnd w:id="242"/>
    </w:p>
    <w:p>
      <w:pPr>
        <w:pStyle w:val="2"/>
        <w:keepLines w:val="0"/>
        <w:tabs>
          <w:tab w:val="left" w:pos="1620"/>
          <w:tab w:val="left" w:pos="2340"/>
        </w:tabs>
        <w:ind w:left="945" w:leftChars="450"/>
        <w:rPr>
          <w:rFonts w:hAnsi="宋体"/>
          <w:color w:val="000000"/>
          <w:sz w:val="28"/>
          <w:szCs w:val="28"/>
        </w:rPr>
      </w:pPr>
      <w:bookmarkStart w:id="243" w:name="_Toc35656489"/>
      <w:bookmarkStart w:id="244" w:name="_Toc35656991"/>
      <w:bookmarkStart w:id="245" w:name="_Toc34909075"/>
      <w:r>
        <w:rPr>
          <w:rFonts w:hint="eastAsia" w:hAnsi="宋体"/>
          <w:color w:val="000000"/>
          <w:sz w:val="28"/>
          <w:szCs w:val="28"/>
        </w:rPr>
        <w:t>合同价款</w:t>
      </w:r>
      <w:bookmarkEnd w:id="243"/>
      <w:bookmarkEnd w:id="244"/>
      <w:bookmarkEnd w:id="245"/>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46" w:name="_Toc34909076"/>
      <w: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-7620</wp:posOffset>
                </wp:positionV>
                <wp:extent cx="571500" cy="228600"/>
                <wp:effectExtent l="0" t="1905" r="0" b="0"/>
                <wp:wrapNone/>
                <wp:docPr id="113"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合同价款</w:t>
                            </w:r>
                          </w:p>
                        </w:txbxContent>
                      </wps:txbx>
                      <wps:bodyPr rot="0" vert="horz" wrap="square" lIns="0" tIns="18000" rIns="0" bIns="0" anchor="t" anchorCtr="0" upright="1">
                        <a:noAutofit/>
                      </wps:bodyPr>
                    </wps:wsp>
                  </a:graphicData>
                </a:graphic>
              </wp:anchor>
            </w:drawing>
          </mc:Choice>
          <mc:Fallback>
            <w:pict>
              <v:shape id="文本框 112" o:spid="_x0000_s1026" o:spt="202" type="#_x0000_t202" style="position:absolute;left:0pt;margin-left:0pt;margin-top:-0.6pt;height:18pt;width:45pt;z-index:251749376;mso-width-relative:page;mso-height-relative:page;" fillcolor="#FFFFFF" filled="t" stroked="f" coordsize="21600,21600" o:gfxdata="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HtS&#10;AdYAAAAFAQAADwAAAAAAAAABACAAAAAiAAAAZHJzL2Rvd25yZXYueG1sUEsBAhQAFAAAAAgAh07i&#10;QIAO7cAkAgAANQQAAA4AAAAAAAAAAQAgAAAAJQEAAGRycy9lMm9Eb2MueG1sUEsFBgAAAAAGAAYA&#10;WQEAALsFA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合同价款</w:t>
                      </w:r>
                    </w:p>
                  </w:txbxContent>
                </v:textbox>
              </v:shape>
            </w:pict>
          </mc:Fallback>
        </mc:AlternateContent>
      </w:r>
      <w:r>
        <w:rPr>
          <w:rFonts w:hint="eastAsia" w:ascii="宋体" w:hAnsi="宋体"/>
          <w:b w:val="0"/>
          <w:color w:val="000000"/>
          <w:sz w:val="21"/>
        </w:rPr>
        <w:t>合同价款由发包人和承包人依据中标通知书中的中标价在协议书中约定(承包人的投标报价即为合同价)。合同价款在本合同中约定后，任何一方不得擅自改变。</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144145</wp:posOffset>
                </wp:positionV>
                <wp:extent cx="571500" cy="351790"/>
                <wp:effectExtent l="0" t="1270" r="0" b="0"/>
                <wp:wrapNone/>
                <wp:docPr id="112"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571500" cy="35179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纳税和缴费</w:t>
                            </w:r>
                          </w:p>
                        </w:txbxContent>
                      </wps:txbx>
                      <wps:bodyPr rot="0" vert="horz" wrap="square" lIns="0" tIns="18000" rIns="0" bIns="0" anchor="t" anchorCtr="0" upright="1">
                        <a:noAutofit/>
                      </wps:bodyPr>
                    </wps:wsp>
                  </a:graphicData>
                </a:graphic>
              </wp:anchor>
            </w:drawing>
          </mc:Choice>
          <mc:Fallback>
            <w:pict>
              <v:shape id="文本框 111" o:spid="_x0000_s1026" o:spt="202" type="#_x0000_t202" style="position:absolute;left:0pt;margin-left:0pt;margin-top:11.35pt;height:27.7pt;width:45pt;z-index:251750400;mso-width-relative:page;mso-height-relative:page;" fillcolor="#FFFFFF" filled="t" stroked="f" coordsize="21600,21600" o:gfxdata="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V&#10;eJK31QAAAAUBAAAPAAAAAAAAAAEAIAAAACIAAABkcnMvZG93bnJldi54bWxQSwECFAAUAAAACACH&#10;TuJAbYGiyCcCAAA1BAAADgAAAAAAAAABACAAAAAkAQAAZHJzL2Uyb0RvYy54bWxQSwUGAAAAAAYA&#10;BgBZAQAAvQU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纳税和缴费</w:t>
                      </w:r>
                    </w:p>
                  </w:txbxContent>
                </v:textbox>
              </v:shape>
            </w:pict>
          </mc:Fallback>
        </mc:AlternateContent>
      </w:r>
      <w:r>
        <w:rPr>
          <w:rFonts w:hint="eastAsia" w:ascii="宋体" w:hAnsi="宋体"/>
          <w:b w:val="0"/>
          <w:color w:val="000000"/>
          <w:sz w:val="21"/>
        </w:rPr>
        <w:t>按照国家现行税法和有关部门现行规定，承包人或其分包人或专业工程承包人需缴纳的一切税金和费用，均应由承包人或其分包人或专业工程承包人承担并支付。</w:t>
      </w:r>
      <w:bookmarkEnd w:id="246"/>
    </w:p>
    <w:p>
      <w:pPr>
        <w:pStyle w:val="3"/>
        <w:numPr>
          <w:ilvl w:val="1"/>
          <w:numId w:val="1"/>
        </w:numPr>
        <w:tabs>
          <w:tab w:val="left" w:pos="1620"/>
          <w:tab w:val="left" w:pos="2016"/>
          <w:tab w:val="left" w:pos="2340"/>
          <w:tab w:val="clear" w:pos="1711"/>
        </w:tabs>
        <w:spacing w:after="312" w:afterLines="100"/>
        <w:ind w:left="1523" w:leftChars="450" w:hanging="578"/>
        <w:jc w:val="both"/>
        <w:rPr>
          <w:rFonts w:ascii="宋体" w:hAnsi="宋体"/>
          <w:b w:val="0"/>
          <w:color w:val="000000"/>
          <w:sz w:val="21"/>
        </w:rPr>
      </w:pPr>
      <w:bookmarkStart w:id="247" w:name="_Toc34909077"/>
      <w: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179070</wp:posOffset>
                </wp:positionV>
                <wp:extent cx="571500" cy="337820"/>
                <wp:effectExtent l="0" t="0" r="0" b="0"/>
                <wp:wrapNone/>
                <wp:docPr id="111"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571500" cy="33782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合同价款确定方式</w:t>
                            </w:r>
                          </w:p>
                        </w:txbxContent>
                      </wps:txbx>
                      <wps:bodyPr rot="0" vert="horz" wrap="square" lIns="0" tIns="0" rIns="0" bIns="0" anchor="t" anchorCtr="0" upright="1">
                        <a:noAutofit/>
                      </wps:bodyPr>
                    </wps:wsp>
                  </a:graphicData>
                </a:graphic>
              </wp:anchor>
            </w:drawing>
          </mc:Choice>
          <mc:Fallback>
            <w:pict>
              <v:shape id="文本框 110" o:spid="_x0000_s1026" o:spt="202" type="#_x0000_t202" style="position:absolute;left:0pt;margin-left:0pt;margin-top:14.1pt;height:26.6pt;width:45pt;z-index:251751424;mso-width-relative:page;mso-height-relative:page;" fillcolor="#FFFFFF" filled="t" stroked="f" coordsize="21600,21600" o:gfxdata="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UBMFdQA&#10;AAAFAQAADwAAAAAAAAABACAAAAAiAAAAZHJzL2Rvd25yZXYueG1sUEsBAhQAFAAAAAgAh07iQMjD&#10;LE0jAgAAMQQAAA4AAAAAAAAAAQAgAAAAIw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合同价款确定方式</w:t>
                      </w:r>
                    </w:p>
                  </w:txbxContent>
                </v:textbox>
              </v:shape>
            </w:pict>
          </mc:Fallback>
        </mc:AlternateContent>
      </w:r>
      <w:r>
        <w:rPr>
          <w:rFonts w:hint="eastAsia" w:ascii="宋体" w:hAnsi="宋体"/>
          <w:b w:val="0"/>
          <w:color w:val="000000"/>
          <w:sz w:val="21"/>
        </w:rPr>
        <w:t>本合同采用固定总价合同形式确定合同价款</w:t>
      </w:r>
      <w:bookmarkEnd w:id="247"/>
      <w:r>
        <w:rPr>
          <w:rFonts w:hint="eastAsia" w:ascii="宋体" w:hAnsi="宋体"/>
          <w:b w:val="0"/>
          <w:color w:val="000000"/>
          <w:sz w:val="21"/>
        </w:rPr>
        <w:t>。除本合同另有规定，构成合同价款的项目单价一经发包人和承包人签订合同确定后不作调整。</w:t>
      </w:r>
    </w:p>
    <w:p>
      <w:pPr>
        <w:pStyle w:val="3"/>
        <w:numPr>
          <w:ilvl w:val="1"/>
          <w:numId w:val="1"/>
        </w:numPr>
        <w:tabs>
          <w:tab w:val="left" w:pos="1620"/>
          <w:tab w:val="left" w:pos="2016"/>
          <w:tab w:val="left" w:pos="2340"/>
          <w:tab w:val="clear" w:pos="1711"/>
        </w:tabs>
        <w:spacing w:before="280" w:after="0"/>
        <w:ind w:left="1523" w:leftChars="450" w:hanging="578"/>
        <w:jc w:val="both"/>
        <w:rPr>
          <w:rFonts w:ascii="宋体" w:hAnsi="宋体"/>
          <w:b w:val="0"/>
          <w:color w:val="000000"/>
          <w:sz w:val="21"/>
        </w:rPr>
      </w:pPr>
      <w:r>
        <mc:AlternateContent>
          <mc:Choice Requires="wps">
            <w:drawing>
              <wp:anchor distT="0" distB="0" distL="114300" distR="114300" simplePos="0" relativeHeight="251883520" behindDoc="0" locked="0" layoutInCell="1" allowOverlap="1">
                <wp:simplePos x="0" y="0"/>
                <wp:positionH relativeFrom="column">
                  <wp:posOffset>0</wp:posOffset>
                </wp:positionH>
                <wp:positionV relativeFrom="paragraph">
                  <wp:posOffset>62865</wp:posOffset>
                </wp:positionV>
                <wp:extent cx="571500" cy="323850"/>
                <wp:effectExtent l="0" t="0" r="0" b="3810"/>
                <wp:wrapNone/>
                <wp:docPr id="110"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571500" cy="32385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法律法规的改变</w:t>
                            </w:r>
                          </w:p>
                        </w:txbxContent>
                      </wps:txbx>
                      <wps:bodyPr rot="0" vert="horz" wrap="square" lIns="0" tIns="0" rIns="0" bIns="0" anchor="t" anchorCtr="0" upright="1">
                        <a:noAutofit/>
                      </wps:bodyPr>
                    </wps:wsp>
                  </a:graphicData>
                </a:graphic>
              </wp:anchor>
            </w:drawing>
          </mc:Choice>
          <mc:Fallback>
            <w:pict>
              <v:shape id="文本框 109" o:spid="_x0000_s1026" o:spt="202" type="#_x0000_t202" style="position:absolute;left:0pt;margin-left:0pt;margin-top:4.95pt;height:25.5pt;width:45pt;z-index:251883520;mso-width-relative:page;mso-height-relative:page;" fillcolor="#FFFFFF" filled="t" stroked="f" coordsize="21600,21600" o:gfxdata="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JUBgNIAAAAE&#10;AQAADwAAAAAAAAABACAAAAAiAAAAZHJzL2Rvd25yZXYueG1sUEsBAhQAFAAAAAgAh07iQPGuw1Ei&#10;AgAAMQQAAA4AAAAAAAAAAQAgAAAAIQ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法律法规的改变</w:t>
                      </w:r>
                    </w:p>
                  </w:txbxContent>
                </v:textbox>
              </v:shape>
            </w:pict>
          </mc:Fallback>
        </mc:AlternateContent>
      </w:r>
      <w:r>
        <w:rPr>
          <w:rFonts w:hint="eastAsia" w:ascii="宋体" w:hAnsi="宋体"/>
          <w:b w:val="0"/>
          <w:color w:val="000000"/>
          <w:sz w:val="21"/>
        </w:rPr>
        <w:t>合同签订后,国家法律、法规的改变对合同价款产生影响的,合同价款应作调整，发包人和承包人应参照市工程造价管理机构发布的相应办法结合法律法规改变造成的实际影响进行调整。</w:t>
      </w:r>
    </w:p>
    <w:p>
      <w:pPr>
        <w:pStyle w:val="3"/>
        <w:numPr>
          <w:ilvl w:val="1"/>
          <w:numId w:val="1"/>
        </w:numPr>
        <w:tabs>
          <w:tab w:val="left" w:pos="1620"/>
          <w:tab w:val="left" w:pos="2016"/>
          <w:tab w:val="left" w:pos="2340"/>
          <w:tab w:val="clear" w:pos="1711"/>
        </w:tabs>
        <w:spacing w:before="280" w:after="0"/>
        <w:ind w:left="1523" w:leftChars="450" w:hanging="578"/>
        <w:jc w:val="both"/>
        <w:rPr>
          <w:rFonts w:ascii="宋体" w:hAnsi="宋体"/>
          <w:b w:val="0"/>
          <w:color w:val="000000"/>
          <w:sz w:val="21"/>
        </w:rPr>
      </w:pPr>
      <w:r>
        <mc:AlternateContent>
          <mc:Choice Requires="wps">
            <w:drawing>
              <wp:anchor distT="0" distB="0" distL="114300" distR="114300" simplePos="0" relativeHeight="251859968" behindDoc="0" locked="0" layoutInCell="1" allowOverlap="1">
                <wp:simplePos x="0" y="0"/>
                <wp:positionH relativeFrom="column">
                  <wp:posOffset>0</wp:posOffset>
                </wp:positionH>
                <wp:positionV relativeFrom="paragraph">
                  <wp:posOffset>198120</wp:posOffset>
                </wp:positionV>
                <wp:extent cx="571500" cy="417830"/>
                <wp:effectExtent l="0" t="0" r="0" b="3175"/>
                <wp:wrapNone/>
                <wp:docPr id="109"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571500" cy="41783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工料机调差</w:t>
                            </w:r>
                          </w:p>
                        </w:txbxContent>
                      </wps:txbx>
                      <wps:bodyPr rot="0" vert="horz" wrap="square" lIns="0" tIns="0" rIns="0" bIns="0" anchor="t" anchorCtr="0" upright="1">
                        <a:noAutofit/>
                      </wps:bodyPr>
                    </wps:wsp>
                  </a:graphicData>
                </a:graphic>
              </wp:anchor>
            </w:drawing>
          </mc:Choice>
          <mc:Fallback>
            <w:pict>
              <v:shape id="文本框 108" o:spid="_x0000_s1026" o:spt="202" type="#_x0000_t202" style="position:absolute;left:0pt;margin-left:0pt;margin-top:15.6pt;height:32.9pt;width:45pt;z-index:251859968;mso-width-relative:page;mso-height-relative:page;" fillcolor="#FFFFFF" filled="t" stroked="f" coordsize="21600,21600" o:gfxdata="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CH9gtQA&#10;AAAFAQAADwAAAAAAAAABACAAAAAiAAAAZHJzL2Rvd25yZXYueG1sUEsBAhQAFAAAAAgAh07iQJdf&#10;97kjAgAAMQQAAA4AAAAAAAAAAQAgAAAAIw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工料机调差</w:t>
                      </w:r>
                    </w:p>
                  </w:txbxContent>
                </v:textbox>
              </v:shape>
            </w:pict>
          </mc:Fallback>
        </mc:AlternateContent>
      </w:r>
      <w:r>
        <w:rPr>
          <w:rFonts w:hint="eastAsia" w:ascii="宋体" w:hAnsi="宋体"/>
          <w:b w:val="0"/>
          <w:color w:val="000000"/>
          <w:sz w:val="21"/>
        </w:rPr>
        <w:t>由于非承包人原因引起的用于本工程的人工、主要材料及机械使用的价格波动超过±5%时，合同价款应作调整，但发包人与承包人在专用条款中约定不调整的情况除外。若做调整，价差调整部分不计企业管理费和利润。</w:t>
      </w:r>
    </w:p>
    <w:p>
      <w:pPr>
        <w:tabs>
          <w:tab w:val="left" w:pos="1620"/>
          <w:tab w:val="left" w:pos="2340"/>
        </w:tabs>
        <w:ind w:left="1453" w:leftChars="675" w:hanging="35" w:hangingChars="17"/>
        <w:rPr>
          <w:rFonts w:ascii="宋体" w:hAnsi="宋体"/>
          <w:color w:val="000000"/>
        </w:rPr>
      </w:pPr>
      <w:r>
        <w:rPr>
          <w:rFonts w:hint="eastAsia" w:ascii="宋体" w:hAnsi="宋体"/>
          <w:color w:val="000000"/>
        </w:rPr>
        <w:t>主要材料是指用于本工程的某种材料价款总额达到合同价款8%及以上的材料。根据本工程的具体实际，用于本工程的某种材料价款总额虽然未达到合同价款的8%，但在本工程中为重要材料，发包人和承包人可在专用条款约定其属于主要材料。</w:t>
      </w:r>
    </w:p>
    <w:p>
      <w:pPr>
        <w:tabs>
          <w:tab w:val="left" w:pos="1620"/>
          <w:tab w:val="left" w:pos="2340"/>
        </w:tabs>
        <w:ind w:left="1449" w:leftChars="690" w:firstLine="420" w:firstLineChars="200"/>
        <w:rPr>
          <w:rFonts w:ascii="宋体" w:hAnsi="宋体"/>
          <w:color w:val="000000"/>
        </w:rPr>
      </w:pPr>
      <w:bookmarkStart w:id="248" w:name="_Toc34909079"/>
      <w:r>
        <w:rPr>
          <w:rFonts w:hint="eastAsia" w:ascii="宋体" w:hAnsi="宋体"/>
          <w:color w:val="000000"/>
        </w:rPr>
        <w:t>主要材料价格波动时合同价款的调整办法如下：</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当</w:t>
      </w:r>
      <w:r>
        <w:rPr>
          <w:rFonts w:ascii="宋体" w:hAnsi="宋体"/>
          <w:color w:val="000000"/>
        </w:rPr>
        <w:t>P</w:t>
      </w:r>
      <w:r>
        <w:rPr>
          <w:rFonts w:hint="eastAsia" w:ascii="宋体" w:hAnsi="宋体"/>
          <w:color w:val="000000"/>
        </w:rPr>
        <w:t>＞</w:t>
      </w:r>
      <w:r>
        <w:rPr>
          <w:rFonts w:ascii="宋体" w:hAnsi="宋体"/>
          <w:color w:val="000000"/>
        </w:rPr>
        <w:t>P0</w:t>
      </w:r>
      <w:r>
        <w:rPr>
          <w:rFonts w:hint="eastAsia" w:ascii="宋体" w:hAnsi="宋体"/>
          <w:color w:val="000000"/>
        </w:rPr>
        <w:t>时：</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①</w:t>
      </w:r>
      <w:r>
        <w:rPr>
          <w:rFonts w:ascii="宋体" w:hAnsi="宋体"/>
          <w:color w:val="000000"/>
        </w:rPr>
        <w:t>Pt</w:t>
      </w:r>
      <w:r>
        <w:rPr>
          <w:rFonts w:hint="eastAsia" w:ascii="宋体" w:hAnsi="宋体"/>
          <w:color w:val="000000"/>
        </w:rPr>
        <w:t>＜</w:t>
      </w:r>
      <w:r>
        <w:rPr>
          <w:rFonts w:ascii="宋体" w:hAnsi="宋体"/>
          <w:color w:val="000000"/>
        </w:rPr>
        <w:t>P0</w:t>
      </w:r>
      <w:r>
        <w:rPr>
          <w:rFonts w:hint="eastAsia" w:ascii="宋体" w:hAnsi="宋体"/>
          <w:color w:val="000000"/>
        </w:rPr>
        <w:t>，且</w:t>
      </w:r>
      <w:r>
        <w:rPr>
          <w:rFonts w:ascii="宋体" w:hAnsi="宋体"/>
          <w:color w:val="000000"/>
        </w:rPr>
        <w:t>P /P0</w:t>
      </w:r>
      <w:r>
        <w:rPr>
          <w:rFonts w:hint="eastAsia" w:ascii="宋体" w:hAnsi="宋体"/>
          <w:color w:val="000000"/>
        </w:rPr>
        <w:t>＞</w:t>
      </w:r>
      <w:r>
        <w:rPr>
          <w:rFonts w:ascii="宋体" w:hAnsi="宋体"/>
          <w:color w:val="000000"/>
        </w:rPr>
        <w:t>1.05</w:t>
      </w:r>
      <w:r>
        <w:rPr>
          <w:rFonts w:hint="eastAsia" w:ascii="宋体" w:hAnsi="宋体"/>
          <w:color w:val="000000"/>
        </w:rPr>
        <w:t>，则：</w:t>
      </w:r>
    </w:p>
    <w:p>
      <w:pPr>
        <w:tabs>
          <w:tab w:val="left" w:pos="1620"/>
          <w:tab w:val="left" w:pos="2340"/>
        </w:tabs>
        <w:ind w:left="1266" w:leftChars="603" w:firstLine="672" w:firstLineChars="320"/>
        <w:rPr>
          <w:rFonts w:ascii="宋体" w:hAnsi="宋体"/>
          <w:color w:val="000000"/>
        </w:rPr>
      </w:pPr>
      <w:r>
        <w:rPr>
          <w:rFonts w:ascii="宋体" w:hAnsi="宋体"/>
          <w:color w:val="000000"/>
        </w:rPr>
        <w:t>C</w:t>
      </w:r>
      <w:r>
        <w:rPr>
          <w:rFonts w:hint="eastAsia" w:ascii="宋体" w:hAnsi="宋体"/>
          <w:color w:val="000000"/>
        </w:rPr>
        <w:t>增</w:t>
      </w:r>
      <w:r>
        <w:rPr>
          <w:rFonts w:ascii="宋体" w:hAnsi="宋体"/>
          <w:color w:val="000000"/>
        </w:rPr>
        <w:t>=Q</w:t>
      </w:r>
      <w:r>
        <w:rPr>
          <w:rFonts w:hint="eastAsia" w:ascii="宋体" w:hAnsi="宋体"/>
          <w:color w:val="000000"/>
        </w:rPr>
        <w:t>总×</w:t>
      </w:r>
      <w:r>
        <w:rPr>
          <w:rFonts w:ascii="宋体" w:hAnsi="宋体"/>
          <w:color w:val="000000"/>
        </w:rPr>
        <w:t>Pt×(P /P0</w:t>
      </w:r>
      <w:r>
        <w:rPr>
          <w:rFonts w:hint="eastAsia" w:ascii="宋体" w:hAnsi="宋体"/>
          <w:color w:val="000000"/>
        </w:rPr>
        <w:t>－</w:t>
      </w:r>
      <w:r>
        <w:rPr>
          <w:rFonts w:ascii="宋体" w:hAnsi="宋体"/>
          <w:color w:val="000000"/>
        </w:rPr>
        <w:t>1.05)</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②</w:t>
      </w:r>
      <w:r>
        <w:rPr>
          <w:rFonts w:ascii="宋体" w:hAnsi="宋体"/>
          <w:color w:val="000000"/>
        </w:rPr>
        <w:t>Pt</w:t>
      </w:r>
      <w:r>
        <w:rPr>
          <w:rFonts w:hint="eastAsia" w:ascii="宋体" w:hAnsi="宋体"/>
          <w:color w:val="000000"/>
        </w:rPr>
        <w:t>≥</w:t>
      </w:r>
      <w:r>
        <w:rPr>
          <w:rFonts w:ascii="宋体" w:hAnsi="宋体"/>
          <w:color w:val="000000"/>
        </w:rPr>
        <w:t>P0</w:t>
      </w:r>
      <w:r>
        <w:rPr>
          <w:rFonts w:hint="eastAsia" w:ascii="宋体" w:hAnsi="宋体"/>
          <w:color w:val="000000"/>
        </w:rPr>
        <w:t>，且</w:t>
      </w:r>
      <w:r>
        <w:rPr>
          <w:rFonts w:ascii="宋体" w:hAnsi="宋体"/>
          <w:color w:val="000000"/>
        </w:rPr>
        <w:t>P /Pt</w:t>
      </w:r>
      <w:r>
        <w:rPr>
          <w:rFonts w:hint="eastAsia" w:ascii="宋体" w:hAnsi="宋体"/>
          <w:color w:val="000000"/>
        </w:rPr>
        <w:t>＞</w:t>
      </w:r>
      <w:r>
        <w:rPr>
          <w:rFonts w:ascii="宋体" w:hAnsi="宋体"/>
          <w:color w:val="000000"/>
        </w:rPr>
        <w:t>1.05</w:t>
      </w:r>
      <w:r>
        <w:rPr>
          <w:rFonts w:hint="eastAsia" w:ascii="宋体" w:hAnsi="宋体"/>
          <w:color w:val="000000"/>
        </w:rPr>
        <w:t>，则：</w:t>
      </w:r>
    </w:p>
    <w:p>
      <w:pPr>
        <w:tabs>
          <w:tab w:val="left" w:pos="1620"/>
          <w:tab w:val="left" w:pos="2340"/>
        </w:tabs>
        <w:ind w:left="1266" w:leftChars="603" w:firstLine="672" w:firstLineChars="320"/>
        <w:rPr>
          <w:rFonts w:ascii="宋体" w:hAnsi="宋体"/>
          <w:color w:val="000000"/>
        </w:rPr>
      </w:pPr>
      <w:r>
        <w:rPr>
          <w:rFonts w:ascii="宋体" w:hAnsi="宋体"/>
          <w:color w:val="000000"/>
        </w:rPr>
        <w:t>C</w:t>
      </w:r>
      <w:r>
        <w:rPr>
          <w:rFonts w:hint="eastAsia" w:ascii="宋体" w:hAnsi="宋体"/>
          <w:color w:val="000000"/>
        </w:rPr>
        <w:t>增</w:t>
      </w:r>
      <w:r>
        <w:rPr>
          <w:rFonts w:ascii="宋体" w:hAnsi="宋体"/>
          <w:color w:val="000000"/>
        </w:rPr>
        <w:t>=Q</w:t>
      </w:r>
      <w:r>
        <w:rPr>
          <w:rFonts w:hint="eastAsia" w:ascii="宋体" w:hAnsi="宋体"/>
          <w:color w:val="000000"/>
        </w:rPr>
        <w:t>总×</w:t>
      </w:r>
      <w:r>
        <w:rPr>
          <w:rFonts w:ascii="宋体" w:hAnsi="宋体"/>
          <w:color w:val="000000"/>
        </w:rPr>
        <w:t>Pt×(P /Pt</w:t>
      </w:r>
      <w:r>
        <w:rPr>
          <w:rFonts w:hint="eastAsia" w:ascii="宋体" w:hAnsi="宋体"/>
          <w:color w:val="000000"/>
        </w:rPr>
        <w:t>－</w:t>
      </w:r>
      <w:r>
        <w:rPr>
          <w:rFonts w:ascii="宋体" w:hAnsi="宋体"/>
          <w:color w:val="000000"/>
        </w:rPr>
        <w:t>1.05)</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当</w:t>
      </w:r>
      <w:r>
        <w:rPr>
          <w:rFonts w:ascii="宋体" w:hAnsi="宋体"/>
          <w:color w:val="000000"/>
        </w:rPr>
        <w:t>P</w:t>
      </w:r>
      <w:r>
        <w:rPr>
          <w:rFonts w:hint="eastAsia" w:ascii="宋体" w:hAnsi="宋体"/>
          <w:color w:val="000000"/>
        </w:rPr>
        <w:t>＜</w:t>
      </w:r>
      <w:r>
        <w:rPr>
          <w:rFonts w:ascii="宋体" w:hAnsi="宋体"/>
          <w:color w:val="000000"/>
        </w:rPr>
        <w:t>P0</w:t>
      </w:r>
      <w:r>
        <w:rPr>
          <w:rFonts w:hint="eastAsia" w:ascii="宋体" w:hAnsi="宋体"/>
          <w:color w:val="000000"/>
        </w:rPr>
        <w:t>时：</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①</w:t>
      </w:r>
      <w:r>
        <w:rPr>
          <w:rFonts w:ascii="宋体" w:hAnsi="宋体"/>
          <w:color w:val="000000"/>
        </w:rPr>
        <w:t>Pt</w:t>
      </w:r>
      <w:r>
        <w:rPr>
          <w:rFonts w:hint="eastAsia" w:ascii="宋体" w:hAnsi="宋体"/>
          <w:color w:val="000000"/>
        </w:rPr>
        <w:t>＜</w:t>
      </w:r>
      <w:r>
        <w:rPr>
          <w:rFonts w:ascii="宋体" w:hAnsi="宋体"/>
          <w:color w:val="000000"/>
        </w:rPr>
        <w:t>P0</w:t>
      </w:r>
      <w:r>
        <w:rPr>
          <w:rFonts w:hint="eastAsia" w:ascii="宋体" w:hAnsi="宋体"/>
          <w:color w:val="000000"/>
        </w:rPr>
        <w:t>，且</w:t>
      </w:r>
      <w:r>
        <w:rPr>
          <w:rFonts w:ascii="宋体" w:hAnsi="宋体"/>
          <w:color w:val="000000"/>
        </w:rPr>
        <w:t>P /Pt</w:t>
      </w:r>
      <w:r>
        <w:rPr>
          <w:rFonts w:hint="eastAsia" w:ascii="宋体" w:hAnsi="宋体"/>
          <w:color w:val="000000"/>
        </w:rPr>
        <w:t>＜</w:t>
      </w:r>
      <w:r>
        <w:rPr>
          <w:rFonts w:ascii="宋体" w:hAnsi="宋体"/>
          <w:color w:val="000000"/>
        </w:rPr>
        <w:t>0.95</w:t>
      </w:r>
      <w:r>
        <w:rPr>
          <w:rFonts w:hint="eastAsia" w:ascii="宋体" w:hAnsi="宋体"/>
          <w:color w:val="000000"/>
        </w:rPr>
        <w:t>，则：</w:t>
      </w:r>
    </w:p>
    <w:p>
      <w:pPr>
        <w:tabs>
          <w:tab w:val="left" w:pos="1620"/>
          <w:tab w:val="left" w:pos="2340"/>
        </w:tabs>
        <w:ind w:left="1266" w:leftChars="603" w:firstLine="672" w:firstLineChars="320"/>
        <w:rPr>
          <w:rFonts w:ascii="宋体" w:hAnsi="宋体"/>
          <w:color w:val="000000"/>
        </w:rPr>
      </w:pPr>
      <w:r>
        <w:rPr>
          <w:rFonts w:ascii="宋体" w:hAnsi="宋体"/>
          <w:color w:val="000000"/>
        </w:rPr>
        <w:t>C</w:t>
      </w:r>
      <w:r>
        <w:rPr>
          <w:rFonts w:hint="eastAsia" w:ascii="宋体" w:hAnsi="宋体"/>
          <w:color w:val="000000"/>
        </w:rPr>
        <w:t>减</w:t>
      </w:r>
      <w:r>
        <w:rPr>
          <w:rFonts w:ascii="宋体" w:hAnsi="宋体"/>
          <w:color w:val="000000"/>
        </w:rPr>
        <w:t>=Q</w:t>
      </w:r>
      <w:r>
        <w:rPr>
          <w:rFonts w:hint="eastAsia" w:ascii="宋体" w:hAnsi="宋体"/>
          <w:color w:val="000000"/>
        </w:rPr>
        <w:t>总×</w:t>
      </w:r>
      <w:r>
        <w:rPr>
          <w:rFonts w:ascii="宋体" w:hAnsi="宋体"/>
          <w:color w:val="000000"/>
        </w:rPr>
        <w:t>Pt×(0.95</w:t>
      </w:r>
      <w:r>
        <w:rPr>
          <w:rFonts w:hint="eastAsia" w:ascii="宋体" w:hAnsi="宋体"/>
          <w:color w:val="000000"/>
        </w:rPr>
        <w:t>－</w:t>
      </w:r>
      <w:r>
        <w:rPr>
          <w:rFonts w:ascii="宋体" w:hAnsi="宋体"/>
          <w:color w:val="000000"/>
        </w:rPr>
        <w:t>P /Pt)</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②</w:t>
      </w:r>
      <w:r>
        <w:rPr>
          <w:rFonts w:ascii="宋体" w:hAnsi="宋体"/>
          <w:color w:val="000000"/>
        </w:rPr>
        <w:t>Pt</w:t>
      </w:r>
      <w:r>
        <w:rPr>
          <w:rFonts w:hint="eastAsia" w:ascii="宋体" w:hAnsi="宋体"/>
          <w:color w:val="000000"/>
        </w:rPr>
        <w:t>≥</w:t>
      </w:r>
      <w:r>
        <w:rPr>
          <w:rFonts w:ascii="宋体" w:hAnsi="宋体"/>
          <w:color w:val="000000"/>
        </w:rPr>
        <w:t>P0</w:t>
      </w:r>
      <w:r>
        <w:rPr>
          <w:rFonts w:hint="eastAsia" w:ascii="宋体" w:hAnsi="宋体"/>
          <w:color w:val="000000"/>
        </w:rPr>
        <w:t>，且</w:t>
      </w:r>
      <w:r>
        <w:rPr>
          <w:rFonts w:ascii="宋体" w:hAnsi="宋体"/>
          <w:color w:val="000000"/>
        </w:rPr>
        <w:t>P /P0</w:t>
      </w:r>
      <w:r>
        <w:rPr>
          <w:rFonts w:hint="eastAsia" w:ascii="宋体" w:hAnsi="宋体"/>
          <w:color w:val="000000"/>
        </w:rPr>
        <w:t>＜</w:t>
      </w:r>
      <w:r>
        <w:rPr>
          <w:rFonts w:ascii="宋体" w:hAnsi="宋体"/>
          <w:color w:val="000000"/>
        </w:rPr>
        <w:t>0.95</w:t>
      </w:r>
      <w:r>
        <w:rPr>
          <w:rFonts w:hint="eastAsia" w:ascii="宋体" w:hAnsi="宋体"/>
          <w:color w:val="000000"/>
        </w:rPr>
        <w:t>，则：</w:t>
      </w:r>
    </w:p>
    <w:p>
      <w:pPr>
        <w:tabs>
          <w:tab w:val="left" w:pos="1620"/>
          <w:tab w:val="left" w:pos="2340"/>
        </w:tabs>
        <w:ind w:left="1266" w:leftChars="603" w:firstLine="672" w:firstLineChars="320"/>
        <w:rPr>
          <w:rFonts w:ascii="宋体" w:hAnsi="宋体"/>
          <w:color w:val="000000"/>
        </w:rPr>
      </w:pPr>
      <w:r>
        <w:rPr>
          <w:rFonts w:ascii="宋体" w:hAnsi="宋体"/>
          <w:color w:val="000000"/>
        </w:rPr>
        <w:t>C</w:t>
      </w:r>
      <w:r>
        <w:rPr>
          <w:rFonts w:hint="eastAsia" w:ascii="宋体" w:hAnsi="宋体"/>
          <w:color w:val="000000"/>
        </w:rPr>
        <w:t>减</w:t>
      </w:r>
      <w:r>
        <w:rPr>
          <w:rFonts w:ascii="宋体" w:hAnsi="宋体"/>
          <w:color w:val="000000"/>
        </w:rPr>
        <w:t>=Q</w:t>
      </w:r>
      <w:r>
        <w:rPr>
          <w:rFonts w:hint="eastAsia" w:ascii="宋体" w:hAnsi="宋体"/>
          <w:color w:val="000000"/>
        </w:rPr>
        <w:t>总×</w:t>
      </w:r>
      <w:r>
        <w:rPr>
          <w:rFonts w:ascii="宋体" w:hAnsi="宋体"/>
          <w:color w:val="000000"/>
        </w:rPr>
        <w:t>Pt×(0.95</w:t>
      </w:r>
      <w:r>
        <w:rPr>
          <w:rFonts w:hint="eastAsia" w:ascii="宋体" w:hAnsi="宋体"/>
          <w:color w:val="000000"/>
        </w:rPr>
        <w:t>－</w:t>
      </w:r>
      <w:r>
        <w:rPr>
          <w:rFonts w:ascii="宋体" w:hAnsi="宋体"/>
          <w:color w:val="000000"/>
        </w:rPr>
        <w:t>P /P0)</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式中：</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P0－按专用条款约定</w:t>
      </w:r>
      <w:r>
        <w:rPr>
          <w:rFonts w:hint="eastAsia" w:ascii="宋体" w:hAnsi="宋体"/>
          <w:color w:val="000000"/>
          <w:highlight w:val="none"/>
        </w:rPr>
        <w:t>月份《</w:t>
      </w:r>
      <w:r>
        <w:rPr>
          <w:rFonts w:hint="eastAsia" w:ascii="宋体" w:hAnsi="宋体"/>
          <w:color w:val="000000"/>
          <w:highlight w:val="none"/>
          <w:lang w:val="en-US" w:eastAsia="zh-CN"/>
        </w:rPr>
        <w:t>广州</w:t>
      </w:r>
      <w:r>
        <w:rPr>
          <w:rFonts w:hint="eastAsia" w:ascii="宋体" w:hAnsi="宋体"/>
          <w:color w:val="000000"/>
          <w:highlight w:val="none"/>
        </w:rPr>
        <w:t>市建</w:t>
      </w:r>
      <w:r>
        <w:rPr>
          <w:rFonts w:hint="eastAsia" w:ascii="宋体" w:hAnsi="宋体"/>
          <w:color w:val="000000"/>
        </w:rPr>
        <w:t>设工程价格信息》某材料价格。</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Pt－承包人投标文件商务标书中某材料的投标单价，如投标报价中无法确认某材料的单价时，则Pt取值为P0×（1-中标净下浮率）；</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C增－调增合同价格；</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C减－调减合同价格；</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Q总－本项目已完工程合格产品的某材料总用量（其中消耗量因素在专用条款约定）。</w:t>
      </w:r>
    </w:p>
    <w:p>
      <w:pPr>
        <w:tabs>
          <w:tab w:val="left" w:pos="1620"/>
          <w:tab w:val="left" w:pos="2340"/>
        </w:tabs>
        <w:ind w:left="1266" w:leftChars="603" w:firstLine="672" w:firstLineChars="320"/>
        <w:rPr>
          <w:rFonts w:ascii="宋体" w:hAnsi="宋体"/>
          <w:color w:val="000000"/>
        </w:rPr>
      </w:pPr>
      <w:r>
        <w:rPr>
          <w:rFonts w:ascii="宋体" w:hAnsi="宋体"/>
          <w:color w:val="000000"/>
        </w:rPr>
        <w:t>P</w:t>
      </w:r>
      <w:r>
        <w:rPr>
          <w:rFonts w:hint="eastAsia" w:ascii="宋体" w:hAnsi="宋体"/>
          <w:color w:val="000000"/>
        </w:rPr>
        <w:t>－计算方式如下（或按专用条款中约定的方法）：</w:t>
      </w:r>
    </w:p>
    <w:p>
      <w:pPr>
        <w:tabs>
          <w:tab w:val="left" w:pos="1620"/>
          <w:tab w:val="left" w:pos="2340"/>
        </w:tabs>
        <w:ind w:left="1266" w:leftChars="603" w:firstLine="672" w:firstLineChars="320"/>
        <w:rPr>
          <w:rFonts w:ascii="宋体" w:hAnsi="宋体"/>
          <w:color w:val="000000"/>
        </w:rPr>
      </w:pPr>
      <w:r>
        <w:rPr>
          <w:rFonts w:hint="eastAsia" w:ascii="宋体" w:hAnsi="宋体"/>
          <w:color w:val="000000"/>
        </w:rPr>
        <w:t>①加权平均法：</w:t>
      </w:r>
    </w:p>
    <w:p>
      <w:pPr>
        <w:tabs>
          <w:tab w:val="left" w:pos="1620"/>
          <w:tab w:val="left" w:pos="2340"/>
        </w:tabs>
        <w:ind w:left="1266" w:leftChars="603" w:firstLine="672" w:firstLineChars="320"/>
        <w:rPr>
          <w:rFonts w:ascii="宋体" w:hAnsi="宋体"/>
          <w:color w:val="000000"/>
          <w:highlight w:val="none"/>
        </w:rPr>
      </w:pPr>
      <w:r>
        <w:rPr>
          <w:rFonts w:ascii="宋体" w:hAnsi="宋体"/>
          <w:color w:val="000000"/>
        </w:rPr>
        <w:t>P -</w:t>
      </w:r>
      <w:r>
        <w:rPr>
          <w:rFonts w:hint="eastAsia" w:ascii="宋体" w:hAnsi="宋体"/>
          <w:color w:val="000000"/>
        </w:rPr>
        <w:t>施工期加权平</w:t>
      </w:r>
      <w:r>
        <w:rPr>
          <w:rFonts w:hint="eastAsia" w:ascii="宋体" w:hAnsi="宋体"/>
          <w:color w:val="000000"/>
          <w:highlight w:val="none"/>
        </w:rPr>
        <w:t>均价格，即∑</w:t>
      </w:r>
      <w:r>
        <w:rPr>
          <w:rFonts w:ascii="宋体" w:hAnsi="宋体"/>
          <w:color w:val="000000"/>
          <w:highlight w:val="none"/>
        </w:rPr>
        <w:t>(Qi×Pi)/Q</w:t>
      </w:r>
      <w:r>
        <w:rPr>
          <w:rFonts w:hint="eastAsia" w:ascii="宋体" w:hAnsi="宋体"/>
          <w:color w:val="000000"/>
          <w:highlight w:val="none"/>
        </w:rPr>
        <w:t>总，其中</w:t>
      </w:r>
      <w:r>
        <w:rPr>
          <w:rFonts w:ascii="宋体" w:hAnsi="宋体"/>
          <w:color w:val="000000"/>
          <w:highlight w:val="none"/>
        </w:rPr>
        <w:t>Qi</w:t>
      </w:r>
      <w:r>
        <w:rPr>
          <w:rFonts w:hint="eastAsia" w:ascii="宋体" w:hAnsi="宋体"/>
          <w:color w:val="000000"/>
          <w:highlight w:val="none"/>
        </w:rPr>
        <w:t>为施工期第</w:t>
      </w:r>
      <w:r>
        <w:rPr>
          <w:rFonts w:ascii="宋体" w:hAnsi="宋体"/>
          <w:color w:val="000000"/>
          <w:highlight w:val="none"/>
        </w:rPr>
        <w:t>i</w:t>
      </w:r>
      <w:r>
        <w:rPr>
          <w:rFonts w:hint="eastAsia" w:ascii="宋体" w:hAnsi="宋体"/>
          <w:color w:val="000000"/>
          <w:highlight w:val="none"/>
        </w:rPr>
        <w:t>个月某材料用量（消耗量因素在专用条款约定）；</w:t>
      </w:r>
      <w:r>
        <w:rPr>
          <w:rFonts w:ascii="宋体" w:hAnsi="宋体"/>
          <w:color w:val="000000"/>
          <w:highlight w:val="none"/>
        </w:rPr>
        <w:t>Pi</w:t>
      </w:r>
      <w:r>
        <w:rPr>
          <w:rFonts w:hint="eastAsia" w:ascii="宋体" w:hAnsi="宋体"/>
          <w:color w:val="000000"/>
          <w:highlight w:val="none"/>
        </w:rPr>
        <w:t>为施工期第</w:t>
      </w:r>
      <w:r>
        <w:rPr>
          <w:rFonts w:ascii="宋体" w:hAnsi="宋体"/>
          <w:color w:val="000000"/>
          <w:highlight w:val="none"/>
        </w:rPr>
        <w:t>i</w:t>
      </w:r>
      <w:r>
        <w:rPr>
          <w:rFonts w:hint="eastAsia" w:ascii="宋体" w:hAnsi="宋体"/>
          <w:color w:val="000000"/>
          <w:highlight w:val="none"/>
        </w:rPr>
        <w:t>个月当月《</w:t>
      </w:r>
      <w:r>
        <w:rPr>
          <w:rFonts w:hint="eastAsia" w:ascii="宋体" w:hAnsi="宋体"/>
          <w:color w:val="000000"/>
          <w:highlight w:val="none"/>
          <w:lang w:val="en-US" w:eastAsia="zh-CN"/>
        </w:rPr>
        <w:t>广州</w:t>
      </w:r>
      <w:r>
        <w:rPr>
          <w:rFonts w:hint="eastAsia" w:ascii="宋体" w:hAnsi="宋体"/>
          <w:color w:val="000000"/>
          <w:highlight w:val="none"/>
        </w:rPr>
        <w:t>市建设工程价格信息》某材料价格。例如施工期第</w:t>
      </w:r>
      <w:r>
        <w:rPr>
          <w:rFonts w:ascii="宋体" w:hAnsi="宋体"/>
          <w:color w:val="000000"/>
          <w:highlight w:val="none"/>
        </w:rPr>
        <w:t>i</w:t>
      </w:r>
      <w:r>
        <w:rPr>
          <w:rFonts w:hint="eastAsia" w:ascii="宋体" w:hAnsi="宋体"/>
          <w:color w:val="000000"/>
          <w:highlight w:val="none"/>
        </w:rPr>
        <w:t>个月是</w:t>
      </w:r>
      <w:r>
        <w:rPr>
          <w:rFonts w:ascii="宋体" w:hAnsi="宋体"/>
          <w:color w:val="000000"/>
          <w:highlight w:val="none"/>
        </w:rPr>
        <w:t>2018</w:t>
      </w:r>
      <w:r>
        <w:rPr>
          <w:rFonts w:hint="eastAsia" w:ascii="宋体" w:hAnsi="宋体"/>
          <w:color w:val="000000"/>
          <w:highlight w:val="none"/>
        </w:rPr>
        <w:t>年</w:t>
      </w:r>
      <w:r>
        <w:rPr>
          <w:rFonts w:ascii="宋体" w:hAnsi="宋体"/>
          <w:color w:val="000000"/>
          <w:highlight w:val="none"/>
        </w:rPr>
        <w:t>6</w:t>
      </w:r>
      <w:r>
        <w:rPr>
          <w:rFonts w:hint="eastAsia" w:ascii="宋体" w:hAnsi="宋体"/>
          <w:color w:val="000000"/>
          <w:highlight w:val="none"/>
        </w:rPr>
        <w:t>月，则对应</w:t>
      </w:r>
      <w:r>
        <w:rPr>
          <w:rFonts w:ascii="宋体" w:hAnsi="宋体"/>
          <w:color w:val="000000"/>
          <w:highlight w:val="none"/>
        </w:rPr>
        <w:t>2018</w:t>
      </w:r>
      <w:r>
        <w:rPr>
          <w:rFonts w:hint="eastAsia" w:ascii="宋体" w:hAnsi="宋体"/>
          <w:color w:val="000000"/>
          <w:highlight w:val="none"/>
        </w:rPr>
        <w:t>年</w:t>
      </w:r>
      <w:r>
        <w:rPr>
          <w:rFonts w:ascii="宋体" w:hAnsi="宋体"/>
          <w:color w:val="000000"/>
          <w:highlight w:val="none"/>
        </w:rPr>
        <w:t>6</w:t>
      </w:r>
      <w:r>
        <w:rPr>
          <w:rFonts w:hint="eastAsia" w:ascii="宋体" w:hAnsi="宋体"/>
          <w:color w:val="000000"/>
          <w:highlight w:val="none"/>
        </w:rPr>
        <w:t>月《</w:t>
      </w:r>
      <w:r>
        <w:rPr>
          <w:rFonts w:hint="eastAsia" w:ascii="宋体" w:hAnsi="宋体"/>
          <w:color w:val="000000"/>
          <w:highlight w:val="none"/>
          <w:lang w:val="en-US" w:eastAsia="zh-CN"/>
        </w:rPr>
        <w:t>广州</w:t>
      </w:r>
      <w:r>
        <w:rPr>
          <w:rFonts w:hint="eastAsia" w:ascii="宋体" w:hAnsi="宋体"/>
          <w:color w:val="000000"/>
          <w:highlight w:val="none"/>
        </w:rPr>
        <w:t>市建设工程价格信息》。</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或者②算术平均法：</w:t>
      </w:r>
    </w:p>
    <w:p>
      <w:pPr>
        <w:tabs>
          <w:tab w:val="left" w:pos="1620"/>
          <w:tab w:val="left" w:pos="2340"/>
        </w:tabs>
        <w:ind w:left="1487" w:leftChars="708" w:firstLine="306" w:firstLineChars="146"/>
        <w:rPr>
          <w:rFonts w:ascii="宋体" w:hAnsi="宋体"/>
          <w:color w:val="000000"/>
          <w:highlight w:val="none"/>
        </w:rPr>
      </w:pPr>
      <w:r>
        <w:rPr>
          <w:rFonts w:ascii="宋体" w:hAnsi="宋体"/>
          <w:color w:val="000000"/>
          <w:highlight w:val="none"/>
        </w:rPr>
        <w:t>P -</w:t>
      </w:r>
      <w:r>
        <w:rPr>
          <w:rFonts w:hint="eastAsia" w:ascii="宋体" w:hAnsi="宋体"/>
          <w:color w:val="000000"/>
          <w:highlight w:val="none"/>
        </w:rPr>
        <w:t>本工程有某材料投入月份对应《</w:t>
      </w:r>
      <w:r>
        <w:rPr>
          <w:rFonts w:hint="eastAsia" w:ascii="宋体" w:hAnsi="宋体"/>
          <w:color w:val="000000"/>
          <w:highlight w:val="none"/>
          <w:lang w:val="en-US" w:eastAsia="zh-CN"/>
        </w:rPr>
        <w:t>广州</w:t>
      </w:r>
      <w:r>
        <w:rPr>
          <w:rFonts w:hint="eastAsia" w:ascii="宋体" w:hAnsi="宋体"/>
          <w:color w:val="000000"/>
          <w:highlight w:val="none"/>
        </w:rPr>
        <w:t>市建设工程价格信息》某材料价格的算术平均值。例如有某材料投入月份是指</w:t>
      </w:r>
      <w:r>
        <w:rPr>
          <w:rFonts w:ascii="宋体" w:hAnsi="宋体"/>
          <w:color w:val="000000"/>
          <w:highlight w:val="none"/>
        </w:rPr>
        <w:t>2018</w:t>
      </w:r>
      <w:r>
        <w:rPr>
          <w:rFonts w:hint="eastAsia" w:ascii="宋体" w:hAnsi="宋体"/>
          <w:color w:val="000000"/>
          <w:highlight w:val="none"/>
        </w:rPr>
        <w:t>年</w:t>
      </w:r>
      <w:r>
        <w:rPr>
          <w:rFonts w:ascii="宋体" w:hAnsi="宋体"/>
          <w:color w:val="000000"/>
          <w:highlight w:val="none"/>
        </w:rPr>
        <w:t>6</w:t>
      </w:r>
      <w:r>
        <w:rPr>
          <w:rFonts w:hint="eastAsia" w:ascii="宋体" w:hAnsi="宋体"/>
          <w:color w:val="000000"/>
          <w:highlight w:val="none"/>
        </w:rPr>
        <w:t>月至</w:t>
      </w:r>
      <w:r>
        <w:rPr>
          <w:rFonts w:ascii="宋体" w:hAnsi="宋体"/>
          <w:color w:val="000000"/>
          <w:highlight w:val="none"/>
        </w:rPr>
        <w:t>8</w:t>
      </w:r>
      <w:r>
        <w:rPr>
          <w:rFonts w:hint="eastAsia" w:ascii="宋体" w:hAnsi="宋体"/>
          <w:color w:val="000000"/>
          <w:highlight w:val="none"/>
        </w:rPr>
        <w:t>月，则对应</w:t>
      </w:r>
      <w:r>
        <w:rPr>
          <w:rFonts w:ascii="宋体" w:hAnsi="宋体"/>
          <w:color w:val="000000"/>
          <w:highlight w:val="none"/>
        </w:rPr>
        <w:t>2018</w:t>
      </w:r>
      <w:r>
        <w:rPr>
          <w:rFonts w:hint="eastAsia" w:ascii="宋体" w:hAnsi="宋体"/>
          <w:color w:val="000000"/>
          <w:highlight w:val="none"/>
        </w:rPr>
        <w:t>年</w:t>
      </w:r>
      <w:r>
        <w:rPr>
          <w:rFonts w:ascii="宋体" w:hAnsi="宋体"/>
          <w:color w:val="000000"/>
          <w:highlight w:val="none"/>
        </w:rPr>
        <w:t>6</w:t>
      </w:r>
      <w:r>
        <w:rPr>
          <w:rFonts w:hint="eastAsia" w:ascii="宋体" w:hAnsi="宋体"/>
          <w:color w:val="000000"/>
          <w:highlight w:val="none"/>
        </w:rPr>
        <w:t>月至</w:t>
      </w:r>
      <w:r>
        <w:rPr>
          <w:rFonts w:ascii="宋体" w:hAnsi="宋体"/>
          <w:color w:val="000000"/>
          <w:highlight w:val="none"/>
        </w:rPr>
        <w:t>8</w:t>
      </w:r>
      <w:r>
        <w:rPr>
          <w:rFonts w:hint="eastAsia" w:ascii="宋体" w:hAnsi="宋体"/>
          <w:color w:val="000000"/>
          <w:highlight w:val="none"/>
        </w:rPr>
        <w:t>月《</w:t>
      </w:r>
      <w:r>
        <w:rPr>
          <w:rFonts w:hint="eastAsia" w:ascii="宋体" w:hAnsi="宋体"/>
          <w:color w:val="000000"/>
          <w:highlight w:val="none"/>
          <w:lang w:val="en-US" w:eastAsia="zh-CN"/>
        </w:rPr>
        <w:t>广州</w:t>
      </w:r>
      <w:r>
        <w:rPr>
          <w:rFonts w:hint="eastAsia" w:ascii="宋体" w:hAnsi="宋体"/>
          <w:color w:val="000000"/>
          <w:highlight w:val="none"/>
        </w:rPr>
        <w:t>市建设工程价格信息》某材料价格之和除以</w:t>
      </w:r>
      <w:r>
        <w:rPr>
          <w:rFonts w:ascii="宋体" w:hAnsi="宋体"/>
          <w:color w:val="000000"/>
          <w:highlight w:val="none"/>
        </w:rPr>
        <w:t>3</w:t>
      </w:r>
      <w:r>
        <w:rPr>
          <w:rFonts w:hint="eastAsia" w:ascii="宋体" w:hAnsi="宋体"/>
          <w:color w:val="000000"/>
          <w:highlight w:val="none"/>
        </w:rPr>
        <w:t>。</w:t>
      </w:r>
    </w:p>
    <w:p>
      <w:pPr>
        <w:tabs>
          <w:tab w:val="left" w:pos="1620"/>
          <w:tab w:val="left" w:pos="2340"/>
        </w:tabs>
        <w:ind w:left="1487" w:leftChars="708" w:firstLine="306" w:firstLineChars="146"/>
        <w:rPr>
          <w:rFonts w:ascii="宋体" w:hAnsi="宋体"/>
          <w:color w:val="000000"/>
        </w:rPr>
      </w:pPr>
      <w:r>
        <w:rPr>
          <w:rFonts w:hint="eastAsia" w:ascii="宋体" w:hAnsi="宋体"/>
          <w:color w:val="000000"/>
          <w:highlight w:val="none"/>
        </w:rPr>
        <w:t>人工、机械使用的价格波动时，</w:t>
      </w:r>
      <w:r>
        <w:rPr>
          <w:rFonts w:hint="eastAsia" w:ascii="宋体" w:hAnsi="宋体"/>
          <w:color w:val="000000"/>
        </w:rPr>
        <w:t>按照上述公式，将公式中的材料价格替换为人工或机械使用价格，调整合同价款。</w:t>
      </w:r>
    </w:p>
    <w:p>
      <w:pPr>
        <w:tabs>
          <w:tab w:val="left" w:pos="1620"/>
          <w:tab w:val="left" w:pos="2340"/>
        </w:tabs>
        <w:ind w:left="1487" w:leftChars="708" w:firstLine="306" w:firstLineChars="146"/>
        <w:rPr>
          <w:rFonts w:ascii="宋体" w:hAnsi="宋体"/>
          <w:color w:val="000000"/>
        </w:rPr>
      </w:pPr>
    </w:p>
    <w:p>
      <w:pPr>
        <w:tabs>
          <w:tab w:val="left" w:pos="1620"/>
          <w:tab w:val="left" w:pos="2340"/>
        </w:tabs>
        <w:ind w:left="1487" w:leftChars="708" w:firstLine="306" w:firstLineChars="146"/>
        <w:rPr>
          <w:rFonts w:ascii="宋体" w:hAnsi="宋体"/>
          <w:color w:val="000000"/>
        </w:rPr>
      </w:pPr>
    </w:p>
    <w:p>
      <w:pPr>
        <w:pStyle w:val="3"/>
        <w:numPr>
          <w:ilvl w:val="1"/>
          <w:numId w:val="1"/>
        </w:numPr>
        <w:tabs>
          <w:tab w:val="left" w:pos="1620"/>
          <w:tab w:val="left" w:pos="2016"/>
          <w:tab w:val="left" w:pos="2340"/>
          <w:tab w:val="clear" w:pos="1711"/>
        </w:tabs>
        <w:spacing w:before="360" w:after="0"/>
        <w:ind w:left="1523" w:leftChars="450" w:hanging="578"/>
        <w:jc w:val="both"/>
        <w:rPr>
          <w:rFonts w:ascii="宋体" w:hAnsi="宋体"/>
          <w:b w:val="0"/>
          <w:color w:val="000000"/>
          <w:sz w:val="21"/>
        </w:rPr>
      </w:pPr>
      <w:r>
        <mc:AlternateContent>
          <mc:Choice Requires="wps">
            <w:drawing>
              <wp:anchor distT="0" distB="0" distL="114300" distR="114300" simplePos="0" relativeHeight="251855872" behindDoc="0" locked="0" layoutInCell="1" allowOverlap="1">
                <wp:simplePos x="0" y="0"/>
                <wp:positionH relativeFrom="column">
                  <wp:posOffset>0</wp:posOffset>
                </wp:positionH>
                <wp:positionV relativeFrom="paragraph">
                  <wp:posOffset>212090</wp:posOffset>
                </wp:positionV>
                <wp:extent cx="571500" cy="401320"/>
                <wp:effectExtent l="0" t="2540" r="0" b="0"/>
                <wp:wrapNone/>
                <wp:docPr id="108"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571500" cy="40132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合同价款调整程序</w:t>
                            </w:r>
                          </w:p>
                        </w:txbxContent>
                      </wps:txbx>
                      <wps:bodyPr rot="0" vert="horz" wrap="square" lIns="0" tIns="36000" rIns="0" bIns="0" anchor="t" anchorCtr="0" upright="1">
                        <a:noAutofit/>
                      </wps:bodyPr>
                    </wps:wsp>
                  </a:graphicData>
                </a:graphic>
              </wp:anchor>
            </w:drawing>
          </mc:Choice>
          <mc:Fallback>
            <w:pict>
              <v:shape id="文本框 107" o:spid="_x0000_s1026" o:spt="202" type="#_x0000_t202" style="position:absolute;left:0pt;margin-left:0pt;margin-top:16.7pt;height:31.6pt;width:45pt;z-index:251855872;mso-width-relative:page;mso-height-relative:page;" fillcolor="#FFFFFF" filled="t" stroked="f" coordsize="21600,21600" o:gfxdata="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YJ&#10;0J3UAAAABQEAAA8AAAAAAAAAAQAgAAAAIgAAAGRycy9kb3ducmV2LnhtbFBLAQIUABQAAAAIAIdO&#10;4kCXqRwUJwIAADUEAAAOAAAAAAAAAAEAIAAAACMBAABkcnMvZTJvRG9jLnhtbFBLBQYAAAAABgAG&#10;AFkBAAC8BQAAAAA=&#10;">
                <v:fill on="t" focussize="0,0"/>
                <v:stroke on="f"/>
                <v:imagedata o:title=""/>
                <o:lock v:ext="edit" aspectratio="f"/>
                <v:textbox inset="0mm,1mm,0mm,0mm">
                  <w:txbxContent>
                    <w:p>
                      <w:pPr>
                        <w:rPr>
                          <w:rFonts w:ascii="楷体_GB2312" w:eastAsia="楷体_GB2312"/>
                        </w:rPr>
                      </w:pPr>
                      <w:r>
                        <w:rPr>
                          <w:rFonts w:hint="eastAsia" w:ascii="楷体_GB2312" w:eastAsia="楷体_GB2312"/>
                        </w:rPr>
                        <w:t>合同价款调整程序</w:t>
                      </w:r>
                    </w:p>
                  </w:txbxContent>
                </v:textbox>
              </v:shape>
            </w:pict>
          </mc:Fallback>
        </mc:AlternateContent>
      </w:r>
      <w:r>
        <w:rPr>
          <w:rFonts w:hint="eastAsia" w:ascii="宋体" w:hAnsi="宋体"/>
          <w:b w:val="0"/>
          <w:color w:val="000000"/>
          <w:sz w:val="21"/>
        </w:rPr>
        <w:t>承包人应在约定的合同价款调整情况发生后14天内，将调整原因、金额书面提交给工程师，工程师确认调整金额，并报发包人同意后作为追加(减)合同价款，与工程款同期支付。</w:t>
      </w:r>
      <w:bookmarkEnd w:id="248"/>
    </w:p>
    <w:p>
      <w:pPr>
        <w:widowControl/>
        <w:ind w:left="1449" w:leftChars="690" w:firstLine="420" w:firstLineChars="200"/>
        <w:rPr>
          <w:rFonts w:ascii="宋体" w:hAnsi="宋体"/>
          <w:color w:val="000000"/>
        </w:rPr>
      </w:pPr>
      <w:r>
        <w:rPr>
          <w:rFonts w:hint="eastAsia" w:ascii="宋体" w:hAnsi="宋体"/>
          <w:color w:val="000000"/>
          <w:kern w:val="0"/>
        </w:rPr>
        <w:t>当约定的合同价款调整情况发生后，</w:t>
      </w:r>
      <w:r>
        <w:rPr>
          <w:rFonts w:hint="eastAsia"/>
          <w:color w:val="000000"/>
        </w:rPr>
        <w:t>承包人未在约定时间内提出调整报告的，视为</w:t>
      </w:r>
      <w:r>
        <w:rPr>
          <w:rFonts w:hint="eastAsia" w:hAnsi="宋体"/>
          <w:color w:val="000000"/>
        </w:rPr>
        <w:t>该</w:t>
      </w:r>
      <w:r>
        <w:rPr>
          <w:rFonts w:hint="eastAsia" w:ascii="宋体" w:hAnsi="宋体"/>
          <w:color w:val="000000"/>
        </w:rPr>
        <w:t>调整</w:t>
      </w:r>
      <w:r>
        <w:rPr>
          <w:rFonts w:hint="eastAsia" w:hAnsi="宋体"/>
          <w:color w:val="000000"/>
        </w:rPr>
        <w:t>情况的发生不涉及合同价款的的调整</w:t>
      </w:r>
      <w:r>
        <w:rPr>
          <w:rFonts w:hint="eastAsia" w:ascii="宋体" w:hAnsi="宋体"/>
          <w:color w:val="000000"/>
        </w:rPr>
        <w:t>。</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49" w:name="_Toc34909080"/>
      <w:r>
        <mc:AlternateContent>
          <mc:Choice Requires="wps">
            <w:drawing>
              <wp:anchor distT="0" distB="0" distL="114300" distR="114300" simplePos="0" relativeHeight="251752448" behindDoc="0" locked="0" layoutInCell="1" allowOverlap="1">
                <wp:simplePos x="0" y="0"/>
                <wp:positionH relativeFrom="column">
                  <wp:posOffset>-20955</wp:posOffset>
                </wp:positionH>
                <wp:positionV relativeFrom="paragraph">
                  <wp:posOffset>114935</wp:posOffset>
                </wp:positionV>
                <wp:extent cx="533400" cy="594360"/>
                <wp:effectExtent l="0" t="635" r="1905" b="0"/>
                <wp:wrapNone/>
                <wp:docPr id="107"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533400" cy="59436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暂估材料设备和专业工程</w:t>
                            </w:r>
                          </w:p>
                        </w:txbxContent>
                      </wps:txbx>
                      <wps:bodyPr rot="0" vert="horz" wrap="square" lIns="0" tIns="0" rIns="0" bIns="0" anchor="t" anchorCtr="0" upright="1">
                        <a:noAutofit/>
                      </wps:bodyPr>
                    </wps:wsp>
                  </a:graphicData>
                </a:graphic>
              </wp:anchor>
            </w:drawing>
          </mc:Choice>
          <mc:Fallback>
            <w:pict>
              <v:shape id="文本框 106" o:spid="_x0000_s1026" o:spt="202" type="#_x0000_t202" style="position:absolute;left:0pt;margin-left:-1.65pt;margin-top:9.05pt;height:46.8pt;width:42pt;z-index:251752448;mso-width-relative:page;mso-height-relative:page;" fillcolor="#FFFFFF" filled="t" stroked="f" coordsize="21600,21600" o:gfxdata="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Luw&#10;htcAAAAIAQAADwAAAAAAAAABACAAAAAiAAAAZHJzL2Rvd25yZXYueG1sUEsBAhQAFAAAAAgAh07i&#10;QMDQi7QjAgAAMQQAAA4AAAAAAAAAAQAgAAAAJgEAAGRycy9lMm9Eb2MueG1sUEsFBgAAAAAGAAYA&#10;WQEAALsFA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暂估材料设备和专业工程</w:t>
                      </w:r>
                    </w:p>
                  </w:txbxContent>
                </v:textbox>
              </v:shape>
            </w:pict>
          </mc:Fallback>
        </mc:AlternateContent>
      </w:r>
      <w:r>
        <w:rPr>
          <w:rFonts w:hint="eastAsia" w:ascii="宋体" w:hAnsi="宋体"/>
          <w:b w:val="0"/>
          <w:color w:val="000000"/>
          <w:sz w:val="21"/>
        </w:rPr>
        <w:t>对于在招标阶段预见合同履行过程中必然使用的，但标准尚未确定的材料、设备或需要由专业承包人完成的专业工程，发包人、承包人应在专用条款中就上述材料、设备或专业工程的名称、暂估价、或规格、或单位进行约定。暂估价不作为结算依据。</w:t>
      </w:r>
      <w:bookmarkEnd w:id="249"/>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50" w:name="_Toc34909081"/>
      <w: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116840</wp:posOffset>
                </wp:positionV>
                <wp:extent cx="571500" cy="457200"/>
                <wp:effectExtent l="0" t="2540" r="0" b="0"/>
                <wp:wrapNone/>
                <wp:docPr id="106"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暂估价的确定</w:t>
                            </w:r>
                          </w:p>
                        </w:txbxContent>
                      </wps:txbx>
                      <wps:bodyPr rot="0" vert="horz" wrap="square" lIns="0" tIns="54000" rIns="0" bIns="0" anchor="t" anchorCtr="0" upright="1">
                        <a:noAutofit/>
                      </wps:bodyPr>
                    </wps:wsp>
                  </a:graphicData>
                </a:graphic>
              </wp:anchor>
            </w:drawing>
          </mc:Choice>
          <mc:Fallback>
            <w:pict>
              <v:shape id="文本框 105" o:spid="_x0000_s1026" o:spt="202" type="#_x0000_t202" style="position:absolute;left:0pt;margin-left:0pt;margin-top:9.2pt;height:36pt;width:45pt;z-index:251753472;mso-width-relative:page;mso-height-relative:page;" fillcolor="#FFFFFF" filled="t" stroked="f" coordsize="21600,21600" o:gfxdata="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b&#10;u/Xq1QAAAAUBAAAPAAAAAAAAAAEAIAAAACIAAABkcnMvZG93bnJldi54bWxQSwECFAAUAAAACACH&#10;TuJAvnkwrCcCAAA1BAAADgAAAAAAAAABACAAAAAkAQAAZHJzL2Uyb0RvYy54bWxQSwUGAAAAAAYA&#10;BgBZAQAAvQUAAAAA&#10;">
                <v:fill on="t" focussize="0,0"/>
                <v:stroke on="f"/>
                <v:imagedata o:title=""/>
                <o:lock v:ext="edit" aspectratio="f"/>
                <v:textbox inset="0mm,1.5mm,0mm,0mm">
                  <w:txbxContent>
                    <w:p>
                      <w:pPr>
                        <w:rPr>
                          <w:rFonts w:ascii="楷体_GB2312" w:eastAsia="楷体_GB2312"/>
                        </w:rPr>
                      </w:pPr>
                      <w:r>
                        <w:rPr>
                          <w:rFonts w:hint="eastAsia" w:ascii="楷体_GB2312" w:eastAsia="楷体_GB2312"/>
                        </w:rPr>
                        <w:t>暂估价的确定</w:t>
                      </w:r>
                    </w:p>
                  </w:txbxContent>
                </v:textbox>
              </v:shape>
            </w:pict>
          </mc:Fallback>
        </mc:AlternateContent>
      </w:r>
      <w:r>
        <w:rPr>
          <w:rFonts w:hint="eastAsia" w:ascii="宋体" w:hAnsi="宋体"/>
          <w:b w:val="0"/>
          <w:color w:val="000000"/>
          <w:sz w:val="21"/>
        </w:rPr>
        <w:t>(1)第29.7款所述暂估的材料设备或专业工程如属依法必须招标的，应由承包人和发包人共同通过招标确定材料设备单价或专业工程价款。</w:t>
      </w:r>
    </w:p>
    <w:p>
      <w:pPr>
        <w:pStyle w:val="3"/>
        <w:tabs>
          <w:tab w:val="left" w:pos="1620"/>
          <w:tab w:val="left" w:pos="2340"/>
        </w:tabs>
        <w:spacing w:before="0" w:after="0"/>
        <w:ind w:left="1407" w:leftChars="670" w:firstLine="210" w:firstLineChars="100"/>
        <w:jc w:val="both"/>
        <w:rPr>
          <w:rFonts w:ascii="宋体" w:hAnsi="宋体"/>
          <w:b w:val="0"/>
          <w:color w:val="000000"/>
          <w:sz w:val="21"/>
        </w:rPr>
      </w:pPr>
      <w:r>
        <w:rPr>
          <w:rFonts w:hint="eastAsia" w:ascii="宋体" w:hAnsi="宋体"/>
          <w:b w:val="0"/>
          <w:color w:val="000000"/>
          <w:sz w:val="21"/>
        </w:rPr>
        <w:t>(2)若材料设备不属于依法招标的，材料设备价格已在《</w:t>
      </w:r>
      <w:r>
        <w:rPr>
          <w:rFonts w:hint="eastAsia" w:ascii="宋体" w:hAnsi="宋体"/>
          <w:b w:val="0"/>
          <w:color w:val="000000"/>
          <w:sz w:val="21"/>
          <w:lang w:val="en-US" w:eastAsia="zh-CN"/>
        </w:rPr>
        <w:t>广州市</w:t>
      </w:r>
      <w:r>
        <w:rPr>
          <w:rFonts w:hint="eastAsia" w:ascii="宋体" w:hAnsi="宋体"/>
          <w:b w:val="0"/>
          <w:color w:val="000000"/>
          <w:sz w:val="21"/>
        </w:rPr>
        <w:t>建设工程价格信息》发布的，根据价格信息并按本工程净下浮率进行下浮调整确定；材料设备价格未在《</w:t>
      </w:r>
      <w:r>
        <w:rPr>
          <w:rFonts w:hint="eastAsia" w:ascii="宋体" w:hAnsi="宋体"/>
          <w:b w:val="0"/>
          <w:color w:val="000000"/>
          <w:sz w:val="21"/>
          <w:lang w:val="en-US" w:eastAsia="zh-CN"/>
        </w:rPr>
        <w:t>广州市</w:t>
      </w:r>
      <w:r>
        <w:rPr>
          <w:rFonts w:hint="eastAsia" w:ascii="宋体" w:hAnsi="宋体"/>
          <w:b w:val="0"/>
          <w:color w:val="000000"/>
          <w:sz w:val="21"/>
        </w:rPr>
        <w:t>建设工程价格信息》发布的，由发包人、承包人通过市场询价方式确定。</w:t>
      </w:r>
    </w:p>
    <w:p>
      <w:pPr>
        <w:pStyle w:val="3"/>
        <w:tabs>
          <w:tab w:val="left" w:pos="1620"/>
          <w:tab w:val="left" w:pos="2340"/>
        </w:tabs>
        <w:spacing w:before="0"/>
        <w:ind w:left="1407" w:leftChars="670" w:firstLine="210" w:firstLineChars="100"/>
        <w:jc w:val="both"/>
        <w:rPr>
          <w:rFonts w:ascii="宋体" w:hAnsi="宋体"/>
          <w:b w:val="0"/>
          <w:color w:val="000000"/>
          <w:sz w:val="21"/>
        </w:rPr>
      </w:pPr>
      <w:r>
        <w:rPr>
          <w:rFonts w:hint="eastAsia" w:ascii="宋体" w:hAnsi="宋体"/>
          <w:b w:val="0"/>
          <w:color w:val="000000"/>
          <w:sz w:val="21"/>
        </w:rPr>
        <w:t>(3)若专业工程不属于依法招标的，结算价款按照本工程招标控制价的编制方法，根据施工图、工程造价管理部门发布的计价标准、价格信息等计算，并按本工程净下浮率进行下浮调整确定。</w:t>
      </w:r>
    </w:p>
    <w:bookmarkEnd w:id="250"/>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51" w:name="_Toc34909082"/>
      <w: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180975</wp:posOffset>
                </wp:positionV>
                <wp:extent cx="571500" cy="212725"/>
                <wp:effectExtent l="0" t="0" r="0" b="0"/>
                <wp:wrapNone/>
                <wp:docPr id="105"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571500" cy="21272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暂列金额</w:t>
                            </w:r>
                          </w:p>
                        </w:txbxContent>
                      </wps:txbx>
                      <wps:bodyPr rot="0" vert="horz" wrap="square" lIns="0" tIns="0" rIns="0" bIns="0" anchor="t" anchorCtr="0" upright="1">
                        <a:noAutofit/>
                      </wps:bodyPr>
                    </wps:wsp>
                  </a:graphicData>
                </a:graphic>
              </wp:anchor>
            </w:drawing>
          </mc:Choice>
          <mc:Fallback>
            <w:pict>
              <v:shape id="文本框 104" o:spid="_x0000_s1026" o:spt="202" type="#_x0000_t202" style="position:absolute;left:0pt;margin-left:0pt;margin-top:14.25pt;height:16.75pt;width:45pt;z-index:251754496;mso-width-relative:page;mso-height-relative:page;" fillcolor="#FFFFFF" filled="t" stroked="f" coordsize="21600,21600" o:gfxdata="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yYQuD1AAA&#10;AAUBAAAPAAAAAAAAAAEAIAAAACIAAABkcnMvZG93bnJldi54bWxQSwECFAAUAAAACACHTuJAiSJH&#10;ziICAAAx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暂列金额</w:t>
                      </w:r>
                    </w:p>
                  </w:txbxContent>
                </v:textbox>
              </v:shape>
            </w:pict>
          </mc:Fallback>
        </mc:AlternateContent>
      </w:r>
      <w:bookmarkEnd w:id="251"/>
      <w:r>
        <w:rPr>
          <w:rFonts w:hint="eastAsia" w:ascii="宋体" w:hAnsi="宋体"/>
          <w:b w:val="0"/>
          <w:color w:val="000000"/>
          <w:sz w:val="21"/>
        </w:rPr>
        <w:t>签订合同时对尚未确定或者不可预见的：（1）材料、设备、服务采购；（2）工程变更；（3）依约对合同价款所作的调整；（4）索赔；（5）现场签证等事件，发包人应在专用条款中暂定一笔为应对上述事件发生的价款。暂列金额不作为结算的依据。</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52" w:name="_Toc34909083"/>
      <w:r>
        <mc:AlternateContent>
          <mc:Choice Requires="wps">
            <w:drawing>
              <wp:anchor distT="0" distB="0" distL="114300" distR="114300" simplePos="0" relativeHeight="251755520" behindDoc="0" locked="0" layoutInCell="1" allowOverlap="1">
                <wp:simplePos x="0" y="0"/>
                <wp:positionH relativeFrom="column">
                  <wp:posOffset>0</wp:posOffset>
                </wp:positionH>
                <wp:positionV relativeFrom="paragraph">
                  <wp:posOffset>158750</wp:posOffset>
                </wp:positionV>
                <wp:extent cx="571500" cy="403860"/>
                <wp:effectExtent l="0" t="0" r="0" b="0"/>
                <wp:wrapNone/>
                <wp:docPr id="104"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571500" cy="40386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暂列金额的使用</w:t>
                            </w:r>
                          </w:p>
                        </w:txbxContent>
                      </wps:txbx>
                      <wps:bodyPr rot="0" vert="horz" wrap="square" lIns="0" tIns="36000" rIns="0" bIns="0" anchor="t" anchorCtr="0" upright="1">
                        <a:noAutofit/>
                      </wps:bodyPr>
                    </wps:wsp>
                  </a:graphicData>
                </a:graphic>
              </wp:anchor>
            </w:drawing>
          </mc:Choice>
          <mc:Fallback>
            <w:pict>
              <v:shape id="文本框 103" o:spid="_x0000_s1026" o:spt="202" type="#_x0000_t202" style="position:absolute;left:0pt;margin-left:0pt;margin-top:12.5pt;height:31.8pt;width:45pt;z-index:251755520;mso-width-relative:page;mso-height-relative:page;" fillcolor="#FFFFFF" filled="t" stroked="f" coordsize="21600,21600" o:gfxdata="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y&#10;WNrUAAAABQEAAA8AAAAAAAAAAQAgAAAAIgAAAGRycy9kb3ducmV2LnhtbFBLAQIUABQAAAAIAIdO&#10;4kBKXWe2JwIAADUEAAAOAAAAAAAAAAEAIAAAACMBAABkcnMvZTJvRG9jLnhtbFBLBQYAAAAABgAG&#10;AFkBAAC8BQAAAAA=&#10;">
                <v:fill on="t" focussize="0,0"/>
                <v:stroke on="f"/>
                <v:imagedata o:title=""/>
                <o:lock v:ext="edit" aspectratio="f"/>
                <v:textbox inset="0mm,1mm,0mm,0mm">
                  <w:txbxContent>
                    <w:p>
                      <w:pPr>
                        <w:rPr>
                          <w:rFonts w:ascii="楷体_GB2312" w:eastAsia="楷体_GB2312"/>
                        </w:rPr>
                      </w:pPr>
                      <w:r>
                        <w:rPr>
                          <w:rFonts w:hint="eastAsia" w:ascii="楷体_GB2312" w:eastAsia="楷体_GB2312"/>
                        </w:rPr>
                        <w:t>暂列金额的使用</w:t>
                      </w:r>
                    </w:p>
                  </w:txbxContent>
                </v:textbox>
              </v:shape>
            </w:pict>
          </mc:Fallback>
        </mc:AlternateContent>
      </w:r>
      <w:r>
        <w:rPr>
          <w:rFonts w:hint="eastAsia" w:ascii="宋体" w:hAnsi="宋体"/>
          <w:b w:val="0"/>
          <w:color w:val="000000"/>
          <w:sz w:val="21"/>
        </w:rPr>
        <w:t>暂列金额的使用应当经过发包人的批准。</w:t>
      </w:r>
      <w:bookmarkEnd w:id="252"/>
      <w:r>
        <w:rPr>
          <w:rFonts w:hint="eastAsia" w:ascii="宋体" w:hAnsi="宋体"/>
          <w:b w:val="0"/>
          <w:color w:val="000000"/>
          <w:sz w:val="21"/>
        </w:rPr>
        <w:t>第29.9款第一项的采购应当由发包人完成，并向承包人支付材料、设备保管费。其他事件由发包人、承包人依合同约定办理。</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95808" behindDoc="0" locked="0" layoutInCell="1" allowOverlap="1">
                <wp:simplePos x="0" y="0"/>
                <wp:positionH relativeFrom="column">
                  <wp:posOffset>0</wp:posOffset>
                </wp:positionH>
                <wp:positionV relativeFrom="paragraph">
                  <wp:posOffset>191770</wp:posOffset>
                </wp:positionV>
                <wp:extent cx="571500" cy="342900"/>
                <wp:effectExtent l="0" t="1270" r="0" b="0"/>
                <wp:wrapNone/>
                <wp:docPr id="103"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color w:val="FF0000"/>
                              </w:rPr>
                            </w:pPr>
                            <w:r>
                              <w:rPr>
                                <w:rFonts w:hint="eastAsia" w:ascii="楷体_GB2312" w:eastAsia="楷体_GB2312"/>
                              </w:rPr>
                              <w:t>现场签证</w:t>
                            </w:r>
                          </w:p>
                        </w:txbxContent>
                      </wps:txbx>
                      <wps:bodyPr rot="0" vert="horz" wrap="square" lIns="0" tIns="36000" rIns="0" bIns="0" anchor="t" anchorCtr="0" upright="1">
                        <a:noAutofit/>
                      </wps:bodyPr>
                    </wps:wsp>
                  </a:graphicData>
                </a:graphic>
              </wp:anchor>
            </w:drawing>
          </mc:Choice>
          <mc:Fallback>
            <w:pict>
              <v:shape id="文本框 102" o:spid="_x0000_s1026" o:spt="202" type="#_x0000_t202" style="position:absolute;left:0pt;margin-left:0pt;margin-top:15.1pt;height:27pt;width:45pt;z-index:251895808;mso-width-relative:page;mso-height-relative:page;" fillcolor="#FFFFFF" filled="t" stroked="f" coordsize="21600,21600" o:gfxdata="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L8JuJ&#10;1AAAAAUBAAAPAAAAAAAAAAEAIAAAACIAAABkcnMvZG93bnJldi54bWxQSwECFAAUAAAACACHTuJA&#10;B24t5yUCAAA1BAAADgAAAAAAAAABACAAAAAjAQAAZHJzL2Uyb0RvYy54bWxQSwUGAAAAAAYABgBZ&#10;AQAAugUAAAAA&#10;">
                <v:fill on="t" focussize="0,0"/>
                <v:stroke on="f"/>
                <v:imagedata o:title=""/>
                <o:lock v:ext="edit" aspectratio="f"/>
                <v:textbox inset="0mm,1mm,0mm,0mm">
                  <w:txbxContent>
                    <w:p>
                      <w:pPr>
                        <w:rPr>
                          <w:rFonts w:ascii="楷体_GB2312" w:eastAsia="楷体_GB2312"/>
                          <w:color w:val="FF0000"/>
                        </w:rPr>
                      </w:pPr>
                      <w:r>
                        <w:rPr>
                          <w:rFonts w:hint="eastAsia" w:ascii="楷体_GB2312" w:eastAsia="楷体_GB2312"/>
                        </w:rPr>
                        <w:t>现场签证</w:t>
                      </w:r>
                    </w:p>
                  </w:txbxContent>
                </v:textbox>
              </v:shape>
            </w:pict>
          </mc:Fallback>
        </mc:AlternateContent>
      </w:r>
      <w:r>
        <w:rPr>
          <w:rFonts w:hint="eastAsia" w:ascii="宋体" w:hAnsi="宋体"/>
          <w:b w:val="0"/>
          <w:color w:val="000000"/>
          <w:sz w:val="21"/>
        </w:rPr>
        <w:t>发包人和承包人双方对其在合同履行过程中有关责任事件应当共同通过现场签证的形式在工作完成后7天内予以书面确认，并抄送工程师一份。若责任方未在规定的期限内予以确认，非责任方应就责任方此行为发出催促确认通知，并抄送工程师一份。</w:t>
      </w:r>
    </w:p>
    <w:p>
      <w:pPr>
        <w:pStyle w:val="3"/>
        <w:numPr>
          <w:ilvl w:val="1"/>
          <w:numId w:val="1"/>
        </w:numPr>
        <w:tabs>
          <w:tab w:val="left" w:pos="1620"/>
          <w:tab w:val="left" w:pos="2016"/>
          <w:tab w:val="left" w:pos="2340"/>
          <w:tab w:val="clear" w:pos="1711"/>
        </w:tabs>
        <w:spacing w:before="320" w:after="0"/>
        <w:ind w:left="1523" w:leftChars="450" w:hanging="578"/>
        <w:jc w:val="both"/>
        <w:rPr>
          <w:rFonts w:ascii="宋体" w:hAnsi="宋体"/>
          <w:b w:val="0"/>
          <w:color w:val="000000"/>
          <w:sz w:val="21"/>
        </w:rPr>
      </w:pPr>
      <w:bookmarkStart w:id="253" w:name="_Toc34909084"/>
      <w:r>
        <mc:AlternateContent>
          <mc:Choice Requires="wps">
            <w:drawing>
              <wp:anchor distT="0" distB="0" distL="114300" distR="114300" simplePos="0" relativeHeight="251869184" behindDoc="0" locked="0" layoutInCell="1" allowOverlap="1">
                <wp:simplePos x="0" y="0"/>
                <wp:positionH relativeFrom="column">
                  <wp:posOffset>0</wp:posOffset>
                </wp:positionH>
                <wp:positionV relativeFrom="paragraph">
                  <wp:posOffset>225425</wp:posOffset>
                </wp:positionV>
                <wp:extent cx="571500" cy="164465"/>
                <wp:effectExtent l="0" t="0" r="0" b="635"/>
                <wp:wrapNone/>
                <wp:docPr id="102"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571500" cy="16446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计日工</w:t>
                            </w:r>
                          </w:p>
                        </w:txbxContent>
                      </wps:txbx>
                      <wps:bodyPr rot="0" vert="horz" wrap="square" lIns="0" tIns="0" rIns="0" bIns="0" anchor="t" anchorCtr="0" upright="1">
                        <a:noAutofit/>
                      </wps:bodyPr>
                    </wps:wsp>
                  </a:graphicData>
                </a:graphic>
              </wp:anchor>
            </w:drawing>
          </mc:Choice>
          <mc:Fallback>
            <w:pict>
              <v:shape id="文本框 101" o:spid="_x0000_s1026" o:spt="202" type="#_x0000_t202" style="position:absolute;left:0pt;margin-left:0pt;margin-top:17.75pt;height:12.95pt;width:45pt;z-index:251869184;mso-width-relative:page;mso-height-relative:page;" fillcolor="#FFFFFF" filled="t" stroked="f" coordsize="21600,21600" o:gfxdata="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kLupjUAAAA&#10;BQEAAA8AAAAAAAAAAQAgAAAAIgAAAGRycy9kb3ducmV2LnhtbFBLAQIUABQAAAAIAIdO4kDMsXet&#10;IQIAADEEAAAOAAAAAAAAAAEAIAAAACM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计日工</w:t>
                      </w:r>
                    </w:p>
                  </w:txbxContent>
                </v:textbox>
              </v:shape>
            </w:pict>
          </mc:Fallback>
        </mc:AlternateContent>
      </w:r>
      <w:r>
        <w:rPr>
          <w:rFonts w:hint="eastAsia" w:ascii="宋体" w:hAnsi="宋体"/>
          <w:b w:val="0"/>
          <w:color w:val="000000"/>
          <w:sz w:val="21"/>
        </w:rPr>
        <w:t>承包人应依据工程量清单中有关计日工的人工、材料、施工机械的综合单价，以及发、承包人实际确认的工程量结算。</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102870</wp:posOffset>
                </wp:positionV>
                <wp:extent cx="571500" cy="457200"/>
                <wp:effectExtent l="0" t="0" r="0" b="1905"/>
                <wp:wrapNone/>
                <wp:docPr id="101"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造价工程师确认</w:t>
                            </w:r>
                          </w:p>
                        </w:txbxContent>
                      </wps:txbx>
                      <wps:bodyPr rot="0" vert="horz" wrap="square" lIns="0" tIns="72000" rIns="0" bIns="0" anchor="t" anchorCtr="0" upright="1">
                        <a:noAutofit/>
                      </wps:bodyPr>
                    </wps:wsp>
                  </a:graphicData>
                </a:graphic>
              </wp:anchor>
            </w:drawing>
          </mc:Choice>
          <mc:Fallback>
            <w:pict>
              <v:shape id="文本框 100" o:spid="_x0000_s1026" o:spt="202" type="#_x0000_t202" style="position:absolute;left:0pt;margin-left:0pt;margin-top:8.1pt;height:36pt;width:45pt;z-index:251756544;mso-width-relative:page;mso-height-relative:page;" fillcolor="#FFFFFF" filled="t" stroked="f" coordsize="21600,21600" o:gfxdata="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qyo&#10;ANUAAAAFAQAADwAAAAAAAAABACAAAAAiAAAAZHJzL2Rvd25yZXYueG1sUEsBAhQAFAAAAAgAh07i&#10;QCZCorYlAgAANQQAAA4AAAAAAAAAAQAgAAAAJAEAAGRycy9lMm9Eb2MueG1sUEsFBgAAAAAGAAYA&#10;WQEAALsFAAAAAA==&#10;">
                <v:fill on="t" focussize="0,0"/>
                <v:stroke on="f"/>
                <v:imagedata o:title=""/>
                <o:lock v:ext="edit" aspectratio="f"/>
                <v:textbox inset="0mm,2mm,0mm,0mm">
                  <w:txbxContent>
                    <w:p>
                      <w:pPr>
                        <w:rPr>
                          <w:rFonts w:ascii="楷体_GB2312" w:eastAsia="楷体_GB2312"/>
                        </w:rPr>
                      </w:pPr>
                      <w:r>
                        <w:rPr>
                          <w:rFonts w:hint="eastAsia" w:ascii="楷体_GB2312" w:eastAsia="楷体_GB2312"/>
                        </w:rPr>
                        <w:t>造价工程师确认</w:t>
                      </w:r>
                    </w:p>
                  </w:txbxContent>
                </v:textbox>
              </v:shape>
            </w:pict>
          </mc:Fallback>
        </mc:AlternateContent>
      </w:r>
      <w:r>
        <w:rPr>
          <w:rFonts w:hint="eastAsia" w:ascii="宋体" w:hAnsi="宋体"/>
          <w:b w:val="0"/>
          <w:color w:val="000000"/>
          <w:sz w:val="21"/>
        </w:rPr>
        <w:t>第29条中有关合同价款及调整的文件的编制和审核均须经注册造价工程师签字盖章确认。</w:t>
      </w:r>
      <w:bookmarkEnd w:id="253"/>
    </w:p>
    <w:p>
      <w:pPr>
        <w:pStyle w:val="2"/>
        <w:keepLines w:val="0"/>
        <w:tabs>
          <w:tab w:val="left" w:pos="1620"/>
          <w:tab w:val="left" w:pos="2340"/>
        </w:tabs>
        <w:ind w:left="945" w:leftChars="450"/>
        <w:rPr>
          <w:rFonts w:hAnsi="宋体"/>
          <w:color w:val="000000"/>
          <w:sz w:val="28"/>
          <w:szCs w:val="28"/>
        </w:rPr>
      </w:pPr>
      <w:bookmarkStart w:id="254" w:name="_Toc35656490"/>
      <w:bookmarkStart w:id="255" w:name="_Toc35656992"/>
      <w:bookmarkStart w:id="256" w:name="_Toc34909085"/>
      <w:r>
        <w:rPr>
          <w:rFonts w:hint="eastAsia" w:hAnsi="宋体"/>
          <w:color w:val="000000"/>
          <w:sz w:val="28"/>
          <w:szCs w:val="28"/>
        </w:rPr>
        <w:t>工程量确认</w:t>
      </w:r>
      <w:bookmarkEnd w:id="254"/>
      <w:bookmarkEnd w:id="255"/>
      <w:bookmarkEnd w:id="25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57" w:name="_Toc34909091"/>
      <w:bookmarkStart w:id="258" w:name="_Toc34909086"/>
      <w: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-1905</wp:posOffset>
                </wp:positionV>
                <wp:extent cx="571500" cy="342900"/>
                <wp:effectExtent l="0" t="0" r="0" b="1905"/>
                <wp:wrapNone/>
                <wp:docPr id="100"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工程量计算规则</w:t>
                            </w:r>
                          </w:p>
                        </w:txbxContent>
                      </wps:txbx>
                      <wps:bodyPr rot="0" vert="horz" wrap="square" lIns="0" tIns="18000" rIns="0" bIns="0" anchor="t" anchorCtr="0" upright="1">
                        <a:noAutofit/>
                      </wps:bodyPr>
                    </wps:wsp>
                  </a:graphicData>
                </a:graphic>
              </wp:anchor>
            </w:drawing>
          </mc:Choice>
          <mc:Fallback>
            <w:pict>
              <v:shape id="文本框 99" o:spid="_x0000_s1026" o:spt="202" type="#_x0000_t202" style="position:absolute;left:0pt;margin-left:0pt;margin-top:-0.15pt;height:27pt;width:45pt;z-index:251757568;mso-width-relative:page;mso-height-relative:page;" fillcolor="#FFFFFF" filled="t" stroked="f" coordsize="21600,21600" o:gfxdata="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aZPlDV&#10;AAAABAEAAA8AAAAAAAAAAQAgAAAAIgAAAGRycy9kb3ducmV2LnhtbFBLAQIUABQAAAAIAIdO4kCY&#10;YlvzIwIAADQEAAAOAAAAAAAAAAEAIAAAACQBAABkcnMvZTJvRG9jLnhtbFBLBQYAAAAABgAGAFkB&#10;AAC5BQ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工程量计算规则</w:t>
                      </w:r>
                    </w:p>
                  </w:txbxContent>
                </v:textbox>
              </v:shape>
            </w:pict>
          </mc:Fallback>
        </mc:AlternateContent>
      </w:r>
      <w:r>
        <w:rPr>
          <w:rFonts w:hint="eastAsia" w:ascii="宋体" w:hAnsi="宋体"/>
          <w:b w:val="0"/>
          <w:color w:val="000000"/>
          <w:sz w:val="21"/>
        </w:rPr>
        <w:t>发包人和承包人应在专用条款中约定一种采用的工程量计算规则。</w:t>
      </w:r>
      <w:bookmarkEnd w:id="257"/>
    </w:p>
    <w:bookmarkEnd w:id="258"/>
    <w:p>
      <w:pPr>
        <w:pStyle w:val="3"/>
        <w:numPr>
          <w:ilvl w:val="1"/>
          <w:numId w:val="1"/>
        </w:numPr>
        <w:tabs>
          <w:tab w:val="left" w:pos="1620"/>
          <w:tab w:val="left" w:pos="2016"/>
          <w:tab w:val="left" w:pos="2340"/>
          <w:tab w:val="clear" w:pos="1711"/>
        </w:tabs>
        <w:spacing w:before="320" w:after="0"/>
        <w:ind w:left="1523" w:leftChars="450" w:hanging="578"/>
        <w:jc w:val="both"/>
        <w:rPr>
          <w:rFonts w:ascii="宋体" w:hAnsi="宋体"/>
          <w:b w:val="0"/>
          <w:color w:val="000000"/>
          <w:sz w:val="21"/>
        </w:rPr>
      </w:pPr>
      <w:bookmarkStart w:id="259" w:name="_Toc34909087"/>
      <w: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242570</wp:posOffset>
                </wp:positionV>
                <wp:extent cx="571500" cy="307340"/>
                <wp:effectExtent l="0" t="4445" r="0" b="2540"/>
                <wp:wrapNone/>
                <wp:docPr id="99"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571500" cy="30734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工程量清单</w:t>
                            </w:r>
                          </w:p>
                        </w:txbxContent>
                      </wps:txbx>
                      <wps:bodyPr rot="0" vert="horz" wrap="square" lIns="0" tIns="0" rIns="0" bIns="0" anchor="t" anchorCtr="0" upright="1">
                        <a:noAutofit/>
                      </wps:bodyPr>
                    </wps:wsp>
                  </a:graphicData>
                </a:graphic>
              </wp:anchor>
            </w:drawing>
          </mc:Choice>
          <mc:Fallback>
            <w:pict>
              <v:shape id="文本框 98" o:spid="_x0000_s1026" o:spt="202" type="#_x0000_t202" style="position:absolute;left:0pt;margin-left:0pt;margin-top:19.1pt;height:24.2pt;width:45pt;z-index:251758592;mso-width-relative:page;mso-height-relative:page;" fillcolor="#FFFFFF" filled="t" stroked="f" coordsize="21600,21600" o:gfxdata="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PdMANQA&#10;AAAFAQAADwAAAAAAAAABACAAAAAiAAAAZHJzL2Rvd25yZXYueG1sUEsBAhQAFAAAAAgAh07iQCi6&#10;M5YjAgAALwQAAA4AAAAAAAAAAQAgAAAAIw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工程量清单</w:t>
                      </w:r>
                    </w:p>
                  </w:txbxContent>
                </v:textbox>
              </v:shape>
            </w:pict>
          </mc:Fallback>
        </mc:AlternateContent>
      </w:r>
      <w:r>
        <w:rPr>
          <w:rFonts w:hint="eastAsia" w:ascii="宋体" w:hAnsi="宋体"/>
          <w:b w:val="0"/>
          <w:color w:val="000000"/>
          <w:sz w:val="21"/>
        </w:rPr>
        <w:t>发包人提供的工程量清单中开列的工程量是根据本工程的设计提供的预计工程量，不能作为承包人在履行合同义务过程中应予完成的实际和准确的工程量。</w:t>
      </w:r>
      <w:bookmarkEnd w:id="259"/>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60" w:name="_Toc34909088"/>
      <w:r>
        <mc:AlternateContent>
          <mc:Choice Requires="wps">
            <w:drawing>
              <wp:anchor distT="0" distB="0" distL="114300" distR="114300" simplePos="0" relativeHeight="251759616" behindDoc="0" locked="0" layoutInCell="1" allowOverlap="1">
                <wp:simplePos x="0" y="0"/>
                <wp:positionH relativeFrom="column">
                  <wp:posOffset>0</wp:posOffset>
                </wp:positionH>
                <wp:positionV relativeFrom="paragraph">
                  <wp:posOffset>189865</wp:posOffset>
                </wp:positionV>
                <wp:extent cx="571500" cy="228600"/>
                <wp:effectExtent l="0" t="0" r="0" b="635"/>
                <wp:wrapNone/>
                <wp:docPr id="98"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工程计量</w:t>
                            </w:r>
                          </w:p>
                        </w:txbxContent>
                      </wps:txbx>
                      <wps:bodyPr rot="0" vert="horz" wrap="square" lIns="0" tIns="0" rIns="0" bIns="0" anchor="t" anchorCtr="0" upright="1">
                        <a:noAutofit/>
                      </wps:bodyPr>
                    </wps:wsp>
                  </a:graphicData>
                </a:graphic>
              </wp:anchor>
            </w:drawing>
          </mc:Choice>
          <mc:Fallback>
            <w:pict>
              <v:shape id="文本框 97" o:spid="_x0000_s1026" o:spt="202" type="#_x0000_t202" style="position:absolute;left:0pt;margin-left:0pt;margin-top:14.95pt;height:18pt;width:45pt;z-index:251759616;mso-width-relative:page;mso-height-relative:page;" fillcolor="#FFFFFF" filled="t" stroked="f" coordsize="21600,21600" o:gfxdata="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fKNr1AAAAAUB&#10;AAAPAAAAAAAAAAEAIAAAACIAAABkcnMvZG93bnJldi54bWxQSwECFAAUAAAACACHTuJAhUX+rR8C&#10;AAAvBAAADgAAAAAAAAABACAAAAAjAQAAZHJzL2Uyb0RvYy54bWxQSwUGAAAAAAYABgBZAQAAtAUA&#10;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工程计量</w:t>
                      </w:r>
                    </w:p>
                  </w:txbxContent>
                </v:textbox>
              </v:shape>
            </w:pict>
          </mc:Fallback>
        </mc:AlternateContent>
      </w:r>
      <w:r>
        <w:rPr>
          <w:rFonts w:hint="eastAsia" w:ascii="宋体" w:hAnsi="宋体"/>
          <w:b w:val="0"/>
          <w:color w:val="000000"/>
          <w:sz w:val="21"/>
        </w:rPr>
        <w:t>承包人应根据本工程进展情况及时就已完工程量向工程师提交计量报告，工程师应在收到计量报告后7天内对承包人提出的已完工程量进行计量，并在计量前24小时通知承包人，承包人应按时参加并提供所需的一切详细资料和必要协助。</w:t>
      </w:r>
      <w:bookmarkEnd w:id="260"/>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179705</wp:posOffset>
                </wp:positionV>
                <wp:extent cx="571500" cy="342900"/>
                <wp:effectExtent l="0" t="0" r="0" b="1270"/>
                <wp:wrapNone/>
                <wp:docPr id="97"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记录和图纸</w:t>
                            </w:r>
                          </w:p>
                        </w:txbxContent>
                      </wps:txbx>
                      <wps:bodyPr rot="0" vert="horz" wrap="square" lIns="0" tIns="0" rIns="0" bIns="0" anchor="t" anchorCtr="0" upright="1">
                        <a:noAutofit/>
                      </wps:bodyPr>
                    </wps:wsp>
                  </a:graphicData>
                </a:graphic>
              </wp:anchor>
            </w:drawing>
          </mc:Choice>
          <mc:Fallback>
            <w:pict>
              <v:shape id="文本框 96" o:spid="_x0000_s1026" o:spt="202" type="#_x0000_t202" style="position:absolute;left:0pt;margin-left:0pt;margin-top:14.15pt;height:27pt;width:45pt;z-index:251760640;mso-width-relative:page;mso-height-relative:page;" fillcolor="#FFFFFF" filled="t" stroked="f" coordsize="21600,21600" o:gfxdata="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JFFP9QAAAAF&#10;AQAADwAAAAAAAAABACAAAAAiAAAAZHJzL2Rvd25yZXYueG1sUEsBAhQAFAAAAAgAh07iQG4QN/Ig&#10;AgAALw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记录和图纸</w:t>
                      </w:r>
                    </w:p>
                  </w:txbxContent>
                </v:textbox>
              </v:shape>
            </w:pict>
          </mc:Fallback>
        </mc:AlternateContent>
      </w:r>
      <w:r>
        <w:rPr>
          <w:rFonts w:hint="eastAsia" w:ascii="宋体" w:hAnsi="宋体"/>
          <w:b w:val="0"/>
          <w:color w:val="000000"/>
          <w:sz w:val="21"/>
        </w:rPr>
        <w:t>需要使用记录和图纸进行计量的工程，承包人应在工作过程中准备好该工程的记录和图纸，并提交给工程师，然后按约定的时间与工程师一起审查和确认有关记录和图纸。如双方均同意时，则双方应在上述记录和图纸上签字确认，并据此进行计量。如承包人不出席对上述图纸和记录的审查确认，则应认为工程师对这些记录和图纸通过计量核实后确定的工程量是正确无误的。</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61" w:name="_Toc34909089"/>
      <w:r>
        <mc:AlternateContent>
          <mc:Choice Requires="wps">
            <w:drawing>
              <wp:anchor distT="0" distB="0" distL="114300" distR="114300" simplePos="0" relativeHeight="251761664" behindDoc="0" locked="0" layoutInCell="1" allowOverlap="1">
                <wp:simplePos x="0" y="0"/>
                <wp:positionH relativeFrom="column">
                  <wp:posOffset>0</wp:posOffset>
                </wp:positionH>
                <wp:positionV relativeFrom="paragraph">
                  <wp:posOffset>178435</wp:posOffset>
                </wp:positionV>
                <wp:extent cx="571500" cy="236855"/>
                <wp:effectExtent l="0" t="0" r="0" b="3810"/>
                <wp:wrapNone/>
                <wp:docPr id="96"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571500" cy="23685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计量结果</w:t>
                            </w:r>
                          </w:p>
                        </w:txbxContent>
                      </wps:txbx>
                      <wps:bodyPr rot="0" vert="horz" wrap="square" lIns="0" tIns="0" rIns="0" bIns="0" anchor="t" anchorCtr="0" upright="1">
                        <a:noAutofit/>
                      </wps:bodyPr>
                    </wps:wsp>
                  </a:graphicData>
                </a:graphic>
              </wp:anchor>
            </w:drawing>
          </mc:Choice>
          <mc:Fallback>
            <w:pict>
              <v:shape id="文本框 95" o:spid="_x0000_s1026" o:spt="202" type="#_x0000_t202" style="position:absolute;left:0pt;margin-left:0pt;margin-top:14.05pt;height:18.65pt;width:45pt;z-index:251761664;mso-width-relative:page;mso-height-relative:page;" fillcolor="#FFFFFF" filled="t" stroked="f" coordsize="21600,21600" o:gfxdata="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hmb0D1AAA&#10;AAUBAAAPAAAAAAAAAAEAIAAAACIAAABkcnMvZG93bnJldi54bWxQSwECFAAUAAAACACHTuJAcECQ&#10;kyICAAAv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计量结果</w:t>
                      </w:r>
                    </w:p>
                  </w:txbxContent>
                </v:textbox>
              </v:shape>
            </w:pict>
          </mc:Fallback>
        </mc:AlternateContent>
      </w:r>
      <w:r>
        <w:rPr>
          <w:rFonts w:hint="eastAsia" w:ascii="宋体" w:hAnsi="宋体"/>
          <w:b w:val="0"/>
          <w:color w:val="000000"/>
          <w:sz w:val="21"/>
        </w:rPr>
        <w:t>计量的结果：</w:t>
      </w:r>
      <w:bookmarkEnd w:id="261"/>
    </w:p>
    <w:p>
      <w:pPr>
        <w:tabs>
          <w:tab w:val="left" w:pos="1620"/>
          <w:tab w:val="left" w:pos="2340"/>
        </w:tabs>
        <w:ind w:left="1449" w:leftChars="690"/>
        <w:rPr>
          <w:rFonts w:ascii="宋体" w:hAnsi="宋体"/>
          <w:color w:val="000000"/>
        </w:rPr>
      </w:pPr>
      <w:r>
        <w:rPr>
          <w:rFonts w:hint="eastAsia" w:ascii="宋体" w:hAnsi="宋体"/>
          <w:color w:val="000000"/>
        </w:rPr>
        <w:t>⑴如承包人未按30.3款的约定参加计量，则由工程师所作的或由他批准的计量应认为是对工程的正确计量。</w:t>
      </w:r>
    </w:p>
    <w:p>
      <w:pPr>
        <w:tabs>
          <w:tab w:val="left" w:pos="1620"/>
          <w:tab w:val="left" w:pos="2340"/>
        </w:tabs>
        <w:ind w:left="1449" w:leftChars="690"/>
        <w:rPr>
          <w:rFonts w:ascii="宋体" w:hAnsi="宋体"/>
          <w:color w:val="000000"/>
        </w:rPr>
      </w:pPr>
      <w:r>
        <w:rPr>
          <w:rFonts w:hint="eastAsia" w:ascii="宋体" w:hAnsi="宋体"/>
          <w:color w:val="000000"/>
        </w:rPr>
        <w:t>⑵</w:t>
      </w:r>
    </w:p>
    <w:p>
      <w:pPr>
        <w:tabs>
          <w:tab w:val="left" w:pos="1620"/>
          <w:tab w:val="left" w:pos="2340"/>
        </w:tabs>
        <w:ind w:left="1449" w:leftChars="690"/>
        <w:rPr>
          <w:rFonts w:ascii="宋体" w:hAnsi="宋体"/>
          <w:color w:val="000000"/>
        </w:rPr>
      </w:pPr>
      <w:r>
        <w:rPr>
          <w:rFonts w:hint="eastAsia" w:ascii="宋体" w:hAnsi="宋体"/>
          <w:color w:val="000000"/>
        </w:rPr>
        <w:t>如工程师未按30.3款约定的时间内通知承包人，致使承包人未能参加计量，则由工程师所作的或由他批准的计量结果无效。</w:t>
      </w:r>
    </w:p>
    <w:p>
      <w:pPr>
        <w:tabs>
          <w:tab w:val="left" w:pos="1620"/>
          <w:tab w:val="left" w:pos="2340"/>
        </w:tabs>
        <w:ind w:left="1449" w:leftChars="690"/>
        <w:rPr>
          <w:rFonts w:ascii="宋体" w:hAnsi="宋体"/>
          <w:color w:val="000000"/>
        </w:rPr>
      </w:pPr>
      <w:r>
        <w:rPr>
          <w:rFonts w:hint="eastAsia" w:ascii="宋体" w:hAnsi="宋体"/>
          <w:color w:val="000000"/>
        </w:rPr>
        <w:t>(3)对于因承包人原因造成的增加工程量及返工工程量，工程师不予计量。</w:t>
      </w:r>
    </w:p>
    <w:p>
      <w:pPr>
        <w:tabs>
          <w:tab w:val="left" w:pos="1620"/>
          <w:tab w:val="left" w:pos="2340"/>
        </w:tabs>
        <w:ind w:left="1449" w:leftChars="690"/>
        <w:rPr>
          <w:rFonts w:ascii="宋体" w:hAnsi="宋体"/>
          <w:color w:val="000000"/>
        </w:rPr>
      </w:pPr>
      <w:r>
        <w:rPr>
          <w:rFonts w:hint="eastAsia" w:ascii="宋体" w:hAnsi="宋体"/>
          <w:color w:val="000000"/>
        </w:rPr>
        <w:t>(4)如承包人对工程师计量的结果不予同意，应在收到上述结果后7天内向工程师提出申辩，申明承包人认为上述结果中不正确的内容。工程师收到上述申辩后，应重新检查其对有关工程量或有关记录、图纸的计量，或予以确认，或将其修改。</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62" w:name="_Toc34909092"/>
      <w: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169545</wp:posOffset>
                </wp:positionV>
                <wp:extent cx="571500" cy="353060"/>
                <wp:effectExtent l="0" t="0" r="0" b="1270"/>
                <wp:wrapNone/>
                <wp:docPr id="95"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571500" cy="35306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造价工程师确认</w:t>
                            </w:r>
                          </w:p>
                        </w:txbxContent>
                      </wps:txbx>
                      <wps:bodyPr rot="0" vert="horz" wrap="square" lIns="0" tIns="0" rIns="0" bIns="0" anchor="t" anchorCtr="0" upright="1">
                        <a:noAutofit/>
                      </wps:bodyPr>
                    </wps:wsp>
                  </a:graphicData>
                </a:graphic>
              </wp:anchor>
            </w:drawing>
          </mc:Choice>
          <mc:Fallback>
            <w:pict>
              <v:shape id="文本框 94" o:spid="_x0000_s1026" o:spt="202" type="#_x0000_t202" style="position:absolute;left:0pt;margin-left:0pt;margin-top:13.35pt;height:27.8pt;width:45pt;z-index:251762688;mso-width-relative:page;mso-height-relative:page;" fillcolor="#FFFFFF" filled="t" stroked="f" coordsize="21600,21600" o:gfxdata="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hL8O1AAA&#10;AAUBAAAPAAAAAAAAAAEAIAAAACIAAABkcnMvZG93bnJldi54bWxQSwECFAAUAAAACACHTuJAzeU6&#10;oiICAAAv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造价工程师确认</w:t>
                      </w:r>
                    </w:p>
                  </w:txbxContent>
                </v:textbox>
              </v:shape>
            </w:pict>
          </mc:Fallback>
        </mc:AlternateContent>
      </w:r>
      <w:r>
        <w:rPr>
          <w:rFonts w:hint="eastAsia" w:ascii="宋体" w:hAnsi="宋体"/>
          <w:b w:val="0"/>
          <w:color w:val="000000"/>
          <w:sz w:val="21"/>
        </w:rPr>
        <w:t>第30条中有关工程量计量的文件的编制和审核均须经注册造价工程师签字盖章确认。</w:t>
      </w:r>
      <w:bookmarkEnd w:id="262"/>
    </w:p>
    <w:p>
      <w:pPr>
        <w:pStyle w:val="2"/>
        <w:keepLines w:val="0"/>
        <w:tabs>
          <w:tab w:val="left" w:pos="1620"/>
          <w:tab w:val="left" w:pos="2340"/>
        </w:tabs>
        <w:ind w:left="945" w:leftChars="450"/>
        <w:rPr>
          <w:rFonts w:hAnsi="宋体"/>
          <w:color w:val="000000"/>
          <w:sz w:val="28"/>
          <w:szCs w:val="28"/>
        </w:rPr>
      </w:pPr>
      <w:bookmarkStart w:id="263" w:name="_Toc35656993"/>
      <w:bookmarkStart w:id="264" w:name="_Toc35656491"/>
      <w:bookmarkStart w:id="265" w:name="_Toc34909093"/>
      <w:r>
        <w:rPr>
          <w:rFonts w:hint="eastAsia" w:hAnsi="宋体"/>
          <w:color w:val="000000"/>
          <w:sz w:val="28"/>
          <w:szCs w:val="28"/>
        </w:rPr>
        <w:t>工程款支付</w:t>
      </w:r>
      <w:bookmarkEnd w:id="263"/>
      <w:bookmarkEnd w:id="264"/>
      <w:bookmarkEnd w:id="265"/>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66" w:name="_Toc34909094"/>
      <w:r>
        <mc:AlternateContent>
          <mc:Choice Requires="wps">
            <w:drawing>
              <wp:anchor distT="0" distB="0" distL="114300" distR="114300" simplePos="0" relativeHeight="251763712" behindDoc="0" locked="0" layoutInCell="1" allowOverlap="1">
                <wp:simplePos x="0" y="0"/>
                <wp:positionH relativeFrom="column">
                  <wp:posOffset>0</wp:posOffset>
                </wp:positionH>
                <wp:positionV relativeFrom="paragraph">
                  <wp:posOffset>17145</wp:posOffset>
                </wp:positionV>
                <wp:extent cx="571500" cy="342900"/>
                <wp:effectExtent l="0" t="0" r="0" b="1905"/>
                <wp:wrapNone/>
                <wp:docPr id="94"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工程预付款的金额</w:t>
                            </w:r>
                          </w:p>
                        </w:txbxContent>
                      </wps:txbx>
                      <wps:bodyPr rot="0" vert="horz" wrap="square" lIns="0" tIns="0" rIns="0" bIns="0" anchor="t" anchorCtr="0" upright="1">
                        <a:noAutofit/>
                      </wps:bodyPr>
                    </wps:wsp>
                  </a:graphicData>
                </a:graphic>
              </wp:anchor>
            </w:drawing>
          </mc:Choice>
          <mc:Fallback>
            <w:pict>
              <v:shape id="文本框 93" o:spid="_x0000_s1026" o:spt="202" type="#_x0000_t202" style="position:absolute;left:0pt;margin-left:0pt;margin-top:1.35pt;height:27pt;width:45pt;z-index:251763712;mso-width-relative:page;mso-height-relative:page;" fillcolor="#FFFFFF" filled="t" stroked="f" coordsize="21600,21600" o:gfxdata="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o2T+dQAAAAE&#10;AQAADwAAAAAAAAABACAAAAAiAAAAZHJzL2Rvd25yZXYueG1sUEsBAhQAFAAAAAgAh07iQPGr5zUg&#10;AgAALw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工程预付款的金额</w:t>
                      </w:r>
                    </w:p>
                  </w:txbxContent>
                </v:textbox>
              </v:shape>
            </w:pict>
          </mc:Fallback>
        </mc:AlternateContent>
      </w:r>
      <w:r>
        <w:rPr>
          <w:rFonts w:hint="eastAsia" w:ascii="宋体" w:hAnsi="宋体"/>
          <w:b w:val="0"/>
          <w:color w:val="000000"/>
          <w:sz w:val="21"/>
        </w:rPr>
        <w:t>发包人和承包人应在专用条款中约定一定比例的工程预付款，用于施工准备，金额一般为合同价款的10</w:t>
      </w:r>
      <w:r>
        <w:rPr>
          <w:rFonts w:ascii="宋体" w:hAnsi="宋体"/>
          <w:b w:val="0"/>
          <w:color w:val="000000"/>
          <w:sz w:val="21"/>
        </w:rPr>
        <w:t>～</w:t>
      </w:r>
      <w:r>
        <w:rPr>
          <w:rFonts w:hint="eastAsia" w:ascii="宋体" w:hAnsi="宋体"/>
          <w:b w:val="0"/>
          <w:color w:val="000000"/>
          <w:sz w:val="21"/>
        </w:rPr>
        <w:t>30%。</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63040" behindDoc="0" locked="0" layoutInCell="1" allowOverlap="1">
                <wp:simplePos x="0" y="0"/>
                <wp:positionH relativeFrom="column">
                  <wp:posOffset>0</wp:posOffset>
                </wp:positionH>
                <wp:positionV relativeFrom="paragraph">
                  <wp:posOffset>201930</wp:posOffset>
                </wp:positionV>
                <wp:extent cx="571500" cy="342900"/>
                <wp:effectExtent l="0" t="1905" r="0" b="0"/>
                <wp:wrapNone/>
                <wp:docPr id="93"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spacing w:line="240" w:lineRule="exact"/>
                              <w:rPr>
                                <w:rFonts w:ascii="楷体_GB2312" w:eastAsia="楷体_GB2312"/>
                              </w:rPr>
                            </w:pPr>
                            <w:r>
                              <w:rPr>
                                <w:rFonts w:hint="eastAsia" w:ascii="楷体_GB2312" w:hAnsi="宋体" w:eastAsia="楷体_GB2312"/>
                              </w:rPr>
                              <w:t>工程预付款的支付</w:t>
                            </w:r>
                          </w:p>
                        </w:txbxContent>
                      </wps:txbx>
                      <wps:bodyPr rot="0" vert="horz" wrap="square" lIns="0" tIns="0" rIns="0" bIns="0" anchor="t" anchorCtr="0" upright="1">
                        <a:noAutofit/>
                      </wps:bodyPr>
                    </wps:wsp>
                  </a:graphicData>
                </a:graphic>
              </wp:anchor>
            </w:drawing>
          </mc:Choice>
          <mc:Fallback>
            <w:pict>
              <v:shape id="文本框 92" o:spid="_x0000_s1026" o:spt="202" type="#_x0000_t202" style="position:absolute;left:0pt;margin-left:0pt;margin-top:15.9pt;height:27pt;width:45pt;z-index:251863040;mso-width-relative:page;mso-height-relative:page;" fillcolor="#FFFFFF" filled="t" stroked="f" coordsize="21600,21600" o:gfxdata="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0FAUNQAAAAF&#10;AQAADwAAAAAAAAABACAAAAAiAAAAZHJzL2Rvd25yZXYueG1sUEsBAhQAFAAAAAgAh07iQLJk2FUg&#10;AgAALwQAAA4AAAAAAAAAAQAgAAAAIwEAAGRycy9lMm9Eb2MueG1sUEsFBgAAAAAGAAYAWQEAALUF&#10;AAAAAA==&#10;">
                <v:fill on="t" focussize="0,0"/>
                <v:stroke on="f"/>
                <v:imagedata o:title=""/>
                <o:lock v:ext="edit" aspectratio="f"/>
                <v:textbox inset="0mm,0mm,0mm,0mm">
                  <w:txbxContent>
                    <w:p>
                      <w:pPr>
                        <w:spacing w:line="240" w:lineRule="exact"/>
                        <w:rPr>
                          <w:rFonts w:ascii="楷体_GB2312" w:eastAsia="楷体_GB2312"/>
                        </w:rPr>
                      </w:pPr>
                      <w:r>
                        <w:rPr>
                          <w:rFonts w:hint="eastAsia" w:ascii="楷体_GB2312" w:hAnsi="宋体" w:eastAsia="楷体_GB2312"/>
                        </w:rPr>
                        <w:t>工程预付款的支付</w:t>
                      </w:r>
                    </w:p>
                  </w:txbxContent>
                </v:textbox>
              </v:shape>
            </w:pict>
          </mc:Fallback>
        </mc:AlternateContent>
      </w:r>
      <w:r>
        <w:rPr>
          <w:rFonts w:hint="eastAsia" w:ascii="宋体" w:hAnsi="宋体"/>
          <w:b w:val="0"/>
          <w:color w:val="000000"/>
          <w:sz w:val="21"/>
        </w:rPr>
        <w:t>发包人应按专用条款约定的时间和金额向承包人支付工程预付款，预付的时间应不迟于约定的开工日期前7天。发包人不按约定预付的，承包人应在约定预付时间到期后7天内向发包人发出要求预付的通知，发包人收到通知后仍不能按要求预付，承包人可在发出通知14天后停止施工。</w:t>
      </w:r>
      <w:bookmarkEnd w:id="26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67" w:name="_Toc34909095"/>
      <w: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167005</wp:posOffset>
                </wp:positionV>
                <wp:extent cx="571500" cy="342900"/>
                <wp:effectExtent l="0" t="0" r="0" b="4445"/>
                <wp:wrapNone/>
                <wp:docPr id="92"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工程预付款的扣回</w:t>
                            </w:r>
                          </w:p>
                        </w:txbxContent>
                      </wps:txbx>
                      <wps:bodyPr rot="0" vert="horz" wrap="square" lIns="0" tIns="0" rIns="0" bIns="0" anchor="t" anchorCtr="0" upright="1">
                        <a:noAutofit/>
                      </wps:bodyPr>
                    </wps:wsp>
                  </a:graphicData>
                </a:graphic>
              </wp:anchor>
            </w:drawing>
          </mc:Choice>
          <mc:Fallback>
            <w:pict>
              <v:shape id="文本框 91" o:spid="_x0000_s1026" o:spt="202" type="#_x0000_t202" style="position:absolute;left:0pt;margin-left:0pt;margin-top:13.15pt;height:27pt;width:45pt;z-index:251764736;mso-width-relative:page;mso-height-relative:page;" fillcolor="#FFFFFF" filled="t" stroked="f" coordsize="21600,21600" o:gfxdata="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qHrTNQAAAAF&#10;AQAADwAAAAAAAAABACAAAAAiAAAAZHJzL2Rvd25yZXYueG1sUEsBAhQAFAAAAAgAh07iQMcNaBcg&#10;AgAALw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工程预付款的扣回</w:t>
                      </w:r>
                    </w:p>
                  </w:txbxContent>
                </v:textbox>
              </v:shape>
            </w:pict>
          </mc:Fallback>
        </mc:AlternateContent>
      </w:r>
      <w:r>
        <w:rPr>
          <w:rFonts w:hint="eastAsia" w:ascii="宋体" w:hAnsi="宋体"/>
          <w:b w:val="0"/>
          <w:color w:val="000000"/>
          <w:sz w:val="21"/>
        </w:rPr>
        <w:t>发包人和承包人应在专用条款内约定工程预付款扣回的起扣点和扣回比例。在未达到起扣点之前，预付款不予扣回；达到起扣点之后，预付款按约定比例根据工程进度分期从期中支付款中扣回。</w:t>
      </w:r>
      <w:bookmarkEnd w:id="267"/>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68" w:name="_Toc34909096"/>
      <w:r>
        <mc:AlternateContent>
          <mc:Choice Requires="wps">
            <w:drawing>
              <wp:anchor distT="0" distB="0" distL="114300" distR="114300" simplePos="0" relativeHeight="251765760" behindDoc="0" locked="0" layoutInCell="1" allowOverlap="1">
                <wp:simplePos x="0" y="0"/>
                <wp:positionH relativeFrom="column">
                  <wp:posOffset>0</wp:posOffset>
                </wp:positionH>
                <wp:positionV relativeFrom="paragraph">
                  <wp:posOffset>186055</wp:posOffset>
                </wp:positionV>
                <wp:extent cx="571500" cy="187325"/>
                <wp:effectExtent l="0" t="0" r="0" b="0"/>
                <wp:wrapNone/>
                <wp:docPr id="91"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571500" cy="18732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期中结算</w:t>
                            </w:r>
                          </w:p>
                        </w:txbxContent>
                      </wps:txbx>
                      <wps:bodyPr rot="0" vert="horz" wrap="square" lIns="0" tIns="0" rIns="0" bIns="0" anchor="t" anchorCtr="0" upright="1">
                        <a:noAutofit/>
                      </wps:bodyPr>
                    </wps:wsp>
                  </a:graphicData>
                </a:graphic>
              </wp:anchor>
            </w:drawing>
          </mc:Choice>
          <mc:Fallback>
            <w:pict>
              <v:shape id="文本框 90" o:spid="_x0000_s1026" o:spt="202" type="#_x0000_t202" style="position:absolute;left:0pt;margin-left:0pt;margin-top:14.65pt;height:14.75pt;width:45pt;z-index:251765760;mso-width-relative:page;mso-height-relative:page;" fillcolor="#FFFFFF" filled="t" stroked="f" coordsize="21600,21600" o:gfxdata="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zwBv/V&#10;AAAABQEAAA8AAAAAAAAAAQAgAAAAIgAAAGRycy9kb3ducmV2LnhtbFBLAQIUABQAAAAIAIdO4kDq&#10;7jRAIwIAAC8EAAAOAAAAAAAAAAEAIAAAACQBAABkcnMvZTJvRG9jLnhtbFBLBQYAAAAABgAGAFkB&#10;AAC5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期中结算</w:t>
                      </w:r>
                    </w:p>
                  </w:txbxContent>
                </v:textbox>
              </v:shape>
            </w:pict>
          </mc:Fallback>
        </mc:AlternateContent>
      </w:r>
      <w:r>
        <w:rPr>
          <w:rFonts w:hint="eastAsia" w:ascii="宋体" w:hAnsi="宋体"/>
          <w:b w:val="0"/>
          <w:color w:val="000000"/>
          <w:sz w:val="21"/>
        </w:rPr>
        <w:t>发包人和承包人应在专用条款内约定办理期中结算的时间间隔和要求，并按此约定办理期中结算；无时间间隔约定的，则按月办理期中结算。</w:t>
      </w:r>
      <w:bookmarkEnd w:id="268"/>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69" w:name="_Toc34909097"/>
      <w:r>
        <mc:AlternateContent>
          <mc:Choice Requires="wps">
            <w:drawing>
              <wp:anchor distT="0" distB="0" distL="114300" distR="114300" simplePos="0" relativeHeight="251766784" behindDoc="0" locked="0" layoutInCell="1" allowOverlap="1">
                <wp:simplePos x="0" y="0"/>
                <wp:positionH relativeFrom="column">
                  <wp:posOffset>0</wp:posOffset>
                </wp:positionH>
                <wp:positionV relativeFrom="paragraph">
                  <wp:posOffset>172085</wp:posOffset>
                </wp:positionV>
                <wp:extent cx="571500" cy="342900"/>
                <wp:effectExtent l="0" t="635" r="0" b="0"/>
                <wp:wrapNone/>
                <wp:docPr id="90"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期中结算书</w:t>
                            </w:r>
                          </w:p>
                        </w:txbxContent>
                      </wps:txbx>
                      <wps:bodyPr rot="0" vert="horz" wrap="square" lIns="0" tIns="0" rIns="0" bIns="0" anchor="t" anchorCtr="0" upright="1">
                        <a:noAutofit/>
                      </wps:bodyPr>
                    </wps:wsp>
                  </a:graphicData>
                </a:graphic>
              </wp:anchor>
            </w:drawing>
          </mc:Choice>
          <mc:Fallback>
            <w:pict>
              <v:shape id="文本框 89" o:spid="_x0000_s1026" o:spt="202" type="#_x0000_t202" style="position:absolute;left:0pt;margin-left:0pt;margin-top:13.55pt;height:27pt;width:45pt;z-index:251766784;mso-width-relative:page;mso-height-relative:page;" fillcolor="#FFFFFF" filled="t" stroked="f" coordsize="21600,21600" o:gfxdata="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WEFjNQAAAAF&#10;AQAADwAAAAAAAAABACAAAAAiAAAAZHJzL2Rvd25yZXYueG1sUEsBAhQAFAAAAAgAh07iQCZh1xUg&#10;AgAALw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期中结算书</w:t>
                      </w:r>
                    </w:p>
                  </w:txbxContent>
                </v:textbox>
              </v:shape>
            </w:pict>
          </mc:Fallback>
        </mc:AlternateContent>
      </w:r>
      <w:r>
        <w:rPr>
          <w:rFonts w:hint="eastAsia" w:ascii="宋体" w:hAnsi="宋体"/>
          <w:b w:val="0"/>
          <w:color w:val="000000"/>
          <w:sz w:val="21"/>
        </w:rPr>
        <w:t>承包人应按31.4款约定向工程师提交由其项目经理签署的期中结算书，期中结算书应包括以下内容：</w:t>
      </w:r>
      <w:bookmarkEnd w:id="269"/>
    </w:p>
    <w:p>
      <w:pPr>
        <w:tabs>
          <w:tab w:val="left" w:pos="1620"/>
          <w:tab w:val="left" w:pos="2340"/>
        </w:tabs>
        <w:ind w:left="1449" w:leftChars="690"/>
        <w:rPr>
          <w:rFonts w:ascii="宋体" w:hAnsi="宋体"/>
          <w:color w:val="000000"/>
          <w:szCs w:val="21"/>
        </w:rPr>
      </w:pPr>
      <w:r>
        <w:rPr>
          <w:rFonts w:hint="eastAsia" w:ascii="宋体" w:hAnsi="宋体"/>
          <w:color w:val="000000"/>
          <w:szCs w:val="21"/>
        </w:rPr>
        <w:t>⑴本付款周期已完成工程的价款；</w:t>
      </w:r>
    </w:p>
    <w:p>
      <w:pPr>
        <w:tabs>
          <w:tab w:val="left" w:pos="1620"/>
          <w:tab w:val="left" w:pos="2340"/>
        </w:tabs>
        <w:ind w:left="1449" w:leftChars="690"/>
        <w:rPr>
          <w:rFonts w:ascii="宋体" w:hAnsi="宋体"/>
          <w:color w:val="000000"/>
          <w:szCs w:val="21"/>
        </w:rPr>
      </w:pPr>
      <w:r>
        <w:rPr>
          <w:rFonts w:hint="eastAsia" w:ascii="宋体" w:hAnsi="宋体"/>
          <w:color w:val="000000"/>
          <w:szCs w:val="21"/>
        </w:rPr>
        <w:t>⑵累计已完成的工程价款；</w:t>
      </w:r>
    </w:p>
    <w:p>
      <w:pPr>
        <w:tabs>
          <w:tab w:val="left" w:pos="1620"/>
          <w:tab w:val="left" w:pos="2340"/>
        </w:tabs>
        <w:ind w:left="1449" w:leftChars="690"/>
        <w:rPr>
          <w:rFonts w:ascii="宋体" w:hAnsi="宋体"/>
          <w:color w:val="000000"/>
          <w:szCs w:val="21"/>
        </w:rPr>
      </w:pPr>
      <w:r>
        <w:rPr>
          <w:rFonts w:hint="eastAsia" w:ascii="宋体" w:hAnsi="宋体"/>
          <w:color w:val="000000"/>
          <w:szCs w:val="21"/>
        </w:rPr>
        <w:t>⑶累计已支付的工程价款；</w:t>
      </w:r>
    </w:p>
    <w:p>
      <w:pPr>
        <w:tabs>
          <w:tab w:val="left" w:pos="1620"/>
          <w:tab w:val="left" w:pos="2340"/>
        </w:tabs>
        <w:ind w:left="1449" w:leftChars="690"/>
        <w:rPr>
          <w:rFonts w:ascii="宋体" w:hAnsi="宋体"/>
          <w:color w:val="000000"/>
          <w:szCs w:val="21"/>
        </w:rPr>
      </w:pPr>
      <w:r>
        <w:rPr>
          <w:rFonts w:hint="eastAsia" w:ascii="宋体" w:hAnsi="宋体"/>
          <w:color w:val="000000"/>
          <w:szCs w:val="21"/>
        </w:rPr>
        <w:t>⑷本周期已完成的计日工金额；</w:t>
      </w:r>
    </w:p>
    <w:p>
      <w:pPr>
        <w:tabs>
          <w:tab w:val="left" w:pos="1620"/>
          <w:tab w:val="left" w:pos="2340"/>
        </w:tabs>
        <w:ind w:left="1449" w:leftChars="690"/>
        <w:rPr>
          <w:rFonts w:ascii="宋体" w:hAnsi="宋体"/>
          <w:color w:val="000000"/>
          <w:szCs w:val="21"/>
        </w:rPr>
      </w:pPr>
      <w:r>
        <w:rPr>
          <w:rFonts w:hint="eastAsia" w:ascii="宋体" w:hAnsi="宋体"/>
          <w:color w:val="000000"/>
          <w:szCs w:val="21"/>
        </w:rPr>
        <w:t>⑸应增加和扣减的变更金额；</w:t>
      </w:r>
    </w:p>
    <w:p>
      <w:pPr>
        <w:tabs>
          <w:tab w:val="left" w:pos="1620"/>
          <w:tab w:val="left" w:pos="2340"/>
        </w:tabs>
        <w:ind w:left="1449" w:leftChars="690"/>
        <w:rPr>
          <w:rFonts w:ascii="宋体" w:hAnsi="宋体"/>
          <w:color w:val="000000"/>
          <w:szCs w:val="21"/>
        </w:rPr>
      </w:pPr>
      <w:r>
        <w:rPr>
          <w:rFonts w:hint="eastAsia" w:ascii="宋体" w:hAnsi="宋体"/>
          <w:color w:val="000000"/>
          <w:szCs w:val="21"/>
        </w:rPr>
        <w:t>⑹应增加和扣减的索赔金额；</w:t>
      </w:r>
    </w:p>
    <w:p>
      <w:pPr>
        <w:tabs>
          <w:tab w:val="left" w:pos="1620"/>
          <w:tab w:val="left" w:pos="2340"/>
        </w:tabs>
        <w:ind w:left="1449" w:leftChars="690"/>
        <w:rPr>
          <w:rFonts w:ascii="宋体" w:hAnsi="宋体"/>
          <w:color w:val="000000"/>
          <w:szCs w:val="21"/>
        </w:rPr>
      </w:pPr>
      <w:r>
        <w:rPr>
          <w:rFonts w:hint="eastAsia" w:ascii="宋体" w:hAnsi="宋体"/>
          <w:color w:val="000000"/>
          <w:szCs w:val="21"/>
        </w:rPr>
        <w:t>⑺应抵扣的工程预付款；</w:t>
      </w:r>
    </w:p>
    <w:p>
      <w:pPr>
        <w:tabs>
          <w:tab w:val="left" w:pos="1620"/>
          <w:tab w:val="left" w:pos="2340"/>
        </w:tabs>
        <w:ind w:left="1449" w:leftChars="690"/>
        <w:rPr>
          <w:rFonts w:ascii="宋体" w:hAnsi="宋体"/>
          <w:color w:val="000000"/>
          <w:szCs w:val="21"/>
        </w:rPr>
      </w:pPr>
      <w:r>
        <w:rPr>
          <w:rFonts w:hint="eastAsia" w:ascii="宋体" w:hAnsi="宋体"/>
          <w:color w:val="000000"/>
          <w:szCs w:val="21"/>
        </w:rPr>
        <w:t>⑻应扣减的质量缺陷保修金；</w:t>
      </w:r>
    </w:p>
    <w:p>
      <w:pPr>
        <w:tabs>
          <w:tab w:val="left" w:pos="1620"/>
          <w:tab w:val="left" w:pos="2340"/>
        </w:tabs>
        <w:ind w:left="1449" w:leftChars="690"/>
        <w:rPr>
          <w:rFonts w:ascii="宋体" w:hAnsi="宋体"/>
          <w:color w:val="000000"/>
          <w:szCs w:val="21"/>
        </w:rPr>
      </w:pPr>
      <w:r>
        <w:rPr>
          <w:rFonts w:hint="eastAsia" w:ascii="宋体" w:hAnsi="宋体"/>
          <w:color w:val="000000"/>
          <w:szCs w:val="21"/>
        </w:rPr>
        <w:t>⑼根据合同应增加和扣减的其他金额；</w:t>
      </w:r>
    </w:p>
    <w:p>
      <w:pPr>
        <w:tabs>
          <w:tab w:val="left" w:pos="1620"/>
          <w:tab w:val="left" w:pos="2340"/>
        </w:tabs>
        <w:ind w:left="1449" w:leftChars="690"/>
        <w:rPr>
          <w:rFonts w:ascii="宋体" w:hAnsi="宋体"/>
          <w:color w:val="000000"/>
          <w:szCs w:val="21"/>
        </w:rPr>
      </w:pPr>
      <w:r>
        <w:rPr>
          <w:rFonts w:hint="eastAsia" w:ascii="宋体" w:hAnsi="宋体"/>
          <w:color w:val="000000"/>
          <w:szCs w:val="21"/>
        </w:rPr>
        <w:t>⑽本付款周期实际应支付的工程价款。</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70" w:name="_Toc34909098"/>
      <w:r>
        <mc:AlternateContent>
          <mc:Choice Requires="wps">
            <w:drawing>
              <wp:anchor distT="0" distB="0" distL="114300" distR="114300" simplePos="0" relativeHeight="251767808" behindDoc="0" locked="0" layoutInCell="1" allowOverlap="1">
                <wp:simplePos x="0" y="0"/>
                <wp:positionH relativeFrom="column">
                  <wp:posOffset>0</wp:posOffset>
                </wp:positionH>
                <wp:positionV relativeFrom="paragraph">
                  <wp:posOffset>163830</wp:posOffset>
                </wp:positionV>
                <wp:extent cx="571500" cy="373380"/>
                <wp:effectExtent l="0" t="1905" r="0" b="0"/>
                <wp:wrapNone/>
                <wp:docPr id="89"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571500" cy="37338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期中支付证书</w:t>
                            </w:r>
                          </w:p>
                        </w:txbxContent>
                      </wps:txbx>
                      <wps:bodyPr rot="0" vert="horz" wrap="square" lIns="0" tIns="0" rIns="0" bIns="0" anchor="t" anchorCtr="0" upright="1">
                        <a:noAutofit/>
                      </wps:bodyPr>
                    </wps:wsp>
                  </a:graphicData>
                </a:graphic>
              </wp:anchor>
            </w:drawing>
          </mc:Choice>
          <mc:Fallback>
            <w:pict>
              <v:shape id="文本框 88" o:spid="_x0000_s1026" o:spt="202" type="#_x0000_t202" style="position:absolute;left:0pt;margin-left:0pt;margin-top:12.9pt;height:29.4pt;width:45pt;z-index:251767808;mso-width-relative:page;mso-height-relative:page;" fillcolor="#FFFFFF" filled="t" stroked="f" coordsize="21600,21600" o:gfxdata="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I/oZ1AAA&#10;AAUBAAAPAAAAAAAAAAEAIAAAACIAAABkcnMvZG93bnJldi54bWxQSwECFAAUAAAACACHTuJAejc/&#10;4CICAAAv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期中支付证书</w:t>
                      </w:r>
                    </w:p>
                  </w:txbxContent>
                </v:textbox>
              </v:shape>
            </w:pict>
          </mc:Fallback>
        </mc:AlternateContent>
      </w:r>
      <w:r>
        <w:rPr>
          <w:rFonts w:hint="eastAsia" w:ascii="宋体" w:hAnsi="宋体"/>
          <w:b w:val="0"/>
          <w:color w:val="000000"/>
          <w:sz w:val="21"/>
        </w:rPr>
        <w:t>工程师应在收到期中结算书后14天内签发期中支付证书，签发时应写明他认为应该到期结算的价款及需要扣留和扣回的价款并报发包人批准。如该期应结算的价款经扣留和扣回后款额少于专用条款约定的期中支付的最低金额，则工程师可不签发支付证书，该期工程价款将按期结转，直到累计应支付的款额达到专用条款约定的期中支付的最低金额为止。累计期中支付金额达到合同价款和追加(减)合同价款总额的90%时暂停支付。</w:t>
      </w:r>
      <w:bookmarkEnd w:id="270"/>
    </w:p>
    <w:p>
      <w:pPr>
        <w:tabs>
          <w:tab w:val="left" w:pos="1620"/>
          <w:tab w:val="left" w:pos="2340"/>
        </w:tabs>
        <w:ind w:left="1453" w:leftChars="675" w:hanging="35" w:hangingChars="17"/>
        <w:rPr>
          <w:rFonts w:ascii="宋体" w:hAnsi="宋体"/>
          <w:color w:val="000000"/>
        </w:rPr>
      </w:pPr>
      <w:r>
        <w:rPr>
          <w:rFonts w:hint="eastAsia" w:ascii="宋体" w:hAnsi="宋体"/>
          <w:color w:val="000000"/>
        </w:rPr>
        <w:t>若承包人未按照31.4款约定的时间提交期中结算书，工程师可自行按照工程实际进度情况编制期中结算书，报发包人批准后签发期中支付证书，承包人对此应予以认可。</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71" w:name="_Toc34909099"/>
      <w: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191770</wp:posOffset>
                </wp:positionV>
                <wp:extent cx="571500" cy="403860"/>
                <wp:effectExtent l="0" t="1270" r="0" b="4445"/>
                <wp:wrapNone/>
                <wp:docPr id="88"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571500" cy="40386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发包人支付</w:t>
                            </w:r>
                          </w:p>
                        </w:txbxContent>
                      </wps:txbx>
                      <wps:bodyPr rot="0" vert="horz" wrap="square" lIns="0" tIns="0" rIns="0" bIns="0" anchor="t" anchorCtr="0" upright="1">
                        <a:noAutofit/>
                      </wps:bodyPr>
                    </wps:wsp>
                  </a:graphicData>
                </a:graphic>
              </wp:anchor>
            </w:drawing>
          </mc:Choice>
          <mc:Fallback>
            <w:pict>
              <v:shape id="文本框 87" o:spid="_x0000_s1026" o:spt="202" type="#_x0000_t202" style="position:absolute;left:0pt;margin-left:0pt;margin-top:15.1pt;height:31.8pt;width:45pt;z-index:251768832;mso-width-relative:page;mso-height-relative:page;" fillcolor="#FFFFFF" filled="t" stroked="f" coordsize="21600,21600" o:gfxdata="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VA8FQ1AAA&#10;AAUBAAAPAAAAAAAAAAEAIAAAACIAAABkcnMvZG93bnJldi54bWxQSwECFAAUAAAACACHTuJA/Csv&#10;6iICAAAv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发包人支付</w:t>
                      </w:r>
                    </w:p>
                  </w:txbxContent>
                </v:textbox>
              </v:shape>
            </w:pict>
          </mc:Fallback>
        </mc:AlternateContent>
      </w:r>
      <w:bookmarkEnd w:id="271"/>
      <w:r>
        <w:rPr>
          <w:rFonts w:hint="eastAsia" w:ascii="宋体" w:hAnsi="宋体"/>
          <w:b w:val="0"/>
          <w:color w:val="000000"/>
          <w:sz w:val="21"/>
        </w:rPr>
        <w:t>发包人应在期中支付证书签发之日起7天内将期中支付证书上列明的款项支付给承包人。发包人超过约定的时间不支付，承包人可向发包人发出要求付款的通知。发包人收到通知后仍不能按约定付款，可与承包人协商签订延期付款协议，经承包人同意后可延期支付，发包人应从约定应付之日起向承包人支付应付款的存款利息。。</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72" w:name="_Toc34909102"/>
      <w: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182245</wp:posOffset>
                </wp:positionV>
                <wp:extent cx="571500" cy="342900"/>
                <wp:effectExtent l="0" t="1270" r="0" b="0"/>
                <wp:wrapNone/>
                <wp:docPr id="87"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造价工程师确认</w:t>
                            </w:r>
                          </w:p>
                        </w:txbxContent>
                      </wps:txbx>
                      <wps:bodyPr rot="0" vert="horz" wrap="square" lIns="0" tIns="0" rIns="0" bIns="0" anchor="t" anchorCtr="0" upright="1">
                        <a:noAutofit/>
                      </wps:bodyPr>
                    </wps:wsp>
                  </a:graphicData>
                </a:graphic>
              </wp:anchor>
            </w:drawing>
          </mc:Choice>
          <mc:Fallback>
            <w:pict>
              <v:shape id="文本框 86" o:spid="_x0000_s1026" o:spt="202" type="#_x0000_t202" style="position:absolute;left:0pt;margin-left:0pt;margin-top:14.35pt;height:27pt;width:45pt;z-index:251769856;mso-width-relative:page;mso-height-relative:page;" fillcolor="#FFFFFF" filled="t" stroked="f" coordsize="21600,21600" o:gfxdata="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M+3XtQAAAAF&#10;AQAADwAAAAAAAAABACAAAAAiAAAAZHJzL2Rvd25yZXYueG1sUEsBAhQAFAAAAAgAh07iQLxOo0og&#10;AgAALw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造价工程师确认</w:t>
                      </w:r>
                    </w:p>
                  </w:txbxContent>
                </v:textbox>
              </v:shape>
            </w:pict>
          </mc:Fallback>
        </mc:AlternateContent>
      </w:r>
      <w:r>
        <w:rPr>
          <w:rFonts w:hint="eastAsia" w:ascii="宋体" w:hAnsi="宋体"/>
          <w:b w:val="0"/>
          <w:color w:val="000000"/>
          <w:sz w:val="21"/>
        </w:rPr>
        <w:t>第31条中有关工程款支付的文件的编制和审核均须经注册造价工程师签字盖章确认。</w:t>
      </w:r>
      <w:bookmarkEnd w:id="272"/>
    </w:p>
    <w:p>
      <w:pPr>
        <w:pStyle w:val="2"/>
        <w:keepLines w:val="0"/>
        <w:numPr>
          <w:ilvl w:val="0"/>
          <w:numId w:val="0"/>
        </w:numPr>
        <w:tabs>
          <w:tab w:val="left" w:pos="1620"/>
          <w:tab w:val="left" w:pos="2340"/>
        </w:tabs>
        <w:ind w:left="945" w:leftChars="450"/>
        <w:rPr>
          <w:rFonts w:hAnsi="宋体"/>
          <w:color w:val="000000"/>
          <w:sz w:val="30"/>
        </w:rPr>
      </w:pPr>
      <w:bookmarkStart w:id="273" w:name="_Toc34909103"/>
      <w:bookmarkStart w:id="274" w:name="_Toc35656492"/>
      <w:bookmarkStart w:id="275" w:name="_Toc35656994"/>
      <w:r>
        <w:rPr>
          <w:rFonts w:hint="eastAsia" w:hAnsi="宋体"/>
          <w:color w:val="000000"/>
          <w:sz w:val="30"/>
        </w:rPr>
        <w:t>十一、工程变更</w:t>
      </w:r>
      <w:bookmarkEnd w:id="273"/>
      <w:bookmarkEnd w:id="274"/>
      <w:bookmarkEnd w:id="275"/>
    </w:p>
    <w:p>
      <w:pPr>
        <w:pStyle w:val="2"/>
        <w:keepLines w:val="0"/>
        <w:tabs>
          <w:tab w:val="left" w:pos="1620"/>
          <w:tab w:val="left" w:pos="2340"/>
        </w:tabs>
        <w:ind w:left="945" w:leftChars="450"/>
        <w:rPr>
          <w:rFonts w:hAnsi="宋体"/>
          <w:color w:val="000000"/>
          <w:sz w:val="28"/>
          <w:szCs w:val="28"/>
        </w:rPr>
      </w:pPr>
      <w:bookmarkStart w:id="276" w:name="_Toc35656493"/>
      <w:bookmarkStart w:id="277" w:name="_Toc35656995"/>
      <w:bookmarkStart w:id="278" w:name="_Toc34909104"/>
      <w:r>
        <w:rPr>
          <w:sz w:val="28"/>
          <w:szCs w:val="28"/>
        </w:rPr>
        <mc:AlternateContent>
          <mc:Choice Requires="wps">
            <w:drawing>
              <wp:anchor distT="0" distB="0" distL="114300" distR="114300" simplePos="0" relativeHeight="251848704" behindDoc="0" locked="0" layoutInCell="1" allowOverlap="1">
                <wp:simplePos x="0" y="0"/>
                <wp:positionH relativeFrom="column">
                  <wp:posOffset>-38100</wp:posOffset>
                </wp:positionH>
                <wp:positionV relativeFrom="paragraph">
                  <wp:posOffset>389255</wp:posOffset>
                </wp:positionV>
                <wp:extent cx="571500" cy="239395"/>
                <wp:effectExtent l="0" t="0" r="0" b="0"/>
                <wp:wrapNone/>
                <wp:docPr id="86"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571500" cy="23939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变更内容</w:t>
                            </w:r>
                          </w:p>
                        </w:txbxContent>
                      </wps:txbx>
                      <wps:bodyPr rot="0" vert="horz" wrap="square" lIns="0" tIns="72000" rIns="0" bIns="0" anchor="t" anchorCtr="0" upright="1">
                        <a:noAutofit/>
                      </wps:bodyPr>
                    </wps:wsp>
                  </a:graphicData>
                </a:graphic>
              </wp:anchor>
            </w:drawing>
          </mc:Choice>
          <mc:Fallback>
            <w:pict>
              <v:shape id="文本框 85" o:spid="_x0000_s1026" o:spt="202" type="#_x0000_t202" style="position:absolute;left:0pt;margin-left:-3pt;margin-top:30.65pt;height:18.85pt;width:45pt;z-index:251848704;mso-width-relative:page;mso-height-relative:page;" fillcolor="#FFFFFF" filled="t" stroked="f" coordsize="21600,21600" o:gfxdata="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7f6D22AAAAAcBAAAPAAAAAAAAAAEAIAAAACIAAABkcnMvZG93bnJldi54bWxQSwECFAAUAAAA&#10;CACHTuJA2qbhUycCAAAzBAAADgAAAAAAAAABACAAAAAnAQAAZHJzL2Uyb0RvYy54bWxQSwUGAAAA&#10;AAYABgBZAQAAwAUAAAAA&#10;">
                <v:fill on="t" focussize="0,0"/>
                <v:stroke on="f"/>
                <v:imagedata o:title=""/>
                <o:lock v:ext="edit" aspectratio="f"/>
                <v:textbox inset="0mm,2mm,0mm,0mm">
                  <w:txbxContent>
                    <w:p>
                      <w:pPr>
                        <w:rPr>
                          <w:rFonts w:ascii="楷体_GB2312" w:eastAsia="楷体_GB2312"/>
                        </w:rPr>
                      </w:pPr>
                      <w:r>
                        <w:rPr>
                          <w:rFonts w:hint="eastAsia" w:ascii="楷体_GB2312" w:hAnsi="宋体" w:eastAsia="楷体_GB2312"/>
                        </w:rPr>
                        <w:t>变更内容</w:t>
                      </w:r>
                    </w:p>
                  </w:txbxContent>
                </v:textbox>
              </v:shape>
            </w:pict>
          </mc:Fallback>
        </mc:AlternateContent>
      </w:r>
      <w:r>
        <w:rPr>
          <w:rFonts w:hint="eastAsia" w:hAnsi="宋体"/>
          <w:color w:val="000000"/>
          <w:sz w:val="28"/>
          <w:szCs w:val="28"/>
        </w:rPr>
        <w:t>工程变更</w:t>
      </w:r>
      <w:bookmarkEnd w:id="276"/>
      <w:bookmarkEnd w:id="277"/>
      <w:bookmarkEnd w:id="278"/>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79" w:name="_Toc34909105"/>
      <w:r>
        <w:rPr>
          <w:rFonts w:hint="eastAsia" w:ascii="宋体" w:hAnsi="宋体"/>
          <w:b w:val="0"/>
          <w:color w:val="000000"/>
          <w:sz w:val="21"/>
        </w:rPr>
        <w:t>在施工过程中，出现以下情况，视为工程变更：</w:t>
      </w:r>
    </w:p>
    <w:p>
      <w:pPr>
        <w:tabs>
          <w:tab w:val="left" w:pos="1620"/>
          <w:tab w:val="left" w:pos="2340"/>
        </w:tabs>
        <w:ind w:left="1449" w:leftChars="690"/>
        <w:rPr>
          <w:rFonts w:ascii="宋体" w:hAnsi="宋体"/>
          <w:color w:val="000000"/>
        </w:rPr>
      </w:pPr>
      <w:r>
        <w:rPr>
          <w:rFonts w:hint="eastAsia" w:ascii="宋体" w:hAnsi="宋体"/>
          <w:color w:val="000000"/>
        </w:rPr>
        <w:t>⑴合同包括的任何工作内容的数量的改变；</w:t>
      </w:r>
    </w:p>
    <w:p>
      <w:pPr>
        <w:tabs>
          <w:tab w:val="left" w:pos="1620"/>
          <w:tab w:val="left" w:pos="2340"/>
        </w:tabs>
        <w:ind w:left="1449" w:leftChars="690"/>
        <w:rPr>
          <w:rFonts w:ascii="宋体" w:hAnsi="宋体"/>
          <w:color w:val="000000"/>
        </w:rPr>
      </w:pPr>
      <w:r>
        <w:rPr>
          <w:rFonts w:hint="eastAsia" w:ascii="宋体" w:hAnsi="宋体"/>
          <w:color w:val="000000"/>
        </w:rPr>
        <w:t>⑵合同包括的任何工作内容的质量或其他特征的改变；</w:t>
      </w:r>
    </w:p>
    <w:p>
      <w:pPr>
        <w:tabs>
          <w:tab w:val="left" w:pos="1620"/>
          <w:tab w:val="left" w:pos="2340"/>
        </w:tabs>
        <w:ind w:left="1449" w:leftChars="690"/>
        <w:rPr>
          <w:rFonts w:ascii="宋体" w:hAnsi="宋体"/>
          <w:color w:val="000000"/>
        </w:rPr>
      </w:pPr>
      <w:r>
        <w:rPr>
          <w:rFonts w:hint="eastAsia" w:ascii="宋体" w:hAnsi="宋体"/>
          <w:color w:val="000000"/>
        </w:rPr>
        <w:t>⑶本工程任何部分的标高、线形、位置和尺寸的改变；</w:t>
      </w:r>
    </w:p>
    <w:p>
      <w:pPr>
        <w:tabs>
          <w:tab w:val="left" w:pos="1620"/>
          <w:tab w:val="left" w:pos="2340"/>
        </w:tabs>
        <w:ind w:left="1449" w:leftChars="690"/>
        <w:rPr>
          <w:rFonts w:ascii="宋体" w:hAnsi="宋体"/>
          <w:color w:val="000000"/>
        </w:rPr>
      </w:pPr>
      <w:r>
        <w:rPr>
          <w:rFonts w:hint="eastAsia" w:ascii="宋体" w:hAnsi="宋体"/>
          <w:color w:val="000000"/>
        </w:rPr>
        <w:t>⑷本工程任何部分施工的约定顺序或时间安排的改变；</w:t>
      </w:r>
    </w:p>
    <w:p>
      <w:pPr>
        <w:tabs>
          <w:tab w:val="left" w:pos="1620"/>
          <w:tab w:val="left" w:pos="2340"/>
        </w:tabs>
        <w:ind w:left="1449" w:leftChars="690"/>
        <w:rPr>
          <w:rFonts w:ascii="宋体" w:hAnsi="宋体"/>
          <w:color w:val="000000"/>
        </w:rPr>
      </w:pPr>
      <w:r>
        <w:rPr>
          <w:rFonts w:hint="eastAsia" w:ascii="宋体" w:hAnsi="宋体"/>
          <w:color w:val="000000"/>
        </w:rPr>
        <w:t>⑸为进行工程变更需要的任何附加工作、材料或设备。</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49728" behindDoc="0" locked="0" layoutInCell="1" allowOverlap="1">
                <wp:simplePos x="0" y="0"/>
                <wp:positionH relativeFrom="column">
                  <wp:posOffset>-47625</wp:posOffset>
                </wp:positionH>
                <wp:positionV relativeFrom="paragraph">
                  <wp:posOffset>154305</wp:posOffset>
                </wp:positionV>
                <wp:extent cx="571500" cy="182880"/>
                <wp:effectExtent l="0" t="1905" r="0" b="0"/>
                <wp:wrapNone/>
                <wp:docPr id="85"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571500" cy="18288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变更程序</w:t>
                            </w:r>
                          </w:p>
                        </w:txbxContent>
                      </wps:txbx>
                      <wps:bodyPr rot="0" vert="horz" wrap="square" lIns="0" tIns="0" rIns="0" bIns="0" anchor="t" anchorCtr="0" upright="1">
                        <a:noAutofit/>
                      </wps:bodyPr>
                    </wps:wsp>
                  </a:graphicData>
                </a:graphic>
              </wp:anchor>
            </w:drawing>
          </mc:Choice>
          <mc:Fallback>
            <w:pict>
              <v:shape id="文本框 84" o:spid="_x0000_s1026" o:spt="202" type="#_x0000_t202" style="position:absolute;left:0pt;margin-left:-3.75pt;margin-top:12.15pt;height:14.4pt;width:45pt;z-index:251849728;mso-width-relative:page;mso-height-relative:page;" fillcolor="#FFFFFF" filled="t" stroked="f" coordsize="21600,21600" o:gfxdata="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8fT29YA&#10;AAAHAQAADwAAAAAAAAABACAAAAAiAAAAZHJzL2Rvd25yZXYueG1sUEsBAhQAFAAAAAgAh07iQCrM&#10;zTAhAgAALwQAAA4AAAAAAAAAAQAgAAAAJQ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变更程序</w:t>
                      </w:r>
                    </w:p>
                  </w:txbxContent>
                </v:textbox>
              </v:shape>
            </w:pict>
          </mc:Fallback>
        </mc:AlternateContent>
      </w:r>
      <w:r>
        <w:rPr>
          <w:rFonts w:hint="eastAsia" w:ascii="宋体" w:hAnsi="宋体"/>
          <w:b w:val="0"/>
          <w:color w:val="000000"/>
          <w:sz w:val="21"/>
        </w:rPr>
        <w:t>工程变更应按以下程序办理</w:t>
      </w:r>
      <w:bookmarkEnd w:id="279"/>
      <w:r>
        <w:rPr>
          <w:rFonts w:hint="eastAsia" w:ascii="宋体" w:hAnsi="宋体"/>
          <w:b w:val="0"/>
          <w:color w:val="000000"/>
          <w:sz w:val="21"/>
        </w:rPr>
        <w:t>，并由工程师提前14天向承包人发出变更指令。</w:t>
      </w:r>
    </w:p>
    <w:p>
      <w:pPr>
        <w:tabs>
          <w:tab w:val="left" w:pos="1620"/>
          <w:tab w:val="left" w:pos="2340"/>
        </w:tabs>
        <w:ind w:left="1449" w:leftChars="690"/>
        <w:rPr>
          <w:rFonts w:ascii="宋体" w:hAnsi="宋体"/>
          <w:color w:val="000000"/>
        </w:rPr>
      </w:pPr>
      <w:r>
        <w:rPr>
          <w:rFonts w:hint="eastAsia" w:ascii="宋体" w:hAnsi="宋体"/>
          <w:color w:val="000000"/>
        </w:rPr>
        <w:t>⑴发包人提出变更建议，经工程师审核，必要时应经设计人同意并提交相应变更设计；</w:t>
      </w:r>
    </w:p>
    <w:p>
      <w:pPr>
        <w:tabs>
          <w:tab w:val="left" w:pos="1620"/>
          <w:tab w:val="left" w:pos="2340"/>
        </w:tabs>
        <w:ind w:left="1449" w:leftChars="690"/>
        <w:rPr>
          <w:rFonts w:ascii="宋体" w:hAnsi="宋体"/>
          <w:color w:val="000000"/>
        </w:rPr>
      </w:pPr>
      <w:r>
        <w:rPr>
          <w:rFonts w:hint="eastAsia" w:ascii="宋体" w:hAnsi="宋体"/>
          <w:color w:val="000000"/>
        </w:rPr>
        <w:t>⑵设计人提出变更建议，应提交相应变更设计，经工程师审核并报发包人同意；</w:t>
      </w:r>
    </w:p>
    <w:p>
      <w:pPr>
        <w:tabs>
          <w:tab w:val="left" w:pos="1620"/>
          <w:tab w:val="left" w:pos="2340"/>
        </w:tabs>
        <w:ind w:left="1449" w:leftChars="690"/>
        <w:rPr>
          <w:rFonts w:ascii="宋体" w:hAnsi="宋体"/>
          <w:color w:val="000000"/>
        </w:rPr>
      </w:pPr>
      <w:r>
        <w:rPr>
          <w:rFonts w:hint="eastAsia" w:ascii="宋体" w:hAnsi="宋体"/>
          <w:color w:val="000000"/>
        </w:rPr>
        <w:t>⑶工程师提出变更建议，必要时应经设计人同意并提交相应变更设计，报发包人同意；</w:t>
      </w:r>
    </w:p>
    <w:p>
      <w:pPr>
        <w:tabs>
          <w:tab w:val="left" w:pos="1620"/>
          <w:tab w:val="left" w:pos="2340"/>
        </w:tabs>
        <w:ind w:left="1449" w:leftChars="690"/>
        <w:rPr>
          <w:rFonts w:ascii="宋体" w:hAnsi="宋体"/>
          <w:color w:val="000000"/>
        </w:rPr>
      </w:pPr>
      <w:r>
        <w:rPr>
          <w:rFonts w:hint="eastAsia" w:ascii="宋体" w:hAnsi="宋体"/>
          <w:color w:val="000000"/>
        </w:rPr>
        <w:t>⑷承包人提出变更建议，必要时应经设计人同意并提交相应变更设计，经工程师审核并报发包人同意；</w:t>
      </w:r>
    </w:p>
    <w:p>
      <w:pPr>
        <w:tabs>
          <w:tab w:val="left" w:pos="1620"/>
          <w:tab w:val="left" w:pos="2340"/>
        </w:tabs>
        <w:ind w:left="1453" w:leftChars="675" w:hanging="35" w:hangingChars="17"/>
        <w:rPr>
          <w:rFonts w:ascii="宋体" w:hAnsi="宋体"/>
          <w:color w:val="000000"/>
        </w:rPr>
      </w:pPr>
      <w:r>
        <w:rPr>
          <w:rFonts w:hint="eastAsia" w:ascii="宋体" w:hAnsi="宋体"/>
          <w:color w:val="000000"/>
        </w:rPr>
        <w:t>以上变更建议涉及到结构、外墙等影响本工程及公众安全的，必须经设计人同意并提交相应变更设计。</w:t>
      </w:r>
    </w:p>
    <w:p>
      <w:pPr>
        <w:tabs>
          <w:tab w:val="left" w:pos="1620"/>
          <w:tab w:val="left" w:pos="2340"/>
        </w:tabs>
        <w:ind w:left="1453" w:leftChars="675" w:hanging="35" w:hangingChars="17"/>
        <w:rPr>
          <w:rFonts w:ascii="宋体" w:hAnsi="宋体"/>
          <w:color w:val="000000"/>
        </w:rPr>
      </w:pPr>
      <w:r>
        <w:rPr>
          <w:rFonts w:hint="eastAsia" w:ascii="宋体" w:hAnsi="宋体"/>
          <w:color w:val="000000"/>
        </w:rPr>
        <w:t>以上变更超过原设计标准或批准的建设规模需要有关部门审批时，发包人应报规划管理部门和其他有关部门重新审查批准，并提供由设计人出具的相应变更设计图纸和说明。</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80" w:name="_Toc34909106"/>
      <w:r>
        <mc:AlternateContent>
          <mc:Choice Requires="wps">
            <w:drawing>
              <wp:anchor distT="0" distB="0" distL="114300" distR="114300" simplePos="0" relativeHeight="251770880" behindDoc="0" locked="0" layoutInCell="1" allowOverlap="1">
                <wp:simplePos x="0" y="0"/>
                <wp:positionH relativeFrom="column">
                  <wp:posOffset>9525</wp:posOffset>
                </wp:positionH>
                <wp:positionV relativeFrom="paragraph">
                  <wp:posOffset>173355</wp:posOffset>
                </wp:positionV>
                <wp:extent cx="457200" cy="177800"/>
                <wp:effectExtent l="0" t="1905" r="0" b="1270"/>
                <wp:wrapNone/>
                <wp:docPr id="84"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457200" cy="1778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建议书</w:t>
                            </w:r>
                          </w:p>
                        </w:txbxContent>
                      </wps:txbx>
                      <wps:bodyPr rot="0" vert="horz" wrap="square" lIns="0" tIns="18000" rIns="0" bIns="0" anchor="t" anchorCtr="0" upright="1">
                        <a:noAutofit/>
                      </wps:bodyPr>
                    </wps:wsp>
                  </a:graphicData>
                </a:graphic>
              </wp:anchor>
            </w:drawing>
          </mc:Choice>
          <mc:Fallback>
            <w:pict>
              <v:shape id="文本框 83" o:spid="_x0000_s1026" o:spt="202" type="#_x0000_t202" style="position:absolute;left:0pt;margin-left:0.75pt;margin-top:13.65pt;height:14pt;width:36pt;z-index:251770880;mso-width-relative:page;mso-height-relative:page;" fillcolor="#FFFFFF" filled="t" stroked="f" coordsize="21600,21600" o:gfxdata="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5zBeLV&#10;AAAABgEAAA8AAAAAAAAAAQAgAAAAIgAAAGRycy9kb3ducmV2LnhtbFBLAQIUABQAAAAIAIdO4kDz&#10;o42iIwIAADMEAAAOAAAAAAAAAAEAIAAAACQBAABkcnMvZTJvRG9jLnhtbFBLBQYAAAAABgAGAFkB&#10;AAC5BQ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建议书</w:t>
                      </w:r>
                    </w:p>
                  </w:txbxContent>
                </v:textbox>
              </v:shape>
            </w:pict>
          </mc:Fallback>
        </mc:AlternateContent>
      </w:r>
      <w:r>
        <w:rPr>
          <w:rFonts w:hint="eastAsia" w:ascii="宋体" w:hAnsi="宋体"/>
          <w:b w:val="0"/>
          <w:color w:val="000000"/>
          <w:sz w:val="21"/>
        </w:rPr>
        <w:t>如工程师在发出变更指令前要求承包人提出一份有关该项变更的建议书，承包人应在7天内(尽快)做出书面回应，并在建议书中说明该项变更可能对本工程造成的影响。</w:t>
      </w:r>
      <w:bookmarkEnd w:id="280"/>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81" w:name="_Toc34909107"/>
      <w:r>
        <mc:AlternateContent>
          <mc:Choice Requires="wps">
            <w:drawing>
              <wp:anchor distT="0" distB="0" distL="114300" distR="114300" simplePos="0" relativeHeight="251771904" behindDoc="0" locked="0" layoutInCell="1" allowOverlap="1">
                <wp:simplePos x="0" y="0"/>
                <wp:positionH relativeFrom="column">
                  <wp:posOffset>0</wp:posOffset>
                </wp:positionH>
                <wp:positionV relativeFrom="paragraph">
                  <wp:posOffset>171450</wp:posOffset>
                </wp:positionV>
                <wp:extent cx="571500" cy="252730"/>
                <wp:effectExtent l="0" t="0" r="0" b="4445"/>
                <wp:wrapNone/>
                <wp:docPr id="83"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571500" cy="25273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进行变更</w:t>
                            </w:r>
                          </w:p>
                        </w:txbxContent>
                      </wps:txbx>
                      <wps:bodyPr rot="0" vert="horz" wrap="square" lIns="0" tIns="0" rIns="0" bIns="0" anchor="t" anchorCtr="0" upright="1">
                        <a:noAutofit/>
                      </wps:bodyPr>
                    </wps:wsp>
                  </a:graphicData>
                </a:graphic>
              </wp:anchor>
            </w:drawing>
          </mc:Choice>
          <mc:Fallback>
            <w:pict>
              <v:shape id="文本框 82" o:spid="_x0000_s1026" o:spt="202" type="#_x0000_t202" style="position:absolute;left:0pt;margin-left:0pt;margin-top:13.5pt;height:19.9pt;width:45pt;z-index:251771904;mso-width-relative:page;mso-height-relative:page;" fillcolor="#FFFFFF" filled="t" stroked="f" coordsize="21600,21600" o:gfxdata="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DQVOv1AAA&#10;AAUBAAAPAAAAAAAAAAEAIAAAACIAAABkcnMvZG93bnJldi54bWxQSwECFAAUAAAACACHTuJAm6Dp&#10;OyICAAAv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进行变更</w:t>
                      </w:r>
                    </w:p>
                  </w:txbxContent>
                </v:textbox>
              </v:shape>
            </w:pict>
          </mc:Fallback>
        </mc:AlternateContent>
      </w:r>
      <w:r>
        <w:rPr>
          <w:rFonts w:hint="eastAsia" w:ascii="宋体" w:hAnsi="宋体"/>
          <w:b w:val="0"/>
          <w:color w:val="000000"/>
          <w:sz w:val="21"/>
        </w:rPr>
        <w:t>承包人应按工程师发出的变更指令，进行工程变更工作。</w:t>
      </w:r>
      <w:bookmarkEnd w:id="281"/>
      <w:r>
        <w:rPr>
          <w:rFonts w:hint="eastAsia" w:ascii="宋体" w:hAnsi="宋体"/>
          <w:b w:val="0"/>
          <w:color w:val="000000"/>
          <w:sz w:val="21"/>
        </w:rPr>
        <w:t>没有工程师的指令，承包人不得对本工程进行任何变更。任何工程变更均不应以任何方式使合同作废或无效，所有这类变更的结果应该根据第33条有关约定进行估价。</w:t>
      </w:r>
    </w:p>
    <w:p>
      <w:pPr>
        <w:pStyle w:val="3"/>
        <w:numPr>
          <w:ilvl w:val="1"/>
          <w:numId w:val="1"/>
        </w:numPr>
        <w:tabs>
          <w:tab w:val="left" w:pos="1620"/>
          <w:tab w:val="left" w:pos="2016"/>
          <w:tab w:val="left" w:pos="2340"/>
          <w:tab w:val="clear" w:pos="1711"/>
        </w:tabs>
        <w:spacing w:after="0"/>
        <w:ind w:left="1523" w:leftChars="450" w:hanging="578"/>
        <w:jc w:val="both"/>
        <w:rPr>
          <w:rFonts w:ascii="宋体" w:hAnsi="宋体"/>
          <w:b w:val="0"/>
          <w:color w:val="000000"/>
          <w:sz w:val="21"/>
        </w:rPr>
      </w:pPr>
      <w:bookmarkStart w:id="282" w:name="_Toc34909108"/>
      <w: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180975</wp:posOffset>
                </wp:positionV>
                <wp:extent cx="571500" cy="181610"/>
                <wp:effectExtent l="0" t="0" r="0" b="0"/>
                <wp:wrapNone/>
                <wp:docPr id="82"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571500" cy="18161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其他变更</w:t>
                            </w:r>
                          </w:p>
                        </w:txbxContent>
                      </wps:txbx>
                      <wps:bodyPr rot="0" vert="horz" wrap="square" lIns="0" tIns="0" rIns="0" bIns="0" anchor="t" anchorCtr="0" upright="1">
                        <a:noAutofit/>
                      </wps:bodyPr>
                    </wps:wsp>
                  </a:graphicData>
                </a:graphic>
              </wp:anchor>
            </w:drawing>
          </mc:Choice>
          <mc:Fallback>
            <w:pict>
              <v:shape id="文本框 81" o:spid="_x0000_s1026" o:spt="202" type="#_x0000_t202" style="position:absolute;left:0pt;margin-left:0pt;margin-top:14.25pt;height:14.3pt;width:45pt;z-index:251772928;mso-width-relative:page;mso-height-relative:page;" fillcolor="#FFFFFF" filled="t" stroked="f" coordsize="21600,21600" o:gfxdata="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rN9BNUA&#10;AAAFAQAADwAAAAAAAAABACAAAAAiAAAAZHJzL2Rvd25yZXYueG1sUEsBAhQAFAAAAAgAh07iQIpg&#10;LK0iAgAALwQAAA4AAAAAAAAAAQAgAAAAJA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其他变更</w:t>
                      </w:r>
                    </w:p>
                  </w:txbxContent>
                </v:textbox>
              </v:shape>
            </w:pict>
          </mc:Fallback>
        </mc:AlternateContent>
      </w:r>
      <w:r>
        <w:rPr>
          <w:rFonts w:hint="eastAsia" w:ascii="宋体" w:hAnsi="宋体"/>
          <w:b w:val="0"/>
          <w:color w:val="000000"/>
          <w:sz w:val="21"/>
        </w:rPr>
        <w:t>如任何工程量的增减并非执行工程师发出指令的结果，而是由于其工程量超过或少于工程量清单中开列的数量，则该项增减不需任何指令。</w:t>
      </w:r>
    </w:p>
    <w:p>
      <w:pPr>
        <w:tabs>
          <w:tab w:val="left" w:pos="1620"/>
          <w:tab w:val="left" w:pos="2340"/>
        </w:tabs>
        <w:ind w:left="1453" w:leftChars="675" w:hanging="35" w:hangingChars="17"/>
        <w:rPr>
          <w:rFonts w:ascii="宋体" w:hAnsi="宋体"/>
          <w:color w:val="000000"/>
        </w:rPr>
      </w:pPr>
      <w:r>
        <w:rPr>
          <w:rFonts w:hint="eastAsia" w:ascii="宋体" w:hAnsi="宋体"/>
          <w:color w:val="000000"/>
        </w:rPr>
        <w:t>如承包人为了便于组织施工，或为了施工安全、避免干扰等原因需采取相应的技术措施而提出的局部变更设计，除须得到工程师的批准外，由此而增加的费用由承包人自行负担。因承包人擅自变更设计发生的费用和由此导致发包人的直接损失，由承包人承担，延误的工期不予顺延。</w:t>
      </w:r>
    </w:p>
    <w:p>
      <w:pPr>
        <w:tabs>
          <w:tab w:val="left" w:pos="1620"/>
          <w:tab w:val="left" w:pos="2340"/>
        </w:tabs>
        <w:ind w:left="1453" w:leftChars="675" w:hanging="35" w:hangingChars="17"/>
        <w:rPr>
          <w:rFonts w:ascii="宋体" w:hAnsi="宋体"/>
          <w:color w:val="000000"/>
        </w:rPr>
      </w:pPr>
      <w:r>
        <w:rPr>
          <w:rFonts w:hint="eastAsia" w:ascii="宋体" w:hAnsi="宋体"/>
          <w:color w:val="000000"/>
        </w:rPr>
        <w:t>如发出本工程变更指令是因为承包人过错、承包人违反合同等造成的，则由此引起的任何额外费用由承包人承担。</w:t>
      </w:r>
      <w:bookmarkEnd w:id="282"/>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83" w:name="_Toc34909109"/>
      <w:r>
        <mc:AlternateContent>
          <mc:Choice Requires="wps">
            <w:drawing>
              <wp:anchor distT="0" distB="0" distL="114300" distR="114300" simplePos="0" relativeHeight="251773952" behindDoc="0" locked="0" layoutInCell="1" allowOverlap="1">
                <wp:simplePos x="0" y="0"/>
                <wp:positionH relativeFrom="column">
                  <wp:posOffset>0</wp:posOffset>
                </wp:positionH>
                <wp:positionV relativeFrom="paragraph">
                  <wp:posOffset>109855</wp:posOffset>
                </wp:positionV>
                <wp:extent cx="571500" cy="342900"/>
                <wp:effectExtent l="0" t="0" r="0" b="4445"/>
                <wp:wrapNone/>
                <wp:docPr id="81"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价值工程</w:t>
                            </w:r>
                          </w:p>
                        </w:txbxContent>
                      </wps:txbx>
                      <wps:bodyPr rot="0" vert="horz" wrap="square" lIns="0" tIns="36000" rIns="0" bIns="0" anchor="t" anchorCtr="0" upright="1">
                        <a:noAutofit/>
                      </wps:bodyPr>
                    </wps:wsp>
                  </a:graphicData>
                </a:graphic>
              </wp:anchor>
            </w:drawing>
          </mc:Choice>
          <mc:Fallback>
            <w:pict>
              <v:shape id="文本框 80" o:spid="_x0000_s1026" o:spt="202" type="#_x0000_t202" style="position:absolute;left:0pt;margin-left:0pt;margin-top:8.65pt;height:27pt;width:45pt;z-index:251773952;mso-width-relative:page;mso-height-relative:page;" fillcolor="#FFFFFF" filled="t" stroked="f" coordsize="21600,21600" o:gfxdata="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8M1lw&#10;0wAAAAUBAAAPAAAAAAAAAAEAIAAAACIAAABkcnMvZG93bnJldi54bWxQSwECFAAUAAAACACHTuJA&#10;gChJuSYCAAAzBAAADgAAAAAAAAABACAAAAAiAQAAZHJzL2Uyb0RvYy54bWxQSwUGAAAAAAYABgBZ&#10;AQAAugU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价值工程</w:t>
                      </w:r>
                    </w:p>
                  </w:txbxContent>
                </v:textbox>
              </v:shape>
            </w:pict>
          </mc:Fallback>
        </mc:AlternateContent>
      </w:r>
      <w:r>
        <w:rPr>
          <w:rFonts w:hint="eastAsia" w:ascii="宋体" w:hAnsi="宋体"/>
          <w:b w:val="0"/>
          <w:color w:val="000000"/>
          <w:sz w:val="21"/>
        </w:rPr>
        <w:t>施工中承包人可随时提出其认为可满足下列要求的合理化建议：</w:t>
      </w:r>
    </w:p>
    <w:p>
      <w:pPr>
        <w:tabs>
          <w:tab w:val="left" w:pos="1620"/>
          <w:tab w:val="left" w:pos="2340"/>
        </w:tabs>
        <w:ind w:left="1449" w:leftChars="690"/>
        <w:rPr>
          <w:rFonts w:ascii="宋体" w:hAnsi="宋体"/>
          <w:color w:val="000000"/>
        </w:rPr>
      </w:pPr>
      <w:r>
        <w:rPr>
          <w:rFonts w:hint="eastAsia" w:ascii="宋体" w:hAnsi="宋体"/>
          <w:color w:val="000000"/>
        </w:rPr>
        <w:t>(1)加快竣工；</w:t>
      </w:r>
    </w:p>
    <w:p>
      <w:pPr>
        <w:tabs>
          <w:tab w:val="left" w:pos="1620"/>
          <w:tab w:val="left" w:pos="2340"/>
        </w:tabs>
        <w:ind w:left="1449" w:leftChars="690"/>
        <w:rPr>
          <w:rFonts w:ascii="宋体" w:hAnsi="宋体"/>
          <w:color w:val="000000"/>
        </w:rPr>
      </w:pPr>
      <w:r>
        <w:rPr>
          <w:rFonts w:hint="eastAsia" w:ascii="宋体" w:hAnsi="宋体"/>
          <w:color w:val="000000"/>
        </w:rPr>
        <w:t>(2)降低发包人的工程施工、维护或运行的费用；</w:t>
      </w:r>
    </w:p>
    <w:p>
      <w:pPr>
        <w:tabs>
          <w:tab w:val="left" w:pos="1620"/>
          <w:tab w:val="left" w:pos="2340"/>
        </w:tabs>
        <w:ind w:left="1449" w:leftChars="690"/>
        <w:rPr>
          <w:rFonts w:ascii="宋体" w:hAnsi="宋体"/>
          <w:color w:val="000000"/>
        </w:rPr>
      </w:pPr>
      <w:r>
        <w:rPr>
          <w:rFonts w:hint="eastAsia" w:ascii="宋体" w:hAnsi="宋体"/>
          <w:color w:val="000000"/>
        </w:rPr>
        <w:t>(3)提高发包人工程的价值；</w:t>
      </w:r>
    </w:p>
    <w:p>
      <w:pPr>
        <w:tabs>
          <w:tab w:val="left" w:pos="1620"/>
          <w:tab w:val="left" w:pos="2340"/>
        </w:tabs>
        <w:ind w:left="1449" w:leftChars="690"/>
        <w:rPr>
          <w:rFonts w:ascii="宋体" w:hAnsi="宋体"/>
          <w:color w:val="000000"/>
        </w:rPr>
      </w:pPr>
      <w:r>
        <w:rPr>
          <w:rFonts w:hint="eastAsia" w:ascii="宋体" w:hAnsi="宋体"/>
          <w:color w:val="000000"/>
        </w:rPr>
        <w:t>(4)为发包人带来其它利益。</w:t>
      </w:r>
    </w:p>
    <w:p>
      <w:pPr>
        <w:tabs>
          <w:tab w:val="left" w:pos="1620"/>
          <w:tab w:val="left" w:pos="2340"/>
        </w:tabs>
        <w:ind w:left="1453" w:leftChars="675" w:hanging="35" w:hangingChars="17"/>
        <w:rPr>
          <w:rFonts w:ascii="宋体" w:hAnsi="宋体"/>
          <w:color w:val="000000"/>
        </w:rPr>
      </w:pPr>
      <w:r>
        <w:rPr>
          <w:rFonts w:hint="eastAsia" w:ascii="宋体" w:hAnsi="宋体"/>
          <w:color w:val="000000"/>
        </w:rPr>
        <w:t>该合理化建议应按照32.3款提出对建议完成的工作的说明及相应进度计划，应根据竣工时间及进度计划的要求对进度计划作出必要的修改，并说明该建议对工程造价的影响。</w:t>
      </w:r>
    </w:p>
    <w:p>
      <w:pPr>
        <w:tabs>
          <w:tab w:val="left" w:pos="1620"/>
          <w:tab w:val="left" w:pos="2340"/>
        </w:tabs>
        <w:ind w:left="1453" w:leftChars="675" w:hanging="35" w:hangingChars="17"/>
        <w:rPr>
          <w:rFonts w:ascii="宋体" w:hAnsi="宋体"/>
          <w:color w:val="000000"/>
        </w:rPr>
      </w:pPr>
      <w:r>
        <mc:AlternateContent>
          <mc:Choice Requires="wps">
            <w:drawing>
              <wp:anchor distT="0" distB="0" distL="114300" distR="114300" simplePos="0" relativeHeight="251900928" behindDoc="0" locked="0" layoutInCell="1" allowOverlap="1">
                <wp:simplePos x="0" y="0"/>
                <wp:positionH relativeFrom="column">
                  <wp:posOffset>-127635</wp:posOffset>
                </wp:positionH>
                <wp:positionV relativeFrom="paragraph">
                  <wp:posOffset>1099185</wp:posOffset>
                </wp:positionV>
                <wp:extent cx="699135" cy="553085"/>
                <wp:effectExtent l="0" t="3810" r="0" b="0"/>
                <wp:wrapNone/>
                <wp:docPr id="80"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699135" cy="553085"/>
                        </a:xfrm>
                        <a:prstGeom prst="rect">
                          <a:avLst/>
                        </a:prstGeom>
                        <a:solidFill>
                          <a:srgbClr val="FFFFFF"/>
                        </a:solidFill>
                        <a:ln>
                          <a:noFill/>
                        </a:ln>
                      </wps:spPr>
                      <wps:txbx>
                        <w:txbxContent>
                          <w:p>
                            <w:pPr>
                              <w:rPr>
                                <w:rFonts w:ascii="楷体_GB2312" w:eastAsia="楷体_GB2312"/>
                              </w:rPr>
                            </w:pPr>
                          </w:p>
                        </w:txbxContent>
                      </wps:txbx>
                      <wps:bodyPr rot="0" vert="horz" wrap="square" lIns="0" tIns="36000" rIns="0" bIns="0" anchor="t" anchorCtr="0" upright="1">
                        <a:noAutofit/>
                      </wps:bodyPr>
                    </wps:wsp>
                  </a:graphicData>
                </a:graphic>
              </wp:anchor>
            </w:drawing>
          </mc:Choice>
          <mc:Fallback>
            <w:pict>
              <v:shape id="文本框 79" o:spid="_x0000_s1026" o:spt="202" type="#_x0000_t202" style="position:absolute;left:0pt;margin-left:-10.05pt;margin-top:86.55pt;height:43.55pt;width:55.05pt;z-index:251900928;mso-width-relative:page;mso-height-relative:page;" fillcolor="#FFFFFF" filled="t" stroked="f" coordsize="21600,21600" o:gfxdata="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wRlDtgAAAAKAQAADwAAAAAAAAABACAAAAAiAAAAZHJzL2Rvd25yZXYueG1sUEsBAhQAFAAA&#10;AAgAh07iQErMZAYoAgAAMwQAAA4AAAAAAAAAAQAgAAAAJwEAAGRycy9lMm9Eb2MueG1sUEsFBgAA&#10;AAAGAAYAWQEAAMEFAAAAAA==&#10;">
                <v:fill on="t" focussize="0,0"/>
                <v:stroke on="f"/>
                <v:imagedata o:title=""/>
                <o:lock v:ext="edit" aspectratio="f"/>
                <v:textbox inset="0mm,1mm,0mm,0mm">
                  <w:txbxContent>
                    <w:p>
                      <w:pPr>
                        <w:rPr>
                          <w:rFonts w:ascii="楷体_GB2312" w:eastAsia="楷体_GB2312"/>
                        </w:rPr>
                      </w:pPr>
                    </w:p>
                  </w:txbxContent>
                </v:textbox>
              </v:shape>
            </w:pict>
          </mc:Fallback>
        </mc:AlternateContent>
      </w:r>
      <w:r>
        <w:rPr>
          <w:rFonts w:hint="eastAsia" w:ascii="宋体" w:hAnsi="宋体"/>
          <w:color w:val="000000"/>
        </w:rPr>
        <w:t>工程师收到此类建议后，应尽快提出针对性的回复，在此期间，承包商应继续按照承包商的责任进行相应工作。若该合理化建议涉及到对设计图纸或施工组织设计的更改及对材料、设备的换用，须经工程师审查并报经发包人批准。未经批准擅自更改或换用时，承包人承担由此发生的费用，并赔偿发包人的有关损失，延误的工期不予顺延。若发包人同意采用承包人合理化建议，所发生的费用和获得的收益，发包人和承包人另行约定分担或分享。</w:t>
      </w:r>
      <w:bookmarkEnd w:id="283"/>
    </w:p>
    <w:p>
      <w:pPr>
        <w:tabs>
          <w:tab w:val="left" w:pos="1620"/>
          <w:tab w:val="left" w:pos="2340"/>
        </w:tabs>
        <w:ind w:left="1453" w:leftChars="675" w:hanging="35" w:hangingChars="17"/>
        <w:rPr>
          <w:rFonts w:ascii="宋体" w:hAnsi="宋体"/>
          <w:color w:val="000000"/>
        </w:rPr>
      </w:pPr>
    </w:p>
    <w:p>
      <w:pPr>
        <w:pStyle w:val="2"/>
        <w:keepLines w:val="0"/>
        <w:tabs>
          <w:tab w:val="left" w:pos="1620"/>
          <w:tab w:val="left" w:pos="2340"/>
        </w:tabs>
        <w:spacing w:after="360"/>
        <w:ind w:left="1376" w:leftChars="450" w:hanging="431"/>
        <w:rPr>
          <w:rFonts w:hAnsi="宋体"/>
          <w:color w:val="000000"/>
          <w:sz w:val="28"/>
          <w:szCs w:val="28"/>
        </w:rPr>
      </w:pPr>
      <w:bookmarkStart w:id="284" w:name="_Toc35656494"/>
      <w:bookmarkStart w:id="285" w:name="_Toc35656996"/>
      <w:bookmarkStart w:id="286" w:name="_Toc34909110"/>
      <w:r>
        <w:rPr>
          <w:rFonts w:hint="eastAsia" w:hAnsi="宋体"/>
          <w:color w:val="000000"/>
          <w:sz w:val="28"/>
          <w:szCs w:val="28"/>
        </w:rPr>
        <w:t>变更价款确定</w:t>
      </w:r>
      <w:bookmarkEnd w:id="284"/>
      <w:bookmarkEnd w:id="285"/>
      <w:bookmarkEnd w:id="28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87" w:name="_Toc34909112"/>
      <w:bookmarkStart w:id="288" w:name="_Toc34909111"/>
      <w:r>
        <mc:AlternateContent>
          <mc:Choice Requires="wps">
            <w:drawing>
              <wp:anchor distT="0" distB="0" distL="114300" distR="114300" simplePos="0" relativeHeight="251860992" behindDoc="0" locked="0" layoutInCell="1" allowOverlap="1">
                <wp:simplePos x="0" y="0"/>
                <wp:positionH relativeFrom="column">
                  <wp:posOffset>-104775</wp:posOffset>
                </wp:positionH>
                <wp:positionV relativeFrom="paragraph">
                  <wp:posOffset>17145</wp:posOffset>
                </wp:positionV>
                <wp:extent cx="571500" cy="571500"/>
                <wp:effectExtent l="0" t="0" r="0" b="1905"/>
                <wp:wrapNone/>
                <wp:docPr id="79"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变更价款的确定方法</w:t>
                            </w:r>
                          </w:p>
                        </w:txbxContent>
                      </wps:txbx>
                      <wps:bodyPr rot="0" vert="horz" wrap="square" lIns="0" tIns="36000" rIns="0" bIns="0" anchor="t" anchorCtr="0" upright="1">
                        <a:noAutofit/>
                      </wps:bodyPr>
                    </wps:wsp>
                  </a:graphicData>
                </a:graphic>
              </wp:anchor>
            </w:drawing>
          </mc:Choice>
          <mc:Fallback>
            <w:pict>
              <v:shape id="文本框 78" o:spid="_x0000_s1026" o:spt="202" type="#_x0000_t202" style="position:absolute;left:0pt;margin-left:-8.25pt;margin-top:1.35pt;height:45pt;width:45pt;z-index:251860992;mso-width-relative:page;mso-height-relative:page;" fillcolor="#FFFFFF" filled="t" stroked="f" coordsize="21600,21600" o:gfxdata="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q5qV1QAA&#10;AAcBAAAPAAAAAAAAAAEAIAAAACIAAABkcnMvZG93bnJldi54bWxQSwECFAAUAAAACACHTuJANLY3&#10;dSECAAAzBAAADgAAAAAAAAABACAAAAAkAQAAZHJzL2Uyb0RvYy54bWxQSwUGAAAAAAYABgBZAQAA&#10;twU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变更价款的确定方法</w:t>
                      </w:r>
                    </w:p>
                  </w:txbxContent>
                </v:textbox>
              </v:shape>
            </w:pict>
          </mc:Fallback>
        </mc:AlternateContent>
      </w:r>
      <w:r>
        <w:rPr>
          <w:rFonts w:hint="eastAsia" w:ascii="宋体" w:hAnsi="宋体"/>
          <w:b w:val="0"/>
          <w:color w:val="000000"/>
          <w:sz w:val="21"/>
        </w:rPr>
        <w:t>变更价款按下列方法确定：</w:t>
      </w:r>
      <w:bookmarkEnd w:id="287"/>
    </w:p>
    <w:p>
      <w:pPr>
        <w:tabs>
          <w:tab w:val="left" w:pos="1620"/>
          <w:tab w:val="left" w:pos="2340"/>
        </w:tabs>
        <w:ind w:left="1449" w:leftChars="690"/>
        <w:rPr>
          <w:rFonts w:ascii="宋体" w:hAnsi="宋体"/>
          <w:color w:val="000000"/>
        </w:rPr>
      </w:pPr>
      <w:r>
        <w:rPr>
          <w:rFonts w:hint="eastAsia" w:ascii="宋体" w:hAnsi="宋体"/>
          <w:color w:val="000000"/>
        </w:rPr>
        <w:t>⑴合同中已有适用于变更工程的项目单价，按合同已有的项目单价确定变更价款。</w:t>
      </w:r>
    </w:p>
    <w:p>
      <w:pPr>
        <w:tabs>
          <w:tab w:val="left" w:pos="1620"/>
          <w:tab w:val="left" w:pos="2340"/>
        </w:tabs>
        <w:ind w:left="1449" w:leftChars="690"/>
        <w:rPr>
          <w:rFonts w:ascii="宋体" w:hAnsi="宋体"/>
          <w:color w:val="000000"/>
        </w:rPr>
      </w:pPr>
      <w:r>
        <w:rPr>
          <w:rFonts w:hint="eastAsia" w:ascii="宋体" w:hAnsi="宋体"/>
          <w:color w:val="000000"/>
        </w:rPr>
        <w:t>⑵合同中只有类似于变更工程的项目单价，可以参照类似项目单价确定变更价款。</w:t>
      </w:r>
    </w:p>
    <w:p>
      <w:pPr>
        <w:tabs>
          <w:tab w:val="left" w:pos="1620"/>
          <w:tab w:val="left" w:pos="2340"/>
        </w:tabs>
        <w:ind w:left="1449" w:leftChars="690"/>
        <w:rPr>
          <w:rFonts w:ascii="宋体" w:hAnsi="宋体"/>
          <w:color w:val="000000"/>
        </w:rPr>
      </w:pPr>
      <w:r>
        <w:rPr>
          <w:rFonts w:hint="eastAsia" w:ascii="宋体" w:hAnsi="宋体"/>
          <w:color w:val="000000"/>
        </w:rPr>
        <w:t>⑶合同中没有适用或类似于变更工程的项目单价，由发包人和承包人根据工程变更资料、工程造价管理部门发布的计价标准、价格信息及本工程净下浮率等资料在专用条款中约定变更价款的确定方法。</w:t>
      </w:r>
    </w:p>
    <w:p>
      <w:pPr>
        <w:tabs>
          <w:tab w:val="left" w:pos="1620"/>
          <w:tab w:val="left" w:pos="2340"/>
        </w:tabs>
        <w:ind w:left="1449" w:leftChars="690"/>
        <w:rPr>
          <w:rFonts w:ascii="宋体" w:hAnsi="宋体"/>
          <w:color w:val="000000"/>
        </w:rPr>
      </w:pPr>
      <w:r>
        <w:rPr>
          <w:rFonts w:hint="eastAsia" w:hAnsi="宋体"/>
          <w:color w:val="000000"/>
        </w:rPr>
        <w:t>⑷</w:t>
      </w:r>
      <w:r>
        <w:rPr>
          <w:rFonts w:hint="eastAsia" w:ascii="宋体" w:hAnsi="宋体"/>
          <w:color w:val="000000"/>
        </w:rPr>
        <w:t>当变更工程的工程量增减超过工程量清单中的工程量15%或发包人承包人在专用条款中约定的幅度时，由发包人和承包人根据工程变更资料、工程造价管理部门发布的计价标准、价格信息及本工程净下浮率或上年度同类工程平均下浮率（取二者下降幅度小者）等资料，对增加部分或减少后剩余部分工程量的项目单价在专用条款中约定变更价款的确定方法。</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79424" behindDoc="0" locked="0" layoutInCell="1" allowOverlap="1">
                <wp:simplePos x="0" y="0"/>
                <wp:positionH relativeFrom="column">
                  <wp:posOffset>0</wp:posOffset>
                </wp:positionH>
                <wp:positionV relativeFrom="paragraph">
                  <wp:posOffset>181610</wp:posOffset>
                </wp:positionV>
                <wp:extent cx="571500" cy="571500"/>
                <wp:effectExtent l="0" t="635" r="0" b="0"/>
                <wp:wrapNone/>
                <wp:docPr id="78"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变更价款的确定程序</w:t>
                            </w:r>
                          </w:p>
                        </w:txbxContent>
                      </wps:txbx>
                      <wps:bodyPr rot="0" vert="horz" wrap="square" lIns="0" tIns="0" rIns="0" bIns="0" anchor="t" anchorCtr="0" upright="1">
                        <a:noAutofit/>
                      </wps:bodyPr>
                    </wps:wsp>
                  </a:graphicData>
                </a:graphic>
              </wp:anchor>
            </w:drawing>
          </mc:Choice>
          <mc:Fallback>
            <w:pict>
              <v:shape id="文本框 77" o:spid="_x0000_s1026" o:spt="202" type="#_x0000_t202" style="position:absolute;left:0pt;margin-left:0pt;margin-top:14.3pt;height:45pt;width:45pt;z-index:251879424;mso-width-relative:page;mso-height-relative:page;" fillcolor="#FFFFFF" filled="t" stroked="f" coordsize="21600,21600" o:gfxdata="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z99zUAAAABgEAAA8A&#10;AAAAAAAAAQAgAAAAIgAAAGRycy9kb3ducmV2LnhtbFBLAQIUABQAAAAIAIdO4kARHx++GwIAAC8E&#10;AAAOAAAAAAAAAAEAIAAAACMBAABkcnMvZTJvRG9jLnhtbFBLBQYAAAAABgAGAFkBAACw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变更价款的确定程序</w:t>
                      </w:r>
                    </w:p>
                  </w:txbxContent>
                </v:textbox>
              </v:shape>
            </w:pict>
          </mc:Fallback>
        </mc:AlternateContent>
      </w:r>
      <w:r>
        <w:rPr>
          <w:rFonts w:hint="eastAsia" w:ascii="宋体" w:hAnsi="宋体"/>
          <w:b w:val="0"/>
          <w:color w:val="000000"/>
          <w:sz w:val="21"/>
        </w:rPr>
        <w:t>变更价款的确定应按以下程序进行：</w:t>
      </w:r>
    </w:p>
    <w:p>
      <w:pPr>
        <w:tabs>
          <w:tab w:val="left" w:pos="1620"/>
          <w:tab w:val="left" w:pos="2340"/>
        </w:tabs>
        <w:ind w:left="1656"/>
        <w:rPr>
          <w:rFonts w:ascii="宋体" w:hAnsi="宋体"/>
          <w:color w:val="000000"/>
        </w:rPr>
      </w:pPr>
      <w:r>
        <w:rPr>
          <w:rFonts w:hint="eastAsia" w:ascii="宋体" w:hAnsi="宋体"/>
          <w:color w:val="000000"/>
        </w:rPr>
        <w:t>⑴承包人应在收到工程变更指令后14天内将变更工程价款和(或)顺延工期报告提交给工程师，工程师应及时予以确认，并报发包人批准。</w:t>
      </w:r>
    </w:p>
    <w:p>
      <w:pPr>
        <w:tabs>
          <w:tab w:val="left" w:pos="1620"/>
          <w:tab w:val="left" w:pos="2340"/>
        </w:tabs>
        <w:ind w:left="1656"/>
        <w:rPr>
          <w:rFonts w:ascii="宋体" w:hAnsi="宋体"/>
          <w:color w:val="000000"/>
        </w:rPr>
      </w:pPr>
      <w:r>
        <w:rPr>
          <w:rFonts w:hint="eastAsia" w:ascii="宋体" w:hAnsi="宋体"/>
          <w:color w:val="000000"/>
        </w:rPr>
        <w:t>⑵承包人在收到工程变更指令后14天内不向工程师提出报告的，发包人可自行决定是否变更工程价款和(或)顺延工期。发包人应在发出变更指令28天内将不变更工程价款和(或)顺延工期的决定书面通知承包人；或将变更工程价款和(或)顺延工期报告提交给承包人确认。</w:t>
      </w:r>
    </w:p>
    <w:p>
      <w:pPr>
        <w:tabs>
          <w:tab w:val="left" w:pos="1620"/>
          <w:tab w:val="left" w:pos="2340"/>
        </w:tabs>
        <w:ind w:left="1449" w:leftChars="690"/>
        <w:rPr>
          <w:rFonts w:ascii="宋体" w:hAnsi="宋体"/>
          <w:color w:val="000000"/>
        </w:rPr>
      </w:pPr>
      <w:r>
        <w:rPr>
          <w:rFonts w:hint="eastAsia" w:ascii="宋体" w:hAnsi="宋体"/>
          <w:color w:val="000000"/>
        </w:rPr>
        <w:t>⑶工程变更指令发出后，发包人与承包人均未在约定时间内提出变更工程价款和(或)顺延工期报告的，视为该变更不涉及合同价款和(或)工期的调整。</w:t>
      </w:r>
    </w:p>
    <w:p>
      <w:pPr>
        <w:tabs>
          <w:tab w:val="left" w:pos="1620"/>
          <w:tab w:val="left" w:pos="2340"/>
        </w:tabs>
        <w:ind w:left="1449" w:leftChars="690"/>
        <w:rPr>
          <w:rFonts w:ascii="宋体" w:hAnsi="宋体"/>
          <w:color w:val="000000"/>
        </w:rPr>
      </w:pPr>
      <w:r>
        <w:rPr>
          <w:rFonts w:hint="eastAsia" w:ascii="宋体" w:hAnsi="宋体"/>
          <w:color w:val="000000"/>
        </w:rPr>
        <w:t>⑷发包人与承包人可在专用条款中另行约定变更工程价款和(或)顺延工期报告发出和确认的时限。</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77376" behindDoc="0" locked="0" layoutInCell="1" allowOverlap="1">
                <wp:simplePos x="0" y="0"/>
                <wp:positionH relativeFrom="column">
                  <wp:posOffset>0</wp:posOffset>
                </wp:positionH>
                <wp:positionV relativeFrom="paragraph">
                  <wp:posOffset>179705</wp:posOffset>
                </wp:positionV>
                <wp:extent cx="571500" cy="342900"/>
                <wp:effectExtent l="0" t="0" r="0" b="1270"/>
                <wp:wrapNone/>
                <wp:docPr id="77"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变更价款争议处理</w:t>
                            </w:r>
                          </w:p>
                        </w:txbxContent>
                      </wps:txbx>
                      <wps:bodyPr rot="0" vert="horz" wrap="square" lIns="0" tIns="0" rIns="0" bIns="0" anchor="t" anchorCtr="0" upright="1">
                        <a:noAutofit/>
                      </wps:bodyPr>
                    </wps:wsp>
                  </a:graphicData>
                </a:graphic>
              </wp:anchor>
            </w:drawing>
          </mc:Choice>
          <mc:Fallback>
            <w:pict>
              <v:shape id="文本框 76" o:spid="_x0000_s1026" o:spt="202" type="#_x0000_t202" style="position:absolute;left:0pt;margin-left:0pt;margin-top:14.15pt;height:27pt;width:45pt;z-index:251877376;mso-width-relative:page;mso-height-relative:page;" fillcolor="#FFFFFF" filled="t" stroked="f" coordsize="21600,21600" o:gfxdata="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JFFP9QAAAAF&#10;AQAADwAAAAAAAAABACAAAAAiAAAAZHJzL2Rvd25yZXYueG1sUEsBAhQAFAAAAAgAh07iQFc/WRMg&#10;AgAALw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变更价款争议处理</w:t>
                      </w:r>
                    </w:p>
                  </w:txbxContent>
                </v:textbox>
              </v:shape>
            </w:pict>
          </mc:Fallback>
        </mc:AlternateContent>
      </w:r>
      <w:r>
        <w:rPr>
          <w:rFonts w:hint="eastAsia" w:ascii="宋体" w:hAnsi="宋体"/>
          <w:b w:val="0"/>
          <w:color w:val="000000"/>
          <w:sz w:val="21"/>
        </w:rPr>
        <w:t>发包人承包人对变更价款的确定经协商达不成一致意见时，按通用条款第38条关于争议或纠纷解决程序处理。</w:t>
      </w:r>
    </w:p>
    <w:bookmarkEnd w:id="288"/>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51776" behindDoc="0" locked="0" layoutInCell="1" allowOverlap="1">
                <wp:simplePos x="0" y="0"/>
                <wp:positionH relativeFrom="column">
                  <wp:posOffset>20320</wp:posOffset>
                </wp:positionH>
                <wp:positionV relativeFrom="paragraph">
                  <wp:posOffset>-37465</wp:posOffset>
                </wp:positionV>
                <wp:extent cx="571500" cy="363855"/>
                <wp:effectExtent l="0" t="2540" r="0" b="0"/>
                <wp:wrapNone/>
                <wp:docPr id="76"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571500" cy="36385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变更价款支付</w:t>
                            </w:r>
                          </w:p>
                        </w:txbxContent>
                      </wps:txbx>
                      <wps:bodyPr rot="0" vert="horz" wrap="square" lIns="0" tIns="0" rIns="0" bIns="0" anchor="t" anchorCtr="0" upright="1">
                        <a:noAutofit/>
                      </wps:bodyPr>
                    </wps:wsp>
                  </a:graphicData>
                </a:graphic>
              </wp:anchor>
            </w:drawing>
          </mc:Choice>
          <mc:Fallback>
            <w:pict>
              <v:shape id="文本框 75" o:spid="_x0000_s1026" o:spt="202" type="#_x0000_t202" style="position:absolute;left:0pt;margin-left:1.6pt;margin-top:-2.95pt;height:28.65pt;width:45pt;z-index:251851776;mso-width-relative:page;mso-height-relative:page;" fillcolor="#FFFFFF" filled="t" stroked="f" coordsize="21600,21600" o:gfxdata="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xg0RdUA&#10;AAAGAQAADwAAAAAAAAABACAAAAAiAAAAZHJzL2Rvd25yZXYueG1sUEsBAhQAFAAAAAgAh07iQDLj&#10;WogiAgAALwQAAA4AAAAAAAAAAQAgAAAAJA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变更价款支付</w:t>
                      </w:r>
                    </w:p>
                  </w:txbxContent>
                </v:textbox>
              </v:shape>
            </w:pict>
          </mc:Fallback>
        </mc:AlternateContent>
      </w:r>
      <w:r>
        <w:rPr>
          <w:rFonts w:hint="eastAsia" w:ascii="宋体" w:hAnsi="宋体"/>
          <w:b w:val="0"/>
          <w:color w:val="000000"/>
          <w:sz w:val="21"/>
        </w:rPr>
        <w:t>确认增(减)工程变更价款作为追加(减)合同价款，与工程款同期支付。</w:t>
      </w:r>
    </w:p>
    <w:p>
      <w:pPr>
        <w:pStyle w:val="3"/>
        <w:numPr>
          <w:ilvl w:val="1"/>
          <w:numId w:val="1"/>
        </w:numPr>
        <w:tabs>
          <w:tab w:val="left" w:pos="1620"/>
          <w:tab w:val="left" w:pos="2016"/>
          <w:tab w:val="left" w:pos="2340"/>
          <w:tab w:val="clear" w:pos="1711"/>
        </w:tabs>
        <w:spacing w:before="320" w:after="0"/>
        <w:ind w:left="1523" w:leftChars="450" w:hanging="578"/>
        <w:jc w:val="both"/>
        <w:rPr>
          <w:rFonts w:ascii="宋体" w:hAnsi="宋体"/>
          <w:b w:val="0"/>
          <w:color w:val="000000"/>
          <w:sz w:val="21"/>
        </w:rPr>
      </w:pPr>
      <w: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214630</wp:posOffset>
                </wp:positionV>
                <wp:extent cx="571500" cy="392430"/>
                <wp:effectExtent l="0" t="0" r="0" b="2540"/>
                <wp:wrapNone/>
                <wp:docPr id="75"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571500" cy="39243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造价工程师确认</w:t>
                            </w:r>
                          </w:p>
                        </w:txbxContent>
                      </wps:txbx>
                      <wps:bodyPr rot="0" vert="horz" wrap="square" lIns="0" tIns="0" rIns="0" bIns="0" anchor="t" anchorCtr="0" upright="1">
                        <a:noAutofit/>
                      </wps:bodyPr>
                    </wps:wsp>
                  </a:graphicData>
                </a:graphic>
              </wp:anchor>
            </w:drawing>
          </mc:Choice>
          <mc:Fallback>
            <w:pict>
              <v:shape id="文本框 74" o:spid="_x0000_s1026" o:spt="202" type="#_x0000_t202" style="position:absolute;left:0pt;margin-left:0pt;margin-top:16.9pt;height:30.9pt;width:45pt;z-index:251774976;mso-width-relative:page;mso-height-relative:page;" fillcolor="#FFFFFF" filled="t" stroked="f" coordsize="21600,21600" o:gfxdata="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8e3eq1AAA&#10;AAUBAAAPAAAAAAAAAAEAIAAAACIAAABkcnMvZG93bnJldi54bWxQSwECFAAUAAAACACHTuJAGp6+&#10;QSICAAAv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造价工程师确认</w:t>
                      </w:r>
                    </w:p>
                  </w:txbxContent>
                </v:textbox>
              </v:shape>
            </w:pict>
          </mc:Fallback>
        </mc:AlternateContent>
      </w:r>
      <w:r>
        <w:rPr>
          <w:rFonts w:hint="eastAsia" w:ascii="宋体" w:hAnsi="宋体"/>
          <w:b w:val="0"/>
          <w:color w:val="000000"/>
          <w:sz w:val="21"/>
        </w:rPr>
        <w:t>第33条中有关变更价款的文件的编制和审核均须经注册造价工程师签字盖章确认。</w:t>
      </w:r>
    </w:p>
    <w:p>
      <w:pPr>
        <w:pStyle w:val="3"/>
        <w:numPr>
          <w:ilvl w:val="1"/>
          <w:numId w:val="1"/>
        </w:numPr>
        <w:tabs>
          <w:tab w:val="left" w:pos="1620"/>
          <w:tab w:val="left" w:pos="2016"/>
          <w:tab w:val="left" w:pos="2340"/>
          <w:tab w:val="clear" w:pos="1711"/>
        </w:tabs>
        <w:spacing w:before="400" w:after="0"/>
        <w:ind w:left="1523" w:leftChars="450" w:hanging="578"/>
        <w:jc w:val="both"/>
        <w:rPr>
          <w:rFonts w:ascii="宋体" w:hAnsi="宋体"/>
          <w:b w:val="0"/>
          <w:color w:val="000000"/>
          <w:sz w:val="21"/>
        </w:rPr>
      </w:pPr>
      <w:r>
        <mc:AlternateContent>
          <mc:Choice Requires="wps">
            <w:drawing>
              <wp:anchor distT="0" distB="0" distL="114300" distR="114300" simplePos="0" relativeHeight="251884544" behindDoc="0" locked="0" layoutInCell="1" allowOverlap="1">
                <wp:simplePos x="0" y="0"/>
                <wp:positionH relativeFrom="column">
                  <wp:posOffset>0</wp:posOffset>
                </wp:positionH>
                <wp:positionV relativeFrom="paragraph">
                  <wp:posOffset>259715</wp:posOffset>
                </wp:positionV>
                <wp:extent cx="571500" cy="422910"/>
                <wp:effectExtent l="0" t="2540" r="0" b="3175"/>
                <wp:wrapNone/>
                <wp:docPr id="74"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571500" cy="422910"/>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rPr>
                              <w:t>工程变更备案</w:t>
                            </w:r>
                          </w:p>
                        </w:txbxContent>
                      </wps:txbx>
                      <wps:bodyPr rot="0" vert="horz" wrap="square" lIns="0" tIns="0" rIns="0" bIns="0" anchor="t" anchorCtr="0" upright="1">
                        <a:noAutofit/>
                      </wps:bodyPr>
                    </wps:wsp>
                  </a:graphicData>
                </a:graphic>
              </wp:anchor>
            </w:drawing>
          </mc:Choice>
          <mc:Fallback>
            <w:pict>
              <v:shape id="文本框 73" o:spid="_x0000_s1026" o:spt="202" type="#_x0000_t202" style="position:absolute;left:0pt;margin-left:0pt;margin-top:20.45pt;height:33.3pt;width:45pt;z-index:251884544;mso-width-relative:page;mso-height-relative:page;" fillcolor="#FFFFFF" filled="t" stroked="f" coordsize="21600,21600" o:gfxdata="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rmC99UA&#10;AAAGAQAADwAAAAAAAAABACAAAAAiAAAAZHJzL2Rvd25yZXYueG1sUEsBAhQAFAAAAAgAh07iQDsr&#10;nCciAgAALwQAAA4AAAAAAAAAAQAgAAAAJAEAAGRycy9lMm9Eb2MueG1sUEsFBgAAAAAGAAYAWQEA&#10;ALgFAAAAAA==&#10;">
                <v:fill on="t" focussize="0,0"/>
                <v:stroke on="f"/>
                <v:imagedata o:title=""/>
                <o:lock v:ext="edit" aspectratio="f"/>
                <v:textbox inset="0mm,0mm,0mm,0mm">
                  <w:txbxContent>
                    <w:p>
                      <w:pPr>
                        <w:rPr>
                          <w:rFonts w:ascii="楷体_GB2312" w:hAnsi="宋体" w:eastAsia="楷体_GB2312"/>
                        </w:rPr>
                      </w:pPr>
                      <w:r>
                        <w:rPr>
                          <w:rFonts w:hint="eastAsia" w:ascii="楷体_GB2312" w:hAnsi="宋体" w:eastAsia="楷体_GB2312"/>
                        </w:rPr>
                        <w:t>工程变更备案</w:t>
                      </w:r>
                    </w:p>
                  </w:txbxContent>
                </v:textbox>
              </v:shape>
            </w:pict>
          </mc:Fallback>
        </mc:AlternateContent>
      </w:r>
      <w:r>
        <w:rPr>
          <w:rFonts w:hint="eastAsia" w:ascii="宋体" w:hAnsi="宋体"/>
          <w:b w:val="0"/>
          <w:color w:val="000000"/>
          <w:sz w:val="21"/>
        </w:rPr>
        <w:t>本工程中累计变更价款超过30万元（合同价款在5000万元人民币以下时）或超过50万元（合同价款在人民币5000万元以上时）的工程变更，建设单位应当在变更款确定后7日内，将变更内容、量价确定办法、变更价款预算书等报政府制定审定机构备案。未经备案的变更，不得作为支付工程进度款和竣工结算的依据。</w:t>
      </w:r>
    </w:p>
    <w:p>
      <w:pPr>
        <w:pStyle w:val="2"/>
        <w:keepLines w:val="0"/>
        <w:numPr>
          <w:ilvl w:val="0"/>
          <w:numId w:val="0"/>
        </w:numPr>
        <w:tabs>
          <w:tab w:val="left" w:pos="1620"/>
          <w:tab w:val="left" w:pos="2340"/>
        </w:tabs>
        <w:ind w:left="945" w:leftChars="450"/>
        <w:rPr>
          <w:rFonts w:hAnsi="宋体"/>
          <w:color w:val="000000"/>
          <w:sz w:val="30"/>
        </w:rPr>
      </w:pPr>
      <w:bookmarkStart w:id="289" w:name="_Toc35656495"/>
      <w:bookmarkStart w:id="290" w:name="_Toc34909116"/>
      <w:bookmarkStart w:id="291" w:name="_Toc35656997"/>
      <w:r>
        <w:rPr>
          <w:rFonts w:hint="eastAsia" w:hAnsi="宋体"/>
          <w:color w:val="000000"/>
          <w:sz w:val="30"/>
        </w:rPr>
        <w:t>十二、竣工验收和结算</w:t>
      </w:r>
      <w:bookmarkEnd w:id="289"/>
      <w:bookmarkEnd w:id="290"/>
      <w:bookmarkEnd w:id="291"/>
    </w:p>
    <w:p>
      <w:pPr>
        <w:pStyle w:val="2"/>
        <w:keepLines w:val="0"/>
        <w:tabs>
          <w:tab w:val="left" w:pos="1620"/>
          <w:tab w:val="left" w:pos="2340"/>
        </w:tabs>
        <w:ind w:left="945" w:leftChars="450"/>
        <w:rPr>
          <w:rFonts w:hAnsi="宋体"/>
          <w:color w:val="000000"/>
          <w:sz w:val="28"/>
          <w:szCs w:val="28"/>
        </w:rPr>
      </w:pPr>
      <w:bookmarkStart w:id="292" w:name="_Toc35656496"/>
      <w:bookmarkStart w:id="293" w:name="_Toc35656998"/>
      <w:bookmarkStart w:id="294" w:name="_Toc34909117"/>
      <w:r>
        <w:rPr>
          <w:rFonts w:hint="eastAsia" w:hAnsi="宋体"/>
          <w:color w:val="000000"/>
          <w:sz w:val="28"/>
          <w:szCs w:val="28"/>
        </w:rPr>
        <w:t>竣工验收</w:t>
      </w:r>
      <w:bookmarkEnd w:id="292"/>
      <w:bookmarkEnd w:id="293"/>
      <w:bookmarkEnd w:id="294"/>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95" w:name="_Toc34909068"/>
      <w:r>
        <mc:AlternateContent>
          <mc:Choice Requires="wps">
            <w:drawing>
              <wp:anchor distT="0" distB="0" distL="114300" distR="114300" simplePos="0" relativeHeight="251870208" behindDoc="0" locked="0" layoutInCell="1" allowOverlap="1">
                <wp:simplePos x="0" y="0"/>
                <wp:positionH relativeFrom="column">
                  <wp:posOffset>0</wp:posOffset>
                </wp:positionH>
                <wp:positionV relativeFrom="paragraph">
                  <wp:posOffset>15240</wp:posOffset>
                </wp:positionV>
                <wp:extent cx="571500" cy="191770"/>
                <wp:effectExtent l="0" t="0" r="0" b="2540"/>
                <wp:wrapNone/>
                <wp:docPr id="73"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571500" cy="19177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竣工验收</w:t>
                            </w:r>
                          </w:p>
                        </w:txbxContent>
                      </wps:txbx>
                      <wps:bodyPr rot="0" vert="horz" wrap="square" lIns="0" tIns="0" rIns="0" bIns="0" anchor="t" anchorCtr="0" upright="1">
                        <a:noAutofit/>
                      </wps:bodyPr>
                    </wps:wsp>
                  </a:graphicData>
                </a:graphic>
              </wp:anchor>
            </w:drawing>
          </mc:Choice>
          <mc:Fallback>
            <w:pict>
              <v:shape id="文本框 72" o:spid="_x0000_s1026" o:spt="202" type="#_x0000_t202" style="position:absolute;left:0pt;margin-left:0pt;margin-top:1.2pt;height:15.1pt;width:45pt;z-index:251870208;mso-width-relative:page;mso-height-relative:page;" fillcolor="#FFFFFF" filled="t" stroked="f" coordsize="21600,21600" o:gfxdata="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zdch3UAAAA&#10;BAEAAA8AAAAAAAAAAQAgAAAAIgAAAGRycy9kb3ducmV2LnhtbFBLAQIUABQAAAAIAIdO4kAN8wi7&#10;IQIAAC8EAAAOAAAAAAAAAAEAIAAAACM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竣工验收</w:t>
                      </w:r>
                    </w:p>
                  </w:txbxContent>
                </v:textbox>
              </v:shape>
            </w:pict>
          </mc:Fallback>
        </mc:AlternateContent>
      </w:r>
      <w:r>
        <w:rPr>
          <w:rFonts w:hint="eastAsia" w:ascii="宋体" w:hAnsi="宋体"/>
          <w:b w:val="0"/>
          <w:color w:val="000000"/>
          <w:sz w:val="21"/>
        </w:rPr>
        <w:t>工程具备竣工验收条件后21天内，承包人应按工程竣工验收的有关规定和专用条款的约定向发包人申请竣工验收并提供竣工资料(如项目经理任命通知书、施工组织设计方案、施工质量技术交底、施工日志、各种验收记录表和检测报告、工程变更资料、工程质量事故处理报告、竣工图纸等)。发包人应在收到该申请及竣工资料后21天内，成立竣工验收委员会，并通知政府有关部门，组织竣工验收。</w:t>
      </w:r>
    </w:p>
    <w:bookmarkEnd w:id="295"/>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96" w:name="_Toc34909119"/>
      <w: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182245</wp:posOffset>
                </wp:positionV>
                <wp:extent cx="571500" cy="191770"/>
                <wp:effectExtent l="0" t="1270" r="0" b="0"/>
                <wp:wrapNone/>
                <wp:docPr id="72"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571500" cy="19177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验收合格</w:t>
                            </w:r>
                          </w:p>
                        </w:txbxContent>
                      </wps:txbx>
                      <wps:bodyPr rot="0" vert="horz" wrap="square" lIns="0" tIns="0" rIns="0" bIns="0" anchor="t" anchorCtr="0" upright="1">
                        <a:noAutofit/>
                      </wps:bodyPr>
                    </wps:wsp>
                  </a:graphicData>
                </a:graphic>
              </wp:anchor>
            </w:drawing>
          </mc:Choice>
          <mc:Fallback>
            <w:pict>
              <v:shape id="文本框 71" o:spid="_x0000_s1026" o:spt="202" type="#_x0000_t202" style="position:absolute;left:0pt;margin-left:0pt;margin-top:14.35pt;height:15.1pt;width:45pt;z-index:251776000;mso-width-relative:page;mso-height-relative:page;" fillcolor="#FFFFFF" filled="t" stroked="f" coordsize="21600,21600" o:gfxdata="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cONdUA&#10;AAAFAQAADwAAAAAAAAABACAAAAAiAAAAZHJzL2Rvd25yZXYueG1sUEsBAhQAFAAAAAgAh07iQHia&#10;uPkiAgAALwQAAA4AAAAAAAAAAQAgAAAAJA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验收合格</w:t>
                      </w:r>
                    </w:p>
                  </w:txbxContent>
                </v:textbox>
              </v:shape>
            </w:pict>
          </mc:Fallback>
        </mc:AlternateContent>
      </w:r>
      <w:r>
        <w:rPr>
          <w:rFonts w:hint="eastAsia" w:ascii="宋体" w:hAnsi="宋体"/>
          <w:b w:val="0"/>
          <w:color w:val="000000"/>
          <w:sz w:val="21"/>
        </w:rPr>
        <w:t>工程竣工验收通过，发包人应在验收工作完毕后7天内向承包人签发交接证书，同时办理工程的移交工作。交接证书上应写明本工程的实际竣工日期(即竣工验收合格之日)。交接证书签发后，承包人应将工程交付给发包人，承包人不再承担对工程的照管责任。</w:t>
      </w:r>
      <w:bookmarkEnd w:id="29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56896" behindDoc="0" locked="0" layoutInCell="1" allowOverlap="1">
                <wp:simplePos x="0" y="0"/>
                <wp:positionH relativeFrom="column">
                  <wp:posOffset>0</wp:posOffset>
                </wp:positionH>
                <wp:positionV relativeFrom="paragraph">
                  <wp:posOffset>179705</wp:posOffset>
                </wp:positionV>
                <wp:extent cx="571500" cy="571500"/>
                <wp:effectExtent l="0" t="0" r="0" b="1270"/>
                <wp:wrapNone/>
                <wp:docPr id="71"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r>
                              <w:rPr>
                                <w:rFonts w:hint="eastAsia"/>
                              </w:rPr>
                              <w:t>留置或追加支付担保</w:t>
                            </w:r>
                          </w:p>
                        </w:txbxContent>
                      </wps:txbx>
                      <wps:bodyPr rot="0" vert="horz" wrap="square" lIns="0" tIns="0" rIns="0" bIns="0" anchor="t" anchorCtr="0" upright="1">
                        <a:noAutofit/>
                      </wps:bodyPr>
                    </wps:wsp>
                  </a:graphicData>
                </a:graphic>
              </wp:anchor>
            </w:drawing>
          </mc:Choice>
          <mc:Fallback>
            <w:pict>
              <v:shape id="文本框 70" o:spid="_x0000_s1026" o:spt="202" type="#_x0000_t202" style="position:absolute;left:0pt;margin-left:0pt;margin-top:14.15pt;height:45pt;width:45pt;z-index:251856896;mso-width-relative:page;mso-height-relative:page;" fillcolor="#FFFFFF" filled="t" stroked="f" coordsize="21600,21600" o:gfxdata="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38l1P1AAAAAYBAAAP&#10;AAAAAAAAAAEAIAAAACIAAABkcnMvZG93bnJldi54bWxQSwECFAAUAAAACACHTuJAUCbIyBwCAAAv&#10;BAAADgAAAAAAAAABACAAAAAjAQAAZHJzL2Uyb0RvYy54bWxQSwUGAAAAAAYABgBZAQAAsQUAAAAA&#10;">
                <v:fill on="t" focussize="0,0"/>
                <v:stroke on="f"/>
                <v:imagedata o:title=""/>
                <o:lock v:ext="edit" aspectratio="f"/>
                <v:textbox inset="0mm,0mm,0mm,0mm">
                  <w:txbxContent>
                    <w:p>
                      <w:r>
                        <w:rPr>
                          <w:rFonts w:hint="eastAsia"/>
                        </w:rPr>
                        <w:t>留置或追加支付担保</w:t>
                      </w:r>
                    </w:p>
                  </w:txbxContent>
                </v:textbox>
              </v:shape>
            </w:pict>
          </mc:Fallback>
        </mc:AlternateContent>
      </w:r>
      <w:r>
        <w:rPr>
          <w:rFonts w:hint="eastAsia" w:ascii="宋体" w:hAnsi="宋体"/>
          <w:b w:val="0"/>
          <w:color w:val="000000"/>
          <w:sz w:val="21"/>
        </w:rPr>
        <w:t>在工程竣工验收时，承包人可留置与预计未结算工程价款相近的标的物，或者要求发包人提供追加支付担保。追加支付担保金额由发包人承包人根据预计未结算工程价款款额、发包人支付担保金额情况另行约定，追加支付担保的办理及索赔程序同支付担保。</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47680" behindDoc="0" locked="0" layoutInCell="1" allowOverlap="1">
                <wp:simplePos x="0" y="0"/>
                <wp:positionH relativeFrom="column">
                  <wp:posOffset>0</wp:posOffset>
                </wp:positionH>
                <wp:positionV relativeFrom="paragraph">
                  <wp:posOffset>173355</wp:posOffset>
                </wp:positionV>
                <wp:extent cx="571500" cy="342900"/>
                <wp:effectExtent l="0" t="1905" r="0" b="0"/>
                <wp:wrapNone/>
                <wp:docPr id="70"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竣工时的现场清理</w:t>
                            </w:r>
                          </w:p>
                        </w:txbxContent>
                      </wps:txbx>
                      <wps:bodyPr rot="0" vert="horz" wrap="square" lIns="0" tIns="0" rIns="0" bIns="0" anchor="t" anchorCtr="0" upright="1">
                        <a:noAutofit/>
                      </wps:bodyPr>
                    </wps:wsp>
                  </a:graphicData>
                </a:graphic>
              </wp:anchor>
            </w:drawing>
          </mc:Choice>
          <mc:Fallback>
            <w:pict>
              <v:shape id="文本框 69" o:spid="_x0000_s1026" o:spt="202" type="#_x0000_t202" style="position:absolute;left:0pt;margin-left:0pt;margin-top:13.65pt;height:27pt;width:45pt;z-index:251847680;mso-width-relative:page;mso-height-relative:page;" fillcolor="#FFFFFF" filled="t" stroked="f" coordsize="21600,21600" o:gfxdata="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VO/LzVAAAA&#10;BQEAAA8AAAAAAAAAAQAgAAAAIgAAAGRycy9kb3ducmV2LnhtbFBLAQIUABQAAAAIAIdO4kAfTrn0&#10;IAIAAC8EAAAOAAAAAAAAAAEAIAAAACQ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竣工时的现场清理</w:t>
                      </w:r>
                    </w:p>
                  </w:txbxContent>
                </v:textbox>
              </v:shape>
            </w:pict>
          </mc:Fallback>
        </mc:AlternateContent>
      </w:r>
      <w:r>
        <w:rPr>
          <w:rFonts w:hint="eastAsia" w:ascii="宋体" w:hAnsi="宋体"/>
          <w:b w:val="0"/>
          <w:color w:val="000000"/>
          <w:sz w:val="21"/>
        </w:rPr>
        <w:t>在签发交接证书后，承包人应从施工现场清理并运出承包人装备、剩余材料设备、垃圾和各种临时工程，保持整个现场及工程整洁，达到竣工使用状态。如承包人未在发包人或工程师允许的合理时间内把所有的承包人装备、剩余材料设备、垃圾及各种临时工程运走，则发包人可以：</w:t>
      </w:r>
    </w:p>
    <w:p>
      <w:pPr>
        <w:tabs>
          <w:tab w:val="left" w:pos="1620"/>
          <w:tab w:val="left" w:pos="2340"/>
        </w:tabs>
        <w:ind w:left="1449" w:leftChars="690"/>
        <w:rPr>
          <w:rFonts w:ascii="宋体" w:hAnsi="宋体"/>
          <w:color w:val="000000"/>
        </w:rPr>
      </w:pPr>
      <w:r>
        <w:rPr>
          <w:rFonts w:hint="eastAsia" w:ascii="宋体" w:hAnsi="宋体"/>
          <w:color w:val="000000"/>
        </w:rPr>
        <w:t>⑴委托他人将承包人装备、剩余材料及承包人的其他财产觅地存放；</w:t>
      </w:r>
    </w:p>
    <w:p>
      <w:pPr>
        <w:tabs>
          <w:tab w:val="left" w:pos="1620"/>
          <w:tab w:val="left" w:pos="2340"/>
        </w:tabs>
        <w:ind w:left="1449" w:leftChars="690"/>
        <w:rPr>
          <w:rFonts w:ascii="宋体" w:hAnsi="宋体"/>
          <w:color w:val="000000"/>
        </w:rPr>
      </w:pPr>
      <w:r>
        <w:rPr>
          <w:rFonts w:hint="eastAsia" w:ascii="宋体" w:hAnsi="宋体"/>
          <w:color w:val="000000"/>
        </w:rPr>
        <w:t>⑵委托他人清除并运走垃圾、废料。</w:t>
      </w:r>
    </w:p>
    <w:p>
      <w:pPr>
        <w:tabs>
          <w:tab w:val="left" w:pos="1620"/>
          <w:tab w:val="left" w:pos="2340"/>
        </w:tabs>
        <w:ind w:firstLine="1680" w:firstLineChars="800"/>
        <w:rPr>
          <w:rFonts w:ascii="宋体" w:hAnsi="宋体"/>
          <w:color w:val="000000"/>
        </w:rPr>
      </w:pPr>
      <w:r>
        <w:rPr>
          <w:rFonts w:hint="eastAsia" w:ascii="宋体" w:hAnsi="宋体"/>
          <w:color w:val="000000"/>
        </w:rPr>
        <w:t>因上述工作而发生的费用由承包人承担，发包人可从应付承包人的任何款</w:t>
      </w:r>
    </w:p>
    <w:p>
      <w:pPr>
        <w:tabs>
          <w:tab w:val="left" w:pos="1620"/>
          <w:tab w:val="left" w:pos="2340"/>
        </w:tabs>
        <w:ind w:firstLine="1680" w:firstLineChars="800"/>
        <w:rPr>
          <w:rFonts w:ascii="宋体" w:hAnsi="宋体"/>
          <w:color w:val="000000"/>
        </w:rPr>
      </w:pPr>
      <w:r>
        <w:rPr>
          <w:rFonts w:hint="eastAsia" w:ascii="宋体" w:hAnsi="宋体"/>
          <w:color w:val="000000"/>
        </w:rPr>
        <w:t>项内扣除。</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97" w:name="_Toc34909121"/>
      <w:r>
        <mc:AlternateContent>
          <mc:Choice Requires="wps">
            <w:drawing>
              <wp:anchor distT="0" distB="0" distL="114300" distR="114300" simplePos="0" relativeHeight="251844608" behindDoc="0" locked="0" layoutInCell="1" allowOverlap="1">
                <wp:simplePos x="0" y="0"/>
                <wp:positionH relativeFrom="column">
                  <wp:posOffset>0</wp:posOffset>
                </wp:positionH>
                <wp:positionV relativeFrom="paragraph">
                  <wp:posOffset>169545</wp:posOffset>
                </wp:positionV>
                <wp:extent cx="571500" cy="228600"/>
                <wp:effectExtent l="0" t="0" r="0" b="1905"/>
                <wp:wrapNone/>
                <wp:docPr id="69"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重新验收</w:t>
                            </w:r>
                          </w:p>
                        </w:txbxContent>
                      </wps:txbx>
                      <wps:bodyPr rot="0" vert="horz" wrap="square" lIns="0" tIns="18000" rIns="0" bIns="0" anchor="t" anchorCtr="0" upright="1">
                        <a:noAutofit/>
                      </wps:bodyPr>
                    </wps:wsp>
                  </a:graphicData>
                </a:graphic>
              </wp:anchor>
            </w:drawing>
          </mc:Choice>
          <mc:Fallback>
            <w:pict>
              <v:shape id="文本框 68" o:spid="_x0000_s1026" o:spt="202" type="#_x0000_t202" style="position:absolute;left:0pt;margin-left:0pt;margin-top:13.35pt;height:18pt;width:45pt;z-index:251844608;mso-width-relative:page;mso-height-relative:page;" fillcolor="#FFFFFF" filled="t" stroked="f" coordsize="21600,21600" o:gfxdata="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QjR&#10;2tYAAAAFAQAADwAAAAAAAAABACAAAAAiAAAAZHJzL2Rvd25yZXYueG1sUEsBAhQAFAAAAAgAh07i&#10;QJpObhokAgAAMwQAAA4AAAAAAAAAAQAgAAAAJQEAAGRycy9lMm9Eb2MueG1sUEsFBgAAAAAGAAYA&#10;WQEAALsFA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重新验收</w:t>
                      </w:r>
                    </w:p>
                  </w:txbxContent>
                </v:textbox>
              </v:shape>
            </w:pict>
          </mc:Fallback>
        </mc:AlternateContent>
      </w:r>
      <w:r>
        <w:rPr>
          <w:rFonts w:hint="eastAsia" w:ascii="宋体" w:hAnsi="宋体"/>
          <w:b w:val="0"/>
          <w:color w:val="000000"/>
          <w:sz w:val="21"/>
        </w:rPr>
        <w:t>如工程质量达不到合同约定的标准，则工程师应根据竣工验收委员会的意见，在验收工作完毕后7天内向承包人发出不予验收的指令，要求承包人对达不到合同约定标准的工程返工或修复。承包人在完成上述工作后，应重新提出竣工验收申请。发包人应按照34.1款的约定重新组织竣工验收。竣工验收通过，发包人应按34.2款的约定签发交接证书。交接证书中写明的实际竣工日期应为重新验收合格之日。</w:t>
      </w:r>
      <w:bookmarkEnd w:id="297"/>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98" w:name="_Toc34909122"/>
      <w: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108585</wp:posOffset>
                </wp:positionV>
                <wp:extent cx="571500" cy="457200"/>
                <wp:effectExtent l="0" t="3810" r="0" b="0"/>
                <wp:wrapNone/>
                <wp:docPr id="68"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不组织验收</w:t>
                            </w:r>
                          </w:p>
                        </w:txbxContent>
                      </wps:txbx>
                      <wps:bodyPr rot="0" vert="horz" wrap="square" lIns="0" tIns="72000" rIns="0" bIns="0" anchor="t" anchorCtr="0" upright="1">
                        <a:noAutofit/>
                      </wps:bodyPr>
                    </wps:wsp>
                  </a:graphicData>
                </a:graphic>
              </wp:anchor>
            </w:drawing>
          </mc:Choice>
          <mc:Fallback>
            <w:pict>
              <v:shape id="文本框 67" o:spid="_x0000_s1026" o:spt="202" type="#_x0000_t202" style="position:absolute;left:0pt;margin-left:0pt;margin-top:8.55pt;height:36pt;width:45pt;z-index:251777024;mso-width-relative:page;mso-height-relative:page;" fillcolor="#FFFFFF" filled="t" stroked="f" coordsize="21600,21600" o:gfxdata="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J+zrY&#10;1QAAAAUBAAAPAAAAAAAAAAEAIAAAACIAAABkcnMvZG93bnJldi54bWxQSwECFAAUAAAACACHTuJA&#10;26YYACQCAAAzBAAADgAAAAAAAAABACAAAAAkAQAAZHJzL2Uyb0RvYy54bWxQSwUGAAAAAAYABgBZ&#10;AQAAugUAAAAA&#10;">
                <v:fill on="t" focussize="0,0"/>
                <v:stroke on="f"/>
                <v:imagedata o:title=""/>
                <o:lock v:ext="edit" aspectratio="f"/>
                <v:textbox inset="0mm,2mm,0mm,0mm">
                  <w:txbxContent>
                    <w:p>
                      <w:pPr>
                        <w:rPr>
                          <w:rFonts w:ascii="楷体_GB2312" w:eastAsia="楷体_GB2312"/>
                        </w:rPr>
                      </w:pPr>
                      <w:r>
                        <w:rPr>
                          <w:rFonts w:hint="eastAsia" w:ascii="楷体_GB2312" w:eastAsia="楷体_GB2312"/>
                        </w:rPr>
                        <w:t>不组织验收</w:t>
                      </w:r>
                    </w:p>
                  </w:txbxContent>
                </v:textbox>
              </v:shape>
            </w:pict>
          </mc:Fallback>
        </mc:AlternateContent>
      </w:r>
      <w:r>
        <w:rPr>
          <w:rFonts w:hint="eastAsia" w:ascii="宋体" w:hAnsi="宋体"/>
          <w:b w:val="0"/>
          <w:bCs w:val="0"/>
          <w:color w:val="000000"/>
          <w:sz w:val="21"/>
        </w:rPr>
        <w:t>发包人在收到承包人提交的竣工验收申请后，如未组织竣工验收，则验收时间由双方另行协商</w:t>
      </w:r>
      <w:r>
        <w:rPr>
          <w:rFonts w:hint="eastAsia" w:ascii="宋体" w:hAnsi="宋体"/>
          <w:b w:val="0"/>
          <w:color w:val="000000"/>
          <w:sz w:val="21"/>
        </w:rPr>
        <w:t>。</w:t>
      </w:r>
      <w:bookmarkEnd w:id="298"/>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571500" cy="457200"/>
                <wp:effectExtent l="0" t="0" r="0" b="0"/>
                <wp:wrapNone/>
                <wp:docPr id="67"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未经验收强行使用</w:t>
                            </w:r>
                          </w:p>
                        </w:txbxContent>
                      </wps:txbx>
                      <wps:bodyPr rot="0" vert="horz" wrap="square" lIns="0" tIns="54000" rIns="0" bIns="0" anchor="t" anchorCtr="0" upright="1">
                        <a:noAutofit/>
                      </wps:bodyPr>
                    </wps:wsp>
                  </a:graphicData>
                </a:graphic>
              </wp:anchor>
            </w:drawing>
          </mc:Choice>
          <mc:Fallback>
            <w:pict>
              <v:shape id="文本框 66" o:spid="_x0000_s1026" o:spt="202" type="#_x0000_t202" style="position:absolute;left:0pt;margin-left:0pt;margin-top:0pt;height:36pt;width:45pt;z-index:251857920;mso-width-relative:page;mso-height-relative:page;" fillcolor="#FFFFFF" filled="t" stroked="f" coordsize="21600,21600" o:gfxdata="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CcD&#10;etQAAAADAQAADwAAAAAAAAABACAAAAAiAAAAZHJzL2Rvd25yZXYueG1sUEsBAhQAFAAAAAgAh07i&#10;QJ9bZ6omAgAAMwQAAA4AAAAAAAAAAQAgAAAAIwEAAGRycy9lMm9Eb2MueG1sUEsFBgAAAAAGAAYA&#10;WQEAALsFAAAAAA==&#10;">
                <v:fill on="t" focussize="0,0"/>
                <v:stroke on="f"/>
                <v:imagedata o:title=""/>
                <o:lock v:ext="edit" aspectratio="f"/>
                <v:textbox inset="0mm,1.5mm,0mm,0mm">
                  <w:txbxContent>
                    <w:p>
                      <w:pPr>
                        <w:rPr>
                          <w:rFonts w:ascii="楷体_GB2312" w:eastAsia="楷体_GB2312"/>
                        </w:rPr>
                      </w:pPr>
                      <w:r>
                        <w:rPr>
                          <w:rFonts w:hint="eastAsia" w:ascii="楷体_GB2312" w:eastAsia="楷体_GB2312"/>
                        </w:rPr>
                        <w:t>未经验收强行使用</w:t>
                      </w:r>
                    </w:p>
                  </w:txbxContent>
                </v:textbox>
              </v:shape>
            </w:pict>
          </mc:Fallback>
        </mc:AlternateContent>
      </w:r>
      <w:r>
        <w:rPr>
          <w:rFonts w:hint="eastAsia" w:ascii="宋体" w:hAnsi="宋体"/>
          <w:b w:val="0"/>
          <w:color w:val="000000"/>
          <w:sz w:val="21"/>
        </w:rPr>
        <w:t>本工程未经竣工验收或竣工验收未通过的，发包人不得使用。如发包人擅自使用，以转移占有本工程之日为本工程的实际竣工日期。由此发生的质量问题及其他问题，由发包人承担责任，并承担此后本工程的一切保管责任。</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299" w:name="_Toc34909123"/>
      <w: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167005</wp:posOffset>
                </wp:positionV>
                <wp:extent cx="571500" cy="228600"/>
                <wp:effectExtent l="0" t="0" r="0" b="4445"/>
                <wp:wrapNone/>
                <wp:docPr id="66"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甩项竣工</w:t>
                            </w:r>
                          </w:p>
                        </w:txbxContent>
                      </wps:txbx>
                      <wps:bodyPr rot="0" vert="horz" wrap="square" lIns="0" tIns="36000" rIns="0" bIns="0" anchor="t" anchorCtr="0" upright="1">
                        <a:noAutofit/>
                      </wps:bodyPr>
                    </wps:wsp>
                  </a:graphicData>
                </a:graphic>
              </wp:anchor>
            </w:drawing>
          </mc:Choice>
          <mc:Fallback>
            <w:pict>
              <v:shape id="文本框 65" o:spid="_x0000_s1026" o:spt="202" type="#_x0000_t202" style="position:absolute;left:0pt;margin-left:0pt;margin-top:13.15pt;height:18pt;width:45pt;z-index:251779072;mso-width-relative:page;mso-height-relative:page;" fillcolor="#FFFFFF" filled="t" stroked="f" coordsize="21600,21600" o:gfxdata="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RY7j9QA&#10;AAAFAQAADwAAAAAAAAABACAAAAAiAAAAZHJzL2Rvd25yZXYueG1sUEsBAhQAFAAAAAgAh07iQCJI&#10;ELkjAgAAMwQAAA4AAAAAAAAAAQAgAAAAIwEAAGRycy9lMm9Eb2MueG1sUEsFBgAAAAAGAAYAWQEA&#10;ALgFAAAAAA==&#10;">
                <v:fill on="t" focussize="0,0"/>
                <v:stroke on="f"/>
                <v:imagedata o:title=""/>
                <o:lock v:ext="edit" aspectratio="f"/>
                <v:textbox inset="0mm,1mm,0mm,0mm">
                  <w:txbxContent>
                    <w:p>
                      <w:pPr>
                        <w:rPr>
                          <w:rFonts w:ascii="楷体_GB2312" w:eastAsia="楷体_GB2312"/>
                        </w:rPr>
                      </w:pPr>
                      <w:r>
                        <w:rPr>
                          <w:rFonts w:hint="eastAsia" w:ascii="楷体_GB2312" w:eastAsia="楷体_GB2312"/>
                        </w:rPr>
                        <w:t>甩项竣工</w:t>
                      </w:r>
                    </w:p>
                  </w:txbxContent>
                </v:textbox>
              </v:shape>
            </w:pict>
          </mc:Fallback>
        </mc:AlternateContent>
      </w:r>
      <w:r>
        <w:rPr>
          <w:rFonts w:hint="eastAsia" w:ascii="宋体" w:hAnsi="宋体"/>
          <w:b w:val="0"/>
          <w:color w:val="000000"/>
          <w:sz w:val="21"/>
        </w:rPr>
        <w:t>因特殊原因，发包人要求甩项竣工，经发包人和承包人协商一致后双方签订甩项竣工协议，并作为合同文件的组成部分。</w:t>
      </w:r>
      <w:bookmarkEnd w:id="299"/>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00" w:name="_Toc34909124"/>
      <w:r>
        <mc:AlternateContent>
          <mc:Choice Requires="wps">
            <w:drawing>
              <wp:anchor distT="0" distB="0" distL="114300" distR="114300" simplePos="0" relativeHeight="251778048" behindDoc="0" locked="0" layoutInCell="1" allowOverlap="1">
                <wp:simplePos x="0" y="0"/>
                <wp:positionH relativeFrom="column">
                  <wp:posOffset>0</wp:posOffset>
                </wp:positionH>
                <wp:positionV relativeFrom="paragraph">
                  <wp:posOffset>156210</wp:posOffset>
                </wp:positionV>
                <wp:extent cx="571500" cy="368935"/>
                <wp:effectExtent l="0" t="3810" r="0" b="0"/>
                <wp:wrapNone/>
                <wp:docPr id="65"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71500" cy="36893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单项工程竣工验收</w:t>
                            </w:r>
                          </w:p>
                        </w:txbxContent>
                      </wps:txbx>
                      <wps:bodyPr rot="0" vert="horz" wrap="square" lIns="0" tIns="18000" rIns="0" bIns="0" anchor="t" anchorCtr="0" upright="1">
                        <a:noAutofit/>
                      </wps:bodyPr>
                    </wps:wsp>
                  </a:graphicData>
                </a:graphic>
              </wp:anchor>
            </w:drawing>
          </mc:Choice>
          <mc:Fallback>
            <w:pict>
              <v:shape id="文本框 64" o:spid="_x0000_s1026" o:spt="202" type="#_x0000_t202" style="position:absolute;left:0pt;margin-left:0pt;margin-top:12.3pt;height:29.05pt;width:45pt;z-index:251778048;mso-width-relative:page;mso-height-relative:page;" fillcolor="#FFFFFF" filled="t" stroked="f" coordsize="21600,21600" o:gfxdata="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rwQN9YAAAAFAQAADwAAAAAAAAABACAAAAAiAAAAZHJzL2Rvd25yZXYueG1sUEsBAhQAFAAAAAgA&#10;h07iQB+uMiInAgAAMwQAAA4AAAAAAAAAAQAgAAAAJQEAAGRycy9lMm9Eb2MueG1sUEsFBgAAAAAG&#10;AAYAWQEAAL4FA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单项工程竣工验收</w:t>
                      </w:r>
                    </w:p>
                  </w:txbxContent>
                </v:textbox>
              </v:shape>
            </w:pict>
          </mc:Fallback>
        </mc:AlternateContent>
      </w:r>
      <w:r>
        <w:rPr>
          <w:rFonts w:hint="eastAsia" w:ascii="宋体" w:hAnsi="宋体"/>
          <w:b w:val="0"/>
          <w:color w:val="000000"/>
          <w:sz w:val="21"/>
        </w:rPr>
        <w:t>本工程中某单项工程须单独进行竣工验收，按专用条款中约定和上述有关竣工验收规定办理。</w:t>
      </w:r>
      <w:bookmarkEnd w:id="300"/>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78400" behindDoc="0" locked="0" layoutInCell="1" allowOverlap="1">
                <wp:simplePos x="0" y="0"/>
                <wp:positionH relativeFrom="column">
                  <wp:posOffset>0</wp:posOffset>
                </wp:positionH>
                <wp:positionV relativeFrom="paragraph">
                  <wp:posOffset>166370</wp:posOffset>
                </wp:positionV>
                <wp:extent cx="571500" cy="368935"/>
                <wp:effectExtent l="0" t="4445" r="0" b="0"/>
                <wp:wrapNone/>
                <wp:docPr id="64"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571500" cy="368935"/>
                        </a:xfrm>
                        <a:prstGeom prst="rect">
                          <a:avLst/>
                        </a:prstGeom>
                        <a:solidFill>
                          <a:srgbClr val="FFFFFF"/>
                        </a:solidFill>
                        <a:ln>
                          <a:noFill/>
                        </a:ln>
                      </wps:spPr>
                      <wps:txbx>
                        <w:txbxContent>
                          <w:p>
                            <w:pPr>
                              <w:rPr>
                                <w:szCs w:val="21"/>
                              </w:rPr>
                            </w:pPr>
                            <w:r>
                              <w:rPr>
                                <w:rFonts w:hint="eastAsia" w:ascii="楷体_GB2312" w:eastAsia="楷体_GB2312"/>
                              </w:rPr>
                              <w:t>优质优价</w:t>
                            </w:r>
                          </w:p>
                        </w:txbxContent>
                      </wps:txbx>
                      <wps:bodyPr rot="0" vert="horz" wrap="square" lIns="0" tIns="18000" rIns="0" bIns="0" anchor="t" anchorCtr="0" upright="1">
                        <a:noAutofit/>
                      </wps:bodyPr>
                    </wps:wsp>
                  </a:graphicData>
                </a:graphic>
              </wp:anchor>
            </w:drawing>
          </mc:Choice>
          <mc:Fallback>
            <w:pict>
              <v:shape id="文本框 63" o:spid="_x0000_s1026" o:spt="202" type="#_x0000_t202" style="position:absolute;left:0pt;margin-left:0pt;margin-top:13.1pt;height:29.05pt;width:45pt;z-index:251878400;mso-width-relative:page;mso-height-relative:page;" fillcolor="#FFFFFF" filled="t" stroked="f" coordsize="21600,21600" o:gfxdata="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NBRI9YAAAAFAQAADwAAAAAAAAABACAAAAAiAAAAZHJzL2Rvd25yZXYueG1sUEsBAhQAFAAAAAgA&#10;h07iQNJQjTAnAgAAMwQAAA4AAAAAAAAAAQAgAAAAJQEAAGRycy9lMm9Eb2MueG1sUEsFBgAAAAAG&#10;AAYAWQEAAL4FAAAAAA==&#10;">
                <v:fill on="t" focussize="0,0"/>
                <v:stroke on="f"/>
                <v:imagedata o:title=""/>
                <o:lock v:ext="edit" aspectratio="f"/>
                <v:textbox inset="0mm,0.5mm,0mm,0mm">
                  <w:txbxContent>
                    <w:p>
                      <w:pPr>
                        <w:rPr>
                          <w:szCs w:val="21"/>
                        </w:rPr>
                      </w:pPr>
                      <w:r>
                        <w:rPr>
                          <w:rFonts w:hint="eastAsia" w:ascii="楷体_GB2312" w:eastAsia="楷体_GB2312"/>
                        </w:rPr>
                        <w:t>优质优价</w:t>
                      </w:r>
                    </w:p>
                  </w:txbxContent>
                </v:textbox>
              </v:shape>
            </w:pict>
          </mc:Fallback>
        </mc:AlternateContent>
      </w:r>
      <w:r>
        <w:rPr>
          <w:rFonts w:hint="eastAsia" w:ascii="宋体" w:hAnsi="宋体"/>
          <w:b w:val="0"/>
          <w:color w:val="000000"/>
          <w:sz w:val="21"/>
        </w:rPr>
        <w:t>本工程实行优质优价，发包人与承包人在专用条款中约定履约评价奖励及优质工程奖励办法。（不适用）</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75328" behindDoc="0" locked="0" layoutInCell="1" allowOverlap="1">
                <wp:simplePos x="0" y="0"/>
                <wp:positionH relativeFrom="column">
                  <wp:posOffset>0</wp:posOffset>
                </wp:positionH>
                <wp:positionV relativeFrom="paragraph">
                  <wp:posOffset>118110</wp:posOffset>
                </wp:positionV>
                <wp:extent cx="571500" cy="457200"/>
                <wp:effectExtent l="0" t="3810" r="0" b="0"/>
                <wp:wrapNone/>
                <wp:docPr id="63"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验收质量未达标</w:t>
                            </w:r>
                          </w:p>
                        </w:txbxContent>
                      </wps:txbx>
                      <wps:bodyPr rot="0" vert="horz" wrap="square" lIns="0" tIns="72000" rIns="0" bIns="0" anchor="t" anchorCtr="0" upright="1">
                        <a:noAutofit/>
                      </wps:bodyPr>
                    </wps:wsp>
                  </a:graphicData>
                </a:graphic>
              </wp:anchor>
            </w:drawing>
          </mc:Choice>
          <mc:Fallback>
            <w:pict>
              <v:shape id="文本框 62" o:spid="_x0000_s1026" o:spt="202" type="#_x0000_t202" style="position:absolute;left:0pt;margin-left:0pt;margin-top:9.3pt;height:36pt;width:45pt;z-index:251875328;mso-width-relative:page;mso-height-relative:page;" fillcolor="#FFFFFF" filled="t" stroked="f" coordsize="21600,21600" o:gfxdata="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OE7&#10;2tUAAAAFAQAADwAAAAAAAAABACAAAAAiAAAAZHJzL2Rvd25yZXYueG1sUEsBAhQAFAAAAAgAh07i&#10;QI9MusUlAgAAMwQAAA4AAAAAAAAAAQAgAAAAJAEAAGRycy9lMm9Eb2MueG1sUEsFBgAAAAAGAAYA&#10;WQEAALsFAAAAAA==&#10;">
                <v:fill on="t" focussize="0,0"/>
                <v:stroke on="f"/>
                <v:imagedata o:title=""/>
                <o:lock v:ext="edit" aspectratio="f"/>
                <v:textbox inset="0mm,2mm,0mm,0mm">
                  <w:txbxContent>
                    <w:p>
                      <w:pPr>
                        <w:rPr>
                          <w:rFonts w:ascii="楷体_GB2312" w:eastAsia="楷体_GB2312"/>
                        </w:rPr>
                      </w:pPr>
                      <w:r>
                        <w:rPr>
                          <w:rFonts w:hint="eastAsia" w:ascii="楷体_GB2312" w:eastAsia="楷体_GB2312"/>
                        </w:rPr>
                        <w:t>验收质量未达标</w:t>
                      </w:r>
                    </w:p>
                  </w:txbxContent>
                </v:textbox>
              </v:shape>
            </w:pict>
          </mc:Fallback>
        </mc:AlternateContent>
      </w:r>
      <w:r>
        <w:rPr>
          <w:rFonts w:hint="eastAsia" w:ascii="宋体" w:hAnsi="宋体"/>
          <w:b w:val="0"/>
          <w:color w:val="000000"/>
          <w:sz w:val="21"/>
        </w:rPr>
        <w:t>如本工程竣工验收质量未达到合同约定的标准，除按34.5款约定进行返工或修复外，发包人和承包人可在专用条款中约定处罚办法。</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strike/>
          <w:color w:val="000000"/>
          <w:sz w:val="21"/>
        </w:rPr>
      </w:pPr>
      <w:r>
        <mc:AlternateContent>
          <mc:Choice Requires="wps">
            <w:drawing>
              <wp:anchor distT="0" distB="0" distL="114300" distR="114300" simplePos="0" relativeHeight="251897856" behindDoc="0" locked="0" layoutInCell="1" allowOverlap="1">
                <wp:simplePos x="0" y="0"/>
                <wp:positionH relativeFrom="column">
                  <wp:posOffset>0</wp:posOffset>
                </wp:positionH>
                <wp:positionV relativeFrom="paragraph">
                  <wp:posOffset>64135</wp:posOffset>
                </wp:positionV>
                <wp:extent cx="571500" cy="457200"/>
                <wp:effectExtent l="0" t="0" r="0" b="2540"/>
                <wp:wrapNone/>
                <wp:docPr id="62"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color w:val="000000"/>
                              </w:rPr>
                            </w:pPr>
                            <w:r>
                              <w:rPr>
                                <w:rFonts w:hint="eastAsia" w:ascii="楷体_GB2312" w:eastAsia="楷体_GB2312"/>
                                <w:color w:val="000000"/>
                              </w:rPr>
                              <w:t>质量争议处理</w:t>
                            </w:r>
                          </w:p>
                        </w:txbxContent>
                      </wps:txbx>
                      <wps:bodyPr rot="0" vert="horz" wrap="square" lIns="0" tIns="72000" rIns="0" bIns="0" anchor="t" anchorCtr="0" upright="1">
                        <a:noAutofit/>
                      </wps:bodyPr>
                    </wps:wsp>
                  </a:graphicData>
                </a:graphic>
              </wp:anchor>
            </w:drawing>
          </mc:Choice>
          <mc:Fallback>
            <w:pict>
              <v:shape id="文本框 61" o:spid="_x0000_s1026" o:spt="202" type="#_x0000_t202" style="position:absolute;left:0pt;margin-left:0pt;margin-top:5.05pt;height:36pt;width:45pt;z-index:251897856;mso-width-relative:page;mso-height-relative:page;" fillcolor="#FFFFFF" filled="t" stroked="f" coordsize="21600,21600" o:gfxdata="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EP4ttUA&#10;AAAFAQAADwAAAAAAAAABACAAAAAiAAAAZHJzL2Rvd25yZXYueG1sUEsBAhQAFAAAAAgAh07iQIpi&#10;SqIiAgAAMwQAAA4AAAAAAAAAAQAgAAAAJAEAAGRycy9lMm9Eb2MueG1sUEsFBgAAAAAGAAYAWQEA&#10;ALgFAAAAAA==&#10;">
                <v:fill on="t" focussize="0,0"/>
                <v:stroke on="f"/>
                <v:imagedata o:title=""/>
                <o:lock v:ext="edit" aspectratio="f"/>
                <v:textbox inset="0mm,2mm,0mm,0mm">
                  <w:txbxContent>
                    <w:p>
                      <w:pPr>
                        <w:rPr>
                          <w:rFonts w:ascii="楷体_GB2312" w:eastAsia="楷体_GB2312"/>
                          <w:color w:val="000000"/>
                        </w:rPr>
                      </w:pPr>
                      <w:r>
                        <w:rPr>
                          <w:rFonts w:hint="eastAsia" w:ascii="楷体_GB2312" w:eastAsia="楷体_GB2312"/>
                          <w:color w:val="000000"/>
                        </w:rPr>
                        <w:t>质量争议处理</w:t>
                      </w:r>
                    </w:p>
                  </w:txbxContent>
                </v:textbox>
              </v:shape>
            </w:pict>
          </mc:Fallback>
        </mc:AlternateContent>
      </w:r>
      <w:r>
        <w:rPr>
          <w:rFonts w:hint="eastAsia" w:ascii="宋体" w:hAnsi="宋体"/>
          <w:b w:val="0"/>
          <w:color w:val="000000"/>
          <w:sz w:val="21"/>
        </w:rPr>
        <w:t>除发包人同意降低合同约定的质量标准接收工程（但不得低于国家强制性质量标准）外，发包人对工程质量有异议，拒不签发工程交接证书的，发包人、承包人应将此质量争议共同委托专用条款约定的有资质的质量检测鉴定机构进行检测。若质量检测合格，检测费用由发包人承担；若质量检测不合格，检测费用由承包人承担，并同时负责无偿修复此质量缺陷。</w:t>
      </w:r>
    </w:p>
    <w:p>
      <w:pPr>
        <w:pStyle w:val="3"/>
        <w:tabs>
          <w:tab w:val="left" w:pos="1620"/>
          <w:tab w:val="left" w:pos="2340"/>
        </w:tabs>
        <w:spacing w:before="0"/>
        <w:ind w:left="1407" w:leftChars="670"/>
        <w:jc w:val="both"/>
        <w:rPr>
          <w:rFonts w:ascii="宋体" w:hAnsi="宋体"/>
          <w:b w:val="0"/>
          <w:strike/>
          <w:color w:val="000000"/>
          <w:sz w:val="21"/>
        </w:rPr>
      </w:pPr>
      <w:r>
        <w:rPr>
          <w:rFonts w:hint="eastAsia" w:ascii="宋体" w:hAnsi="宋体"/>
          <w:b w:val="0"/>
          <w:color w:val="000000"/>
          <w:sz w:val="21"/>
        </w:rPr>
        <w:t>若一方对检测结果有异议，在征得对方同意的前提下，共同委托其他有资质的质量检测鉴定机构进行检测。检测费用承担方式依据本款确定。若对方不同意再次鉴定，发包人、承包人可依通用条款第38条关于争议或纠纷解决程序处理。</w:t>
      </w:r>
    </w:p>
    <w:p>
      <w:pPr>
        <w:pStyle w:val="2"/>
        <w:keepLines w:val="0"/>
        <w:tabs>
          <w:tab w:val="left" w:pos="1620"/>
          <w:tab w:val="left" w:pos="2340"/>
        </w:tabs>
        <w:ind w:left="945" w:leftChars="450"/>
        <w:rPr>
          <w:rFonts w:hAnsi="宋体"/>
          <w:color w:val="000000"/>
          <w:sz w:val="28"/>
          <w:szCs w:val="28"/>
        </w:rPr>
      </w:pPr>
      <w:bookmarkStart w:id="301" w:name="_Toc35656999"/>
      <w:bookmarkStart w:id="302" w:name="_Toc34909125"/>
      <w:bookmarkStart w:id="303" w:name="_Toc35656497"/>
      <w:r>
        <w:rPr>
          <w:sz w:val="28"/>
          <w:szCs w:val="28"/>
        </w:rPr>
        <mc:AlternateContent>
          <mc:Choice Requires="wps">
            <w:drawing>
              <wp:anchor distT="0" distB="0" distL="114300" distR="114300" simplePos="0" relativeHeight="251780096" behindDoc="0" locked="0" layoutInCell="1" allowOverlap="1">
                <wp:simplePos x="0" y="0"/>
                <wp:positionH relativeFrom="column">
                  <wp:posOffset>0</wp:posOffset>
                </wp:positionH>
                <wp:positionV relativeFrom="paragraph">
                  <wp:posOffset>633730</wp:posOffset>
                </wp:positionV>
                <wp:extent cx="571500" cy="457200"/>
                <wp:effectExtent l="0" t="0" r="0" b="4445"/>
                <wp:wrapNone/>
                <wp:docPr id="61"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编制竣工结算书</w:t>
                            </w:r>
                          </w:p>
                        </w:txbxContent>
                      </wps:txbx>
                      <wps:bodyPr rot="0" vert="horz" wrap="square" lIns="0" tIns="36000" rIns="0" bIns="0" anchor="t" anchorCtr="0" upright="1">
                        <a:noAutofit/>
                      </wps:bodyPr>
                    </wps:wsp>
                  </a:graphicData>
                </a:graphic>
              </wp:anchor>
            </w:drawing>
          </mc:Choice>
          <mc:Fallback>
            <w:pict>
              <v:shape id="文本框 60" o:spid="_x0000_s1026" o:spt="202" type="#_x0000_t202" style="position:absolute;left:0pt;margin-left:0pt;margin-top:49.9pt;height:36pt;width:45pt;z-index:251780096;mso-width-relative:page;mso-height-relative:page;" fillcolor="#FFFFFF" filled="t" stroked="f" coordsize="21600,21600" o:gfxdata="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hgx5W&#10;0wAAAAYBAAAPAAAAAAAAAAEAIAAAACIAAABkcnMvZG93bnJldi54bWxQSwECFAAUAAAACACHTuJA&#10;Al1TsSYCAAAzBAAADgAAAAAAAAABACAAAAAiAQAAZHJzL2Uyb0RvYy54bWxQSwUGAAAAAAYABgBZ&#10;AQAAugUAAAAA&#10;">
                <v:fill on="t" focussize="0,0"/>
                <v:stroke on="f"/>
                <v:imagedata o:title=""/>
                <o:lock v:ext="edit" aspectratio="f"/>
                <v:textbox inset="0mm,1mm,0mm,0mm">
                  <w:txbxContent>
                    <w:p>
                      <w:pPr>
                        <w:rPr>
                          <w:rFonts w:ascii="楷体_GB2312" w:eastAsia="楷体_GB2312"/>
                        </w:rPr>
                      </w:pPr>
                      <w:r>
                        <w:rPr>
                          <w:rFonts w:hint="eastAsia" w:ascii="楷体_GB2312" w:eastAsia="楷体_GB2312"/>
                        </w:rPr>
                        <w:t>编制竣工结算书</w:t>
                      </w:r>
                    </w:p>
                  </w:txbxContent>
                </v:textbox>
              </v:shape>
            </w:pict>
          </mc:Fallback>
        </mc:AlternateContent>
      </w:r>
      <w:r>
        <w:rPr>
          <w:rFonts w:hint="eastAsia" w:hAnsi="宋体"/>
          <w:color w:val="000000"/>
          <w:sz w:val="28"/>
          <w:szCs w:val="28"/>
        </w:rPr>
        <w:t>竣工结算</w:t>
      </w:r>
      <w:bookmarkEnd w:id="301"/>
      <w:bookmarkEnd w:id="302"/>
      <w:bookmarkEnd w:id="303"/>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04" w:name="_Toc34909126"/>
      <w:r>
        <w:rPr>
          <w:rFonts w:hint="eastAsia" w:ascii="宋体" w:hAnsi="宋体"/>
          <w:b w:val="0"/>
          <w:color w:val="000000"/>
          <w:sz w:val="21"/>
        </w:rPr>
        <w:t>承包人应按照约定的合同价款和合同价款调整内容以及索赔事项(包括提前竣工奖励费及延期损失赔偿费等)编制竣工结算书，并汇总竣工结算资料。竣工结算资料一般包括施工合同、工程竣工图纸及资料、双方确认的工程量、双方确认追加（减）的工程价款、双方确认的索赔和现场签证事项及价款、招标文件、投标文件等与竣工结算有关的资料。</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96832" behindDoc="0" locked="0" layoutInCell="1" allowOverlap="1">
                <wp:simplePos x="0" y="0"/>
                <wp:positionH relativeFrom="column">
                  <wp:posOffset>0</wp:posOffset>
                </wp:positionH>
                <wp:positionV relativeFrom="paragraph">
                  <wp:posOffset>143510</wp:posOffset>
                </wp:positionV>
                <wp:extent cx="571500" cy="342900"/>
                <wp:effectExtent l="0" t="635" r="0" b="0"/>
                <wp:wrapNone/>
                <wp:docPr id="60"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color w:val="000000"/>
                              </w:rPr>
                            </w:pPr>
                            <w:r>
                              <w:rPr>
                                <w:rFonts w:hint="eastAsia" w:ascii="楷体_GB2312" w:eastAsia="楷体_GB2312"/>
                                <w:color w:val="000000"/>
                              </w:rPr>
                              <w:t>核对次数</w:t>
                            </w:r>
                          </w:p>
                        </w:txbxContent>
                      </wps:txbx>
                      <wps:bodyPr rot="0" vert="horz" wrap="square" lIns="0" tIns="0" rIns="0" bIns="0" anchor="t" anchorCtr="0" upright="1">
                        <a:noAutofit/>
                      </wps:bodyPr>
                    </wps:wsp>
                  </a:graphicData>
                </a:graphic>
              </wp:anchor>
            </w:drawing>
          </mc:Choice>
          <mc:Fallback>
            <w:pict>
              <v:shape id="文本框 59" o:spid="_x0000_s1026" o:spt="202" type="#_x0000_t202" style="position:absolute;left:0pt;margin-left:0pt;margin-top:11.3pt;height:27pt;width:45pt;z-index:251896832;mso-width-relative:page;mso-height-relative:page;" fillcolor="#FFFFFF" filled="t" stroked="f" coordsize="21600,21600" o:gfxdata="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6IgPF0wAAAAUB&#10;AAAPAAAAAAAAAAEAIAAAACIAAABkcnMvZG93bnJldi54bWxQSwECFAAUAAAACACHTuJAxXuU1CAC&#10;AAAvBAAADgAAAAAAAAABACAAAAAiAQAAZHJzL2Uyb0RvYy54bWxQSwUGAAAAAAYABgBZAQAAtAUA&#10;AAAA&#10;">
                <v:fill on="t" focussize="0,0"/>
                <v:stroke on="f"/>
                <v:imagedata o:title=""/>
                <o:lock v:ext="edit" aspectratio="f"/>
                <v:textbox inset="0mm,0mm,0mm,0mm">
                  <w:txbxContent>
                    <w:p>
                      <w:pPr>
                        <w:rPr>
                          <w:rFonts w:ascii="楷体_GB2312" w:eastAsia="楷体_GB2312"/>
                          <w:color w:val="000000"/>
                        </w:rPr>
                      </w:pPr>
                      <w:r>
                        <w:rPr>
                          <w:rFonts w:hint="eastAsia" w:ascii="楷体_GB2312" w:eastAsia="楷体_GB2312"/>
                          <w:color w:val="000000"/>
                        </w:rPr>
                        <w:t>核对次数</w:t>
                      </w:r>
                    </w:p>
                  </w:txbxContent>
                </v:textbox>
              </v:shape>
            </w:pict>
          </mc:Fallback>
        </mc:AlternateContent>
      </w:r>
      <w:r>
        <w:rPr>
          <w:rFonts w:hint="eastAsia" w:ascii="宋体" w:hAnsi="宋体"/>
          <w:b w:val="0"/>
          <w:color w:val="000000"/>
          <w:sz w:val="21"/>
        </w:rPr>
        <w:t>除专用条款明确约定核对人及核对次数，发包人、承包人双方对竣工结算仅需核对一次，但承包人依据发包人提出的核对意见后修改重新提交核对的除外。本工程竣工结算核对完成，发包人、承包人双方签字确认后，发包人不应要求承包人与另一个或多个工程造价咨询机构重复核对发承包双方已确认的竣工结算。但是，依据相关法律、法规、规章，要求使用财政性资金、国有资金、国有资金控股或占主导的建设项目的竣工结算需向政府指定审计机构提交审查的，该审查行为不视为核对。</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73280" behindDoc="0" locked="0" layoutInCell="1" allowOverlap="1">
                <wp:simplePos x="0" y="0"/>
                <wp:positionH relativeFrom="column">
                  <wp:posOffset>0</wp:posOffset>
                </wp:positionH>
                <wp:positionV relativeFrom="paragraph">
                  <wp:posOffset>174625</wp:posOffset>
                </wp:positionV>
                <wp:extent cx="571500" cy="342900"/>
                <wp:effectExtent l="0" t="3175" r="0" b="0"/>
                <wp:wrapNone/>
                <wp:docPr id="59"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提交竣工结算书</w:t>
                            </w:r>
                          </w:p>
                        </w:txbxContent>
                      </wps:txbx>
                      <wps:bodyPr rot="0" vert="horz" wrap="square" lIns="0" tIns="0" rIns="0" bIns="0" anchor="t" anchorCtr="0" upright="1">
                        <a:noAutofit/>
                      </wps:bodyPr>
                    </wps:wsp>
                  </a:graphicData>
                </a:graphic>
              </wp:anchor>
            </w:drawing>
          </mc:Choice>
          <mc:Fallback>
            <w:pict>
              <v:shape id="文本框 58" o:spid="_x0000_s1026" o:spt="202" type="#_x0000_t202" style="position:absolute;left:0pt;margin-left:0pt;margin-top:13.75pt;height:27pt;width:45pt;z-index:251873280;mso-width-relative:page;mso-height-relative:page;" fillcolor="#FFFFFF" filled="t" stroked="f" coordsize="21600,21600" o:gfxdata="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U/9+3VAAAA&#10;BQEAAA8AAAAAAAAAAQAgAAAAIgAAAGRycy9kb3ducmV2LnhtbFBLAQIUABQAAAAIAIdO4kD5pbfZ&#10;IAIAAC8EAAAOAAAAAAAAAAEAIAAAACQ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提交竣工结算书</w:t>
                      </w:r>
                    </w:p>
                  </w:txbxContent>
                </v:textbox>
              </v:shape>
            </w:pict>
          </mc:Fallback>
        </mc:AlternateContent>
      </w:r>
      <w:r>
        <w:rPr>
          <w:rFonts w:hint="eastAsia" w:hAnsi="宋体"/>
          <w:b w:val="0"/>
          <w:color w:val="000000"/>
          <w:sz w:val="21"/>
        </w:rPr>
        <w:t>工程竣工验收合格</w:t>
      </w:r>
      <w:r>
        <w:rPr>
          <w:rFonts w:hint="eastAsia" w:ascii="宋体" w:hAnsi="宋体"/>
          <w:b w:val="0"/>
          <w:color w:val="000000"/>
          <w:sz w:val="21"/>
        </w:rPr>
        <w:t>后28天或专用条款约定的时间内，承包人应向发包人提交竣工结算书及结算资料</w:t>
      </w:r>
      <w:bookmarkEnd w:id="304"/>
      <w:r>
        <w:rPr>
          <w:rFonts w:hint="eastAsia" w:ascii="宋体" w:hAnsi="宋体"/>
          <w:b w:val="0"/>
          <w:color w:val="000000"/>
          <w:sz w:val="21"/>
        </w:rPr>
        <w:t>。</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305" w:name="_Toc34909127"/>
      <w: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155575</wp:posOffset>
                </wp:positionV>
                <wp:extent cx="571500" cy="387985"/>
                <wp:effectExtent l="0" t="3175" r="0" b="0"/>
                <wp:wrapNone/>
                <wp:docPr id="58"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571500" cy="38798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竣</w:t>
                            </w:r>
                            <w:r>
                              <w:rPr>
                                <w:rFonts w:hint="eastAsia" w:ascii="楷体_GB2312" w:eastAsia="楷体_GB2312"/>
                                <w:color w:val="000000"/>
                              </w:rPr>
                              <w:t>工结算书</w:t>
                            </w:r>
                            <w:r>
                              <w:rPr>
                                <w:rFonts w:hint="eastAsia" w:ascii="楷体_GB2312"/>
                                <w:color w:val="000000"/>
                              </w:rPr>
                              <w:t>核对</w:t>
                            </w:r>
                          </w:p>
                        </w:txbxContent>
                      </wps:txbx>
                      <wps:bodyPr rot="0" vert="horz" wrap="square" lIns="0" tIns="18000" rIns="0" bIns="0" anchor="t" anchorCtr="0" upright="1">
                        <a:noAutofit/>
                      </wps:bodyPr>
                    </wps:wsp>
                  </a:graphicData>
                </a:graphic>
              </wp:anchor>
            </w:drawing>
          </mc:Choice>
          <mc:Fallback>
            <w:pict>
              <v:shape id="文本框 57" o:spid="_x0000_s1026" o:spt="202" type="#_x0000_t202" style="position:absolute;left:0pt;margin-left:0pt;margin-top:12.25pt;height:30.55pt;width:45pt;z-index:251782144;mso-width-relative:page;mso-height-relative:page;" fillcolor="#FFFFFF" filled="t" stroked="f" coordsize="21600,21600" o:gfxdata="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pGWK1gAAAAUBAAAPAAAAAAAAAAEAIAAAACIAAABkcnMvZG93bnJldi54bWxQSwECFAAUAAAACACH&#10;TuJAtJHOkSYCAAAzBAAADgAAAAAAAAABACAAAAAlAQAAZHJzL2Uyb0RvYy54bWxQSwUGAAAAAAYA&#10;BgBZAQAAvQUAAAAA&#10;">
                <v:fill on="t" focussize="0,0"/>
                <v:stroke on="f"/>
                <v:imagedata o:title=""/>
                <o:lock v:ext="edit" aspectratio="f"/>
                <v:textbox inset="0mm,0.5mm,0mm,0mm">
                  <w:txbxContent>
                    <w:p>
                      <w:pPr>
                        <w:rPr>
                          <w:rFonts w:ascii="楷体_GB2312" w:eastAsia="楷体_GB2312"/>
                        </w:rPr>
                      </w:pPr>
                      <w:r>
                        <w:rPr>
                          <w:rFonts w:hint="eastAsia" w:ascii="楷体_GB2312" w:eastAsia="楷体_GB2312"/>
                        </w:rPr>
                        <w:t>竣</w:t>
                      </w:r>
                      <w:r>
                        <w:rPr>
                          <w:rFonts w:hint="eastAsia" w:ascii="楷体_GB2312" w:eastAsia="楷体_GB2312"/>
                          <w:color w:val="000000"/>
                        </w:rPr>
                        <w:t>工结算书</w:t>
                      </w:r>
                      <w:r>
                        <w:rPr>
                          <w:rFonts w:hint="eastAsia" w:ascii="楷体_GB2312"/>
                          <w:color w:val="000000"/>
                        </w:rPr>
                        <w:t>核对</w:t>
                      </w:r>
                    </w:p>
                  </w:txbxContent>
                </v:textbox>
              </v:shape>
            </w:pict>
          </mc:Fallback>
        </mc:AlternateContent>
      </w:r>
      <w:r>
        <w:rPr>
          <w:rFonts w:hint="eastAsia" w:ascii="宋体" w:hAnsi="宋体"/>
          <w:color w:val="000000"/>
          <w:kern w:val="0"/>
        </w:rPr>
        <w:t>发包人在收到承包人提交的竣工结算书及结算资料后</w:t>
      </w:r>
      <w:r>
        <w:rPr>
          <w:rFonts w:hint="eastAsia" w:ascii="宋体" w:hAnsi="宋体"/>
          <w:bCs/>
          <w:color w:val="000000"/>
        </w:rPr>
        <w:t>28</w:t>
      </w:r>
      <w:r>
        <w:rPr>
          <w:rFonts w:hint="eastAsia" w:ascii="宋体" w:hAnsi="宋体"/>
          <w:color w:val="000000"/>
          <w:kern w:val="0"/>
        </w:rPr>
        <w:t>天或专用条款约定的时间内，应按合同的有关约定，依据结算资料，在工程师的协助下，对承包人提交的竣工结算书进行</w:t>
      </w:r>
      <w:r>
        <w:rPr>
          <w:rFonts w:hint="eastAsia" w:hAnsi="宋体"/>
          <w:color w:val="000000"/>
        </w:rPr>
        <w:t>核对</w:t>
      </w:r>
      <w:r>
        <w:rPr>
          <w:rFonts w:hint="eastAsia" w:ascii="宋体" w:hAnsi="宋体"/>
          <w:bCs/>
          <w:color w:val="000000"/>
        </w:rPr>
        <w:t>：</w:t>
      </w:r>
    </w:p>
    <w:p>
      <w:pPr>
        <w:tabs>
          <w:tab w:val="left" w:pos="1620"/>
          <w:tab w:val="left" w:pos="2340"/>
        </w:tabs>
        <w:ind w:left="1449" w:leftChars="690"/>
        <w:rPr>
          <w:rFonts w:ascii="宋体" w:hAnsi="宋体"/>
          <w:color w:val="000000"/>
        </w:rPr>
      </w:pPr>
      <w:r>
        <w:rPr>
          <w:rFonts w:ascii="宋体" w:hAnsi="宋体"/>
          <w:color w:val="000000"/>
        </w:rPr>
        <w:t>⑴</w:t>
      </w:r>
      <w:r>
        <w:rPr>
          <w:rFonts w:hint="eastAsia" w:ascii="宋体" w:hAnsi="宋体"/>
          <w:color w:val="000000"/>
        </w:rPr>
        <w:t>认可承包人提交的竣工结算书，并确认工程竣工结算价款；或</w:t>
      </w:r>
    </w:p>
    <w:p>
      <w:pPr>
        <w:widowControl/>
        <w:ind w:left="1449" w:leftChars="690"/>
        <w:rPr>
          <w:rFonts w:ascii="宋体" w:hAnsi="宋体"/>
          <w:color w:val="000000"/>
        </w:rPr>
      </w:pPr>
      <w:r>
        <w:rPr>
          <w:rFonts w:hint="eastAsia" w:ascii="宋体" w:hAnsi="宋体"/>
          <w:color w:val="000000"/>
        </w:rPr>
        <w:t>⑵提出</w:t>
      </w:r>
      <w:r>
        <w:rPr>
          <w:rFonts w:hint="eastAsia" w:hAnsi="宋体"/>
          <w:color w:val="000000"/>
        </w:rPr>
        <w:t>核对</w:t>
      </w:r>
      <w:r>
        <w:rPr>
          <w:rFonts w:hint="eastAsia" w:ascii="宋体" w:hAnsi="宋体"/>
          <w:color w:val="000000"/>
        </w:rPr>
        <w:t>意见或要求补充结算资料。</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74304" behindDoc="0" locked="0" layoutInCell="1" allowOverlap="1">
                <wp:simplePos x="0" y="0"/>
                <wp:positionH relativeFrom="column">
                  <wp:posOffset>0</wp:posOffset>
                </wp:positionH>
                <wp:positionV relativeFrom="paragraph">
                  <wp:posOffset>172720</wp:posOffset>
                </wp:positionV>
                <wp:extent cx="571500" cy="571500"/>
                <wp:effectExtent l="0" t="1270" r="0" b="0"/>
                <wp:wrapNone/>
                <wp:docPr id="57"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wps:spPr>
                      <wps:txbx>
                        <w:txbxContent>
                          <w:p>
                            <w:r>
                              <w:rPr>
                                <w:rFonts w:hint="eastAsia" w:ascii="楷体_GB2312" w:eastAsia="楷体_GB2312"/>
                              </w:rPr>
                              <w:t>竣工结算书修改及核对</w:t>
                            </w:r>
                          </w:p>
                        </w:txbxContent>
                      </wps:txbx>
                      <wps:bodyPr rot="0" vert="horz" wrap="square" lIns="0" tIns="0" rIns="0" bIns="0" anchor="t" anchorCtr="0" upright="1">
                        <a:noAutofit/>
                      </wps:bodyPr>
                    </wps:wsp>
                  </a:graphicData>
                </a:graphic>
              </wp:anchor>
            </w:drawing>
          </mc:Choice>
          <mc:Fallback>
            <w:pict>
              <v:shape id="文本框 56" o:spid="_x0000_s1026" o:spt="202" type="#_x0000_t202" style="position:absolute;left:0pt;margin-left:0pt;margin-top:13.6pt;height:45pt;width:45pt;z-index:251874304;mso-width-relative:page;mso-height-relative:page;" fillcolor="#FFFFFF" filled="t" stroked="f" coordsize="21600,21600" o:gfxdata="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LEmdMAAAAGAQAADwAA&#10;AAAAAAABACAAAAAiAAAAZHJzL2Rvd25yZXYueG1sUEsBAhQAFAAAAAgAh07iQAdTiZYbAgAALwQA&#10;AA4AAAAAAAAAAQAgAAAAIgEAAGRycy9lMm9Eb2MueG1sUEsFBgAAAAAGAAYAWQEAAK8FAAAAAA==&#10;">
                <v:fill on="t" focussize="0,0"/>
                <v:stroke on="f"/>
                <v:imagedata o:title=""/>
                <o:lock v:ext="edit" aspectratio="f"/>
                <v:textbox inset="0mm,0mm,0mm,0mm">
                  <w:txbxContent>
                    <w:p>
                      <w:r>
                        <w:rPr>
                          <w:rFonts w:hint="eastAsia" w:ascii="楷体_GB2312" w:eastAsia="楷体_GB2312"/>
                        </w:rPr>
                        <w:t>竣工结算书修改及核对</w:t>
                      </w:r>
                    </w:p>
                  </w:txbxContent>
                </v:textbox>
              </v:shape>
            </w:pict>
          </mc:Fallback>
        </mc:AlternateContent>
      </w:r>
      <w:r>
        <w:rPr>
          <w:rFonts w:hint="eastAsia" w:ascii="宋体" w:hAnsi="宋体"/>
          <w:b w:val="0"/>
          <w:color w:val="000000"/>
          <w:sz w:val="21"/>
        </w:rPr>
        <w:t>承包人应在收到发包人提出的核对意见后14天或专用条款约定的时间内，向发包人提交经修改的竣工结算书或补充结算资料。发包人应在收到后14天或专用条款约定的时间内，进行核对，经与承包人协商达成一致意见后确认工程竣工结算价款。</w:t>
      </w:r>
      <w:bookmarkEnd w:id="305"/>
      <w:r>
        <w:rPr>
          <w:rFonts w:hint="eastAsia" w:ascii="宋体" w:hAnsi="宋体"/>
          <w:b w:val="0"/>
          <w:color w:val="000000"/>
          <w:sz w:val="21"/>
        </w:rPr>
        <w:t>承包人提交经修改的竣工结算书或补充结算资料后，发包人在上述约定期限内仍有异议的，可按通用条款第38条关于争议或纠纷解决程序处理。承包人在收到发包人提出的核对意见后14天或专用条款约定的时间内未提出异议或没有明确答复的，视为发包人的核对意见被承包人认可且接受，竣工结算至此办理完毕。</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72256" behindDoc="0" locked="0" layoutInCell="1" allowOverlap="1">
                <wp:simplePos x="0" y="0"/>
                <wp:positionH relativeFrom="column">
                  <wp:posOffset>0</wp:posOffset>
                </wp:positionH>
                <wp:positionV relativeFrom="paragraph">
                  <wp:posOffset>165100</wp:posOffset>
                </wp:positionV>
                <wp:extent cx="571500" cy="342900"/>
                <wp:effectExtent l="0" t="3175" r="0" b="0"/>
                <wp:wrapNone/>
                <wp:docPr id="56"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不提交竣工结算书</w:t>
                            </w:r>
                          </w:p>
                        </w:txbxContent>
                      </wps:txbx>
                      <wps:bodyPr rot="0" vert="horz" wrap="square" lIns="0" tIns="0" rIns="0" bIns="0" anchor="t" anchorCtr="0" upright="1">
                        <a:noAutofit/>
                      </wps:bodyPr>
                    </wps:wsp>
                  </a:graphicData>
                </a:graphic>
              </wp:anchor>
            </w:drawing>
          </mc:Choice>
          <mc:Fallback>
            <w:pict>
              <v:shape id="文本框 55" o:spid="_x0000_s1026" o:spt="202" type="#_x0000_t202" style="position:absolute;left:0pt;margin-left:0pt;margin-top:13pt;height:27pt;width:45pt;z-index:251872256;mso-width-relative:page;mso-height-relative:page;" fillcolor="#FFFFFF" filled="t" stroked="f" coordsize="21600,21600" o:gfxdata="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hluZNIAAAAFAQAA&#10;DwAAAAAAAAABACAAAAAiAAAAZHJzL2Rvd25yZXYueG1sUEsBAhQAFAAAAAgAh07iQMftsPsfAgAA&#10;LwQAAA4AAAAAAAAAAQAgAAAAIQEAAGRycy9lMm9Eb2MueG1sUEsFBgAAAAAGAAYAWQEAALIFAAAA&#10;AA==&#10;">
                <v:fill on="t" focussize="0,0"/>
                <v:stroke on="f"/>
                <v:imagedata o:title=""/>
                <o:lock v:ext="edit" aspectratio="f"/>
                <v:textbox inset="0mm,0mm,0mm,0mm">
                  <w:txbxContent>
                    <w:p>
                      <w:pPr>
                        <w:rPr>
                          <w:rFonts w:ascii="楷体_GB2312" w:eastAsia="楷体_GB2312"/>
                        </w:rPr>
                      </w:pPr>
                      <w:r>
                        <w:rPr>
                          <w:rFonts w:hint="eastAsia" w:ascii="楷体_GB2312" w:eastAsia="楷体_GB2312"/>
                        </w:rPr>
                        <w:t>不提交竣工结算书</w:t>
                      </w:r>
                    </w:p>
                  </w:txbxContent>
                </v:textbox>
              </v:shape>
            </w:pict>
          </mc:Fallback>
        </mc:AlternateContent>
      </w:r>
      <w:r>
        <w:rPr>
          <w:rFonts w:hint="eastAsia" w:ascii="宋体" w:hAnsi="宋体"/>
          <w:b w:val="0"/>
          <w:color w:val="000000"/>
          <w:sz w:val="21"/>
        </w:rPr>
        <w:t>在合同约定期限内，承包人未提交竣工结算书及结算资料(包括经修改的竣工结算书或补充结算资料)，工程师应通知其要求提交，通知后14天内仍不提交的</w:t>
      </w:r>
      <w:r>
        <w:rPr>
          <w:rFonts w:ascii="宋体" w:hAnsi="宋体"/>
          <w:b w:val="0"/>
          <w:color w:val="000000"/>
          <w:sz w:val="21"/>
        </w:rPr>
        <w:t>或没有明确答复</w:t>
      </w:r>
      <w:r>
        <w:rPr>
          <w:rFonts w:hint="eastAsia" w:ascii="宋体" w:hAnsi="宋体"/>
          <w:b w:val="0"/>
          <w:color w:val="000000"/>
          <w:sz w:val="21"/>
        </w:rPr>
        <w:t>的</w:t>
      </w:r>
      <w:r>
        <w:rPr>
          <w:rFonts w:ascii="宋体" w:hAnsi="宋体"/>
          <w:b w:val="0"/>
          <w:color w:val="000000"/>
          <w:sz w:val="21"/>
        </w:rPr>
        <w:t>，</w:t>
      </w:r>
      <w:r>
        <w:rPr>
          <w:rFonts w:hint="eastAsia" w:ascii="宋体" w:hAnsi="宋体"/>
          <w:b w:val="0"/>
          <w:color w:val="000000"/>
          <w:sz w:val="21"/>
        </w:rPr>
        <w:t>发包人有权依据已有资料进行审查、核实，并确定工程竣工结算价款，书面提交承包人，并以此作为竣工结算价款支付依据。若承包人不予接受的，发承包双方依第38条关于争议或纠纷解决程序处理。</w:t>
      </w:r>
    </w:p>
    <w:p>
      <w:pPr>
        <w:widowControl/>
        <w:numPr>
          <w:ilvl w:val="1"/>
          <w:numId w:val="1"/>
        </w:numPr>
        <w:tabs>
          <w:tab w:val="left" w:pos="1656"/>
          <w:tab w:val="clear" w:pos="1711"/>
        </w:tabs>
        <w:spacing w:before="260"/>
        <w:ind w:left="945" w:leftChars="450"/>
        <w:jc w:val="left"/>
        <w:outlineLvl w:val="1"/>
        <w:rPr>
          <w:rFonts w:ascii="宋体" w:hAnsi="宋体"/>
          <w:strike/>
          <w:color w:val="000000"/>
          <w:kern w:val="0"/>
        </w:rPr>
      </w:pPr>
      <w:r>
        <mc:AlternateContent>
          <mc:Choice Requires="wps">
            <w:drawing>
              <wp:anchor distT="0" distB="0" distL="114300" distR="114300" simplePos="0" relativeHeight="251899904" behindDoc="0" locked="0" layoutInCell="1" allowOverlap="1">
                <wp:simplePos x="0" y="0"/>
                <wp:positionH relativeFrom="column">
                  <wp:posOffset>0</wp:posOffset>
                </wp:positionH>
                <wp:positionV relativeFrom="paragraph">
                  <wp:posOffset>110490</wp:posOffset>
                </wp:positionV>
                <wp:extent cx="571500" cy="342900"/>
                <wp:effectExtent l="0" t="0" r="0" b="3810"/>
                <wp:wrapNone/>
                <wp:docPr id="55"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逾期不结算</w:t>
                            </w:r>
                          </w:p>
                        </w:txbxContent>
                      </wps:txbx>
                      <wps:bodyPr rot="0" vert="horz" wrap="square" lIns="0" tIns="0" rIns="0" bIns="0" anchor="t" anchorCtr="0" upright="1">
                        <a:noAutofit/>
                      </wps:bodyPr>
                    </wps:wsp>
                  </a:graphicData>
                </a:graphic>
              </wp:anchor>
            </w:drawing>
          </mc:Choice>
          <mc:Fallback>
            <w:pict>
              <v:shape id="文本框 54" o:spid="_x0000_s1026" o:spt="202" type="#_x0000_t202" style="position:absolute;left:0pt;margin-left:0pt;margin-top:8.7pt;height:27pt;width:45pt;z-index:251899904;mso-width-relative:page;mso-height-relative:page;" fillcolor="#FFFFFF" filled="t" stroked="f" coordsize="21600,21600" o:gfxdata="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GP/j1AAAAAUB&#10;AAAPAAAAAAAAAAEAIAAAACIAAABkcnMvZG93bnJldi54bWxQSwECFAAUAAAACACHTuJA3D736h8C&#10;AAAvBAAADgAAAAAAAAABACAAAAAjAQAAZHJzL2Uyb0RvYy54bWxQSwUGAAAAAAYABgBZAQAAtAUA&#10;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逾期不结算</w:t>
                      </w:r>
                    </w:p>
                  </w:txbxContent>
                </v:textbox>
              </v:shape>
            </w:pict>
          </mc:Fallback>
        </mc:AlternateContent>
      </w:r>
      <w:r>
        <w:rPr>
          <w:rFonts w:hint="eastAsia" w:ascii="宋体" w:hAnsi="宋体"/>
          <w:color w:val="000000"/>
          <w:kern w:val="0"/>
        </w:rPr>
        <w:t>发包人收到竣工结算书及结算资料后60天或专用条款约定的时间内，或在收到经修改的竣工结算书或补充结算资料后14天或专用条款约定的时间内，既不认可承包人提交的竣工结算书(包括经修改的竣工结算书)，又不提出异议的，视同认可承包人提交的竣工结算书。承包人</w:t>
      </w:r>
      <w:r>
        <w:rPr>
          <w:rFonts w:hint="eastAsia" w:ascii="宋体" w:hAnsi="宋体"/>
          <w:color w:val="000000"/>
        </w:rPr>
        <w:t>依此向发包人申请支付，发包人拒不支付的，发承包双方依第38条关于争议或纠纷解决程序处理</w:t>
      </w:r>
      <w:r>
        <w:rPr>
          <w:rFonts w:hint="eastAsia" w:ascii="宋体" w:hAnsi="宋体"/>
          <w:color w:val="000000"/>
          <w:kern w:val="0"/>
        </w:rPr>
        <w:t>。</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306" w:name="_Toc34909128"/>
      <w:r>
        <mc:AlternateContent>
          <mc:Choice Requires="wps">
            <w:drawing>
              <wp:anchor distT="0" distB="0" distL="114300" distR="114300" simplePos="0" relativeHeight="251885568" behindDoc="0" locked="0" layoutInCell="1" allowOverlap="1">
                <wp:simplePos x="0" y="0"/>
                <wp:positionH relativeFrom="column">
                  <wp:posOffset>0</wp:posOffset>
                </wp:positionH>
                <wp:positionV relativeFrom="paragraph">
                  <wp:posOffset>177800</wp:posOffset>
                </wp:positionV>
                <wp:extent cx="571500" cy="342900"/>
                <wp:effectExtent l="0" t="0" r="0" b="3175"/>
                <wp:wrapNone/>
                <wp:docPr id="54"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r>
                              <w:rPr>
                                <w:rFonts w:hint="eastAsia" w:ascii="楷体_GB2312" w:eastAsia="楷体_GB2312"/>
                              </w:rPr>
                              <w:t>竣工结算审定</w:t>
                            </w:r>
                          </w:p>
                        </w:txbxContent>
                      </wps:txbx>
                      <wps:bodyPr rot="0" vert="horz" wrap="square" lIns="0" tIns="0" rIns="0" bIns="0" anchor="t" anchorCtr="0" upright="1">
                        <a:noAutofit/>
                      </wps:bodyPr>
                    </wps:wsp>
                  </a:graphicData>
                </a:graphic>
              </wp:anchor>
            </w:drawing>
          </mc:Choice>
          <mc:Fallback>
            <w:pict>
              <v:shape id="文本框 53" o:spid="_x0000_s1026" o:spt="202" type="#_x0000_t202" style="position:absolute;left:0pt;margin-left:0pt;margin-top:14pt;height:27pt;width:45pt;z-index:251885568;mso-width-relative:page;mso-height-relative:page;" fillcolor="#FFFFFF" filled="t" stroked="f" coordsize="21600,21600" o:gfxdata="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oKcAX0wAAAAUB&#10;AAAPAAAAAAAAAAEAIAAAACIAAABkcnMvZG93bnJldi54bWxQSwECFAAUAAAACACHTuJALT/QfiAC&#10;AAAvBAAADgAAAAAAAAABACAAAAAiAQAAZHJzL2Uyb0RvYy54bWxQSwUGAAAAAAYABgBZAQAAtAUA&#10;AAAA&#10;">
                <v:fill on="t" focussize="0,0"/>
                <v:stroke on="f"/>
                <v:imagedata o:title=""/>
                <o:lock v:ext="edit" aspectratio="f"/>
                <v:textbox inset="0mm,0mm,0mm,0mm">
                  <w:txbxContent>
                    <w:p>
                      <w:r>
                        <w:rPr>
                          <w:rFonts w:hint="eastAsia" w:ascii="楷体_GB2312" w:eastAsia="楷体_GB2312"/>
                        </w:rPr>
                        <w:t>竣工结算审定</w:t>
                      </w:r>
                    </w:p>
                  </w:txbxContent>
                </v:textbox>
              </v:shape>
            </w:pict>
          </mc:Fallback>
        </mc:AlternateContent>
      </w:r>
      <w:r>
        <w:rPr>
          <w:rFonts w:hint="eastAsia" w:ascii="宋体" w:hAnsi="宋体"/>
          <w:color w:val="000000"/>
          <w:szCs w:val="21"/>
        </w:rPr>
        <w:t>在按35.3、35.4、35.5、35.6款发承包双方确认竣工结算价款后7天内，发包人应当将经发承包双方共同确认的竣工结算书报政府指定审查机构审查。未经审查的竣工结算，不得作为工程价款支付及产权登记的依据</w:t>
      </w:r>
      <w:r>
        <w:rPr>
          <w:rFonts w:hint="eastAsia" w:ascii="宋体" w:hAnsi="宋体"/>
          <w:color w:val="000000"/>
          <w:kern w:val="0"/>
        </w:rPr>
        <w:t>。</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135255</wp:posOffset>
                </wp:positionV>
                <wp:extent cx="571500" cy="457200"/>
                <wp:effectExtent l="0" t="1905" r="0" b="0"/>
                <wp:wrapNone/>
                <wp:docPr id="53"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竣工支付证书</w:t>
                            </w:r>
                          </w:p>
                        </w:txbxContent>
                      </wps:txbx>
                      <wps:bodyPr rot="0" vert="horz" wrap="square" lIns="0" tIns="36000" rIns="0" bIns="0" anchor="t" anchorCtr="0" upright="1">
                        <a:noAutofit/>
                      </wps:bodyPr>
                    </wps:wsp>
                  </a:graphicData>
                </a:graphic>
              </wp:anchor>
            </w:drawing>
          </mc:Choice>
          <mc:Fallback>
            <w:pict>
              <v:shape id="文本框 52" o:spid="_x0000_s1026" o:spt="202" type="#_x0000_t202" style="position:absolute;left:0pt;margin-left:0pt;margin-top:10.65pt;height:36pt;width:45pt;z-index:251781120;mso-width-relative:page;mso-height-relative:page;" fillcolor="#FFFFFF" filled="t" stroked="f" coordsize="21600,21600" o:gfxdata="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IH5&#10;+tQAAAAFAQAADwAAAAAAAAABACAAAAAiAAAAZHJzL2Rvd25yZXYueG1sUEsBAhQAFAAAAAgAh07i&#10;QNjbxEQmAgAAMwQAAA4AAAAAAAAAAQAgAAAAIwEAAGRycy9lMm9Eb2MueG1sUEsFBgAAAAAGAAYA&#10;WQEAALsFAAAAAA==&#10;">
                <v:fill on="t" focussize="0,0"/>
                <v:stroke on="f"/>
                <v:imagedata o:title=""/>
                <o:lock v:ext="edit" aspectratio="f"/>
                <v:textbox inset="0mm,1mm,0mm,0mm">
                  <w:txbxContent>
                    <w:p>
                      <w:pPr>
                        <w:rPr>
                          <w:rFonts w:ascii="楷体_GB2312" w:eastAsia="楷体_GB2312"/>
                        </w:rPr>
                      </w:pPr>
                      <w:r>
                        <w:rPr>
                          <w:rFonts w:hint="eastAsia" w:ascii="楷体_GB2312" w:eastAsia="楷体_GB2312"/>
                        </w:rPr>
                        <w:t>竣工支付证书</w:t>
                      </w:r>
                    </w:p>
                  </w:txbxContent>
                </v:textbox>
              </v:shape>
            </w:pict>
          </mc:Fallback>
        </mc:AlternateContent>
      </w:r>
      <w:r>
        <w:rPr>
          <w:rFonts w:hint="eastAsia" w:ascii="宋体" w:hAnsi="宋体"/>
          <w:b w:val="0"/>
          <w:color w:val="000000"/>
          <w:sz w:val="21"/>
        </w:rPr>
        <w:t>在按35.8款竣工结算审定完毕后7天内，工程师应签发竣工支付证书，报发包人批准后送交承包人。竣工支付证书中应载明</w:t>
      </w:r>
      <w:bookmarkEnd w:id="306"/>
      <w:r>
        <w:rPr>
          <w:rFonts w:hint="eastAsia" w:ascii="宋体" w:hAnsi="宋体"/>
          <w:b w:val="0"/>
          <w:color w:val="000000"/>
          <w:sz w:val="21"/>
        </w:rPr>
        <w:t>按照经确认的工程竣工结算价款及根据合同约定最后应支付给承包人的价款。</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07" w:name="_Toc34909129"/>
      <w:r>
        <mc:AlternateContent>
          <mc:Choice Requires="wps">
            <w:drawing>
              <wp:anchor distT="0" distB="0" distL="114300" distR="114300" simplePos="0" relativeHeight="251783168" behindDoc="0" locked="0" layoutInCell="1" allowOverlap="1">
                <wp:simplePos x="0" y="0"/>
                <wp:positionH relativeFrom="column">
                  <wp:posOffset>0</wp:posOffset>
                </wp:positionH>
                <wp:positionV relativeFrom="paragraph">
                  <wp:posOffset>171450</wp:posOffset>
                </wp:positionV>
                <wp:extent cx="571500" cy="288290"/>
                <wp:effectExtent l="0" t="0" r="0" b="0"/>
                <wp:wrapNone/>
                <wp:docPr id="52"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571500" cy="28829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竣工支付</w:t>
                            </w:r>
                          </w:p>
                        </w:txbxContent>
                      </wps:txbx>
                      <wps:bodyPr rot="0" vert="horz" wrap="square" lIns="0" tIns="0" rIns="0" bIns="0" anchor="t" anchorCtr="0" upright="1">
                        <a:noAutofit/>
                      </wps:bodyPr>
                    </wps:wsp>
                  </a:graphicData>
                </a:graphic>
              </wp:anchor>
            </w:drawing>
          </mc:Choice>
          <mc:Fallback>
            <w:pict>
              <v:shape id="文本框 51" o:spid="_x0000_s1026" o:spt="202" type="#_x0000_t202" style="position:absolute;left:0pt;margin-left:0pt;margin-top:13.5pt;height:22.7pt;width:45pt;z-index:251783168;mso-width-relative:page;mso-height-relative:page;" fillcolor="#FFFFFF" filled="t" stroked="f" coordsize="21600,21600" o:gfxdata="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Oa2e1AAA&#10;AAUBAAAPAAAAAAAAAAEAIAAAACIAAABkcnMvZG93bnJldi54bWxQSwECFAAUAAAACACHTuJAMUsE&#10;UyICAAAv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eastAsia="楷体_GB2312"/>
                        </w:rPr>
                        <w:t>竣工支付</w:t>
                      </w:r>
                    </w:p>
                  </w:txbxContent>
                </v:textbox>
              </v:shape>
            </w:pict>
          </mc:Fallback>
        </mc:AlternateContent>
      </w:r>
      <w:r>
        <w:rPr>
          <w:rFonts w:hint="eastAsia" w:ascii="宋体" w:hAnsi="宋体"/>
          <w:b w:val="0"/>
          <w:color w:val="000000"/>
          <w:sz w:val="21"/>
        </w:rPr>
        <w:t>发包人应在确认竣工支付证书后14天内向承包人支付除按本合同附件《工程质量缺陷保修书》约定扣留的工程质量缺陷保修金以外的本工程竣工结算价款。</w:t>
      </w:r>
      <w:bookmarkEnd w:id="307"/>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08" w:name="_Toc34909130"/>
      <w: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167005</wp:posOffset>
                </wp:positionV>
                <wp:extent cx="571500" cy="457200"/>
                <wp:effectExtent l="0" t="0" r="0" b="4445"/>
                <wp:wrapNone/>
                <wp:docPr id="51"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发包人不支付</w:t>
                            </w:r>
                          </w:p>
                        </w:txbxContent>
                      </wps:txbx>
                      <wps:bodyPr rot="0" vert="horz" wrap="square" lIns="0" tIns="36000" rIns="0" bIns="0" anchor="t" anchorCtr="0" upright="1">
                        <a:noAutofit/>
                      </wps:bodyPr>
                    </wps:wsp>
                  </a:graphicData>
                </a:graphic>
              </wp:anchor>
            </w:drawing>
          </mc:Choice>
          <mc:Fallback>
            <w:pict>
              <v:shape id="文本框 50" o:spid="_x0000_s1026" o:spt="202" type="#_x0000_t202" style="position:absolute;left:0pt;margin-left:0pt;margin-top:13.15pt;height:36pt;width:45pt;z-index:251784192;mso-width-relative:page;mso-height-relative:page;" fillcolor="#FFFFFF" filled="t" stroked="f" coordsize="21600,21600" o:gfxdata="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Tk7&#10;lNQAAAAFAQAADwAAAAAAAAABACAAAAAiAAAAZHJzL2Rvd25yZXYueG1sUEsBAhQAFAAAAAgAh07i&#10;QBpXa/4mAgAAMwQAAA4AAAAAAAAAAQAgAAAAIwEAAGRycy9lMm9Eb2MueG1sUEsFBgAAAAAGAAYA&#10;WQEAALsFAAAAAA==&#10;">
                <v:fill on="t" focussize="0,0"/>
                <v:stroke on="f"/>
                <v:imagedata o:title=""/>
                <o:lock v:ext="edit" aspectratio="f"/>
                <v:textbox inset="0mm,1mm,0mm,0mm">
                  <w:txbxContent>
                    <w:p>
                      <w:pPr>
                        <w:rPr>
                          <w:rFonts w:ascii="楷体_GB2312" w:eastAsia="楷体_GB2312"/>
                        </w:rPr>
                      </w:pPr>
                      <w:r>
                        <w:rPr>
                          <w:rFonts w:hint="eastAsia" w:ascii="楷体_GB2312" w:eastAsia="楷体_GB2312"/>
                        </w:rPr>
                        <w:t>发包人不支付</w:t>
                      </w:r>
                    </w:p>
                  </w:txbxContent>
                </v:textbox>
              </v:shape>
            </w:pict>
          </mc:Fallback>
        </mc:AlternateContent>
      </w:r>
      <w:r>
        <w:rPr>
          <w:rFonts w:hint="eastAsia" w:ascii="宋体" w:hAnsi="宋体"/>
          <w:b w:val="0"/>
          <w:color w:val="000000"/>
          <w:sz w:val="21"/>
        </w:rPr>
        <w:t>发包人在确认竣工支付证书后14天内无正当理由不支付工程竣工结算价款，承包人可以催告发包人支付结算价款，如双方达成延期支付协议，发包人应按同期银行存款利率支付拖欠工程价款的利息发包人在收到催告后14天内仍不支付的，承包人可以对留置的标的物进行处理，或者向保证人提出支付担保索赔，或者与发包人协议将该工程折价或拍卖，承包人就该工程折价或拍卖的价款优先受偿。</w:t>
      </w:r>
      <w:bookmarkEnd w:id="308"/>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09" w:name="_Toc34909131"/>
      <w: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137795</wp:posOffset>
                </wp:positionV>
                <wp:extent cx="571500" cy="457200"/>
                <wp:effectExtent l="0" t="4445" r="0" b="0"/>
                <wp:wrapNone/>
                <wp:docPr id="50"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造价工程师确认</w:t>
                            </w:r>
                          </w:p>
                        </w:txbxContent>
                      </wps:txbx>
                      <wps:bodyPr rot="0" vert="horz" wrap="square" lIns="0" tIns="36000" rIns="0" bIns="0" anchor="t" anchorCtr="0" upright="1">
                        <a:noAutofit/>
                      </wps:bodyPr>
                    </wps:wsp>
                  </a:graphicData>
                </a:graphic>
              </wp:anchor>
            </w:drawing>
          </mc:Choice>
          <mc:Fallback>
            <w:pict>
              <v:shape id="文本框 49" o:spid="_x0000_s1026" o:spt="202" type="#_x0000_t202" style="position:absolute;left:0pt;margin-left:0pt;margin-top:10.85pt;height:36pt;width:45pt;z-index:251785216;mso-width-relative:page;mso-height-relative:page;" fillcolor="#FFFFFF" filled="t" stroked="f" coordsize="21600,21600" o:gfxdata="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N8L&#10;m9QAAAAFAQAADwAAAAAAAAABACAAAAAiAAAAZHJzL2Rvd25yZXYueG1sUEsBAhQAFAAAAAgAh07i&#10;QJ8yaYEmAgAAMwQAAA4AAAAAAAAAAQAgAAAAIwEAAGRycy9lMm9Eb2MueG1sUEsFBgAAAAAGAAYA&#10;WQEAALsFA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造价工程师确认</w:t>
                      </w:r>
                    </w:p>
                  </w:txbxContent>
                </v:textbox>
              </v:shape>
            </w:pict>
          </mc:Fallback>
        </mc:AlternateContent>
      </w:r>
      <w:r>
        <w:rPr>
          <w:rFonts w:hint="eastAsia" w:ascii="宋体" w:hAnsi="宋体"/>
          <w:b w:val="0"/>
          <w:color w:val="000000"/>
          <w:sz w:val="21"/>
        </w:rPr>
        <w:t>第35条中有关本工程竣工结算的文件的编制和审核均须经注册造价工程师签字盖章确认。</w:t>
      </w:r>
      <w:bookmarkEnd w:id="309"/>
    </w:p>
    <w:p>
      <w:pPr>
        <w:pStyle w:val="2"/>
        <w:keepLines w:val="0"/>
        <w:numPr>
          <w:ilvl w:val="0"/>
          <w:numId w:val="0"/>
        </w:numPr>
        <w:tabs>
          <w:tab w:val="left" w:pos="1620"/>
          <w:tab w:val="left" w:pos="2340"/>
        </w:tabs>
        <w:ind w:left="945" w:leftChars="450"/>
        <w:rPr>
          <w:rFonts w:hAnsi="宋体"/>
          <w:color w:val="000000"/>
          <w:sz w:val="30"/>
        </w:rPr>
      </w:pPr>
      <w:bookmarkStart w:id="310" w:name="_Toc35657000"/>
      <w:bookmarkStart w:id="311" w:name="_Toc35656498"/>
      <w:bookmarkStart w:id="312" w:name="_Toc34909132"/>
      <w:r>
        <w:rPr>
          <w:rFonts w:hint="eastAsia" w:hAnsi="宋体"/>
          <w:color w:val="000000"/>
          <w:sz w:val="30"/>
        </w:rPr>
        <w:t>十三、违约、索赔和争议</w:t>
      </w:r>
      <w:bookmarkEnd w:id="310"/>
      <w:bookmarkEnd w:id="311"/>
      <w:bookmarkEnd w:id="312"/>
    </w:p>
    <w:p>
      <w:pPr>
        <w:pStyle w:val="2"/>
        <w:keepLines w:val="0"/>
        <w:tabs>
          <w:tab w:val="left" w:pos="1620"/>
          <w:tab w:val="left" w:pos="2340"/>
        </w:tabs>
        <w:ind w:left="945" w:leftChars="450"/>
        <w:rPr>
          <w:rFonts w:hAnsi="宋体"/>
          <w:color w:val="000000"/>
          <w:sz w:val="28"/>
          <w:szCs w:val="28"/>
        </w:rPr>
      </w:pPr>
      <w:bookmarkStart w:id="313" w:name="_Toc35656499"/>
      <w:bookmarkStart w:id="314" w:name="_Toc35657001"/>
      <w:bookmarkStart w:id="315" w:name="_Toc34909133"/>
      <w:r>
        <w:rPr>
          <w:sz w:val="28"/>
          <w:szCs w:val="28"/>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420370</wp:posOffset>
                </wp:positionV>
                <wp:extent cx="571500" cy="457200"/>
                <wp:effectExtent l="0" t="1270" r="0" b="0"/>
                <wp:wrapNone/>
                <wp:docPr id="49"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szCs w:val="21"/>
                              </w:rPr>
                              <w:t>发包人违约</w:t>
                            </w:r>
                          </w:p>
                        </w:txbxContent>
                      </wps:txbx>
                      <wps:bodyPr rot="0" vert="horz" wrap="square" lIns="0" tIns="36000" rIns="0" bIns="0" anchor="t" anchorCtr="0" upright="1">
                        <a:noAutofit/>
                      </wps:bodyPr>
                    </wps:wsp>
                  </a:graphicData>
                </a:graphic>
              </wp:anchor>
            </w:drawing>
          </mc:Choice>
          <mc:Fallback>
            <w:pict>
              <v:shape id="文本框 48" o:spid="_x0000_s1026" o:spt="202" type="#_x0000_t202" style="position:absolute;left:0pt;margin-left:0pt;margin-top:33.1pt;height:36pt;width:45pt;z-index:251786240;mso-width-relative:page;mso-height-relative:page;" fillcolor="#FFFFFF" filled="t" stroked="f" coordsize="21600,21600" o:gfxdata="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Ss&#10;0wnUAAAABgEAAA8AAAAAAAAAAQAgAAAAIgAAAGRycy9kb3ducmV2LnhtbFBLAQIUABQAAAAIAIdO&#10;4kDZaK5DJwIAADMEAAAOAAAAAAAAAAEAIAAAACMBAABkcnMvZTJvRG9jLnhtbFBLBQYAAAAABgAG&#10;AFkBAAC8BQ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szCs w:val="21"/>
                        </w:rPr>
                        <w:t>发包人违约</w:t>
                      </w:r>
                    </w:p>
                  </w:txbxContent>
                </v:textbox>
              </v:shape>
            </w:pict>
          </mc:Fallback>
        </mc:AlternateContent>
      </w:r>
      <w:r>
        <w:rPr>
          <w:rFonts w:hint="eastAsia" w:hAnsi="宋体"/>
          <w:color w:val="000000"/>
          <w:sz w:val="28"/>
          <w:szCs w:val="28"/>
        </w:rPr>
        <w:t>违约</w:t>
      </w:r>
      <w:bookmarkEnd w:id="313"/>
      <w:bookmarkEnd w:id="314"/>
      <w:bookmarkEnd w:id="315"/>
    </w:p>
    <w:p>
      <w:pPr>
        <w:pStyle w:val="3"/>
        <w:numPr>
          <w:ilvl w:val="1"/>
          <w:numId w:val="1"/>
        </w:numPr>
        <w:tabs>
          <w:tab w:val="left" w:pos="1620"/>
          <w:tab w:val="left" w:pos="2016"/>
          <w:tab w:val="left" w:pos="2340"/>
          <w:tab w:val="clear" w:pos="1711"/>
        </w:tabs>
        <w:spacing w:after="0"/>
        <w:ind w:left="945" w:leftChars="450"/>
        <w:jc w:val="both"/>
        <w:rPr>
          <w:rFonts w:hAnsi="宋体"/>
          <w:b w:val="0"/>
          <w:color w:val="000000"/>
          <w:sz w:val="21"/>
        </w:rPr>
      </w:pPr>
      <w:bookmarkStart w:id="316" w:name="_Toc34909134"/>
      <w:r>
        <w:rPr>
          <w:rFonts w:hint="eastAsia" w:hAnsi="宋体"/>
          <w:b w:val="0"/>
          <w:color w:val="000000"/>
          <w:sz w:val="21"/>
        </w:rPr>
        <w:t>发包人不履行合同义务或不按合同约定履行义务，应承担违约责任，赔偿因其违约给承包人造成的损失，顺延延误的工期。当发生下列情况时，发包人应根据专用条款的约定</w:t>
      </w:r>
      <w:bookmarkEnd w:id="316"/>
      <w:r>
        <w:rPr>
          <w:rFonts w:hint="eastAsia" w:hAnsi="宋体"/>
          <w:b w:val="0"/>
          <w:color w:val="000000"/>
          <w:sz w:val="21"/>
        </w:rPr>
        <w:t>承担违约责任。</w:t>
      </w:r>
    </w:p>
    <w:p>
      <w:pPr>
        <w:tabs>
          <w:tab w:val="left" w:pos="1620"/>
          <w:tab w:val="left" w:pos="2340"/>
        </w:tabs>
        <w:ind w:left="1449" w:leftChars="690"/>
        <w:rPr>
          <w:rFonts w:ascii="宋体" w:hAnsi="宋体"/>
          <w:color w:val="000000"/>
        </w:rPr>
      </w:pPr>
      <w:r>
        <w:rPr>
          <w:rFonts w:hint="eastAsia" w:ascii="宋体" w:hAnsi="宋体"/>
          <w:color w:val="000000"/>
        </w:rPr>
        <w:t>⑴通用条款19.4款所指发包人暂停工程施工持续63天以上；</w:t>
      </w:r>
    </w:p>
    <w:p>
      <w:pPr>
        <w:tabs>
          <w:tab w:val="left" w:pos="1620"/>
          <w:tab w:val="left" w:pos="2340"/>
        </w:tabs>
        <w:ind w:left="1449" w:leftChars="690"/>
        <w:rPr>
          <w:rFonts w:ascii="宋体" w:hAnsi="宋体"/>
          <w:color w:val="000000"/>
        </w:rPr>
      </w:pPr>
      <w:r>
        <w:rPr>
          <w:rFonts w:hint="eastAsia" w:ascii="宋体" w:hAnsi="宋体"/>
          <w:color w:val="000000"/>
        </w:rPr>
        <w:t>⑵通用条款31.2款所指发包人不按时支付工程预付款；</w:t>
      </w:r>
    </w:p>
    <w:p>
      <w:pPr>
        <w:tabs>
          <w:tab w:val="left" w:pos="1620"/>
          <w:tab w:val="left" w:pos="2340"/>
        </w:tabs>
        <w:ind w:left="1449" w:leftChars="690"/>
        <w:rPr>
          <w:rFonts w:ascii="宋体" w:hAnsi="宋体"/>
          <w:color w:val="000000"/>
        </w:rPr>
      </w:pPr>
      <w:r>
        <w:rPr>
          <w:rFonts w:hint="eastAsia" w:ascii="宋体" w:hAnsi="宋体"/>
          <w:color w:val="000000"/>
        </w:rPr>
        <w:t>⑶通用条款31.7款所指发包人不按时支付工程进度款；</w:t>
      </w:r>
    </w:p>
    <w:p>
      <w:pPr>
        <w:tabs>
          <w:tab w:val="left" w:pos="1620"/>
          <w:tab w:val="left" w:pos="2340"/>
        </w:tabs>
        <w:ind w:left="1449" w:leftChars="690"/>
        <w:rPr>
          <w:rFonts w:ascii="宋体" w:hAnsi="宋体"/>
          <w:color w:val="000000"/>
        </w:rPr>
      </w:pPr>
      <w:r>
        <w:rPr>
          <w:rFonts w:hint="eastAsia" w:ascii="宋体" w:hAnsi="宋体"/>
          <w:color w:val="000000"/>
        </w:rPr>
        <w:t>⑷通用条款35.9款所指发包人不按时支付工程竣工结算款。</w:t>
      </w:r>
    </w:p>
    <w:p>
      <w:pPr>
        <w:pStyle w:val="3"/>
        <w:numPr>
          <w:ilvl w:val="1"/>
          <w:numId w:val="1"/>
        </w:numPr>
        <w:tabs>
          <w:tab w:val="left" w:pos="1620"/>
          <w:tab w:val="left" w:pos="2016"/>
          <w:tab w:val="left" w:pos="2340"/>
          <w:tab w:val="clear" w:pos="1711"/>
        </w:tabs>
        <w:spacing w:after="0"/>
        <w:ind w:left="945" w:leftChars="450"/>
        <w:jc w:val="both"/>
        <w:rPr>
          <w:rFonts w:hAnsi="宋体"/>
          <w:b w:val="0"/>
          <w:color w:val="000000"/>
          <w:sz w:val="21"/>
        </w:rPr>
      </w:pPr>
      <w:bookmarkStart w:id="317" w:name="_Toc34909135"/>
      <w:r>
        <mc:AlternateContent>
          <mc:Choice Requires="wps">
            <w:drawing>
              <wp:anchor distT="0" distB="0" distL="114300" distR="114300" simplePos="0" relativeHeight="251787264" behindDoc="0" locked="0" layoutInCell="1" allowOverlap="1">
                <wp:simplePos x="0" y="0"/>
                <wp:positionH relativeFrom="column">
                  <wp:posOffset>0</wp:posOffset>
                </wp:positionH>
                <wp:positionV relativeFrom="paragraph">
                  <wp:posOffset>174625</wp:posOffset>
                </wp:positionV>
                <wp:extent cx="571500" cy="342900"/>
                <wp:effectExtent l="0" t="3175" r="0" b="0"/>
                <wp:wrapNone/>
                <wp:docPr id="48"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szCs w:val="21"/>
                              </w:rPr>
                              <w:t>承包人违约</w:t>
                            </w:r>
                          </w:p>
                        </w:txbxContent>
                      </wps:txbx>
                      <wps:bodyPr rot="0" vert="horz" wrap="square" lIns="0" tIns="0" rIns="0" bIns="0" anchor="t" anchorCtr="0" upright="1">
                        <a:noAutofit/>
                      </wps:bodyPr>
                    </wps:wsp>
                  </a:graphicData>
                </a:graphic>
              </wp:anchor>
            </w:drawing>
          </mc:Choice>
          <mc:Fallback>
            <w:pict>
              <v:shape id="文本框 47" o:spid="_x0000_s1026" o:spt="202" type="#_x0000_t202" style="position:absolute;left:0pt;margin-left:0pt;margin-top:13.75pt;height:27pt;width:45pt;z-index:251787264;mso-width-relative:page;mso-height-relative:page;" fillcolor="#FFFFFF" filled="t" stroked="f" coordsize="21600,21600" o:gfxdata="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U/9+3VAAAA&#10;BQEAAA8AAAAAAAAAAQAgAAAAIgAAAGRycy9kb3ducmV2LnhtbFBLAQIUABQAAAAIAIdO4kCTLVuD&#10;IAIAAC8EAAAOAAAAAAAAAAEAIAAAACQ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szCs w:val="21"/>
                        </w:rPr>
                        <w:t>承包人违约</w:t>
                      </w:r>
                    </w:p>
                  </w:txbxContent>
                </v:textbox>
              </v:shape>
            </w:pict>
          </mc:Fallback>
        </mc:AlternateContent>
      </w:r>
      <w:r>
        <w:rPr>
          <w:rFonts w:hint="eastAsia" w:hAnsi="宋体"/>
          <w:b w:val="0"/>
          <w:color w:val="000000"/>
          <w:sz w:val="21"/>
        </w:rPr>
        <w:t>承包人不履行合同义务或不按合同约定履行义务，应承担违约责任，赔偿因其违约给发包人造成的损失。当发生下列情况时，承包人应根据专用条款的约定</w:t>
      </w:r>
      <w:bookmarkEnd w:id="317"/>
      <w:r>
        <w:rPr>
          <w:rFonts w:hint="eastAsia" w:hAnsi="宋体"/>
          <w:b w:val="0"/>
          <w:color w:val="000000"/>
          <w:sz w:val="21"/>
        </w:rPr>
        <w:t>承担违约责任。</w:t>
      </w:r>
    </w:p>
    <w:p>
      <w:pPr>
        <w:tabs>
          <w:tab w:val="left" w:pos="1620"/>
          <w:tab w:val="left" w:pos="2340"/>
        </w:tabs>
        <w:ind w:left="1449" w:leftChars="690"/>
        <w:rPr>
          <w:rFonts w:ascii="宋体" w:hAnsi="宋体"/>
          <w:color w:val="000000"/>
        </w:rPr>
      </w:pPr>
      <w:r>
        <w:rPr>
          <w:rFonts w:hint="eastAsia" w:ascii="宋体" w:hAnsi="宋体"/>
          <w:color w:val="000000"/>
        </w:rPr>
        <w:t>⑴通用条款20.5款所指承包人未按时竣工；</w:t>
      </w:r>
    </w:p>
    <w:p>
      <w:pPr>
        <w:tabs>
          <w:tab w:val="left" w:pos="1620"/>
          <w:tab w:val="left" w:pos="2340"/>
        </w:tabs>
        <w:ind w:left="1449" w:leftChars="690"/>
        <w:rPr>
          <w:rFonts w:ascii="宋体" w:hAnsi="宋体"/>
          <w:color w:val="000000"/>
        </w:rPr>
      </w:pPr>
      <w:r>
        <w:rPr>
          <w:rFonts w:hint="eastAsia" w:ascii="宋体" w:hAnsi="宋体"/>
          <w:color w:val="000000"/>
        </w:rPr>
        <w:t>⑵通用条款24.5款所指工程质量达不到合同约定的质量标准。</w:t>
      </w:r>
    </w:p>
    <w:p>
      <w:pPr>
        <w:pStyle w:val="3"/>
        <w:numPr>
          <w:ilvl w:val="1"/>
          <w:numId w:val="1"/>
        </w:numPr>
        <w:tabs>
          <w:tab w:val="left" w:pos="1620"/>
          <w:tab w:val="left" w:pos="2016"/>
          <w:tab w:val="left" w:pos="2340"/>
          <w:tab w:val="clear" w:pos="1711"/>
        </w:tabs>
        <w:spacing w:after="0"/>
        <w:ind w:left="945" w:leftChars="450"/>
        <w:jc w:val="both"/>
        <w:rPr>
          <w:rFonts w:hAnsi="宋体"/>
          <w:b w:val="0"/>
          <w:color w:val="000000"/>
          <w:sz w:val="21"/>
        </w:rPr>
      </w:pPr>
      <w:bookmarkStart w:id="318" w:name="_Toc34909136"/>
      <w: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171450</wp:posOffset>
                </wp:positionV>
                <wp:extent cx="571500" cy="355600"/>
                <wp:effectExtent l="0" t="0" r="0" b="0"/>
                <wp:wrapNone/>
                <wp:docPr id="47"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571500" cy="355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szCs w:val="21"/>
                              </w:rPr>
                              <w:t>继续履行合同</w:t>
                            </w:r>
                          </w:p>
                        </w:txbxContent>
                      </wps:txbx>
                      <wps:bodyPr rot="0" vert="horz" wrap="square" lIns="0" tIns="0" rIns="0" bIns="0" anchor="t" anchorCtr="0" upright="1">
                        <a:noAutofit/>
                      </wps:bodyPr>
                    </wps:wsp>
                  </a:graphicData>
                </a:graphic>
              </wp:anchor>
            </w:drawing>
          </mc:Choice>
          <mc:Fallback>
            <w:pict>
              <v:shape id="文本框 46" o:spid="_x0000_s1026" o:spt="202" type="#_x0000_t202" style="position:absolute;left:0pt;margin-left:0pt;margin-top:13.5pt;height:28pt;width:45pt;z-index:251788288;mso-width-relative:page;mso-height-relative:page;" fillcolor="#FFFFFF" filled="t" stroked="f" coordsize="21600,21600" o:gfxdata="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YC3XtQAAAAF&#10;AQAADwAAAAAAAAABACAAAAAiAAAAZHJzL2Rvd25yZXYueG1sUEsBAhQAFAAAAAgAh07iQFqrL/Yg&#10;AgAALw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szCs w:val="21"/>
                        </w:rPr>
                        <w:t>继续履行合同</w:t>
                      </w:r>
                    </w:p>
                  </w:txbxContent>
                </v:textbox>
              </v:shape>
            </w:pict>
          </mc:Fallback>
        </mc:AlternateContent>
      </w:r>
      <w:r>
        <w:rPr>
          <w:rFonts w:hint="eastAsia" w:hAnsi="宋体"/>
          <w:b w:val="0"/>
          <w:color w:val="000000"/>
          <w:sz w:val="21"/>
        </w:rPr>
        <w:t>除非另有约定，发包人和承包人一方违约后，另一方要求违约方继续履行本合同时，违约方承担上述违约责任后仍应继续履行合同。</w:t>
      </w:r>
      <w:bookmarkEnd w:id="318"/>
    </w:p>
    <w:p>
      <w:pPr>
        <w:pStyle w:val="2"/>
        <w:keepLines w:val="0"/>
        <w:tabs>
          <w:tab w:val="left" w:pos="1620"/>
          <w:tab w:val="left" w:pos="2340"/>
        </w:tabs>
        <w:ind w:left="945" w:leftChars="450"/>
        <w:rPr>
          <w:rFonts w:hAnsi="宋体"/>
          <w:color w:val="000000"/>
          <w:sz w:val="28"/>
          <w:szCs w:val="28"/>
        </w:rPr>
      </w:pPr>
      <w:bookmarkStart w:id="319" w:name="_Toc35657002"/>
      <w:bookmarkStart w:id="320" w:name="_Toc35656500"/>
      <w:bookmarkStart w:id="321" w:name="_Toc34909137"/>
      <w:r>
        <w:rPr>
          <w:rFonts w:hint="eastAsia" w:hAnsi="宋体"/>
          <w:color w:val="000000"/>
          <w:sz w:val="28"/>
          <w:szCs w:val="28"/>
        </w:rPr>
        <w:t>索赔</w:t>
      </w:r>
      <w:bookmarkEnd w:id="319"/>
      <w:bookmarkEnd w:id="320"/>
      <w:bookmarkEnd w:id="321"/>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22" w:name="_Toc34909138"/>
      <w: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17145</wp:posOffset>
                </wp:positionV>
                <wp:extent cx="571500" cy="228600"/>
                <wp:effectExtent l="0" t="0" r="0" b="1905"/>
                <wp:wrapNone/>
                <wp:docPr id="46"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szCs w:val="21"/>
                              </w:rPr>
                              <w:t>索赔理由</w:t>
                            </w:r>
                          </w:p>
                        </w:txbxContent>
                      </wps:txbx>
                      <wps:bodyPr rot="0" vert="horz" wrap="square" lIns="0" tIns="0" rIns="0" bIns="0" anchor="t" anchorCtr="0" upright="1">
                        <a:noAutofit/>
                      </wps:bodyPr>
                    </wps:wsp>
                  </a:graphicData>
                </a:graphic>
              </wp:anchor>
            </w:drawing>
          </mc:Choice>
          <mc:Fallback>
            <w:pict>
              <v:shape id="文本框 45" o:spid="_x0000_s1026" o:spt="202" type="#_x0000_t202" style="position:absolute;left:0pt;margin-left:0pt;margin-top:1.35pt;height:18pt;width:45pt;z-index:251789312;mso-width-relative:page;mso-height-relative:page;" fillcolor="#FFFFFF" filled="t" stroked="f" coordsize="21600,21600" o:gfxdata="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8NWFtQAAAAE&#10;AQAADwAAAAAAAAABACAAAAAiAAAAZHJzL2Rvd25yZXYueG1sUEsBAhQAFAAAAAgAh07iQA0RIp4g&#10;AgAALw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szCs w:val="21"/>
                        </w:rPr>
                        <w:t>索赔理由</w:t>
                      </w:r>
                    </w:p>
                  </w:txbxContent>
                </v:textbox>
              </v:shape>
            </w:pict>
          </mc:Fallback>
        </mc:AlternateContent>
      </w:r>
      <w:r>
        <w:rPr>
          <w:rFonts w:hint="eastAsia" w:ascii="宋体" w:hAnsi="宋体"/>
          <w:b w:val="0"/>
          <w:color w:val="000000"/>
          <w:sz w:val="21"/>
        </w:rPr>
        <w:t>发包人和承包人双方中，</w:t>
      </w:r>
      <w:bookmarkEnd w:id="322"/>
      <w:r>
        <w:rPr>
          <w:rFonts w:hint="eastAsia" w:ascii="宋体" w:hAnsi="宋体"/>
          <w:b w:val="0"/>
          <w:color w:val="000000"/>
          <w:sz w:val="21"/>
        </w:rPr>
        <w:t>当一方向另一方提出索赔时，要有合理的索赔理由，且有其要求索赔的事件发生时的有效证据。</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23" w:name="_Toc34909139"/>
      <w:r>
        <mc:AlternateContent>
          <mc:Choice Requires="wps">
            <w:drawing>
              <wp:anchor distT="0" distB="0" distL="114300" distR="114300" simplePos="0" relativeHeight="251791360" behindDoc="0" locked="0" layoutInCell="1" allowOverlap="1">
                <wp:simplePos x="0" y="0"/>
                <wp:positionH relativeFrom="column">
                  <wp:posOffset>0</wp:posOffset>
                </wp:positionH>
                <wp:positionV relativeFrom="paragraph">
                  <wp:posOffset>156845</wp:posOffset>
                </wp:positionV>
                <wp:extent cx="571500" cy="228600"/>
                <wp:effectExtent l="0" t="4445" r="0" b="0"/>
                <wp:wrapNone/>
                <wp:docPr id="45"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szCs w:val="21"/>
                              </w:rPr>
                              <w:t>当时记录</w:t>
                            </w:r>
                          </w:p>
                        </w:txbxContent>
                      </wps:txbx>
                      <wps:bodyPr rot="0" vert="horz" wrap="square" lIns="0" tIns="18000" rIns="0" bIns="0" anchor="t" anchorCtr="0" upright="1">
                        <a:noAutofit/>
                      </wps:bodyPr>
                    </wps:wsp>
                  </a:graphicData>
                </a:graphic>
              </wp:anchor>
            </w:drawing>
          </mc:Choice>
          <mc:Fallback>
            <w:pict>
              <v:shape id="文本框 44" o:spid="_x0000_s1026" o:spt="202" type="#_x0000_t202" style="position:absolute;left:0pt;margin-left:0pt;margin-top:12.35pt;height:18pt;width:45pt;z-index:251791360;mso-width-relative:page;mso-height-relative:page;" fillcolor="#FFFFFF" filled="t" stroked="f" coordsize="21600,21600" o:gfxdata="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tGP&#10;4dYAAAAFAQAADwAAAAAAAAABACAAAAAiAAAAZHJzL2Rvd25yZXYueG1sUEsBAhQAFAAAAAgAh07i&#10;QIRkvUYkAgAAMwQAAA4AAAAAAAAAAQAgAAAAJQEAAGRycy9lMm9Eb2MueG1sUEsFBgAAAAAGAAYA&#10;WQEAALsFA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szCs w:val="21"/>
                        </w:rPr>
                        <w:t>当时记录</w:t>
                      </w:r>
                    </w:p>
                  </w:txbxContent>
                </v:textbox>
              </v:shape>
            </w:pict>
          </mc:Fallback>
        </mc:AlternateContent>
      </w:r>
      <w:r>
        <w:rPr>
          <w:rFonts w:hint="eastAsia" w:ascii="宋体" w:hAnsi="宋体"/>
          <w:b w:val="0"/>
          <w:color w:val="000000"/>
          <w:sz w:val="21"/>
        </w:rPr>
        <w:t>提出索赔的一方在其要求索赔的事件发生时，应保存好当时记录，以便证明提出的索赔，并应允许另一方或工程师查阅全部记录。</w:t>
      </w:r>
      <w:bookmarkEnd w:id="323"/>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24" w:name="_Toc34909140"/>
      <w: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165100</wp:posOffset>
                </wp:positionV>
                <wp:extent cx="571500" cy="369570"/>
                <wp:effectExtent l="0" t="3175" r="0" b="0"/>
                <wp:wrapNone/>
                <wp:docPr id="44"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571500" cy="36957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szCs w:val="21"/>
                              </w:rPr>
                              <w:t>承包人索赔程序</w:t>
                            </w:r>
                          </w:p>
                        </w:txbxContent>
                      </wps:txbx>
                      <wps:bodyPr rot="0" vert="horz" wrap="square" lIns="0" tIns="0" rIns="0" bIns="0" anchor="t" anchorCtr="0" upright="1">
                        <a:noAutofit/>
                      </wps:bodyPr>
                    </wps:wsp>
                  </a:graphicData>
                </a:graphic>
              </wp:anchor>
            </w:drawing>
          </mc:Choice>
          <mc:Fallback>
            <w:pict>
              <v:shape id="文本框 43" o:spid="_x0000_s1026" o:spt="202" type="#_x0000_t202" style="position:absolute;left:0pt;margin-left:0pt;margin-top:13pt;height:29.1pt;width:45pt;z-index:251790336;mso-width-relative:page;mso-height-relative:page;" fillcolor="#FFFFFF" filled="t" stroked="f" coordsize="21600,21600" o:gfxdata="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vQ3XtQA&#10;AAAFAQAADwAAAAAAAAABACAAAAAiAAAAZHJzL2Rvd25yZXYueG1sUEsBAhQAFAAAAAgAh07iQB7W&#10;PdwjAgAALwQAAA4AAAAAAAAAAQAgAAAAIw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szCs w:val="21"/>
                        </w:rPr>
                        <w:t>承包人索赔程序</w:t>
                      </w:r>
                    </w:p>
                  </w:txbxContent>
                </v:textbox>
              </v:shape>
            </w:pict>
          </mc:Fallback>
        </mc:AlternateContent>
      </w:r>
      <w:r>
        <w:rPr>
          <w:rFonts w:hint="eastAsia" w:ascii="宋体" w:hAnsi="宋体"/>
          <w:b w:val="0"/>
          <w:color w:val="000000"/>
          <w:sz w:val="21"/>
        </w:rPr>
        <w:t>发包人未能按合同约定履行义务、发生错误以及应由发包人承担责任的其他情况，给承包人造成损失和(或)导致工期延误的，承包人可按下列程序向发包人提出索赔：</w:t>
      </w:r>
      <w:bookmarkEnd w:id="324"/>
    </w:p>
    <w:p>
      <w:pPr>
        <w:tabs>
          <w:tab w:val="left" w:pos="1620"/>
          <w:tab w:val="left" w:pos="2340"/>
        </w:tabs>
        <w:ind w:left="1449" w:leftChars="690"/>
        <w:rPr>
          <w:rFonts w:ascii="宋体" w:hAnsi="宋体"/>
          <w:color w:val="000000"/>
        </w:rPr>
      </w:pPr>
      <w:r>
        <w:rPr>
          <w:rFonts w:hint="eastAsia" w:ascii="宋体" w:hAnsi="宋体"/>
          <w:color w:val="000000"/>
        </w:rPr>
        <w:t>⑴索赔的事件发生后28天内，向工程师提出索赔意向通知。逾期不提出的，视为放弃索赔；</w:t>
      </w:r>
    </w:p>
    <w:p>
      <w:pPr>
        <w:tabs>
          <w:tab w:val="left" w:pos="1620"/>
          <w:tab w:val="left" w:pos="2340"/>
        </w:tabs>
        <w:ind w:left="1449" w:leftChars="690"/>
        <w:rPr>
          <w:rFonts w:ascii="宋体" w:hAnsi="宋体"/>
          <w:color w:val="000000"/>
        </w:rPr>
      </w:pPr>
      <w:r>
        <w:rPr>
          <w:rFonts w:hint="eastAsia" w:ascii="宋体" w:hAnsi="宋体"/>
          <w:color w:val="000000"/>
        </w:rPr>
        <w:t>⑵在提出索赔意向通知后28天内，向工程师提交赔偿损失和(或)延长工期的索赔报告及有关资料；</w:t>
      </w:r>
    </w:p>
    <w:p>
      <w:pPr>
        <w:tabs>
          <w:tab w:val="left" w:pos="1620"/>
          <w:tab w:val="left" w:pos="2340"/>
        </w:tabs>
        <w:ind w:left="1449" w:leftChars="690"/>
        <w:rPr>
          <w:rFonts w:ascii="宋体" w:hAnsi="宋体"/>
          <w:color w:val="000000"/>
        </w:rPr>
      </w:pPr>
      <w:r>
        <w:rPr>
          <w:rFonts w:hint="eastAsia" w:ascii="宋体" w:hAnsi="宋体"/>
          <w:color w:val="000000"/>
        </w:rPr>
        <w:t>⑶工程师在收到承包人提交的索赔报告和有关资料后，于28天内给予答复，或要求承包人进一步补充索赔理由和证据；</w:t>
      </w:r>
    </w:p>
    <w:p>
      <w:pPr>
        <w:tabs>
          <w:tab w:val="left" w:pos="1620"/>
          <w:tab w:val="left" w:pos="2340"/>
        </w:tabs>
        <w:ind w:left="1449" w:leftChars="690"/>
        <w:rPr>
          <w:rFonts w:ascii="宋体" w:hAnsi="宋体"/>
          <w:color w:val="000000"/>
        </w:rPr>
      </w:pPr>
      <w:r>
        <w:rPr>
          <w:rFonts w:hint="eastAsia" w:ascii="宋体" w:hAnsi="宋体"/>
          <w:color w:val="000000"/>
        </w:rPr>
        <w:t>⑷当索赔事件持续进行时，承包人应阶段性向工程师提出索赔意向通知，在该事件终了后28天内，向工程提交索赔的有关资料和最终索赔报告。索赔答复程序与本款⑶的约定相同。</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25" w:name="_Toc34909143"/>
      <w:bookmarkStart w:id="326" w:name="_Toc34909142"/>
      <w:r>
        <mc:AlternateContent>
          <mc:Choice Requires="wps">
            <w:drawing>
              <wp:anchor distT="0" distB="0" distL="114300" distR="114300" simplePos="0" relativeHeight="251792384" behindDoc="0" locked="0" layoutInCell="1" allowOverlap="1">
                <wp:simplePos x="0" y="0"/>
                <wp:positionH relativeFrom="column">
                  <wp:posOffset>0</wp:posOffset>
                </wp:positionH>
                <wp:positionV relativeFrom="paragraph">
                  <wp:posOffset>144145</wp:posOffset>
                </wp:positionV>
                <wp:extent cx="571500" cy="457200"/>
                <wp:effectExtent l="0" t="1270" r="0" b="0"/>
                <wp:wrapNone/>
                <wp:docPr id="43"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szCs w:val="21"/>
                              </w:rPr>
                              <w:t>发包人索赔程序</w:t>
                            </w:r>
                          </w:p>
                        </w:txbxContent>
                      </wps:txbx>
                      <wps:bodyPr rot="0" vert="horz" wrap="square" lIns="0" tIns="36000" rIns="0" bIns="0" anchor="t" anchorCtr="0" upright="1">
                        <a:noAutofit/>
                      </wps:bodyPr>
                    </wps:wsp>
                  </a:graphicData>
                </a:graphic>
              </wp:anchor>
            </w:drawing>
          </mc:Choice>
          <mc:Fallback>
            <w:pict>
              <v:shape id="文本框 42" o:spid="_x0000_s1026" o:spt="202" type="#_x0000_t202" style="position:absolute;left:0pt;margin-left:0pt;margin-top:11.35pt;height:36pt;width:45pt;z-index:251792384;mso-width-relative:page;mso-height-relative:page;" fillcolor="#FFFFFF" filled="t" stroked="f" coordsize="21600,21600" o:gfxdata="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EC&#10;rx7UAAAABQEAAA8AAAAAAAAAAQAgAAAAIgAAAGRycy9kb3ducmV2LnhtbFBLAQIUABQAAAAIAIdO&#10;4kDQ3Sx+JwIAADMEAAAOAAAAAAAAAAEAIAAAACMBAABkcnMvZTJvRG9jLnhtbFBLBQYAAAAABgAG&#10;AFkBAAC8BQ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szCs w:val="21"/>
                        </w:rPr>
                        <w:t>发包人索赔程序</w:t>
                      </w:r>
                    </w:p>
                  </w:txbxContent>
                </v:textbox>
              </v:shape>
            </w:pict>
          </mc:Fallback>
        </mc:AlternateContent>
      </w:r>
      <w:r>
        <w:rPr>
          <w:rFonts w:hint="eastAsia" w:ascii="宋体" w:hAnsi="宋体"/>
          <w:b w:val="0"/>
          <w:color w:val="000000"/>
          <w:sz w:val="21"/>
        </w:rPr>
        <w:t>承包人未能按合同约定履行义务、发生错误以及应由承包人承担责任的其他情况，给发包人造成损失的，发包人可按下列程序向承包人提出索赔</w:t>
      </w:r>
      <w:bookmarkEnd w:id="325"/>
      <w:r>
        <w:rPr>
          <w:rFonts w:hint="eastAsia" w:ascii="宋体" w:hAnsi="宋体"/>
          <w:b w:val="0"/>
          <w:color w:val="000000"/>
          <w:sz w:val="21"/>
        </w:rPr>
        <w:t>：</w:t>
      </w:r>
    </w:p>
    <w:p>
      <w:pPr>
        <w:tabs>
          <w:tab w:val="left" w:pos="1620"/>
          <w:tab w:val="left" w:pos="2340"/>
        </w:tabs>
        <w:ind w:left="1418" w:leftChars="675"/>
        <w:rPr>
          <w:rFonts w:ascii="宋体" w:hAnsi="宋体"/>
          <w:color w:val="000000"/>
        </w:rPr>
      </w:pPr>
      <w:r>
        <w:rPr>
          <w:rFonts w:hint="eastAsia" w:ascii="宋体" w:hAnsi="宋体"/>
          <w:color w:val="000000"/>
        </w:rPr>
        <w:t>⑴索赔的事件发生后28天内，向承包人提出索赔意向通知；</w:t>
      </w:r>
    </w:p>
    <w:p>
      <w:pPr>
        <w:tabs>
          <w:tab w:val="left" w:pos="1620"/>
          <w:tab w:val="left" w:pos="2340"/>
        </w:tabs>
        <w:ind w:left="1418" w:leftChars="675"/>
        <w:rPr>
          <w:rFonts w:ascii="宋体" w:hAnsi="宋体"/>
          <w:color w:val="000000"/>
        </w:rPr>
      </w:pPr>
      <w:r>
        <w:rPr>
          <w:rFonts w:hint="eastAsia" w:ascii="宋体" w:hAnsi="宋体"/>
          <w:color w:val="000000"/>
        </w:rPr>
        <w:t>⑵在提出索赔意向通知后28天内，向承包人提出赔偿损失的索赔报告及有关资料；</w:t>
      </w:r>
    </w:p>
    <w:p>
      <w:pPr>
        <w:tabs>
          <w:tab w:val="left" w:pos="1620"/>
          <w:tab w:val="left" w:pos="2340"/>
        </w:tabs>
        <w:ind w:left="1418" w:leftChars="675"/>
        <w:rPr>
          <w:rFonts w:ascii="宋体" w:hAnsi="宋体"/>
          <w:color w:val="000000"/>
        </w:rPr>
      </w:pPr>
      <w:r>
        <w:rPr>
          <w:rFonts w:hint="eastAsia" w:ascii="宋体" w:hAnsi="宋体"/>
          <w:color w:val="000000"/>
        </w:rPr>
        <w:t>⑶承包人在收到发包人提交的索赔报告和有关资料后，于28天内给予答复，或要求发包人进一步补充索赔理由和证据；</w:t>
      </w:r>
    </w:p>
    <w:p>
      <w:pPr>
        <w:tabs>
          <w:tab w:val="left" w:pos="1620"/>
          <w:tab w:val="left" w:pos="2340"/>
        </w:tabs>
        <w:ind w:left="1418" w:leftChars="675"/>
        <w:rPr>
          <w:rFonts w:ascii="宋体" w:hAnsi="宋体"/>
          <w:color w:val="000000"/>
        </w:rPr>
      </w:pPr>
      <w:r>
        <w:rPr>
          <w:rFonts w:hint="eastAsia" w:ascii="宋体" w:hAnsi="宋体"/>
          <w:color w:val="000000"/>
        </w:rPr>
        <w:t>⑷承包人在收到发包人提交的索赔报告和有关资料后28天内未予答复或未对发包人作进一步要求，视为该项索赔已被认可；</w:t>
      </w:r>
    </w:p>
    <w:p>
      <w:pPr>
        <w:tabs>
          <w:tab w:val="left" w:pos="1620"/>
          <w:tab w:val="left" w:pos="2340"/>
        </w:tabs>
        <w:ind w:left="1418" w:leftChars="675"/>
        <w:rPr>
          <w:rFonts w:ascii="宋体" w:hAnsi="宋体"/>
          <w:color w:val="000000"/>
        </w:rPr>
      </w:pPr>
      <w:r>
        <w:rPr>
          <w:rFonts w:ascii="宋体" w:hAnsi="宋体"/>
          <w:color w:val="000000"/>
        </w:rPr>
        <w:t>⑸</w:t>
      </w:r>
      <w:r>
        <w:rPr>
          <w:rFonts w:hint="eastAsia" w:ascii="宋体" w:hAnsi="宋体"/>
          <w:color w:val="000000"/>
        </w:rPr>
        <w:t>当索赔事件持续进行时，发包人应阶段性向承包人提出索赔意向通知，在该事件终了后28天内，向承包人提交索赔的有关资料和最终索赔报告。索赔答复程序与本款⑶、⑷约定相同。</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93408" behindDoc="0" locked="0" layoutInCell="1" allowOverlap="1">
                <wp:simplePos x="0" y="0"/>
                <wp:positionH relativeFrom="column">
                  <wp:posOffset>0</wp:posOffset>
                </wp:positionH>
                <wp:positionV relativeFrom="paragraph">
                  <wp:posOffset>186690</wp:posOffset>
                </wp:positionV>
                <wp:extent cx="571500" cy="342900"/>
                <wp:effectExtent l="0" t="0" r="0" b="3810"/>
                <wp:wrapNone/>
                <wp:docPr id="42"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szCs w:val="21"/>
                              </w:rPr>
                              <w:t>承包人索赔的支付</w:t>
                            </w:r>
                          </w:p>
                        </w:txbxContent>
                      </wps:txbx>
                      <wps:bodyPr rot="0" vert="horz" wrap="square" lIns="0" tIns="0" rIns="0" bIns="0" anchor="t" anchorCtr="0" upright="1">
                        <a:noAutofit/>
                      </wps:bodyPr>
                    </wps:wsp>
                  </a:graphicData>
                </a:graphic>
              </wp:anchor>
            </w:drawing>
          </mc:Choice>
          <mc:Fallback>
            <w:pict>
              <v:shape id="文本框 41" o:spid="_x0000_s1026" o:spt="202" type="#_x0000_t202" style="position:absolute;left:0pt;margin-left:0pt;margin-top:14.7pt;height:27pt;width:45pt;z-index:251793408;mso-width-relative:page;mso-height-relative:page;" fillcolor="#FFFFFF" filled="t" stroked="f" coordsize="21600,21600" o:gfxdata="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uYJYbVAAAA&#10;BQEAAA8AAAAAAAAAAQAgAAAAIgAAAGRycy9kb3ducmV2LnhtbFBLAQIUABQAAAAIAIdO4kDJx8vk&#10;IAIAAC8EAAAOAAAAAAAAAAEAIAAAACQ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szCs w:val="21"/>
                        </w:rPr>
                        <w:t>承包人索赔的支付</w:t>
                      </w:r>
                    </w:p>
                  </w:txbxContent>
                </v:textbox>
              </v:shape>
            </w:pict>
          </mc:Fallback>
        </mc:AlternateContent>
      </w:r>
      <w:r>
        <w:rPr>
          <w:rFonts w:hint="eastAsia" w:ascii="宋体" w:hAnsi="宋体"/>
          <w:b w:val="0"/>
          <w:color w:val="000000"/>
          <w:sz w:val="21"/>
        </w:rPr>
        <w:t>工程师对承包人根据第37.3款提交的索赔报告和有关资料进行核实，与承包人协商并报发包人批准后，确定赔偿的费用并与工程款同期支付，确定延误的工期并顺延工期。</w:t>
      </w:r>
      <w:bookmarkEnd w:id="32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165735</wp:posOffset>
                </wp:positionV>
                <wp:extent cx="571500" cy="457200"/>
                <wp:effectExtent l="0" t="3810" r="0" b="0"/>
                <wp:wrapNone/>
                <wp:docPr id="41"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szCs w:val="21"/>
                              </w:rPr>
                              <w:t>发包人索赔的支付</w:t>
                            </w:r>
                          </w:p>
                        </w:txbxContent>
                      </wps:txbx>
                      <wps:bodyPr rot="0" vert="horz" wrap="square" lIns="0" tIns="0" rIns="0" bIns="0" anchor="t" anchorCtr="0" upright="1">
                        <a:noAutofit/>
                      </wps:bodyPr>
                    </wps:wsp>
                  </a:graphicData>
                </a:graphic>
              </wp:anchor>
            </w:drawing>
          </mc:Choice>
          <mc:Fallback>
            <w:pict>
              <v:shape id="文本框 40" o:spid="_x0000_s1026" o:spt="202" type="#_x0000_t202" style="position:absolute;left:0pt;margin-left:0pt;margin-top:13.05pt;height:36pt;width:45pt;z-index:251794432;mso-width-relative:page;mso-height-relative:page;" fillcolor="#FFFFFF" filled="t" stroked="f" coordsize="21600,21600" o:gfxdata="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K2xN+1AAA&#10;AAUBAAAPAAAAAAAAAAEAIAAAACIAAABkcnMvZG93bnJldi54bWxQSwECFAAUAAAACACHTuJAAf66&#10;4iICAAAvBAAADgAAAAAAAAABACAAAAAjAQAAZHJzL2Uyb0RvYy54bWxQSwUGAAAAAAYABgBZAQAA&#10;tw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szCs w:val="21"/>
                        </w:rPr>
                        <w:t>发包人索赔的支付</w:t>
                      </w:r>
                    </w:p>
                  </w:txbxContent>
                </v:textbox>
              </v:shape>
            </w:pict>
          </mc:Fallback>
        </mc:AlternateContent>
      </w:r>
      <w:r>
        <w:rPr>
          <w:rFonts w:hint="eastAsia" w:ascii="宋体" w:hAnsi="宋体"/>
          <w:b w:val="0"/>
          <w:color w:val="000000"/>
          <w:sz w:val="21"/>
        </w:rPr>
        <w:t>承包人对发包人根据第37.4款提交的索赔报告和有关资料进行核实，与发包人协商后确定赔偿的费用并在工程师签发给承包人的支付证书中予以扣除。</w:t>
      </w:r>
    </w:p>
    <w:p>
      <w:pPr>
        <w:widowControl/>
        <w:numPr>
          <w:ilvl w:val="1"/>
          <w:numId w:val="1"/>
        </w:numPr>
        <w:tabs>
          <w:tab w:val="left" w:pos="1656"/>
          <w:tab w:val="clear" w:pos="1711"/>
        </w:tabs>
        <w:spacing w:before="260"/>
        <w:ind w:left="945" w:leftChars="450"/>
        <w:jc w:val="left"/>
        <w:outlineLvl w:val="1"/>
        <w:rPr>
          <w:rFonts w:ascii="宋体" w:hAnsi="宋体"/>
          <w:color w:val="000000"/>
          <w:kern w:val="0"/>
        </w:rPr>
      </w:pPr>
      <w:bookmarkStart w:id="327" w:name="_Toc34909144"/>
      <w:r>
        <mc:AlternateContent>
          <mc:Choice Requires="wps">
            <w:drawing>
              <wp:anchor distT="0" distB="0" distL="114300" distR="114300" simplePos="0" relativeHeight="251795456" behindDoc="0" locked="0" layoutInCell="1" allowOverlap="1">
                <wp:simplePos x="0" y="0"/>
                <wp:positionH relativeFrom="column">
                  <wp:posOffset>0</wp:posOffset>
                </wp:positionH>
                <wp:positionV relativeFrom="paragraph">
                  <wp:posOffset>173355</wp:posOffset>
                </wp:positionV>
                <wp:extent cx="571500" cy="342900"/>
                <wp:effectExtent l="0" t="1905" r="0" b="0"/>
                <wp:wrapNone/>
                <wp:docPr id="40"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造价工程师确认</w:t>
                            </w:r>
                          </w:p>
                        </w:txbxContent>
                      </wps:txbx>
                      <wps:bodyPr rot="0" vert="horz" wrap="square" lIns="0" tIns="0" rIns="0" bIns="0" anchor="t" anchorCtr="0" upright="1">
                        <a:noAutofit/>
                      </wps:bodyPr>
                    </wps:wsp>
                  </a:graphicData>
                </a:graphic>
              </wp:anchor>
            </w:drawing>
          </mc:Choice>
          <mc:Fallback>
            <w:pict>
              <v:shape id="文本框 39" o:spid="_x0000_s1026" o:spt="202" type="#_x0000_t202" style="position:absolute;left:0pt;margin-left:0pt;margin-top:13.65pt;height:27pt;width:45pt;z-index:251795456;mso-width-relative:page;mso-height-relative:page;" fillcolor="#FFFFFF" filled="t" stroked="f" coordsize="21600,21600" o:gfxdata="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VO/LzVAAAA&#10;BQEAAA8AAAAAAAAAAQAgAAAAIgAAAGRycy9kb3ducmV2LnhtbFBLAQIUABQAAAAIAIdO4kBxEM6U&#10;IAIAAC8EAAAOAAAAAAAAAAEAIAAAACQ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造价工程师确认</w:t>
                      </w:r>
                    </w:p>
                  </w:txbxContent>
                </v:textbox>
              </v:shape>
            </w:pict>
          </mc:Fallback>
        </mc:AlternateContent>
      </w:r>
      <w:r>
        <w:rPr>
          <w:rFonts w:hint="eastAsia" w:ascii="宋体" w:hAnsi="宋体"/>
          <w:color w:val="000000"/>
          <w:kern w:val="0"/>
        </w:rPr>
        <w:t>第</w:t>
      </w:r>
      <w:r>
        <w:rPr>
          <w:rFonts w:hint="eastAsia" w:ascii="宋体" w:hAnsi="宋体"/>
          <w:bCs/>
          <w:color w:val="000000"/>
        </w:rPr>
        <w:t>37</w:t>
      </w:r>
      <w:r>
        <w:rPr>
          <w:rFonts w:hint="eastAsia" w:ascii="宋体" w:hAnsi="宋体"/>
          <w:color w:val="000000"/>
          <w:kern w:val="0"/>
        </w:rPr>
        <w:t>条中有关本工程索赔的文件的编制和审核均须经注册造价工程师签字盖章确认。</w:t>
      </w:r>
      <w:bookmarkEnd w:id="327"/>
    </w:p>
    <w:p>
      <w:pPr>
        <w:pStyle w:val="2"/>
        <w:keepLines w:val="0"/>
        <w:tabs>
          <w:tab w:val="left" w:pos="1620"/>
          <w:tab w:val="left" w:pos="2340"/>
        </w:tabs>
        <w:ind w:left="945" w:leftChars="450"/>
        <w:rPr>
          <w:rFonts w:hAnsi="宋体"/>
          <w:color w:val="000000"/>
          <w:sz w:val="24"/>
        </w:rPr>
      </w:pPr>
      <w:bookmarkStart w:id="328" w:name="_Toc35657003"/>
      <w:bookmarkStart w:id="329" w:name="_Toc34909145"/>
      <w:bookmarkStart w:id="330" w:name="_Toc35656501"/>
      <w:r>
        <w:rPr>
          <w:rFonts w:hint="eastAsia" w:hAnsi="宋体"/>
          <w:color w:val="000000"/>
          <w:sz w:val="24"/>
        </w:rPr>
        <w:t>争议</w:t>
      </w:r>
      <w:bookmarkEnd w:id="328"/>
      <w:bookmarkEnd w:id="329"/>
      <w:bookmarkEnd w:id="330"/>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31" w:name="_Toc34909146"/>
      <w:r>
        <mc:AlternateContent>
          <mc:Choice Requires="wps">
            <w:drawing>
              <wp:anchor distT="0" distB="0" distL="114300" distR="114300" simplePos="0" relativeHeight="251796480" behindDoc="0" locked="0" layoutInCell="1" allowOverlap="1">
                <wp:simplePos x="0" y="0"/>
                <wp:positionH relativeFrom="column">
                  <wp:posOffset>0</wp:posOffset>
                </wp:positionH>
                <wp:positionV relativeFrom="paragraph">
                  <wp:posOffset>3810</wp:posOffset>
                </wp:positionV>
                <wp:extent cx="571500" cy="309245"/>
                <wp:effectExtent l="0" t="3810" r="0" b="1270"/>
                <wp:wrapNone/>
                <wp:docPr id="39"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571500" cy="30924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解决争议</w:t>
                            </w:r>
                          </w:p>
                        </w:txbxContent>
                      </wps:txbx>
                      <wps:bodyPr rot="0" vert="horz" wrap="square" lIns="0" tIns="0" rIns="0" bIns="0" anchor="t" anchorCtr="0" upright="1">
                        <a:noAutofit/>
                      </wps:bodyPr>
                    </wps:wsp>
                  </a:graphicData>
                </a:graphic>
              </wp:anchor>
            </w:drawing>
          </mc:Choice>
          <mc:Fallback>
            <w:pict>
              <v:shape id="文本框 38" o:spid="_x0000_s1026" o:spt="202" type="#_x0000_t202" style="position:absolute;left:0pt;margin-left:0pt;margin-top:0.3pt;height:24.35pt;width:45pt;z-index:251796480;mso-width-relative:page;mso-height-relative:page;" fillcolor="#FFFFFF" filled="t" stroked="f" coordsize="21600,21600" o:gfxdata="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hMda7SAAAA&#10;AwEAAA8AAAAAAAAAAQAgAAAAIgAAAGRycy9kb3ducmV2LnhtbFBLAQIUABQAAAAIAIdO4kDccjTL&#10;IwIAAC8EAAAOAAAAAAAAAAEAIAAAACE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解决争议</w:t>
                      </w:r>
                    </w:p>
                  </w:txbxContent>
                </v:textbox>
              </v:shape>
            </w:pict>
          </mc:Fallback>
        </mc:AlternateContent>
      </w:r>
      <w:r>
        <w:rPr>
          <w:rFonts w:hint="eastAsia" w:ascii="宋体" w:hAnsi="宋体"/>
          <w:b w:val="0"/>
          <w:color w:val="000000"/>
          <w:sz w:val="21"/>
        </w:rPr>
        <w:t>凡因本合同引起的或与本合同有关的任何争议应提交本合同工程所在地有管辖权人民法院诉讼解决。</w:t>
      </w:r>
    </w:p>
    <w:bookmarkEnd w:id="331"/>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32" w:name="_Toc34909148"/>
      <w: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174625</wp:posOffset>
                </wp:positionV>
                <wp:extent cx="577850" cy="447040"/>
                <wp:effectExtent l="0" t="0" r="6350" b="10160"/>
                <wp:wrapNone/>
                <wp:docPr id="38"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577850" cy="44704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继续履行合同</w:t>
                            </w:r>
                          </w:p>
                        </w:txbxContent>
                      </wps:txbx>
                      <wps:bodyPr rot="0" vert="horz" wrap="square" lIns="0" tIns="0" rIns="0" bIns="0" anchor="t" anchorCtr="0" upright="1">
                        <a:noAutofit/>
                      </wps:bodyPr>
                    </wps:wsp>
                  </a:graphicData>
                </a:graphic>
              </wp:anchor>
            </w:drawing>
          </mc:Choice>
          <mc:Fallback>
            <w:pict>
              <v:shape id="文本框 37" o:spid="_x0000_s1026" o:spt="202" type="#_x0000_t202" style="position:absolute;left:0pt;margin-left:0pt;margin-top:13.75pt;height:35.2pt;width:45.5pt;z-index:251797504;mso-width-relative:page;mso-height-relative:page;" fillcolor="#FFFFFF" filled="t" stroked="f" coordsize="21600,21600" o:gfxdata="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MxyF9UA&#10;AAAFAQAADwAAAAAAAAABACAAAAAiAAAAZHJzL2Rvd25yZXYueG1sUEsBAhQAFAAAAAgAh07iQIeB&#10;ftsiAgAALwQAAA4AAAAAAAAAAQAgAAAAJAEAAGRycy9lMm9Eb2MueG1sUEsFBgAAAAAGAAYAWQEA&#10;ALgF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继续履行合同</w:t>
                      </w:r>
                    </w:p>
                  </w:txbxContent>
                </v:textbox>
              </v:shape>
            </w:pict>
          </mc:Fallback>
        </mc:AlternateContent>
      </w:r>
      <w:r>
        <w:rPr>
          <w:rFonts w:hint="eastAsia" w:ascii="宋体" w:hAnsi="宋体"/>
          <w:b w:val="0"/>
          <w:color w:val="000000"/>
          <w:sz w:val="21"/>
        </w:rPr>
        <w:t>发生争议后，除非出现下列情况的，双方都应继续履行合同，保持施工连续，保护好已完工程：</w:t>
      </w:r>
      <w:bookmarkEnd w:id="332"/>
    </w:p>
    <w:p>
      <w:pPr>
        <w:tabs>
          <w:tab w:val="left" w:pos="1620"/>
          <w:tab w:val="left" w:pos="2340"/>
        </w:tabs>
        <w:ind w:left="1449" w:leftChars="690"/>
        <w:rPr>
          <w:rFonts w:ascii="宋体" w:hAnsi="宋体"/>
          <w:color w:val="000000"/>
        </w:rPr>
      </w:pPr>
      <w:r>
        <w:rPr>
          <w:rFonts w:hint="eastAsia" w:ascii="宋体" w:hAnsi="宋体"/>
          <w:color w:val="000000"/>
        </w:rPr>
        <w:t>⑴单方违约导致合同确已无法履行，双方协议停止施工；</w:t>
      </w:r>
    </w:p>
    <w:p>
      <w:pPr>
        <w:tabs>
          <w:tab w:val="left" w:pos="1620"/>
          <w:tab w:val="left" w:pos="2340"/>
        </w:tabs>
        <w:ind w:left="1449" w:leftChars="690"/>
        <w:rPr>
          <w:rFonts w:ascii="宋体" w:hAnsi="宋体"/>
          <w:color w:val="000000"/>
        </w:rPr>
      </w:pPr>
      <w:r>
        <w:rPr>
          <w:rFonts w:hint="eastAsia" w:ascii="宋体" w:hAnsi="宋体"/>
          <w:color w:val="000000"/>
        </w:rPr>
        <w:t>⑵调解要求停止施工，且为双方接受；</w:t>
      </w:r>
    </w:p>
    <w:p>
      <w:pPr>
        <w:tabs>
          <w:tab w:val="left" w:pos="1620"/>
          <w:tab w:val="left" w:pos="2340"/>
        </w:tabs>
        <w:ind w:left="1449" w:leftChars="690"/>
        <w:rPr>
          <w:rFonts w:ascii="宋体" w:hAnsi="宋体"/>
          <w:color w:val="000000"/>
        </w:rPr>
      </w:pPr>
      <w:r>
        <w:rPr>
          <w:rFonts w:hint="eastAsia" w:ascii="宋体" w:hAnsi="宋体"/>
          <w:color w:val="000000"/>
        </w:rPr>
        <w:t>⑶仲裁机构要求停止施工；</w:t>
      </w:r>
    </w:p>
    <w:p>
      <w:pPr>
        <w:tabs>
          <w:tab w:val="left" w:pos="1620"/>
          <w:tab w:val="left" w:pos="2340"/>
        </w:tabs>
        <w:ind w:left="1449" w:leftChars="690"/>
        <w:rPr>
          <w:rFonts w:ascii="宋体" w:hAnsi="宋体"/>
          <w:color w:val="000000"/>
        </w:rPr>
      </w:pPr>
      <w:r>
        <w:rPr>
          <w:rFonts w:hint="eastAsia" w:ascii="宋体" w:hAnsi="宋体"/>
          <w:color w:val="000000"/>
        </w:rPr>
        <w:t>⑷法院要求停止施工。</w:t>
      </w:r>
    </w:p>
    <w:p>
      <w:pPr>
        <w:pStyle w:val="2"/>
        <w:keepLines w:val="0"/>
        <w:numPr>
          <w:ilvl w:val="0"/>
          <w:numId w:val="0"/>
        </w:numPr>
        <w:tabs>
          <w:tab w:val="left" w:pos="1620"/>
          <w:tab w:val="left" w:pos="2340"/>
        </w:tabs>
        <w:ind w:left="945" w:leftChars="450"/>
        <w:rPr>
          <w:rFonts w:hAnsi="宋体"/>
          <w:color w:val="000000"/>
          <w:sz w:val="30"/>
        </w:rPr>
      </w:pPr>
      <w:bookmarkStart w:id="333" w:name="_Toc35656502"/>
      <w:bookmarkStart w:id="334" w:name="_Toc35657004"/>
      <w:bookmarkStart w:id="335" w:name="_Toc34909149"/>
      <w:r>
        <w:rPr>
          <w:rFonts w:hint="eastAsia" w:hAnsi="宋体"/>
          <w:color w:val="000000"/>
          <w:sz w:val="30"/>
        </w:rPr>
        <w:t>十四、工程质量缺陷保修</w:t>
      </w:r>
      <w:bookmarkEnd w:id="333"/>
      <w:bookmarkEnd w:id="334"/>
      <w:bookmarkEnd w:id="335"/>
    </w:p>
    <w:p>
      <w:pPr>
        <w:pStyle w:val="2"/>
        <w:keepLines w:val="0"/>
        <w:tabs>
          <w:tab w:val="left" w:pos="1620"/>
          <w:tab w:val="left" w:pos="2340"/>
        </w:tabs>
        <w:ind w:left="945" w:leftChars="450"/>
        <w:rPr>
          <w:rFonts w:hAnsi="宋体"/>
          <w:color w:val="000000"/>
        </w:rPr>
      </w:pPr>
      <w:r>
        <w:rPr>
          <w:sz w:val="28"/>
        </w:rPr>
        <mc:AlternateContent>
          <mc:Choice Requires="wps">
            <w:drawing>
              <wp:anchor distT="0" distB="0" distL="114300" distR="114300" simplePos="0" relativeHeight="251799552" behindDoc="0" locked="0" layoutInCell="1" allowOverlap="1">
                <wp:simplePos x="0" y="0"/>
                <wp:positionH relativeFrom="column">
                  <wp:posOffset>0</wp:posOffset>
                </wp:positionH>
                <wp:positionV relativeFrom="paragraph">
                  <wp:posOffset>450850</wp:posOffset>
                </wp:positionV>
                <wp:extent cx="571500" cy="228600"/>
                <wp:effectExtent l="0" t="3175" r="0" b="0"/>
                <wp:wrapNone/>
                <wp:docPr id="37"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szCs w:val="21"/>
                              </w:rPr>
                              <w:t>缺陷保修</w:t>
                            </w:r>
                          </w:p>
                        </w:txbxContent>
                      </wps:txbx>
                      <wps:bodyPr rot="0" vert="horz" wrap="square" lIns="0" tIns="18000" rIns="0" bIns="0" anchor="t" anchorCtr="0" upright="1">
                        <a:noAutofit/>
                      </wps:bodyPr>
                    </wps:wsp>
                  </a:graphicData>
                </a:graphic>
              </wp:anchor>
            </w:drawing>
          </mc:Choice>
          <mc:Fallback>
            <w:pict>
              <v:shape id="文本框 36" o:spid="_x0000_s1026" o:spt="202" type="#_x0000_t202" style="position:absolute;left:0pt;margin-left:0pt;margin-top:35.5pt;height:18pt;width:45pt;z-index:251799552;mso-width-relative:page;mso-height-relative:page;" fillcolor="#FFFFFF" filled="t" stroked="f" coordsize="21600,21600" o:gfxdata="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CFyAA&#10;1QAAAAYBAAAPAAAAAAAAAAEAIAAAACIAAABkcnMvZG93bnJldi54bWxQSwECFAAUAAAACACHTuJA&#10;fvqKWCQCAAAzBAAADgAAAAAAAAABACAAAAAkAQAAZHJzL2Uyb0RvYy54bWxQSwUGAAAAAAYABgBZ&#10;AQAAugU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szCs w:val="21"/>
                        </w:rPr>
                        <w:t>缺陷保修</w:t>
                      </w:r>
                    </w:p>
                  </w:txbxContent>
                </v:textbox>
              </v:shape>
            </w:pict>
          </mc:Fallback>
        </mc:AlternateContent>
      </w:r>
      <w:r>
        <w:rPr>
          <w:rFonts w:hint="eastAsia" w:hAnsi="宋体"/>
          <w:color w:val="000000"/>
          <w:sz w:val="28"/>
        </w:rPr>
        <w:t>工程质量缺陷保修</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36" w:name="_Toc34909151"/>
      <w:r>
        <w:rPr>
          <w:rFonts w:hint="eastAsia" w:ascii="宋体" w:hAnsi="宋体"/>
          <w:b w:val="0"/>
          <w:color w:val="000000"/>
          <w:sz w:val="21"/>
        </w:rPr>
        <w:t>承包人应按有关法律、法规等的规定，对交付发包人使用的工程在缺陷保修期内承担工程质量缺陷保修责任。</w:t>
      </w:r>
      <w:bookmarkEnd w:id="33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37" w:name="_Toc34909152"/>
      <w: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106045</wp:posOffset>
                </wp:positionV>
                <wp:extent cx="571500" cy="686435"/>
                <wp:effectExtent l="0" t="1270" r="0" b="0"/>
                <wp:wrapNone/>
                <wp:docPr id="36"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571500" cy="686435"/>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工程质量缺陷保修书</w:t>
                            </w:r>
                          </w:p>
                        </w:txbxContent>
                      </wps:txbx>
                      <wps:bodyPr rot="0" vert="horz" wrap="square" lIns="0" tIns="72000" rIns="0" bIns="0" anchor="t" anchorCtr="0" upright="1">
                        <a:noAutofit/>
                      </wps:bodyPr>
                    </wps:wsp>
                  </a:graphicData>
                </a:graphic>
              </wp:anchor>
            </w:drawing>
          </mc:Choice>
          <mc:Fallback>
            <w:pict>
              <v:shape id="文本框 35" o:spid="_x0000_s1026" o:spt="202" type="#_x0000_t202" style="position:absolute;left:0pt;margin-left:0pt;margin-top:8.35pt;height:54.05pt;width:45pt;z-index:251798528;mso-width-relative:page;mso-height-relative:page;" fillcolor="#FFFFFF" filled="t" stroked="f" coordsize="21600,21600" o:gfxdata="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B&#10;VqNh1gAAAAYBAAAPAAAAAAAAAAEAIAAAACIAAABkcnMvZG93bnJldi54bWxQSwECFAAUAAAACACH&#10;TuJAaH0D0SYCAAAzBAAADgAAAAAAAAABACAAAAAlAQAAZHJzL2Uyb0RvYy54bWxQSwUGAAAAAAYA&#10;BgBZAQAAvQUAAAAA&#10;">
                <v:fill on="t" focussize="0,0"/>
                <v:stroke on="f"/>
                <v:imagedata o:title=""/>
                <o:lock v:ext="edit" aspectratio="f"/>
                <v:textbox inset="0mm,2mm,0mm,0mm">
                  <w:txbxContent>
                    <w:p>
                      <w:pPr>
                        <w:rPr>
                          <w:rFonts w:ascii="楷体_GB2312" w:eastAsia="楷体_GB2312"/>
                        </w:rPr>
                      </w:pPr>
                      <w:r>
                        <w:rPr>
                          <w:rFonts w:hint="eastAsia" w:ascii="楷体_GB2312" w:eastAsia="楷体_GB2312"/>
                        </w:rPr>
                        <w:t>工程质量缺陷保修书</w:t>
                      </w:r>
                    </w:p>
                  </w:txbxContent>
                </v:textbox>
              </v:shape>
            </w:pict>
          </mc:Fallback>
        </mc:AlternateContent>
      </w:r>
      <w:r>
        <w:rPr>
          <w:rFonts w:hint="eastAsia" w:ascii="宋体" w:hAnsi="宋体"/>
          <w:b w:val="0"/>
          <w:color w:val="000000"/>
          <w:sz w:val="21"/>
        </w:rPr>
        <w:t>发包人、承包人在工程竣工验收合格后，签发交接证书前，应签订《工程质量缺陷保修书》，作为的合同附件。《工程质量缺陷保修书》应包括以下主要内容：</w:t>
      </w:r>
    </w:p>
    <w:p>
      <w:pPr>
        <w:tabs>
          <w:tab w:val="left" w:pos="1620"/>
          <w:tab w:val="left" w:pos="2340"/>
        </w:tabs>
        <w:ind w:left="1449" w:leftChars="690"/>
        <w:rPr>
          <w:rFonts w:ascii="宋体" w:hAnsi="宋体"/>
          <w:color w:val="000000"/>
        </w:rPr>
      </w:pPr>
      <w:r>
        <w:rPr>
          <w:rFonts w:hint="eastAsia" w:ascii="宋体" w:hAnsi="宋体"/>
          <w:color w:val="000000"/>
        </w:rPr>
        <w:t>⑴质量缺陷保修范围；</w:t>
      </w:r>
    </w:p>
    <w:p>
      <w:pPr>
        <w:tabs>
          <w:tab w:val="left" w:pos="1620"/>
          <w:tab w:val="left" w:pos="2340"/>
        </w:tabs>
        <w:ind w:left="1449" w:leftChars="690"/>
        <w:rPr>
          <w:rFonts w:ascii="宋体" w:hAnsi="宋体"/>
          <w:color w:val="000000"/>
        </w:rPr>
      </w:pPr>
      <w:r>
        <w:rPr>
          <w:rFonts w:hint="eastAsia" w:ascii="宋体" w:hAnsi="宋体"/>
          <w:color w:val="000000"/>
        </w:rPr>
        <w:t>⑵质量缺陷保修期</w:t>
      </w:r>
      <w:bookmarkEnd w:id="337"/>
      <w:r>
        <w:rPr>
          <w:rFonts w:hint="eastAsia" w:ascii="宋体" w:hAnsi="宋体"/>
          <w:color w:val="000000"/>
        </w:rPr>
        <w:t>；</w:t>
      </w:r>
    </w:p>
    <w:p>
      <w:pPr>
        <w:tabs>
          <w:tab w:val="left" w:pos="1620"/>
          <w:tab w:val="left" w:pos="2340"/>
        </w:tabs>
        <w:ind w:left="1449" w:leftChars="690"/>
        <w:rPr>
          <w:rFonts w:ascii="宋体" w:hAnsi="宋体"/>
          <w:color w:val="000000"/>
        </w:rPr>
      </w:pPr>
      <w:r>
        <w:rPr>
          <w:rFonts w:hint="eastAsia" w:ascii="宋体" w:hAnsi="宋体"/>
          <w:color w:val="000000"/>
        </w:rPr>
        <w:t>⑶质量缺陷保修责任；</w:t>
      </w:r>
    </w:p>
    <w:p>
      <w:pPr>
        <w:tabs>
          <w:tab w:val="left" w:pos="1620"/>
          <w:tab w:val="left" w:pos="2340"/>
        </w:tabs>
        <w:ind w:left="1449" w:leftChars="690"/>
        <w:rPr>
          <w:rFonts w:ascii="宋体" w:hAnsi="宋体"/>
          <w:color w:val="000000"/>
        </w:rPr>
      </w:pPr>
      <w:r>
        <w:rPr>
          <w:rFonts w:hint="eastAsia" w:ascii="宋体" w:hAnsi="宋体"/>
          <w:color w:val="000000"/>
        </w:rPr>
        <w:t>⑷质量缺陷保修费用；</w:t>
      </w:r>
    </w:p>
    <w:p>
      <w:pPr>
        <w:tabs>
          <w:tab w:val="left" w:pos="1620"/>
          <w:tab w:val="left" w:pos="2340"/>
        </w:tabs>
        <w:ind w:left="1449" w:leftChars="690"/>
        <w:rPr>
          <w:rFonts w:ascii="宋体" w:hAnsi="宋体"/>
          <w:color w:val="000000"/>
        </w:rPr>
      </w:pPr>
      <w:r>
        <w:rPr>
          <w:rFonts w:hint="eastAsia" w:ascii="宋体" w:hAnsi="宋体"/>
          <w:color w:val="000000"/>
        </w:rPr>
        <w:t>⑸质量缺陷保证方式。</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58944" behindDoc="0" locked="0" layoutInCell="1" allowOverlap="1">
                <wp:simplePos x="0" y="0"/>
                <wp:positionH relativeFrom="column">
                  <wp:posOffset>0</wp:posOffset>
                </wp:positionH>
                <wp:positionV relativeFrom="paragraph">
                  <wp:posOffset>111125</wp:posOffset>
                </wp:positionV>
                <wp:extent cx="571500" cy="410210"/>
                <wp:effectExtent l="0" t="0" r="0" b="2540"/>
                <wp:wrapNone/>
                <wp:docPr id="35"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571500" cy="410210"/>
                        </a:xfrm>
                        <a:prstGeom prst="rect">
                          <a:avLst/>
                        </a:prstGeom>
                        <a:solidFill>
                          <a:srgbClr val="FFFFFF"/>
                        </a:solidFill>
                        <a:ln>
                          <a:noFill/>
                        </a:ln>
                      </wps:spPr>
                      <wps:txbx>
                        <w:txbxContent>
                          <w:p>
                            <w:pPr>
                              <w:rPr>
                                <w:rFonts w:ascii="楷体_GB2312" w:eastAsia="楷体_GB2312"/>
                              </w:rPr>
                            </w:pPr>
                            <w:r>
                              <w:rPr>
                                <w:rFonts w:hint="eastAsia" w:ascii="楷体_GB2312" w:eastAsia="楷体_GB2312"/>
                              </w:rPr>
                              <w:t>质量缺陷保修争议</w:t>
                            </w:r>
                          </w:p>
                        </w:txbxContent>
                      </wps:txbx>
                      <wps:bodyPr rot="0" vert="horz" wrap="square" lIns="0" tIns="72000" rIns="0" bIns="0" anchor="t" anchorCtr="0" upright="1">
                        <a:noAutofit/>
                      </wps:bodyPr>
                    </wps:wsp>
                  </a:graphicData>
                </a:graphic>
              </wp:anchor>
            </w:drawing>
          </mc:Choice>
          <mc:Fallback>
            <w:pict>
              <v:shape id="文本框 34" o:spid="_x0000_s1026" o:spt="202" type="#_x0000_t202" style="position:absolute;left:0pt;margin-left:0pt;margin-top:8.75pt;height:32.3pt;width:45pt;z-index:251858944;mso-width-relative:page;mso-height-relative:page;" fillcolor="#FFFFFF" filled="t" stroked="f" coordsize="21600,21600" o:gfxdata="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zPSYtYAAAAFAQAADwAAAAAAAAABACAAAAAiAAAAZHJzL2Rvd25yZXYueG1sUEsBAhQAFAAAAAgA&#10;h07iQJbh15onAgAAMwQAAA4AAAAAAAAAAQAgAAAAJQEAAGRycy9lMm9Eb2MueG1sUEsFBgAAAAAG&#10;AAYAWQEAAL4FAAAAAA==&#10;">
                <v:fill on="t" focussize="0,0"/>
                <v:stroke on="f"/>
                <v:imagedata o:title=""/>
                <o:lock v:ext="edit" aspectratio="f"/>
                <v:textbox inset="0mm,2mm,0mm,0mm">
                  <w:txbxContent>
                    <w:p>
                      <w:pPr>
                        <w:rPr>
                          <w:rFonts w:ascii="楷体_GB2312" w:eastAsia="楷体_GB2312"/>
                        </w:rPr>
                      </w:pPr>
                      <w:r>
                        <w:rPr>
                          <w:rFonts w:hint="eastAsia" w:ascii="楷体_GB2312" w:eastAsia="楷体_GB2312"/>
                        </w:rPr>
                        <w:t>质量缺陷保修争议</w:t>
                      </w:r>
                    </w:p>
                  </w:txbxContent>
                </v:textbox>
              </v:shape>
            </w:pict>
          </mc:Fallback>
        </mc:AlternateContent>
      </w:r>
      <w:r>
        <w:rPr>
          <w:rFonts w:hint="eastAsia" w:ascii="宋体" w:hAnsi="宋体"/>
          <w:b w:val="0"/>
          <w:color w:val="000000"/>
          <w:sz w:val="21"/>
        </w:rPr>
        <w:t>发包人和承包人对质量缺陷保修事项有争议的，按通用条款第38条关于争议解决程序处理。</w:t>
      </w:r>
    </w:p>
    <w:p>
      <w:pPr>
        <w:pStyle w:val="2"/>
        <w:keepLines w:val="0"/>
        <w:numPr>
          <w:ilvl w:val="0"/>
          <w:numId w:val="0"/>
        </w:numPr>
        <w:tabs>
          <w:tab w:val="left" w:pos="1620"/>
          <w:tab w:val="left" w:pos="2340"/>
        </w:tabs>
        <w:ind w:left="945" w:leftChars="450"/>
        <w:rPr>
          <w:rFonts w:hAnsi="宋体"/>
          <w:color w:val="000000"/>
          <w:sz w:val="30"/>
        </w:rPr>
      </w:pPr>
      <w:bookmarkStart w:id="338" w:name="_Toc35657007"/>
      <w:bookmarkStart w:id="339" w:name="_Toc34909159"/>
      <w:bookmarkStart w:id="340" w:name="_Toc35656505"/>
      <w:r>
        <w:rPr>
          <w:rFonts w:hint="eastAsia" w:hAnsi="宋体"/>
          <w:color w:val="000000"/>
          <w:sz w:val="30"/>
        </w:rPr>
        <w:t>十五、不可抗力</w:t>
      </w:r>
      <w:bookmarkEnd w:id="338"/>
      <w:bookmarkEnd w:id="339"/>
      <w:bookmarkEnd w:id="340"/>
    </w:p>
    <w:p>
      <w:pPr>
        <w:pStyle w:val="2"/>
        <w:keepLines w:val="0"/>
        <w:tabs>
          <w:tab w:val="left" w:pos="1620"/>
          <w:tab w:val="left" w:pos="2340"/>
        </w:tabs>
        <w:ind w:left="945" w:leftChars="450"/>
        <w:jc w:val="both"/>
        <w:rPr>
          <w:rFonts w:ascii="宋体" w:hAnsi="宋体"/>
          <w:color w:val="000000"/>
          <w:sz w:val="21"/>
        </w:rPr>
      </w:pPr>
      <w:bookmarkStart w:id="341" w:name="_Toc35657008"/>
      <w:bookmarkStart w:id="342" w:name="_Toc35656506"/>
      <w:bookmarkStart w:id="343" w:name="_Toc34909160"/>
      <w:r>
        <w:rPr>
          <w:sz w:val="72"/>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439420</wp:posOffset>
                </wp:positionV>
                <wp:extent cx="571500" cy="228600"/>
                <wp:effectExtent l="0" t="1270" r="0" b="0"/>
                <wp:wrapNone/>
                <wp:docPr id="34"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不可抗力</w:t>
                            </w:r>
                          </w:p>
                        </w:txbxContent>
                      </wps:txbx>
                      <wps:bodyPr rot="0" vert="horz" wrap="square" lIns="0" tIns="18000" rIns="0" bIns="0" anchor="t" anchorCtr="0" upright="1">
                        <a:noAutofit/>
                      </wps:bodyPr>
                    </wps:wsp>
                  </a:graphicData>
                </a:graphic>
              </wp:anchor>
            </w:drawing>
          </mc:Choice>
          <mc:Fallback>
            <w:pict>
              <v:shape id="文本框 33" o:spid="_x0000_s1026" o:spt="202" type="#_x0000_t202" style="position:absolute;left:0pt;margin-left:0pt;margin-top:34.6pt;height:18pt;width:45pt;z-index:251800576;mso-width-relative:page;mso-height-relative:page;" fillcolor="#FFFFFF" filled="t" stroked="f" coordsize="21600,21600" o:gfxdata="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ImOQe&#10;1QAAAAYBAAAPAAAAAAAAAAEAIAAAACIAAABkcnMvZG93bnJldi54bWxQSwECFAAUAAAACACHTuJA&#10;cYia8CQCAAAzBAAADgAAAAAAAAABACAAAAAkAQAAZHJzL2Uyb0RvYy54bWxQSwUGAAAAAAYABgBZ&#10;AQAAugU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不可抗力</w:t>
                      </w:r>
                    </w:p>
                  </w:txbxContent>
                </v:textbox>
              </v:shape>
            </w:pict>
          </mc:Fallback>
        </mc:AlternateContent>
      </w:r>
      <w:r>
        <w:rPr>
          <w:rFonts w:hint="eastAsia" w:ascii="宋体" w:hAnsi="宋体"/>
          <w:color w:val="000000"/>
          <w:sz w:val="28"/>
        </w:rPr>
        <w:t>不可抗力</w:t>
      </w:r>
      <w:bookmarkEnd w:id="341"/>
      <w:bookmarkEnd w:id="342"/>
      <w:bookmarkEnd w:id="343"/>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44" w:name="_Toc34909161"/>
      <w:r>
        <w:rPr>
          <w:rFonts w:hint="eastAsia" w:ascii="宋体" w:hAnsi="宋体"/>
          <w:b w:val="0"/>
          <w:color w:val="000000"/>
          <w:sz w:val="21"/>
        </w:rPr>
        <w:t>不可抗力包括项目所在地政府命令、战争、恐怖活动、动乱、瘟疫、空中飞行物体坠落或其他非发包人承包人责任造成的爆炸、火灾，以及地震、洪涝和专用条款约定的大风、暴雨、高温等自然灾害。</w:t>
      </w:r>
      <w:bookmarkEnd w:id="344"/>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45" w:name="_Toc34909162"/>
      <w: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158115</wp:posOffset>
                </wp:positionV>
                <wp:extent cx="571500" cy="457200"/>
                <wp:effectExtent l="0" t="0" r="0" b="3810"/>
                <wp:wrapNone/>
                <wp:docPr id="33"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不可抗力处理程序</w:t>
                            </w:r>
                          </w:p>
                        </w:txbxContent>
                      </wps:txbx>
                      <wps:bodyPr rot="0" vert="horz" wrap="square" lIns="0" tIns="18000" rIns="0" bIns="0" anchor="t" anchorCtr="0" upright="1">
                        <a:noAutofit/>
                      </wps:bodyPr>
                    </wps:wsp>
                  </a:graphicData>
                </a:graphic>
              </wp:anchor>
            </w:drawing>
          </mc:Choice>
          <mc:Fallback>
            <w:pict>
              <v:shape id="文本框 32" o:spid="_x0000_s1026" o:spt="202" type="#_x0000_t202" style="position:absolute;left:0pt;margin-left:0pt;margin-top:12.45pt;height:36pt;width:45pt;z-index:251801600;mso-width-relative:page;mso-height-relative:page;" fillcolor="#FFFFFF" filled="t" stroked="f" coordsize="21600,21600" o:gfxdata="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N&#10;Dla71gAAAAUBAAAPAAAAAAAAAAEAIAAAACIAAABkcnMvZG93bnJldi54bWxQSwECFAAUAAAACACH&#10;TuJAmU2WjSYCAAAzBAAADgAAAAAAAAABACAAAAAlAQAAZHJzL2Uyb0RvYy54bWxQSwUGAAAAAAYA&#10;BgBZAQAAvQU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不可抗力处理程序</w:t>
                      </w:r>
                    </w:p>
                  </w:txbxContent>
                </v:textbox>
              </v:shape>
            </w:pict>
          </mc:Fallback>
        </mc:AlternateContent>
      </w:r>
      <w:r>
        <w:rPr>
          <w:rFonts w:hint="eastAsia" w:ascii="宋体" w:hAnsi="宋体"/>
          <w:b w:val="0"/>
          <w:color w:val="000000"/>
          <w:sz w:val="21"/>
        </w:rPr>
        <w:t>不可抗力事件发生后，承包人应立即通知工程师，并在力所能及的条件下迅速采取措施，尽力减少损失，发包人应协助承包人采取措施。工程师认为应暂停施工的，承包人应暂停施工。不可抗力事件结束后48小时内承包人向工程师通报受害情况以及预计清理和修复的费用。不可抗力事件持续发生，承包人应每隔7天向工程师报告一次受害情况。不可抗力事件结束后14天内，承包人向工程师提交清理和修复费用的正式报告及有关资料。</w:t>
      </w:r>
      <w:bookmarkEnd w:id="345"/>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46" w:name="_Toc34909163"/>
      <w:r>
        <mc:AlternateContent>
          <mc:Choice Requires="wps">
            <w:drawing>
              <wp:anchor distT="0" distB="0" distL="114300" distR="114300" simplePos="0" relativeHeight="251802624" behindDoc="0" locked="0" layoutInCell="1" allowOverlap="1">
                <wp:simplePos x="0" y="0"/>
                <wp:positionH relativeFrom="column">
                  <wp:posOffset>0</wp:posOffset>
                </wp:positionH>
                <wp:positionV relativeFrom="paragraph">
                  <wp:posOffset>131445</wp:posOffset>
                </wp:positionV>
                <wp:extent cx="571500" cy="429895"/>
                <wp:effectExtent l="0" t="0" r="0" b="635"/>
                <wp:wrapNone/>
                <wp:docPr id="32"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571500" cy="42989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将损失减至最小</w:t>
                            </w:r>
                          </w:p>
                        </w:txbxContent>
                      </wps:txbx>
                      <wps:bodyPr rot="0" vert="horz" wrap="square" lIns="0" tIns="36000" rIns="0" bIns="0" anchor="t" anchorCtr="0" upright="1">
                        <a:noAutofit/>
                      </wps:bodyPr>
                    </wps:wsp>
                  </a:graphicData>
                </a:graphic>
              </wp:anchor>
            </w:drawing>
          </mc:Choice>
          <mc:Fallback>
            <w:pict>
              <v:shape id="文本框 31" o:spid="_x0000_s1026" o:spt="202" type="#_x0000_t202" style="position:absolute;left:0pt;margin-left:0pt;margin-top:10.35pt;height:33.85pt;width:45pt;z-index:251802624;mso-width-relative:page;mso-height-relative:page;" fillcolor="#FFFFFF" filled="t" stroked="f" coordsize="21600,21600" o:gfxdata="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GlYUA&#10;0wAAAAUBAAAPAAAAAAAAAAEAIAAAACIAAABkcnMvZG93bnJldi54bWxQSwECFAAUAAAACACHTuJA&#10;abnXXyYCAAAzBAAADgAAAAAAAAABACAAAAAiAQAAZHJzL2Uyb0RvYy54bWxQSwUGAAAAAAYABgBZ&#10;AQAAugU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将损失减至最小</w:t>
                      </w:r>
                    </w:p>
                  </w:txbxContent>
                </v:textbox>
              </v:shape>
            </w:pict>
          </mc:Fallback>
        </mc:AlternateContent>
      </w:r>
      <w:r>
        <w:rPr>
          <w:rFonts w:hint="eastAsia" w:ascii="宋体" w:hAnsi="宋体"/>
          <w:b w:val="0"/>
          <w:color w:val="000000"/>
          <w:sz w:val="21"/>
        </w:rPr>
        <w:t>本工程的有关各方均应始终尽所有合理的努力，使不可抗力对本工程及履行本合同造成的损失减至最小。</w:t>
      </w:r>
      <w:bookmarkEnd w:id="34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47" w:name="_Toc34909164"/>
      <w:r>
        <mc:AlternateContent>
          <mc:Choice Requires="wps">
            <w:drawing>
              <wp:anchor distT="0" distB="0" distL="114300" distR="114300" simplePos="0" relativeHeight="251803648" behindDoc="0" locked="0" layoutInCell="1" allowOverlap="1">
                <wp:simplePos x="0" y="0"/>
                <wp:positionH relativeFrom="column">
                  <wp:posOffset>0</wp:posOffset>
                </wp:positionH>
                <wp:positionV relativeFrom="paragraph">
                  <wp:posOffset>7620</wp:posOffset>
                </wp:positionV>
                <wp:extent cx="571500" cy="581025"/>
                <wp:effectExtent l="0" t="0" r="0" b="1905"/>
                <wp:wrapNone/>
                <wp:docPr id="31"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571500" cy="58102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不可抗力损失费用承担</w:t>
                            </w:r>
                          </w:p>
                        </w:txbxContent>
                      </wps:txbx>
                      <wps:bodyPr rot="0" vert="horz" wrap="square" lIns="0" tIns="0" rIns="0" bIns="0" anchor="t" anchorCtr="0" upright="1">
                        <a:noAutofit/>
                      </wps:bodyPr>
                    </wps:wsp>
                  </a:graphicData>
                </a:graphic>
              </wp:anchor>
            </w:drawing>
          </mc:Choice>
          <mc:Fallback>
            <w:pict>
              <v:shape id="文本框 30" o:spid="_x0000_s1026" o:spt="202" type="#_x0000_t202" style="position:absolute;left:0pt;margin-left:0pt;margin-top:0.6pt;height:45.75pt;width:45pt;z-index:251803648;mso-width-relative:page;mso-height-relative:page;" fillcolor="#FFFFFF" filled="t" stroked="f" coordsize="21600,21600" o:gfxdata="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JUkaPTAAAA&#10;BAEAAA8AAAAAAAAAAQAgAAAAIgAAAGRycy9kb3ducmV2LnhtbFBLAQIUABQAAAAIAIdO4kCYng42&#10;IgIAAC8EAAAOAAAAAAAAAAEAIAAAACI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不可抗力损失费用承担</w:t>
                      </w:r>
                    </w:p>
                  </w:txbxContent>
                </v:textbox>
              </v:shape>
            </w:pict>
          </mc:Fallback>
        </mc:AlternateContent>
      </w:r>
      <w:r>
        <w:rPr>
          <w:rFonts w:hint="eastAsia" w:ascii="宋体" w:hAnsi="宋体"/>
          <w:b w:val="0"/>
          <w:color w:val="000000"/>
          <w:sz w:val="21"/>
        </w:rPr>
        <w:t>因不可抗力事件导致的费用及延误的工期由发包人和承包人按以下方法分别承担：</w:t>
      </w:r>
      <w:bookmarkEnd w:id="347"/>
    </w:p>
    <w:p>
      <w:pPr>
        <w:tabs>
          <w:tab w:val="left" w:pos="1620"/>
          <w:tab w:val="left" w:pos="2340"/>
        </w:tabs>
        <w:ind w:left="1449" w:leftChars="690"/>
        <w:rPr>
          <w:rFonts w:ascii="宋体" w:hAnsi="宋体"/>
          <w:color w:val="000000"/>
          <w:szCs w:val="21"/>
        </w:rPr>
      </w:pPr>
      <w:r>
        <w:rPr>
          <w:rFonts w:ascii="宋体" w:hAnsi="宋体"/>
          <w:color w:val="000000"/>
          <w:szCs w:val="21"/>
        </w:rPr>
        <w:t>⑴</w:t>
      </w:r>
      <w:r>
        <w:rPr>
          <w:rFonts w:hint="eastAsia" w:ascii="宋体" w:hAnsi="宋体"/>
          <w:color w:val="000000"/>
          <w:szCs w:val="21"/>
        </w:rPr>
        <w:t>工程本身的损害、因工程损害导致第三人人员伤亡和财产损失以及运至施工场地用于施工的材料和待安装的设备的损害，由承包人承担；</w:t>
      </w:r>
    </w:p>
    <w:p>
      <w:pPr>
        <w:tabs>
          <w:tab w:val="left" w:pos="1620"/>
          <w:tab w:val="left" w:pos="2340"/>
        </w:tabs>
        <w:ind w:left="1449" w:leftChars="690"/>
        <w:rPr>
          <w:rFonts w:ascii="宋体" w:hAnsi="宋体"/>
          <w:color w:val="000000"/>
          <w:szCs w:val="21"/>
        </w:rPr>
      </w:pPr>
      <w:r>
        <w:rPr>
          <w:rFonts w:ascii="宋体" w:hAnsi="宋体"/>
          <w:color w:val="000000"/>
          <w:szCs w:val="21"/>
        </w:rPr>
        <w:t>⑵</w:t>
      </w:r>
      <w:r>
        <w:rPr>
          <w:rFonts w:hint="eastAsia" w:ascii="宋体" w:hAnsi="宋体"/>
          <w:color w:val="000000"/>
          <w:szCs w:val="21"/>
        </w:rPr>
        <w:t>发包人、承包人人员伤亡由其所在单位负责，并承担相应费用；</w:t>
      </w:r>
    </w:p>
    <w:p>
      <w:pPr>
        <w:tabs>
          <w:tab w:val="left" w:pos="1620"/>
          <w:tab w:val="left" w:pos="2340"/>
        </w:tabs>
        <w:ind w:left="1449" w:leftChars="690"/>
        <w:rPr>
          <w:rFonts w:ascii="宋体" w:hAnsi="宋体"/>
          <w:color w:val="000000"/>
          <w:szCs w:val="21"/>
        </w:rPr>
      </w:pPr>
      <w:r>
        <w:rPr>
          <w:rFonts w:ascii="宋体" w:hAnsi="宋体"/>
          <w:color w:val="000000"/>
          <w:szCs w:val="21"/>
        </w:rPr>
        <w:t>⑶</w:t>
      </w:r>
      <w:r>
        <w:rPr>
          <w:rFonts w:hint="eastAsia" w:ascii="宋体" w:hAnsi="宋体"/>
          <w:color w:val="000000"/>
          <w:szCs w:val="21"/>
        </w:rPr>
        <w:t>承包人装备损坏、用于本工程的周转材料损坏及停工损失，由承包人承担；发包人提供装备发生损坏，由发包人承担；</w:t>
      </w:r>
    </w:p>
    <w:p>
      <w:pPr>
        <w:tabs>
          <w:tab w:val="left" w:pos="1620"/>
          <w:tab w:val="left" w:pos="2340"/>
        </w:tabs>
        <w:ind w:left="1449" w:leftChars="690"/>
        <w:rPr>
          <w:rFonts w:ascii="宋体" w:hAnsi="宋体"/>
          <w:color w:val="000000"/>
          <w:szCs w:val="21"/>
        </w:rPr>
      </w:pPr>
      <w:r>
        <w:rPr>
          <w:rFonts w:ascii="宋体" w:hAnsi="宋体"/>
          <w:color w:val="000000"/>
          <w:szCs w:val="21"/>
        </w:rPr>
        <w:t>⑷</w:t>
      </w:r>
      <w:r>
        <w:rPr>
          <w:rFonts w:hint="eastAsia" w:ascii="宋体" w:hAnsi="宋体"/>
          <w:color w:val="000000"/>
          <w:szCs w:val="21"/>
        </w:rPr>
        <w:t>停工期间，承包人应发包人或工程师要求留在施工场地的必要的管理人员及保卫人员的费用由发包人承担；</w:t>
      </w:r>
    </w:p>
    <w:p>
      <w:pPr>
        <w:tabs>
          <w:tab w:val="left" w:pos="1620"/>
          <w:tab w:val="left" w:pos="2340"/>
        </w:tabs>
        <w:ind w:left="1449" w:leftChars="690"/>
        <w:rPr>
          <w:rFonts w:ascii="宋体" w:hAnsi="宋体"/>
          <w:color w:val="000000"/>
          <w:szCs w:val="21"/>
        </w:rPr>
      </w:pPr>
      <w:r>
        <w:rPr>
          <w:rFonts w:ascii="宋体" w:hAnsi="宋体"/>
          <w:color w:val="000000"/>
          <w:szCs w:val="21"/>
        </w:rPr>
        <w:t>⑸</w:t>
      </w:r>
      <w:r>
        <w:rPr>
          <w:rFonts w:hint="eastAsia" w:ascii="宋体" w:hAnsi="宋体"/>
          <w:color w:val="000000"/>
          <w:szCs w:val="21"/>
        </w:rPr>
        <w:t>工程所需清理、修复费用，由承包人承担；</w:t>
      </w:r>
    </w:p>
    <w:p>
      <w:pPr>
        <w:tabs>
          <w:tab w:val="left" w:pos="1620"/>
          <w:tab w:val="left" w:pos="2340"/>
        </w:tabs>
        <w:ind w:left="1449" w:leftChars="690"/>
        <w:rPr>
          <w:rFonts w:ascii="宋体" w:hAnsi="宋体"/>
          <w:color w:val="000000"/>
          <w:szCs w:val="21"/>
        </w:rPr>
      </w:pPr>
      <w:r>
        <w:rPr>
          <w:rFonts w:ascii="宋体" w:hAnsi="宋体"/>
          <w:color w:val="000000"/>
          <w:szCs w:val="21"/>
        </w:rPr>
        <w:t>⑹</w:t>
      </w:r>
      <w:r>
        <w:rPr>
          <w:rFonts w:hint="eastAsia" w:ascii="宋体" w:hAnsi="宋体"/>
          <w:color w:val="000000"/>
          <w:szCs w:val="21"/>
        </w:rPr>
        <w:t>延误的工期相应顺延。</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48" w:name="_Toc34909165"/>
      <w:r>
        <mc:AlternateContent>
          <mc:Choice Requires="wps">
            <w:drawing>
              <wp:anchor distT="0" distB="0" distL="114300" distR="114300" simplePos="0" relativeHeight="251804672" behindDoc="0" locked="0" layoutInCell="1" allowOverlap="1">
                <wp:simplePos x="0" y="0"/>
                <wp:positionH relativeFrom="column">
                  <wp:posOffset>19050</wp:posOffset>
                </wp:positionH>
                <wp:positionV relativeFrom="paragraph">
                  <wp:posOffset>146685</wp:posOffset>
                </wp:positionV>
                <wp:extent cx="571500" cy="355600"/>
                <wp:effectExtent l="0" t="3810" r="0" b="2540"/>
                <wp:wrapNone/>
                <wp:docPr id="30"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571500" cy="355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不能免除责任</w:t>
                            </w:r>
                          </w:p>
                        </w:txbxContent>
                      </wps:txbx>
                      <wps:bodyPr rot="0" vert="horz" wrap="square" lIns="0" tIns="36000" rIns="0" bIns="0" anchor="t" anchorCtr="0" upright="1">
                        <a:noAutofit/>
                      </wps:bodyPr>
                    </wps:wsp>
                  </a:graphicData>
                </a:graphic>
              </wp:anchor>
            </w:drawing>
          </mc:Choice>
          <mc:Fallback>
            <w:pict>
              <v:shape id="文本框 29" o:spid="_x0000_s1026" o:spt="202" type="#_x0000_t202" style="position:absolute;left:0pt;margin-left:1.5pt;margin-top:11.55pt;height:28pt;width:45pt;z-index:251804672;mso-width-relative:page;mso-height-relative:page;" fillcolor="#FFFFFF" filled="t" stroked="f" coordsize="21600,21600" o:gfxdata="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FyvwvV&#10;AAAABgEAAA8AAAAAAAAAAQAgAAAAIgAAAGRycy9kb3ducmV2LnhtbFBLAQIUABQAAAAIAIdO4kBy&#10;ew9rIwIAADMEAAAOAAAAAAAAAAEAIAAAACQBAABkcnMvZTJvRG9jLnhtbFBLBQYAAAAABgAGAFkB&#10;AAC5BQ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不能免除责任</w:t>
                      </w:r>
                    </w:p>
                  </w:txbxContent>
                </v:textbox>
              </v:shape>
            </w:pict>
          </mc:Fallback>
        </mc:AlternateContent>
      </w:r>
      <w:r>
        <w:rPr>
          <w:rFonts w:hint="eastAsia" w:ascii="宋体" w:hAnsi="宋体"/>
          <w:b w:val="0"/>
          <w:color w:val="000000"/>
          <w:sz w:val="21"/>
        </w:rPr>
        <w:t>因发包人和承包人一方延迟履行合同后发生不可抗力的，不能免除另一方因不可抗力造成的责任。</w:t>
      </w:r>
      <w:bookmarkEnd w:id="348"/>
    </w:p>
    <w:p>
      <w:pPr>
        <w:pStyle w:val="2"/>
        <w:keepLines w:val="0"/>
        <w:numPr>
          <w:ilvl w:val="0"/>
          <w:numId w:val="0"/>
        </w:numPr>
        <w:tabs>
          <w:tab w:val="left" w:pos="1620"/>
          <w:tab w:val="left" w:pos="2340"/>
        </w:tabs>
        <w:ind w:left="945" w:leftChars="450"/>
        <w:rPr>
          <w:rFonts w:hAnsi="宋体"/>
          <w:color w:val="000000"/>
          <w:sz w:val="30"/>
        </w:rPr>
      </w:pPr>
      <w:bookmarkStart w:id="349" w:name="_Toc34909167"/>
      <w:bookmarkStart w:id="350" w:name="_Toc35657009"/>
      <w:bookmarkStart w:id="351" w:name="_Toc35656507"/>
      <w:r>
        <w:rPr>
          <w:rFonts w:hint="eastAsia" w:hAnsi="宋体"/>
          <w:color w:val="000000"/>
          <w:sz w:val="30"/>
        </w:rPr>
        <w:t>十六、保险和担保</w:t>
      </w:r>
      <w:bookmarkEnd w:id="349"/>
      <w:bookmarkEnd w:id="350"/>
      <w:bookmarkEnd w:id="351"/>
    </w:p>
    <w:p>
      <w:pPr>
        <w:pStyle w:val="2"/>
        <w:keepLines w:val="0"/>
        <w:tabs>
          <w:tab w:val="left" w:pos="1620"/>
          <w:tab w:val="left" w:pos="2340"/>
        </w:tabs>
        <w:ind w:left="945" w:leftChars="450"/>
        <w:rPr>
          <w:rFonts w:hAnsi="宋体"/>
          <w:color w:val="000000"/>
          <w:sz w:val="28"/>
          <w:szCs w:val="28"/>
        </w:rPr>
      </w:pPr>
      <w:bookmarkStart w:id="352" w:name="_Toc35657010"/>
      <w:bookmarkStart w:id="353" w:name="_Toc34909168"/>
      <w:bookmarkStart w:id="354" w:name="_Toc35656508"/>
      <w:r>
        <w:rPr>
          <w:rFonts w:hint="eastAsia" w:hAnsi="宋体"/>
          <w:color w:val="000000"/>
          <w:sz w:val="28"/>
          <w:szCs w:val="28"/>
        </w:rPr>
        <w:t>工程保险</w:t>
      </w:r>
      <w:bookmarkEnd w:id="352"/>
      <w:bookmarkEnd w:id="353"/>
      <w:bookmarkEnd w:id="354"/>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55" w:name="_Toc34909169"/>
      <w:r>
        <mc:AlternateContent>
          <mc:Choice Requires="wps">
            <w:drawing>
              <wp:anchor distT="0" distB="0" distL="114300" distR="114300" simplePos="0" relativeHeight="251830272" behindDoc="0" locked="0" layoutInCell="1" allowOverlap="1">
                <wp:simplePos x="0" y="0"/>
                <wp:positionH relativeFrom="column">
                  <wp:posOffset>0</wp:posOffset>
                </wp:positionH>
                <wp:positionV relativeFrom="paragraph">
                  <wp:posOffset>5715</wp:posOffset>
                </wp:positionV>
                <wp:extent cx="571500" cy="473075"/>
                <wp:effectExtent l="0" t="0" r="0" b="9525"/>
                <wp:wrapNone/>
                <wp:docPr id="29"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571500" cy="47307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发包人办理的保险</w:t>
                            </w:r>
                          </w:p>
                        </w:txbxContent>
                      </wps:txbx>
                      <wps:bodyPr rot="0" vert="horz" wrap="square" lIns="0" tIns="0" rIns="0" bIns="0" anchor="t" anchorCtr="0" upright="1">
                        <a:noAutofit/>
                      </wps:bodyPr>
                    </wps:wsp>
                  </a:graphicData>
                </a:graphic>
              </wp:anchor>
            </w:drawing>
          </mc:Choice>
          <mc:Fallback>
            <w:pict>
              <v:shape id="文本框 28" o:spid="_x0000_s1026" o:spt="202" type="#_x0000_t202" style="position:absolute;left:0pt;margin-left:0pt;margin-top:0.45pt;height:37.25pt;width:45pt;z-index:251830272;mso-width-relative:page;mso-height-relative:page;" fillcolor="#FFFFFF" filled="t" stroked="f" coordsize="21600,21600" o:gfxdata="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W0b4XTAAAA&#10;AwEAAA8AAAAAAAAAAQAgAAAAIgAAAGRycy9kb3ducmV2LnhtbFBLAQIUABQAAAAIAIdO4kBmFhXk&#10;IgIAAC8EAAAOAAAAAAAAAAEAIAAAACI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发包人办理的保险</w:t>
                      </w:r>
                    </w:p>
                  </w:txbxContent>
                </v:textbox>
              </v:shape>
            </w:pict>
          </mc:Fallback>
        </mc:AlternateContent>
      </w:r>
      <w:r>
        <w:rPr>
          <w:rFonts w:hint="eastAsia" w:ascii="宋体" w:hAnsi="宋体"/>
          <w:b w:val="0"/>
          <w:color w:val="000000"/>
          <w:sz w:val="21"/>
        </w:rPr>
        <w:t>工程开工前，发包人应为本工程、施工场地内的自有人员、第三者人员生命财产办理保险，支付保险费用。依21.1款和22.1款提供并用于本工程的材料和设备在保管期间，以及材料使用和设备安装期间发生的丢失、盗失、毁损等各种行为，由发包人办理保险，并支付保险费用。发包人可以将上述有关保险事项委托承包人办理，费用由发包人承担。</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31296" behindDoc="0" locked="0" layoutInCell="1" allowOverlap="1">
                <wp:simplePos x="0" y="0"/>
                <wp:positionH relativeFrom="column">
                  <wp:posOffset>0</wp:posOffset>
                </wp:positionH>
                <wp:positionV relativeFrom="paragraph">
                  <wp:posOffset>133350</wp:posOffset>
                </wp:positionV>
                <wp:extent cx="571500" cy="431165"/>
                <wp:effectExtent l="0" t="0" r="0" b="635"/>
                <wp:wrapNone/>
                <wp:docPr id="28"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571500" cy="43116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承包人办理的保险</w:t>
                            </w:r>
                          </w:p>
                        </w:txbxContent>
                      </wps:txbx>
                      <wps:bodyPr rot="0" vert="horz" wrap="square" lIns="0" tIns="36000" rIns="0" bIns="0" anchor="t" anchorCtr="0" upright="1">
                        <a:noAutofit/>
                      </wps:bodyPr>
                    </wps:wsp>
                  </a:graphicData>
                </a:graphic>
              </wp:anchor>
            </w:drawing>
          </mc:Choice>
          <mc:Fallback>
            <w:pict>
              <v:shape id="文本框 27" o:spid="_x0000_s1026" o:spt="202" type="#_x0000_t202" style="position:absolute;left:0pt;margin-left:0pt;margin-top:10.5pt;height:33.95pt;width:45pt;z-index:251831296;mso-width-relative:page;mso-height-relative:page;" fillcolor="#FFFFFF" filled="t" stroked="f" coordsize="21600,21600" o:gfxdata="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vJeh&#10;0wAAAAUBAAAPAAAAAAAAAAEAIAAAACIAAABkcnMvZG93bnJldi54bWxQSwECFAAUAAAACACHTuJA&#10;O5NzLSYCAAAzBAAADgAAAAAAAAABACAAAAAiAQAAZHJzL2Uyb0RvYy54bWxQSwUGAAAAAAYABgBZ&#10;AQAAugU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承包人办理的保险</w:t>
                      </w:r>
                    </w:p>
                  </w:txbxContent>
                </v:textbox>
              </v:shape>
            </w:pict>
          </mc:Fallback>
        </mc:AlternateContent>
      </w:r>
      <w:r>
        <w:rPr>
          <w:rFonts w:hint="eastAsia" w:ascii="宋体" w:hAnsi="宋体"/>
          <w:b w:val="0"/>
          <w:color w:val="000000"/>
          <w:sz w:val="21"/>
        </w:rPr>
        <w:t>承包人必须为从事危险作业的职工办理意外伤害保险，并为施工场地内的自有人员生命财产及施工机械设备办理保险，支付保险费用。</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05696" behindDoc="0" locked="0" layoutInCell="1" allowOverlap="1">
                <wp:simplePos x="0" y="0"/>
                <wp:positionH relativeFrom="column">
                  <wp:posOffset>0</wp:posOffset>
                </wp:positionH>
                <wp:positionV relativeFrom="paragraph">
                  <wp:posOffset>131445</wp:posOffset>
                </wp:positionV>
                <wp:extent cx="571500" cy="342900"/>
                <wp:effectExtent l="0" t="0" r="0" b="1905"/>
                <wp:wrapNone/>
                <wp:docPr id="27"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约定保险事项</w:t>
                            </w:r>
                          </w:p>
                        </w:txbxContent>
                      </wps:txbx>
                      <wps:bodyPr rot="0" vert="horz" wrap="square" lIns="0" tIns="36000" rIns="0" bIns="0" anchor="t" anchorCtr="0" upright="1">
                        <a:noAutofit/>
                      </wps:bodyPr>
                    </wps:wsp>
                  </a:graphicData>
                </a:graphic>
              </wp:anchor>
            </w:drawing>
          </mc:Choice>
          <mc:Fallback>
            <w:pict>
              <v:shape id="文本框 26" o:spid="_x0000_s1026" o:spt="202" type="#_x0000_t202" style="position:absolute;left:0pt;margin-left:0pt;margin-top:10.35pt;height:27pt;width:45pt;z-index:251805696;mso-width-relative:page;mso-height-relative:page;" fillcolor="#FFFFFF" filled="t" stroked="f" coordsize="21600,21600" o:gfxdata="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qofA8&#10;1AAAAAUBAAAPAAAAAAAAAAEAIAAAACIAAABkcnMvZG93bnJldi54bWxQSwECFAAUAAAACACHTuJA&#10;loEp1CUCAAAzBAAADgAAAAAAAAABACAAAAAjAQAAZHJzL2Uyb0RvYy54bWxQSwUGAAAAAAYABgBZ&#10;AQAAugU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约定保险事项</w:t>
                      </w:r>
                    </w:p>
                  </w:txbxContent>
                </v:textbox>
              </v:shape>
            </w:pict>
          </mc:Fallback>
        </mc:AlternateContent>
      </w:r>
      <w:r>
        <w:rPr>
          <w:rFonts w:hint="eastAsia" w:ascii="宋体" w:hAnsi="宋体"/>
          <w:b w:val="0"/>
          <w:color w:val="000000"/>
          <w:sz w:val="21"/>
        </w:rPr>
        <w:t>在发包人和承包人的责任和义务不受约束的条件下，发包人和承包人可在专用条款中约定保险事项。</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32320" behindDoc="0" locked="0" layoutInCell="1" allowOverlap="1">
                <wp:simplePos x="0" y="0"/>
                <wp:positionH relativeFrom="column">
                  <wp:posOffset>0</wp:posOffset>
                </wp:positionH>
                <wp:positionV relativeFrom="paragraph">
                  <wp:posOffset>151130</wp:posOffset>
                </wp:positionV>
                <wp:extent cx="571500" cy="228600"/>
                <wp:effectExtent l="0" t="0" r="0" b="1270"/>
                <wp:wrapNone/>
                <wp:docPr id="26"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理赔程序</w:t>
                            </w:r>
                          </w:p>
                        </w:txbxContent>
                      </wps:txbx>
                      <wps:bodyPr rot="0" vert="horz" wrap="square" lIns="0" tIns="36000" rIns="0" bIns="0" anchor="t" anchorCtr="0" upright="1">
                        <a:noAutofit/>
                      </wps:bodyPr>
                    </wps:wsp>
                  </a:graphicData>
                </a:graphic>
              </wp:anchor>
            </w:drawing>
          </mc:Choice>
          <mc:Fallback>
            <w:pict>
              <v:shape id="文本框 25" o:spid="_x0000_s1026" o:spt="202" type="#_x0000_t202" style="position:absolute;left:0pt;margin-left:0pt;margin-top:11.9pt;height:18pt;width:45pt;z-index:251832320;mso-width-relative:page;mso-height-relative:page;" fillcolor="#FFFFFF" filled="t" stroked="f" coordsize="21600,21600" o:gfxdata="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0hxaA0wAA&#10;AAUBAAAPAAAAAAAAAAEAIAAAACIAAABkcnMvZG93bnJldi54bWxQSwECFAAUAAAACACHTuJAAlCw&#10;UiMCAAAzBAAADgAAAAAAAAABACAAAAAiAQAAZHJzL2Uyb0RvYy54bWxQSwUGAAAAAAYABgBZAQAA&#10;twU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理赔程序</w:t>
                      </w:r>
                    </w:p>
                  </w:txbxContent>
                </v:textbox>
              </v:shape>
            </w:pict>
          </mc:Fallback>
        </mc:AlternateContent>
      </w:r>
      <w:r>
        <w:rPr>
          <w:rFonts w:hint="eastAsia" w:ascii="宋体" w:hAnsi="宋体"/>
          <w:b w:val="0"/>
          <w:color w:val="000000"/>
          <w:sz w:val="21"/>
        </w:rPr>
        <w:t>当发生本工程承保项目的损失或损害时，被保险人应在风险发生后及时向保险公司提供损失情况和估价报告，如损失继续发生，被保险人在递交第一次报告后每7天报告一次，直到损害结束。发包人和承包人中一方应协助另一方做好向保险公司的报告和索赔工作。</w:t>
      </w:r>
      <w:bookmarkEnd w:id="355"/>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56" w:name="_Toc34909176"/>
      <w:bookmarkStart w:id="357" w:name="_Toc34909175"/>
      <w:bookmarkStart w:id="358" w:name="_Toc34909177"/>
      <w:r>
        <mc:AlternateContent>
          <mc:Choice Requires="wps">
            <w:drawing>
              <wp:anchor distT="0" distB="0" distL="114300" distR="114300" simplePos="0" relativeHeight="251806720" behindDoc="0" locked="0" layoutInCell="1" allowOverlap="1">
                <wp:simplePos x="0" y="0"/>
                <wp:positionH relativeFrom="column">
                  <wp:posOffset>0</wp:posOffset>
                </wp:positionH>
                <wp:positionV relativeFrom="paragraph">
                  <wp:posOffset>175260</wp:posOffset>
                </wp:positionV>
                <wp:extent cx="571500" cy="228600"/>
                <wp:effectExtent l="0" t="3810" r="0" b="0"/>
                <wp:wrapNone/>
                <wp:docPr id="25"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保险凭证</w:t>
                            </w:r>
                          </w:p>
                        </w:txbxContent>
                      </wps:txbx>
                      <wps:bodyPr rot="0" vert="horz" wrap="square" lIns="0" tIns="0" rIns="0" bIns="0" anchor="t" anchorCtr="0" upright="1">
                        <a:noAutofit/>
                      </wps:bodyPr>
                    </wps:wsp>
                  </a:graphicData>
                </a:graphic>
              </wp:anchor>
            </w:drawing>
          </mc:Choice>
          <mc:Fallback>
            <w:pict>
              <v:shape id="文本框 24" o:spid="_x0000_s1026" o:spt="202" type="#_x0000_t202" style="position:absolute;left:0pt;margin-left:0pt;margin-top:13.8pt;height:18pt;width:45pt;z-index:251806720;mso-width-relative:page;mso-height-relative:page;" fillcolor="#FFFFFF" filled="t" stroked="f" coordsize="21600,21600" o:gfxdata="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XPc1AAAAAUB&#10;AAAPAAAAAAAAAAEAIAAAACIAAABkcnMvZG93bnJldi54bWxQSwECFAAUAAAACACHTuJAeAj+qh8C&#10;AAAvBAAADgAAAAAAAAABACAAAAAjAQAAZHJzL2Uyb0RvYy54bWxQSwUGAAAAAAYABgBZAQAAtAUA&#10;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保险凭证</w:t>
                      </w:r>
                    </w:p>
                  </w:txbxContent>
                </v:textbox>
              </v:shape>
            </w:pict>
          </mc:Fallback>
        </mc:AlternateContent>
      </w:r>
      <w:bookmarkEnd w:id="356"/>
      <w:bookmarkEnd w:id="357"/>
      <w:r>
        <w:rPr>
          <w:rFonts w:hint="eastAsia" w:ascii="宋体" w:hAnsi="宋体"/>
          <w:b w:val="0"/>
          <w:color w:val="000000"/>
          <w:sz w:val="21"/>
        </w:rPr>
        <w:t>发包人和承包人中一方应向另一方提供按本合同要求其投保的各项保险已经生效的证明。</w:t>
      </w:r>
      <w:bookmarkEnd w:id="358"/>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59" w:name="_Toc34909178"/>
      <w:r>
        <mc:AlternateContent>
          <mc:Choice Requires="wps">
            <w:drawing>
              <wp:anchor distT="0" distB="0" distL="114300" distR="114300" simplePos="0" relativeHeight="251807744" behindDoc="0" locked="0" layoutInCell="1" allowOverlap="1">
                <wp:simplePos x="0" y="0"/>
                <wp:positionH relativeFrom="column">
                  <wp:posOffset>0</wp:posOffset>
                </wp:positionH>
                <wp:positionV relativeFrom="paragraph">
                  <wp:posOffset>182880</wp:posOffset>
                </wp:positionV>
                <wp:extent cx="571500" cy="342900"/>
                <wp:effectExtent l="0" t="1905" r="0" b="0"/>
                <wp:wrapNone/>
                <wp:docPr id="24"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足够的保险额</w:t>
                            </w:r>
                          </w:p>
                        </w:txbxContent>
                      </wps:txbx>
                      <wps:bodyPr rot="0" vert="horz" wrap="square" lIns="0" tIns="0" rIns="0" bIns="0" anchor="t" anchorCtr="0" upright="1">
                        <a:noAutofit/>
                      </wps:bodyPr>
                    </wps:wsp>
                  </a:graphicData>
                </a:graphic>
              </wp:anchor>
            </w:drawing>
          </mc:Choice>
          <mc:Fallback>
            <w:pict>
              <v:shape id="文本框 23" o:spid="_x0000_s1026" o:spt="202" type="#_x0000_t202" style="position:absolute;left:0pt;margin-left:0pt;margin-top:14.4pt;height:27pt;width:45pt;z-index:251807744;mso-width-relative:page;mso-height-relative:page;" fillcolor="#FFFFFF" filled="t" stroked="f" coordsize="21600,21600" o:gfxdata="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lSTU0wAAAAUB&#10;AAAPAAAAAAAAAAEAIAAAACIAAABkcnMvZG93bnJldi54bWxQSwECFAAUAAAACACHTuJAkavf4yAC&#10;AAAvBAAADgAAAAAAAAABACAAAAAiAQAAZHJzL2Uyb0RvYy54bWxQSwUGAAAAAAYABgBZAQAAtAUA&#10;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足够的保险额</w:t>
                      </w:r>
                    </w:p>
                  </w:txbxContent>
                </v:textbox>
              </v:shape>
            </w:pict>
          </mc:Fallback>
        </mc:AlternateContent>
      </w:r>
      <w:r>
        <w:rPr>
          <w:rFonts w:hint="eastAsia" w:ascii="宋体" w:hAnsi="宋体"/>
          <w:b w:val="0"/>
          <w:color w:val="000000"/>
          <w:sz w:val="21"/>
        </w:rPr>
        <w:t>当工程施工的性质、规模或计划发生变更时，被保险人应及时通知保险公司，并在整个期间按本合同条款保证足够的保险额。在发生上述通知前，发包人和承包人中一方如需对各项保险做任何变动时，应事先与另一方协商并达成一致。</w:t>
      </w:r>
      <w:bookmarkEnd w:id="359"/>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60" w:name="_Toc34909179"/>
      <w:r>
        <mc:AlternateContent>
          <mc:Choice Requires="wps">
            <w:drawing>
              <wp:anchor distT="0" distB="0" distL="114300" distR="114300" simplePos="0" relativeHeight="251808768" behindDoc="0" locked="0" layoutInCell="1" allowOverlap="1">
                <wp:simplePos x="0" y="0"/>
                <wp:positionH relativeFrom="column">
                  <wp:posOffset>0</wp:posOffset>
                </wp:positionH>
                <wp:positionV relativeFrom="paragraph">
                  <wp:posOffset>156210</wp:posOffset>
                </wp:positionV>
                <wp:extent cx="571500" cy="342900"/>
                <wp:effectExtent l="0" t="3810" r="0" b="0"/>
                <wp:wrapNone/>
                <wp:docPr id="23"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遵守保险单的条件</w:t>
                            </w:r>
                          </w:p>
                        </w:txbxContent>
                      </wps:txbx>
                      <wps:bodyPr rot="0" vert="horz" wrap="square" lIns="0" tIns="0" rIns="0" bIns="0" anchor="t" anchorCtr="0" upright="1">
                        <a:noAutofit/>
                      </wps:bodyPr>
                    </wps:wsp>
                  </a:graphicData>
                </a:graphic>
              </wp:anchor>
            </w:drawing>
          </mc:Choice>
          <mc:Fallback>
            <w:pict>
              <v:shape id="文本框 22" o:spid="_x0000_s1026" o:spt="202" type="#_x0000_t202" style="position:absolute;left:0pt;margin-left:0pt;margin-top:12.3pt;height:27pt;width:45pt;z-index:251808768;mso-width-relative:page;mso-height-relative:page;" fillcolor="#FFFFFF" filled="t" stroked="f" coordsize="21600,21600" o:gfxdata="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Z47FdQAAAAF&#10;AQAADwAAAAAAAAABACAAAAAiAAAAZHJzL2Rvd25yZXYueG1sUEsBAhQAFAAAAAgAh07iQNJk4IMg&#10;AgAALw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遵守保险单的条件</w:t>
                      </w:r>
                    </w:p>
                  </w:txbxContent>
                </v:textbox>
              </v:shape>
            </w:pict>
          </mc:Fallback>
        </mc:AlternateContent>
      </w:r>
      <w:r>
        <w:rPr>
          <w:rFonts w:hint="eastAsia" w:ascii="宋体" w:hAnsi="宋体"/>
          <w:b w:val="0"/>
          <w:color w:val="000000"/>
          <w:sz w:val="21"/>
        </w:rPr>
        <w:t>如承包人或发包人未能遵守根据本合同生效的保险单规定的条件，未能遵守保险单的条件的一方应保障另一方不受因此造成的全部损失和索赔。</w:t>
      </w:r>
      <w:bookmarkEnd w:id="360"/>
    </w:p>
    <w:p>
      <w:pPr>
        <w:pStyle w:val="2"/>
        <w:keepLines w:val="0"/>
        <w:tabs>
          <w:tab w:val="left" w:pos="1620"/>
          <w:tab w:val="left" w:pos="2340"/>
        </w:tabs>
        <w:ind w:left="945" w:leftChars="450"/>
        <w:rPr>
          <w:rFonts w:hAnsi="宋体"/>
          <w:color w:val="000000"/>
          <w:sz w:val="28"/>
          <w:szCs w:val="28"/>
        </w:rPr>
      </w:pPr>
      <w:bookmarkStart w:id="361" w:name="_Toc35657011"/>
      <w:bookmarkStart w:id="362" w:name="_Toc34909180"/>
      <w:bookmarkStart w:id="363" w:name="_Toc35656509"/>
      <w:r>
        <w:rPr>
          <w:rFonts w:hint="eastAsia" w:hAnsi="宋体"/>
          <w:color w:val="000000"/>
          <w:sz w:val="28"/>
          <w:szCs w:val="28"/>
        </w:rPr>
        <w:t>工程担保</w:t>
      </w:r>
      <w:bookmarkEnd w:id="361"/>
      <w:bookmarkEnd w:id="362"/>
      <w:bookmarkEnd w:id="363"/>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64" w:name="_Toc34909181"/>
      <w:r>
        <mc:AlternateContent>
          <mc:Choice Requires="wps">
            <w:drawing>
              <wp:anchor distT="0" distB="0" distL="114300" distR="114300" simplePos="0" relativeHeight="251809792" behindDoc="0" locked="0" layoutInCell="1" allowOverlap="1">
                <wp:simplePos x="0" y="0"/>
                <wp:positionH relativeFrom="column">
                  <wp:posOffset>0</wp:posOffset>
                </wp:positionH>
                <wp:positionV relativeFrom="paragraph">
                  <wp:posOffset>9525</wp:posOffset>
                </wp:positionV>
                <wp:extent cx="571500" cy="211455"/>
                <wp:effectExtent l="0" t="0" r="0" b="0"/>
                <wp:wrapNone/>
                <wp:docPr id="22"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71500" cy="21145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履约担保</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pt;margin-top:0.75pt;height:16.65pt;width:45pt;z-index:251809792;mso-width-relative:page;mso-height-relative:page;" fillcolor="#FFFFFF" filled="t" stroked="f" coordsize="21600,21600" o:gfxdata="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5OlKm1AAAAAQB&#10;AAAPAAAAAAAAAAEAIAAAACIAAABkcnMvZG93bnJldi54bWxQSwECFAAUAAAACACHTuJApz8Pnh8C&#10;AAAvBAAADgAAAAAAAAABACAAAAAjAQAAZHJzL2Uyb0RvYy54bWxQSwUGAAAAAAYABgBZAQAAtAUA&#10;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履约担保</w:t>
                      </w:r>
                    </w:p>
                  </w:txbxContent>
                </v:textbox>
              </v:shape>
            </w:pict>
          </mc:Fallback>
        </mc:AlternateContent>
      </w:r>
      <w:r>
        <w:rPr>
          <w:rFonts w:hint="eastAsia" w:ascii="宋体" w:hAnsi="宋体"/>
          <w:b w:val="0"/>
          <w:color w:val="000000"/>
          <w:sz w:val="21"/>
        </w:rPr>
        <w:t>发包人和承包人在签订本合同的同时，承包人应向发包人提交履约担保，履约担保应由保证人(银行、保险公司、担保公司)出具。</w:t>
      </w:r>
      <w:bookmarkEnd w:id="364"/>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65" w:name="_Toc34909182"/>
      <w:r>
        <mc:AlternateContent>
          <mc:Choice Requires="wps">
            <w:drawing>
              <wp:anchor distT="0" distB="0" distL="114300" distR="114300" simplePos="0" relativeHeight="251810816" behindDoc="0" locked="0" layoutInCell="1" allowOverlap="1">
                <wp:simplePos x="0" y="0"/>
                <wp:positionH relativeFrom="column">
                  <wp:posOffset>0</wp:posOffset>
                </wp:positionH>
                <wp:positionV relativeFrom="paragraph">
                  <wp:posOffset>166370</wp:posOffset>
                </wp:positionV>
                <wp:extent cx="571500" cy="228600"/>
                <wp:effectExtent l="0" t="4445" r="0" b="0"/>
                <wp:wrapNone/>
                <wp:docPr id="21"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支付担保</w:t>
                            </w:r>
                          </w:p>
                        </w:txbxContent>
                      </wps:txbx>
                      <wps:bodyPr rot="0" vert="horz" wrap="square" lIns="0" tIns="0" rIns="0" bIns="0" anchor="t" anchorCtr="0" upright="1">
                        <a:noAutofit/>
                      </wps:bodyPr>
                    </wps:wsp>
                  </a:graphicData>
                </a:graphic>
              </wp:anchor>
            </w:drawing>
          </mc:Choice>
          <mc:Fallback>
            <w:pict>
              <v:shape id="文本框 20" o:spid="_x0000_s1026" o:spt="202" type="#_x0000_t202" style="position:absolute;left:0pt;margin-left:0pt;margin-top:13.1pt;height:18pt;width:45pt;z-index:251810816;mso-width-relative:page;mso-height-relative:page;" fillcolor="#FFFFFF" filled="t" stroked="f" coordsize="21600,21600" o:gfxdata="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TJZN0wAAAAUB&#10;AAAPAAAAAAAAAAEAIAAAACIAAABkcnMvZG93bnJldi54bWxQSwECFAAUAAAACACHTuJApHwRDSAC&#10;AAAvBAAADgAAAAAAAAABACAAAAAiAQAAZHJzL2Uyb0RvYy54bWxQSwUGAAAAAAYABgBZAQAAtAUA&#10;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支付担保</w:t>
                      </w:r>
                    </w:p>
                  </w:txbxContent>
                </v:textbox>
              </v:shape>
            </w:pict>
          </mc:Fallback>
        </mc:AlternateContent>
      </w:r>
      <w:r>
        <w:rPr>
          <w:rFonts w:hint="eastAsia" w:ascii="宋体" w:hAnsi="宋体"/>
          <w:b w:val="0"/>
          <w:color w:val="000000"/>
          <w:sz w:val="21"/>
        </w:rPr>
        <w:t>发包人和承包人在签订本合同的同时，发包人应向承包人提交支付担保，支付担保应由保证人(银行、保险公司、担保公司)出具。</w:t>
      </w:r>
      <w:bookmarkEnd w:id="365"/>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66" w:name="_Toc34909183"/>
      <w:r>
        <mc:AlternateContent>
          <mc:Choice Requires="wps">
            <w:drawing>
              <wp:anchor distT="0" distB="0" distL="114300" distR="114300" simplePos="0" relativeHeight="251812864" behindDoc="0" locked="0" layoutInCell="1" allowOverlap="1">
                <wp:simplePos x="0" y="0"/>
                <wp:positionH relativeFrom="column">
                  <wp:posOffset>0</wp:posOffset>
                </wp:positionH>
                <wp:positionV relativeFrom="paragraph">
                  <wp:posOffset>181610</wp:posOffset>
                </wp:positionV>
                <wp:extent cx="571500" cy="228600"/>
                <wp:effectExtent l="0" t="635" r="0" b="0"/>
                <wp:wrapNone/>
                <wp:docPr id="20"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担保金额</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0pt;margin-top:14.3pt;height:18pt;width:45pt;z-index:251812864;mso-width-relative:page;mso-height-relative:page;" fillcolor="#FFFFFF" filled="t" stroked="f" coordsize="21600,21600" o:gfxdata="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yScR1AAAAAUB&#10;AAAPAAAAAAAAAAEAIAAAACIAAABkcnMvZG93bnJldi54bWxQSwECFAAUAAAACACHTuJAVqhQhh8C&#10;AAAvBAAADgAAAAAAAAABACAAAAAjAQAAZHJzL2Uyb0RvYy54bWxQSwUGAAAAAAYABgBZAQAAtAUA&#10;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担保金额</w:t>
                      </w:r>
                    </w:p>
                  </w:txbxContent>
                </v:textbox>
              </v:shape>
            </w:pict>
          </mc:Fallback>
        </mc:AlternateContent>
      </w:r>
      <w:r>
        <w:rPr>
          <w:rFonts w:hint="eastAsia" w:ascii="宋体" w:hAnsi="宋体"/>
          <w:b w:val="0"/>
          <w:color w:val="000000"/>
          <w:sz w:val="21"/>
        </w:rPr>
        <w:t>履约担保和支付担保的担保金额</w:t>
      </w:r>
      <w:bookmarkEnd w:id="366"/>
      <w:r>
        <w:rPr>
          <w:rFonts w:hint="eastAsia" w:ascii="宋体" w:hAnsi="宋体"/>
          <w:b w:val="0"/>
          <w:color w:val="000000"/>
          <w:sz w:val="21"/>
        </w:rPr>
        <w:t>应符合有关法律、法规和规章的规定，具体金额由发包人和承包人在专用条款中约定。</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67" w:name="_Toc34909184"/>
      <w:r>
        <mc:AlternateContent>
          <mc:Choice Requires="wps">
            <w:drawing>
              <wp:anchor distT="0" distB="0" distL="114300" distR="114300" simplePos="0" relativeHeight="251811840" behindDoc="0" locked="0" layoutInCell="1" allowOverlap="1">
                <wp:simplePos x="0" y="0"/>
                <wp:positionH relativeFrom="column">
                  <wp:posOffset>0</wp:posOffset>
                </wp:positionH>
                <wp:positionV relativeFrom="paragraph">
                  <wp:posOffset>127635</wp:posOffset>
                </wp:positionV>
                <wp:extent cx="571500" cy="393700"/>
                <wp:effectExtent l="0" t="3810" r="0" b="2540"/>
                <wp:wrapNone/>
                <wp:docPr id="19"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571500" cy="3937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履约担保的有效期</w:t>
                            </w:r>
                          </w:p>
                        </w:txbxContent>
                      </wps:txbx>
                      <wps:bodyPr rot="0" vert="horz" wrap="square" lIns="0" tIns="36000" rIns="0" bIns="0" anchor="t" anchorCtr="0" upright="1">
                        <a:noAutofit/>
                      </wps:bodyPr>
                    </wps:wsp>
                  </a:graphicData>
                </a:graphic>
              </wp:anchor>
            </w:drawing>
          </mc:Choice>
          <mc:Fallback>
            <w:pict>
              <v:shape id="文本框 18" o:spid="_x0000_s1026" o:spt="202" type="#_x0000_t202" style="position:absolute;left:0pt;margin-left:0pt;margin-top:10.05pt;height:31pt;width:45pt;z-index:251811840;mso-width-relative:page;mso-height-relative:page;" fillcolor="#FFFFFF" filled="t" stroked="f" coordsize="21600,21600" o:gfxdata="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ws2l0wAA&#10;AAUBAAAPAAAAAAAAAAEAIAAAACIAAABkcnMvZG93bnJldi54bWxQSwECFAAUAAAACACHTuJALG+P&#10;7CMCAAAzBAAADgAAAAAAAAABACAAAAAiAQAAZHJzL2Uyb0RvYy54bWxQSwUGAAAAAAYABgBZAQAA&#10;twU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履约担保的有效期</w:t>
                      </w:r>
                    </w:p>
                  </w:txbxContent>
                </v:textbox>
              </v:shape>
            </w:pict>
          </mc:Fallback>
        </mc:AlternateContent>
      </w:r>
      <w:r>
        <w:rPr>
          <w:rFonts w:hint="eastAsia" w:ascii="宋体" w:hAnsi="宋体"/>
          <w:b w:val="0"/>
          <w:color w:val="000000"/>
          <w:sz w:val="21"/>
        </w:rPr>
        <w:t>履约担保的有效期应截止到本工程竣工验收合格之日。发包人应在担保有效期后14天内将此担保退还给承包人。</w:t>
      </w:r>
      <w:bookmarkEnd w:id="367"/>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68" w:name="_Toc34909185"/>
      <w:r>
        <mc:AlternateContent>
          <mc:Choice Requires="wps">
            <w:drawing>
              <wp:anchor distT="0" distB="0" distL="114300" distR="114300" simplePos="0" relativeHeight="251813888" behindDoc="0" locked="0" layoutInCell="1" allowOverlap="1">
                <wp:simplePos x="0" y="0"/>
                <wp:positionH relativeFrom="column">
                  <wp:posOffset>0</wp:posOffset>
                </wp:positionH>
                <wp:positionV relativeFrom="paragraph">
                  <wp:posOffset>151765</wp:posOffset>
                </wp:positionV>
                <wp:extent cx="571500" cy="457200"/>
                <wp:effectExtent l="0" t="0" r="0" b="635"/>
                <wp:wrapNone/>
                <wp:docPr id="18"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支付担保的有效期</w:t>
                            </w:r>
                          </w:p>
                        </w:txbxContent>
                      </wps:txbx>
                      <wps:bodyPr rot="0" vert="horz" wrap="square" lIns="0" tIns="36000" rIns="0" bIns="0" anchor="t" anchorCtr="0" upright="1">
                        <a:noAutofit/>
                      </wps:bodyPr>
                    </wps:wsp>
                  </a:graphicData>
                </a:graphic>
              </wp:anchor>
            </w:drawing>
          </mc:Choice>
          <mc:Fallback>
            <w:pict>
              <v:shape id="文本框 17" o:spid="_x0000_s1026" o:spt="202" type="#_x0000_t202" style="position:absolute;left:0pt;margin-left:0pt;margin-top:11.95pt;height:36pt;width:45pt;z-index:251813888;mso-width-relative:page;mso-height-relative:page;" fillcolor="#FFFFFF" filled="t" stroked="f" coordsize="21600,21600" o:gfxdata="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CIFd8&#10;1AAAAAUBAAAPAAAAAAAAAAEAIAAAACIAAABkcnMvZG93bnJldi54bWxQSwECFAAUAAAACACHTuJA&#10;rCnGaiUCAAAzBAAADgAAAAAAAAABACAAAAAjAQAAZHJzL2Uyb0RvYy54bWxQSwUGAAAAAAYABgBZ&#10;AQAAugU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支付担保的有效期</w:t>
                      </w:r>
                    </w:p>
                  </w:txbxContent>
                </v:textbox>
              </v:shape>
            </w:pict>
          </mc:Fallback>
        </mc:AlternateContent>
      </w:r>
      <w:r>
        <w:rPr>
          <w:rFonts w:hint="eastAsia" w:ascii="宋体" w:hAnsi="宋体"/>
          <w:b w:val="0"/>
          <w:color w:val="000000"/>
          <w:sz w:val="21"/>
        </w:rPr>
        <w:t>支付担保的有效期应截止到发包人根据本合同约定完成了除工程质量缺陷保修金以外的全部工程结算款项支付之日。承包人应在担保有效期后14天内将此担保退还发包人。</w:t>
      </w:r>
      <w:bookmarkEnd w:id="368"/>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69" w:name="_Toc34909186"/>
      <w: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139700</wp:posOffset>
                </wp:positionV>
                <wp:extent cx="571500" cy="744220"/>
                <wp:effectExtent l="0" t="0" r="0" b="1905"/>
                <wp:wrapNone/>
                <wp:docPr id="17"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71500" cy="74422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保证人向发包人支付索赔款项</w:t>
                            </w:r>
                          </w:p>
                        </w:txbxContent>
                      </wps:txbx>
                      <wps:bodyPr rot="0" vert="horz" wrap="square" lIns="0" tIns="36000" rIns="0" bIns="0" anchor="t" anchorCtr="0" upright="1">
                        <a:noAutofit/>
                      </wps:bodyPr>
                    </wps:wsp>
                  </a:graphicData>
                </a:graphic>
              </wp:anchor>
            </w:drawing>
          </mc:Choice>
          <mc:Fallback>
            <w:pict>
              <v:shape id="文本框 16" o:spid="_x0000_s1026" o:spt="202" type="#_x0000_t202" style="position:absolute;left:0pt;margin-left:0pt;margin-top:11pt;height:58.6pt;width:45pt;z-index:251828224;mso-width-relative:page;mso-height-relative:page;" fillcolor="#FFFFFF" filled="t" stroked="f" coordsize="21600,21600" o:gfxdata="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PH&#10;qNQAAAAGAQAADwAAAAAAAAABACAAAAAiAAAAZHJzL2Rvd25yZXYueG1sUEsBAhQAFAAAAAgAh07i&#10;QEceHo8mAgAAMwQAAA4AAAAAAAAAAQAgAAAAIwEAAGRycy9lMm9Eb2MueG1sUEsFBgAAAAAGAAYA&#10;WQEAALsFA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保证人向发包人支付索赔款项</w:t>
                      </w:r>
                    </w:p>
                  </w:txbxContent>
                </v:textbox>
              </v:shape>
            </w:pict>
          </mc:Fallback>
        </mc:AlternateContent>
      </w:r>
      <w:r>
        <w:rPr>
          <w:rFonts w:hint="eastAsia" w:ascii="宋体" w:hAnsi="宋体"/>
          <w:b w:val="0"/>
          <w:color w:val="000000"/>
          <w:sz w:val="21"/>
        </w:rPr>
        <w:t>如承包人在履行本合同中，由于资金、技术、质量或非不可抗力等原因给发包人造成损失时，在履约担保书的有效期内，发包人应书面通知承包人，说明导致索赔的原因，并及时向保证人提出索赔文件，保证人应无条件就担保金额向发包人支付索赔款项，无须征得承包人的同意。</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29248" behindDoc="0" locked="0" layoutInCell="1" allowOverlap="1">
                <wp:simplePos x="0" y="0"/>
                <wp:positionH relativeFrom="column">
                  <wp:posOffset>0</wp:posOffset>
                </wp:positionH>
                <wp:positionV relativeFrom="paragraph">
                  <wp:posOffset>110490</wp:posOffset>
                </wp:positionV>
                <wp:extent cx="571500" cy="800100"/>
                <wp:effectExtent l="0" t="0" r="0" b="3810"/>
                <wp:wrapNone/>
                <wp:docPr id="16"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571500" cy="8001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保证人向承包人支付索赔款项</w:t>
                            </w:r>
                          </w:p>
                        </w:txbxContent>
                      </wps:txbx>
                      <wps:bodyPr rot="0" vert="horz" wrap="square" lIns="0" tIns="72000" rIns="0" bIns="0" anchor="t" anchorCtr="0" upright="1">
                        <a:noAutofit/>
                      </wps:bodyPr>
                    </wps:wsp>
                  </a:graphicData>
                </a:graphic>
              </wp:anchor>
            </w:drawing>
          </mc:Choice>
          <mc:Fallback>
            <w:pict>
              <v:shape id="文本框 15" o:spid="_x0000_s1026" o:spt="202" type="#_x0000_t202" style="position:absolute;left:0pt;margin-left:0pt;margin-top:8.7pt;height:63pt;width:45pt;z-index:251829248;mso-width-relative:page;mso-height-relative:page;" fillcolor="#FFFFFF" filled="t" stroked="f" coordsize="21600,21600" o:gfxdata="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okD&#10;ctYAAAAGAQAADwAAAAAAAAABACAAAAAiAAAAZHJzL2Rvd25yZXYueG1sUEsBAhQAFAAAAAgAh07i&#10;QBtm6vIkAgAAMwQAAA4AAAAAAAAAAQAgAAAAJQEAAGRycy9lMm9Eb2MueG1sUEsFBgAAAAAGAAYA&#10;WQEAALsFAAAAAA==&#10;">
                <v:fill on="t" focussize="0,0"/>
                <v:stroke on="f"/>
                <v:imagedata o:title=""/>
                <o:lock v:ext="edit" aspectratio="f"/>
                <v:textbox inset="0mm,2mm,0mm,0mm">
                  <w:txbxContent>
                    <w:p>
                      <w:pPr>
                        <w:rPr>
                          <w:rFonts w:ascii="楷体_GB2312" w:eastAsia="楷体_GB2312"/>
                        </w:rPr>
                      </w:pPr>
                      <w:r>
                        <w:rPr>
                          <w:rFonts w:hint="eastAsia" w:ascii="楷体_GB2312" w:hAnsi="宋体" w:eastAsia="楷体_GB2312"/>
                        </w:rPr>
                        <w:t>保证人向承包人支付索赔款项</w:t>
                      </w:r>
                    </w:p>
                  </w:txbxContent>
                </v:textbox>
              </v:shape>
            </w:pict>
          </mc:Fallback>
        </mc:AlternateContent>
      </w:r>
      <w:r>
        <w:rPr>
          <w:rFonts w:hint="eastAsia" w:ascii="宋体" w:hAnsi="宋体"/>
          <w:b w:val="0"/>
          <w:color w:val="000000"/>
          <w:sz w:val="21"/>
        </w:rPr>
        <w:t>如发包人在履行本合同中，由于资金不足或非不可抗力等原因给承包人造成损失时，在支付担保书的有效期内，承包人应书面通知发包人，说明导致索赔的原因，并及时向保证人提出索赔文件，保证人应无条件就担保金额向承包人支付索赔款项，无须征得发包人的同意。</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14912" behindDoc="0" locked="0" layoutInCell="1" allowOverlap="1">
                <wp:simplePos x="0" y="0"/>
                <wp:positionH relativeFrom="column">
                  <wp:posOffset>0</wp:posOffset>
                </wp:positionH>
                <wp:positionV relativeFrom="paragraph">
                  <wp:posOffset>139065</wp:posOffset>
                </wp:positionV>
                <wp:extent cx="571500" cy="422910"/>
                <wp:effectExtent l="0" t="0" r="0" b="0"/>
                <wp:wrapNone/>
                <wp:docPr id="15"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71500" cy="42291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约定担保事项</w:t>
                            </w:r>
                          </w:p>
                        </w:txbxContent>
                      </wps:txbx>
                      <wps:bodyPr rot="0" vert="horz" wrap="square" lIns="0" tIns="36000" rIns="0" bIns="0" anchor="t" anchorCtr="0" upright="1">
                        <a:noAutofit/>
                      </wps:bodyPr>
                    </wps:wsp>
                  </a:graphicData>
                </a:graphic>
              </wp:anchor>
            </w:drawing>
          </mc:Choice>
          <mc:Fallback>
            <w:pict>
              <v:shape id="文本框 14" o:spid="_x0000_s1026" o:spt="202" type="#_x0000_t202" style="position:absolute;left:0pt;margin-left:0pt;margin-top:10.95pt;height:33.3pt;width:45pt;z-index:251814912;mso-width-relative:page;mso-height-relative:page;" fillcolor="#FFFFFF" filled="t" stroked="f" coordsize="21600,21600" o:gfxdata="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RqF&#10;RNQAAAAFAQAADwAAAAAAAAABACAAAAAiAAAAZHJzL2Rvd25yZXYueG1sUEsBAhQAFAAAAAgAh07i&#10;QOrhSHQmAgAAMwQAAA4AAAAAAAAAAQAgAAAAIwEAAGRycy9lMm9Eb2MueG1sUEsFBgAAAAAGAAYA&#10;WQEAALsFA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约定担保事项</w:t>
                      </w:r>
                    </w:p>
                  </w:txbxContent>
                </v:textbox>
              </v:shape>
            </w:pict>
          </mc:Fallback>
        </mc:AlternateContent>
      </w:r>
      <w:r>
        <w:rPr>
          <w:rFonts w:hint="eastAsia" w:ascii="宋体" w:hAnsi="宋体"/>
          <w:b w:val="0"/>
          <w:color w:val="000000"/>
          <w:sz w:val="21"/>
        </w:rPr>
        <w:t>发包人和承包人在专用条款中约定担保方式和其他事项，并提供担保合同，作为本合同附件。</w:t>
      </w:r>
      <w:bookmarkEnd w:id="369"/>
    </w:p>
    <w:p>
      <w:pPr>
        <w:pStyle w:val="2"/>
        <w:keepLines w:val="0"/>
        <w:numPr>
          <w:ilvl w:val="0"/>
          <w:numId w:val="0"/>
        </w:numPr>
        <w:tabs>
          <w:tab w:val="left" w:pos="1620"/>
          <w:tab w:val="left" w:pos="2340"/>
        </w:tabs>
        <w:ind w:left="945" w:leftChars="450"/>
        <w:rPr>
          <w:rFonts w:hAnsi="宋体"/>
          <w:color w:val="000000"/>
          <w:sz w:val="30"/>
        </w:rPr>
      </w:pPr>
      <w:bookmarkStart w:id="370" w:name="_Toc34909187"/>
      <w:bookmarkStart w:id="371" w:name="_Toc35656510"/>
      <w:bookmarkStart w:id="372" w:name="_Toc35657012"/>
      <w:r>
        <w:rPr>
          <w:rFonts w:hint="eastAsia" w:hAnsi="宋体"/>
          <w:color w:val="000000"/>
          <w:sz w:val="30"/>
        </w:rPr>
        <w:t>十七、合同的生效、终止和解除</w:t>
      </w:r>
      <w:bookmarkEnd w:id="370"/>
      <w:bookmarkEnd w:id="371"/>
      <w:bookmarkEnd w:id="372"/>
    </w:p>
    <w:p>
      <w:pPr>
        <w:pStyle w:val="2"/>
        <w:keepLines w:val="0"/>
        <w:tabs>
          <w:tab w:val="left" w:pos="1620"/>
          <w:tab w:val="left" w:pos="2340"/>
        </w:tabs>
        <w:ind w:left="945" w:leftChars="450"/>
        <w:rPr>
          <w:rFonts w:hAnsi="宋体"/>
          <w:color w:val="000000"/>
          <w:sz w:val="28"/>
          <w:szCs w:val="28"/>
        </w:rPr>
      </w:pPr>
      <w:bookmarkStart w:id="373" w:name="_Toc35656511"/>
      <w:bookmarkStart w:id="374" w:name="_Toc35657013"/>
      <w:bookmarkStart w:id="375" w:name="_Toc34909188"/>
      <w:r>
        <w:rPr>
          <w:sz w:val="28"/>
          <w:szCs w:val="28"/>
        </w:rPr>
        <mc:AlternateContent>
          <mc:Choice Requires="wps">
            <w:drawing>
              <wp:anchor distT="0" distB="0" distL="114300" distR="114300" simplePos="0" relativeHeight="251843584" behindDoc="0" locked="0" layoutInCell="1" allowOverlap="1">
                <wp:simplePos x="0" y="0"/>
                <wp:positionH relativeFrom="column">
                  <wp:posOffset>0</wp:posOffset>
                </wp:positionH>
                <wp:positionV relativeFrom="paragraph">
                  <wp:posOffset>439420</wp:posOffset>
                </wp:positionV>
                <wp:extent cx="571500" cy="228600"/>
                <wp:effectExtent l="0" t="1270" r="0" b="0"/>
                <wp:wrapNone/>
                <wp:docPr id="14"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合同生效</w:t>
                            </w:r>
                          </w:p>
                        </w:txbxContent>
                      </wps:txbx>
                      <wps:bodyPr rot="0" vert="horz" wrap="square" lIns="0" tIns="18000" rIns="0" bIns="0" anchor="t" anchorCtr="0" upright="1">
                        <a:noAutofit/>
                      </wps:bodyPr>
                    </wps:wsp>
                  </a:graphicData>
                </a:graphic>
              </wp:anchor>
            </w:drawing>
          </mc:Choice>
          <mc:Fallback>
            <w:pict>
              <v:shape id="文本框 13" o:spid="_x0000_s1026" o:spt="202" type="#_x0000_t202" style="position:absolute;left:0pt;margin-left:0pt;margin-top:34.6pt;height:18pt;width:45pt;z-index:251843584;mso-width-relative:page;mso-height-relative:page;" fillcolor="#FFFFFF" filled="t" stroked="f" coordsize="21600,21600" o:gfxdata="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iY5B7V&#10;AAAABgEAAA8AAAAAAAAAAQAgAAAAIgAAAGRycy9kb3ducmV2LnhtbFBLAQIUABQAAAAIAIdO4kBh&#10;hEqFIwIAADMEAAAOAAAAAAAAAAEAIAAAACQBAABkcnMvZTJvRG9jLnhtbFBLBQYAAAAABgAGAFkB&#10;AAC5BQ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合同生效</w:t>
                      </w:r>
                    </w:p>
                  </w:txbxContent>
                </v:textbox>
              </v:shape>
            </w:pict>
          </mc:Fallback>
        </mc:AlternateContent>
      </w:r>
      <w:r>
        <w:rPr>
          <w:rFonts w:hint="eastAsia" w:hAnsi="宋体"/>
          <w:color w:val="000000"/>
          <w:sz w:val="28"/>
          <w:szCs w:val="28"/>
        </w:rPr>
        <w:t>合同的生效、终止</w:t>
      </w:r>
      <w:bookmarkEnd w:id="373"/>
      <w:bookmarkEnd w:id="374"/>
      <w:bookmarkEnd w:id="375"/>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76" w:name="_Toc34909189"/>
      <w:r>
        <mc:AlternateContent>
          <mc:Choice Requires="wps">
            <w:drawing>
              <wp:anchor distT="0" distB="0" distL="114300" distR="114300" simplePos="0" relativeHeight="251816960" behindDoc="0" locked="0" layoutInCell="1" allowOverlap="1">
                <wp:simplePos x="0" y="0"/>
                <wp:positionH relativeFrom="column">
                  <wp:posOffset>0</wp:posOffset>
                </wp:positionH>
                <wp:positionV relativeFrom="paragraph">
                  <wp:posOffset>-9462770</wp:posOffset>
                </wp:positionV>
                <wp:extent cx="571500" cy="342900"/>
                <wp:effectExtent l="0" t="0" r="0" b="4445"/>
                <wp:wrapNone/>
                <wp:docPr id="13"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合同的生效</w:t>
                            </w:r>
                          </w:p>
                        </w:txbxContent>
                      </wps:txbx>
                      <wps:bodyPr rot="0" vert="horz" wrap="square" lIns="0" tIns="0" rIns="0" bIns="0" anchor="t" anchorCtr="0" upright="1">
                        <a:noAutofit/>
                      </wps:bodyPr>
                    </wps:wsp>
                  </a:graphicData>
                </a:graphic>
              </wp:anchor>
            </w:drawing>
          </mc:Choice>
          <mc:Fallback>
            <w:pict>
              <v:shape id="文本框 12" o:spid="_x0000_s1026" o:spt="202" type="#_x0000_t202" style="position:absolute;left:0pt;margin-left:0pt;margin-top:-745.1pt;height:27pt;width:45pt;z-index:251816960;mso-width-relative:page;mso-height-relative:page;" fillcolor="#FFFFFF" filled="t" stroked="f" coordsize="21600,21600" o:gfxdata="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3SaQrZ&#10;AAAACwEAAA8AAAAAAAAAAQAgAAAAIgAAAGRycy9kb3ducmV2LnhtbFBLAQIUABQAAAAIAIdO4kDl&#10;gS2RHwIAAC8EAAAOAAAAAAAAAAEAIAAAACgBAABkcnMvZTJvRG9jLnhtbFBLBQYAAAAABgAGAFkB&#10;AAC5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合同的生效</w:t>
                      </w:r>
                    </w:p>
                  </w:txbxContent>
                </v:textbox>
              </v:shape>
            </w:pict>
          </mc:Fallback>
        </mc:AlternateContent>
      </w:r>
      <w:r>
        <w:rPr>
          <w:rFonts w:hint="eastAsia" w:ascii="宋体" w:hAnsi="宋体"/>
          <w:b w:val="0"/>
          <w:color w:val="000000"/>
          <w:sz w:val="21"/>
        </w:rPr>
        <w:t>发包人和承包人在协议书中约定本合同生效的方式。</w:t>
      </w:r>
      <w:bookmarkEnd w:id="376"/>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77" w:name="_Toc34909190"/>
      <w:r>
        <mc:AlternateContent>
          <mc:Choice Requires="wps">
            <w:drawing>
              <wp:anchor distT="0" distB="0" distL="114300" distR="114300" simplePos="0" relativeHeight="251815936" behindDoc="0" locked="0" layoutInCell="1" allowOverlap="1">
                <wp:simplePos x="0" y="0"/>
                <wp:positionH relativeFrom="column">
                  <wp:posOffset>0</wp:posOffset>
                </wp:positionH>
                <wp:positionV relativeFrom="paragraph">
                  <wp:posOffset>144145</wp:posOffset>
                </wp:positionV>
                <wp:extent cx="571500" cy="228600"/>
                <wp:effectExtent l="0" t="1270" r="0" b="0"/>
                <wp:wrapNone/>
                <wp:docPr id="12"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合同终止</w:t>
                            </w:r>
                          </w:p>
                        </w:txbxContent>
                      </wps:txbx>
                      <wps:bodyPr rot="0" vert="horz" wrap="square" lIns="0" tIns="18000" rIns="0" bIns="0" anchor="t" anchorCtr="0" upright="1">
                        <a:noAutofit/>
                      </wps:bodyPr>
                    </wps:wsp>
                  </a:graphicData>
                </a:graphic>
              </wp:anchor>
            </w:drawing>
          </mc:Choice>
          <mc:Fallback>
            <w:pict>
              <v:shape id="文本框 11" o:spid="_x0000_s1026" o:spt="202" type="#_x0000_t202" style="position:absolute;left:0pt;margin-left:0pt;margin-top:11.35pt;height:18pt;width:45pt;z-index:251815936;mso-width-relative:page;mso-height-relative:page;" fillcolor="#FFFFFF" filled="t" stroked="f" coordsize="21600,21600" o:gfxdata="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7corO&#10;1gAAAAUBAAAPAAAAAAAAAAEAIAAAACIAAABkcnMvZG93bnJldi54bWxQSwECFAAUAAAACACHTuJA&#10;rseE5CMCAAAzBAAADgAAAAAAAAABACAAAAAlAQAAZHJzL2Uyb0RvYy54bWxQSwUGAAAAAAYABgBZ&#10;AQAAugUAAAAA&#10;">
                <v:fill on="t" focussize="0,0"/>
                <v:stroke on="f"/>
                <v:imagedata o:title=""/>
                <o:lock v:ext="edit" aspectratio="f"/>
                <v:textbox inset="0mm,0.5mm,0mm,0mm">
                  <w:txbxContent>
                    <w:p>
                      <w:pPr>
                        <w:rPr>
                          <w:rFonts w:ascii="楷体_GB2312" w:eastAsia="楷体_GB2312"/>
                        </w:rPr>
                      </w:pPr>
                      <w:r>
                        <w:rPr>
                          <w:rFonts w:hint="eastAsia" w:ascii="楷体_GB2312" w:hAnsi="宋体" w:eastAsia="楷体_GB2312"/>
                        </w:rPr>
                        <w:t>合同终止</w:t>
                      </w:r>
                    </w:p>
                  </w:txbxContent>
                </v:textbox>
              </v:shape>
            </w:pict>
          </mc:Fallback>
        </mc:AlternateContent>
      </w:r>
      <w:r>
        <w:rPr>
          <w:rFonts w:hint="eastAsia" w:ascii="宋体" w:hAnsi="宋体"/>
          <w:b w:val="0"/>
          <w:color w:val="000000"/>
          <w:sz w:val="21"/>
        </w:rPr>
        <w:t>除第38条有关争议及第39条有关缺陷责任外，发包人和承包人履行本合同全部义务，工程竣工交付完毕，工程竣工结算价款支付完毕，本合同即告终止。</w:t>
      </w:r>
      <w:bookmarkEnd w:id="377"/>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118745</wp:posOffset>
                </wp:positionV>
                <wp:extent cx="571500" cy="342900"/>
                <wp:effectExtent l="0" t="4445" r="0" b="0"/>
                <wp:wrapNone/>
                <wp:docPr id="1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诚实信用</w:t>
                            </w:r>
                          </w:p>
                        </w:txbxContent>
                      </wps:txbx>
                      <wps:bodyPr rot="0" vert="horz" wrap="square" lIns="0" tIns="54000" rIns="0" bIns="0" anchor="t" anchorCtr="0" upright="1">
                        <a:noAutofit/>
                      </wps:bodyPr>
                    </wps:wsp>
                  </a:graphicData>
                </a:graphic>
              </wp:anchor>
            </w:drawing>
          </mc:Choice>
          <mc:Fallback>
            <w:pict>
              <v:shape id="文本框 10" o:spid="_x0000_s1026" o:spt="202" type="#_x0000_t202" style="position:absolute;left:0pt;margin-left:0pt;margin-top:9.35pt;height:27pt;width:45pt;z-index:251817984;mso-width-relative:page;mso-height-relative:page;" fillcolor="#FFFFFF" filled="t" stroked="f" coordsize="21600,21600" o:gfxdata="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XeXHb&#10;1QAAAAUBAAAPAAAAAAAAAAEAIAAAACIAAABkcnMvZG93bnJldi54bWxQSwECFAAUAAAACACHTuJA&#10;E40lgCQCAAAzBAAADgAAAAAAAAABACAAAAAkAQAAZHJzL2Uyb0RvYy54bWxQSwUGAAAAAAYABgBZ&#10;AQAAugUAAAAA&#10;">
                <v:fill on="t" focussize="0,0"/>
                <v:stroke on="f"/>
                <v:imagedata o:title=""/>
                <o:lock v:ext="edit" aspectratio="f"/>
                <v:textbox inset="0mm,1.5mm,0mm,0mm">
                  <w:txbxContent>
                    <w:p>
                      <w:pPr>
                        <w:rPr>
                          <w:rFonts w:ascii="楷体_GB2312" w:eastAsia="楷体_GB2312"/>
                        </w:rPr>
                      </w:pPr>
                      <w:r>
                        <w:rPr>
                          <w:rFonts w:hint="eastAsia" w:ascii="楷体_GB2312" w:hAnsi="宋体" w:eastAsia="楷体_GB2312"/>
                        </w:rPr>
                        <w:t>诚实信用</w:t>
                      </w:r>
                    </w:p>
                  </w:txbxContent>
                </v:textbox>
              </v:shape>
            </w:pict>
          </mc:Fallback>
        </mc:AlternateContent>
      </w:r>
      <w:r>
        <w:rPr>
          <w:rFonts w:hint="eastAsia" w:ascii="宋体" w:hAnsi="宋体"/>
          <w:b w:val="0"/>
          <w:color w:val="000000"/>
          <w:sz w:val="21"/>
        </w:rPr>
        <w:t>本合同的权利义务终止后，发包人和承包人应遵循诚实信用原则，履行通知、协助、保密等义务。</w:t>
      </w:r>
    </w:p>
    <w:p>
      <w:pPr>
        <w:pStyle w:val="2"/>
        <w:keepLines w:val="0"/>
        <w:tabs>
          <w:tab w:val="left" w:pos="1620"/>
          <w:tab w:val="left" w:pos="2340"/>
        </w:tabs>
        <w:ind w:left="945" w:leftChars="450"/>
        <w:rPr>
          <w:rFonts w:hAnsi="宋体"/>
          <w:color w:val="000000"/>
          <w:sz w:val="28"/>
          <w:szCs w:val="28"/>
        </w:rPr>
      </w:pPr>
      <w:bookmarkStart w:id="378" w:name="_Toc34909191"/>
      <w:bookmarkStart w:id="379" w:name="_Toc35656512"/>
      <w:bookmarkStart w:id="380" w:name="_Toc35657014"/>
      <w:r>
        <w:rPr>
          <w:rFonts w:hint="eastAsia" w:hAnsi="宋体"/>
          <w:color w:val="000000"/>
          <w:sz w:val="28"/>
          <w:szCs w:val="28"/>
        </w:rPr>
        <w:t>合同的解除</w:t>
      </w:r>
      <w:bookmarkEnd w:id="378"/>
      <w:bookmarkEnd w:id="379"/>
      <w:bookmarkEnd w:id="380"/>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81" w:name="_Toc34909192"/>
      <w: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2540</wp:posOffset>
                </wp:positionV>
                <wp:extent cx="571500" cy="228600"/>
                <wp:effectExtent l="0" t="2540" r="0" b="0"/>
                <wp:wrapNone/>
                <wp:docPr id="10"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协商一致</w:t>
                            </w:r>
                          </w:p>
                        </w:txbxContent>
                      </wps:txbx>
                      <wps:bodyPr rot="0" vert="horz" wrap="square" lIns="0" tIns="0" rIns="0" bIns="0" anchor="t" anchorCtr="0" upright="1">
                        <a:noAutofit/>
                      </wps:bodyPr>
                    </wps:wsp>
                  </a:graphicData>
                </a:graphic>
              </wp:anchor>
            </w:drawing>
          </mc:Choice>
          <mc:Fallback>
            <w:pict>
              <v:shape id="文本框 9" o:spid="_x0000_s1026" o:spt="202" type="#_x0000_t202" style="position:absolute;left:0pt;margin-left:0pt;margin-top:0.2pt;height:18pt;width:45pt;z-index:251820032;mso-width-relative:page;mso-height-relative:page;" fillcolor="#FFFFFF" filled="t" stroked="f" coordsize="21600,21600" o:gfxdata="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bGH610wAAAAMBAAAP&#10;AAAAAAAAAAEAIAAAACIAAABkcnMvZG93bnJldi54bWxQSwECFAAUAAAACACHTuJA2LOVix0CAAAu&#10;BAAADgAAAAAAAAABACAAAAAiAQAAZHJzL2Uyb0RvYy54bWxQSwUGAAAAAAYABgBZAQAAsQU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协商一致</w:t>
                      </w:r>
                    </w:p>
                  </w:txbxContent>
                </v:textbox>
              </v:shape>
            </w:pict>
          </mc:Fallback>
        </mc:AlternateContent>
      </w:r>
      <w:r>
        <w:rPr>
          <w:rFonts w:hint="eastAsia" w:ascii="宋体" w:hAnsi="宋体"/>
          <w:b w:val="0"/>
          <w:color w:val="000000"/>
          <w:sz w:val="21"/>
        </w:rPr>
        <w:t>发包人和承包人协商一致，可以解除合同。</w:t>
      </w:r>
      <w:bookmarkEnd w:id="381"/>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82" w:name="_Toc34909193"/>
      <w: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125730</wp:posOffset>
                </wp:positionV>
                <wp:extent cx="571500" cy="232410"/>
                <wp:effectExtent l="0" t="1905" r="0" b="3810"/>
                <wp:wrapNone/>
                <wp:docPr id="9"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1500" cy="23241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发生转让</w:t>
                            </w:r>
                          </w:p>
                        </w:txbxContent>
                      </wps:txbx>
                      <wps:bodyPr rot="0" vert="horz" wrap="square" lIns="0" tIns="54000" rIns="0" bIns="0" anchor="t" anchorCtr="0" upright="1">
                        <a:noAutofit/>
                      </wps:bodyPr>
                    </wps:wsp>
                  </a:graphicData>
                </a:graphic>
              </wp:anchor>
            </w:drawing>
          </mc:Choice>
          <mc:Fallback>
            <w:pict>
              <v:shape id="文本框 8" o:spid="_x0000_s1026" o:spt="202" type="#_x0000_t202" style="position:absolute;left:0pt;margin-left:0pt;margin-top:9.9pt;height:18.3pt;width:45pt;z-index:251821056;mso-width-relative:page;mso-height-relative:page;" fillcolor="#FFFFFF" filled="t" stroked="f" coordsize="21600,21600" o:gfxdata="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Q1y&#10;jtUAAAAFAQAADwAAAAAAAAABACAAAAAiAAAAZHJzL2Rvd25yZXYueG1sUEsBAhQAFAAAAAgAh07i&#10;QD2HaHMlAgAAMQQAAA4AAAAAAAAAAQAgAAAAJAEAAGRycy9lMm9Eb2MueG1sUEsFBgAAAAAGAAYA&#10;WQEAALsFAAAAAA==&#10;">
                <v:fill on="t" focussize="0,0"/>
                <v:stroke on="f"/>
                <v:imagedata o:title=""/>
                <o:lock v:ext="edit" aspectratio="f"/>
                <v:textbox inset="0mm,1.5mm,0mm,0mm">
                  <w:txbxContent>
                    <w:p>
                      <w:pPr>
                        <w:rPr>
                          <w:rFonts w:ascii="楷体_GB2312" w:eastAsia="楷体_GB2312"/>
                        </w:rPr>
                      </w:pPr>
                      <w:r>
                        <w:rPr>
                          <w:rFonts w:hint="eastAsia" w:ascii="楷体_GB2312" w:hAnsi="宋体" w:eastAsia="楷体_GB2312"/>
                        </w:rPr>
                        <w:t>发生转让</w:t>
                      </w:r>
                    </w:p>
                  </w:txbxContent>
                </v:textbox>
              </v:shape>
            </w:pict>
          </mc:Fallback>
        </mc:AlternateContent>
      </w:r>
      <w:r>
        <w:rPr>
          <w:rFonts w:hint="eastAsia" w:ascii="宋体" w:hAnsi="宋体"/>
          <w:b w:val="0"/>
          <w:color w:val="000000"/>
          <w:sz w:val="21"/>
        </w:rPr>
        <w:t>发生通用条款第13条和第14条禁止的情况，承包人将其承包的全部工程或任何部分转让给他人或者将其承包的全部工程肢解分包，发包人有权解除合同。</w:t>
      </w:r>
      <w:bookmarkEnd w:id="382"/>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83" w:name="_Toc34909194"/>
      <w: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-1270</wp:posOffset>
                </wp:positionV>
                <wp:extent cx="571500" cy="328295"/>
                <wp:effectExtent l="0" t="0" r="0" b="0"/>
                <wp:wrapNone/>
                <wp:docPr id="8"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1500" cy="328295"/>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不可抗力或违约</w:t>
                            </w:r>
                          </w:p>
                        </w:txbxContent>
                      </wps:txbx>
                      <wps:bodyPr rot="0" vert="horz" wrap="square" lIns="0" tIns="0" rIns="0" bIns="0" anchor="t" anchorCtr="0" upright="1">
                        <a:noAutofit/>
                      </wps:bodyPr>
                    </wps:wsp>
                  </a:graphicData>
                </a:graphic>
              </wp:anchor>
            </w:drawing>
          </mc:Choice>
          <mc:Fallback>
            <w:pict>
              <v:shape id="文本框 7" o:spid="_x0000_s1026" o:spt="202" type="#_x0000_t202" style="position:absolute;left:0pt;margin-left:0pt;margin-top:-0.1pt;height:25.85pt;width:45pt;z-index:251819008;mso-width-relative:page;mso-height-relative:page;" fillcolor="#FFFFFF" filled="t" stroked="f" coordsize="21600,21600" o:gfxdata="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Zk25tQAAAAE&#10;AQAADwAAAAAAAAABACAAAAAiAAAAZHJzL2Rvd25yZXYueG1sUEsBAhQAFAAAAAgAh07iQMSqNIYg&#10;AgAALQQAAA4AAAAAAAAAAQAgAAAAIwEAAGRycy9lMm9Eb2MueG1sUEsFBgAAAAAGAAYAWQEAALUF&#10;A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不可抗力或违约</w:t>
                      </w:r>
                    </w:p>
                  </w:txbxContent>
                </v:textbox>
              </v:shape>
            </w:pict>
          </mc:Fallback>
        </mc:AlternateContent>
      </w:r>
      <w:r>
        <w:rPr>
          <w:rFonts w:hint="eastAsia" w:ascii="宋体" w:hAnsi="宋体"/>
          <w:b w:val="0"/>
          <w:color w:val="000000"/>
          <w:sz w:val="21"/>
        </w:rPr>
        <w:t>有下列情形之一的，发包人和承包人可以解除合同</w:t>
      </w:r>
      <w:bookmarkEnd w:id="383"/>
      <w:r>
        <w:rPr>
          <w:rFonts w:hint="eastAsia" w:ascii="宋体" w:hAnsi="宋体"/>
          <w:b w:val="0"/>
          <w:color w:val="000000"/>
          <w:sz w:val="21"/>
        </w:rPr>
        <w:t>：</w:t>
      </w:r>
    </w:p>
    <w:p>
      <w:pPr>
        <w:tabs>
          <w:tab w:val="left" w:pos="1620"/>
          <w:tab w:val="left" w:pos="2340"/>
        </w:tabs>
        <w:ind w:left="1418" w:leftChars="675"/>
        <w:rPr>
          <w:rFonts w:ascii="宋体" w:hAnsi="宋体"/>
          <w:color w:val="000000"/>
        </w:rPr>
      </w:pPr>
      <w:r>
        <w:rPr>
          <w:rFonts w:ascii="宋体" w:hAnsi="宋体"/>
          <w:color w:val="000000"/>
        </w:rPr>
        <w:t>⑴</w:t>
      </w:r>
      <w:r>
        <w:rPr>
          <w:rFonts w:hint="eastAsia" w:ascii="宋体" w:hAnsi="宋体"/>
          <w:color w:val="000000"/>
        </w:rPr>
        <w:t>因不可抗力致使合同无法履行；</w:t>
      </w:r>
    </w:p>
    <w:p>
      <w:pPr>
        <w:tabs>
          <w:tab w:val="left" w:pos="1620"/>
          <w:tab w:val="left" w:pos="2340"/>
        </w:tabs>
        <w:ind w:left="1418" w:leftChars="675"/>
        <w:rPr>
          <w:rFonts w:ascii="宋体" w:hAnsi="宋体"/>
          <w:color w:val="000000"/>
        </w:rPr>
      </w:pPr>
      <w:r>
        <w:rPr>
          <w:rFonts w:ascii="宋体" w:hAnsi="宋体"/>
          <w:color w:val="000000"/>
        </w:rPr>
        <w:t>⑵</w:t>
      </w:r>
      <w:r>
        <w:rPr>
          <w:rFonts w:hint="eastAsia" w:ascii="宋体" w:hAnsi="宋体"/>
          <w:color w:val="000000"/>
        </w:rPr>
        <w:t>因一方违约(包括因发包人原因造成工程停建或缓建)致使合同无法履行。</w:t>
      </w:r>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84" w:name="_Toc34909195"/>
      <w:r>
        <mc:AlternateContent>
          <mc:Choice Requires="wps">
            <w:drawing>
              <wp:anchor distT="0" distB="0" distL="114300" distR="114300" simplePos="0" relativeHeight="251823104" behindDoc="0" locked="0" layoutInCell="1" allowOverlap="1">
                <wp:simplePos x="0" y="0"/>
                <wp:positionH relativeFrom="column">
                  <wp:posOffset>0</wp:posOffset>
                </wp:positionH>
                <wp:positionV relativeFrom="paragraph">
                  <wp:posOffset>174625</wp:posOffset>
                </wp:positionV>
                <wp:extent cx="571500" cy="360680"/>
                <wp:effectExtent l="0" t="3175" r="0" b="0"/>
                <wp:wrapNone/>
                <wp:docPr id="7"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1500" cy="36068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解除合同程序</w:t>
                            </w:r>
                          </w:p>
                        </w:txbxContent>
                      </wps:txbx>
                      <wps:bodyPr rot="0" vert="horz" wrap="square" lIns="0" tIns="0" rIns="0" bIns="0" anchor="t" anchorCtr="0" upright="1">
                        <a:noAutofit/>
                      </wps:bodyPr>
                    </wps:wsp>
                  </a:graphicData>
                </a:graphic>
              </wp:anchor>
            </w:drawing>
          </mc:Choice>
          <mc:Fallback>
            <w:pict>
              <v:shape id="文本框 6" o:spid="_x0000_s1026" o:spt="202" type="#_x0000_t202" style="position:absolute;left:0pt;margin-left:0pt;margin-top:13.75pt;height:28.4pt;width:45pt;z-index:251823104;mso-width-relative:page;mso-height-relative:page;" fillcolor="#FFFFFF" filled="t" stroked="f" coordsize="21600,21600" o:gfxdata="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nkoVvVAAAA&#10;BQEAAA8AAAAAAAAAAQAgAAAAIgAAAGRycy9kb3ducmV2LnhtbFBLAQIUABQAAAAIAIdO4kDbqtdv&#10;IAIAAC0EAAAOAAAAAAAAAAEAIAAAACQBAABkcnMvZTJvRG9jLnhtbFBLBQYAAAAABgAGAFkBAAC2&#10;BQAA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解除合同程序</w:t>
                      </w:r>
                    </w:p>
                  </w:txbxContent>
                </v:textbox>
              </v:shape>
            </w:pict>
          </mc:Fallback>
        </mc:AlternateContent>
      </w:r>
      <w:r>
        <w:rPr>
          <w:rFonts w:hint="eastAsia" w:ascii="宋体" w:hAnsi="宋体"/>
          <w:b w:val="0"/>
          <w:color w:val="000000"/>
          <w:sz w:val="21"/>
        </w:rPr>
        <w:t>发包人和承包人一方依据44.1、44.2、44.3款约定解除合同的，应以书面形式向对方发出解除合同的通知，双方签订解除合同协议后本合同解除。对解除合同有争议的，按通用条款第38条关于争议的约定处理。</w:t>
      </w:r>
      <w:bookmarkEnd w:id="384"/>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85" w:name="_Toc34909196"/>
      <w:r>
        <mc:AlternateContent>
          <mc:Choice Requires="wps">
            <w:drawing>
              <wp:anchor distT="0" distB="0" distL="114300" distR="114300" simplePos="0" relativeHeight="251824128" behindDoc="0" locked="0" layoutInCell="1" allowOverlap="1">
                <wp:simplePos x="0" y="0"/>
                <wp:positionH relativeFrom="column">
                  <wp:posOffset>0</wp:posOffset>
                </wp:positionH>
                <wp:positionV relativeFrom="paragraph">
                  <wp:posOffset>126365</wp:posOffset>
                </wp:positionV>
                <wp:extent cx="571500" cy="457200"/>
                <wp:effectExtent l="0" t="2540" r="0" b="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合同解除后工作</w:t>
                            </w:r>
                          </w:p>
                        </w:txbxContent>
                      </wps:txbx>
                      <wps:bodyPr rot="0" vert="horz" wrap="square" lIns="0" tIns="36000" rIns="0" bIns="0" anchor="t" anchorCtr="0" upright="1">
                        <a:noAutofit/>
                      </wps:bodyPr>
                    </wps:wsp>
                  </a:graphicData>
                </a:graphic>
              </wp:anchor>
            </w:drawing>
          </mc:Choice>
          <mc:Fallback>
            <w:pict>
              <v:shape id="文本框 5" o:spid="_x0000_s1026" o:spt="202" type="#_x0000_t202" style="position:absolute;left:0pt;margin-left:0pt;margin-top:9.95pt;height:36pt;width:45pt;z-index:251824128;mso-width-relative:page;mso-height-relative:page;" fillcolor="#FFFFFF" filled="t" stroked="f" coordsize="21600,21600" o:gfxdata="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urr6dMA&#10;AAAFAQAADwAAAAAAAAABACAAAAAiAAAAZHJzL2Rvd25yZXYueG1sUEsBAhQAFAAAAAgAh07iQJDx&#10;V5gkAgAAMQQAAA4AAAAAAAAAAQAgAAAAIgEAAGRycy9lMm9Eb2MueG1sUEsFBgAAAAAGAAYAWQEA&#10;ALgFA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合同解除后工作</w:t>
                      </w:r>
                    </w:p>
                  </w:txbxContent>
                </v:textbox>
              </v:shape>
            </w:pict>
          </mc:Fallback>
        </mc:AlternateContent>
      </w:r>
      <w:r>
        <w:rPr>
          <w:rFonts w:hint="eastAsia" w:ascii="宋体" w:hAnsi="宋体"/>
          <w:b w:val="0"/>
          <w:color w:val="000000"/>
          <w:sz w:val="21"/>
        </w:rPr>
        <w:t>合同解除后，承包人应妥善做好已完工程和已购材料、设备的保护和移交工作，按发包人要求将承包人装备和人员撤出施工场地。发包人应为承包人撤出提供必要条件，支付以上所发生的费用，并按合同约定支付已完工程价款。已经订货的材料、设备由订货方负责退货或解除订货合同，因未及时退货造成的损失由责任方承担。不能退还的货款和因退货、解除订货合同发生的费用，由责任方承担，但是因不可抗力造成合同解除的由发包人承担。除此之外，有过错的一方应赔偿因合同解除给对方造成的损失。</w:t>
      </w:r>
      <w:bookmarkEnd w:id="385"/>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bookmarkStart w:id="386" w:name="_Toc34909197"/>
      <w:r>
        <mc:AlternateContent>
          <mc:Choice Requires="wps">
            <w:drawing>
              <wp:anchor distT="0" distB="0" distL="114300" distR="114300" simplePos="0" relativeHeight="251822080" behindDoc="0" locked="0" layoutInCell="1" allowOverlap="1">
                <wp:simplePos x="0" y="0"/>
                <wp:positionH relativeFrom="column">
                  <wp:posOffset>0</wp:posOffset>
                </wp:positionH>
                <wp:positionV relativeFrom="paragraph">
                  <wp:posOffset>170815</wp:posOffset>
                </wp:positionV>
                <wp:extent cx="571500" cy="342900"/>
                <wp:effectExtent l="0" t="0" r="0" b="635"/>
                <wp:wrapNone/>
                <wp:docPr id="5"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结算和清理</w:t>
                            </w:r>
                          </w:p>
                        </w:txbxContent>
                      </wps:txbx>
                      <wps:bodyPr rot="0" vert="horz" wrap="square" lIns="0" tIns="0" rIns="0" bIns="0" anchor="t" anchorCtr="0" upright="1">
                        <a:noAutofit/>
                      </wps:bodyPr>
                    </wps:wsp>
                  </a:graphicData>
                </a:graphic>
              </wp:anchor>
            </w:drawing>
          </mc:Choice>
          <mc:Fallback>
            <w:pict>
              <v:shape id="文本框 4" o:spid="_x0000_s1026" o:spt="202" type="#_x0000_t202" style="position:absolute;left:0pt;margin-left:0pt;margin-top:13.45pt;height:27pt;width:45pt;z-index:251822080;mso-width-relative:page;mso-height-relative:page;" fillcolor="#FFFFFF" filled="t" stroked="f" coordsize="21600,21600" o:gfxdata="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Yy9r/UAAAABQEA&#10;AA8AAAAAAAAAAQAgAAAAIgAAAGRycy9kb3ducmV2LnhtbFBLAQIUABQAAAAIAIdO4kDKYnDuHgIA&#10;AC0EAAAOAAAAAAAAAAEAIAAAACMBAABkcnMvZTJvRG9jLnhtbFBLBQYAAAAABgAGAFkBAACzBQAA&#10;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结算和清理</w:t>
                      </w:r>
                    </w:p>
                  </w:txbxContent>
                </v:textbox>
              </v:shape>
            </w:pict>
          </mc:Fallback>
        </mc:AlternateContent>
      </w:r>
      <w:r>
        <w:rPr>
          <w:rFonts w:hint="eastAsia" w:ascii="宋体" w:hAnsi="宋体"/>
          <w:b w:val="0"/>
          <w:color w:val="000000"/>
          <w:sz w:val="21"/>
        </w:rPr>
        <w:t>合同解除后，不影响发包人和承包人在合同中约定的结算和清理条款的效力。</w:t>
      </w:r>
      <w:bookmarkEnd w:id="386"/>
    </w:p>
    <w:p>
      <w:pPr>
        <w:pStyle w:val="2"/>
        <w:keepLines w:val="0"/>
        <w:tabs>
          <w:tab w:val="left" w:pos="1620"/>
          <w:tab w:val="left" w:pos="2340"/>
        </w:tabs>
        <w:ind w:left="945" w:leftChars="450"/>
        <w:rPr>
          <w:rFonts w:hAnsi="宋体"/>
          <w:color w:val="000000"/>
          <w:sz w:val="28"/>
          <w:szCs w:val="28"/>
        </w:rPr>
      </w:pPr>
      <w:bookmarkStart w:id="387" w:name="_Toc35656513"/>
      <w:bookmarkStart w:id="388" w:name="_Toc34909198"/>
      <w:bookmarkStart w:id="389" w:name="_Toc35657015"/>
      <w:r>
        <w:rPr>
          <w:rFonts w:hint="eastAsia" w:hAnsi="宋体"/>
          <w:color w:val="000000"/>
          <w:sz w:val="28"/>
          <w:szCs w:val="28"/>
        </w:rPr>
        <w:t>合同份数</w:t>
      </w:r>
      <w:bookmarkEnd w:id="387"/>
      <w:bookmarkEnd w:id="388"/>
      <w:bookmarkEnd w:id="389"/>
    </w:p>
    <w:p>
      <w:pPr>
        <w:pStyle w:val="3"/>
        <w:numPr>
          <w:ilvl w:val="1"/>
          <w:numId w:val="1"/>
        </w:numPr>
        <w:tabs>
          <w:tab w:val="left" w:pos="1620"/>
          <w:tab w:val="left" w:pos="2016"/>
          <w:tab w:val="left" w:pos="2340"/>
          <w:tab w:val="clear" w:pos="1711"/>
        </w:tabs>
        <w:spacing w:after="0"/>
        <w:ind w:left="945" w:leftChars="450"/>
        <w:jc w:val="both"/>
        <w:rPr>
          <w:rFonts w:hAnsi="宋体"/>
          <w:b w:val="0"/>
          <w:color w:val="000000"/>
          <w:sz w:val="21"/>
        </w:rPr>
      </w:pPr>
      <w:bookmarkStart w:id="390" w:name="_Toc34909199"/>
      <w:r>
        <mc:AlternateContent>
          <mc:Choice Requires="wps">
            <w:drawing>
              <wp:anchor distT="0" distB="0" distL="114300" distR="114300" simplePos="0" relativeHeight="251825152" behindDoc="0" locked="0" layoutInCell="1" allowOverlap="1">
                <wp:simplePos x="0" y="0"/>
                <wp:positionH relativeFrom="column">
                  <wp:posOffset>0</wp:posOffset>
                </wp:positionH>
                <wp:positionV relativeFrom="paragraph">
                  <wp:posOffset>-1905</wp:posOffset>
                </wp:positionV>
                <wp:extent cx="571500" cy="228600"/>
                <wp:effectExtent l="0" t="0" r="0" b="1905"/>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合同正本</w:t>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0pt;margin-top:-0.15pt;height:18pt;width:45pt;z-index:251825152;mso-width-relative:page;mso-height-relative:page;" fillcolor="#FFFFFF" filled="t" stroked="f" coordsize="21600,21600" o:gfxdata="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dmzOXUAAAABAEA&#10;AA8AAAAAAAAAAQAgAAAAIgAAAGRycy9kb3ducmV2LnhtbFBLAQIUABQAAAAIAIdO4kBksmmJHgIA&#10;AC0EAAAOAAAAAAAAAAEAIAAAACMBAABkcnMvZTJvRG9jLnhtbFBLBQYAAAAABgAGAFkBAACzBQAA&#10;AAA=&#10;">
                <v:fill on="t" focussize="0,0"/>
                <v:stroke on="f"/>
                <v:imagedata o:title=""/>
                <o:lock v:ext="edit" aspectratio="f"/>
                <v:textbox inset="0mm,0mm,0mm,0mm">
                  <w:txbxContent>
                    <w:p>
                      <w:pPr>
                        <w:rPr>
                          <w:rFonts w:ascii="楷体_GB2312" w:eastAsia="楷体_GB2312"/>
                        </w:rPr>
                      </w:pPr>
                      <w:r>
                        <w:rPr>
                          <w:rFonts w:hint="eastAsia" w:ascii="楷体_GB2312" w:hAnsi="宋体" w:eastAsia="楷体_GB2312"/>
                        </w:rPr>
                        <w:t>合同正本</w:t>
                      </w:r>
                    </w:p>
                  </w:txbxContent>
                </v:textbox>
              </v:shape>
            </w:pict>
          </mc:Fallback>
        </mc:AlternateContent>
      </w:r>
      <w:r>
        <w:rPr>
          <w:rFonts w:hint="eastAsia" w:hAnsi="宋体"/>
          <w:b w:val="0"/>
          <w:color w:val="000000"/>
          <w:sz w:val="21"/>
        </w:rPr>
        <w:t>本合同正本两份，由发包人和承包人分别保存一份。</w:t>
      </w:r>
      <w:bookmarkEnd w:id="390"/>
    </w:p>
    <w:p>
      <w:pPr>
        <w:pStyle w:val="3"/>
        <w:numPr>
          <w:ilvl w:val="1"/>
          <w:numId w:val="1"/>
        </w:numPr>
        <w:tabs>
          <w:tab w:val="left" w:pos="1620"/>
          <w:tab w:val="left" w:pos="2016"/>
          <w:tab w:val="left" w:pos="2340"/>
          <w:tab w:val="clear" w:pos="1711"/>
        </w:tabs>
        <w:spacing w:after="0"/>
        <w:ind w:left="945" w:leftChars="450"/>
        <w:jc w:val="both"/>
        <w:rPr>
          <w:rFonts w:hAnsi="宋体"/>
          <w:b w:val="0"/>
          <w:color w:val="000000"/>
          <w:sz w:val="21"/>
        </w:rPr>
      </w:pPr>
      <w:bookmarkStart w:id="391" w:name="_Toc34909200"/>
      <w:r>
        <mc:AlternateContent>
          <mc:Choice Requires="wps">
            <w:drawing>
              <wp:anchor distT="0" distB="0" distL="114300" distR="114300" simplePos="0" relativeHeight="251826176" behindDoc="0" locked="0" layoutInCell="1" allowOverlap="1">
                <wp:simplePos x="0" y="0"/>
                <wp:positionH relativeFrom="column">
                  <wp:posOffset>-9525</wp:posOffset>
                </wp:positionH>
                <wp:positionV relativeFrom="paragraph">
                  <wp:posOffset>124460</wp:posOffset>
                </wp:positionV>
                <wp:extent cx="571500" cy="228600"/>
                <wp:effectExtent l="0" t="635"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合同副本</w:t>
                            </w:r>
                          </w:p>
                        </w:txbxContent>
                      </wps:txbx>
                      <wps:bodyPr rot="0" vert="horz" wrap="square" lIns="0" tIns="54000" rIns="0" bIns="0" anchor="t" anchorCtr="0" upright="1">
                        <a:noAutofit/>
                      </wps:bodyPr>
                    </wps:wsp>
                  </a:graphicData>
                </a:graphic>
              </wp:anchor>
            </w:drawing>
          </mc:Choice>
          <mc:Fallback>
            <w:pict>
              <v:shape id="文本框 2" o:spid="_x0000_s1026" o:spt="202" type="#_x0000_t202" style="position:absolute;left:0pt;margin-left:-0.75pt;margin-top:9.8pt;height:18pt;width:45pt;z-index:251826176;mso-width-relative:page;mso-height-relative:page;" fillcolor="#FFFFFF" filled="t" stroked="f" coordsize="21600,21600" o:gfxdata="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JcHifW&#10;AAAABwEAAA8AAAAAAAAAAQAgAAAAIgAAAGRycy9kb3ducmV2LnhtbFBLAQIUABQAAAAIAIdO4kB2&#10;7lS/IgIAADEEAAAOAAAAAAAAAAEAIAAAACUBAABkcnMvZTJvRG9jLnhtbFBLBQYAAAAABgAGAFkB&#10;AAC5BQAAAAA=&#10;">
                <v:fill on="t" focussize="0,0"/>
                <v:stroke on="f"/>
                <v:imagedata o:title=""/>
                <o:lock v:ext="edit" aspectratio="f"/>
                <v:textbox inset="0mm,1.5mm,0mm,0mm">
                  <w:txbxContent>
                    <w:p>
                      <w:pPr>
                        <w:rPr>
                          <w:rFonts w:ascii="楷体_GB2312" w:eastAsia="楷体_GB2312"/>
                        </w:rPr>
                      </w:pPr>
                      <w:r>
                        <w:rPr>
                          <w:rFonts w:hint="eastAsia" w:ascii="楷体_GB2312" w:hAnsi="宋体" w:eastAsia="楷体_GB2312"/>
                        </w:rPr>
                        <w:t>合同副本</w:t>
                      </w:r>
                    </w:p>
                  </w:txbxContent>
                </v:textbox>
              </v:shape>
            </w:pict>
          </mc:Fallback>
        </mc:AlternateContent>
      </w:r>
      <w:r>
        <w:rPr>
          <w:rFonts w:hint="eastAsia" w:hAnsi="宋体"/>
          <w:b w:val="0"/>
          <w:color w:val="000000"/>
          <w:sz w:val="21"/>
        </w:rPr>
        <w:t>发包人和承包人按有关规定在合同专用条款中约定本合同副本的份数及保存单位，本合同正副本均具有同等效力。</w:t>
      </w:r>
      <w:bookmarkEnd w:id="391"/>
    </w:p>
    <w:p>
      <w:pPr>
        <w:pStyle w:val="2"/>
        <w:keepLines w:val="0"/>
        <w:tabs>
          <w:tab w:val="left" w:pos="1620"/>
          <w:tab w:val="left" w:pos="2340"/>
        </w:tabs>
        <w:ind w:left="945" w:leftChars="450"/>
        <w:rPr>
          <w:rFonts w:hAnsi="宋体"/>
          <w:color w:val="000000"/>
          <w:sz w:val="28"/>
          <w:szCs w:val="28"/>
        </w:rPr>
      </w:pPr>
      <w:bookmarkStart w:id="392" w:name="_Toc35657016"/>
      <w:bookmarkStart w:id="393" w:name="_Toc35656514"/>
      <w:r>
        <w:rPr>
          <w:rFonts w:hint="eastAsia" w:hAnsi="宋体"/>
          <w:color w:val="000000"/>
          <w:sz w:val="28"/>
          <w:szCs w:val="28"/>
        </w:rPr>
        <w:t>合同备案</w:t>
      </w:r>
      <w:bookmarkEnd w:id="392"/>
      <w:bookmarkEnd w:id="393"/>
    </w:p>
    <w:p>
      <w:pPr>
        <w:pStyle w:val="3"/>
        <w:numPr>
          <w:ilvl w:val="1"/>
          <w:numId w:val="1"/>
        </w:numPr>
        <w:tabs>
          <w:tab w:val="left" w:pos="1620"/>
          <w:tab w:val="left" w:pos="2016"/>
          <w:tab w:val="left" w:pos="2340"/>
          <w:tab w:val="clear" w:pos="1711"/>
        </w:tabs>
        <w:spacing w:after="0"/>
        <w:ind w:left="945" w:leftChars="450"/>
        <w:jc w:val="both"/>
        <w:rPr>
          <w:rFonts w:ascii="宋体" w:hAnsi="宋体"/>
          <w:b w:val="0"/>
          <w:color w:val="000000"/>
          <w:sz w:val="21"/>
        </w:rPr>
      </w:pPr>
      <w:r>
        <w:rPr>
          <w:rFonts w:hint="eastAsia" w:ascii="宋体" w:hAnsi="宋体"/>
          <w:b w:val="0"/>
          <w:color w:val="000000"/>
          <w:sz w:val="21"/>
        </w:rPr>
        <w:t>如项目当地法律法规要求合同备案的，则</w:t>
      </w:r>
      <w:r>
        <mc:AlternateContent>
          <mc:Choice Requires="wps">
            <w:drawing>
              <wp:anchor distT="0" distB="0" distL="114300" distR="114300" simplePos="0" relativeHeight="251827200" behindDoc="0" locked="0" layoutInCell="1" allowOverlap="1">
                <wp:simplePos x="0" y="0"/>
                <wp:positionH relativeFrom="column">
                  <wp:posOffset>0</wp:posOffset>
                </wp:positionH>
                <wp:positionV relativeFrom="paragraph">
                  <wp:posOffset>-11430</wp:posOffset>
                </wp:positionV>
                <wp:extent cx="571500" cy="228600"/>
                <wp:effectExtent l="0" t="0" r="0" b="1905"/>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pPr>
                              <w:rPr>
                                <w:rFonts w:ascii="楷体_GB2312" w:eastAsia="楷体_GB2312"/>
                              </w:rPr>
                            </w:pPr>
                            <w:r>
                              <w:rPr>
                                <w:rFonts w:hint="eastAsia" w:ascii="楷体_GB2312" w:hAnsi="宋体" w:eastAsia="楷体_GB2312"/>
                              </w:rPr>
                              <w:t>合同备案</w:t>
                            </w:r>
                          </w:p>
                        </w:txbxContent>
                      </wps:txbx>
                      <wps:bodyPr rot="0" vert="horz" wrap="square" lIns="0" tIns="36000" rIns="0" bIns="0" anchor="t" anchorCtr="0" upright="1">
                        <a:noAutofit/>
                      </wps:bodyPr>
                    </wps:wsp>
                  </a:graphicData>
                </a:graphic>
              </wp:anchor>
            </w:drawing>
          </mc:Choice>
          <mc:Fallback>
            <w:pict>
              <v:shape id="文本框 1" o:spid="_x0000_s1026" o:spt="202" type="#_x0000_t202" style="position:absolute;left:0pt;margin-left:0pt;margin-top:-0.9pt;height:18pt;width:45pt;z-index:251827200;mso-width-relative:page;mso-height-relative:page;" fillcolor="#FFFFFF" filled="t" stroked="f" coordsize="21600,21600" o:gfxdata="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yoV8bUAAAA&#10;BQEAAA8AAAAAAAAAAQAgAAAAIgAAAGRycy9kb3ducmV2LnhtbFBLAQIUABQAAAAIAIdO4kBQUixM&#10;IQIAADEEAAAOAAAAAAAAAAEAIAAAACMBAABkcnMvZTJvRG9jLnhtbFBLBQYAAAAABgAGAFkBAAC2&#10;BQAAAAA=&#10;">
                <v:fill on="t" focussize="0,0"/>
                <v:stroke on="f"/>
                <v:imagedata o:title=""/>
                <o:lock v:ext="edit" aspectratio="f"/>
                <v:textbox inset="0mm,1mm,0mm,0mm">
                  <w:txbxContent>
                    <w:p>
                      <w:pPr>
                        <w:rPr>
                          <w:rFonts w:ascii="楷体_GB2312" w:eastAsia="楷体_GB2312"/>
                        </w:rPr>
                      </w:pPr>
                      <w:r>
                        <w:rPr>
                          <w:rFonts w:hint="eastAsia" w:ascii="楷体_GB2312" w:hAnsi="宋体" w:eastAsia="楷体_GB2312"/>
                        </w:rPr>
                        <w:t>合同备案</w:t>
                      </w:r>
                    </w:p>
                  </w:txbxContent>
                </v:textbox>
              </v:shape>
            </w:pict>
          </mc:Fallback>
        </mc:AlternateContent>
      </w:r>
      <w:r>
        <w:rPr>
          <w:rFonts w:hint="eastAsia" w:ascii="宋体" w:hAnsi="宋体"/>
          <w:b w:val="0"/>
          <w:color w:val="000000"/>
          <w:sz w:val="21"/>
        </w:rPr>
        <w:t>发包人应在订立书面合同之日起14天内，将合同送建设行政主管部门或有关行政管理部门进行备案。</w:t>
      </w:r>
    </w:p>
    <w:p/>
    <w:p>
      <w:pPr>
        <w:spacing w:line="312" w:lineRule="auto"/>
        <w:rPr>
          <w:b/>
          <w:color w:val="000000"/>
        </w:rPr>
      </w:pPr>
    </w:p>
    <w:p>
      <w:pPr>
        <w:pStyle w:val="2"/>
        <w:numPr>
          <w:ilvl w:val="0"/>
          <w:numId w:val="0"/>
        </w:numPr>
        <w:jc w:val="center"/>
      </w:pPr>
      <w:r>
        <w:rPr>
          <w:rFonts w:ascii="Times New Roman" w:hAnsi="Times New Roman"/>
          <w:color w:val="000000"/>
        </w:rPr>
        <w:br w:type="page"/>
      </w:r>
      <w:bookmarkStart w:id="394" w:name="_Toc398834624"/>
      <w:bookmarkStart w:id="395" w:name="_Toc6847"/>
      <w:bookmarkStart w:id="396" w:name="_Toc31320"/>
      <w:bookmarkStart w:id="397" w:name="_Toc15277"/>
      <w:r>
        <w:rPr>
          <w:rFonts w:hint="eastAsia" w:ascii="Times New Roman" w:hAnsi="Times New Roman"/>
          <w:color w:val="000000"/>
        </w:rPr>
        <w:t xml:space="preserve">第五部分 </w:t>
      </w:r>
      <w:r>
        <w:rPr>
          <w:rFonts w:hint="eastAsia"/>
        </w:rPr>
        <w:t>专用条款</w:t>
      </w:r>
      <w:bookmarkEnd w:id="394"/>
      <w:bookmarkEnd w:id="395"/>
      <w:bookmarkEnd w:id="396"/>
      <w:bookmarkEnd w:id="397"/>
    </w:p>
    <w:p>
      <w:pPr>
        <w:rPr>
          <w:b/>
          <w:bCs/>
          <w:color w:val="000000"/>
          <w:sz w:val="30"/>
          <w:szCs w:val="30"/>
        </w:rPr>
      </w:pPr>
      <w:bookmarkStart w:id="398" w:name="_Toc84303924"/>
      <w:bookmarkStart w:id="399" w:name="_Toc47425597"/>
      <w:bookmarkStart w:id="400" w:name="_Toc35656516"/>
      <w:r>
        <w:rPr>
          <w:rFonts w:hint="eastAsia"/>
          <w:b/>
          <w:bCs/>
          <w:color w:val="000000"/>
          <w:sz w:val="30"/>
          <w:szCs w:val="30"/>
        </w:rPr>
        <w:t>二、合同文件</w:t>
      </w:r>
      <w:bookmarkEnd w:id="398"/>
      <w:bookmarkEnd w:id="399"/>
      <w:bookmarkEnd w:id="400"/>
      <w:bookmarkStart w:id="401" w:name="_Toc35656517"/>
    </w:p>
    <w:p>
      <w:pPr>
        <w:spacing w:line="312" w:lineRule="auto"/>
        <w:rPr>
          <w:color w:val="000000"/>
          <w:sz w:val="28"/>
        </w:rPr>
      </w:pPr>
      <w:r>
        <w:rPr>
          <w:rFonts w:hint="eastAsia"/>
          <w:color w:val="000000"/>
          <w:sz w:val="28"/>
        </w:rPr>
        <w:t>4合同文件组成及解释顺序</w:t>
      </w:r>
      <w:bookmarkEnd w:id="401"/>
    </w:p>
    <w:p>
      <w:pPr>
        <w:spacing w:line="312" w:lineRule="auto"/>
        <w:rPr>
          <w:color w:val="000000"/>
          <w:sz w:val="24"/>
        </w:rPr>
      </w:pPr>
      <w:r>
        <w:rPr>
          <w:rFonts w:hint="eastAsia"/>
          <w:color w:val="000000"/>
          <w:sz w:val="24"/>
        </w:rPr>
        <w:t>4.1.1组成合同的文件及解释顺序如下：</w:t>
      </w:r>
    </w:p>
    <w:p>
      <w:pPr>
        <w:spacing w:line="312" w:lineRule="auto"/>
        <w:rPr>
          <w:color w:val="000000"/>
          <w:sz w:val="24"/>
        </w:rPr>
      </w:pPr>
      <w:r>
        <w:rPr>
          <w:rFonts w:hint="eastAsia"/>
          <w:color w:val="000000"/>
          <w:sz w:val="24"/>
        </w:rPr>
        <w:t>⑴.</w:t>
      </w:r>
      <w:r>
        <w:rPr>
          <w:rFonts w:hint="eastAsia"/>
          <w:color w:val="000000"/>
          <w:sz w:val="24"/>
        </w:rPr>
        <w:tab/>
      </w:r>
      <w:r>
        <w:rPr>
          <w:rFonts w:hint="eastAsia"/>
          <w:color w:val="000000"/>
          <w:sz w:val="24"/>
        </w:rPr>
        <w:t>协议书及附件；</w:t>
      </w:r>
    </w:p>
    <w:p>
      <w:pPr>
        <w:spacing w:line="312" w:lineRule="auto"/>
        <w:rPr>
          <w:color w:val="000000"/>
          <w:sz w:val="24"/>
        </w:rPr>
      </w:pPr>
      <w:r>
        <w:rPr>
          <w:rFonts w:hint="eastAsia"/>
          <w:color w:val="000000"/>
          <w:sz w:val="24"/>
        </w:rPr>
        <w:t>⑵.</w:t>
      </w:r>
      <w:r>
        <w:rPr>
          <w:rFonts w:hint="eastAsia"/>
          <w:color w:val="000000"/>
          <w:sz w:val="24"/>
        </w:rPr>
        <w:tab/>
      </w:r>
      <w:r>
        <w:rPr>
          <w:rFonts w:hint="eastAsia"/>
          <w:color w:val="000000"/>
          <w:sz w:val="24"/>
        </w:rPr>
        <w:t>中标通知书；</w:t>
      </w:r>
    </w:p>
    <w:p>
      <w:pPr>
        <w:spacing w:line="312" w:lineRule="auto"/>
        <w:rPr>
          <w:color w:val="000000"/>
          <w:sz w:val="24"/>
        </w:rPr>
      </w:pPr>
      <w:r>
        <w:rPr>
          <w:rFonts w:hint="eastAsia"/>
          <w:color w:val="000000"/>
          <w:sz w:val="24"/>
        </w:rPr>
        <w:t>⑶.</w:t>
      </w:r>
      <w:r>
        <w:rPr>
          <w:rFonts w:hint="eastAsia"/>
          <w:color w:val="000000"/>
          <w:sz w:val="24"/>
        </w:rPr>
        <w:tab/>
      </w:r>
      <w:r>
        <w:rPr>
          <w:rFonts w:hint="eastAsia"/>
          <w:color w:val="000000"/>
          <w:sz w:val="24"/>
        </w:rPr>
        <w:t>招标的澄清与答疑文件；</w:t>
      </w:r>
    </w:p>
    <w:p>
      <w:pPr>
        <w:spacing w:line="312" w:lineRule="auto"/>
        <w:rPr>
          <w:color w:val="000000"/>
          <w:sz w:val="24"/>
        </w:rPr>
      </w:pPr>
      <w:r>
        <w:rPr>
          <w:rFonts w:hint="eastAsia"/>
          <w:color w:val="000000"/>
          <w:sz w:val="24"/>
        </w:rPr>
        <w:t>⑷.</w:t>
      </w:r>
      <w:r>
        <w:rPr>
          <w:rFonts w:hint="eastAsia"/>
          <w:color w:val="000000"/>
          <w:sz w:val="24"/>
        </w:rPr>
        <w:tab/>
      </w:r>
      <w:r>
        <w:rPr>
          <w:rFonts w:hint="eastAsia"/>
          <w:color w:val="000000"/>
          <w:sz w:val="24"/>
        </w:rPr>
        <w:t>补充条款；</w:t>
      </w:r>
    </w:p>
    <w:p>
      <w:pPr>
        <w:spacing w:line="312" w:lineRule="auto"/>
        <w:rPr>
          <w:color w:val="000000"/>
          <w:sz w:val="24"/>
        </w:rPr>
      </w:pPr>
      <w:r>
        <w:rPr>
          <w:rFonts w:hint="eastAsia"/>
          <w:color w:val="000000"/>
          <w:sz w:val="24"/>
        </w:rPr>
        <w:t>⑸. 专用条款；</w:t>
      </w:r>
    </w:p>
    <w:p>
      <w:pPr>
        <w:spacing w:line="312" w:lineRule="auto"/>
        <w:rPr>
          <w:color w:val="000000"/>
          <w:sz w:val="24"/>
        </w:rPr>
      </w:pPr>
      <w:r>
        <w:rPr>
          <w:rFonts w:hint="eastAsia"/>
          <w:color w:val="000000"/>
          <w:sz w:val="24"/>
        </w:rPr>
        <w:t>⑹.</w:t>
      </w:r>
      <w:r>
        <w:rPr>
          <w:rFonts w:hint="eastAsia"/>
          <w:color w:val="000000"/>
          <w:sz w:val="24"/>
        </w:rPr>
        <w:tab/>
      </w:r>
      <w:r>
        <w:rPr>
          <w:rFonts w:hint="eastAsia"/>
          <w:color w:val="000000"/>
          <w:sz w:val="24"/>
        </w:rPr>
        <w:t>发包人包定义、技术规格书等的技术要求；</w:t>
      </w:r>
    </w:p>
    <w:p>
      <w:pPr>
        <w:spacing w:line="312" w:lineRule="auto"/>
        <w:rPr>
          <w:color w:val="000000"/>
          <w:sz w:val="24"/>
        </w:rPr>
      </w:pPr>
      <w:r>
        <w:rPr>
          <w:rFonts w:hint="eastAsia"/>
          <w:color w:val="000000"/>
          <w:sz w:val="24"/>
        </w:rPr>
        <w:t>⑺.</w:t>
      </w:r>
      <w:r>
        <w:rPr>
          <w:rFonts w:hint="eastAsia"/>
          <w:color w:val="000000"/>
          <w:sz w:val="24"/>
        </w:rPr>
        <w:tab/>
      </w:r>
      <w:r>
        <w:rPr>
          <w:rFonts w:hint="eastAsia"/>
          <w:color w:val="000000"/>
          <w:sz w:val="24"/>
        </w:rPr>
        <w:t>发包人和工程师有关通知及工程会议纪要；</w:t>
      </w:r>
    </w:p>
    <w:p>
      <w:pPr>
        <w:spacing w:line="312" w:lineRule="auto"/>
        <w:rPr>
          <w:color w:val="000000"/>
          <w:sz w:val="24"/>
        </w:rPr>
      </w:pPr>
      <w:r>
        <w:rPr>
          <w:rFonts w:hint="eastAsia"/>
          <w:color w:val="000000"/>
          <w:sz w:val="24"/>
        </w:rPr>
        <w:t>⑻.</w:t>
      </w:r>
      <w:r>
        <w:rPr>
          <w:rFonts w:hint="eastAsia"/>
          <w:color w:val="000000"/>
          <w:sz w:val="24"/>
        </w:rPr>
        <w:tab/>
      </w:r>
      <w:r>
        <w:rPr>
          <w:rFonts w:hint="eastAsia"/>
          <w:color w:val="000000"/>
          <w:sz w:val="24"/>
        </w:rPr>
        <w:t>标准、规范及有关技术文件；</w:t>
      </w:r>
    </w:p>
    <w:p>
      <w:pPr>
        <w:spacing w:line="312" w:lineRule="auto"/>
        <w:rPr>
          <w:color w:val="000000"/>
          <w:sz w:val="24"/>
        </w:rPr>
      </w:pPr>
      <w:r>
        <w:rPr>
          <w:rFonts w:hint="eastAsia"/>
          <w:color w:val="000000"/>
          <w:sz w:val="24"/>
        </w:rPr>
        <w:t xml:space="preserve">⑼．发包人图纸； </w:t>
      </w:r>
    </w:p>
    <w:p>
      <w:pPr>
        <w:spacing w:line="312" w:lineRule="auto"/>
        <w:rPr>
          <w:color w:val="000000"/>
          <w:sz w:val="24"/>
        </w:rPr>
      </w:pPr>
      <w:r>
        <w:rPr>
          <w:rFonts w:hint="eastAsia"/>
          <w:color w:val="000000"/>
          <w:sz w:val="24"/>
        </w:rPr>
        <w:t>⑽．双方有关工程的洽商、变更等书面协议或文件；</w:t>
      </w:r>
    </w:p>
    <w:p>
      <w:pPr>
        <w:spacing w:line="312" w:lineRule="auto"/>
        <w:rPr>
          <w:color w:val="000000"/>
          <w:sz w:val="24"/>
        </w:rPr>
      </w:pPr>
      <w:r>
        <w:rPr>
          <w:rFonts w:hint="eastAsia"/>
          <w:color w:val="000000"/>
          <w:sz w:val="24"/>
        </w:rPr>
        <w:t>⑾．通用条款；</w:t>
      </w:r>
    </w:p>
    <w:p>
      <w:pPr>
        <w:spacing w:line="312" w:lineRule="auto"/>
        <w:rPr>
          <w:color w:val="000000"/>
          <w:sz w:val="24"/>
        </w:rPr>
      </w:pPr>
      <w:r>
        <w:rPr>
          <w:rFonts w:hint="eastAsia"/>
          <w:color w:val="000000"/>
          <w:sz w:val="24"/>
        </w:rPr>
        <w:t>⑿．招标文件；</w:t>
      </w:r>
    </w:p>
    <w:p>
      <w:pPr>
        <w:spacing w:line="312" w:lineRule="auto"/>
        <w:rPr>
          <w:color w:val="000000"/>
          <w:sz w:val="24"/>
        </w:rPr>
      </w:pPr>
      <w:r>
        <w:rPr>
          <w:rFonts w:hint="eastAsia"/>
          <w:color w:val="000000"/>
          <w:sz w:val="24"/>
        </w:rPr>
        <w:t>⒀. 投标文件及承包人工程报价单及其说明。</w:t>
      </w:r>
    </w:p>
    <w:p>
      <w:pPr>
        <w:spacing w:line="312" w:lineRule="auto"/>
        <w:rPr>
          <w:color w:val="000000"/>
          <w:sz w:val="24"/>
        </w:rPr>
      </w:pPr>
      <w:r>
        <w:rPr>
          <w:rFonts w:hint="eastAsia"/>
          <w:color w:val="000000"/>
          <w:sz w:val="24"/>
        </w:rPr>
        <w:t>4.1.2、以上文件应相互解释，除非另有书面约定，如果合同文件之间出现歧义或相互矛盾，或合同文件中出现明显错误时，按以上顺序进行解释。</w:t>
      </w:r>
    </w:p>
    <w:p>
      <w:pPr>
        <w:spacing w:line="312" w:lineRule="auto"/>
        <w:rPr>
          <w:color w:val="000000"/>
          <w:sz w:val="24"/>
        </w:rPr>
      </w:pPr>
      <w:r>
        <w:rPr>
          <w:rFonts w:hint="eastAsia"/>
          <w:color w:val="000000"/>
          <w:sz w:val="24"/>
        </w:rPr>
        <w:t>4.1.3、本合同包括附件中的知识产权协议和保密协议，该等协议优先级高于其它任何合同条款。</w:t>
      </w:r>
      <w:bookmarkStart w:id="402" w:name="_Toc35656518"/>
    </w:p>
    <w:p>
      <w:pPr>
        <w:spacing w:line="360" w:lineRule="auto"/>
        <w:rPr>
          <w:color w:val="000000"/>
          <w:sz w:val="28"/>
          <w:szCs w:val="28"/>
        </w:rPr>
      </w:pPr>
      <w:r>
        <w:rPr>
          <w:rFonts w:hint="eastAsia"/>
          <w:color w:val="000000"/>
          <w:sz w:val="28"/>
          <w:szCs w:val="28"/>
        </w:rPr>
        <w:t>5 语言文字和适用法律、法规</w:t>
      </w:r>
      <w:bookmarkEnd w:id="402"/>
    </w:p>
    <w:p>
      <w:pPr>
        <w:spacing w:line="360" w:lineRule="auto"/>
        <w:rPr>
          <w:color w:val="000000"/>
          <w:sz w:val="24"/>
        </w:rPr>
      </w:pPr>
      <w:r>
        <w:rPr>
          <w:rFonts w:hint="eastAsia"/>
          <w:color w:val="000000"/>
          <w:sz w:val="24"/>
        </w:rPr>
        <w:t>5.1 本合同除使用中文外，还使用</w:t>
      </w:r>
      <w:r>
        <w:rPr>
          <w:rFonts w:hint="eastAsia"/>
          <w:color w:val="000000"/>
          <w:sz w:val="24"/>
          <w:u w:val="single"/>
        </w:rPr>
        <w:t xml:space="preserve">   </w:t>
      </w:r>
      <w:bookmarkStart w:id="403" w:name="合同采用语言"/>
      <w:r>
        <w:rPr>
          <w:rFonts w:hint="eastAsia"/>
          <w:color w:val="000000"/>
          <w:sz w:val="24"/>
          <w:u w:val="single"/>
        </w:rPr>
        <w:t xml:space="preserve">     /       </w:t>
      </w:r>
      <w:bookmarkEnd w:id="403"/>
      <w:r>
        <w:rPr>
          <w:rFonts w:hint="eastAsia"/>
          <w:color w:val="000000"/>
          <w:sz w:val="24"/>
          <w:u w:val="single"/>
        </w:rPr>
        <w:t xml:space="preserve">   </w:t>
      </w:r>
      <w:r>
        <w:rPr>
          <w:rFonts w:hint="eastAsia"/>
          <w:color w:val="000000"/>
          <w:sz w:val="24"/>
        </w:rPr>
        <w:t>语言文字。</w:t>
      </w:r>
    </w:p>
    <w:p>
      <w:pPr>
        <w:spacing w:line="360" w:lineRule="auto"/>
        <w:rPr>
          <w:color w:val="000000"/>
          <w:sz w:val="24"/>
        </w:rPr>
      </w:pPr>
      <w:r>
        <w:rPr>
          <w:rFonts w:hint="eastAsia"/>
          <w:color w:val="000000"/>
          <w:sz w:val="24"/>
        </w:rPr>
        <w:t>5.2 需要明示的法律、法规、规章：</w:t>
      </w:r>
      <w:r>
        <w:rPr>
          <w:rFonts w:hint="eastAsia"/>
          <w:color w:val="000000"/>
          <w:sz w:val="24"/>
          <w:u w:val="single"/>
        </w:rPr>
        <w:t xml:space="preserve">  </w:t>
      </w:r>
      <w:r>
        <w:rPr>
          <w:rFonts w:hint="eastAsia"/>
          <w:bCs/>
          <w:color w:val="000000"/>
          <w:sz w:val="24"/>
          <w:u w:val="single"/>
        </w:rPr>
        <w:t>《中华人民共和国建筑法》、《中华人民共和国民法典》等现行与本合同文件有关的所有法律、法规、规章。</w:t>
      </w:r>
      <w:bookmarkStart w:id="404" w:name="需要明示的法律法规规章"/>
      <w:r>
        <w:rPr>
          <w:rFonts w:hint="eastAsia"/>
          <w:color w:val="000000"/>
          <w:sz w:val="24"/>
          <w:u w:val="single"/>
        </w:rPr>
        <w:t xml:space="preserve">                 </w:t>
      </w:r>
      <w:bookmarkEnd w:id="404"/>
    </w:p>
    <w:p>
      <w:pPr>
        <w:spacing w:line="360" w:lineRule="auto"/>
        <w:rPr>
          <w:color w:val="000000"/>
          <w:sz w:val="28"/>
          <w:szCs w:val="28"/>
        </w:rPr>
      </w:pPr>
      <w:bookmarkStart w:id="405" w:name="_Toc35656519"/>
      <w:r>
        <w:rPr>
          <w:rFonts w:hint="eastAsia"/>
          <w:color w:val="000000"/>
          <w:sz w:val="28"/>
          <w:szCs w:val="28"/>
        </w:rPr>
        <w:t>6 适用标准、规范</w:t>
      </w:r>
      <w:bookmarkEnd w:id="405"/>
    </w:p>
    <w:p>
      <w:pPr>
        <w:spacing w:line="360" w:lineRule="auto"/>
        <w:rPr>
          <w:color w:val="000000"/>
          <w:sz w:val="24"/>
        </w:rPr>
      </w:pPr>
      <w:bookmarkStart w:id="406" w:name="国内没有相应标准规范时的约定"/>
      <w:r>
        <w:rPr>
          <w:rFonts w:hint="eastAsia"/>
          <w:color w:val="000000"/>
          <w:sz w:val="24"/>
        </w:rPr>
        <w:t>6.1 发包人要求的标准、规范：</w:t>
      </w:r>
      <w:r>
        <w:rPr>
          <w:rFonts w:hint="eastAsia"/>
          <w:iCs/>
          <w:color w:val="000000"/>
          <w:sz w:val="24"/>
          <w:u w:val="single"/>
        </w:rPr>
        <w:t>（1）本工程应严格执行国家和地方有关设计、施工、安装、保险公司等涉及的所有标准和技术规范，这些标准和技术规范、规程应为目前适用的最新版本</w:t>
      </w:r>
      <w:r>
        <w:rPr>
          <w:rFonts w:hint="eastAsia"/>
          <w:iCs/>
          <w:color w:val="000000"/>
          <w:sz w:val="24"/>
          <w:highlight w:val="none"/>
          <w:u w:val="single"/>
        </w:rPr>
        <w:t>。（2）现场临时设施、安全防护设施和水土保持与环境执行国家、</w:t>
      </w:r>
      <w:r>
        <w:rPr>
          <w:rFonts w:hint="eastAsia"/>
          <w:iCs/>
          <w:color w:val="000000"/>
          <w:sz w:val="24"/>
          <w:highlight w:val="none"/>
          <w:u w:val="single"/>
          <w:lang w:val="en-US" w:eastAsia="zh-CN"/>
        </w:rPr>
        <w:t>广东</w:t>
      </w:r>
      <w:r>
        <w:rPr>
          <w:rFonts w:hint="eastAsia"/>
          <w:iCs/>
          <w:color w:val="000000"/>
          <w:sz w:val="24"/>
          <w:highlight w:val="none"/>
          <w:u w:val="single"/>
        </w:rPr>
        <w:t>省、</w:t>
      </w:r>
      <w:r>
        <w:rPr>
          <w:rFonts w:hint="eastAsia"/>
          <w:iCs/>
          <w:color w:val="000000"/>
          <w:sz w:val="24"/>
          <w:highlight w:val="none"/>
          <w:u w:val="single"/>
          <w:lang w:val="en-US" w:eastAsia="zh-CN"/>
        </w:rPr>
        <w:t>广州</w:t>
      </w:r>
      <w:r>
        <w:rPr>
          <w:rFonts w:hint="eastAsia"/>
          <w:iCs/>
          <w:color w:val="000000"/>
          <w:sz w:val="24"/>
          <w:highlight w:val="none"/>
          <w:u w:val="single"/>
        </w:rPr>
        <w:t>市及</w:t>
      </w:r>
      <w:r>
        <w:rPr>
          <w:rFonts w:hint="eastAsia"/>
          <w:iCs/>
          <w:color w:val="000000"/>
          <w:sz w:val="24"/>
          <w:u w:val="single"/>
        </w:rPr>
        <w:t>行业相关文件规定。（3）包定义、技术规格书中涉及到的其他标准和规范。</w:t>
      </w:r>
      <w:r>
        <w:rPr>
          <w:rFonts w:hint="eastAsia"/>
          <w:b/>
          <w:color w:val="000000"/>
          <w:sz w:val="24"/>
          <w:u w:val="single"/>
        </w:rPr>
        <w:t xml:space="preserve"> </w:t>
      </w:r>
    </w:p>
    <w:p>
      <w:pPr>
        <w:spacing w:line="360" w:lineRule="auto"/>
        <w:rPr>
          <w:color w:val="000000"/>
          <w:sz w:val="24"/>
          <w:u w:val="single"/>
        </w:rPr>
      </w:pPr>
      <w:r>
        <w:rPr>
          <w:rFonts w:hint="eastAsia"/>
          <w:color w:val="000000"/>
          <w:sz w:val="24"/>
        </w:rPr>
        <w:t xml:space="preserve">6.2 发包人要求的标准、规范与国家、行业及工程所在地地方标准、规范存在不一致时， </w:t>
      </w:r>
      <w:r>
        <w:rPr>
          <w:rFonts w:hint="eastAsia"/>
          <w:bCs/>
          <w:color w:val="000000"/>
          <w:sz w:val="24"/>
          <w:u w:val="single"/>
        </w:rPr>
        <w:t>以较严格的标准、规范作为质量检验、验收评定标准。</w:t>
      </w:r>
      <w:bookmarkStart w:id="407" w:name="约定选用的标准规范名称"/>
      <w:r>
        <w:rPr>
          <w:rFonts w:hint="eastAsia"/>
          <w:color w:val="000000"/>
          <w:sz w:val="24"/>
          <w:u w:val="single"/>
        </w:rPr>
        <w:t xml:space="preserve">                    </w:t>
      </w:r>
      <w:bookmarkEnd w:id="407"/>
    </w:p>
    <w:p>
      <w:pPr>
        <w:spacing w:line="360" w:lineRule="auto"/>
        <w:rPr>
          <w:color w:val="000000"/>
          <w:sz w:val="24"/>
          <w:u w:val="single"/>
        </w:rPr>
      </w:pPr>
      <w:r>
        <w:rPr>
          <w:rFonts w:hint="eastAsia"/>
          <w:color w:val="000000"/>
          <w:sz w:val="24"/>
        </w:rPr>
        <w:t>6.3 本合同没有约定相应标准、规范时的约定(可另附)：</w:t>
      </w:r>
      <w:r>
        <w:rPr>
          <w:rFonts w:hint="eastAsia"/>
          <w:iCs/>
          <w:color w:val="000000"/>
          <w:sz w:val="24"/>
          <w:u w:val="single"/>
        </w:rPr>
        <w:t xml:space="preserve">本合同没有约定相应标准、规范的，根据国家或行业相应的标准、规范执行，国家或行业也没有的标准、规范，承包人应予以提出，由发包人按专用条款约定的时间向承包人提出施工技术要求；否则，发包人有权要求承包人使用国外的标准、规范，费用由承包人承担。                                                     </w:t>
      </w:r>
    </w:p>
    <w:bookmarkEnd w:id="406"/>
    <w:p>
      <w:pPr>
        <w:spacing w:line="360" w:lineRule="auto"/>
        <w:rPr>
          <w:color w:val="000000"/>
          <w:sz w:val="28"/>
          <w:szCs w:val="28"/>
        </w:rPr>
      </w:pPr>
      <w:bookmarkStart w:id="408" w:name="_Toc35656520"/>
      <w:r>
        <w:rPr>
          <w:rFonts w:hint="eastAsia"/>
          <w:color w:val="000000"/>
          <w:sz w:val="28"/>
          <w:szCs w:val="28"/>
        </w:rPr>
        <w:t>7 图纸和技术资料</w:t>
      </w:r>
      <w:bookmarkEnd w:id="408"/>
    </w:p>
    <w:p>
      <w:pPr>
        <w:spacing w:line="360" w:lineRule="auto"/>
        <w:rPr>
          <w:color w:val="000000"/>
          <w:sz w:val="24"/>
          <w:u w:val="single"/>
        </w:rPr>
      </w:pPr>
      <w:r>
        <w:rPr>
          <w:rFonts w:hint="eastAsia"/>
          <w:color w:val="000000"/>
          <w:sz w:val="24"/>
        </w:rPr>
        <w:t>7.1 发包人向承包人提供图纸套数：</w:t>
      </w:r>
      <w:bookmarkStart w:id="409" w:name="发包人向承包人提供图纸套数"/>
      <w:r>
        <w:rPr>
          <w:rFonts w:hint="eastAsia"/>
          <w:color w:val="000000"/>
          <w:sz w:val="24"/>
          <w:u w:val="single"/>
        </w:rPr>
        <w:t xml:space="preserve"> 施工图4套及相关技术资料。              </w:t>
      </w:r>
      <w:bookmarkEnd w:id="409"/>
    </w:p>
    <w:p>
      <w:pPr>
        <w:spacing w:line="360" w:lineRule="auto"/>
        <w:rPr>
          <w:color w:val="000000"/>
          <w:sz w:val="24"/>
          <w:u w:val="single"/>
        </w:rPr>
      </w:pPr>
      <w:r>
        <w:rPr>
          <w:rFonts w:hint="eastAsia"/>
          <w:color w:val="000000"/>
          <w:sz w:val="24"/>
        </w:rPr>
        <w:t>发包人向承包人提供图纸日期：</w:t>
      </w:r>
      <w:bookmarkStart w:id="410" w:name="发包人向承包人提供图纸日期"/>
      <w:r>
        <w:rPr>
          <w:rFonts w:hint="eastAsia"/>
          <w:color w:val="000000"/>
          <w:sz w:val="24"/>
          <w:u w:val="single"/>
        </w:rPr>
        <w:t xml:space="preserve"> 开工前3日内。              </w:t>
      </w:r>
      <w:bookmarkEnd w:id="410"/>
      <w:r>
        <w:rPr>
          <w:rFonts w:hint="eastAsia"/>
          <w:color w:val="000000"/>
          <w:sz w:val="24"/>
          <w:u w:val="single"/>
        </w:rPr>
        <w:t xml:space="preserve">                </w:t>
      </w:r>
    </w:p>
    <w:p>
      <w:pPr>
        <w:spacing w:line="360" w:lineRule="auto"/>
        <w:rPr>
          <w:color w:val="auto"/>
          <w:sz w:val="24"/>
          <w:u w:val="single"/>
        </w:rPr>
      </w:pPr>
      <w:r>
        <w:rPr>
          <w:rFonts w:hint="eastAsia"/>
          <w:color w:val="000000"/>
          <w:sz w:val="24"/>
        </w:rPr>
        <w:t>7.2 发包人对工程的保密要求和保密期限：</w:t>
      </w:r>
      <w:r>
        <w:rPr>
          <w:rFonts w:hint="eastAsia"/>
          <w:color w:val="000000"/>
          <w:sz w:val="24"/>
          <w:u w:val="single"/>
        </w:rPr>
        <w:t>未取得发包人同意，承包人不能泄露本工程的详细建设情况和相关技术资料，否则，承包人须向发包人支付30000～100000元的违约金，情节</w:t>
      </w:r>
      <w:r>
        <w:rPr>
          <w:rFonts w:hint="eastAsia"/>
          <w:color w:val="auto"/>
          <w:sz w:val="24"/>
          <w:u w:val="single"/>
        </w:rPr>
        <w:t>严重的，发包人有权解除合同。保密期10年，保密费用已包含在合同价中。</w:t>
      </w:r>
      <w:r>
        <w:rPr>
          <w:rFonts w:hint="eastAsia" w:ascii="宋体" w:hAnsi="宋体"/>
          <w:color w:val="auto"/>
          <w:sz w:val="24"/>
          <w:u w:val="single"/>
        </w:rPr>
        <w:t>工程竣工后，除承包人存档需要的图纸和继续保修需要的图纸外，应将其它全部图纸退还给发包人。</w:t>
      </w:r>
      <w:r>
        <w:rPr>
          <w:rFonts w:hint="eastAsia"/>
          <w:color w:val="auto"/>
          <w:sz w:val="24"/>
          <w:u w:val="single"/>
        </w:rPr>
        <w:t xml:space="preserve">  </w:t>
      </w:r>
    </w:p>
    <w:p>
      <w:pPr>
        <w:spacing w:line="360" w:lineRule="auto"/>
        <w:rPr>
          <w:color w:val="000000"/>
          <w:sz w:val="24"/>
        </w:rPr>
      </w:pPr>
      <w:r>
        <w:rPr>
          <w:rFonts w:hint="eastAsia"/>
          <w:color w:val="000000"/>
          <w:sz w:val="24"/>
          <w:u w:val="single"/>
        </w:rPr>
        <w:t>7.3 如果图纸要求和工程量清单的规定不一致的，承包人应当要求发包人澄清或者确认，发包人及工程师应当在收到澄清要求的14日内予以澄清或确认。如果承包人没有要求澄清或确认的，则视为其报价已经包含所有费用，承包人不得要求增加费用。</w:t>
      </w:r>
    </w:p>
    <w:p>
      <w:pPr>
        <w:spacing w:line="360" w:lineRule="auto"/>
        <w:rPr>
          <w:color w:val="000000"/>
          <w:sz w:val="28"/>
          <w:szCs w:val="28"/>
        </w:rPr>
      </w:pPr>
      <w:bookmarkStart w:id="411" w:name="_Toc35656521"/>
      <w:r>
        <w:rPr>
          <w:rFonts w:hint="eastAsia"/>
          <w:color w:val="000000"/>
          <w:sz w:val="28"/>
          <w:szCs w:val="28"/>
        </w:rPr>
        <w:t>8 通知</w:t>
      </w:r>
      <w:bookmarkEnd w:id="411"/>
    </w:p>
    <w:p>
      <w:pPr>
        <w:spacing w:line="360" w:lineRule="auto"/>
        <w:rPr>
          <w:color w:val="000000"/>
          <w:sz w:val="24"/>
          <w:u w:val="single"/>
        </w:rPr>
      </w:pPr>
      <w:r>
        <w:rPr>
          <w:rFonts w:hint="eastAsia"/>
          <w:color w:val="000000"/>
          <w:sz w:val="24"/>
        </w:rPr>
        <w:t>8.1 承包人的地址：</w:t>
      </w:r>
      <w:r>
        <w:rPr>
          <w:rFonts w:hint="eastAsia"/>
          <w:color w:val="000000"/>
          <w:sz w:val="24"/>
          <w:u w:val="single"/>
        </w:rPr>
        <w:t xml:space="preserve">  </w:t>
      </w:r>
      <w:bookmarkStart w:id="412" w:name="承包人的地址"/>
      <w:r>
        <w:rPr>
          <w:rFonts w:hint="eastAsia"/>
          <w:color w:val="000000"/>
          <w:sz w:val="24"/>
          <w:u w:val="single"/>
        </w:rPr>
        <w:t xml:space="preserve">                                   </w:t>
      </w:r>
      <w:bookmarkEnd w:id="412"/>
      <w:r>
        <w:rPr>
          <w:rFonts w:hint="eastAsia"/>
          <w:color w:val="000000"/>
          <w:sz w:val="24"/>
          <w:u w:val="single"/>
        </w:rPr>
        <w:t xml:space="preserve">                  </w:t>
      </w:r>
    </w:p>
    <w:p>
      <w:pPr>
        <w:spacing w:line="360" w:lineRule="auto"/>
        <w:rPr>
          <w:color w:val="000000"/>
          <w:sz w:val="24"/>
          <w:u w:val="single"/>
        </w:rPr>
      </w:pPr>
      <w:r>
        <w:rPr>
          <w:rFonts w:hint="eastAsia"/>
          <w:color w:val="000000"/>
          <w:sz w:val="24"/>
        </w:rPr>
        <w:t>8.2 发包人的地址：</w:t>
      </w:r>
      <w:r>
        <w:rPr>
          <w:rFonts w:hint="eastAsia"/>
          <w:color w:val="000000"/>
          <w:sz w:val="24"/>
          <w:u w:val="single"/>
        </w:rPr>
        <w:t>广州市黄埔区永和街道翟洞片区永安大道以北、禾丰市政路以东</w:t>
      </w:r>
    </w:p>
    <w:p>
      <w:pPr>
        <w:spacing w:line="360" w:lineRule="auto"/>
        <w:rPr>
          <w:color w:val="000000"/>
          <w:sz w:val="24"/>
          <w:u w:val="single"/>
        </w:rPr>
      </w:pPr>
      <w:r>
        <w:rPr>
          <w:rFonts w:hint="eastAsia"/>
          <w:color w:val="000000"/>
          <w:sz w:val="24"/>
        </w:rPr>
        <w:t>工程师的地址：</w:t>
      </w:r>
      <w:bookmarkStart w:id="413" w:name="_Toc35656522"/>
      <w:r>
        <w:rPr>
          <w:rFonts w:hint="eastAsia"/>
          <w:color w:val="000000"/>
          <w:sz w:val="24"/>
          <w:u w:val="single"/>
        </w:rPr>
        <w:t>广州市黄埔区永和街道翟洞片区永安大道以北、禾丰市政路以东</w:t>
      </w:r>
    </w:p>
    <w:p>
      <w:pPr>
        <w:spacing w:line="360" w:lineRule="auto"/>
        <w:rPr>
          <w:color w:val="000000"/>
          <w:sz w:val="24"/>
          <w:u w:val="single"/>
        </w:rPr>
      </w:pPr>
      <w:r>
        <w:rPr>
          <w:rFonts w:hint="eastAsia"/>
          <w:color w:val="000000"/>
          <w:sz w:val="24"/>
        </w:rPr>
        <w:t>8.</w:t>
      </w:r>
      <w:r>
        <w:rPr>
          <w:color w:val="000000"/>
          <w:sz w:val="24"/>
        </w:rPr>
        <w:t>3</w:t>
      </w:r>
      <w:r>
        <w:rPr>
          <w:rFonts w:hint="eastAsia"/>
          <w:color w:val="000000"/>
          <w:sz w:val="24"/>
        </w:rPr>
        <w:t>如一方拒绝签收另一方通知，另一方以</w:t>
      </w:r>
      <w:r>
        <w:rPr>
          <w:rFonts w:hint="eastAsia"/>
          <w:color w:val="000000"/>
          <w:sz w:val="24"/>
          <w:u w:val="single"/>
        </w:rPr>
        <w:t xml:space="preserve">    书面文件邮寄    </w:t>
      </w:r>
      <w:r>
        <w:rPr>
          <w:rFonts w:hint="eastAsia"/>
          <w:color w:val="000000"/>
          <w:sz w:val="24"/>
        </w:rPr>
        <w:t>方式将通知送至专用条款中指定的地址，视为送达。</w:t>
      </w:r>
    </w:p>
    <w:bookmarkEnd w:id="413"/>
    <w:p>
      <w:pPr>
        <w:spacing w:line="360" w:lineRule="auto"/>
        <w:rPr>
          <w:b/>
          <w:bCs/>
          <w:color w:val="000000"/>
          <w:sz w:val="30"/>
        </w:rPr>
      </w:pPr>
      <w:bookmarkStart w:id="414" w:name="_Toc84303925"/>
      <w:bookmarkStart w:id="415" w:name="_Toc47425598"/>
      <w:r>
        <w:rPr>
          <w:rFonts w:hint="eastAsia"/>
          <w:b/>
          <w:bCs/>
          <w:color w:val="000000"/>
          <w:sz w:val="30"/>
        </w:rPr>
        <w:t>三、发包人和承包人</w:t>
      </w:r>
      <w:bookmarkEnd w:id="414"/>
      <w:bookmarkEnd w:id="415"/>
    </w:p>
    <w:p>
      <w:pPr>
        <w:spacing w:line="360" w:lineRule="auto"/>
        <w:rPr>
          <w:color w:val="000000"/>
          <w:sz w:val="28"/>
          <w:szCs w:val="28"/>
        </w:rPr>
      </w:pPr>
      <w:bookmarkStart w:id="416" w:name="_Toc35656523"/>
      <w:r>
        <w:rPr>
          <w:rFonts w:hint="eastAsia"/>
          <w:color w:val="000000"/>
          <w:sz w:val="28"/>
          <w:szCs w:val="28"/>
        </w:rPr>
        <w:t>9 发包人</w:t>
      </w:r>
      <w:bookmarkEnd w:id="416"/>
    </w:p>
    <w:p>
      <w:pPr>
        <w:spacing w:line="360" w:lineRule="auto"/>
        <w:rPr>
          <w:color w:val="000000"/>
          <w:sz w:val="24"/>
          <w:u w:val="single"/>
        </w:rPr>
      </w:pPr>
      <w:r>
        <w:rPr>
          <w:rFonts w:hint="eastAsia"/>
          <w:color w:val="000000"/>
          <w:sz w:val="24"/>
        </w:rPr>
        <w:t>9.1 发包人代表的姓名 ：</w:t>
      </w:r>
      <w:r>
        <w:rPr>
          <w:rFonts w:hint="eastAsia"/>
          <w:color w:val="000000"/>
          <w:sz w:val="24"/>
          <w:u w:val="single"/>
        </w:rPr>
        <w:t xml:space="preserve">   </w:t>
      </w:r>
      <w:bookmarkStart w:id="417" w:name="发包人代表的姓名"/>
      <w:r>
        <w:rPr>
          <w:rFonts w:hint="eastAsia"/>
          <w:color w:val="000000"/>
          <w:sz w:val="24"/>
          <w:u w:val="single"/>
        </w:rPr>
        <w:t xml:space="preserve">        </w:t>
      </w:r>
      <w:bookmarkEnd w:id="417"/>
      <w:r>
        <w:rPr>
          <w:rFonts w:hint="eastAsia"/>
          <w:color w:val="000000"/>
          <w:sz w:val="24"/>
          <w:u w:val="single"/>
        </w:rPr>
        <w:t xml:space="preserve">                                </w:t>
      </w:r>
    </w:p>
    <w:p>
      <w:pPr>
        <w:spacing w:line="360" w:lineRule="auto"/>
        <w:rPr>
          <w:color w:val="000000"/>
          <w:sz w:val="24"/>
          <w:u w:val="single"/>
        </w:rPr>
      </w:pPr>
      <w:r>
        <w:rPr>
          <w:rFonts w:hint="eastAsia"/>
          <w:color w:val="000000"/>
          <w:sz w:val="24"/>
        </w:rPr>
        <w:t>9.3 施工场地内施工所需水的接驳地点：</w:t>
      </w:r>
      <w:r>
        <w:rPr>
          <w:rFonts w:hint="eastAsia"/>
          <w:color w:val="000000"/>
          <w:sz w:val="24"/>
          <w:u w:val="single"/>
        </w:rPr>
        <w:t xml:space="preserve"> 发包人指定接驳地点，由承包人自行负责并承担一切费用。  </w:t>
      </w:r>
    </w:p>
    <w:p>
      <w:pPr>
        <w:spacing w:line="360" w:lineRule="auto"/>
        <w:rPr>
          <w:color w:val="000000"/>
          <w:sz w:val="24"/>
          <w:u w:val="single"/>
        </w:rPr>
      </w:pPr>
      <w:r>
        <w:rPr>
          <w:rFonts w:hint="eastAsia"/>
          <w:color w:val="000000"/>
          <w:sz w:val="24"/>
        </w:rPr>
        <w:t>施工场地内施工所需电的接驳地点：</w:t>
      </w:r>
      <w:r>
        <w:rPr>
          <w:rFonts w:hint="eastAsia"/>
          <w:color w:val="000000"/>
          <w:sz w:val="24"/>
          <w:u w:val="single"/>
        </w:rPr>
        <w:t>发包人指定接驳地点，由承包人自行负责并承担一切费用。</w:t>
      </w:r>
    </w:p>
    <w:p>
      <w:pPr>
        <w:spacing w:line="360" w:lineRule="auto"/>
        <w:rPr>
          <w:color w:val="000000"/>
          <w:sz w:val="24"/>
        </w:rPr>
      </w:pPr>
      <w:r>
        <w:rPr>
          <w:rFonts w:hint="eastAsia"/>
          <w:color w:val="000000"/>
          <w:sz w:val="24"/>
        </w:rPr>
        <w:t>施工场地内施工所需通讯的接驳地点：</w:t>
      </w:r>
      <w:r>
        <w:rPr>
          <w:rFonts w:hint="eastAsia"/>
          <w:color w:val="000000"/>
          <w:sz w:val="24"/>
          <w:u w:val="single"/>
        </w:rPr>
        <w:t xml:space="preserve"> </w:t>
      </w:r>
      <w:r>
        <w:rPr>
          <w:rFonts w:hint="eastAsia"/>
          <w:iCs/>
          <w:color w:val="000000"/>
          <w:sz w:val="24"/>
          <w:u w:val="single"/>
        </w:rPr>
        <w:t>发包人不指定接驳地点，由承包人自行接驳并承担一切费用，投标时应综合考虑，该部分费用已含在合同价中。</w:t>
      </w:r>
      <w:bookmarkStart w:id="418" w:name="施工场地内施工所需通讯的接驳地点"/>
      <w:r>
        <w:rPr>
          <w:rFonts w:hint="eastAsia"/>
          <w:iCs/>
          <w:color w:val="000000"/>
          <w:sz w:val="24"/>
          <w:u w:val="single"/>
        </w:rPr>
        <w:t xml:space="preserve">   </w:t>
      </w:r>
      <w:r>
        <w:rPr>
          <w:rFonts w:hint="eastAsia"/>
          <w:color w:val="000000"/>
          <w:sz w:val="24"/>
          <w:u w:val="single"/>
        </w:rPr>
        <w:t xml:space="preserve">                           </w:t>
      </w:r>
      <w:bookmarkEnd w:id="418"/>
      <w:r>
        <w:rPr>
          <w:rFonts w:hint="eastAsia"/>
          <w:color w:val="000000"/>
          <w:sz w:val="24"/>
          <w:u w:val="single"/>
        </w:rPr>
        <w:t xml:space="preserve">                          </w:t>
      </w:r>
      <w:r>
        <w:rPr>
          <w:rFonts w:hint="eastAsia"/>
          <w:color w:val="000000"/>
          <w:sz w:val="24"/>
        </w:rPr>
        <w:t xml:space="preserve">                                                                                                                                           </w:t>
      </w:r>
    </w:p>
    <w:p>
      <w:pPr>
        <w:spacing w:line="360" w:lineRule="auto"/>
        <w:rPr>
          <w:color w:val="000000"/>
          <w:sz w:val="24"/>
          <w:u w:val="single"/>
        </w:rPr>
      </w:pPr>
      <w:r>
        <w:rPr>
          <w:rFonts w:hint="eastAsia"/>
          <w:color w:val="000000"/>
          <w:sz w:val="24"/>
        </w:rPr>
        <w:t>图纸会审和设计交底的时间：</w:t>
      </w:r>
      <w:bookmarkStart w:id="419" w:name="图纸会审和设计交底的时间"/>
      <w:r>
        <w:rPr>
          <w:rFonts w:hint="eastAsia"/>
          <w:color w:val="000000"/>
          <w:sz w:val="24"/>
          <w:u w:val="single"/>
        </w:rPr>
        <w:t xml:space="preserve"> 发包人和承包人协商确定。                   </w:t>
      </w:r>
      <w:bookmarkEnd w:id="419"/>
      <w:r>
        <w:rPr>
          <w:rFonts w:hint="eastAsia"/>
          <w:color w:val="000000"/>
          <w:sz w:val="24"/>
          <w:u w:val="single"/>
        </w:rPr>
        <w:t xml:space="preserve">   </w:t>
      </w:r>
    </w:p>
    <w:p>
      <w:pPr>
        <w:spacing w:line="360" w:lineRule="auto"/>
        <w:rPr>
          <w:color w:val="000000"/>
          <w:sz w:val="24"/>
        </w:rPr>
      </w:pPr>
      <w:r>
        <w:rPr>
          <w:rFonts w:hint="eastAsia"/>
          <w:color w:val="000000"/>
          <w:sz w:val="24"/>
        </w:rPr>
        <w:t>约定发包人应做的其他工作和要求：</w:t>
      </w:r>
      <w:bookmarkStart w:id="420" w:name="约定发包人应做的其他工作和要求"/>
      <w:r>
        <w:rPr>
          <w:rFonts w:hint="eastAsia"/>
          <w:color w:val="000000"/>
          <w:sz w:val="24"/>
          <w:u w:val="single"/>
        </w:rPr>
        <w:t xml:space="preserve"> 协调各方关系，提供工作便利。            </w:t>
      </w:r>
      <w:bookmarkEnd w:id="420"/>
    </w:p>
    <w:p>
      <w:pPr>
        <w:spacing w:line="360" w:lineRule="auto"/>
        <w:rPr>
          <w:color w:val="000000"/>
          <w:sz w:val="24"/>
          <w:u w:val="single"/>
        </w:rPr>
      </w:pPr>
      <w:r>
        <w:rPr>
          <w:rFonts w:hint="eastAsia"/>
          <w:color w:val="000000"/>
          <w:sz w:val="24"/>
        </w:rPr>
        <w:t>9.4 发包人委托承包人办理的工作：</w:t>
      </w:r>
      <w:r>
        <w:rPr>
          <w:rFonts w:hint="eastAsia"/>
          <w:color w:val="000000"/>
          <w:sz w:val="24"/>
          <w:u w:val="single"/>
        </w:rPr>
        <w:t xml:space="preserve">  以下工作为发包人委托承包人办理的工作，其费用已经在投标报价中考虑，发包人不再额外支付相关费用：                    </w:t>
      </w:r>
    </w:p>
    <w:p>
      <w:pPr>
        <w:spacing w:line="360" w:lineRule="auto"/>
        <w:rPr>
          <w:color w:val="000000"/>
          <w:sz w:val="24"/>
          <w:u w:val="single"/>
        </w:rPr>
      </w:pPr>
      <w:r>
        <w:rPr>
          <w:rFonts w:hint="eastAsia"/>
          <w:color w:val="000000"/>
          <w:sz w:val="24"/>
          <w:u w:val="single"/>
        </w:rPr>
        <w:t xml:space="preserve">1、接受进场时场地条件并自费清理和处理施工场地内杂物及其它杂草                           使之达到施工条件；  </w:t>
      </w:r>
    </w:p>
    <w:p>
      <w:pPr>
        <w:spacing w:line="360" w:lineRule="auto"/>
        <w:rPr>
          <w:color w:val="000000"/>
          <w:sz w:val="24"/>
          <w:u w:val="single"/>
        </w:rPr>
      </w:pPr>
      <w:r>
        <w:rPr>
          <w:rFonts w:hint="eastAsia"/>
          <w:color w:val="000000"/>
          <w:sz w:val="24"/>
          <w:u w:val="single"/>
        </w:rPr>
        <w:t>2、承包人必须详细了解政府的相关法规，及时、准确提供需进场材料、设备清单和进场时间。</w:t>
      </w:r>
    </w:p>
    <w:p>
      <w:pPr>
        <w:spacing w:line="360" w:lineRule="auto"/>
        <w:rPr>
          <w:color w:val="000000"/>
          <w:sz w:val="24"/>
          <w:u w:val="single"/>
        </w:rPr>
      </w:pPr>
      <w:r>
        <w:rPr>
          <w:rFonts w:hint="eastAsia"/>
          <w:color w:val="000000"/>
          <w:sz w:val="24"/>
          <w:u w:val="single"/>
        </w:rPr>
        <w:t>3、为本工程顺利执行必需办理的保险；</w:t>
      </w:r>
    </w:p>
    <w:p>
      <w:pPr>
        <w:spacing w:line="360" w:lineRule="auto"/>
        <w:rPr>
          <w:color w:val="000000"/>
          <w:sz w:val="24"/>
          <w:u w:val="single"/>
        </w:rPr>
      </w:pPr>
      <w:r>
        <w:rPr>
          <w:rFonts w:hint="eastAsia"/>
          <w:color w:val="000000"/>
          <w:sz w:val="24"/>
          <w:u w:val="single"/>
        </w:rPr>
        <w:t>4、所有需要承包人缴纳的各项费用。</w:t>
      </w:r>
    </w:p>
    <w:p>
      <w:pPr>
        <w:spacing w:line="360" w:lineRule="auto"/>
        <w:rPr>
          <w:color w:val="000000"/>
          <w:sz w:val="24"/>
          <w:u w:val="single"/>
        </w:rPr>
      </w:pPr>
      <w:r>
        <w:rPr>
          <w:rFonts w:hint="eastAsia"/>
          <w:color w:val="000000"/>
          <w:sz w:val="24"/>
          <w:u w:val="single"/>
        </w:rPr>
        <w:t>5、承包人按照法律法规要求应承担的第三方检测费用，不含发包人委托的第三方检测费；</w:t>
      </w:r>
    </w:p>
    <w:p>
      <w:pPr>
        <w:spacing w:line="360" w:lineRule="auto"/>
        <w:rPr>
          <w:color w:val="000000"/>
          <w:sz w:val="24"/>
          <w:u w:val="single"/>
        </w:rPr>
      </w:pPr>
      <w:r>
        <w:rPr>
          <w:rFonts w:hint="eastAsia"/>
          <w:color w:val="000000"/>
          <w:sz w:val="24"/>
          <w:u w:val="single"/>
        </w:rPr>
        <w:t>6、项目验收过程中承包商应承担的合理费用。</w:t>
      </w:r>
    </w:p>
    <w:p>
      <w:pPr>
        <w:spacing w:line="360" w:lineRule="auto"/>
        <w:rPr>
          <w:color w:val="000000"/>
          <w:sz w:val="24"/>
          <w:u w:val="single"/>
        </w:rPr>
      </w:pPr>
      <w:r>
        <w:rPr>
          <w:rFonts w:hint="eastAsia"/>
          <w:color w:val="000000"/>
          <w:sz w:val="24"/>
          <w:u w:val="single"/>
        </w:rPr>
        <w:t>7、承包人负责现场材料二次搬运场内转运，作为一个有经验的承包人应预见到的现场实际安装条件，包含但不限于现场材料二次搬运产生的费用。</w:t>
      </w:r>
    </w:p>
    <w:p>
      <w:pPr>
        <w:spacing w:line="360" w:lineRule="auto"/>
        <w:rPr>
          <w:color w:val="000000"/>
          <w:sz w:val="24"/>
          <w:u w:val="single"/>
        </w:rPr>
      </w:pPr>
      <w:r>
        <w:rPr>
          <w:rFonts w:hint="eastAsia"/>
          <w:color w:val="000000"/>
          <w:sz w:val="24"/>
          <w:u w:val="single"/>
        </w:rPr>
        <w:t xml:space="preserve">8、承包人应自备柴油发电机，当现场停电时能及时启动发电机保证施工用电正常。 </w:t>
      </w:r>
    </w:p>
    <w:p>
      <w:pPr>
        <w:spacing w:line="360" w:lineRule="auto"/>
        <w:rPr>
          <w:color w:val="000000"/>
          <w:sz w:val="24"/>
          <w:u w:val="single"/>
        </w:rPr>
      </w:pPr>
      <w:r>
        <w:rPr>
          <w:rFonts w:hint="eastAsia"/>
          <w:color w:val="000000"/>
          <w:sz w:val="24"/>
          <w:u w:val="single"/>
        </w:rPr>
        <w:t xml:space="preserve">9、协助办理施工许可证等证件； 　　　　　　　　　　　　       </w:t>
      </w:r>
    </w:p>
    <w:p>
      <w:pPr>
        <w:spacing w:line="360" w:lineRule="auto"/>
        <w:rPr>
          <w:color w:val="000000"/>
          <w:sz w:val="24"/>
          <w:u w:val="single"/>
        </w:rPr>
      </w:pPr>
      <w:r>
        <w:rPr>
          <w:rFonts w:hint="eastAsia"/>
          <w:color w:val="000000"/>
          <w:sz w:val="24"/>
          <w:u w:val="single"/>
        </w:rPr>
        <w:t>1</w:t>
      </w:r>
      <w:r>
        <w:rPr>
          <w:rFonts w:hint="eastAsia"/>
          <w:color w:val="000000"/>
          <w:sz w:val="24"/>
          <w:u w:val="single"/>
          <w:lang w:val="en-US" w:eastAsia="zh-CN"/>
        </w:rPr>
        <w:t>0</w:t>
      </w:r>
      <w:r>
        <w:rPr>
          <w:rFonts w:hint="eastAsia"/>
          <w:color w:val="000000"/>
          <w:sz w:val="24"/>
          <w:u w:val="single"/>
        </w:rPr>
        <w:t xml:space="preserve">、承包人必须详细了解政府的相关法规，及时、准确提供需进场材料、设备清单和进场时间。 </w:t>
      </w:r>
    </w:p>
    <w:p>
      <w:pPr>
        <w:spacing w:line="360" w:lineRule="auto"/>
        <w:rPr>
          <w:color w:val="000000"/>
          <w:sz w:val="24"/>
          <w:u w:val="single"/>
        </w:rPr>
      </w:pPr>
      <w:r>
        <w:rPr>
          <w:rFonts w:hint="eastAsia"/>
          <w:color w:val="000000"/>
          <w:sz w:val="24"/>
          <w:u w:val="single"/>
        </w:rPr>
        <w:t>1</w:t>
      </w:r>
      <w:r>
        <w:rPr>
          <w:rFonts w:hint="eastAsia"/>
          <w:color w:val="000000"/>
          <w:sz w:val="24"/>
          <w:u w:val="single"/>
          <w:lang w:val="en-US" w:eastAsia="zh-CN"/>
        </w:rPr>
        <w:t>1</w:t>
      </w:r>
      <w:r>
        <w:rPr>
          <w:rFonts w:hint="eastAsia"/>
          <w:color w:val="000000"/>
          <w:sz w:val="24"/>
          <w:u w:val="single"/>
        </w:rPr>
        <w:t>、施工区域的垃圾清运至发包人指定的现场垃圾堆放点。</w:t>
      </w:r>
    </w:p>
    <w:p>
      <w:pPr>
        <w:spacing w:line="360" w:lineRule="auto"/>
        <w:rPr>
          <w:color w:val="000000"/>
          <w:sz w:val="24"/>
          <w:u w:val="single"/>
        </w:rPr>
      </w:pPr>
      <w:r>
        <w:rPr>
          <w:rFonts w:hint="eastAsia"/>
          <w:color w:val="000000"/>
          <w:sz w:val="24"/>
          <w:u w:val="single"/>
        </w:rPr>
        <w:t>1</w:t>
      </w:r>
      <w:r>
        <w:rPr>
          <w:rFonts w:hint="eastAsia"/>
          <w:color w:val="000000"/>
          <w:sz w:val="24"/>
          <w:u w:val="single"/>
          <w:lang w:val="en-US" w:eastAsia="zh-CN"/>
        </w:rPr>
        <w:t>2</w:t>
      </w:r>
      <w:r>
        <w:rPr>
          <w:rFonts w:hint="eastAsia"/>
          <w:color w:val="000000"/>
          <w:sz w:val="24"/>
          <w:u w:val="single"/>
        </w:rPr>
        <w:t xml:space="preserve">、洁净安装其他专项措施费由承包人自行考虑。　   </w:t>
      </w:r>
    </w:p>
    <w:p>
      <w:pPr>
        <w:spacing w:line="360" w:lineRule="auto"/>
        <w:rPr>
          <w:color w:val="000000"/>
          <w:sz w:val="28"/>
          <w:szCs w:val="28"/>
        </w:rPr>
      </w:pPr>
      <w:bookmarkStart w:id="421" w:name="_Toc35656524"/>
      <w:r>
        <w:rPr>
          <w:rFonts w:hint="eastAsia"/>
          <w:color w:val="000000"/>
          <w:sz w:val="28"/>
          <w:szCs w:val="28"/>
        </w:rPr>
        <w:t>10 承包</w:t>
      </w:r>
      <w:bookmarkEnd w:id="421"/>
      <w:r>
        <w:rPr>
          <w:rFonts w:hint="eastAsia"/>
          <w:color w:val="000000"/>
          <w:sz w:val="28"/>
          <w:szCs w:val="28"/>
        </w:rPr>
        <w:t>人</w:t>
      </w:r>
    </w:p>
    <w:p>
      <w:pPr>
        <w:spacing w:line="360" w:lineRule="auto"/>
        <w:rPr>
          <w:color w:val="000000"/>
          <w:sz w:val="24"/>
          <w:u w:val="single"/>
        </w:rPr>
      </w:pPr>
      <w:r>
        <w:rPr>
          <w:rFonts w:hint="eastAsia"/>
          <w:color w:val="000000"/>
          <w:sz w:val="24"/>
        </w:rPr>
        <w:t>10.2由承包人完成设计的永久工程或临时工程的名称及设计文件的提交时间：</w:t>
      </w:r>
      <w:r>
        <w:rPr>
          <w:rFonts w:hint="eastAsia"/>
          <w:bCs/>
          <w:iCs/>
          <w:color w:val="000000"/>
          <w:sz w:val="24"/>
          <w:u w:val="single"/>
        </w:rPr>
        <w:t xml:space="preserve"> 无  </w:t>
      </w:r>
    </w:p>
    <w:p>
      <w:pPr>
        <w:spacing w:line="360" w:lineRule="auto"/>
        <w:rPr>
          <w:bCs/>
          <w:iCs/>
          <w:color w:val="000000"/>
          <w:sz w:val="24"/>
          <w:u w:val="single"/>
        </w:rPr>
      </w:pPr>
      <w:r>
        <w:rPr>
          <w:rFonts w:hint="eastAsia"/>
          <w:color w:val="000000"/>
          <w:sz w:val="24"/>
        </w:rPr>
        <w:t>承担施工场地安全保卫工作及提供和维修非夜间施工时使用的照明、围护设施的责任和要求：</w:t>
      </w:r>
      <w:bookmarkStart w:id="422" w:name="承担施工场地安全保卫工作及提供和维修非夜间施工使用的照明围护设施的责任和要求"/>
      <w:r>
        <w:rPr>
          <w:rFonts w:hint="eastAsia"/>
          <w:color w:val="000000"/>
          <w:sz w:val="24"/>
          <w:u w:val="single"/>
        </w:rPr>
        <w:t>（</w:t>
      </w:r>
      <w:r>
        <w:rPr>
          <w:bCs/>
          <w:iCs/>
          <w:color w:val="000000"/>
          <w:sz w:val="24"/>
          <w:u w:val="single"/>
        </w:rPr>
        <w:t>1）确保工地现场</w:t>
      </w:r>
      <w:r>
        <w:rPr>
          <w:rFonts w:hint="eastAsia"/>
          <w:bCs/>
          <w:iCs/>
          <w:color w:val="000000"/>
          <w:sz w:val="24"/>
          <w:u w:val="single"/>
        </w:rPr>
        <w:t>的安全并保证</w:t>
      </w:r>
      <w:r>
        <w:rPr>
          <w:bCs/>
          <w:iCs/>
          <w:color w:val="000000"/>
          <w:sz w:val="24"/>
          <w:u w:val="single"/>
        </w:rPr>
        <w:t>24</w:t>
      </w:r>
      <w:r>
        <w:rPr>
          <w:rFonts w:hint="eastAsia"/>
          <w:bCs/>
          <w:iCs/>
          <w:color w:val="000000"/>
          <w:sz w:val="24"/>
          <w:u w:val="single"/>
        </w:rPr>
        <w:t>小时有人</w:t>
      </w:r>
      <w:r>
        <w:rPr>
          <w:bCs/>
          <w:iCs/>
          <w:color w:val="000000"/>
          <w:sz w:val="24"/>
          <w:u w:val="single"/>
        </w:rPr>
        <w:t>值班；</w:t>
      </w:r>
      <w:r>
        <w:rPr>
          <w:rFonts w:hint="eastAsia"/>
          <w:bCs/>
          <w:iCs/>
          <w:color w:val="000000"/>
          <w:sz w:val="24"/>
          <w:u w:val="single"/>
        </w:rPr>
        <w:t xml:space="preserve">提供和维修现场非夜间照明，每天负责现场照明的开通、关闭工作，相关费用已包含在合同价款中； </w:t>
      </w:r>
    </w:p>
    <w:p>
      <w:pPr>
        <w:spacing w:line="360" w:lineRule="auto"/>
        <w:rPr>
          <w:bCs/>
          <w:iCs/>
          <w:color w:val="000000"/>
          <w:sz w:val="24"/>
          <w:u w:val="single"/>
        </w:rPr>
      </w:pPr>
      <w:r>
        <w:rPr>
          <w:rFonts w:hint="eastAsia"/>
          <w:bCs/>
          <w:iCs/>
          <w:color w:val="000000"/>
          <w:sz w:val="24"/>
          <w:u w:val="single"/>
        </w:rPr>
        <w:t>（</w:t>
      </w:r>
      <w:r>
        <w:rPr>
          <w:bCs/>
          <w:iCs/>
          <w:color w:val="000000"/>
          <w:sz w:val="24"/>
          <w:u w:val="single"/>
        </w:rPr>
        <w:t>2）对于易燃易爆的材料除应专门妥善保管之外，还应配备有足够的消防</w:t>
      </w:r>
      <w:r>
        <w:rPr>
          <w:rFonts w:hint="eastAsia"/>
          <w:bCs/>
          <w:iCs/>
          <w:color w:val="000000"/>
          <w:sz w:val="24"/>
          <w:u w:val="single"/>
        </w:rPr>
        <w:t>设施</w:t>
      </w:r>
      <w:r>
        <w:rPr>
          <w:bCs/>
          <w:iCs/>
          <w:color w:val="000000"/>
          <w:sz w:val="24"/>
          <w:u w:val="single"/>
        </w:rPr>
        <w:t>，所有施工人员都应熟悉消防</w:t>
      </w:r>
      <w:r>
        <w:rPr>
          <w:rFonts w:hint="eastAsia"/>
          <w:bCs/>
          <w:iCs/>
          <w:color w:val="000000"/>
          <w:sz w:val="24"/>
          <w:u w:val="single"/>
        </w:rPr>
        <w:t>设施</w:t>
      </w:r>
      <w:r>
        <w:rPr>
          <w:bCs/>
          <w:iCs/>
          <w:color w:val="000000"/>
          <w:sz w:val="24"/>
          <w:u w:val="single"/>
        </w:rPr>
        <w:t>的性能和使用方法；</w:t>
      </w:r>
      <w:r>
        <w:rPr>
          <w:rFonts w:hint="eastAsia"/>
          <w:bCs/>
          <w:iCs/>
          <w:color w:val="000000"/>
          <w:sz w:val="24"/>
          <w:u w:val="single"/>
        </w:rPr>
        <w:t xml:space="preserve"> </w:t>
      </w:r>
    </w:p>
    <w:p>
      <w:pPr>
        <w:spacing w:line="360" w:lineRule="auto"/>
        <w:rPr>
          <w:bCs/>
          <w:iCs/>
          <w:color w:val="000000"/>
          <w:sz w:val="24"/>
          <w:u w:val="single"/>
        </w:rPr>
      </w:pPr>
      <w:r>
        <w:rPr>
          <w:rFonts w:hint="eastAsia"/>
          <w:bCs/>
          <w:iCs/>
          <w:color w:val="000000"/>
          <w:sz w:val="24"/>
          <w:u w:val="single"/>
        </w:rPr>
        <w:t>（</w:t>
      </w:r>
      <w:r>
        <w:rPr>
          <w:bCs/>
          <w:iCs/>
          <w:color w:val="000000"/>
          <w:sz w:val="24"/>
          <w:u w:val="single"/>
        </w:rPr>
        <w:t>3）安全生产用电，</w:t>
      </w:r>
      <w:r>
        <w:rPr>
          <w:rFonts w:hint="eastAsia"/>
          <w:bCs/>
          <w:iCs/>
          <w:color w:val="000000"/>
          <w:sz w:val="24"/>
          <w:u w:val="single"/>
        </w:rPr>
        <w:t>采取三级用电两级保护措施，各种电气设备、漏电保护装置、电箱应符合安全要求；</w:t>
      </w:r>
      <w:r>
        <w:rPr>
          <w:bCs/>
          <w:iCs/>
          <w:color w:val="000000"/>
          <w:sz w:val="24"/>
          <w:u w:val="single"/>
        </w:rPr>
        <w:t>所用施工机</w:t>
      </w:r>
      <w:r>
        <w:rPr>
          <w:rFonts w:hint="eastAsia"/>
          <w:bCs/>
          <w:iCs/>
          <w:color w:val="000000"/>
          <w:sz w:val="24"/>
          <w:u w:val="single"/>
        </w:rPr>
        <w:t>（</w:t>
      </w:r>
      <w:r>
        <w:rPr>
          <w:bCs/>
          <w:iCs/>
          <w:color w:val="000000"/>
          <w:sz w:val="24"/>
          <w:u w:val="single"/>
        </w:rPr>
        <w:t>器</w:t>
      </w:r>
      <w:r>
        <w:rPr>
          <w:rFonts w:hint="eastAsia"/>
          <w:bCs/>
          <w:iCs/>
          <w:color w:val="000000"/>
          <w:sz w:val="24"/>
          <w:u w:val="single"/>
        </w:rPr>
        <w:t>）</w:t>
      </w:r>
      <w:r>
        <w:rPr>
          <w:bCs/>
          <w:iCs/>
          <w:color w:val="000000"/>
          <w:sz w:val="24"/>
          <w:u w:val="single"/>
        </w:rPr>
        <w:t>具、设备和</w:t>
      </w:r>
      <w:r>
        <w:rPr>
          <w:rFonts w:hint="eastAsia"/>
          <w:bCs/>
          <w:iCs/>
          <w:color w:val="000000"/>
          <w:sz w:val="24"/>
          <w:u w:val="single"/>
        </w:rPr>
        <w:t>本工程施工</w:t>
      </w:r>
      <w:r>
        <w:rPr>
          <w:bCs/>
          <w:iCs/>
          <w:color w:val="000000"/>
          <w:sz w:val="24"/>
          <w:u w:val="single"/>
        </w:rPr>
        <w:t>作业的安全措施要按相关规定设置齐全，均应定期检查，并有安全员的检查签字记录；</w:t>
      </w:r>
      <w:r>
        <w:rPr>
          <w:rFonts w:hint="eastAsia"/>
          <w:bCs/>
          <w:iCs/>
          <w:color w:val="000000"/>
          <w:sz w:val="24"/>
          <w:u w:val="single"/>
        </w:rPr>
        <w:t xml:space="preserve"> </w:t>
      </w:r>
    </w:p>
    <w:p>
      <w:pPr>
        <w:spacing w:line="360" w:lineRule="auto"/>
        <w:rPr>
          <w:bCs/>
          <w:iCs/>
          <w:color w:val="000000"/>
          <w:sz w:val="24"/>
          <w:u w:val="single"/>
        </w:rPr>
      </w:pPr>
      <w:r>
        <w:rPr>
          <w:rFonts w:hint="eastAsia"/>
          <w:bCs/>
          <w:iCs/>
          <w:color w:val="000000"/>
          <w:sz w:val="24"/>
          <w:u w:val="single"/>
        </w:rPr>
        <w:t>（</w:t>
      </w:r>
      <w:r>
        <w:rPr>
          <w:bCs/>
          <w:iCs/>
          <w:color w:val="000000"/>
          <w:sz w:val="24"/>
          <w:u w:val="single"/>
        </w:rPr>
        <w:t>4）</w:t>
      </w:r>
      <w:r>
        <w:rPr>
          <w:rFonts w:hint="eastAsia"/>
          <w:bCs/>
          <w:iCs/>
          <w:color w:val="000000"/>
          <w:sz w:val="24"/>
          <w:u w:val="single"/>
        </w:rPr>
        <w:t>安全防护</w:t>
      </w:r>
      <w:r>
        <w:rPr>
          <w:bCs/>
          <w:iCs/>
          <w:color w:val="000000"/>
          <w:sz w:val="24"/>
          <w:u w:val="single"/>
        </w:rPr>
        <w:t>设施在雨季等不利</w:t>
      </w:r>
      <w:r>
        <w:rPr>
          <w:rFonts w:hint="eastAsia"/>
          <w:bCs/>
          <w:iCs/>
          <w:color w:val="000000"/>
          <w:sz w:val="24"/>
          <w:u w:val="single"/>
        </w:rPr>
        <w:t>情况</w:t>
      </w:r>
      <w:r>
        <w:rPr>
          <w:bCs/>
          <w:iCs/>
          <w:color w:val="000000"/>
          <w:sz w:val="24"/>
          <w:u w:val="single"/>
        </w:rPr>
        <w:t>下的安全保证措施要按规定设置齐全，均应定期检查，并有安全员的检查签字记录；</w:t>
      </w:r>
      <w:r>
        <w:rPr>
          <w:rFonts w:hint="eastAsia"/>
          <w:bCs/>
          <w:iCs/>
          <w:color w:val="000000"/>
          <w:sz w:val="24"/>
          <w:u w:val="single"/>
        </w:rPr>
        <w:t xml:space="preserve"> </w:t>
      </w:r>
    </w:p>
    <w:p>
      <w:pPr>
        <w:spacing w:line="360" w:lineRule="auto"/>
        <w:rPr>
          <w:bCs/>
          <w:iCs/>
          <w:color w:val="000000"/>
          <w:sz w:val="24"/>
          <w:u w:val="single"/>
        </w:rPr>
      </w:pPr>
      <w:r>
        <w:rPr>
          <w:rFonts w:hint="eastAsia"/>
          <w:bCs/>
          <w:iCs/>
          <w:color w:val="000000"/>
          <w:sz w:val="24"/>
          <w:u w:val="single"/>
        </w:rPr>
        <w:t>（5）特种作业人员应经专业培训并持有效证件上岗；所有进场人员均应进行安全教育；岗前应进行安全交底；</w:t>
      </w:r>
    </w:p>
    <w:p>
      <w:pPr>
        <w:spacing w:line="360" w:lineRule="auto"/>
        <w:rPr>
          <w:bCs/>
          <w:iCs/>
          <w:color w:val="000000"/>
          <w:sz w:val="24"/>
          <w:u w:val="single"/>
        </w:rPr>
      </w:pPr>
      <w:r>
        <w:rPr>
          <w:rFonts w:hint="eastAsia"/>
          <w:bCs/>
          <w:iCs/>
          <w:color w:val="000000"/>
          <w:sz w:val="24"/>
          <w:u w:val="single"/>
        </w:rPr>
        <w:t>（6）现场人员应登记造册；无关人员不得进入现场；按当地公安机关要求办理临时人员的相关手续并承担相关费用；</w:t>
      </w:r>
    </w:p>
    <w:p>
      <w:pPr>
        <w:spacing w:line="360" w:lineRule="auto"/>
        <w:rPr>
          <w:bCs/>
          <w:iCs/>
          <w:color w:val="000000"/>
          <w:sz w:val="24"/>
          <w:u w:val="single"/>
        </w:rPr>
      </w:pPr>
      <w:r>
        <w:rPr>
          <w:rFonts w:hint="eastAsia"/>
          <w:bCs/>
          <w:iCs/>
          <w:color w:val="000000"/>
          <w:sz w:val="24"/>
          <w:u w:val="single"/>
        </w:rPr>
        <w:t>（7</w:t>
      </w:r>
      <w:r>
        <w:rPr>
          <w:bCs/>
          <w:iCs/>
          <w:color w:val="000000"/>
          <w:sz w:val="24"/>
          <w:u w:val="single"/>
        </w:rPr>
        <w:t>）因以上所有措施而发生的费用由承包人承担，</w:t>
      </w:r>
      <w:r>
        <w:rPr>
          <w:rFonts w:hint="eastAsia"/>
          <w:bCs/>
          <w:iCs/>
          <w:color w:val="000000"/>
          <w:sz w:val="24"/>
          <w:u w:val="single"/>
        </w:rPr>
        <w:t>因以上</w:t>
      </w:r>
      <w:r>
        <w:rPr>
          <w:bCs/>
          <w:iCs/>
          <w:color w:val="000000"/>
          <w:sz w:val="24"/>
          <w:u w:val="single"/>
        </w:rPr>
        <w:t>措施</w:t>
      </w:r>
      <w:r>
        <w:rPr>
          <w:rFonts w:hint="eastAsia"/>
          <w:bCs/>
          <w:iCs/>
          <w:color w:val="000000"/>
          <w:sz w:val="24"/>
          <w:u w:val="single"/>
        </w:rPr>
        <w:t>执行</w:t>
      </w:r>
      <w:r>
        <w:rPr>
          <w:bCs/>
          <w:iCs/>
          <w:color w:val="000000"/>
          <w:sz w:val="24"/>
          <w:u w:val="single"/>
        </w:rPr>
        <w:t>不到位等原因造成的损失由承包人</w:t>
      </w:r>
      <w:r>
        <w:rPr>
          <w:rFonts w:hint="eastAsia"/>
          <w:bCs/>
          <w:iCs/>
          <w:color w:val="000000"/>
          <w:sz w:val="24"/>
          <w:u w:val="single"/>
        </w:rPr>
        <w:t>负责</w:t>
      </w:r>
      <w:r>
        <w:rPr>
          <w:bCs/>
          <w:iCs/>
          <w:color w:val="000000"/>
          <w:sz w:val="24"/>
          <w:u w:val="single"/>
        </w:rPr>
        <w:t>；</w:t>
      </w:r>
      <w:r>
        <w:rPr>
          <w:rFonts w:hint="eastAsia"/>
          <w:bCs/>
          <w:iCs/>
          <w:color w:val="000000"/>
          <w:sz w:val="24"/>
          <w:u w:val="single"/>
        </w:rPr>
        <w:t xml:space="preserve"> </w:t>
      </w:r>
    </w:p>
    <w:p>
      <w:pPr>
        <w:spacing w:line="360" w:lineRule="auto"/>
        <w:rPr>
          <w:color w:val="000000"/>
          <w:sz w:val="24"/>
          <w:u w:val="single"/>
        </w:rPr>
      </w:pPr>
      <w:r>
        <w:rPr>
          <w:rFonts w:hint="eastAsia"/>
          <w:bCs/>
          <w:iCs/>
          <w:color w:val="000000"/>
          <w:sz w:val="24"/>
          <w:u w:val="single"/>
        </w:rPr>
        <w:t>（8</w:t>
      </w:r>
      <w:r>
        <w:rPr>
          <w:bCs/>
          <w:iCs/>
          <w:color w:val="000000"/>
          <w:sz w:val="24"/>
          <w:u w:val="single"/>
        </w:rPr>
        <w:t>）以上安全保卫措施及相关设施的配置，发包人有权监督，并向承包人提出整改要求。如果由于承包人未能对其负责的上述事项采取各种必要的措施而导致或发生与此有关的人</w:t>
      </w:r>
      <w:r>
        <w:rPr>
          <w:rFonts w:hint="eastAsia"/>
          <w:bCs/>
          <w:iCs/>
          <w:color w:val="000000"/>
          <w:sz w:val="24"/>
          <w:u w:val="single"/>
        </w:rPr>
        <w:t>身</w:t>
      </w:r>
      <w:r>
        <w:rPr>
          <w:bCs/>
          <w:iCs/>
          <w:color w:val="000000"/>
          <w:sz w:val="24"/>
          <w:u w:val="single"/>
        </w:rPr>
        <w:t>伤亡、罚款、索赔、损失补偿、诉讼费用及其他一切责任由承包人负责。</w:t>
      </w:r>
      <w:r>
        <w:rPr>
          <w:rFonts w:hint="eastAsia"/>
          <w:color w:val="000000"/>
          <w:sz w:val="24"/>
          <w:u w:val="single"/>
        </w:rPr>
        <w:t xml:space="preserve"> </w:t>
      </w:r>
    </w:p>
    <w:p>
      <w:pPr>
        <w:spacing w:line="360" w:lineRule="auto"/>
        <w:rPr>
          <w:color w:val="000000"/>
          <w:sz w:val="24"/>
        </w:rPr>
      </w:pPr>
      <w:r>
        <w:rPr>
          <w:rFonts w:hint="eastAsia"/>
          <w:color w:val="000000"/>
          <w:sz w:val="24"/>
          <w:u w:val="single"/>
        </w:rPr>
        <w:t>（9）其他要求见招标文件附件：</w:t>
      </w:r>
      <w:r>
        <w:rPr>
          <w:rFonts w:hint="eastAsia"/>
          <w:color w:val="000000"/>
          <w:sz w:val="24"/>
          <w:u w:val="single"/>
          <w:lang w:val="en-US" w:eastAsia="zh-CN"/>
        </w:rPr>
        <w:t>详见附件</w:t>
      </w:r>
      <w:r>
        <w:rPr>
          <w:rFonts w:hint="eastAsia"/>
          <w:color w:val="000000"/>
          <w:sz w:val="24"/>
          <w:u w:val="single"/>
        </w:rPr>
        <w:t xml:space="preserve"> </w:t>
      </w:r>
      <w:bookmarkEnd w:id="422"/>
    </w:p>
    <w:p>
      <w:pPr>
        <w:spacing w:line="360" w:lineRule="auto"/>
        <w:rPr>
          <w:color w:val="000000"/>
          <w:sz w:val="24"/>
          <w:u w:val="single"/>
        </w:rPr>
      </w:pPr>
      <w:r>
        <w:rPr>
          <w:rFonts w:hint="eastAsia"/>
          <w:color w:val="000000"/>
          <w:sz w:val="24"/>
        </w:rPr>
        <w:t>向发包人提供施工场地办公和生活的房屋及设施的要求：</w:t>
      </w:r>
      <w:r>
        <w:rPr>
          <w:rFonts w:hint="eastAsia"/>
          <w:color w:val="000000"/>
          <w:sz w:val="24"/>
          <w:u w:val="single"/>
        </w:rPr>
        <w:t xml:space="preserve"> 无             </w:t>
      </w:r>
    </w:p>
    <w:p>
      <w:pPr>
        <w:spacing w:line="360" w:lineRule="auto"/>
        <w:rPr>
          <w:color w:val="000000"/>
          <w:sz w:val="24"/>
        </w:rPr>
      </w:pPr>
      <w:r>
        <w:rPr>
          <w:rFonts w:hint="eastAsia"/>
          <w:color w:val="000000"/>
          <w:sz w:val="24"/>
        </w:rPr>
        <w:t>需承包人按规定办理的有关施工场地交通、环境保护、施工噪音、安全文明施工等手续的名称：</w:t>
      </w:r>
      <w:r>
        <w:rPr>
          <w:rFonts w:hint="eastAsia"/>
          <w:color w:val="000000"/>
          <w:sz w:val="24"/>
          <w:u w:val="single"/>
        </w:rPr>
        <w:t xml:space="preserve">  需遵守政府有关部门对施工场地交通、环境保护、污水排放、施工噪音及安全文明生产管理规定，承包人收到中标通知书五天内，负责办理完成施工噪音、环境保护、安全文明施工等相关手续，发包人将积极协调配合手续办理，所需费用全部由承包人承担。如果工地达不</w:t>
      </w:r>
      <w:r>
        <w:rPr>
          <w:rFonts w:hint="eastAsia"/>
          <w:color w:val="auto"/>
          <w:sz w:val="24"/>
          <w:highlight w:val="none"/>
          <w:u w:val="single"/>
        </w:rPr>
        <w:t>到</w:t>
      </w:r>
      <w:r>
        <w:rPr>
          <w:rFonts w:hint="eastAsia"/>
          <w:color w:val="auto"/>
          <w:sz w:val="24"/>
          <w:highlight w:val="none"/>
          <w:u w:val="single"/>
          <w:lang w:val="en-US" w:eastAsia="zh-CN"/>
        </w:rPr>
        <w:t>广州</w:t>
      </w:r>
      <w:r>
        <w:rPr>
          <w:rFonts w:hint="eastAsia"/>
          <w:color w:val="auto"/>
          <w:sz w:val="24"/>
          <w:highlight w:val="none"/>
          <w:u w:val="single"/>
        </w:rPr>
        <w:t>市安全文明合格标准(以</w:t>
      </w:r>
      <w:r>
        <w:rPr>
          <w:rFonts w:hint="eastAsia"/>
          <w:color w:val="auto"/>
          <w:sz w:val="24"/>
          <w:highlight w:val="none"/>
          <w:u w:val="single"/>
          <w:lang w:val="en-US" w:eastAsia="zh-CN"/>
        </w:rPr>
        <w:t>广州</w:t>
      </w:r>
      <w:r>
        <w:rPr>
          <w:rFonts w:hint="eastAsia"/>
          <w:color w:val="auto"/>
          <w:sz w:val="24"/>
          <w:highlight w:val="none"/>
          <w:u w:val="single"/>
        </w:rPr>
        <w:t>市有关部门</w:t>
      </w:r>
      <w:r>
        <w:rPr>
          <w:rFonts w:hint="eastAsia"/>
          <w:color w:val="000000"/>
          <w:sz w:val="24"/>
          <w:u w:val="single"/>
        </w:rPr>
        <w:t xml:space="preserve">的验收为准),承包人向发包人支付违约金10万元，并赔偿发包人由此造成的损失。 </w:t>
      </w:r>
    </w:p>
    <w:p>
      <w:pPr>
        <w:spacing w:line="360" w:lineRule="auto"/>
        <w:rPr>
          <w:color w:val="000000"/>
          <w:sz w:val="24"/>
          <w:u w:val="single"/>
        </w:rPr>
      </w:pPr>
      <w:r>
        <w:rPr>
          <w:rFonts w:hint="eastAsia"/>
          <w:color w:val="000000"/>
          <w:sz w:val="24"/>
        </w:rPr>
        <w:t>已完工程成品保护的特殊要求：</w:t>
      </w:r>
      <w:r>
        <w:rPr>
          <w:rFonts w:hint="eastAsia" w:ascii="宋体" w:hAnsi="宋体"/>
          <w:sz w:val="24"/>
          <w:u w:val="single"/>
        </w:rPr>
        <w:t>移交发包人和接管单位前，负责已完工程的所有设备设施相关部门之前的看护及偷盗破损的保护工作，如保护期间发生损坏，承包人须自费予以修复，</w:t>
      </w:r>
      <w:r>
        <w:rPr>
          <w:rFonts w:hint="eastAsia" w:ascii="宋体" w:hAnsi="宋体"/>
          <w:sz w:val="24"/>
          <w:szCs w:val="28"/>
          <w:u w:val="single"/>
        </w:rPr>
        <w:t>并不增加合同工期</w:t>
      </w:r>
      <w:r>
        <w:rPr>
          <w:rFonts w:hint="eastAsia" w:ascii="宋体" w:hAnsi="宋体"/>
          <w:sz w:val="24"/>
          <w:u w:val="single"/>
        </w:rPr>
        <w:t>。对施工现场原有的且不在本次承包范围内的区域，承包人应注意保护，避免破坏，否则须承担一切相关责任及相关费用（相关费用已包含在合同价中）；此期间由于承包人管理不善对成品造成的任何损失均由承包人负责。</w:t>
      </w:r>
      <w:r>
        <w:rPr>
          <w:rFonts w:hint="eastAsia"/>
          <w:color w:val="000000"/>
          <w:sz w:val="24"/>
          <w:u w:val="single"/>
        </w:rPr>
        <w:t xml:space="preserve"> </w:t>
      </w:r>
    </w:p>
    <w:p>
      <w:pPr>
        <w:spacing w:line="360" w:lineRule="auto"/>
        <w:rPr>
          <w:color w:val="000000"/>
          <w:sz w:val="24"/>
          <w:u w:val="single"/>
        </w:rPr>
      </w:pPr>
      <w:r>
        <w:rPr>
          <w:rFonts w:hint="eastAsia"/>
          <w:color w:val="000000"/>
          <w:sz w:val="24"/>
        </w:rPr>
        <w:t>施工场地地下管线和邻近建筑物、构筑物(包括文物保护建筑)、古树名木等的保护要求和费用承担：</w:t>
      </w:r>
      <w:bookmarkStart w:id="423" w:name="施工场地地下管线和邻近建筑物构筑物"/>
      <w:r>
        <w:rPr>
          <w:rFonts w:hint="eastAsia"/>
          <w:color w:val="000000"/>
          <w:sz w:val="24"/>
          <w:u w:val="single"/>
        </w:rPr>
        <w:t xml:space="preserve">按照当地政府现行有关规定执行，并应妥善保护施工场地周围目前现存的市政设施、建筑物、构筑物及周边环境，费用已包含在合同价中。         </w:t>
      </w:r>
    </w:p>
    <w:bookmarkEnd w:id="423"/>
    <w:p>
      <w:pPr>
        <w:spacing w:line="360" w:lineRule="auto"/>
        <w:rPr>
          <w:bCs/>
          <w:iCs/>
          <w:color w:val="000000"/>
          <w:sz w:val="24"/>
          <w:u w:val="single"/>
        </w:rPr>
      </w:pPr>
      <w:r>
        <w:rPr>
          <w:rFonts w:hint="eastAsia"/>
          <w:color w:val="000000"/>
          <w:sz w:val="24"/>
        </w:rPr>
        <w:t>交工前清洁施工现场的要求：</w:t>
      </w:r>
      <w:bookmarkStart w:id="424" w:name="交工前清洁施工现场的要求"/>
      <w:r>
        <w:rPr>
          <w:rFonts w:hint="eastAsia"/>
          <w:color w:val="000000"/>
          <w:sz w:val="24"/>
          <w:u w:val="single"/>
        </w:rPr>
        <w:t>（</w:t>
      </w:r>
      <w:r>
        <w:rPr>
          <w:bCs/>
          <w:iCs/>
          <w:color w:val="000000"/>
          <w:sz w:val="24"/>
          <w:u w:val="single"/>
        </w:rPr>
        <w:t>1）在工程完工并签发交工证书时，承包人应从施工现场清除并转运走承包人装备、剩余材料、垃圾和各种临时设施</w:t>
      </w:r>
      <w:r>
        <w:rPr>
          <w:rFonts w:hint="eastAsia"/>
          <w:bCs/>
          <w:iCs/>
          <w:color w:val="000000"/>
          <w:sz w:val="24"/>
          <w:u w:val="single"/>
        </w:rPr>
        <w:t>（发包人要求保留的除外）</w:t>
      </w:r>
      <w:r>
        <w:rPr>
          <w:bCs/>
          <w:iCs/>
          <w:color w:val="000000"/>
          <w:sz w:val="24"/>
          <w:u w:val="single"/>
        </w:rPr>
        <w:t>，并保持整个现场及工程整洁，达到工程师认为合格的使用状态</w:t>
      </w:r>
      <w:r>
        <w:rPr>
          <w:rFonts w:hint="eastAsia"/>
          <w:bCs/>
          <w:iCs/>
          <w:color w:val="000000"/>
          <w:sz w:val="24"/>
          <w:u w:val="single"/>
        </w:rPr>
        <w:t>，</w:t>
      </w:r>
      <w:r>
        <w:rPr>
          <w:rFonts w:hint="eastAsia"/>
          <w:color w:val="000000"/>
          <w:sz w:val="24"/>
          <w:u w:val="single"/>
        </w:rPr>
        <w:t>费用已包含在合同价中</w:t>
      </w:r>
      <w:r>
        <w:rPr>
          <w:rFonts w:hint="eastAsia"/>
          <w:bCs/>
          <w:iCs/>
          <w:color w:val="000000"/>
          <w:sz w:val="24"/>
          <w:u w:val="single"/>
        </w:rPr>
        <w:t>。</w:t>
      </w:r>
    </w:p>
    <w:p>
      <w:pPr>
        <w:spacing w:line="360" w:lineRule="auto"/>
        <w:rPr>
          <w:bCs/>
          <w:iCs/>
          <w:color w:val="000000"/>
          <w:sz w:val="24"/>
          <w:u w:val="single"/>
        </w:rPr>
      </w:pPr>
      <w:r>
        <w:rPr>
          <w:rFonts w:hint="eastAsia"/>
          <w:bCs/>
          <w:iCs/>
          <w:color w:val="000000"/>
          <w:sz w:val="24"/>
          <w:u w:val="single"/>
        </w:rPr>
        <w:t>（2）</w:t>
      </w:r>
      <w:r>
        <w:rPr>
          <w:rFonts w:hint="eastAsia" w:ascii="宋体" w:hAnsi="宋体"/>
          <w:sz w:val="24"/>
          <w:u w:val="single"/>
        </w:rPr>
        <w:t>因施工造成施工区外道路的灰土应该及时清扫。</w:t>
      </w:r>
      <w:r>
        <w:rPr>
          <w:rFonts w:hint="eastAsia"/>
          <w:bCs/>
          <w:iCs/>
          <w:color w:val="000000"/>
          <w:sz w:val="24"/>
          <w:u w:val="single"/>
        </w:rPr>
        <w:t xml:space="preserve">                                                           </w:t>
      </w:r>
    </w:p>
    <w:p>
      <w:pPr>
        <w:spacing w:line="360" w:lineRule="auto"/>
        <w:rPr>
          <w:bCs/>
          <w:iCs/>
          <w:color w:val="000000"/>
          <w:sz w:val="24"/>
          <w:u w:val="single"/>
        </w:rPr>
      </w:pPr>
      <w:r>
        <w:rPr>
          <w:rFonts w:hint="eastAsia"/>
          <w:bCs/>
          <w:iCs/>
          <w:color w:val="000000"/>
          <w:sz w:val="24"/>
          <w:u w:val="single"/>
        </w:rPr>
        <w:t>（3</w:t>
      </w:r>
      <w:r>
        <w:rPr>
          <w:bCs/>
          <w:iCs/>
          <w:color w:val="000000"/>
          <w:sz w:val="24"/>
          <w:u w:val="single"/>
        </w:rPr>
        <w:t>）承包人不得以结算未完成</w:t>
      </w:r>
      <w:r>
        <w:rPr>
          <w:rFonts w:hint="eastAsia"/>
          <w:bCs/>
          <w:iCs/>
          <w:color w:val="000000"/>
          <w:sz w:val="24"/>
          <w:u w:val="single"/>
        </w:rPr>
        <w:t>或其他原因不按发包人的要求时间</w:t>
      </w:r>
      <w:r>
        <w:rPr>
          <w:bCs/>
          <w:iCs/>
          <w:color w:val="000000"/>
          <w:sz w:val="24"/>
          <w:u w:val="single"/>
        </w:rPr>
        <w:t>退场，如果承包人未在发包人允许的合理时间内把规定的所有承包人装备、剩余材料、垃圾及各种临时设施运走，则发包人可以：</w:t>
      </w:r>
      <w:r>
        <w:rPr>
          <w:rFonts w:hint="eastAsia"/>
          <w:bCs/>
          <w:iCs/>
          <w:color w:val="000000"/>
          <w:sz w:val="24"/>
          <w:u w:val="single"/>
        </w:rPr>
        <w:t xml:space="preserve">                </w:t>
      </w:r>
    </w:p>
    <w:p>
      <w:pPr>
        <w:spacing w:line="360" w:lineRule="auto"/>
        <w:rPr>
          <w:bCs/>
          <w:iCs/>
          <w:color w:val="000000"/>
          <w:sz w:val="24"/>
          <w:u w:val="single"/>
        </w:rPr>
      </w:pPr>
      <w:r>
        <w:rPr>
          <w:bCs/>
          <w:iCs/>
          <w:color w:val="000000"/>
          <w:sz w:val="24"/>
          <w:u w:val="single"/>
        </w:rPr>
        <w:t>a、委托</w:t>
      </w:r>
      <w:r>
        <w:rPr>
          <w:rFonts w:hint="eastAsia"/>
          <w:bCs/>
          <w:iCs/>
          <w:color w:val="000000"/>
          <w:sz w:val="24"/>
          <w:u w:val="single"/>
        </w:rPr>
        <w:t>第三方</w:t>
      </w:r>
      <w:r>
        <w:rPr>
          <w:bCs/>
          <w:iCs/>
          <w:color w:val="000000"/>
          <w:sz w:val="24"/>
          <w:u w:val="single"/>
        </w:rPr>
        <w:t>将承包人装备、剩余材料及承包人的其他财产</w:t>
      </w:r>
      <w:r>
        <w:rPr>
          <w:rFonts w:hint="eastAsia"/>
          <w:bCs/>
          <w:iCs/>
          <w:color w:val="000000"/>
          <w:sz w:val="24"/>
          <w:u w:val="single"/>
        </w:rPr>
        <w:t>转移至其他地方</w:t>
      </w:r>
      <w:r>
        <w:rPr>
          <w:bCs/>
          <w:iCs/>
          <w:color w:val="000000"/>
          <w:sz w:val="24"/>
          <w:u w:val="single"/>
        </w:rPr>
        <w:t>存放；</w:t>
      </w:r>
      <w:r>
        <w:rPr>
          <w:rFonts w:hint="eastAsia"/>
          <w:bCs/>
          <w:iCs/>
          <w:color w:val="000000"/>
          <w:sz w:val="24"/>
          <w:u w:val="single"/>
        </w:rPr>
        <w:t xml:space="preserve"> </w:t>
      </w:r>
    </w:p>
    <w:p>
      <w:pPr>
        <w:spacing w:line="360" w:lineRule="auto"/>
        <w:rPr>
          <w:bCs/>
          <w:iCs/>
          <w:color w:val="000000"/>
          <w:sz w:val="24"/>
          <w:u w:val="single"/>
        </w:rPr>
      </w:pPr>
      <w:r>
        <w:rPr>
          <w:bCs/>
          <w:iCs/>
          <w:color w:val="000000"/>
          <w:sz w:val="24"/>
          <w:u w:val="single"/>
        </w:rPr>
        <w:t>b、委托</w:t>
      </w:r>
      <w:r>
        <w:rPr>
          <w:rFonts w:hint="eastAsia"/>
          <w:bCs/>
          <w:iCs/>
          <w:color w:val="000000"/>
          <w:sz w:val="24"/>
          <w:u w:val="single"/>
        </w:rPr>
        <w:t>第三方</w:t>
      </w:r>
      <w:r>
        <w:rPr>
          <w:bCs/>
          <w:iCs/>
          <w:color w:val="000000"/>
          <w:sz w:val="24"/>
          <w:u w:val="single"/>
        </w:rPr>
        <w:t>清除并运走垃</w:t>
      </w:r>
      <w:r>
        <w:rPr>
          <w:rFonts w:hint="eastAsia"/>
          <w:bCs/>
          <w:iCs/>
          <w:color w:val="000000"/>
          <w:sz w:val="24"/>
          <w:u w:val="single"/>
        </w:rPr>
        <w:t xml:space="preserve">圾、废料。                                   </w:t>
      </w:r>
    </w:p>
    <w:p>
      <w:pPr>
        <w:spacing w:line="360" w:lineRule="auto"/>
        <w:ind w:firstLine="480" w:firstLineChars="200"/>
        <w:rPr>
          <w:color w:val="000000"/>
          <w:sz w:val="24"/>
          <w:u w:val="single"/>
        </w:rPr>
      </w:pPr>
      <w:r>
        <w:rPr>
          <w:rFonts w:hint="eastAsia"/>
          <w:bCs/>
          <w:iCs/>
          <w:color w:val="000000"/>
          <w:sz w:val="24"/>
          <w:u w:val="single"/>
        </w:rPr>
        <w:t>因上述工作造成承包人财产损失的，发包人概不负责，因上述工作而发生的费用由承包人承担，发包人可从应付承包人的任何款项内扣除，若不足扣除时，发包人可作价处理承包人财产用以抵扣，或由发包人依照合同和法律从承包人处收回该款项。</w:t>
      </w:r>
      <w:bookmarkEnd w:id="424"/>
      <w:r>
        <w:rPr>
          <w:rFonts w:hint="eastAsia"/>
          <w:color w:val="000000"/>
          <w:sz w:val="24"/>
          <w:u w:val="single"/>
        </w:rPr>
        <w:t xml:space="preserve">                                                               </w:t>
      </w:r>
    </w:p>
    <w:p>
      <w:pPr>
        <w:spacing w:line="360" w:lineRule="auto"/>
        <w:rPr>
          <w:color w:val="000000"/>
          <w:sz w:val="24"/>
        </w:rPr>
      </w:pPr>
      <w:r>
        <w:rPr>
          <w:rFonts w:hint="eastAsia"/>
          <w:color w:val="000000"/>
          <w:sz w:val="24"/>
        </w:rPr>
        <w:t>约定承包人应做的其他工作及费用承担：</w:t>
      </w:r>
      <w:bookmarkStart w:id="425" w:name="约定承包人应做的其他工作及费用承担"/>
    </w:p>
    <w:p>
      <w:pPr>
        <w:spacing w:line="360" w:lineRule="auto"/>
        <w:ind w:left="600" w:hanging="600" w:hangingChars="250"/>
        <w:jc w:val="left"/>
        <w:rPr>
          <w:rFonts w:ascii="宋体" w:hAnsi="宋体"/>
          <w:iCs/>
          <w:color w:val="000000"/>
          <w:sz w:val="24"/>
          <w:u w:val="single"/>
        </w:rPr>
      </w:pPr>
      <w:r>
        <w:rPr>
          <w:rFonts w:hint="eastAsia" w:ascii="宋体" w:hAnsi="宋体"/>
          <w:iCs/>
          <w:color w:val="000000"/>
          <w:sz w:val="24"/>
        </w:rPr>
        <w:t>（1</w:t>
      </w:r>
      <w:r>
        <w:rPr>
          <w:rFonts w:ascii="宋体" w:hAnsi="宋体"/>
          <w:iCs/>
          <w:color w:val="000000"/>
          <w:sz w:val="24"/>
        </w:rPr>
        <w:t>）</w:t>
      </w:r>
      <w:r>
        <w:rPr>
          <w:rFonts w:ascii="宋体" w:hAnsi="宋体"/>
          <w:iCs/>
          <w:sz w:val="24"/>
          <w:u w:val="single"/>
        </w:rPr>
        <w:t>承包人应了解施工现场的情况，临时用水、电及通讯由承包人自行安排接驳且承担费用，水、电接驳点由发包人提供，电讯由承包人自行同电信公司联系接驳使用，并承担其相关费用；临时水电费用发包人已先行垫付，临时用电的电费和临时用水的水费由承包人承担并按月及时支付发包人，支付时间每月10日前。 电费为每度1.2元，水费为每立方6元。</w:t>
      </w:r>
      <w:r>
        <w:rPr>
          <w:rFonts w:hint="eastAsia" w:ascii="宋体" w:hAnsi="宋体"/>
          <w:iCs/>
          <w:sz w:val="24"/>
          <w:u w:val="single"/>
        </w:rPr>
        <w:t>如承包人未及时支付，发包人可在最近一次月进度款中等额扣除。</w:t>
      </w:r>
    </w:p>
    <w:p>
      <w:pPr>
        <w:spacing w:line="360" w:lineRule="auto"/>
        <w:ind w:left="600" w:hanging="600" w:hangingChars="250"/>
        <w:jc w:val="left"/>
        <w:rPr>
          <w:rFonts w:ascii="宋体" w:hAnsi="宋体"/>
          <w:iCs/>
          <w:sz w:val="24"/>
          <w:u w:val="single"/>
        </w:rPr>
      </w:pPr>
      <w:r>
        <w:rPr>
          <w:rFonts w:hint="eastAsia" w:ascii="宋体" w:hAnsi="宋体"/>
          <w:iCs/>
          <w:sz w:val="24"/>
        </w:rPr>
        <w:t>（2）</w:t>
      </w:r>
      <w:r>
        <w:rPr>
          <w:rFonts w:hint="eastAsia" w:ascii="宋体" w:hAnsi="宋体"/>
          <w:iCs/>
          <w:sz w:val="24"/>
          <w:u w:val="single"/>
        </w:rPr>
        <w:t>承包人确保其持有符合法律规定的、完成本合同项下各项工作的资质和执照，并且确保该等资质和执照在本合同履行期间持续有效，否则承包人应赔偿发包人因此遭受的损失。</w:t>
      </w:r>
    </w:p>
    <w:p>
      <w:pPr>
        <w:spacing w:line="360" w:lineRule="auto"/>
        <w:ind w:left="600" w:hanging="600" w:hangingChars="250"/>
        <w:jc w:val="left"/>
        <w:rPr>
          <w:rFonts w:ascii="宋体" w:hAnsi="宋体"/>
          <w:iCs/>
          <w:sz w:val="24"/>
          <w:u w:val="single"/>
        </w:rPr>
      </w:pPr>
      <w:r>
        <w:rPr>
          <w:rFonts w:hint="eastAsia" w:ascii="宋体" w:hAnsi="宋体"/>
          <w:iCs/>
          <w:sz w:val="24"/>
        </w:rPr>
        <w:t>（3）</w:t>
      </w:r>
      <w:r>
        <w:rPr>
          <w:rFonts w:hint="eastAsia" w:ascii="宋体" w:hAnsi="宋体"/>
          <w:iCs/>
          <w:sz w:val="24"/>
          <w:u w:val="single"/>
        </w:rPr>
        <w:t>无论是否在招标文件或本合同中提及，承包人亦应实施为履行本合同及完成工程而合理所需的所有工作。除非本合同其他条款有明确相反约定，承包人为完成承包人所有工作而发生的费用及所承担风险均已包括合同价款中。</w:t>
      </w:r>
    </w:p>
    <w:p>
      <w:pPr>
        <w:spacing w:line="360" w:lineRule="auto"/>
        <w:ind w:left="600" w:hanging="600" w:hangingChars="250"/>
        <w:jc w:val="left"/>
        <w:rPr>
          <w:rFonts w:ascii="宋体" w:hAnsi="宋体"/>
          <w:iCs/>
          <w:sz w:val="24"/>
          <w:u w:val="single"/>
        </w:rPr>
      </w:pPr>
      <w:r>
        <w:rPr>
          <w:rFonts w:hint="eastAsia" w:ascii="宋体" w:hAnsi="宋体"/>
          <w:iCs/>
          <w:sz w:val="24"/>
        </w:rPr>
        <w:t>（4）</w:t>
      </w:r>
      <w:r>
        <w:rPr>
          <w:rFonts w:hint="eastAsia" w:ascii="宋体" w:hAnsi="宋体"/>
          <w:iCs/>
          <w:sz w:val="24"/>
          <w:u w:val="single"/>
        </w:rPr>
        <w:t>如果承包人未能履行义务造成发包人损失的，承包人应赔偿发包人的损失，并承担有关政府部门的罚款（如有），如承包人经发包人书面通知仍不改正的，发包人有权自行或聘请第三方代为履行该等义务，费用由承包人承担，发包人有权进一步视情况解除本合同。</w:t>
      </w:r>
    </w:p>
    <w:p>
      <w:pPr>
        <w:spacing w:line="360" w:lineRule="auto"/>
        <w:ind w:left="600" w:hanging="600" w:hangingChars="250"/>
        <w:jc w:val="left"/>
        <w:rPr>
          <w:rFonts w:ascii="宋体" w:hAnsi="宋体"/>
          <w:iCs/>
          <w:sz w:val="24"/>
          <w:u w:val="single"/>
        </w:rPr>
      </w:pPr>
      <w:r>
        <w:rPr>
          <w:rFonts w:hint="eastAsia" w:ascii="宋体" w:hAnsi="宋体"/>
          <w:iCs/>
          <w:sz w:val="24"/>
        </w:rPr>
        <w:t>（5</w:t>
      </w:r>
      <w:r>
        <w:rPr>
          <w:rFonts w:ascii="宋体" w:hAnsi="宋体"/>
          <w:iCs/>
          <w:sz w:val="24"/>
        </w:rPr>
        <w:t>）</w:t>
      </w:r>
      <w:r>
        <w:rPr>
          <w:rFonts w:ascii="宋体" w:hAnsi="宋体"/>
          <w:iCs/>
          <w:sz w:val="24"/>
          <w:u w:val="single"/>
        </w:rPr>
        <w:t>场地内的</w:t>
      </w:r>
      <w:r>
        <w:rPr>
          <w:rFonts w:hint="eastAsia" w:ascii="宋体" w:hAnsi="宋体"/>
          <w:iCs/>
          <w:sz w:val="24"/>
          <w:u w:val="single"/>
        </w:rPr>
        <w:t>施工</w:t>
      </w:r>
      <w:r>
        <w:rPr>
          <w:rFonts w:ascii="宋体" w:hAnsi="宋体"/>
          <w:iCs/>
          <w:sz w:val="24"/>
          <w:u w:val="single"/>
        </w:rPr>
        <w:t>临时道路</w:t>
      </w:r>
      <w:r>
        <w:rPr>
          <w:rFonts w:hint="eastAsia" w:ascii="宋体" w:hAnsi="宋体"/>
          <w:iCs/>
          <w:sz w:val="24"/>
          <w:u w:val="single"/>
        </w:rPr>
        <w:t>发</w:t>
      </w:r>
      <w:r>
        <w:rPr>
          <w:rFonts w:ascii="宋体" w:hAnsi="宋体"/>
          <w:iCs/>
          <w:sz w:val="24"/>
          <w:u w:val="single"/>
        </w:rPr>
        <w:t>包人</w:t>
      </w:r>
      <w:r>
        <w:rPr>
          <w:rFonts w:hint="eastAsia" w:ascii="宋体" w:hAnsi="宋体"/>
          <w:iCs/>
          <w:sz w:val="24"/>
          <w:u w:val="single"/>
        </w:rPr>
        <w:t>已经铺设</w:t>
      </w:r>
      <w:r>
        <w:rPr>
          <w:rFonts w:ascii="宋体" w:hAnsi="宋体"/>
          <w:iCs/>
          <w:sz w:val="24"/>
          <w:u w:val="single"/>
        </w:rPr>
        <w:t>，</w:t>
      </w:r>
      <w:r>
        <w:rPr>
          <w:rFonts w:hint="eastAsia" w:ascii="宋体" w:hAnsi="宋体"/>
          <w:iCs/>
          <w:sz w:val="24"/>
          <w:u w:val="single"/>
        </w:rPr>
        <w:t>承包人如果在发包人提供的道路外还需要铺设道路的，承包人自行解决并承担费用。发包人已经铺设的道路在承包人进场后由发包人移交承包人，由承包人负责维护，同时</w:t>
      </w:r>
      <w:r>
        <w:rPr>
          <w:rFonts w:ascii="宋体" w:hAnsi="宋体"/>
          <w:iCs/>
          <w:sz w:val="24"/>
          <w:u w:val="single"/>
        </w:rPr>
        <w:t>负责提供与后续承包人的相关配合工作，各相关费用由承包人承担</w:t>
      </w:r>
      <w:r>
        <w:rPr>
          <w:rFonts w:hint="eastAsia" w:ascii="宋体" w:hAnsi="宋体"/>
          <w:iCs/>
          <w:sz w:val="24"/>
          <w:u w:val="single"/>
        </w:rPr>
        <w:t xml:space="preserve">。 </w:t>
      </w:r>
    </w:p>
    <w:p>
      <w:pPr>
        <w:spacing w:line="360" w:lineRule="auto"/>
        <w:ind w:left="600" w:hanging="600" w:hangingChars="250"/>
        <w:jc w:val="left"/>
        <w:rPr>
          <w:rFonts w:ascii="宋体" w:hAnsi="宋体"/>
          <w:iCs/>
          <w:sz w:val="24"/>
          <w:u w:val="single"/>
        </w:rPr>
      </w:pPr>
      <w:r>
        <w:rPr>
          <w:rFonts w:hint="eastAsia" w:ascii="宋体" w:hAnsi="宋体"/>
          <w:iCs/>
          <w:sz w:val="24"/>
        </w:rPr>
        <w:t>（6</w:t>
      </w:r>
      <w:r>
        <w:rPr>
          <w:rFonts w:ascii="宋体" w:hAnsi="宋体"/>
          <w:iCs/>
          <w:sz w:val="24"/>
        </w:rPr>
        <w:t>）</w:t>
      </w:r>
      <w:r>
        <w:rPr>
          <w:rFonts w:ascii="宋体" w:hAnsi="宋体"/>
          <w:iCs/>
          <w:sz w:val="24"/>
          <w:u w:val="single"/>
        </w:rPr>
        <w:t>施工过程中遇到</w:t>
      </w:r>
      <w:r>
        <w:rPr>
          <w:rFonts w:hint="eastAsia" w:ascii="宋体" w:hAnsi="宋体"/>
          <w:iCs/>
          <w:sz w:val="24"/>
          <w:u w:val="single"/>
        </w:rPr>
        <w:t>与</w:t>
      </w:r>
      <w:r>
        <w:rPr>
          <w:rFonts w:ascii="宋体" w:hAnsi="宋体"/>
          <w:iCs/>
          <w:sz w:val="24"/>
          <w:u w:val="single"/>
        </w:rPr>
        <w:t>地质资料</w:t>
      </w:r>
      <w:r>
        <w:rPr>
          <w:rFonts w:hint="eastAsia" w:ascii="宋体" w:hAnsi="宋体"/>
          <w:iCs/>
          <w:sz w:val="24"/>
          <w:u w:val="single"/>
        </w:rPr>
        <w:t>不符的实际情况</w:t>
      </w:r>
      <w:r>
        <w:rPr>
          <w:rFonts w:ascii="宋体" w:hAnsi="宋体"/>
          <w:iCs/>
          <w:sz w:val="24"/>
          <w:u w:val="single"/>
        </w:rPr>
        <w:t>，</w:t>
      </w:r>
      <w:r>
        <w:rPr>
          <w:rFonts w:hint="eastAsia" w:ascii="宋体" w:hAnsi="宋体"/>
          <w:iCs/>
          <w:sz w:val="24"/>
          <w:u w:val="single"/>
        </w:rPr>
        <w:t>承包人须及时向发包人提出；</w:t>
      </w:r>
      <w:r>
        <w:rPr>
          <w:rFonts w:ascii="宋体" w:hAnsi="宋体"/>
          <w:iCs/>
          <w:sz w:val="24"/>
          <w:u w:val="single"/>
        </w:rPr>
        <w:t>处理方案须提前报发包人批准后执行。</w:t>
      </w:r>
      <w:r>
        <w:rPr>
          <w:rFonts w:hint="eastAsia" w:ascii="宋体" w:hAnsi="宋体"/>
          <w:iCs/>
          <w:sz w:val="24"/>
          <w:u w:val="single"/>
        </w:rPr>
        <w:t xml:space="preserve"> </w:t>
      </w:r>
    </w:p>
    <w:p>
      <w:pPr>
        <w:spacing w:line="360" w:lineRule="auto"/>
        <w:ind w:left="600" w:hanging="600" w:hangingChars="250"/>
        <w:jc w:val="left"/>
        <w:rPr>
          <w:rFonts w:ascii="宋体" w:hAnsi="宋体"/>
          <w:iCs/>
          <w:sz w:val="24"/>
          <w:u w:val="single"/>
        </w:rPr>
      </w:pPr>
      <w:r>
        <w:rPr>
          <w:rFonts w:hint="eastAsia" w:ascii="宋体" w:hAnsi="宋体"/>
          <w:iCs/>
          <w:sz w:val="24"/>
        </w:rPr>
        <w:t>（7）</w:t>
      </w:r>
      <w:r>
        <w:rPr>
          <w:rFonts w:hint="eastAsia" w:ascii="宋体" w:hAnsi="宋体"/>
          <w:iCs/>
          <w:sz w:val="24"/>
          <w:u w:val="single"/>
        </w:rPr>
        <w:t xml:space="preserve">承包人在进场五天内在施工场地内车辆出入口处必须按要求完成设置洗车池，车辆驶入市政道路前必须经过洗车池冲洗，以保证出场上路的车辆的整洁情况符合要求，其修建、维护及拆除、恢复等费用全部由承包人承担。承包人承担因自身原因，违反相关规定造成的损失和违约扣款。 </w:t>
      </w:r>
    </w:p>
    <w:p>
      <w:pPr>
        <w:spacing w:line="360" w:lineRule="auto"/>
        <w:ind w:left="600" w:hanging="600" w:hangingChars="250"/>
        <w:jc w:val="left"/>
        <w:rPr>
          <w:rFonts w:ascii="宋体" w:hAnsi="宋体"/>
          <w:iCs/>
          <w:sz w:val="24"/>
          <w:u w:val="single"/>
        </w:rPr>
      </w:pPr>
      <w:r>
        <w:rPr>
          <w:rFonts w:hint="eastAsia" w:ascii="宋体" w:hAnsi="宋体"/>
          <w:iCs/>
          <w:sz w:val="24"/>
        </w:rPr>
        <w:t>（8）</w:t>
      </w:r>
      <w:r>
        <w:rPr>
          <w:rFonts w:hint="eastAsia" w:ascii="宋体" w:hAnsi="宋体"/>
          <w:iCs/>
          <w:sz w:val="24"/>
          <w:u w:val="single"/>
        </w:rPr>
        <w:t xml:space="preserve">承包人应在踏勘现场及研究地质等所有招标资料后，应根据场地排水需求设计并施工场地临时排水，保证在施工过程中设备、材料、已完工程不被水淹没，由此采取的措施所发生的一切费用均由承包人承担，由此引起的损失由承包人赔偿。 </w:t>
      </w:r>
    </w:p>
    <w:p>
      <w:pPr>
        <w:spacing w:line="360" w:lineRule="auto"/>
        <w:ind w:left="600" w:hanging="600" w:hangingChars="250"/>
        <w:jc w:val="left"/>
        <w:rPr>
          <w:rFonts w:ascii="宋体" w:hAnsi="宋体"/>
          <w:iCs/>
          <w:sz w:val="24"/>
          <w:u w:val="single"/>
        </w:rPr>
      </w:pPr>
      <w:r>
        <w:rPr>
          <w:rFonts w:hint="eastAsia" w:ascii="宋体" w:hAnsi="宋体"/>
          <w:iCs/>
          <w:sz w:val="24"/>
        </w:rPr>
        <w:t>（9）</w:t>
      </w:r>
      <w:r>
        <w:rPr>
          <w:rFonts w:hint="eastAsia" w:ascii="宋体" w:hAnsi="宋体"/>
          <w:iCs/>
          <w:sz w:val="24"/>
          <w:u w:val="single"/>
        </w:rPr>
        <w:t>各单项工程放线定位后报规划部门验线并承担相关费用。</w:t>
      </w:r>
    </w:p>
    <w:p>
      <w:pPr>
        <w:spacing w:line="360" w:lineRule="auto"/>
        <w:ind w:left="600" w:hanging="600" w:hangingChars="250"/>
        <w:jc w:val="left"/>
        <w:rPr>
          <w:rFonts w:ascii="宋体" w:hAnsi="宋体"/>
          <w:iCs/>
          <w:sz w:val="24"/>
          <w:u w:val="single"/>
        </w:rPr>
      </w:pPr>
      <w:r>
        <w:rPr>
          <w:rFonts w:hint="eastAsia" w:ascii="宋体" w:hAnsi="宋体"/>
          <w:iCs/>
          <w:sz w:val="24"/>
        </w:rPr>
        <w:t>（10）</w:t>
      </w:r>
      <w:r>
        <w:rPr>
          <w:rFonts w:hint="eastAsia" w:ascii="宋体" w:hAnsi="宋体"/>
          <w:iCs/>
          <w:sz w:val="24"/>
          <w:u w:val="single"/>
        </w:rPr>
        <w:t>在发包人许可地方自行搭建现场临时办公室、工人临时宿舍和食堂。</w:t>
      </w:r>
    </w:p>
    <w:p>
      <w:pPr>
        <w:spacing w:line="360" w:lineRule="auto"/>
        <w:ind w:left="600" w:hanging="600" w:hangingChars="250"/>
        <w:jc w:val="left"/>
        <w:rPr>
          <w:rFonts w:ascii="宋体" w:hAnsi="宋体"/>
          <w:iCs/>
          <w:sz w:val="24"/>
          <w:u w:val="single"/>
        </w:rPr>
      </w:pPr>
      <w:r>
        <w:rPr>
          <w:rFonts w:hint="eastAsia" w:ascii="宋体" w:hAnsi="宋体"/>
          <w:iCs/>
          <w:sz w:val="24"/>
        </w:rPr>
        <w:t>（11</w:t>
      </w:r>
      <w:r>
        <w:rPr>
          <w:rFonts w:ascii="宋体" w:hAnsi="宋体"/>
          <w:iCs/>
          <w:sz w:val="24"/>
        </w:rPr>
        <w:t>）</w:t>
      </w:r>
      <w:r>
        <w:rPr>
          <w:rFonts w:hint="eastAsia" w:ascii="宋体" w:hAnsi="宋体"/>
          <w:iCs/>
          <w:sz w:val="24"/>
          <w:u w:val="single"/>
        </w:rPr>
        <w:t>承包人需服从发包人及</w:t>
      </w:r>
      <w:r>
        <w:rPr>
          <w:rFonts w:ascii="宋体" w:hAnsi="宋体"/>
          <w:iCs/>
          <w:sz w:val="24"/>
          <w:u w:val="single"/>
        </w:rPr>
        <w:t>发包人指定相关管理公司</w:t>
      </w:r>
      <w:r>
        <w:rPr>
          <w:rFonts w:hint="eastAsia" w:ascii="宋体" w:hAnsi="宋体"/>
          <w:iCs/>
          <w:sz w:val="24"/>
          <w:u w:val="single"/>
        </w:rPr>
        <w:t>的管理。</w:t>
      </w:r>
    </w:p>
    <w:p>
      <w:pPr>
        <w:spacing w:line="360" w:lineRule="auto"/>
        <w:ind w:left="600" w:hanging="600" w:hangingChars="250"/>
        <w:jc w:val="left"/>
        <w:rPr>
          <w:rFonts w:ascii="宋体" w:hAnsi="宋体"/>
          <w:iCs/>
          <w:sz w:val="24"/>
          <w:u w:val="single"/>
        </w:rPr>
      </w:pPr>
      <w:r>
        <w:rPr>
          <w:rFonts w:hint="eastAsia" w:ascii="宋体" w:hAnsi="宋体"/>
          <w:iCs/>
          <w:sz w:val="24"/>
        </w:rPr>
        <w:t>（12）</w:t>
      </w:r>
      <w:r>
        <w:rPr>
          <w:rFonts w:hint="eastAsia" w:ascii="宋体" w:hAnsi="宋体"/>
          <w:iCs/>
          <w:sz w:val="24"/>
          <w:u w:val="single"/>
        </w:rPr>
        <w:t>工程交付给发包人之前，承包人应采取合理的措施或根据发包人要求的其他措施保护未完工和已完工的工程部分，如有损失或损坏的，承包人应自费予以修复，工期不予顺延，但在发生不可抗力的情况下且承包人已采取合理的保护措施的，发包人将补偿给承包人合理的修复费用。</w:t>
      </w:r>
    </w:p>
    <w:p>
      <w:pPr>
        <w:spacing w:line="360" w:lineRule="auto"/>
        <w:ind w:left="600" w:hanging="600" w:hangingChars="250"/>
        <w:jc w:val="left"/>
        <w:rPr>
          <w:rFonts w:ascii="宋体" w:hAnsi="宋体"/>
          <w:iCs/>
          <w:sz w:val="24"/>
          <w:u w:val="single"/>
        </w:rPr>
      </w:pPr>
      <w:r>
        <w:rPr>
          <w:rFonts w:hint="eastAsia" w:ascii="宋体" w:hAnsi="宋体"/>
          <w:iCs/>
          <w:sz w:val="24"/>
          <w:u w:val="single"/>
        </w:rPr>
        <w:t>（13）承包人就已运抵施工场地的、与工程有关的材料设备负有完全的保管义务，并承担其自运抵施工场地后的损坏、灭失风险，无论该等材料设备是由发包人、承包人或其他承包商提供。承包人并应为此与发包人及其他承包商就材料设备的运抵、存放、搬移等进行必要的协调并给予合理的安排，并且自承包人进场以后直至工程完成并交付发包人之前，承包人仍应始终派遣专人负责施工场地的安全和秩序。</w:t>
      </w:r>
    </w:p>
    <w:p>
      <w:pPr>
        <w:spacing w:line="360" w:lineRule="auto"/>
        <w:ind w:left="600" w:hanging="600" w:hangingChars="250"/>
        <w:jc w:val="left"/>
        <w:rPr>
          <w:rFonts w:hint="eastAsia" w:ascii="宋体" w:hAnsi="宋体"/>
          <w:iCs/>
          <w:sz w:val="24"/>
          <w:u w:val="single"/>
        </w:rPr>
      </w:pPr>
      <w:r>
        <w:rPr>
          <w:rFonts w:hint="eastAsia" w:ascii="宋体" w:hAnsi="宋体"/>
          <w:iCs/>
          <w:sz w:val="24"/>
          <w:u w:val="single"/>
        </w:rPr>
        <w:t>（14）承包人撤场时，须根据发包人指示在规定的时间内对其工作范围内的临建，包含但不限于临时板房、硬化地面、临时堆场、临时管路、与施工有关的指示牌等相关工作内容全部拆除、清理完成方可退场。此项费用包含在合同价款中。</w:t>
      </w:r>
    </w:p>
    <w:p>
      <w:pPr>
        <w:spacing w:line="360" w:lineRule="auto"/>
        <w:ind w:left="0" w:firstLine="120" w:firstLineChars="50"/>
        <w:jc w:val="left"/>
        <w:rPr>
          <w:rFonts w:hint="eastAsia" w:ascii="宋体" w:hAnsi="宋体"/>
          <w:iCs/>
          <w:color w:val="000000"/>
          <w:sz w:val="24"/>
          <w:u w:val="none"/>
        </w:rPr>
      </w:pPr>
      <w:r>
        <w:rPr>
          <w:rFonts w:hint="eastAsia" w:ascii="宋体" w:hAnsi="宋体"/>
          <w:iCs/>
          <w:sz w:val="24"/>
          <w:u w:val="none"/>
          <w:lang w:eastAsia="zh-CN"/>
        </w:rPr>
        <w:t>（</w:t>
      </w:r>
      <w:r>
        <w:rPr>
          <w:rFonts w:hint="eastAsia" w:ascii="宋体" w:hAnsi="宋体"/>
          <w:iCs/>
          <w:sz w:val="24"/>
          <w:u w:val="none"/>
          <w:lang w:val="en-US" w:eastAsia="zh-CN"/>
        </w:rPr>
        <w:t>15</w:t>
      </w:r>
      <w:r>
        <w:rPr>
          <w:rFonts w:hint="eastAsia" w:ascii="宋体" w:hAnsi="宋体"/>
          <w:iCs/>
          <w:sz w:val="24"/>
          <w:u w:val="none"/>
          <w:lang w:eastAsia="zh-CN"/>
        </w:rPr>
        <w:t>）</w:t>
      </w:r>
      <w:bookmarkEnd w:id="425"/>
      <w:r>
        <w:rPr>
          <w:rFonts w:hint="eastAsia" w:ascii="宋体" w:hAnsi="宋体"/>
          <w:iCs/>
          <w:color w:val="000000"/>
          <w:sz w:val="24"/>
          <w:u w:val="none"/>
        </w:rPr>
        <w:t>除了建设工程规划许可证之外，承包人应负责或协助办理与工程有关的所有政府部门手续，包括但不限于报建、招投标合同备案、暂估项专业分包工程合同备案、工程质量监督申报、工程安全监督申报、任何部分或阶段施工所需证件、施工临时排水许可证、批准和临时用地、停水、停电、中断道路、交通、爆破作业等、阶段及中间验收、材料及工艺核准、专项批准及验收、竣工试验、竣工验收备案、建筑档案存档（如适用）等，并在为办理该类政府部门手续所需的任何文件上签字盖章。除了明确应当由发包人承担的政府收费（并仅限于政府收费）之外，承包人为办理和（或）协助办理上述手续所发生的成本和费用已包括在合同价款内。</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承包人作为总承包方需负责对承包范围内的分包工程及分包工程分包人、专业工程承包人的全面总包管理义务，协调各分包人之间以及其它的所有协调、配合、服务工作；全面负责专业分包工程及分包工程的质量、安全、工期及管理事宜，与分包人及专业工程承包人就分包工程向发包人承担连带责任；总包服务费已包含在合同价中，由发包人统一支付，承包人不能向分包人及专业工程承包人收取，且承包人不能再以其他任何名义（如：安全保证金）向分包人及专业工程承包人收取费用，承包人工作应包括（但不限于）以下内容：</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提供在工地内已有的塔吊、脚手架等供其他承包人或分包人使用，并承担如下的管理责任：1）提供到工作面附近的临时水和电接点；2）提供现场已经存在的脚手架、工作平台、垂直运输机械、水、电和临时设施；3）提供定位放线、水平线以及测量数据；4）负责整个施工区的保卫安全及工程的保护；5）竣工验收正式移交发包人前的成品保护及安保由承包人负责。</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(2)在工地内提供足够及合理并符合发包人要求标准的卫生设施供各分包人、专业工程承包人共同使用，并负责定时清理和保养直至不再需要时拆除。</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(3)提供自用的办公场地及材料堆放场地。</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(4)为其他承包人提供运输条件和作业面。</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(5)提供工地上通路供共同使用，并提供施工场地；清除分包人、专业工程承包人施工界面内的障碍，为他们提供所需的工作面。</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 xml:space="preserve">   (6)负责现场安全防护设施的搭建和拆除。</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(7)负责其施工范围内的现场安全保卫。</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(8)提供临时施工用水至各楼层，施工用电至各层二级配电箱。</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(9)在公共区，如楼梯间、井道等处设置照明装置并进行维护。</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(10) 承包人可指示分包人、专业工程承包人将其垃圾运至现场指定位置，由承包人统一运离工地；已包含场内的清理、运输以及垃圾外运等一切费用。</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(11)提供现场经纬、水准测量点网、1米线及建筑放线，对所提供数据的准确性负责。</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(12)负责组织分包人、专业工程承包人施工项目的质量检查和施工验收，并负责统一准备和报送工程验收资料。</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(13)根据分包设计图纸，配合分包人和其他承包人进行已有洞口、线槽等位置的纠偏，费用由责任方承担。</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(14)对分包人、专业工程承包人负责的工程施工后的留洞、凹口、凹槽等进行填补、灌浆、修整及装潢以达到有关规范要求的标准。</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(15)提供分包人、专业工程承包人负责的工程所需的、可充分保障施工场地内安全的围网、围板等。</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(16)对工地红线范围内作全面的看管以防盗窃及破坏。在工程进行期间提供足够临时照明及电力和试验所需负荷；承包人须提供足够及合理的接驳点供分包人、专业工程承包人使用，并提供电梯及机电设备等调试所需的电力；在有需要时提供临时发电机组。</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(17)在工程进行期间提供足够的临时用水；承包人须提供足够及合理的接驳点供分包人、专业工程承包人使用。</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(18)对分包人、专业工程承包人已完成并移交承包人的工程作出保护以防损坏，包括作出防水、防风、防雨的措施。</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(19)在分包人、专业工程承包人负责的工程实施过程中，如出现水电超标、脚手架使用、垂直运输机械使用等纠纷，承包人自行与分包人、专业工程承包人协商解决。</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(20)提供工地上现成的装置及机械如塔吊、人货两用梯等给分包人、专业工程承包人作卸货及水平及垂直的运输用。</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(21)清理分包人、专业工程承包人负责的工程中产生的垃圾和废料，清理费已包含在报价中。</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(22)工程整体完成时，进行全面的清理，达到使用方的移交标准，清理费已包含在报价中。</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(23)提供标高、定位的基本点和线给分包人、专业工程承包人。</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(24)浇筑混凝土前，需主动与分包人、专业工程承包人联系以明确预留配件、预埋套筒、管子槽、孔洞、标眼等的位置，并给予分包人、专业工程承包人足够的时间去放置电缆、电线管、其他管道、预留配件等。孔洞等之附加钢筋亦须承包人负责，此等钢筋将不会分开量度，而是被视为已包括在合同价款内；包括工程完工后的填补与修复工作（如用水泥砂浆等材料填实、为外露的电线、管道批灰等必要工作），且不管是否由设计院，发包人或第三方造成的预留洞，承包人都应负责最后修补。</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(25)预留管子槽、孔洞、标眼等，预埋套筒，使用后予以填充密封，并在包围电线、电缆、管道的缝隙以适当的胶泥填充；穿过混凝土结构之预埋套管内外空隙的填充需达到有关的消防要求。</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(26)以水泥砂浆填实设备、框架与建筑结构之间的缝隙空间。</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(27)为外露的电线、管道批灰、上油漆。</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(28)进行一般的修补工作。</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(29)承包人必须做到安全施工、文明施工，按国家及**市的相关规定做好必要的环保、防护设施。</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 xml:space="preserve">(30)承包人必须做到绿色施工。  </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 xml:space="preserve">（31）负责办理对甲供材料及设备的进出场（项目现场）手续，协调施工现场内运输路线，提供材料及设备的堆放场地，并协助对甲供材料及设备进行保管。 </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（32）总分包合同签订及备案，负责各分包单位竣工资料的收集、审核、盖章和归档。</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（33）暂估价部分履约保函开具。</w:t>
      </w:r>
    </w:p>
    <w:p>
      <w:pPr>
        <w:spacing w:line="360" w:lineRule="auto"/>
        <w:ind w:left="0" w:firstLine="120" w:firstLineChars="50"/>
        <w:jc w:val="left"/>
        <w:rPr>
          <w:rFonts w:hint="eastAsia" w:ascii="宋体" w:hAnsi="宋体"/>
          <w:iCs/>
          <w:color w:val="000000"/>
          <w:sz w:val="24"/>
          <w:u w:val="none"/>
        </w:rPr>
      </w:pPr>
      <w:r>
        <w:rPr>
          <w:rFonts w:hint="eastAsia" w:ascii="宋体" w:hAnsi="宋体"/>
          <w:iCs/>
          <w:color w:val="000000"/>
          <w:sz w:val="24"/>
          <w:u w:val="none"/>
        </w:rPr>
        <w:t>（34）承担专业分包工程的政府报建并接受政府相关部门监管。</w:t>
      </w:r>
    </w:p>
    <w:p>
      <w:pPr>
        <w:spacing w:line="360" w:lineRule="auto"/>
        <w:ind w:left="0" w:firstLine="120" w:firstLineChars="50"/>
        <w:jc w:val="left"/>
        <w:rPr>
          <w:rFonts w:hint="eastAsia" w:ascii="宋体" w:hAnsi="宋体"/>
          <w:iCs/>
          <w:color w:val="000000"/>
          <w:sz w:val="24"/>
        </w:rPr>
      </w:pPr>
      <w:r>
        <w:rPr>
          <w:rFonts w:hint="eastAsia" w:ascii="宋体" w:hAnsi="宋体"/>
          <w:iCs/>
          <w:color w:val="000000"/>
          <w:sz w:val="24"/>
          <w:u w:val="none"/>
        </w:rPr>
        <w:t>（35）为专业工程承包人及暂估项分包人能够按时完成其工程提供必须的工作界面。</w:t>
      </w:r>
    </w:p>
    <w:p>
      <w:pPr>
        <w:spacing w:line="360" w:lineRule="auto"/>
        <w:rPr>
          <w:b/>
          <w:color w:val="000000"/>
          <w:sz w:val="30"/>
          <w:szCs w:val="30"/>
        </w:rPr>
      </w:pPr>
      <w:bookmarkStart w:id="426" w:name="_Toc47425599"/>
      <w:bookmarkStart w:id="427" w:name="_Toc84303926"/>
      <w:bookmarkStart w:id="428" w:name="_Toc35656525"/>
      <w:r>
        <w:rPr>
          <w:rFonts w:hint="eastAsia"/>
          <w:b/>
          <w:color w:val="000000"/>
          <w:sz w:val="30"/>
          <w:szCs w:val="30"/>
        </w:rPr>
        <w:t>四、工程管理人员的职责和权力</w:t>
      </w:r>
      <w:bookmarkEnd w:id="426"/>
      <w:bookmarkEnd w:id="427"/>
      <w:bookmarkEnd w:id="428"/>
    </w:p>
    <w:p>
      <w:pPr>
        <w:spacing w:line="360" w:lineRule="auto"/>
        <w:rPr>
          <w:color w:val="000000"/>
          <w:sz w:val="28"/>
          <w:szCs w:val="28"/>
        </w:rPr>
      </w:pPr>
      <w:bookmarkStart w:id="429" w:name="_Toc35656526"/>
      <w:r>
        <w:rPr>
          <w:rFonts w:hint="eastAsia"/>
          <w:color w:val="000000"/>
          <w:sz w:val="28"/>
          <w:szCs w:val="28"/>
        </w:rPr>
        <w:t>11 工程师</w:t>
      </w:r>
      <w:bookmarkEnd w:id="429"/>
    </w:p>
    <w:p>
      <w:pPr>
        <w:spacing w:line="360" w:lineRule="auto"/>
        <w:rPr>
          <w:color w:val="000000"/>
          <w:sz w:val="24"/>
        </w:rPr>
      </w:pPr>
      <w:r>
        <w:rPr>
          <w:rFonts w:hint="eastAsia"/>
          <w:color w:val="000000"/>
          <w:sz w:val="24"/>
        </w:rPr>
        <w:t>11.1发包人指定的工程师姓名：</w:t>
      </w:r>
      <w:r>
        <w:rPr>
          <w:rFonts w:hint="eastAsia"/>
          <w:color w:val="000000"/>
          <w:sz w:val="24"/>
          <w:u w:val="single"/>
        </w:rPr>
        <w:t xml:space="preserve">        </w:t>
      </w:r>
    </w:p>
    <w:p>
      <w:pPr>
        <w:spacing w:line="360" w:lineRule="auto"/>
        <w:rPr>
          <w:color w:val="000000"/>
          <w:sz w:val="24"/>
        </w:rPr>
      </w:pPr>
      <w:r>
        <w:rPr>
          <w:rFonts w:hint="eastAsia"/>
          <w:color w:val="000000"/>
          <w:sz w:val="24"/>
        </w:rPr>
        <w:t>11.3其他需要取得发包人批准的权力：</w:t>
      </w:r>
      <w:bookmarkStart w:id="430" w:name="其他需要取得发包人批准的权力"/>
      <w:r>
        <w:rPr>
          <w:rFonts w:hint="eastAsia"/>
          <w:color w:val="000000"/>
          <w:sz w:val="24"/>
          <w:u w:val="single"/>
        </w:rPr>
        <w:t xml:space="preserve">         </w:t>
      </w:r>
      <w:bookmarkEnd w:id="430"/>
      <w:r>
        <w:rPr>
          <w:rFonts w:hint="eastAsia"/>
          <w:color w:val="000000"/>
          <w:sz w:val="24"/>
          <w:u w:val="single"/>
        </w:rPr>
        <w:t xml:space="preserve">                              </w:t>
      </w:r>
    </w:p>
    <w:p>
      <w:pPr>
        <w:spacing w:line="360" w:lineRule="auto"/>
        <w:rPr>
          <w:color w:val="000000"/>
          <w:sz w:val="28"/>
          <w:szCs w:val="28"/>
        </w:rPr>
      </w:pPr>
      <w:bookmarkStart w:id="431" w:name="_Toc35656527"/>
      <w:r>
        <w:rPr>
          <w:rFonts w:hint="eastAsia"/>
          <w:color w:val="000000"/>
          <w:sz w:val="28"/>
          <w:szCs w:val="28"/>
        </w:rPr>
        <w:t>12 项目经理</w:t>
      </w:r>
      <w:bookmarkEnd w:id="431"/>
    </w:p>
    <w:p>
      <w:pPr>
        <w:spacing w:line="360" w:lineRule="auto"/>
        <w:rPr>
          <w:color w:val="000000"/>
          <w:sz w:val="24"/>
          <w:u w:val="single"/>
        </w:rPr>
      </w:pPr>
      <w:r>
        <w:rPr>
          <w:rFonts w:hint="eastAsia"/>
          <w:color w:val="000000"/>
          <w:sz w:val="24"/>
        </w:rPr>
        <w:t>12.1项目经理的姓名：</w:t>
      </w:r>
      <w:r>
        <w:rPr>
          <w:rFonts w:hint="eastAsia"/>
          <w:color w:val="000000"/>
          <w:sz w:val="24"/>
          <w:u w:val="single"/>
        </w:rPr>
        <w:t xml:space="preserve">     </w:t>
      </w:r>
      <w:bookmarkStart w:id="432" w:name="项目经理的姓名"/>
      <w:r>
        <w:rPr>
          <w:rFonts w:hint="eastAsia"/>
          <w:color w:val="000000"/>
          <w:sz w:val="24"/>
          <w:u w:val="single"/>
        </w:rPr>
        <w:t xml:space="preserve"> </w:t>
      </w:r>
      <w:bookmarkEnd w:id="432"/>
      <w:r>
        <w:rPr>
          <w:rFonts w:hint="eastAsia"/>
          <w:color w:val="000000"/>
          <w:sz w:val="24"/>
        </w:rPr>
        <w:t>；项目经理的邮箱：</w:t>
      </w:r>
      <w:r>
        <w:rPr>
          <w:rFonts w:hint="eastAsia"/>
          <w:color w:val="000000"/>
          <w:sz w:val="24"/>
          <w:u w:val="single"/>
        </w:rPr>
        <w:t xml:space="preserve">        ；</w:t>
      </w:r>
    </w:p>
    <w:p>
      <w:pPr>
        <w:spacing w:line="360" w:lineRule="auto"/>
        <w:rPr>
          <w:color w:val="000000"/>
          <w:sz w:val="24"/>
        </w:rPr>
      </w:pPr>
      <w:r>
        <w:rPr>
          <w:rFonts w:hint="eastAsia"/>
          <w:color w:val="000000"/>
          <w:sz w:val="24"/>
        </w:rPr>
        <w:t>12.3 项目经理与投标文件承诺不一致或未及时到位发包人将按照下列方式对承包人进行处罚：</w:t>
      </w:r>
    </w:p>
    <w:p>
      <w:pPr>
        <w:spacing w:line="360" w:lineRule="auto"/>
        <w:rPr>
          <w:color w:val="000000"/>
          <w:sz w:val="24"/>
        </w:rPr>
      </w:pPr>
      <w:r>
        <w:rPr>
          <w:rFonts w:hint="eastAsia"/>
          <w:color w:val="000000"/>
          <w:sz w:val="24"/>
        </w:rPr>
        <w:t xml:space="preserve">     </w:t>
      </w:r>
      <w:r>
        <w:rPr>
          <w:rFonts w:hint="eastAsia"/>
          <w:color w:val="000000"/>
          <w:sz w:val="24"/>
          <w:u w:val="single"/>
        </w:rPr>
        <w:t>承包人擅自更换项目经理的按照违约处理，并按照</w:t>
      </w:r>
      <w:r>
        <w:rPr>
          <w:rFonts w:hint="eastAsia"/>
          <w:color w:val="000000"/>
          <w:sz w:val="24"/>
          <w:u w:val="single"/>
          <w:lang w:val="en-US" w:eastAsia="zh-CN"/>
        </w:rPr>
        <w:t>20</w:t>
      </w:r>
      <w:r>
        <w:rPr>
          <w:rFonts w:hint="eastAsia"/>
          <w:color w:val="000000"/>
          <w:sz w:val="24"/>
          <w:u w:val="single"/>
        </w:rPr>
        <w:t>万元/次向发包人支付违约金；由于项目经理达不到发包人要求必须更换的，承包人需在7天内按照要求更换，未按要求更换的，每逾期一天向发包人支付1万元违约金；项目经理在施工期间未经发包人的同意离开施工现场的，按照违约处理，并按照5万元/人/天向发包人支付违约金；不足一天按一天计算。</w:t>
      </w:r>
    </w:p>
    <w:p>
      <w:pPr>
        <w:spacing w:line="360" w:lineRule="auto"/>
        <w:rPr>
          <w:b/>
          <w:color w:val="000000"/>
          <w:sz w:val="30"/>
          <w:szCs w:val="30"/>
        </w:rPr>
      </w:pPr>
      <w:bookmarkStart w:id="433" w:name="_Toc35656528"/>
      <w:bookmarkStart w:id="434" w:name="_Toc47425600"/>
      <w:bookmarkStart w:id="435" w:name="_Toc84303927"/>
      <w:r>
        <w:rPr>
          <w:rFonts w:hint="eastAsia"/>
          <w:b/>
          <w:color w:val="000000"/>
          <w:sz w:val="30"/>
          <w:szCs w:val="30"/>
        </w:rPr>
        <w:t>五、转让、</w:t>
      </w:r>
      <w:bookmarkEnd w:id="433"/>
      <w:bookmarkEnd w:id="434"/>
      <w:bookmarkEnd w:id="435"/>
      <w:r>
        <w:rPr>
          <w:rFonts w:hint="eastAsia"/>
          <w:b/>
          <w:color w:val="000000"/>
          <w:sz w:val="30"/>
          <w:szCs w:val="30"/>
        </w:rPr>
        <w:t>分包和专业工程发包</w:t>
      </w:r>
    </w:p>
    <w:p>
      <w:pPr>
        <w:spacing w:line="360" w:lineRule="auto"/>
        <w:rPr>
          <w:color w:val="000000"/>
          <w:sz w:val="28"/>
          <w:szCs w:val="28"/>
        </w:rPr>
      </w:pPr>
      <w:bookmarkStart w:id="436" w:name="_Toc35656529"/>
      <w:r>
        <w:rPr>
          <w:rFonts w:hint="eastAsia"/>
          <w:color w:val="000000"/>
          <w:sz w:val="28"/>
          <w:szCs w:val="28"/>
        </w:rPr>
        <w:t>14 分包</w:t>
      </w:r>
    </w:p>
    <w:p>
      <w:pPr>
        <w:spacing w:line="360" w:lineRule="auto"/>
        <w:rPr>
          <w:color w:val="000000"/>
          <w:sz w:val="24"/>
        </w:rPr>
      </w:pPr>
      <w:r>
        <w:rPr>
          <w:rFonts w:hint="eastAsia"/>
          <w:color w:val="000000"/>
          <w:sz w:val="24"/>
        </w:rPr>
        <w:t>14.1 分包工程及分包人名称：</w:t>
      </w:r>
    </w:p>
    <w:p>
      <w:pPr>
        <w:spacing w:line="360" w:lineRule="auto"/>
        <w:rPr>
          <w:color w:val="000000"/>
          <w:sz w:val="24"/>
        </w:rPr>
      </w:pPr>
      <w:r>
        <w:rPr>
          <w:rFonts w:hint="eastAsia"/>
          <w:color w:val="000000"/>
          <w:sz w:val="24"/>
        </w:rPr>
        <w:t>⑴.分包工程：</w:t>
      </w:r>
      <w:r>
        <w:rPr>
          <w:rFonts w:hint="eastAsia"/>
          <w:color w:val="000000"/>
          <w:sz w:val="24"/>
          <w:u w:val="single"/>
        </w:rPr>
        <w:t xml:space="preserve">     /        </w:t>
      </w:r>
    </w:p>
    <w:p>
      <w:pPr>
        <w:spacing w:line="360" w:lineRule="auto"/>
        <w:rPr>
          <w:b/>
          <w:bCs/>
          <w:color w:val="000000"/>
          <w:sz w:val="24"/>
          <w:u w:val="single"/>
        </w:rPr>
      </w:pPr>
      <w:r>
        <w:rPr>
          <w:rFonts w:hint="eastAsia"/>
          <w:color w:val="000000"/>
          <w:sz w:val="28"/>
          <w:szCs w:val="28"/>
        </w:rPr>
        <w:t xml:space="preserve">15 </w:t>
      </w:r>
      <w:bookmarkEnd w:id="436"/>
      <w:r>
        <w:rPr>
          <w:rFonts w:hint="eastAsia"/>
          <w:color w:val="000000"/>
          <w:sz w:val="28"/>
          <w:szCs w:val="28"/>
        </w:rPr>
        <w:t>专业工程发包</w:t>
      </w:r>
      <w:r>
        <w:rPr>
          <w:rFonts w:hint="eastAsia"/>
          <w:color w:val="000000"/>
          <w:sz w:val="24"/>
        </w:rPr>
        <w:t>：</w:t>
      </w:r>
      <w:r>
        <w:rPr>
          <w:rFonts w:hint="eastAsia"/>
          <w:color w:val="000000"/>
          <w:sz w:val="24"/>
          <w:u w:val="single"/>
        </w:rPr>
        <w:t xml:space="preserve">   </w:t>
      </w:r>
      <w:r>
        <w:rPr>
          <w:rFonts w:hint="eastAsia"/>
          <w:color w:val="000000"/>
          <w:sz w:val="24"/>
          <w:u w:val="single"/>
          <w:lang w:val="en-US" w:eastAsia="zh-CN"/>
        </w:rPr>
        <w:t>详见补充条款</w:t>
      </w:r>
      <w:r>
        <w:rPr>
          <w:rFonts w:hint="eastAsia"/>
          <w:color w:val="000000"/>
          <w:sz w:val="24"/>
          <w:u w:val="single"/>
        </w:rPr>
        <w:t xml:space="preserve">       </w:t>
      </w:r>
    </w:p>
    <w:p>
      <w:pPr>
        <w:spacing w:line="360" w:lineRule="auto"/>
        <w:rPr>
          <w:b/>
          <w:color w:val="000000"/>
          <w:sz w:val="30"/>
          <w:szCs w:val="30"/>
        </w:rPr>
      </w:pPr>
      <w:bookmarkStart w:id="437" w:name="_Toc47425601"/>
      <w:bookmarkStart w:id="438" w:name="_Toc84303928"/>
      <w:bookmarkStart w:id="439" w:name="_Toc35656530"/>
    </w:p>
    <w:p>
      <w:pPr>
        <w:spacing w:line="360" w:lineRule="auto"/>
        <w:rPr>
          <w:b/>
          <w:color w:val="000000"/>
          <w:sz w:val="30"/>
          <w:szCs w:val="30"/>
        </w:rPr>
      </w:pPr>
      <w:r>
        <w:rPr>
          <w:rFonts w:hint="eastAsia"/>
          <w:b/>
          <w:color w:val="000000"/>
          <w:sz w:val="30"/>
          <w:szCs w:val="30"/>
        </w:rPr>
        <w:t>六、施工准备工作</w:t>
      </w:r>
      <w:bookmarkEnd w:id="437"/>
      <w:bookmarkEnd w:id="438"/>
      <w:bookmarkEnd w:id="439"/>
    </w:p>
    <w:p>
      <w:pPr>
        <w:spacing w:line="360" w:lineRule="auto"/>
        <w:rPr>
          <w:color w:val="000000"/>
          <w:sz w:val="28"/>
          <w:szCs w:val="28"/>
        </w:rPr>
      </w:pPr>
      <w:bookmarkStart w:id="440" w:name="_Toc35656531"/>
      <w:r>
        <w:rPr>
          <w:rFonts w:hint="eastAsia"/>
          <w:color w:val="000000"/>
          <w:sz w:val="28"/>
          <w:szCs w:val="28"/>
        </w:rPr>
        <w:t>16 施工组织设计和进度计划</w:t>
      </w:r>
      <w:bookmarkEnd w:id="440"/>
    </w:p>
    <w:p>
      <w:pPr>
        <w:spacing w:line="360" w:lineRule="auto"/>
        <w:rPr>
          <w:color w:val="000000"/>
          <w:sz w:val="24"/>
        </w:rPr>
      </w:pPr>
      <w:r>
        <w:rPr>
          <w:rFonts w:hint="eastAsia"/>
          <w:color w:val="000000"/>
          <w:sz w:val="24"/>
        </w:rPr>
        <w:t>16.1单项工程名称</w:t>
      </w:r>
      <w:bookmarkStart w:id="441" w:name="单项工程名称"/>
      <w:r>
        <w:rPr>
          <w:rFonts w:hint="eastAsia"/>
          <w:color w:val="000000"/>
          <w:sz w:val="24"/>
        </w:rPr>
        <w:t>：</w:t>
      </w:r>
      <w:r>
        <w:rPr>
          <w:rFonts w:hint="eastAsia"/>
          <w:color w:val="000000"/>
          <w:sz w:val="24"/>
          <w:u w:val="single"/>
        </w:rPr>
        <w:t>广州华星第8.6代氧化物半导体新型显示器件生产线项目（ph2）洁净机电工程施工总承包。</w:t>
      </w:r>
      <w:bookmarkEnd w:id="441"/>
    </w:p>
    <w:p>
      <w:pPr>
        <w:spacing w:line="360" w:lineRule="auto"/>
        <w:rPr>
          <w:color w:val="000000"/>
          <w:sz w:val="24"/>
          <w:u w:val="single"/>
        </w:rPr>
      </w:pPr>
      <w:r>
        <w:rPr>
          <w:rFonts w:hint="eastAsia"/>
          <w:color w:val="000000"/>
          <w:sz w:val="24"/>
        </w:rPr>
        <w:t>16.2承包人提供施工组织设计和工程进度计划的时间和要求：</w:t>
      </w:r>
      <w:r>
        <w:rPr>
          <w:rFonts w:hint="eastAsia"/>
          <w:color w:val="000000"/>
          <w:sz w:val="24"/>
          <w:u w:val="single"/>
        </w:rPr>
        <w:t>收到中标通知书后</w:t>
      </w:r>
      <w:r>
        <w:rPr>
          <w:color w:val="000000"/>
          <w:sz w:val="24"/>
          <w:u w:val="single"/>
        </w:rPr>
        <w:t>3</w:t>
      </w:r>
      <w:r>
        <w:rPr>
          <w:rFonts w:hint="eastAsia"/>
          <w:color w:val="000000"/>
          <w:sz w:val="24"/>
          <w:u w:val="single"/>
        </w:rPr>
        <w:t>日之内，承包人向发包人提交符合工程实际情况的施工组织设计和工程进度计划，详细说明整个工程的总进度计划、劳动力计划、机械设备进场计划、材料计划、需配合的事项、可能遇到的不利因素及相应的措施等，承包人必须按发包人工程师、项目管理单位和监理单位确认的进度计划组织施工，接受发包人工程师、项目管理单位和监理单位对进度的检查和监督；如承包人实际进度与已确认总进度计划每滞后</w:t>
      </w:r>
      <w:r>
        <w:rPr>
          <w:color w:val="000000"/>
          <w:sz w:val="24"/>
          <w:u w:val="single"/>
        </w:rPr>
        <w:t>1天，</w:t>
      </w:r>
      <w:r>
        <w:rPr>
          <w:rFonts w:hint="eastAsia"/>
          <w:color w:val="000000"/>
          <w:sz w:val="24"/>
          <w:u w:val="single"/>
        </w:rPr>
        <w:t>暂扣10</w:t>
      </w:r>
      <w:r>
        <w:rPr>
          <w:color w:val="000000"/>
          <w:sz w:val="24"/>
          <w:u w:val="single"/>
        </w:rPr>
        <w:t>万元</w:t>
      </w:r>
      <w:r>
        <w:rPr>
          <w:rFonts w:hint="eastAsia"/>
          <w:color w:val="000000"/>
          <w:sz w:val="24"/>
          <w:u w:val="single"/>
        </w:rPr>
        <w:t xml:space="preserve">作为违约金，如果采取纠偏措施实际进度满足已确认的总进度计划或总工期达到合同规定，发包人返还暂扣的违约金。 </w:t>
      </w:r>
    </w:p>
    <w:p>
      <w:pPr>
        <w:spacing w:line="360" w:lineRule="auto"/>
        <w:rPr>
          <w:color w:val="000000"/>
          <w:sz w:val="24"/>
        </w:rPr>
      </w:pPr>
      <w:r>
        <w:rPr>
          <w:rFonts w:hint="eastAsia"/>
          <w:color w:val="000000"/>
          <w:sz w:val="24"/>
          <w:u w:val="single"/>
        </w:rPr>
        <w:t>承包人</w:t>
      </w:r>
      <w:r>
        <w:rPr>
          <w:color w:val="000000"/>
          <w:sz w:val="24"/>
          <w:u w:val="single"/>
        </w:rPr>
        <w:t>每周例会前2天报下周进度计划。在施工过程中</w:t>
      </w:r>
      <w:r>
        <w:rPr>
          <w:rFonts w:hint="eastAsia"/>
          <w:color w:val="000000"/>
          <w:sz w:val="24"/>
          <w:u w:val="single"/>
        </w:rPr>
        <w:t>，</w:t>
      </w:r>
      <w:r>
        <w:rPr>
          <w:color w:val="000000"/>
          <w:sz w:val="24"/>
          <w:u w:val="single"/>
        </w:rPr>
        <w:t>工程实际进度与经确认的施工组织设计和工程进度不符时，承包人应按现场</w:t>
      </w:r>
      <w:r>
        <w:rPr>
          <w:rFonts w:hint="eastAsia"/>
          <w:color w:val="000000"/>
          <w:sz w:val="24"/>
          <w:u w:val="single"/>
        </w:rPr>
        <w:t>发包人、项目管理单位和监理单位</w:t>
      </w:r>
      <w:r>
        <w:rPr>
          <w:color w:val="000000"/>
          <w:sz w:val="24"/>
          <w:u w:val="single"/>
        </w:rPr>
        <w:t>的要求提出改进措施，经</w:t>
      </w:r>
      <w:r>
        <w:rPr>
          <w:rFonts w:hint="eastAsia"/>
          <w:color w:val="000000"/>
          <w:sz w:val="24"/>
          <w:u w:val="single"/>
        </w:rPr>
        <w:t>发包人</w:t>
      </w:r>
      <w:r>
        <w:rPr>
          <w:color w:val="000000"/>
          <w:sz w:val="24"/>
          <w:u w:val="single"/>
        </w:rPr>
        <w:t>确认后执行，</w:t>
      </w:r>
      <w:r>
        <w:rPr>
          <w:rFonts w:hint="eastAsia"/>
          <w:color w:val="000000"/>
          <w:sz w:val="24"/>
          <w:u w:val="single"/>
        </w:rPr>
        <w:t>如</w:t>
      </w:r>
      <w:r>
        <w:rPr>
          <w:color w:val="000000"/>
          <w:sz w:val="24"/>
          <w:u w:val="single"/>
        </w:rPr>
        <w:t>实际进度与进度计划不符，承包人</w:t>
      </w:r>
      <w:r>
        <w:rPr>
          <w:rFonts w:hint="eastAsia"/>
          <w:color w:val="000000"/>
          <w:sz w:val="24"/>
          <w:u w:val="single"/>
        </w:rPr>
        <w:t xml:space="preserve">应采取赶工措施，承包人不能就此赶工措施索要额外的费用、要求延长工期。                                           </w:t>
      </w:r>
    </w:p>
    <w:p>
      <w:pPr>
        <w:spacing w:line="360" w:lineRule="auto"/>
        <w:rPr>
          <w:color w:val="000000"/>
          <w:sz w:val="24"/>
          <w:u w:val="single"/>
        </w:rPr>
      </w:pPr>
      <w:r>
        <w:rPr>
          <w:rFonts w:hint="eastAsia"/>
          <w:color w:val="000000"/>
          <w:sz w:val="24"/>
        </w:rPr>
        <w:t>工程师确认的时间：</w:t>
      </w:r>
      <w:r>
        <w:rPr>
          <w:rFonts w:hint="eastAsia"/>
          <w:color w:val="000000"/>
          <w:sz w:val="24"/>
          <w:u w:val="single"/>
        </w:rPr>
        <w:t xml:space="preserve"> 发包人工程师收到承包人提交的施工组织设计和工程进度计划后七天内予以确认或提出修改意见。 </w:t>
      </w:r>
    </w:p>
    <w:p>
      <w:pPr>
        <w:spacing w:line="360" w:lineRule="auto"/>
        <w:ind w:firstLine="480" w:firstLineChars="200"/>
        <w:rPr>
          <w:color w:val="000000"/>
          <w:sz w:val="24"/>
        </w:rPr>
      </w:pPr>
      <w:r>
        <w:rPr>
          <w:rFonts w:hint="eastAsia"/>
          <w:color w:val="000000"/>
          <w:sz w:val="24"/>
        </w:rPr>
        <w:t>承包人根据工程师的合理意见提交修改后的施工组织设计和工程进度计划的时间和要求：</w:t>
      </w:r>
      <w:r>
        <w:rPr>
          <w:rFonts w:hint="eastAsia"/>
          <w:color w:val="000000"/>
          <w:sz w:val="24"/>
          <w:u w:val="single"/>
        </w:rPr>
        <w:t xml:space="preserve"> 二天内      </w:t>
      </w:r>
      <w:r>
        <w:rPr>
          <w:rFonts w:hint="eastAsia"/>
          <w:color w:val="000000"/>
          <w:sz w:val="24"/>
        </w:rPr>
        <w:t xml:space="preserve"> </w:t>
      </w:r>
    </w:p>
    <w:p>
      <w:pPr>
        <w:spacing w:line="360" w:lineRule="auto"/>
        <w:rPr>
          <w:color w:val="000000"/>
          <w:sz w:val="28"/>
          <w:szCs w:val="28"/>
        </w:rPr>
      </w:pPr>
      <w:bookmarkStart w:id="442" w:name="_Toc35656532"/>
      <w:r>
        <w:rPr>
          <w:rFonts w:hint="eastAsia"/>
          <w:color w:val="000000"/>
          <w:sz w:val="28"/>
          <w:szCs w:val="28"/>
        </w:rPr>
        <w:t>17 施工现场准备</w:t>
      </w:r>
      <w:bookmarkEnd w:id="442"/>
    </w:p>
    <w:p>
      <w:pPr>
        <w:spacing w:line="360" w:lineRule="auto"/>
        <w:rPr>
          <w:color w:val="000000"/>
          <w:sz w:val="24"/>
          <w:u w:val="single"/>
        </w:rPr>
      </w:pPr>
      <w:r>
        <w:rPr>
          <w:rFonts w:hint="eastAsia"/>
          <w:color w:val="000000"/>
          <w:sz w:val="24"/>
        </w:rPr>
        <w:t>17.9发包人提供给承包人的工地范围、时间及次序约定：</w:t>
      </w:r>
      <w:r>
        <w:rPr>
          <w:rFonts w:hint="eastAsia"/>
          <w:color w:val="000000"/>
          <w:sz w:val="24"/>
          <w:u w:val="single"/>
        </w:rPr>
        <w:t xml:space="preserve">按经发包人审定的施工组织设计实施。 </w:t>
      </w:r>
    </w:p>
    <w:p>
      <w:pPr>
        <w:adjustRightInd w:val="0"/>
        <w:snapToGrid w:val="0"/>
        <w:spacing w:line="360" w:lineRule="auto"/>
        <w:ind w:firstLine="480" w:firstLineChars="200"/>
        <w:rPr>
          <w:rFonts w:ascii="宋体" w:hAnsi="宋体"/>
          <w:kern w:val="0"/>
          <w:szCs w:val="21"/>
          <w:u w:val="single"/>
        </w:rPr>
      </w:pPr>
      <w:r>
        <w:rPr>
          <w:rFonts w:hint="eastAsia"/>
          <w:color w:val="000000"/>
          <w:sz w:val="24"/>
        </w:rPr>
        <w:t>17.11红线外临时占地租用费用承担约定：</w:t>
      </w:r>
    </w:p>
    <w:p>
      <w:pPr>
        <w:adjustRightInd w:val="0"/>
        <w:snapToGrid w:val="0"/>
        <w:spacing w:line="360" w:lineRule="auto"/>
        <w:ind w:firstLine="480" w:firstLineChars="200"/>
        <w:rPr>
          <w:color w:val="000000"/>
          <w:sz w:val="24"/>
          <w:u w:val="single"/>
        </w:rPr>
      </w:pPr>
      <w:r>
        <w:rPr>
          <w:rFonts w:hint="eastAsia"/>
          <w:color w:val="000000"/>
          <w:sz w:val="24"/>
          <w:u w:val="single"/>
        </w:rPr>
        <w:t>①发包人为承包人提供办公及部分加工区用地，承包人用地使用时限不超过2024年6月30日日，承包人自行承担建设和拆除费用，并在拆除时满足发包人要求，若承包人在约定的时间内不拆除相应的办公及加工区设施，发包人有权拆除提供土地上的相关设施，费用由承包人承担；②承包人管理人员办公及加工区用地规划需经发包人批准。承包人需提供5套临建的最终竣工图纸；③承包人在踏勘现场后，根据工程需要考虑红线外临时占地租用费用的，相关手续及费用均由承包人自行承担。承包人应在投标前对现场进行踏勘，在投标时予以充分考虑。临时用地租赁完毕后，承包人应自费恢复临时用地的原始条件；④承包人不得在本项目用地红线内进行临建搭设。</w:t>
      </w:r>
    </w:p>
    <w:p>
      <w:pPr>
        <w:spacing w:line="360" w:lineRule="auto"/>
        <w:rPr>
          <w:b/>
          <w:color w:val="000000"/>
          <w:sz w:val="30"/>
          <w:szCs w:val="30"/>
        </w:rPr>
      </w:pPr>
      <w:bookmarkStart w:id="443" w:name="_Toc84303929"/>
      <w:bookmarkStart w:id="444" w:name="_Toc35656533"/>
      <w:bookmarkStart w:id="445" w:name="_Toc47425602"/>
      <w:r>
        <w:rPr>
          <w:rFonts w:hint="eastAsia"/>
          <w:b/>
          <w:color w:val="000000"/>
          <w:sz w:val="30"/>
          <w:szCs w:val="30"/>
        </w:rPr>
        <w:t>七、开工、竣工、工期和暂时停工</w:t>
      </w:r>
      <w:bookmarkEnd w:id="443"/>
      <w:bookmarkEnd w:id="444"/>
      <w:bookmarkEnd w:id="445"/>
    </w:p>
    <w:p>
      <w:pPr>
        <w:spacing w:line="360" w:lineRule="auto"/>
        <w:rPr>
          <w:color w:val="000000"/>
          <w:sz w:val="28"/>
          <w:szCs w:val="28"/>
        </w:rPr>
      </w:pPr>
      <w:bookmarkStart w:id="446" w:name="_Toc35656534"/>
      <w:r>
        <w:rPr>
          <w:rFonts w:hint="eastAsia"/>
          <w:color w:val="000000"/>
          <w:sz w:val="28"/>
          <w:szCs w:val="28"/>
        </w:rPr>
        <w:t>20 工期及延误</w:t>
      </w:r>
      <w:bookmarkEnd w:id="446"/>
    </w:p>
    <w:p>
      <w:pPr>
        <w:spacing w:line="360" w:lineRule="auto"/>
        <w:rPr>
          <w:color w:val="000000"/>
          <w:sz w:val="24"/>
          <w:u w:val="single"/>
        </w:rPr>
      </w:pPr>
      <w:bookmarkStart w:id="447" w:name="专用条款单项工程工期约定"/>
      <w:r>
        <w:rPr>
          <w:rFonts w:hint="eastAsia"/>
          <w:color w:val="000000"/>
          <w:sz w:val="24"/>
        </w:rPr>
        <w:t>20.1开工日期：</w:t>
      </w:r>
      <w:r>
        <w:rPr>
          <w:rFonts w:hint="eastAsia"/>
          <w:color w:val="000000"/>
          <w:sz w:val="24"/>
          <w:u w:val="single"/>
        </w:rPr>
        <w:t xml:space="preserve">  </w:t>
      </w:r>
      <w:r>
        <w:rPr>
          <w:color w:val="000000"/>
          <w:sz w:val="24"/>
          <w:u w:val="single"/>
        </w:rPr>
        <w:t>202</w:t>
      </w:r>
      <w:r>
        <w:rPr>
          <w:rFonts w:hint="eastAsia"/>
          <w:color w:val="000000"/>
          <w:sz w:val="24"/>
          <w:u w:val="single"/>
          <w:lang w:val="en-US" w:eastAsia="zh-CN"/>
        </w:rPr>
        <w:t>3</w:t>
      </w:r>
      <w:r>
        <w:rPr>
          <w:rFonts w:hint="eastAsia"/>
          <w:color w:val="000000"/>
          <w:sz w:val="24"/>
          <w:u w:val="single"/>
        </w:rPr>
        <w:t>年</w:t>
      </w:r>
      <w:r>
        <w:rPr>
          <w:rFonts w:hint="eastAsia"/>
          <w:color w:val="000000"/>
          <w:sz w:val="24"/>
          <w:u w:val="single"/>
          <w:lang w:val="en-US" w:eastAsia="zh-CN"/>
        </w:rPr>
        <w:t>10</w:t>
      </w:r>
      <w:r>
        <w:rPr>
          <w:rFonts w:hint="eastAsia"/>
          <w:color w:val="000000"/>
          <w:sz w:val="24"/>
          <w:u w:val="single"/>
        </w:rPr>
        <w:t>月</w:t>
      </w:r>
      <w:r>
        <w:rPr>
          <w:rFonts w:hint="eastAsia"/>
          <w:color w:val="000000"/>
          <w:sz w:val="24"/>
          <w:u w:val="single"/>
          <w:lang w:val="en-US" w:eastAsia="zh-CN"/>
        </w:rPr>
        <w:t>15</w:t>
      </w:r>
      <w:r>
        <w:rPr>
          <w:rFonts w:hint="eastAsia"/>
          <w:color w:val="000000"/>
          <w:sz w:val="24"/>
          <w:u w:val="single"/>
        </w:rPr>
        <w:t xml:space="preserve">日 </w:t>
      </w:r>
    </w:p>
    <w:p>
      <w:pPr>
        <w:spacing w:line="360" w:lineRule="auto"/>
        <w:rPr>
          <w:color w:val="000000"/>
          <w:sz w:val="24"/>
          <w:u w:val="single"/>
        </w:rPr>
      </w:pPr>
      <w:r>
        <w:rPr>
          <w:rFonts w:hint="eastAsia"/>
          <w:color w:val="000000"/>
          <w:sz w:val="24"/>
        </w:rPr>
        <w:t>竣工日期：</w:t>
      </w:r>
      <w:r>
        <w:rPr>
          <w:rFonts w:hint="eastAsia"/>
          <w:color w:val="000000"/>
          <w:sz w:val="24"/>
          <w:u w:val="single"/>
        </w:rPr>
        <w:t xml:space="preserve">    </w:t>
      </w:r>
      <w:bookmarkStart w:id="448" w:name="专用条款竣工日期"/>
      <w:r>
        <w:rPr>
          <w:rFonts w:hint="eastAsia"/>
          <w:color w:val="000000"/>
          <w:sz w:val="24"/>
          <w:u w:val="single"/>
        </w:rPr>
        <w:t xml:space="preserve">  </w:t>
      </w:r>
      <w:r>
        <w:rPr>
          <w:color w:val="000000"/>
          <w:sz w:val="24"/>
          <w:u w:val="single"/>
        </w:rPr>
        <w:t>202</w:t>
      </w:r>
      <w:r>
        <w:rPr>
          <w:rFonts w:hint="eastAsia"/>
          <w:color w:val="000000"/>
          <w:sz w:val="24"/>
          <w:u w:val="single"/>
          <w:lang w:val="en-US" w:eastAsia="zh-CN"/>
        </w:rPr>
        <w:t>4</w:t>
      </w:r>
      <w:r>
        <w:rPr>
          <w:rFonts w:hint="eastAsia"/>
          <w:color w:val="000000"/>
          <w:sz w:val="24"/>
          <w:u w:val="single"/>
        </w:rPr>
        <w:t>年</w:t>
      </w:r>
      <w:r>
        <w:rPr>
          <w:rFonts w:hint="eastAsia"/>
          <w:color w:val="000000"/>
          <w:sz w:val="24"/>
          <w:u w:val="single"/>
          <w:lang w:val="en-US" w:eastAsia="zh-CN"/>
        </w:rPr>
        <w:t>12</w:t>
      </w:r>
      <w:r>
        <w:rPr>
          <w:rFonts w:hint="eastAsia"/>
          <w:color w:val="000000"/>
          <w:sz w:val="24"/>
          <w:u w:val="single"/>
        </w:rPr>
        <w:t>月</w:t>
      </w:r>
      <w:r>
        <w:rPr>
          <w:rFonts w:hint="eastAsia"/>
          <w:color w:val="000000"/>
          <w:sz w:val="24"/>
          <w:u w:val="single"/>
          <w:lang w:val="en-US" w:eastAsia="zh-CN"/>
        </w:rPr>
        <w:t>31</w:t>
      </w:r>
      <w:r>
        <w:rPr>
          <w:rFonts w:hint="eastAsia"/>
          <w:color w:val="000000"/>
          <w:sz w:val="24"/>
          <w:u w:val="single"/>
        </w:rPr>
        <w:t xml:space="preserve">日       </w:t>
      </w:r>
      <w:bookmarkEnd w:id="448"/>
      <w:r>
        <w:rPr>
          <w:rFonts w:hint="eastAsia"/>
          <w:color w:val="000000"/>
          <w:sz w:val="24"/>
          <w:u w:val="single"/>
        </w:rPr>
        <w:t xml:space="preserve">                           </w:t>
      </w:r>
    </w:p>
    <w:p>
      <w:pPr>
        <w:spacing w:line="360" w:lineRule="auto"/>
        <w:rPr>
          <w:color w:val="000000"/>
          <w:sz w:val="24"/>
          <w:u w:val="single"/>
        </w:rPr>
      </w:pPr>
      <w:r>
        <w:rPr>
          <w:rFonts w:hint="eastAsia"/>
          <w:color w:val="000000"/>
          <w:sz w:val="24"/>
        </w:rPr>
        <w:t>合同工期总日历天数：</w:t>
      </w:r>
      <w:r>
        <w:rPr>
          <w:rFonts w:hint="eastAsia"/>
          <w:color w:val="000000"/>
          <w:sz w:val="24"/>
          <w:u w:val="single"/>
        </w:rPr>
        <w:t xml:space="preserve"> </w:t>
      </w:r>
      <w:bookmarkStart w:id="449" w:name="专用条款合同工期总日历天数"/>
      <w:r>
        <w:rPr>
          <w:rFonts w:hint="eastAsia"/>
          <w:color w:val="000000"/>
          <w:sz w:val="24"/>
          <w:u w:val="single"/>
          <w:lang w:val="en-US" w:eastAsia="zh-CN"/>
        </w:rPr>
        <w:t>444</w:t>
      </w:r>
      <w:r>
        <w:rPr>
          <w:color w:val="000000"/>
          <w:sz w:val="24"/>
          <w:u w:val="single"/>
        </w:rPr>
        <w:t>天</w:t>
      </w:r>
      <w:r>
        <w:rPr>
          <w:rFonts w:hint="eastAsia"/>
          <w:color w:val="000000"/>
          <w:sz w:val="24"/>
          <w:u w:val="single"/>
        </w:rPr>
        <w:t xml:space="preserve">   </w:t>
      </w:r>
      <w:bookmarkEnd w:id="449"/>
      <w:r>
        <w:rPr>
          <w:rFonts w:hint="eastAsia"/>
          <w:color w:val="000000"/>
          <w:sz w:val="24"/>
          <w:u w:val="single"/>
        </w:rPr>
        <w:t xml:space="preserve">                               </w:t>
      </w:r>
    </w:p>
    <w:p>
      <w:pPr>
        <w:spacing w:line="360" w:lineRule="auto"/>
        <w:rPr>
          <w:rFonts w:hint="eastAsia"/>
          <w:color w:val="000000"/>
          <w:sz w:val="24"/>
        </w:rPr>
      </w:pPr>
    </w:p>
    <w:p>
      <w:pPr>
        <w:spacing w:line="360" w:lineRule="auto"/>
        <w:rPr>
          <w:rFonts w:hint="eastAsia"/>
          <w:color w:val="000000"/>
          <w:sz w:val="24"/>
        </w:rPr>
      </w:pPr>
      <w:r>
        <w:rPr>
          <w:rFonts w:hint="eastAsia"/>
          <w:color w:val="000000"/>
          <w:sz w:val="24"/>
        </w:rPr>
        <w:t>单项工程工期约定：</w:t>
      </w:r>
    </w:p>
    <w:p>
      <w:pPr>
        <w:spacing w:line="360" w:lineRule="auto"/>
        <w:rPr>
          <w:rFonts w:hint="eastAsia"/>
          <w:color w:val="000000"/>
          <w:sz w:val="24"/>
        </w:rPr>
      </w:pPr>
    </w:p>
    <w:tbl>
      <w:tblPr>
        <w:tblStyle w:val="45"/>
        <w:tblW w:w="8181" w:type="dxa"/>
        <w:tblInd w:w="-5" w:type="dxa"/>
        <w:tblLayout w:type="fixed"/>
        <w:tblCellMar>
          <w:top w:w="0" w:type="dxa"/>
          <w:left w:w="108" w:type="dxa"/>
          <w:bottom w:w="0" w:type="dxa"/>
          <w:right w:w="108" w:type="dxa"/>
        </w:tblCellMar>
      </w:tblPr>
      <w:tblGrid>
        <w:gridCol w:w="712"/>
        <w:gridCol w:w="3362"/>
        <w:gridCol w:w="2463"/>
        <w:gridCol w:w="237"/>
        <w:gridCol w:w="1407"/>
      </w:tblGrid>
      <w:tr>
        <w:tblPrEx>
          <w:tblCellMar>
            <w:top w:w="0" w:type="dxa"/>
            <w:left w:w="108" w:type="dxa"/>
            <w:bottom w:w="0" w:type="dxa"/>
            <w:right w:w="108" w:type="dxa"/>
          </w:tblCellMar>
        </w:tblPrEx>
        <w:trPr>
          <w:trHeight w:val="270" w:hRule="atLeast"/>
        </w:trPr>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auto"/>
              <w:jc w:val="center"/>
              <w:rPr>
                <w:color w:val="000000"/>
                <w:sz w:val="24"/>
              </w:rPr>
            </w:pPr>
            <w:r>
              <w:rPr>
                <w:rFonts w:hint="eastAsia"/>
                <w:color w:val="000000"/>
                <w:sz w:val="24"/>
              </w:rPr>
              <w:t>序号</w:t>
            </w:r>
          </w:p>
        </w:tc>
        <w:tc>
          <w:tcPr>
            <w:tcW w:w="3362" w:type="dxa"/>
            <w:tcBorders>
              <w:top w:val="single" w:color="auto" w:sz="4" w:space="0"/>
              <w:left w:val="nil"/>
              <w:bottom w:val="single" w:color="auto" w:sz="4" w:space="0"/>
              <w:right w:val="single" w:color="auto" w:sz="4" w:space="0"/>
            </w:tcBorders>
            <w:shd w:val="clear" w:color="000000" w:fill="FFFFFF"/>
            <w:vAlign w:val="center"/>
          </w:tcPr>
          <w:p>
            <w:pPr>
              <w:spacing w:line="360" w:lineRule="auto"/>
              <w:jc w:val="center"/>
              <w:rPr>
                <w:color w:val="000000"/>
                <w:sz w:val="24"/>
              </w:rPr>
            </w:pPr>
            <w:r>
              <w:rPr>
                <w:rFonts w:hint="eastAsia"/>
                <w:color w:val="000000"/>
                <w:sz w:val="24"/>
              </w:rPr>
              <w:t>洁净机电总承包工程</w:t>
            </w:r>
          </w:p>
        </w:tc>
        <w:tc>
          <w:tcPr>
            <w:tcW w:w="2463" w:type="dxa"/>
            <w:tcBorders>
              <w:top w:val="single" w:color="auto" w:sz="4" w:space="0"/>
              <w:left w:val="nil"/>
              <w:bottom w:val="single" w:color="auto" w:sz="4" w:space="0"/>
              <w:right w:val="single" w:color="auto" w:sz="4" w:space="0"/>
            </w:tcBorders>
            <w:shd w:val="clear" w:color="000000" w:fill="FFFFFF"/>
            <w:vAlign w:val="center"/>
          </w:tcPr>
          <w:p>
            <w:pPr>
              <w:spacing w:line="360" w:lineRule="auto"/>
              <w:jc w:val="center"/>
              <w:rPr>
                <w:color w:val="000000"/>
                <w:sz w:val="24"/>
              </w:rPr>
            </w:pPr>
            <w:r>
              <w:rPr>
                <w:rFonts w:hint="eastAsia"/>
                <w:color w:val="000000"/>
                <w:sz w:val="24"/>
              </w:rPr>
              <w:t>里程碑节点</w:t>
            </w:r>
          </w:p>
        </w:tc>
        <w:tc>
          <w:tcPr>
            <w:tcW w:w="1644" w:type="dxa"/>
            <w:gridSpan w:val="2"/>
            <w:tcBorders>
              <w:top w:val="single" w:color="auto" w:sz="4" w:space="0"/>
              <w:left w:val="nil"/>
              <w:bottom w:val="single" w:color="auto" w:sz="4" w:space="0"/>
              <w:right w:val="single" w:color="auto" w:sz="4" w:space="0"/>
            </w:tcBorders>
            <w:shd w:val="clear" w:color="000000" w:fill="FFFFFF"/>
            <w:vAlign w:val="center"/>
          </w:tcPr>
          <w:p>
            <w:pPr>
              <w:spacing w:line="360" w:lineRule="auto"/>
              <w:jc w:val="center"/>
              <w:rPr>
                <w:color w:val="000000"/>
                <w:sz w:val="24"/>
              </w:rPr>
            </w:pPr>
            <w:r>
              <w:rPr>
                <w:rFonts w:hint="eastAsia"/>
                <w:color w:val="000000"/>
                <w:sz w:val="24"/>
              </w:rPr>
              <w:t>里程碑评级</w:t>
            </w:r>
          </w:p>
        </w:tc>
      </w:tr>
      <w:tr>
        <w:tblPrEx>
          <w:tblCellMar>
            <w:top w:w="0" w:type="dxa"/>
            <w:left w:w="108" w:type="dxa"/>
            <w:bottom w:w="0" w:type="dxa"/>
            <w:right w:w="108" w:type="dxa"/>
          </w:tblCellMar>
        </w:tblPrEx>
        <w:trPr>
          <w:trHeight w:val="285" w:hRule="atLeast"/>
        </w:trPr>
        <w:tc>
          <w:tcPr>
            <w:tcW w:w="71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color w:val="000000"/>
                <w:sz w:val="24"/>
              </w:rPr>
            </w:pPr>
            <w:r>
              <w:rPr>
                <w:rFonts w:hint="eastAsia"/>
                <w:color w:val="000000"/>
                <w:sz w:val="24"/>
              </w:rPr>
              <w:t>1</w:t>
            </w:r>
          </w:p>
        </w:tc>
        <w:tc>
          <w:tcPr>
            <w:tcW w:w="3362" w:type="dxa"/>
            <w:tcBorders>
              <w:top w:val="nil"/>
              <w:left w:val="nil"/>
              <w:bottom w:val="single" w:color="auto" w:sz="4" w:space="0"/>
              <w:right w:val="single" w:color="auto" w:sz="4" w:space="0"/>
            </w:tcBorders>
            <w:shd w:val="clear" w:color="000000" w:fill="FFFFFF"/>
            <w:vAlign w:val="center"/>
          </w:tcPr>
          <w:p>
            <w:pPr>
              <w:spacing w:line="360" w:lineRule="auto"/>
              <w:rPr>
                <w:color w:val="000000"/>
                <w:sz w:val="24"/>
                <w:u w:val="single"/>
              </w:rPr>
            </w:pPr>
            <w:r>
              <w:rPr>
                <w:rFonts w:hint="eastAsia"/>
                <w:color w:val="000000"/>
                <w:sz w:val="24"/>
                <w:u w:val="single"/>
              </w:rPr>
              <w:t>洁净机电总承包进厂</w:t>
            </w:r>
          </w:p>
        </w:tc>
        <w:tc>
          <w:tcPr>
            <w:tcW w:w="2700" w:type="dxa"/>
            <w:gridSpan w:val="2"/>
            <w:tcBorders>
              <w:top w:val="nil"/>
              <w:left w:val="nil"/>
              <w:bottom w:val="nil"/>
              <w:right w:val="single" w:color="auto" w:sz="4" w:space="0"/>
            </w:tcBorders>
            <w:shd w:val="clear" w:color="auto" w:fill="auto"/>
            <w:noWrap/>
            <w:vAlign w:val="center"/>
          </w:tcPr>
          <w:p>
            <w:pPr>
              <w:spacing w:line="360" w:lineRule="auto"/>
              <w:ind w:firstLine="240" w:firstLineChars="100"/>
              <w:rPr>
                <w:color w:val="000000"/>
                <w:sz w:val="24"/>
              </w:rPr>
            </w:pPr>
            <w:r>
              <w:rPr>
                <w:rFonts w:hint="eastAsia"/>
                <w:color w:val="000000"/>
                <w:sz w:val="24"/>
              </w:rPr>
              <w:t>2</w:t>
            </w:r>
            <w:r>
              <w:rPr>
                <w:color w:val="000000"/>
                <w:sz w:val="24"/>
              </w:rPr>
              <w:t>023</w:t>
            </w:r>
            <w:r>
              <w:rPr>
                <w:rFonts w:hint="eastAsia"/>
                <w:color w:val="000000"/>
                <w:sz w:val="24"/>
              </w:rPr>
              <w:t xml:space="preserve">年 </w:t>
            </w:r>
            <w:r>
              <w:rPr>
                <w:color w:val="000000"/>
                <w:sz w:val="24"/>
              </w:rPr>
              <w:t>10</w:t>
            </w:r>
            <w:r>
              <w:rPr>
                <w:rFonts w:hint="eastAsia"/>
                <w:color w:val="000000"/>
                <w:sz w:val="24"/>
              </w:rPr>
              <w:t>月</w:t>
            </w:r>
            <w:r>
              <w:rPr>
                <w:color w:val="000000"/>
                <w:sz w:val="24"/>
              </w:rPr>
              <w:t>15</w:t>
            </w:r>
            <w:r>
              <w:rPr>
                <w:rFonts w:hint="eastAsia"/>
                <w:color w:val="000000"/>
                <w:sz w:val="24"/>
              </w:rPr>
              <w:t xml:space="preserve"> 日</w:t>
            </w:r>
          </w:p>
        </w:tc>
        <w:tc>
          <w:tcPr>
            <w:tcW w:w="1407"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color w:val="000000"/>
                <w:sz w:val="24"/>
              </w:rPr>
            </w:pPr>
            <w:r>
              <w:rPr>
                <w:color w:val="000000"/>
                <w:sz w:val="24"/>
              </w:rPr>
              <w:t>A</w:t>
            </w:r>
          </w:p>
        </w:tc>
      </w:tr>
      <w:tr>
        <w:tblPrEx>
          <w:tblCellMar>
            <w:top w:w="0" w:type="dxa"/>
            <w:left w:w="108" w:type="dxa"/>
            <w:bottom w:w="0" w:type="dxa"/>
            <w:right w:w="108" w:type="dxa"/>
          </w:tblCellMar>
        </w:tblPrEx>
        <w:trPr>
          <w:trHeight w:val="285" w:hRule="atLeast"/>
        </w:trPr>
        <w:tc>
          <w:tcPr>
            <w:tcW w:w="71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color w:val="000000"/>
                <w:sz w:val="24"/>
              </w:rPr>
            </w:pPr>
            <w:r>
              <w:rPr>
                <w:rFonts w:hint="eastAsia"/>
                <w:color w:val="000000"/>
                <w:sz w:val="24"/>
              </w:rPr>
              <w:t>2</w:t>
            </w:r>
          </w:p>
        </w:tc>
        <w:tc>
          <w:tcPr>
            <w:tcW w:w="3362" w:type="dxa"/>
            <w:tcBorders>
              <w:top w:val="nil"/>
              <w:left w:val="nil"/>
              <w:bottom w:val="single" w:color="auto" w:sz="4" w:space="0"/>
              <w:right w:val="single" w:color="auto" w:sz="4" w:space="0"/>
            </w:tcBorders>
            <w:shd w:val="clear" w:color="000000" w:fill="FFFFFF"/>
            <w:vAlign w:val="center"/>
          </w:tcPr>
          <w:p>
            <w:pPr>
              <w:spacing w:line="360" w:lineRule="auto"/>
              <w:rPr>
                <w:color w:val="000000"/>
                <w:sz w:val="24"/>
                <w:u w:val="single"/>
              </w:rPr>
            </w:pPr>
            <w:r>
              <w:rPr>
                <w:rFonts w:hint="eastAsia"/>
                <w:color w:val="000000"/>
                <w:sz w:val="24"/>
                <w:u w:val="single"/>
              </w:rPr>
              <w:t>洁净室临时正压</w:t>
            </w:r>
          </w:p>
        </w:tc>
        <w:tc>
          <w:tcPr>
            <w:tcW w:w="2700" w:type="dxa"/>
            <w:gridSpan w:val="2"/>
            <w:tcBorders>
              <w:top w:val="single" w:color="auto" w:sz="4" w:space="0"/>
              <w:left w:val="nil"/>
              <w:bottom w:val="single" w:color="auto" w:sz="4" w:space="0"/>
              <w:right w:val="single" w:color="auto" w:sz="4" w:space="0"/>
            </w:tcBorders>
            <w:shd w:val="clear" w:color="000000" w:fill="FFFFFF"/>
            <w:vAlign w:val="center"/>
          </w:tcPr>
          <w:p>
            <w:pPr>
              <w:spacing w:line="360" w:lineRule="auto"/>
              <w:ind w:firstLine="240" w:firstLineChars="100"/>
              <w:rPr>
                <w:color w:val="000000"/>
                <w:sz w:val="24"/>
              </w:rPr>
            </w:pPr>
            <w:r>
              <w:rPr>
                <w:rFonts w:hint="eastAsia"/>
                <w:color w:val="000000"/>
                <w:sz w:val="24"/>
              </w:rPr>
              <w:t>2</w:t>
            </w:r>
            <w:r>
              <w:rPr>
                <w:color w:val="000000"/>
                <w:sz w:val="24"/>
              </w:rPr>
              <w:t>024</w:t>
            </w:r>
            <w:r>
              <w:rPr>
                <w:rFonts w:hint="eastAsia"/>
                <w:color w:val="000000"/>
                <w:sz w:val="24"/>
              </w:rPr>
              <w:t xml:space="preserve">年 </w:t>
            </w:r>
            <w:r>
              <w:rPr>
                <w:color w:val="000000"/>
                <w:sz w:val="24"/>
              </w:rPr>
              <w:t>1</w:t>
            </w:r>
            <w:r>
              <w:rPr>
                <w:rFonts w:hint="eastAsia"/>
                <w:color w:val="000000"/>
                <w:sz w:val="24"/>
              </w:rPr>
              <w:t xml:space="preserve"> 月 </w:t>
            </w:r>
            <w:r>
              <w:rPr>
                <w:color w:val="000000"/>
                <w:sz w:val="24"/>
              </w:rPr>
              <w:t>30</w:t>
            </w:r>
            <w:r>
              <w:rPr>
                <w:rFonts w:hint="eastAsia"/>
                <w:color w:val="000000"/>
                <w:sz w:val="24"/>
              </w:rPr>
              <w:t xml:space="preserve"> 日</w:t>
            </w:r>
          </w:p>
        </w:tc>
        <w:tc>
          <w:tcPr>
            <w:tcW w:w="1407" w:type="dxa"/>
            <w:tcBorders>
              <w:top w:val="nil"/>
              <w:left w:val="nil"/>
              <w:bottom w:val="single" w:color="auto" w:sz="4" w:space="0"/>
              <w:right w:val="single" w:color="auto" w:sz="4" w:space="0"/>
            </w:tcBorders>
            <w:shd w:val="clear" w:color="000000" w:fill="FFFFFF"/>
            <w:vAlign w:val="center"/>
          </w:tcPr>
          <w:p>
            <w:pPr>
              <w:spacing w:line="360" w:lineRule="auto"/>
              <w:jc w:val="center"/>
              <w:rPr>
                <w:color w:val="000000"/>
                <w:sz w:val="24"/>
              </w:rPr>
            </w:pPr>
            <w:r>
              <w:rPr>
                <w:color w:val="000000"/>
                <w:sz w:val="24"/>
              </w:rPr>
              <w:t>B</w:t>
            </w:r>
          </w:p>
        </w:tc>
      </w:tr>
      <w:tr>
        <w:tblPrEx>
          <w:tblCellMar>
            <w:top w:w="0" w:type="dxa"/>
            <w:left w:w="108" w:type="dxa"/>
            <w:bottom w:w="0" w:type="dxa"/>
            <w:right w:w="108" w:type="dxa"/>
          </w:tblCellMar>
        </w:tblPrEx>
        <w:trPr>
          <w:trHeight w:val="270" w:hRule="atLeast"/>
        </w:trPr>
        <w:tc>
          <w:tcPr>
            <w:tcW w:w="712" w:type="dxa"/>
            <w:tcBorders>
              <w:top w:val="nil"/>
              <w:left w:val="single" w:color="auto" w:sz="4" w:space="0"/>
              <w:bottom w:val="single" w:color="auto" w:sz="4" w:space="0"/>
              <w:right w:val="single" w:color="auto" w:sz="4" w:space="0"/>
            </w:tcBorders>
            <w:shd w:val="clear" w:color="auto" w:fill="auto"/>
            <w:noWrap/>
            <w:vAlign w:val="center"/>
          </w:tcPr>
          <w:p>
            <w:pPr>
              <w:spacing w:line="360" w:lineRule="auto"/>
              <w:jc w:val="center"/>
              <w:rPr>
                <w:color w:val="000000"/>
                <w:sz w:val="24"/>
              </w:rPr>
            </w:pPr>
            <w:r>
              <w:rPr>
                <w:rFonts w:hint="eastAsia"/>
                <w:color w:val="000000"/>
                <w:sz w:val="24"/>
              </w:rPr>
              <w:t>3</w:t>
            </w:r>
          </w:p>
        </w:tc>
        <w:tc>
          <w:tcPr>
            <w:tcW w:w="3362" w:type="dxa"/>
            <w:tcBorders>
              <w:top w:val="nil"/>
              <w:left w:val="nil"/>
              <w:bottom w:val="single" w:color="auto" w:sz="4" w:space="0"/>
              <w:right w:val="single" w:color="auto" w:sz="4" w:space="0"/>
            </w:tcBorders>
            <w:shd w:val="clear" w:color="000000" w:fill="FFFFFF"/>
            <w:vAlign w:val="center"/>
          </w:tcPr>
          <w:p>
            <w:pPr>
              <w:spacing w:line="360" w:lineRule="auto"/>
              <w:rPr>
                <w:color w:val="000000"/>
                <w:sz w:val="24"/>
                <w:u w:val="single"/>
              </w:rPr>
            </w:pPr>
            <w:r>
              <w:rPr>
                <w:rFonts w:hint="eastAsia"/>
                <w:color w:val="000000"/>
                <w:sz w:val="24"/>
                <w:u w:val="single"/>
              </w:rPr>
              <w:t>搬入机台区域消防水送水完成</w:t>
            </w:r>
          </w:p>
        </w:tc>
        <w:tc>
          <w:tcPr>
            <w:tcW w:w="2700" w:type="dxa"/>
            <w:gridSpan w:val="2"/>
            <w:tcBorders>
              <w:top w:val="nil"/>
              <w:left w:val="nil"/>
              <w:bottom w:val="single" w:color="auto" w:sz="4" w:space="0"/>
              <w:right w:val="single" w:color="auto" w:sz="4" w:space="0"/>
            </w:tcBorders>
            <w:shd w:val="clear" w:color="000000" w:fill="FFFFFF"/>
            <w:vAlign w:val="center"/>
          </w:tcPr>
          <w:p>
            <w:pPr>
              <w:spacing w:line="360" w:lineRule="auto"/>
              <w:ind w:firstLine="240" w:firstLineChars="100"/>
              <w:rPr>
                <w:color w:val="000000"/>
                <w:sz w:val="24"/>
              </w:rPr>
            </w:pPr>
            <w:r>
              <w:rPr>
                <w:rFonts w:hint="eastAsia"/>
                <w:color w:val="000000"/>
                <w:sz w:val="24"/>
              </w:rPr>
              <w:t>2</w:t>
            </w:r>
            <w:r>
              <w:rPr>
                <w:color w:val="000000"/>
                <w:sz w:val="24"/>
              </w:rPr>
              <w:t>024</w:t>
            </w:r>
            <w:r>
              <w:rPr>
                <w:rFonts w:hint="eastAsia"/>
                <w:color w:val="000000"/>
                <w:sz w:val="24"/>
              </w:rPr>
              <w:t xml:space="preserve">年 </w:t>
            </w:r>
            <w:r>
              <w:rPr>
                <w:color w:val="000000"/>
                <w:sz w:val="24"/>
              </w:rPr>
              <w:t>3</w:t>
            </w:r>
            <w:r>
              <w:rPr>
                <w:rFonts w:hint="eastAsia"/>
                <w:color w:val="000000"/>
                <w:sz w:val="24"/>
              </w:rPr>
              <w:t xml:space="preserve"> 月 </w:t>
            </w:r>
            <w:r>
              <w:rPr>
                <w:color w:val="000000"/>
                <w:sz w:val="24"/>
              </w:rPr>
              <w:t>22</w:t>
            </w:r>
            <w:r>
              <w:rPr>
                <w:rFonts w:hint="eastAsia"/>
                <w:color w:val="000000"/>
                <w:sz w:val="24"/>
              </w:rPr>
              <w:t xml:space="preserve"> 日</w:t>
            </w:r>
          </w:p>
        </w:tc>
        <w:tc>
          <w:tcPr>
            <w:tcW w:w="1407" w:type="dxa"/>
            <w:tcBorders>
              <w:top w:val="nil"/>
              <w:left w:val="nil"/>
              <w:bottom w:val="single" w:color="auto" w:sz="4" w:space="0"/>
              <w:right w:val="single" w:color="auto" w:sz="4" w:space="0"/>
            </w:tcBorders>
            <w:shd w:val="clear" w:color="000000" w:fill="FFFFFF"/>
            <w:vAlign w:val="center"/>
          </w:tcPr>
          <w:p>
            <w:pPr>
              <w:spacing w:line="360" w:lineRule="auto"/>
              <w:jc w:val="center"/>
              <w:rPr>
                <w:color w:val="000000"/>
                <w:sz w:val="24"/>
              </w:rPr>
            </w:pPr>
            <w:r>
              <w:rPr>
                <w:color w:val="000000"/>
                <w:sz w:val="24"/>
              </w:rPr>
              <w:t>B</w:t>
            </w:r>
          </w:p>
        </w:tc>
      </w:tr>
      <w:tr>
        <w:tblPrEx>
          <w:tblCellMar>
            <w:top w:w="0" w:type="dxa"/>
            <w:left w:w="108" w:type="dxa"/>
            <w:bottom w:w="0" w:type="dxa"/>
            <w:right w:w="108" w:type="dxa"/>
          </w:tblCellMar>
        </w:tblPrEx>
        <w:trPr>
          <w:trHeight w:val="270" w:hRule="atLeast"/>
        </w:trPr>
        <w:tc>
          <w:tcPr>
            <w:tcW w:w="71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color w:val="000000"/>
                <w:sz w:val="24"/>
              </w:rPr>
            </w:pPr>
            <w:r>
              <w:rPr>
                <w:color w:val="000000"/>
                <w:sz w:val="24"/>
              </w:rPr>
              <w:t>4</w:t>
            </w:r>
          </w:p>
        </w:tc>
        <w:tc>
          <w:tcPr>
            <w:tcW w:w="336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color w:val="000000"/>
                <w:sz w:val="24"/>
              </w:rPr>
            </w:pPr>
            <w:r>
              <w:rPr>
                <w:color w:val="000000"/>
                <w:sz w:val="24"/>
                <w:u w:val="single"/>
              </w:rPr>
              <w:t xml:space="preserve">FFU </w:t>
            </w:r>
            <w:r>
              <w:rPr>
                <w:rFonts w:hint="eastAsia"/>
                <w:color w:val="000000"/>
                <w:sz w:val="24"/>
                <w:u w:val="single"/>
              </w:rPr>
              <w:t>t</w:t>
            </w:r>
            <w:r>
              <w:rPr>
                <w:color w:val="000000"/>
                <w:sz w:val="24"/>
                <w:u w:val="single"/>
              </w:rPr>
              <w:t>urn on</w:t>
            </w:r>
          </w:p>
        </w:tc>
        <w:tc>
          <w:tcPr>
            <w:tcW w:w="2700" w:type="dxa"/>
            <w:gridSpan w:val="2"/>
            <w:tcBorders>
              <w:top w:val="single" w:color="auto" w:sz="4" w:space="0"/>
              <w:left w:val="single" w:color="auto" w:sz="4" w:space="0"/>
              <w:bottom w:val="single" w:color="auto" w:sz="4" w:space="0"/>
              <w:right w:val="single" w:color="auto" w:sz="4" w:space="0"/>
            </w:tcBorders>
            <w:shd w:val="clear" w:color="000000" w:fill="FFFFFF"/>
            <w:vAlign w:val="top"/>
          </w:tcPr>
          <w:p>
            <w:pPr>
              <w:spacing w:line="360" w:lineRule="auto"/>
              <w:ind w:firstLine="240" w:firstLineChars="100"/>
              <w:rPr>
                <w:color w:val="000000"/>
                <w:sz w:val="24"/>
              </w:rPr>
            </w:pPr>
            <w:r>
              <w:rPr>
                <w:rFonts w:hint="eastAsia"/>
                <w:color w:val="000000"/>
                <w:sz w:val="24"/>
              </w:rPr>
              <w:t>2</w:t>
            </w:r>
            <w:r>
              <w:rPr>
                <w:color w:val="000000"/>
                <w:sz w:val="24"/>
              </w:rPr>
              <w:t>024</w:t>
            </w:r>
            <w:r>
              <w:rPr>
                <w:rFonts w:hint="eastAsia"/>
                <w:color w:val="000000"/>
                <w:sz w:val="24"/>
              </w:rPr>
              <w:t xml:space="preserve">年 3月 </w:t>
            </w:r>
            <w:r>
              <w:rPr>
                <w:color w:val="000000"/>
                <w:sz w:val="24"/>
              </w:rPr>
              <w:t>25</w:t>
            </w:r>
            <w:r>
              <w:rPr>
                <w:rFonts w:hint="eastAsia"/>
                <w:color w:val="000000"/>
                <w:sz w:val="24"/>
              </w:rPr>
              <w:t xml:space="preserve"> 日</w:t>
            </w:r>
          </w:p>
        </w:tc>
        <w:tc>
          <w:tcPr>
            <w:tcW w:w="1407"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color w:val="000000"/>
                <w:sz w:val="24"/>
              </w:rPr>
            </w:pPr>
            <w:r>
              <w:rPr>
                <w:rFonts w:hint="eastAsia"/>
                <w:color w:val="000000"/>
                <w:sz w:val="24"/>
              </w:rPr>
              <w:t>D</w:t>
            </w:r>
          </w:p>
        </w:tc>
      </w:tr>
      <w:tr>
        <w:tblPrEx>
          <w:tblCellMar>
            <w:top w:w="0" w:type="dxa"/>
            <w:left w:w="108" w:type="dxa"/>
            <w:bottom w:w="0" w:type="dxa"/>
            <w:right w:w="108" w:type="dxa"/>
          </w:tblCellMar>
        </w:tblPrEx>
        <w:trPr>
          <w:trHeight w:val="270" w:hRule="atLeast"/>
        </w:trPr>
        <w:tc>
          <w:tcPr>
            <w:tcW w:w="71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hint="eastAsia"/>
                <w:color w:val="000000"/>
                <w:sz w:val="24"/>
              </w:rPr>
            </w:pPr>
            <w:r>
              <w:rPr>
                <w:color w:val="000000"/>
                <w:sz w:val="24"/>
              </w:rPr>
              <w:t>5</w:t>
            </w:r>
          </w:p>
        </w:tc>
        <w:tc>
          <w:tcPr>
            <w:tcW w:w="336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color w:val="000000"/>
                <w:sz w:val="24"/>
              </w:rPr>
            </w:pPr>
            <w:r>
              <w:rPr>
                <w:rFonts w:hint="eastAsia"/>
                <w:color w:val="000000"/>
                <w:sz w:val="24"/>
              </w:rPr>
              <w:t>S</w:t>
            </w:r>
            <w:r>
              <w:rPr>
                <w:color w:val="000000"/>
                <w:sz w:val="24"/>
              </w:rPr>
              <w:t>TK</w:t>
            </w:r>
            <w:r>
              <w:rPr>
                <w:rFonts w:hint="eastAsia"/>
                <w:color w:val="000000"/>
                <w:sz w:val="24"/>
              </w:rPr>
              <w:t>设备搬入</w:t>
            </w:r>
          </w:p>
        </w:tc>
        <w:tc>
          <w:tcPr>
            <w:tcW w:w="2700" w:type="dxa"/>
            <w:gridSpan w:val="2"/>
            <w:tcBorders>
              <w:top w:val="single" w:color="auto" w:sz="4" w:space="0"/>
              <w:left w:val="single" w:color="auto" w:sz="4" w:space="0"/>
              <w:bottom w:val="single" w:color="auto" w:sz="4" w:space="0"/>
              <w:right w:val="single" w:color="auto" w:sz="4" w:space="0"/>
            </w:tcBorders>
            <w:shd w:val="clear" w:color="000000" w:fill="FFFFFF"/>
            <w:vAlign w:val="top"/>
          </w:tcPr>
          <w:p>
            <w:pPr>
              <w:spacing w:line="360" w:lineRule="auto"/>
              <w:ind w:firstLine="240" w:firstLineChars="100"/>
              <w:rPr>
                <w:rFonts w:hint="eastAsia"/>
                <w:color w:val="000000"/>
                <w:sz w:val="24"/>
              </w:rPr>
            </w:pPr>
            <w:r>
              <w:rPr>
                <w:rFonts w:hint="eastAsia"/>
                <w:color w:val="000000"/>
                <w:sz w:val="24"/>
              </w:rPr>
              <w:t>2</w:t>
            </w:r>
            <w:r>
              <w:rPr>
                <w:color w:val="000000"/>
                <w:sz w:val="24"/>
              </w:rPr>
              <w:t>024</w:t>
            </w:r>
            <w:r>
              <w:rPr>
                <w:rFonts w:hint="eastAsia"/>
                <w:color w:val="000000"/>
                <w:sz w:val="24"/>
              </w:rPr>
              <w:t xml:space="preserve">年 3月 </w:t>
            </w:r>
            <w:r>
              <w:rPr>
                <w:color w:val="000000"/>
                <w:sz w:val="24"/>
              </w:rPr>
              <w:t>27</w:t>
            </w:r>
            <w:r>
              <w:rPr>
                <w:rFonts w:hint="eastAsia"/>
                <w:color w:val="000000"/>
                <w:sz w:val="24"/>
              </w:rPr>
              <w:t xml:space="preserve"> 日</w:t>
            </w:r>
          </w:p>
        </w:tc>
        <w:tc>
          <w:tcPr>
            <w:tcW w:w="1407"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color w:val="000000"/>
                <w:sz w:val="24"/>
              </w:rPr>
            </w:pPr>
            <w:r>
              <w:rPr>
                <w:color w:val="000000"/>
                <w:sz w:val="24"/>
              </w:rPr>
              <w:t>B</w:t>
            </w:r>
          </w:p>
        </w:tc>
      </w:tr>
      <w:tr>
        <w:tblPrEx>
          <w:tblCellMar>
            <w:top w:w="0" w:type="dxa"/>
            <w:left w:w="108" w:type="dxa"/>
            <w:bottom w:w="0" w:type="dxa"/>
            <w:right w:w="108" w:type="dxa"/>
          </w:tblCellMar>
        </w:tblPrEx>
        <w:trPr>
          <w:trHeight w:val="270" w:hRule="atLeast"/>
        </w:trPr>
        <w:tc>
          <w:tcPr>
            <w:tcW w:w="71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hint="eastAsia"/>
                <w:color w:val="000000"/>
                <w:sz w:val="24"/>
              </w:rPr>
            </w:pPr>
            <w:r>
              <w:rPr>
                <w:color w:val="000000"/>
                <w:sz w:val="24"/>
              </w:rPr>
              <w:t>6</w:t>
            </w:r>
          </w:p>
        </w:tc>
        <w:tc>
          <w:tcPr>
            <w:tcW w:w="336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color w:val="000000"/>
                <w:sz w:val="24"/>
              </w:rPr>
            </w:pPr>
            <w:r>
              <w:rPr>
                <w:rFonts w:hint="eastAsia"/>
                <w:color w:val="000000"/>
                <w:sz w:val="24"/>
              </w:rPr>
              <w:t>曝光机搬入</w:t>
            </w:r>
          </w:p>
        </w:tc>
        <w:tc>
          <w:tcPr>
            <w:tcW w:w="2700" w:type="dxa"/>
            <w:gridSpan w:val="2"/>
            <w:tcBorders>
              <w:top w:val="single" w:color="auto" w:sz="4" w:space="0"/>
              <w:left w:val="single" w:color="auto" w:sz="4" w:space="0"/>
              <w:bottom w:val="single" w:color="auto" w:sz="4" w:space="0"/>
              <w:right w:val="single" w:color="auto" w:sz="4" w:space="0"/>
            </w:tcBorders>
            <w:shd w:val="clear" w:color="000000" w:fill="FFFFFF"/>
            <w:vAlign w:val="top"/>
          </w:tcPr>
          <w:p>
            <w:pPr>
              <w:spacing w:line="360" w:lineRule="auto"/>
              <w:ind w:firstLine="240" w:firstLineChars="100"/>
              <w:rPr>
                <w:rFonts w:hint="eastAsia"/>
                <w:color w:val="000000"/>
                <w:sz w:val="24"/>
              </w:rPr>
            </w:pPr>
            <w:r>
              <w:rPr>
                <w:rFonts w:hint="eastAsia"/>
                <w:color w:val="000000"/>
                <w:sz w:val="24"/>
              </w:rPr>
              <w:t>2</w:t>
            </w:r>
            <w:r>
              <w:rPr>
                <w:color w:val="000000"/>
                <w:sz w:val="24"/>
              </w:rPr>
              <w:t>024</w:t>
            </w:r>
            <w:r>
              <w:rPr>
                <w:rFonts w:hint="eastAsia"/>
                <w:color w:val="000000"/>
                <w:sz w:val="24"/>
              </w:rPr>
              <w:t xml:space="preserve">年 </w:t>
            </w:r>
            <w:r>
              <w:rPr>
                <w:color w:val="000000"/>
                <w:sz w:val="24"/>
              </w:rPr>
              <w:t>4</w:t>
            </w:r>
            <w:r>
              <w:rPr>
                <w:rFonts w:hint="eastAsia"/>
                <w:color w:val="000000"/>
                <w:sz w:val="24"/>
              </w:rPr>
              <w:t xml:space="preserve">月 </w:t>
            </w:r>
            <w:r>
              <w:rPr>
                <w:color w:val="000000"/>
                <w:sz w:val="24"/>
              </w:rPr>
              <w:t>17</w:t>
            </w:r>
            <w:r>
              <w:rPr>
                <w:rFonts w:hint="eastAsia"/>
                <w:color w:val="000000"/>
                <w:sz w:val="24"/>
              </w:rPr>
              <w:t xml:space="preserve"> 日</w:t>
            </w:r>
          </w:p>
        </w:tc>
        <w:tc>
          <w:tcPr>
            <w:tcW w:w="1407"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color w:val="000000"/>
                <w:sz w:val="24"/>
              </w:rPr>
            </w:pPr>
            <w:r>
              <w:rPr>
                <w:rFonts w:hint="eastAsia"/>
                <w:color w:val="000000"/>
                <w:sz w:val="24"/>
              </w:rPr>
              <w:t>D</w:t>
            </w:r>
          </w:p>
        </w:tc>
      </w:tr>
      <w:tr>
        <w:tblPrEx>
          <w:tblCellMar>
            <w:top w:w="0" w:type="dxa"/>
            <w:left w:w="108" w:type="dxa"/>
            <w:bottom w:w="0" w:type="dxa"/>
            <w:right w:w="108" w:type="dxa"/>
          </w:tblCellMar>
        </w:tblPrEx>
        <w:trPr>
          <w:trHeight w:val="270" w:hRule="atLeast"/>
        </w:trPr>
        <w:tc>
          <w:tcPr>
            <w:tcW w:w="71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hint="eastAsia"/>
                <w:color w:val="000000"/>
                <w:sz w:val="24"/>
              </w:rPr>
            </w:pPr>
            <w:r>
              <w:rPr>
                <w:color w:val="000000"/>
                <w:sz w:val="24"/>
              </w:rPr>
              <w:t>7</w:t>
            </w:r>
          </w:p>
        </w:tc>
        <w:tc>
          <w:tcPr>
            <w:tcW w:w="336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color w:val="000000"/>
                <w:sz w:val="24"/>
              </w:rPr>
            </w:pPr>
            <w:r>
              <w:rPr>
                <w:rFonts w:hint="eastAsia"/>
                <w:color w:val="000000"/>
                <w:sz w:val="24"/>
              </w:rPr>
              <w:t>八大测试完成</w:t>
            </w:r>
          </w:p>
        </w:tc>
        <w:tc>
          <w:tcPr>
            <w:tcW w:w="2700" w:type="dxa"/>
            <w:gridSpan w:val="2"/>
            <w:tcBorders>
              <w:top w:val="single" w:color="auto" w:sz="4" w:space="0"/>
              <w:left w:val="single" w:color="auto" w:sz="4" w:space="0"/>
              <w:bottom w:val="single" w:color="auto" w:sz="4" w:space="0"/>
              <w:right w:val="single" w:color="auto" w:sz="4" w:space="0"/>
            </w:tcBorders>
            <w:shd w:val="clear" w:color="000000" w:fill="FFFFFF"/>
            <w:vAlign w:val="top"/>
          </w:tcPr>
          <w:p>
            <w:pPr>
              <w:spacing w:line="360" w:lineRule="auto"/>
              <w:ind w:firstLine="240" w:firstLineChars="100"/>
              <w:rPr>
                <w:rFonts w:hint="eastAsia"/>
                <w:color w:val="000000"/>
                <w:sz w:val="24"/>
              </w:rPr>
            </w:pPr>
            <w:r>
              <w:rPr>
                <w:rFonts w:hint="eastAsia"/>
                <w:color w:val="000000"/>
                <w:sz w:val="24"/>
              </w:rPr>
              <w:t>2</w:t>
            </w:r>
            <w:r>
              <w:rPr>
                <w:color w:val="000000"/>
                <w:sz w:val="24"/>
              </w:rPr>
              <w:t>024</w:t>
            </w:r>
            <w:r>
              <w:rPr>
                <w:rFonts w:hint="eastAsia"/>
                <w:color w:val="000000"/>
                <w:sz w:val="24"/>
              </w:rPr>
              <w:t xml:space="preserve">年 </w:t>
            </w:r>
            <w:r>
              <w:rPr>
                <w:color w:val="000000"/>
                <w:sz w:val="24"/>
              </w:rPr>
              <w:t>8</w:t>
            </w:r>
            <w:r>
              <w:rPr>
                <w:rFonts w:hint="eastAsia"/>
                <w:color w:val="000000"/>
                <w:sz w:val="24"/>
              </w:rPr>
              <w:t xml:space="preserve">月 </w:t>
            </w:r>
            <w:r>
              <w:rPr>
                <w:color w:val="000000"/>
                <w:sz w:val="24"/>
              </w:rPr>
              <w:t>30</w:t>
            </w:r>
            <w:r>
              <w:rPr>
                <w:rFonts w:hint="eastAsia"/>
                <w:color w:val="000000"/>
                <w:sz w:val="24"/>
              </w:rPr>
              <w:t xml:space="preserve"> 日</w:t>
            </w:r>
          </w:p>
        </w:tc>
        <w:tc>
          <w:tcPr>
            <w:tcW w:w="1407"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color w:val="000000"/>
                <w:sz w:val="24"/>
              </w:rPr>
            </w:pPr>
            <w:r>
              <w:rPr>
                <w:color w:val="000000"/>
                <w:sz w:val="24"/>
              </w:rPr>
              <w:t>A</w:t>
            </w:r>
          </w:p>
        </w:tc>
      </w:tr>
      <w:tr>
        <w:tblPrEx>
          <w:tblCellMar>
            <w:top w:w="0" w:type="dxa"/>
            <w:left w:w="108" w:type="dxa"/>
            <w:bottom w:w="0" w:type="dxa"/>
            <w:right w:w="108" w:type="dxa"/>
          </w:tblCellMar>
        </w:tblPrEx>
        <w:trPr>
          <w:trHeight w:val="270" w:hRule="atLeast"/>
        </w:trPr>
        <w:tc>
          <w:tcPr>
            <w:tcW w:w="71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hint="eastAsia"/>
                <w:color w:val="000000"/>
                <w:sz w:val="24"/>
              </w:rPr>
            </w:pPr>
            <w:r>
              <w:rPr>
                <w:color w:val="000000"/>
                <w:sz w:val="24"/>
              </w:rPr>
              <w:t>8</w:t>
            </w:r>
          </w:p>
        </w:tc>
        <w:tc>
          <w:tcPr>
            <w:tcW w:w="336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color w:val="000000"/>
                <w:sz w:val="24"/>
              </w:rPr>
            </w:pPr>
            <w:r>
              <w:rPr>
                <w:rFonts w:hint="eastAsia"/>
                <w:color w:val="000000"/>
                <w:sz w:val="24"/>
              </w:rPr>
              <w:t>系统初验</w:t>
            </w:r>
          </w:p>
        </w:tc>
        <w:tc>
          <w:tcPr>
            <w:tcW w:w="2700" w:type="dxa"/>
            <w:gridSpan w:val="2"/>
            <w:tcBorders>
              <w:top w:val="single" w:color="auto" w:sz="4" w:space="0"/>
              <w:left w:val="single" w:color="auto" w:sz="4" w:space="0"/>
              <w:bottom w:val="single" w:color="auto" w:sz="4" w:space="0"/>
              <w:right w:val="single" w:color="auto" w:sz="4" w:space="0"/>
            </w:tcBorders>
            <w:shd w:val="clear" w:color="000000" w:fill="FFFFFF"/>
            <w:vAlign w:val="top"/>
          </w:tcPr>
          <w:p>
            <w:pPr>
              <w:spacing w:line="360" w:lineRule="auto"/>
              <w:ind w:firstLine="240" w:firstLineChars="100"/>
              <w:rPr>
                <w:rFonts w:hint="eastAsia"/>
                <w:color w:val="000000"/>
                <w:sz w:val="24"/>
              </w:rPr>
            </w:pPr>
            <w:r>
              <w:rPr>
                <w:rFonts w:hint="eastAsia"/>
                <w:color w:val="000000"/>
                <w:sz w:val="24"/>
              </w:rPr>
              <w:t>2</w:t>
            </w:r>
            <w:r>
              <w:rPr>
                <w:color w:val="000000"/>
                <w:sz w:val="24"/>
              </w:rPr>
              <w:t>024</w:t>
            </w:r>
            <w:r>
              <w:rPr>
                <w:rFonts w:hint="eastAsia"/>
                <w:color w:val="000000"/>
                <w:sz w:val="24"/>
              </w:rPr>
              <w:t>年</w:t>
            </w:r>
            <w:r>
              <w:rPr>
                <w:color w:val="000000"/>
                <w:sz w:val="24"/>
              </w:rPr>
              <w:t>10</w:t>
            </w:r>
            <w:r>
              <w:rPr>
                <w:rFonts w:hint="eastAsia"/>
                <w:color w:val="000000"/>
                <w:sz w:val="24"/>
              </w:rPr>
              <w:t xml:space="preserve">月 </w:t>
            </w:r>
            <w:r>
              <w:rPr>
                <w:color w:val="000000"/>
                <w:sz w:val="24"/>
              </w:rPr>
              <w:t>30</w:t>
            </w:r>
            <w:r>
              <w:rPr>
                <w:rFonts w:hint="eastAsia"/>
                <w:color w:val="000000"/>
                <w:sz w:val="24"/>
              </w:rPr>
              <w:t xml:space="preserve"> 日</w:t>
            </w:r>
          </w:p>
        </w:tc>
        <w:tc>
          <w:tcPr>
            <w:tcW w:w="1407"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color w:val="000000"/>
                <w:sz w:val="24"/>
              </w:rPr>
            </w:pPr>
            <w:r>
              <w:rPr>
                <w:color w:val="000000"/>
                <w:sz w:val="24"/>
              </w:rPr>
              <w:t>B</w:t>
            </w:r>
          </w:p>
        </w:tc>
      </w:tr>
      <w:tr>
        <w:tblPrEx>
          <w:tblCellMar>
            <w:top w:w="0" w:type="dxa"/>
            <w:left w:w="108" w:type="dxa"/>
            <w:bottom w:w="0" w:type="dxa"/>
            <w:right w:w="108" w:type="dxa"/>
          </w:tblCellMar>
        </w:tblPrEx>
        <w:trPr>
          <w:trHeight w:val="270" w:hRule="atLeast"/>
        </w:trPr>
        <w:tc>
          <w:tcPr>
            <w:tcW w:w="71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hint="eastAsia"/>
                <w:color w:val="000000"/>
                <w:sz w:val="24"/>
              </w:rPr>
            </w:pPr>
            <w:r>
              <w:rPr>
                <w:color w:val="000000"/>
                <w:sz w:val="24"/>
              </w:rPr>
              <w:t>9</w:t>
            </w:r>
          </w:p>
        </w:tc>
        <w:tc>
          <w:tcPr>
            <w:tcW w:w="3362"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color w:val="000000"/>
                <w:sz w:val="24"/>
              </w:rPr>
            </w:pPr>
            <w:r>
              <w:rPr>
                <w:rFonts w:hint="eastAsia"/>
                <w:color w:val="000000"/>
                <w:sz w:val="24"/>
              </w:rPr>
              <w:t>竣工验收</w:t>
            </w:r>
          </w:p>
        </w:tc>
        <w:tc>
          <w:tcPr>
            <w:tcW w:w="2700" w:type="dxa"/>
            <w:gridSpan w:val="2"/>
            <w:tcBorders>
              <w:top w:val="single" w:color="auto" w:sz="4" w:space="0"/>
              <w:left w:val="single" w:color="auto" w:sz="4" w:space="0"/>
              <w:bottom w:val="single" w:color="auto" w:sz="4" w:space="0"/>
              <w:right w:val="single" w:color="auto" w:sz="4" w:space="0"/>
            </w:tcBorders>
            <w:shd w:val="clear" w:color="000000" w:fill="FFFFFF"/>
            <w:vAlign w:val="top"/>
          </w:tcPr>
          <w:p>
            <w:pPr>
              <w:spacing w:line="360" w:lineRule="auto"/>
              <w:ind w:firstLine="240" w:firstLineChars="100"/>
              <w:rPr>
                <w:rFonts w:hint="eastAsia"/>
                <w:color w:val="000000"/>
                <w:sz w:val="24"/>
              </w:rPr>
            </w:pPr>
            <w:r>
              <w:rPr>
                <w:rFonts w:hint="eastAsia"/>
                <w:color w:val="000000"/>
                <w:sz w:val="24"/>
              </w:rPr>
              <w:t>2</w:t>
            </w:r>
            <w:r>
              <w:rPr>
                <w:color w:val="000000"/>
                <w:sz w:val="24"/>
              </w:rPr>
              <w:t>024</w:t>
            </w:r>
            <w:r>
              <w:rPr>
                <w:rFonts w:hint="eastAsia"/>
                <w:color w:val="000000"/>
                <w:sz w:val="24"/>
              </w:rPr>
              <w:t>年</w:t>
            </w:r>
            <w:r>
              <w:rPr>
                <w:color w:val="000000"/>
                <w:sz w:val="24"/>
              </w:rPr>
              <w:t>12</w:t>
            </w:r>
            <w:r>
              <w:rPr>
                <w:rFonts w:hint="eastAsia"/>
                <w:color w:val="000000"/>
                <w:sz w:val="24"/>
              </w:rPr>
              <w:t xml:space="preserve">月 </w:t>
            </w:r>
            <w:r>
              <w:rPr>
                <w:color w:val="000000"/>
                <w:sz w:val="24"/>
              </w:rPr>
              <w:t>31</w:t>
            </w:r>
            <w:r>
              <w:rPr>
                <w:rFonts w:hint="eastAsia"/>
                <w:color w:val="000000"/>
                <w:sz w:val="24"/>
              </w:rPr>
              <w:t xml:space="preserve"> 日</w:t>
            </w:r>
          </w:p>
        </w:tc>
        <w:tc>
          <w:tcPr>
            <w:tcW w:w="1407"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color w:val="000000"/>
                <w:sz w:val="24"/>
              </w:rPr>
            </w:pPr>
            <w:r>
              <w:rPr>
                <w:rFonts w:hint="eastAsia"/>
                <w:color w:val="000000"/>
                <w:sz w:val="24"/>
              </w:rPr>
              <w:t>D</w:t>
            </w:r>
          </w:p>
        </w:tc>
      </w:tr>
    </w:tbl>
    <w:p>
      <w:pPr>
        <w:spacing w:line="360" w:lineRule="auto"/>
        <w:rPr>
          <w:color w:val="000000"/>
          <w:sz w:val="24"/>
        </w:rPr>
      </w:pPr>
    </w:p>
    <w:p>
      <w:pPr>
        <w:spacing w:line="360" w:lineRule="auto"/>
        <w:rPr>
          <w:color w:val="000000"/>
          <w:sz w:val="24"/>
        </w:rPr>
      </w:pPr>
      <w:r>
        <w:rPr>
          <w:rFonts w:hint="eastAsia"/>
          <w:color w:val="000000"/>
          <w:sz w:val="24"/>
        </w:rPr>
        <w:t>20.4提前竣工奖励费及限额约定：</w:t>
      </w:r>
      <w:r>
        <w:rPr>
          <w:rFonts w:hint="eastAsia"/>
          <w:color w:val="000000"/>
          <w:sz w:val="24"/>
          <w:u w:val="single"/>
        </w:rPr>
        <w:t>无</w:t>
      </w:r>
    </w:p>
    <w:bookmarkEnd w:id="447"/>
    <w:p>
      <w:pPr>
        <w:spacing w:line="360" w:lineRule="auto"/>
        <w:jc w:val="left"/>
        <w:rPr>
          <w:rFonts w:ascii="宋体" w:hAnsi="宋体"/>
          <w:sz w:val="24"/>
          <w:u w:val="single"/>
        </w:rPr>
      </w:pPr>
      <w:r>
        <w:rPr>
          <w:rFonts w:hint="eastAsia"/>
          <w:color w:val="000000"/>
          <w:sz w:val="24"/>
        </w:rPr>
        <w:t>20.5延期损失赔偿费约定：</w:t>
      </w:r>
    </w:p>
    <w:p>
      <w:pPr>
        <w:spacing w:line="360" w:lineRule="auto"/>
        <w:ind w:firstLine="420"/>
        <w:jc w:val="left"/>
        <w:rPr>
          <w:rFonts w:ascii="宋体" w:hAnsi="宋体"/>
          <w:sz w:val="24"/>
          <w:u w:val="single"/>
        </w:rPr>
      </w:pPr>
      <w:r>
        <w:rPr>
          <w:rFonts w:hint="eastAsia" w:ascii="宋体" w:hAnsi="宋体"/>
          <w:sz w:val="24"/>
          <w:u w:val="single"/>
        </w:rPr>
        <w:t>工期延误补偿                就</w:t>
      </w:r>
      <w:r>
        <w:rPr>
          <w:rFonts w:hint="eastAsia" w:ascii="宋体" w:hAnsi="宋体"/>
          <w:sz w:val="24"/>
          <w:u w:val="single"/>
          <w:lang w:val="en-US" w:eastAsia="zh-CN"/>
        </w:rPr>
        <w:t>里程碑节点</w:t>
      </w:r>
      <w:r>
        <w:rPr>
          <w:rFonts w:hint="eastAsia" w:ascii="宋体" w:hAnsi="宋体"/>
          <w:sz w:val="24"/>
          <w:u w:val="single"/>
        </w:rPr>
        <w:t xml:space="preserve">（A）而言为人民币 </w:t>
      </w:r>
    </w:p>
    <w:p>
      <w:pPr>
        <w:spacing w:line="360" w:lineRule="auto"/>
        <w:jc w:val="left"/>
        <w:rPr>
          <w:rFonts w:ascii="宋体" w:hAnsi="宋体"/>
          <w:sz w:val="24"/>
          <w:u w:val="single"/>
        </w:rPr>
      </w:pPr>
      <w:r>
        <w:rPr>
          <w:rFonts w:hint="eastAsia" w:ascii="宋体" w:hAnsi="宋体"/>
          <w:sz w:val="24"/>
          <w:u w:val="single"/>
        </w:rPr>
        <w:t xml:space="preserve">                                                  20</w:t>
      </w:r>
      <w:r>
        <w:rPr>
          <w:rFonts w:ascii="宋体" w:hAnsi="宋体"/>
          <w:sz w:val="24"/>
          <w:u w:val="single"/>
        </w:rPr>
        <w:t>,000.00</w:t>
      </w:r>
      <w:r>
        <w:rPr>
          <w:rFonts w:hint="eastAsia" w:ascii="宋体" w:hAnsi="宋体"/>
          <w:sz w:val="24"/>
          <w:u w:val="single"/>
        </w:rPr>
        <w:t>元 /每天</w:t>
      </w:r>
    </w:p>
    <w:p>
      <w:pPr>
        <w:spacing w:line="360" w:lineRule="auto"/>
        <w:jc w:val="left"/>
        <w:rPr>
          <w:rFonts w:ascii="宋体" w:hAnsi="宋体"/>
          <w:sz w:val="24"/>
          <w:u w:val="single"/>
        </w:rPr>
      </w:pPr>
      <w:r>
        <w:rPr>
          <w:rFonts w:hint="eastAsia" w:ascii="宋体" w:hAnsi="宋体"/>
          <w:sz w:val="24"/>
          <w:u w:val="single"/>
        </w:rPr>
        <w:t xml:space="preserve">                                就</w:t>
      </w:r>
      <w:r>
        <w:rPr>
          <w:rFonts w:hint="eastAsia" w:ascii="宋体" w:hAnsi="宋体"/>
          <w:sz w:val="24"/>
          <w:u w:val="single"/>
          <w:lang w:val="en-US" w:eastAsia="zh-CN"/>
        </w:rPr>
        <w:t>里程碑节点</w:t>
      </w:r>
      <w:r>
        <w:rPr>
          <w:rFonts w:hint="eastAsia" w:ascii="宋体" w:hAnsi="宋体"/>
          <w:sz w:val="24"/>
          <w:u w:val="single"/>
        </w:rPr>
        <w:t xml:space="preserve">（B）而言为人民币 </w:t>
      </w:r>
    </w:p>
    <w:p>
      <w:pPr>
        <w:spacing w:line="360" w:lineRule="auto"/>
        <w:jc w:val="left"/>
        <w:rPr>
          <w:rFonts w:ascii="宋体" w:hAnsi="宋体"/>
          <w:sz w:val="24"/>
          <w:u w:val="single"/>
        </w:rPr>
      </w:pPr>
      <w:r>
        <w:rPr>
          <w:rFonts w:hint="eastAsia" w:ascii="宋体" w:hAnsi="宋体"/>
          <w:sz w:val="24"/>
          <w:u w:val="single"/>
        </w:rPr>
        <w:t xml:space="preserve">                                                   50</w:t>
      </w:r>
      <w:r>
        <w:rPr>
          <w:rFonts w:ascii="宋体" w:hAnsi="宋体"/>
          <w:sz w:val="24"/>
          <w:u w:val="single"/>
        </w:rPr>
        <w:t>,000.00</w:t>
      </w:r>
      <w:r>
        <w:rPr>
          <w:rFonts w:hint="eastAsia" w:ascii="宋体" w:hAnsi="宋体"/>
          <w:sz w:val="24"/>
          <w:u w:val="single"/>
        </w:rPr>
        <w:t>元 /每天</w:t>
      </w:r>
    </w:p>
    <w:p>
      <w:pPr>
        <w:spacing w:line="360" w:lineRule="auto"/>
        <w:jc w:val="left"/>
        <w:rPr>
          <w:rFonts w:ascii="宋体" w:hAnsi="宋体"/>
          <w:sz w:val="24"/>
          <w:u w:val="single"/>
        </w:rPr>
      </w:pP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就</w:t>
      </w:r>
      <w:r>
        <w:rPr>
          <w:rFonts w:hint="eastAsia" w:ascii="宋体" w:hAnsi="宋体"/>
          <w:sz w:val="24"/>
          <w:u w:val="single"/>
          <w:lang w:val="en-US" w:eastAsia="zh-CN"/>
        </w:rPr>
        <w:t>里程碑节点</w:t>
      </w:r>
      <w:r>
        <w:rPr>
          <w:rFonts w:hint="eastAsia" w:ascii="宋体" w:hAnsi="宋体"/>
          <w:sz w:val="24"/>
          <w:u w:val="single"/>
        </w:rPr>
        <w:t>（C）而言为人民币</w:t>
      </w:r>
    </w:p>
    <w:p>
      <w:pPr>
        <w:spacing w:line="360" w:lineRule="auto"/>
        <w:jc w:val="left"/>
        <w:rPr>
          <w:rFonts w:ascii="宋体" w:hAnsi="宋体"/>
          <w:sz w:val="24"/>
          <w:u w:val="single"/>
        </w:rPr>
      </w:pPr>
      <w:r>
        <w:rPr>
          <w:rFonts w:hint="eastAsia" w:ascii="宋体" w:hAnsi="宋体"/>
          <w:sz w:val="24"/>
          <w:u w:val="single"/>
        </w:rPr>
        <w:t xml:space="preserve">                                                  100</w:t>
      </w:r>
      <w:r>
        <w:rPr>
          <w:rFonts w:ascii="宋体" w:hAnsi="宋体"/>
          <w:sz w:val="24"/>
          <w:u w:val="single"/>
        </w:rPr>
        <w:t>,000.00</w:t>
      </w:r>
      <w:r>
        <w:rPr>
          <w:rFonts w:hint="eastAsia" w:ascii="宋体" w:hAnsi="宋体"/>
          <w:sz w:val="24"/>
          <w:u w:val="single"/>
        </w:rPr>
        <w:t>元/每天</w:t>
      </w:r>
    </w:p>
    <w:p>
      <w:pPr>
        <w:spacing w:line="360" w:lineRule="auto"/>
        <w:jc w:val="left"/>
        <w:rPr>
          <w:rFonts w:ascii="宋体" w:hAnsi="宋体"/>
          <w:sz w:val="24"/>
          <w:u w:val="single"/>
        </w:rPr>
      </w:pP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就</w:t>
      </w:r>
      <w:r>
        <w:rPr>
          <w:rFonts w:hint="eastAsia" w:ascii="宋体" w:hAnsi="宋体"/>
          <w:sz w:val="24"/>
          <w:u w:val="single"/>
          <w:lang w:val="en-US" w:eastAsia="zh-CN"/>
        </w:rPr>
        <w:t>里程碑节点</w:t>
      </w:r>
      <w:r>
        <w:rPr>
          <w:rFonts w:hint="eastAsia" w:ascii="宋体" w:hAnsi="宋体"/>
          <w:sz w:val="24"/>
          <w:u w:val="single"/>
        </w:rPr>
        <w:t>（D）而言为人民币</w:t>
      </w:r>
    </w:p>
    <w:p>
      <w:pPr>
        <w:spacing w:line="360" w:lineRule="auto"/>
        <w:jc w:val="left"/>
        <w:rPr>
          <w:rFonts w:ascii="宋体" w:hAnsi="宋体"/>
          <w:sz w:val="24"/>
          <w:u w:val="single"/>
        </w:rPr>
      </w:pPr>
      <w:r>
        <w:rPr>
          <w:rFonts w:hint="eastAsia" w:ascii="宋体" w:hAnsi="宋体"/>
          <w:sz w:val="24"/>
          <w:u w:val="single"/>
        </w:rPr>
        <w:t xml:space="preserve">                                                  150</w:t>
      </w:r>
      <w:r>
        <w:rPr>
          <w:rFonts w:ascii="宋体" w:hAnsi="宋体"/>
          <w:sz w:val="24"/>
          <w:u w:val="single"/>
        </w:rPr>
        <w:t>,000.00</w:t>
      </w:r>
      <w:r>
        <w:rPr>
          <w:rFonts w:hint="eastAsia" w:ascii="宋体" w:hAnsi="宋体"/>
          <w:sz w:val="24"/>
          <w:u w:val="single"/>
        </w:rPr>
        <w:t>元</w:t>
      </w:r>
      <w:r>
        <w:rPr>
          <w:rFonts w:ascii="宋体" w:hAnsi="宋体"/>
          <w:sz w:val="24"/>
          <w:u w:val="single"/>
        </w:rPr>
        <w:t>/</w:t>
      </w:r>
      <w:r>
        <w:rPr>
          <w:rFonts w:hint="eastAsia" w:ascii="宋体" w:hAnsi="宋体"/>
          <w:sz w:val="24"/>
          <w:u w:val="single"/>
        </w:rPr>
        <w:t>每天</w:t>
      </w:r>
    </w:p>
    <w:p>
      <w:pPr>
        <w:spacing w:line="360" w:lineRule="auto"/>
        <w:jc w:val="left"/>
        <w:rPr>
          <w:rFonts w:ascii="宋体" w:hAnsi="宋体"/>
          <w:sz w:val="24"/>
          <w:u w:val="single"/>
        </w:rPr>
      </w:pPr>
      <w:r>
        <w:rPr>
          <w:rFonts w:hint="eastAsia" w:ascii="宋体" w:hAnsi="宋体"/>
          <w:sz w:val="24"/>
          <w:u w:val="single"/>
        </w:rPr>
        <w:t xml:space="preserve">                                就</w:t>
      </w:r>
      <w:r>
        <w:rPr>
          <w:rFonts w:hint="eastAsia" w:ascii="宋体" w:hAnsi="宋体"/>
          <w:sz w:val="24"/>
          <w:u w:val="single"/>
          <w:lang w:val="en-US" w:eastAsia="zh-CN"/>
        </w:rPr>
        <w:t>里程碑节点</w:t>
      </w:r>
      <w:r>
        <w:rPr>
          <w:rFonts w:hint="eastAsia" w:ascii="宋体" w:hAnsi="宋体"/>
          <w:sz w:val="24"/>
          <w:u w:val="single"/>
        </w:rPr>
        <w:t>（E）而言为人民币</w:t>
      </w:r>
    </w:p>
    <w:p>
      <w:pPr>
        <w:spacing w:line="360" w:lineRule="auto"/>
        <w:ind w:firstLine="6000" w:firstLineChars="2500"/>
        <w:jc w:val="left"/>
        <w:rPr>
          <w:rFonts w:ascii="宋体" w:hAnsi="宋体"/>
          <w:sz w:val="24"/>
          <w:u w:val="single"/>
        </w:rPr>
      </w:pPr>
      <w:r>
        <w:rPr>
          <w:rFonts w:hint="eastAsia" w:ascii="宋体" w:hAnsi="宋体"/>
          <w:sz w:val="24"/>
          <w:u w:val="single"/>
        </w:rPr>
        <w:t>200</w:t>
      </w:r>
      <w:r>
        <w:rPr>
          <w:rFonts w:ascii="宋体" w:hAnsi="宋体"/>
          <w:sz w:val="24"/>
          <w:u w:val="single"/>
        </w:rPr>
        <w:t>,000.00</w:t>
      </w:r>
      <w:r>
        <w:rPr>
          <w:rFonts w:hint="eastAsia" w:ascii="宋体" w:hAnsi="宋体"/>
          <w:sz w:val="24"/>
          <w:u w:val="single"/>
        </w:rPr>
        <w:t>元/每天</w:t>
      </w:r>
    </w:p>
    <w:p>
      <w:pPr>
        <w:spacing w:line="360" w:lineRule="auto"/>
        <w:ind w:firstLine="720" w:firstLineChars="300"/>
        <w:jc w:val="left"/>
        <w:rPr>
          <w:rFonts w:hint="eastAsia" w:ascii="宋体" w:hAnsi="宋体"/>
          <w:sz w:val="24"/>
          <w:u w:val="single"/>
        </w:rPr>
      </w:pPr>
      <w:r>
        <w:rPr>
          <w:rFonts w:hint="eastAsia" w:ascii="宋体" w:hAnsi="宋体"/>
          <w:sz w:val="24"/>
          <w:u w:val="single"/>
        </w:rPr>
        <w:t>质量缺陷保修期 见《工程质量缺陷保修书》，《工程质量缺陷保修书》无规定的，按两年计算。</w:t>
      </w:r>
    </w:p>
    <w:p>
      <w:pPr>
        <w:tabs>
          <w:tab w:val="left" w:pos="1080"/>
        </w:tabs>
        <w:adjustRightInd w:val="0"/>
        <w:snapToGrid w:val="0"/>
        <w:spacing w:line="360" w:lineRule="auto"/>
        <w:rPr>
          <w:rFonts w:hint="eastAsia" w:cs="Arial"/>
          <w:color w:val="000000"/>
          <w:sz w:val="24"/>
        </w:rPr>
      </w:pPr>
      <w:r>
        <w:rPr>
          <w:rFonts w:hint="eastAsia"/>
          <w:color w:val="000000"/>
          <w:sz w:val="24"/>
        </w:rPr>
        <w:t>20.</w:t>
      </w:r>
      <w:r>
        <w:rPr>
          <w:rFonts w:hint="eastAsia"/>
          <w:color w:val="000000"/>
          <w:sz w:val="24"/>
          <w:lang w:val="en-US" w:eastAsia="zh-CN"/>
        </w:rPr>
        <w:t>6</w:t>
      </w:r>
      <w:r>
        <w:rPr>
          <w:rFonts w:cs="Arial"/>
          <w:color w:val="000000"/>
          <w:sz w:val="24"/>
        </w:rPr>
        <w:t>对于</w:t>
      </w:r>
      <w:r>
        <w:rPr>
          <w:rFonts w:hint="eastAsia" w:cs="Arial"/>
          <w:color w:val="000000"/>
          <w:sz w:val="24"/>
        </w:rPr>
        <w:t>发包</w:t>
      </w:r>
      <w:r>
        <w:rPr>
          <w:rFonts w:cs="Arial"/>
          <w:color w:val="000000"/>
          <w:sz w:val="24"/>
        </w:rPr>
        <w:t>人</w:t>
      </w:r>
      <w:r>
        <w:rPr>
          <w:rFonts w:hint="eastAsia" w:cs="Arial"/>
          <w:color w:val="000000"/>
          <w:sz w:val="24"/>
        </w:rPr>
        <w:t>在合同中</w:t>
      </w:r>
      <w:r>
        <w:rPr>
          <w:rFonts w:cs="Arial"/>
          <w:color w:val="000000"/>
          <w:sz w:val="24"/>
        </w:rPr>
        <w:t>要求的</w:t>
      </w:r>
      <w:r>
        <w:rPr>
          <w:rFonts w:hint="eastAsia" w:cs="Arial"/>
          <w:color w:val="000000"/>
          <w:sz w:val="24"/>
        </w:rPr>
        <w:t>节点</w:t>
      </w:r>
      <w:r>
        <w:rPr>
          <w:rFonts w:cs="Arial"/>
          <w:color w:val="000000"/>
          <w:sz w:val="24"/>
        </w:rPr>
        <w:t>工期和最终的竣工日期，</w:t>
      </w:r>
      <w:r>
        <w:rPr>
          <w:rFonts w:hint="eastAsia" w:cs="Arial"/>
          <w:color w:val="000000"/>
          <w:sz w:val="24"/>
        </w:rPr>
        <w:t>承包</w:t>
      </w:r>
      <w:r>
        <w:rPr>
          <w:rFonts w:cs="Arial"/>
          <w:color w:val="000000"/>
          <w:sz w:val="24"/>
        </w:rPr>
        <w:t>人</w:t>
      </w:r>
      <w:r>
        <w:rPr>
          <w:rFonts w:hint="eastAsia" w:cs="Arial"/>
          <w:color w:val="000000"/>
          <w:sz w:val="24"/>
        </w:rPr>
        <w:t>必须完全响应</w:t>
      </w:r>
      <w:r>
        <w:rPr>
          <w:rFonts w:cs="Arial"/>
          <w:color w:val="000000"/>
          <w:sz w:val="24"/>
        </w:rPr>
        <w:t>。</w:t>
      </w:r>
      <w:r>
        <w:rPr>
          <w:rFonts w:hint="eastAsia" w:cs="Arial"/>
          <w:color w:val="000000"/>
          <w:sz w:val="24"/>
        </w:rPr>
        <w:t>作为</w:t>
      </w:r>
      <w:r>
        <w:rPr>
          <w:rFonts w:cs="Arial"/>
          <w:color w:val="000000"/>
          <w:sz w:val="24"/>
        </w:rPr>
        <w:t>有经验的承包人，</w:t>
      </w:r>
      <w:r>
        <w:rPr>
          <w:rFonts w:hint="eastAsia" w:cs="Arial"/>
          <w:color w:val="000000"/>
          <w:sz w:val="24"/>
        </w:rPr>
        <w:t>认为合同工期存在</w:t>
      </w:r>
      <w:r>
        <w:rPr>
          <w:rFonts w:cs="Arial"/>
          <w:color w:val="000000"/>
          <w:sz w:val="24"/>
        </w:rPr>
        <w:t>赶工</w:t>
      </w:r>
      <w:r>
        <w:rPr>
          <w:rFonts w:hint="eastAsia" w:cs="Arial"/>
          <w:color w:val="000000"/>
          <w:sz w:val="24"/>
        </w:rPr>
        <w:t>或</w:t>
      </w:r>
      <w:r>
        <w:rPr>
          <w:rFonts w:cs="Arial"/>
          <w:color w:val="000000"/>
          <w:sz w:val="24"/>
        </w:rPr>
        <w:t>后期有可能发生赶工，</w:t>
      </w:r>
      <w:r>
        <w:rPr>
          <w:rFonts w:hint="eastAsia" w:cs="Arial"/>
          <w:color w:val="000000"/>
          <w:sz w:val="24"/>
        </w:rPr>
        <w:t>承包</w:t>
      </w:r>
      <w:r>
        <w:rPr>
          <w:rFonts w:cs="Arial"/>
          <w:color w:val="000000"/>
          <w:sz w:val="24"/>
        </w:rPr>
        <w:t>人</w:t>
      </w:r>
      <w:r>
        <w:rPr>
          <w:rFonts w:hint="eastAsia" w:cs="Arial"/>
          <w:color w:val="000000"/>
          <w:sz w:val="24"/>
        </w:rPr>
        <w:t>需在施工组织设计中制定切实</w:t>
      </w:r>
      <w:r>
        <w:rPr>
          <w:rFonts w:cs="Arial"/>
          <w:color w:val="000000"/>
          <w:sz w:val="24"/>
        </w:rPr>
        <w:t>可行的保证措施</w:t>
      </w:r>
      <w:r>
        <w:rPr>
          <w:rFonts w:hint="eastAsia" w:cs="Arial"/>
          <w:color w:val="000000"/>
          <w:sz w:val="24"/>
        </w:rPr>
        <w:t>，在投标报价中综合考虑相关费用，不单列赶工措施费和夜间施工费。发包人有理由</w:t>
      </w:r>
      <w:r>
        <w:rPr>
          <w:rFonts w:cs="Arial"/>
          <w:color w:val="000000"/>
          <w:sz w:val="24"/>
        </w:rPr>
        <w:t>认为</w:t>
      </w:r>
      <w:r>
        <w:rPr>
          <w:rFonts w:hint="eastAsia" w:cs="Arial"/>
          <w:color w:val="000000"/>
          <w:sz w:val="24"/>
        </w:rPr>
        <w:t>承包人</w:t>
      </w:r>
      <w:r>
        <w:rPr>
          <w:rFonts w:hint="eastAsia"/>
          <w:color w:val="000000"/>
          <w:sz w:val="24"/>
        </w:rPr>
        <w:t>所报</w:t>
      </w:r>
      <w:r>
        <w:rPr>
          <w:color w:val="000000"/>
          <w:sz w:val="24"/>
        </w:rPr>
        <w:t>的</w:t>
      </w:r>
      <w:r>
        <w:rPr>
          <w:rFonts w:hint="eastAsia"/>
          <w:color w:val="000000"/>
          <w:sz w:val="24"/>
        </w:rPr>
        <w:t>合同总价中已包含一切赶工措施费和夜间施工费，除此</w:t>
      </w:r>
      <w:r>
        <w:rPr>
          <w:color w:val="000000"/>
          <w:sz w:val="24"/>
        </w:rPr>
        <w:t>之外</w:t>
      </w:r>
      <w:r>
        <w:rPr>
          <w:rFonts w:cs="Arial"/>
          <w:color w:val="000000"/>
          <w:sz w:val="24"/>
        </w:rPr>
        <w:t>发包人不会</w:t>
      </w:r>
      <w:r>
        <w:rPr>
          <w:rFonts w:hint="eastAsia" w:cs="Arial"/>
          <w:color w:val="000000"/>
          <w:sz w:val="24"/>
        </w:rPr>
        <w:t>再</w:t>
      </w:r>
      <w:r>
        <w:rPr>
          <w:rFonts w:cs="Arial"/>
          <w:color w:val="000000"/>
          <w:sz w:val="24"/>
        </w:rPr>
        <w:t>向承包人支付任何性质的</w:t>
      </w:r>
      <w:r>
        <w:rPr>
          <w:rFonts w:hint="eastAsia" w:cs="Arial"/>
          <w:color w:val="000000"/>
          <w:sz w:val="24"/>
        </w:rPr>
        <w:t>赶</w:t>
      </w:r>
      <w:r>
        <w:rPr>
          <w:rFonts w:cs="Arial"/>
          <w:color w:val="000000"/>
          <w:sz w:val="24"/>
        </w:rPr>
        <w:t>工</w:t>
      </w:r>
      <w:r>
        <w:rPr>
          <w:rFonts w:hint="eastAsia" w:cs="Arial"/>
          <w:color w:val="000000"/>
          <w:sz w:val="24"/>
        </w:rPr>
        <w:t>措施</w:t>
      </w:r>
      <w:r>
        <w:rPr>
          <w:rFonts w:cs="Arial"/>
          <w:color w:val="000000"/>
          <w:sz w:val="24"/>
        </w:rPr>
        <w:t>费</w:t>
      </w:r>
      <w:r>
        <w:rPr>
          <w:rFonts w:hint="eastAsia" w:cs="Arial"/>
          <w:color w:val="000000"/>
          <w:sz w:val="24"/>
        </w:rPr>
        <w:t>和夜间施工费等费用。</w:t>
      </w:r>
    </w:p>
    <w:p>
      <w:pPr>
        <w:spacing w:line="360" w:lineRule="auto"/>
        <w:ind w:firstLine="720" w:firstLineChars="300"/>
        <w:jc w:val="left"/>
        <w:rPr>
          <w:rFonts w:hint="eastAsia" w:ascii="宋体" w:hAnsi="宋体"/>
          <w:sz w:val="24"/>
          <w:u w:val="single"/>
        </w:rPr>
      </w:pPr>
    </w:p>
    <w:p>
      <w:pPr>
        <w:spacing w:line="360" w:lineRule="auto"/>
        <w:rPr>
          <w:b/>
          <w:color w:val="000000"/>
          <w:sz w:val="30"/>
          <w:szCs w:val="30"/>
        </w:rPr>
      </w:pPr>
      <w:bookmarkStart w:id="450" w:name="_Toc35656535"/>
      <w:bookmarkStart w:id="451" w:name="_Toc84303930"/>
      <w:bookmarkStart w:id="452" w:name="_Toc47425603"/>
      <w:r>
        <w:rPr>
          <w:rFonts w:hint="eastAsia"/>
          <w:b/>
          <w:color w:val="000000"/>
          <w:sz w:val="30"/>
          <w:szCs w:val="30"/>
        </w:rPr>
        <w:t>八、材料、设备供应</w:t>
      </w:r>
      <w:bookmarkEnd w:id="450"/>
      <w:bookmarkEnd w:id="451"/>
      <w:bookmarkEnd w:id="452"/>
    </w:p>
    <w:p>
      <w:pPr>
        <w:spacing w:line="360" w:lineRule="auto"/>
        <w:rPr>
          <w:color w:val="000000"/>
          <w:sz w:val="28"/>
          <w:szCs w:val="28"/>
        </w:rPr>
      </w:pPr>
      <w:bookmarkStart w:id="453" w:name="_Toc35656537"/>
      <w:r>
        <w:rPr>
          <w:rFonts w:hint="eastAsia"/>
          <w:color w:val="000000"/>
          <w:sz w:val="28"/>
          <w:szCs w:val="28"/>
        </w:rPr>
        <w:t>21 发包人供应材料设备</w:t>
      </w:r>
      <w:bookmarkEnd w:id="453"/>
    </w:p>
    <w:p>
      <w:pPr>
        <w:spacing w:line="360" w:lineRule="auto"/>
        <w:rPr>
          <w:color w:val="000000"/>
          <w:sz w:val="24"/>
          <w:u w:val="single"/>
        </w:rPr>
      </w:pPr>
      <w:r>
        <w:rPr>
          <w:rFonts w:hint="eastAsia"/>
          <w:color w:val="000000"/>
          <w:sz w:val="24"/>
        </w:rPr>
        <w:t>21.1发包人供应材料设备清单(可另附)：</w:t>
      </w:r>
      <w:r>
        <w:rPr>
          <w:rFonts w:hint="eastAsia"/>
          <w:color w:val="000000"/>
          <w:sz w:val="24"/>
          <w:u w:val="single"/>
        </w:rPr>
        <w:t xml:space="preserve">    </w:t>
      </w:r>
      <w:bookmarkStart w:id="454" w:name="发包人供应材料设备清单"/>
      <w:r>
        <w:rPr>
          <w:rFonts w:hint="eastAsia"/>
          <w:color w:val="000000"/>
          <w:sz w:val="24"/>
          <w:u w:val="single"/>
        </w:rPr>
        <w:t xml:space="preserve">          /                       </w:t>
      </w:r>
      <w:bookmarkEnd w:id="454"/>
    </w:p>
    <w:p>
      <w:pPr>
        <w:spacing w:line="360" w:lineRule="auto"/>
        <w:rPr>
          <w:color w:val="000000"/>
          <w:sz w:val="24"/>
          <w:u w:val="single"/>
        </w:rPr>
      </w:pPr>
      <w:r>
        <w:rPr>
          <w:rFonts w:hint="eastAsia"/>
          <w:color w:val="000000"/>
          <w:sz w:val="24"/>
        </w:rPr>
        <w:t>21.4发包人供应材料设备的结算办法：</w:t>
      </w:r>
      <w:r>
        <w:rPr>
          <w:rFonts w:hint="eastAsia"/>
          <w:color w:val="000000"/>
          <w:sz w:val="24"/>
          <w:u w:val="single"/>
        </w:rPr>
        <w:t xml:space="preserve">     </w:t>
      </w:r>
      <w:bookmarkStart w:id="455" w:name="发包人供应材料设备的结算办法"/>
      <w:r>
        <w:rPr>
          <w:rFonts w:hint="eastAsia"/>
          <w:color w:val="000000"/>
          <w:sz w:val="24"/>
          <w:u w:val="single"/>
        </w:rPr>
        <w:t xml:space="preserve">          /                       </w:t>
      </w:r>
      <w:bookmarkEnd w:id="455"/>
    </w:p>
    <w:p>
      <w:pPr>
        <w:spacing w:line="360" w:lineRule="auto"/>
        <w:rPr>
          <w:color w:val="000000"/>
          <w:sz w:val="28"/>
          <w:szCs w:val="28"/>
        </w:rPr>
      </w:pPr>
      <w:r>
        <w:rPr>
          <w:rFonts w:hint="eastAsia"/>
          <w:color w:val="000000"/>
          <w:sz w:val="28"/>
          <w:szCs w:val="28"/>
        </w:rPr>
        <w:t>22 承包人采购材料设备</w:t>
      </w:r>
    </w:p>
    <w:p>
      <w:pPr>
        <w:spacing w:line="360" w:lineRule="auto"/>
        <w:rPr>
          <w:iCs/>
          <w:color w:val="000000"/>
          <w:sz w:val="24"/>
          <w:u w:val="single"/>
        </w:rPr>
      </w:pPr>
      <w:r>
        <w:rPr>
          <w:rFonts w:hint="eastAsia"/>
          <w:color w:val="000000"/>
          <w:sz w:val="24"/>
        </w:rPr>
        <w:t>22.1承包人采购材料设备的约定：</w:t>
      </w:r>
      <w:bookmarkStart w:id="456" w:name="承包人采购材料设备的约定"/>
      <w:r>
        <w:rPr>
          <w:rFonts w:hint="eastAsia"/>
          <w:iCs/>
          <w:color w:val="000000"/>
          <w:sz w:val="24"/>
          <w:u w:val="single"/>
        </w:rPr>
        <w:t>（</w:t>
      </w:r>
      <w:r>
        <w:rPr>
          <w:iCs/>
          <w:color w:val="000000"/>
          <w:sz w:val="24"/>
          <w:u w:val="single"/>
        </w:rPr>
        <w:t>1）对所有合同规定的由承包人自主采购的材料或设备，采购前承包人应将供应商的所有资料报送</w:t>
      </w:r>
      <w:r>
        <w:rPr>
          <w:rFonts w:hint="eastAsia"/>
          <w:iCs/>
          <w:color w:val="000000"/>
          <w:sz w:val="24"/>
          <w:u w:val="single"/>
        </w:rPr>
        <w:t>发包人工程师和发包人</w:t>
      </w:r>
      <w:r>
        <w:rPr>
          <w:iCs/>
          <w:color w:val="000000"/>
          <w:sz w:val="24"/>
          <w:u w:val="single"/>
        </w:rPr>
        <w:t>审查，当</w:t>
      </w:r>
      <w:r>
        <w:rPr>
          <w:rFonts w:hint="eastAsia"/>
          <w:iCs/>
          <w:color w:val="000000"/>
          <w:sz w:val="24"/>
          <w:u w:val="single"/>
        </w:rPr>
        <w:t>发包人</w:t>
      </w:r>
      <w:r>
        <w:rPr>
          <w:iCs/>
          <w:color w:val="000000"/>
          <w:sz w:val="24"/>
          <w:u w:val="single"/>
        </w:rPr>
        <w:t>认为有必要对供应商进行实地考察时，承包人应免费提供一切协助承包人应该保证提供用于本项目</w:t>
      </w:r>
      <w:r>
        <w:rPr>
          <w:rFonts w:hint="eastAsia"/>
          <w:iCs/>
          <w:color w:val="000000"/>
          <w:sz w:val="24"/>
          <w:u w:val="single"/>
        </w:rPr>
        <w:t>实体工程</w:t>
      </w:r>
      <w:r>
        <w:rPr>
          <w:iCs/>
          <w:color w:val="000000"/>
          <w:sz w:val="24"/>
          <w:u w:val="single"/>
        </w:rPr>
        <w:t>的货物、原材料</w:t>
      </w:r>
      <w:r>
        <w:rPr>
          <w:rFonts w:hint="eastAsia"/>
          <w:iCs/>
          <w:color w:val="000000"/>
          <w:sz w:val="24"/>
          <w:u w:val="single"/>
        </w:rPr>
        <w:t>、</w:t>
      </w:r>
      <w:r>
        <w:rPr>
          <w:iCs/>
          <w:color w:val="000000"/>
          <w:sz w:val="24"/>
          <w:u w:val="single"/>
        </w:rPr>
        <w:t>设备</w:t>
      </w:r>
      <w:r>
        <w:rPr>
          <w:rFonts w:hint="eastAsia"/>
          <w:iCs/>
          <w:color w:val="000000"/>
          <w:sz w:val="24"/>
          <w:u w:val="single"/>
        </w:rPr>
        <w:t>、备品备件</w:t>
      </w:r>
      <w:r>
        <w:rPr>
          <w:iCs/>
          <w:color w:val="000000"/>
          <w:sz w:val="24"/>
          <w:u w:val="single"/>
        </w:rPr>
        <w:t>是全新、非二手且未经使用过的，</w:t>
      </w:r>
      <w:r>
        <w:rPr>
          <w:rFonts w:hint="eastAsia"/>
          <w:iCs/>
          <w:color w:val="000000"/>
          <w:sz w:val="24"/>
          <w:u w:val="single"/>
        </w:rPr>
        <w:t>在出厂日期有效期内，</w:t>
      </w:r>
      <w:r>
        <w:rPr>
          <w:iCs/>
          <w:color w:val="000000"/>
          <w:sz w:val="24"/>
          <w:u w:val="single"/>
        </w:rPr>
        <w:t>是</w:t>
      </w:r>
      <w:r>
        <w:rPr>
          <w:rFonts w:hint="eastAsia"/>
          <w:iCs/>
          <w:color w:val="000000"/>
          <w:sz w:val="24"/>
          <w:u w:val="single"/>
        </w:rPr>
        <w:t>符合招标文件及合同要求的合格产品</w:t>
      </w:r>
      <w:r>
        <w:rPr>
          <w:iCs/>
          <w:color w:val="000000"/>
          <w:sz w:val="24"/>
          <w:u w:val="single"/>
        </w:rPr>
        <w:t>。否则，发包人有权要求承包人限期无条件整改、更换设备并赔偿由此引起的全部损失。承包人保证货物</w:t>
      </w:r>
      <w:r>
        <w:rPr>
          <w:rFonts w:hint="eastAsia"/>
          <w:iCs/>
          <w:color w:val="000000"/>
          <w:sz w:val="24"/>
          <w:u w:val="single"/>
        </w:rPr>
        <w:t>、</w:t>
      </w:r>
      <w:r>
        <w:rPr>
          <w:iCs/>
          <w:color w:val="000000"/>
          <w:sz w:val="24"/>
          <w:u w:val="single"/>
        </w:rPr>
        <w:t>原材料</w:t>
      </w:r>
      <w:r>
        <w:rPr>
          <w:rFonts w:hint="eastAsia"/>
          <w:iCs/>
          <w:color w:val="000000"/>
          <w:sz w:val="24"/>
          <w:u w:val="single"/>
        </w:rPr>
        <w:t>、设备、备品备件</w:t>
      </w:r>
      <w:r>
        <w:rPr>
          <w:iCs/>
          <w:color w:val="000000"/>
          <w:sz w:val="24"/>
          <w:u w:val="single"/>
        </w:rPr>
        <w:t>在正常使用期限内运转良好，具备可预见的稳定使用功能及出色的</w:t>
      </w:r>
      <w:r>
        <w:rPr>
          <w:rFonts w:hint="eastAsia"/>
          <w:iCs/>
          <w:color w:val="000000"/>
          <w:sz w:val="24"/>
          <w:u w:val="single"/>
        </w:rPr>
        <w:t>工艺表现，并具备同行业平均水平以上的产品生命周期。</w:t>
      </w:r>
    </w:p>
    <w:p>
      <w:pPr>
        <w:spacing w:line="360" w:lineRule="auto"/>
        <w:rPr>
          <w:iCs/>
          <w:color w:val="000000"/>
          <w:sz w:val="24"/>
          <w:u w:val="single"/>
        </w:rPr>
      </w:pPr>
      <w:r>
        <w:rPr>
          <w:rFonts w:hint="eastAsia"/>
          <w:iCs/>
          <w:color w:val="000000"/>
          <w:sz w:val="24"/>
          <w:u w:val="single"/>
        </w:rPr>
        <w:t>（</w:t>
      </w:r>
      <w:r>
        <w:rPr>
          <w:iCs/>
          <w:color w:val="000000"/>
          <w:sz w:val="24"/>
          <w:u w:val="single"/>
        </w:rPr>
        <w:t>2）所有用于本工程的材料和设备进场以前，承包人必须向</w:t>
      </w:r>
      <w:r>
        <w:rPr>
          <w:rFonts w:hint="eastAsia"/>
          <w:iCs/>
          <w:color w:val="000000"/>
          <w:sz w:val="24"/>
          <w:u w:val="single"/>
        </w:rPr>
        <w:t>发包人工程师</w:t>
      </w:r>
      <w:r>
        <w:rPr>
          <w:iCs/>
          <w:color w:val="000000"/>
          <w:sz w:val="24"/>
          <w:u w:val="single"/>
        </w:rPr>
        <w:t>提交生产厂商出具的生产许可证、质量合格证和检验报告，以证明该材料或设备质量符合本合同或技术规范的规定</w:t>
      </w:r>
      <w:r>
        <w:rPr>
          <w:rFonts w:hint="eastAsia"/>
          <w:iCs/>
          <w:color w:val="000000"/>
          <w:sz w:val="24"/>
          <w:u w:val="single"/>
        </w:rPr>
        <w:t xml:space="preserve">；                                                    </w:t>
      </w:r>
    </w:p>
    <w:p>
      <w:pPr>
        <w:spacing w:line="360" w:lineRule="auto"/>
        <w:rPr>
          <w:iCs/>
          <w:color w:val="000000"/>
          <w:sz w:val="24"/>
          <w:u w:val="single"/>
        </w:rPr>
      </w:pPr>
      <w:r>
        <w:rPr>
          <w:rFonts w:hint="eastAsia"/>
          <w:iCs/>
          <w:color w:val="000000"/>
          <w:sz w:val="24"/>
          <w:u w:val="single"/>
        </w:rPr>
        <w:t>（</w:t>
      </w:r>
      <w:r>
        <w:rPr>
          <w:iCs/>
          <w:color w:val="000000"/>
          <w:sz w:val="24"/>
          <w:u w:val="single"/>
        </w:rPr>
        <w:t>3）承包人应按</w:t>
      </w:r>
      <w:r>
        <w:rPr>
          <w:rFonts w:hint="eastAsia"/>
          <w:iCs/>
          <w:color w:val="000000"/>
          <w:sz w:val="24"/>
          <w:u w:val="single"/>
        </w:rPr>
        <w:t>发包人</w:t>
      </w:r>
      <w:r>
        <w:rPr>
          <w:iCs/>
          <w:color w:val="000000"/>
          <w:sz w:val="24"/>
          <w:u w:val="single"/>
        </w:rPr>
        <w:t>的指令随时配合对施工现场材料或设备的检验，并应为</w:t>
      </w:r>
      <w:r>
        <w:rPr>
          <w:rFonts w:hint="eastAsia"/>
          <w:iCs/>
          <w:color w:val="000000"/>
          <w:sz w:val="24"/>
          <w:u w:val="single"/>
        </w:rPr>
        <w:t>发包人</w:t>
      </w:r>
      <w:r>
        <w:rPr>
          <w:iCs/>
          <w:color w:val="000000"/>
          <w:sz w:val="24"/>
          <w:u w:val="single"/>
        </w:rPr>
        <w:t>对材料或设备的检验提供一切必要的协助，在材料用于工程之前，承包人应按</w:t>
      </w:r>
      <w:r>
        <w:rPr>
          <w:rFonts w:hint="eastAsia"/>
          <w:iCs/>
          <w:color w:val="000000"/>
          <w:sz w:val="24"/>
          <w:u w:val="single"/>
        </w:rPr>
        <w:t>发包人</w:t>
      </w:r>
      <w:r>
        <w:rPr>
          <w:iCs/>
          <w:color w:val="000000"/>
          <w:sz w:val="24"/>
          <w:u w:val="single"/>
        </w:rPr>
        <w:t>的要求提供材料样品，材料应</w:t>
      </w:r>
      <w:r>
        <w:rPr>
          <w:rFonts w:hint="eastAsia"/>
          <w:iCs/>
          <w:color w:val="000000"/>
          <w:sz w:val="24"/>
          <w:u w:val="single"/>
        </w:rPr>
        <w:t>按先送检通过，后使用的原则进行使用。</w:t>
      </w:r>
      <w:bookmarkEnd w:id="456"/>
    </w:p>
    <w:p>
      <w:pPr>
        <w:spacing w:line="360" w:lineRule="auto"/>
        <w:rPr>
          <w:color w:val="000000"/>
          <w:sz w:val="24"/>
          <w:u w:val="single"/>
        </w:rPr>
      </w:pPr>
      <w:r>
        <w:rPr>
          <w:rFonts w:hint="eastAsia"/>
          <w:iCs/>
          <w:color w:val="000000"/>
          <w:sz w:val="24"/>
          <w:u w:val="single"/>
        </w:rPr>
        <w:t xml:space="preserve">（4）承包人提供的材料和设备必须按照投标文件所列品牌、规格型号提供，未经发包人同意，不得擅自更换。若发包人提出更换或改变供货方式，承包人须无条件同意，由此增减的合同价款由双方按照变更条款的定价原则确定。如投标文件中没有明确品牌和规格的，承包人应在采购前将拟采购的材料设备的品牌和规格向发包人代表报告，经发包人批准后采购。    </w:t>
      </w:r>
      <w:r>
        <w:rPr>
          <w:rFonts w:hint="eastAsia"/>
          <w:color w:val="000000"/>
          <w:sz w:val="24"/>
          <w:u w:val="single"/>
        </w:rPr>
        <w:t xml:space="preserve">                                              </w:t>
      </w:r>
    </w:p>
    <w:p>
      <w:pPr>
        <w:spacing w:line="360" w:lineRule="auto"/>
        <w:rPr>
          <w:color w:val="000000"/>
          <w:sz w:val="28"/>
          <w:szCs w:val="28"/>
        </w:rPr>
      </w:pPr>
      <w:bookmarkStart w:id="457" w:name="_Toc35656536"/>
      <w:r>
        <w:rPr>
          <w:rFonts w:hint="eastAsia"/>
          <w:color w:val="000000"/>
          <w:sz w:val="28"/>
          <w:szCs w:val="28"/>
        </w:rPr>
        <w:t>23 材料设备的检验</w:t>
      </w:r>
      <w:bookmarkEnd w:id="457"/>
    </w:p>
    <w:p>
      <w:pPr>
        <w:spacing w:line="360" w:lineRule="auto"/>
        <w:rPr>
          <w:color w:val="000000"/>
          <w:sz w:val="24"/>
        </w:rPr>
      </w:pPr>
      <w:r>
        <w:rPr>
          <w:rFonts w:hint="eastAsia"/>
          <w:color w:val="000000"/>
          <w:sz w:val="24"/>
        </w:rPr>
        <w:t>23.3检验费用的约定：</w:t>
      </w:r>
    </w:p>
    <w:p>
      <w:pPr>
        <w:spacing w:line="360" w:lineRule="auto"/>
        <w:rPr>
          <w:color w:val="000000"/>
          <w:sz w:val="24"/>
          <w:u w:val="single"/>
        </w:rPr>
      </w:pPr>
      <w:r>
        <w:rPr>
          <w:rFonts w:hint="eastAsia"/>
          <w:color w:val="000000"/>
          <w:sz w:val="24"/>
        </w:rPr>
        <w:t>⑴.承包人承担检验费用的材料、设备：</w:t>
      </w:r>
      <w:r>
        <w:rPr>
          <w:rFonts w:hint="eastAsia"/>
          <w:color w:val="000000"/>
          <w:sz w:val="24"/>
          <w:u w:val="single"/>
        </w:rPr>
        <w:t xml:space="preserve">承包人承担其承包范围内（包括因承包人原因改为发包人供应）的所有材料设备、现场施工工序的试验、检验费用以及质量监督部门按一定比例抽取现场材料设备检验等费用。若检验或测试不合格的，承包人应按发包人要求的时间将材料、设备 运出施工场地并自费采购符合要求的替换品，并在替换后重新提交发包人验收直至通过检验和测试，因此延误的工期不予顺延。        </w:t>
      </w:r>
    </w:p>
    <w:p>
      <w:pPr>
        <w:spacing w:line="360" w:lineRule="auto"/>
        <w:rPr>
          <w:color w:val="000000"/>
          <w:sz w:val="24"/>
        </w:rPr>
      </w:pPr>
      <w:r>
        <w:rPr>
          <w:rFonts w:hint="eastAsia"/>
          <w:color w:val="000000"/>
          <w:sz w:val="24"/>
        </w:rPr>
        <w:t>⑵.发包人承担检验费用的材料、设备：</w:t>
      </w:r>
      <w:r>
        <w:rPr>
          <w:rFonts w:hint="eastAsia"/>
          <w:color w:val="000000"/>
          <w:sz w:val="24"/>
          <w:u w:val="single"/>
        </w:rPr>
        <w:t xml:space="preserve">     </w:t>
      </w:r>
      <w:bookmarkStart w:id="458" w:name="发包人承担检验费用的材料设备"/>
      <w:r>
        <w:rPr>
          <w:rFonts w:hint="eastAsia"/>
          <w:color w:val="000000"/>
          <w:sz w:val="24"/>
          <w:u w:val="single"/>
        </w:rPr>
        <w:t xml:space="preserve">     /                     </w:t>
      </w:r>
      <w:bookmarkEnd w:id="458"/>
    </w:p>
    <w:p>
      <w:pPr>
        <w:spacing w:line="360" w:lineRule="auto"/>
        <w:rPr>
          <w:b/>
          <w:color w:val="000000"/>
          <w:sz w:val="30"/>
          <w:szCs w:val="30"/>
        </w:rPr>
      </w:pPr>
      <w:bookmarkStart w:id="459" w:name="_Toc35656538"/>
      <w:bookmarkStart w:id="460" w:name="_Toc84303931"/>
      <w:bookmarkStart w:id="461" w:name="_Toc47425604"/>
      <w:r>
        <w:rPr>
          <w:rFonts w:hint="eastAsia"/>
          <w:b/>
          <w:color w:val="000000"/>
          <w:sz w:val="30"/>
          <w:szCs w:val="30"/>
        </w:rPr>
        <w:t>九、质量、安全和文明施工</w:t>
      </w:r>
      <w:bookmarkEnd w:id="459"/>
      <w:bookmarkEnd w:id="460"/>
      <w:bookmarkEnd w:id="461"/>
    </w:p>
    <w:p>
      <w:pPr>
        <w:spacing w:line="360" w:lineRule="auto"/>
        <w:rPr>
          <w:color w:val="000000"/>
          <w:sz w:val="28"/>
          <w:szCs w:val="28"/>
        </w:rPr>
      </w:pPr>
      <w:bookmarkStart w:id="462" w:name="_Toc35656539"/>
      <w:r>
        <w:rPr>
          <w:rFonts w:hint="eastAsia"/>
          <w:color w:val="000000"/>
          <w:sz w:val="28"/>
          <w:szCs w:val="28"/>
        </w:rPr>
        <w:t>24 工程质量和检验</w:t>
      </w:r>
      <w:bookmarkEnd w:id="462"/>
    </w:p>
    <w:p>
      <w:pPr>
        <w:spacing w:line="360" w:lineRule="auto"/>
        <w:rPr>
          <w:color w:val="000000"/>
          <w:sz w:val="24"/>
          <w:u w:val="single"/>
        </w:rPr>
      </w:pPr>
      <w:r>
        <w:rPr>
          <w:rFonts w:hint="eastAsia"/>
          <w:color w:val="000000"/>
          <w:sz w:val="24"/>
        </w:rPr>
        <w:t>24.1</w:t>
      </w:r>
      <w:bookmarkStart w:id="463" w:name="工程质量标准"/>
      <w:r>
        <w:rPr>
          <w:rFonts w:hint="eastAsia"/>
          <w:color w:val="000000"/>
          <w:sz w:val="24"/>
        </w:rPr>
        <w:t>工程质量标准：</w:t>
      </w:r>
      <w:r>
        <w:rPr>
          <w:rFonts w:hint="eastAsia"/>
          <w:color w:val="000000"/>
          <w:sz w:val="24"/>
          <w:u w:val="single"/>
        </w:rPr>
        <w:t xml:space="preserve"> 达到与该工程有关的施工及验收规范的合格标准并满足发包人人要求。        </w:t>
      </w:r>
    </w:p>
    <w:p>
      <w:pPr>
        <w:spacing w:line="360" w:lineRule="auto"/>
        <w:rPr>
          <w:color w:val="000000"/>
          <w:sz w:val="28"/>
          <w:szCs w:val="28"/>
        </w:rPr>
      </w:pPr>
      <w:r>
        <w:rPr>
          <w:rFonts w:hint="eastAsia"/>
          <w:color w:val="000000"/>
          <w:sz w:val="28"/>
          <w:szCs w:val="28"/>
        </w:rPr>
        <w:t>25 工程试车</w:t>
      </w:r>
    </w:p>
    <w:bookmarkEnd w:id="463"/>
    <w:p>
      <w:pPr>
        <w:spacing w:line="360" w:lineRule="auto"/>
        <w:rPr>
          <w:color w:val="000000"/>
          <w:sz w:val="24"/>
          <w:u w:val="single"/>
        </w:rPr>
      </w:pPr>
      <w:r>
        <w:rPr>
          <w:rFonts w:hint="eastAsia"/>
          <w:color w:val="000000"/>
          <w:sz w:val="24"/>
        </w:rPr>
        <w:t>25.</w:t>
      </w:r>
      <w:bookmarkStart w:id="464" w:name="工程试车内容和费用承担"/>
      <w:r>
        <w:rPr>
          <w:rFonts w:hint="eastAsia"/>
          <w:color w:val="000000"/>
          <w:sz w:val="24"/>
        </w:rPr>
        <w:t>1工程试车内容和费用承担：</w:t>
      </w:r>
      <w:r>
        <w:rPr>
          <w:rFonts w:hint="eastAsia"/>
          <w:color w:val="000000"/>
          <w:sz w:val="24"/>
          <w:u w:val="single"/>
        </w:rPr>
        <w:t xml:space="preserve"> 由承包人承担                               </w:t>
      </w:r>
    </w:p>
    <w:p>
      <w:pPr>
        <w:spacing w:line="360" w:lineRule="auto"/>
        <w:rPr>
          <w:color w:val="000000"/>
          <w:sz w:val="28"/>
          <w:szCs w:val="28"/>
        </w:rPr>
      </w:pPr>
      <w:r>
        <w:rPr>
          <w:rFonts w:hint="eastAsia"/>
          <w:color w:val="000000"/>
          <w:sz w:val="28"/>
          <w:szCs w:val="28"/>
        </w:rPr>
        <w:t>28余泥渣土运输车辆要求</w:t>
      </w:r>
    </w:p>
    <w:p>
      <w:pPr>
        <w:spacing w:line="360" w:lineRule="auto"/>
        <w:rPr>
          <w:color w:val="000000"/>
          <w:sz w:val="24"/>
          <w:u w:val="single"/>
        </w:rPr>
      </w:pPr>
      <w:r>
        <w:rPr>
          <w:rFonts w:hint="eastAsia"/>
          <w:color w:val="000000"/>
          <w:sz w:val="24"/>
          <w:u w:val="single"/>
        </w:rPr>
        <w:t>28.4 承包人违反通用条款第28.4款约定时，应按下列标准支付违约金：人民币  5  万元整。</w:t>
      </w:r>
    </w:p>
    <w:p>
      <w:pPr>
        <w:spacing w:line="360" w:lineRule="auto"/>
        <w:rPr>
          <w:color w:val="000000"/>
          <w:sz w:val="24"/>
          <w:u w:val="single"/>
        </w:rPr>
      </w:pPr>
      <w:r>
        <w:rPr>
          <w:rFonts w:hint="eastAsia"/>
          <w:color w:val="000000"/>
          <w:sz w:val="24"/>
          <w:u w:val="single"/>
        </w:rPr>
        <w:t xml:space="preserve">28.5在承包人具备营运资格时，其安排的余泥渣土运输车辆的专职司机姓名和对应车牌号码：          </w:t>
      </w:r>
      <w:r>
        <w:rPr>
          <w:color w:val="000000"/>
          <w:sz w:val="24"/>
          <w:u w:val="single"/>
        </w:rPr>
        <w:t>/</w:t>
      </w:r>
      <w:r>
        <w:rPr>
          <w:rFonts w:hint="eastAsia"/>
          <w:color w:val="000000"/>
          <w:sz w:val="24"/>
          <w:u w:val="single"/>
        </w:rPr>
        <w:t xml:space="preserve">                        </w:t>
      </w:r>
    </w:p>
    <w:p>
      <w:pPr>
        <w:spacing w:line="360" w:lineRule="auto"/>
        <w:rPr>
          <w:color w:val="000000"/>
          <w:sz w:val="24"/>
          <w:u w:val="single"/>
        </w:rPr>
      </w:pPr>
      <w:r>
        <w:rPr>
          <w:rFonts w:hint="eastAsia"/>
          <w:color w:val="000000"/>
          <w:sz w:val="24"/>
          <w:u w:val="single"/>
        </w:rPr>
        <w:t>承包人安排的车辆不符合通用条款第28.5款规定的证件要求，和（或）未依程序自行改变车辆和专职司机名单，应按下列标准支付违约金：</w:t>
      </w:r>
    </w:p>
    <w:p>
      <w:pPr>
        <w:spacing w:line="360" w:lineRule="auto"/>
        <w:rPr>
          <w:color w:val="000000"/>
          <w:sz w:val="24"/>
          <w:u w:val="single"/>
        </w:rPr>
      </w:pPr>
      <w:r>
        <w:rPr>
          <w:rFonts w:hint="eastAsia"/>
          <w:color w:val="000000"/>
          <w:sz w:val="24"/>
          <w:u w:val="single"/>
        </w:rPr>
        <w:t xml:space="preserve">   5000   元/车•次。</w:t>
      </w:r>
    </w:p>
    <w:p>
      <w:pPr>
        <w:spacing w:line="360" w:lineRule="auto"/>
        <w:rPr>
          <w:color w:val="000000"/>
          <w:sz w:val="24"/>
          <w:u w:val="single"/>
        </w:rPr>
      </w:pPr>
      <w:r>
        <w:rPr>
          <w:rFonts w:hint="eastAsia"/>
          <w:color w:val="000000"/>
          <w:sz w:val="24"/>
          <w:u w:val="single"/>
        </w:rPr>
        <w:t>28.6承包人指定专职检查人员：</w:t>
      </w:r>
    </w:p>
    <w:p>
      <w:pPr>
        <w:spacing w:line="360" w:lineRule="auto"/>
        <w:rPr>
          <w:color w:val="000000"/>
          <w:sz w:val="24"/>
          <w:u w:val="single"/>
        </w:rPr>
      </w:pPr>
      <w:r>
        <w:rPr>
          <w:rFonts w:hint="eastAsia"/>
          <w:color w:val="000000"/>
          <w:sz w:val="24"/>
          <w:u w:val="single"/>
        </w:rPr>
        <w:t>检查内容：</w:t>
      </w:r>
    </w:p>
    <w:p>
      <w:pPr>
        <w:spacing w:line="360" w:lineRule="auto"/>
        <w:rPr>
          <w:color w:val="000000"/>
          <w:sz w:val="24"/>
          <w:u w:val="single"/>
        </w:rPr>
      </w:pPr>
      <w:r>
        <w:rPr>
          <w:color w:val="000000"/>
          <w:sz w:val="24"/>
          <w:u w:val="single"/>
        </w:rPr>
        <w:t xml:space="preserve">                  </w:t>
      </w:r>
      <w:r>
        <w:rPr>
          <w:rFonts w:hint="eastAsia"/>
          <w:color w:val="000000"/>
          <w:sz w:val="24"/>
          <w:u w:val="single"/>
        </w:rPr>
        <w:t>/</w:t>
      </w:r>
      <w:r>
        <w:rPr>
          <w:color w:val="000000"/>
          <w:sz w:val="24"/>
          <w:u w:val="single"/>
        </w:rPr>
        <w:t xml:space="preserve">                         </w:t>
      </w:r>
    </w:p>
    <w:p>
      <w:pPr>
        <w:spacing w:line="360" w:lineRule="auto"/>
        <w:rPr>
          <w:color w:val="000000"/>
          <w:sz w:val="24"/>
          <w:u w:val="single"/>
        </w:rPr>
      </w:pPr>
      <w:r>
        <w:rPr>
          <w:rFonts w:hint="eastAsia"/>
          <w:color w:val="000000"/>
          <w:sz w:val="24"/>
          <w:u w:val="single"/>
        </w:rPr>
        <w:t>28.7承包人违反通用条款第28.7款约定，对发现问题拒不履行其应尽的合同义务，其应按下列标准支付违约金：人民币  1   万元整。</w:t>
      </w:r>
    </w:p>
    <w:p>
      <w:pPr>
        <w:spacing w:line="360" w:lineRule="auto"/>
        <w:rPr>
          <w:color w:val="000000"/>
          <w:sz w:val="24"/>
          <w:u w:val="single"/>
        </w:rPr>
      </w:pPr>
      <w:r>
        <w:rPr>
          <w:rFonts w:hint="eastAsia"/>
          <w:color w:val="000000"/>
          <w:sz w:val="24"/>
          <w:u w:val="single"/>
        </w:rPr>
        <w:t>28.8承包人指定的专职检查人员未履行合同约定的检查纠正职责，承包人应按下列标准支付违约金：人民币  1   万元整。</w:t>
      </w:r>
    </w:p>
    <w:bookmarkEnd w:id="464"/>
    <w:p>
      <w:pPr>
        <w:spacing w:line="360" w:lineRule="auto"/>
        <w:rPr>
          <w:b/>
          <w:color w:val="000000"/>
          <w:sz w:val="30"/>
          <w:szCs w:val="30"/>
        </w:rPr>
      </w:pPr>
      <w:bookmarkStart w:id="465" w:name="_Toc84303932"/>
      <w:bookmarkStart w:id="466" w:name="_Toc35656540"/>
      <w:bookmarkStart w:id="467" w:name="_Toc47425605"/>
      <w:r>
        <w:rPr>
          <w:rFonts w:hint="eastAsia"/>
          <w:b/>
          <w:color w:val="000000"/>
          <w:sz w:val="30"/>
          <w:szCs w:val="30"/>
        </w:rPr>
        <w:t>十、合同价款、工程量确认和工程款支付</w:t>
      </w:r>
      <w:bookmarkEnd w:id="465"/>
      <w:bookmarkEnd w:id="466"/>
      <w:bookmarkEnd w:id="467"/>
    </w:p>
    <w:p>
      <w:pPr>
        <w:spacing w:line="360" w:lineRule="auto"/>
        <w:rPr>
          <w:color w:val="000000"/>
          <w:sz w:val="28"/>
          <w:szCs w:val="28"/>
        </w:rPr>
      </w:pPr>
      <w:bookmarkStart w:id="468" w:name="_Toc35656541"/>
      <w:r>
        <w:rPr>
          <w:rFonts w:hint="eastAsia"/>
          <w:color w:val="000000"/>
          <w:sz w:val="28"/>
          <w:szCs w:val="28"/>
        </w:rPr>
        <w:t>29 合同价款</w:t>
      </w:r>
      <w:bookmarkEnd w:id="468"/>
    </w:p>
    <w:p>
      <w:pPr>
        <w:spacing w:line="360" w:lineRule="auto"/>
        <w:rPr>
          <w:rFonts w:ascii="宋体" w:hAnsi="宋体"/>
          <w:sz w:val="24"/>
        </w:rPr>
      </w:pPr>
      <w:r>
        <w:rPr>
          <w:rFonts w:hint="eastAsia"/>
          <w:color w:val="000000"/>
          <w:sz w:val="24"/>
        </w:rPr>
        <w:t>29.1</w:t>
      </w:r>
      <w:r>
        <w:rPr>
          <w:rFonts w:hint="eastAsia" w:ascii="宋体" w:hAnsi="宋体"/>
          <w:sz w:val="24"/>
        </w:rPr>
        <w:t>本工程合同价款：</w:t>
      </w:r>
    </w:p>
    <w:p>
      <w:pPr>
        <w:spacing w:line="360" w:lineRule="auto"/>
        <w:ind w:firstLine="480" w:firstLineChars="200"/>
        <w:rPr>
          <w:rFonts w:ascii="宋体" w:hAnsi="宋体"/>
          <w:sz w:val="24"/>
          <w:u w:val="single"/>
        </w:rPr>
      </w:pPr>
      <w:r>
        <w:rPr>
          <w:rFonts w:hint="eastAsia" w:ascii="宋体" w:hAnsi="宋体"/>
          <w:sz w:val="24"/>
        </w:rPr>
        <w:t>币种：</w:t>
      </w:r>
      <w:r>
        <w:rPr>
          <w:rFonts w:hint="eastAsia" w:ascii="宋体" w:hAnsi="宋体"/>
          <w:b/>
          <w:bCs/>
          <w:sz w:val="24"/>
          <w:u w:val="single"/>
        </w:rPr>
        <w:t xml:space="preserve"> 人民币    </w:t>
      </w:r>
      <w:bookmarkStart w:id="469" w:name="本工程合同价款币种"/>
      <w:r>
        <w:rPr>
          <w:rFonts w:hint="eastAsia" w:ascii="宋体" w:hAnsi="宋体"/>
          <w:sz w:val="24"/>
          <w:u w:val="single"/>
        </w:rPr>
        <w:t xml:space="preserve">                                         </w:t>
      </w:r>
      <w:bookmarkEnd w:id="469"/>
      <w:r>
        <w:rPr>
          <w:rFonts w:hint="eastAsia" w:ascii="宋体" w:hAnsi="宋体"/>
          <w:sz w:val="24"/>
          <w:u w:val="single"/>
        </w:rPr>
        <w:t xml:space="preserve">           </w:t>
      </w:r>
    </w:p>
    <w:p>
      <w:pPr>
        <w:spacing w:line="360" w:lineRule="auto"/>
        <w:ind w:firstLine="480" w:firstLineChars="200"/>
        <w:rPr>
          <w:color w:val="000000"/>
          <w:sz w:val="24"/>
          <w:u w:val="single"/>
        </w:rPr>
      </w:pPr>
      <w:bookmarkStart w:id="470" w:name="本工程合同总价小写"/>
      <w:r>
        <w:rPr>
          <w:rFonts w:hint="eastAsia"/>
          <w:color w:val="000000"/>
          <w:sz w:val="24"/>
        </w:rPr>
        <w:t>合同总价(含税 大写)：</w:t>
      </w:r>
      <w:r>
        <w:rPr>
          <w:rFonts w:hint="eastAsia"/>
          <w:color w:val="000000"/>
          <w:sz w:val="24"/>
          <w:u w:val="single"/>
        </w:rPr>
        <w:t xml:space="preserve">                                             整  </w:t>
      </w:r>
    </w:p>
    <w:p>
      <w:pPr>
        <w:spacing w:line="360" w:lineRule="auto"/>
        <w:ind w:firstLine="1440" w:firstLineChars="600"/>
        <w:rPr>
          <w:color w:val="000000"/>
          <w:sz w:val="24"/>
          <w:u w:val="single"/>
        </w:rPr>
      </w:pPr>
      <w:r>
        <w:rPr>
          <w:rFonts w:hint="eastAsia"/>
          <w:color w:val="000000"/>
          <w:sz w:val="24"/>
        </w:rPr>
        <w:t>(含税 小写)：</w:t>
      </w:r>
      <w:r>
        <w:rPr>
          <w:rFonts w:hint="eastAsia"/>
          <w:color w:val="000000"/>
          <w:sz w:val="24"/>
          <w:u w:val="single"/>
        </w:rPr>
        <w:t xml:space="preserve">                  XXX元                        </w:t>
      </w:r>
    </w:p>
    <w:bookmarkEnd w:id="470"/>
    <w:p>
      <w:pPr>
        <w:spacing w:line="360" w:lineRule="auto"/>
        <w:ind w:firstLine="480" w:firstLineChars="200"/>
        <w:rPr>
          <w:rFonts w:ascii="宋体" w:hAnsi="宋体"/>
          <w:color w:val="000000"/>
          <w:sz w:val="24"/>
        </w:rPr>
      </w:pPr>
      <w:r>
        <w:rPr>
          <w:rFonts w:hint="eastAsia" w:ascii="宋体" w:hAnsi="宋体"/>
          <w:color w:val="000000"/>
          <w:sz w:val="24"/>
        </w:rPr>
        <w:t xml:space="preserve">       （合同未税总价）</w:t>
      </w:r>
      <w:r>
        <w:rPr>
          <w:rFonts w:hint="eastAsia"/>
          <w:color w:val="000000"/>
          <w:sz w:val="24"/>
        </w:rPr>
        <w:t>：</w:t>
      </w:r>
      <w:r>
        <w:rPr>
          <w:rFonts w:hint="eastAsia"/>
          <w:color w:val="000000"/>
          <w:sz w:val="24"/>
          <w:u w:val="single"/>
        </w:rPr>
        <w:t xml:space="preserve">               XXX元                       </w:t>
      </w:r>
    </w:p>
    <w:p>
      <w:pPr>
        <w:spacing w:line="360" w:lineRule="auto"/>
        <w:rPr>
          <w:color w:val="000000"/>
          <w:sz w:val="24"/>
        </w:rPr>
      </w:pPr>
      <w:r>
        <w:rPr>
          <w:rFonts w:hint="eastAsia" w:ascii="宋体" w:hAnsi="宋体"/>
          <w:color w:val="000000"/>
          <w:sz w:val="24"/>
        </w:rPr>
        <w:t>其中:发票类型：</w:t>
      </w:r>
      <w:r>
        <w:rPr>
          <w:rFonts w:ascii="宋体" w:hAnsi="宋体"/>
          <w:color w:val="000000"/>
          <w:sz w:val="24"/>
          <w:u w:val="single"/>
        </w:rPr>
        <w:t xml:space="preserve"> </w:t>
      </w:r>
      <w:r>
        <w:rPr>
          <w:rFonts w:hint="eastAsia" w:ascii="宋体" w:hAnsi="宋体"/>
          <w:color w:val="000000"/>
          <w:sz w:val="24"/>
          <w:u w:val="single"/>
        </w:rPr>
        <w:t xml:space="preserve"> 增值税专用发票   </w:t>
      </w:r>
      <w:r>
        <w:rPr>
          <w:rFonts w:hint="eastAsia" w:ascii="宋体" w:hAnsi="宋体"/>
          <w:color w:val="000000"/>
          <w:sz w:val="24"/>
        </w:rPr>
        <w:t>；税率：</w:t>
      </w:r>
      <w:r>
        <w:rPr>
          <w:rFonts w:hint="eastAsia" w:ascii="宋体" w:hAnsi="宋体"/>
          <w:color w:val="000000"/>
          <w:sz w:val="24"/>
          <w:u w:val="single"/>
        </w:rPr>
        <w:t xml:space="preserve"> 9%  </w:t>
      </w:r>
      <w:r>
        <w:rPr>
          <w:rFonts w:hint="eastAsia" w:ascii="宋体" w:hAnsi="宋体"/>
          <w:color w:val="000000"/>
          <w:sz w:val="24"/>
        </w:rPr>
        <w:t>；税金：</w:t>
      </w:r>
      <w:r>
        <w:rPr>
          <w:rFonts w:hint="eastAsia" w:ascii="宋体" w:hAnsi="宋体"/>
          <w:color w:val="000000"/>
          <w:sz w:val="24"/>
          <w:u w:val="single"/>
        </w:rPr>
        <w:t xml:space="preserve">     </w:t>
      </w:r>
      <w:r>
        <w:rPr>
          <w:rFonts w:hint="eastAsia" w:ascii="宋体" w:hAnsi="宋体"/>
          <w:color w:val="000000"/>
          <w:sz w:val="24"/>
        </w:rPr>
        <w:t xml:space="preserve"> 元；</w:t>
      </w:r>
    </w:p>
    <w:p>
      <w:pPr>
        <w:spacing w:line="360" w:lineRule="auto"/>
        <w:rPr>
          <w:color w:val="000000"/>
          <w:sz w:val="24"/>
        </w:rPr>
      </w:pPr>
      <w:r>
        <w:rPr>
          <w:rFonts w:hint="eastAsia"/>
          <w:color w:val="000000"/>
          <w:sz w:val="24"/>
        </w:rPr>
        <w:t>29.3</w:t>
      </w:r>
      <w:r>
        <w:rPr>
          <w:rFonts w:hint="eastAsia"/>
          <w:sz w:val="24"/>
        </w:rPr>
        <w:t>本工程</w:t>
      </w:r>
      <w:r>
        <w:rPr>
          <w:rFonts w:hint="eastAsia"/>
          <w:sz w:val="24"/>
          <w:u w:val="single"/>
        </w:rPr>
        <w:t>采用固定总价包干合同，合同价款不因市场材料、设备价格、数量人工费用、施工机械费用等单价构成要素的变动或工程变更变动而变动。</w:t>
      </w:r>
      <w:r>
        <w:rPr>
          <w:rFonts w:hint="eastAsia" w:ascii="宋体" w:hAnsi="宋体"/>
          <w:sz w:val="24"/>
          <w:u w:val="single"/>
        </w:rPr>
        <w:t>承包人应在投标文件中提交本工程各清单子目对应的综合单价，该综合单价作为计算合同总价的基础。</w:t>
      </w:r>
      <w:r>
        <w:rPr>
          <w:rFonts w:hint="eastAsia"/>
          <w:sz w:val="24"/>
          <w:u w:val="single"/>
        </w:rPr>
        <w:t>承包人的</w:t>
      </w:r>
      <w:r>
        <w:rPr>
          <w:sz w:val="24"/>
          <w:u w:val="single"/>
        </w:rPr>
        <w:t>综合单价指完成工程量清单中一个细目计算单位所需的人工费</w:t>
      </w:r>
      <w:r>
        <w:rPr>
          <w:rFonts w:hint="eastAsia"/>
          <w:sz w:val="24"/>
          <w:u w:val="single"/>
        </w:rPr>
        <w:t>(人工费包含工资、福利、劳保、个人和企业应缴纳的各种保险等与人工相关的一切费用)</w:t>
      </w:r>
      <w:r>
        <w:rPr>
          <w:sz w:val="24"/>
          <w:u w:val="single"/>
        </w:rPr>
        <w:t>、材料费、机械费、运输费</w:t>
      </w:r>
      <w:r>
        <w:rPr>
          <w:rFonts w:hint="eastAsia"/>
          <w:sz w:val="24"/>
          <w:u w:val="single"/>
        </w:rPr>
        <w:t>（含中转、场地租赁及转运费）、保管费、</w:t>
      </w:r>
      <w:r>
        <w:rPr>
          <w:sz w:val="24"/>
          <w:u w:val="single"/>
        </w:rPr>
        <w:t>管理费、</w:t>
      </w:r>
      <w:r>
        <w:rPr>
          <w:rFonts w:hint="eastAsia"/>
          <w:sz w:val="24"/>
          <w:u w:val="single"/>
        </w:rPr>
        <w:t>检测、</w:t>
      </w:r>
      <w:r>
        <w:rPr>
          <w:sz w:val="24"/>
          <w:u w:val="single"/>
        </w:rPr>
        <w:t>利润</w:t>
      </w:r>
      <w:r>
        <w:rPr>
          <w:rFonts w:hint="eastAsia"/>
          <w:sz w:val="24"/>
          <w:u w:val="single"/>
        </w:rPr>
        <w:t>、</w:t>
      </w:r>
      <w:r>
        <w:rPr>
          <w:sz w:val="24"/>
          <w:u w:val="single"/>
        </w:rPr>
        <w:t>以及招标文件中明示或暗示的一切风险、责任和义务和国家法律、法规和地方政府规范性文件所规定的所有费用</w:t>
      </w:r>
      <w:r>
        <w:rPr>
          <w:rFonts w:hint="eastAsia"/>
          <w:sz w:val="24"/>
          <w:u w:val="single"/>
        </w:rPr>
        <w:t>，在整个合同实施期间固定不变</w:t>
      </w:r>
      <w:r>
        <w:rPr>
          <w:sz w:val="24"/>
          <w:u w:val="single"/>
        </w:rPr>
        <w:t>。</w:t>
      </w:r>
      <w:r>
        <w:rPr>
          <w:rFonts w:hint="eastAsia"/>
          <w:color w:val="000000"/>
          <w:sz w:val="24"/>
          <w:u w:val="single"/>
        </w:rPr>
        <w:t xml:space="preserve">  </w:t>
      </w:r>
    </w:p>
    <w:p>
      <w:pPr>
        <w:spacing w:line="360" w:lineRule="auto"/>
        <w:rPr>
          <w:color w:val="000000"/>
          <w:sz w:val="24"/>
        </w:rPr>
      </w:pPr>
    </w:p>
    <w:p>
      <w:pPr>
        <w:spacing w:line="360" w:lineRule="auto"/>
        <w:rPr>
          <w:color w:val="000000"/>
          <w:sz w:val="24"/>
        </w:rPr>
      </w:pPr>
      <w:r>
        <w:rPr>
          <w:rFonts w:hint="eastAsia"/>
          <w:color w:val="000000"/>
          <w:sz w:val="24"/>
        </w:rPr>
        <w:t>确定合同价款的方式：</w:t>
      </w:r>
      <w:bookmarkStart w:id="471" w:name="可调单价合同"/>
      <w:r>
        <w:rPr>
          <w:rFonts w:hint="eastAsia"/>
          <w:color w:val="000000"/>
          <w:sz w:val="24"/>
        </w:rPr>
        <w:t>□</w:t>
      </w:r>
      <w:bookmarkEnd w:id="471"/>
      <w:r>
        <w:rPr>
          <w:rFonts w:hint="eastAsia"/>
          <w:color w:val="000000"/>
          <w:sz w:val="24"/>
        </w:rPr>
        <w:t>固定综合单价合同    ■固定总价包干合同</w:t>
      </w:r>
    </w:p>
    <w:p>
      <w:pPr>
        <w:spacing w:line="360" w:lineRule="auto"/>
        <w:rPr>
          <w:color w:val="000000"/>
          <w:sz w:val="24"/>
        </w:rPr>
      </w:pPr>
      <w:r>
        <w:rPr>
          <w:rFonts w:hint="eastAsia"/>
          <w:color w:val="000000"/>
          <w:sz w:val="24"/>
        </w:rPr>
        <w:t>29.5</w:t>
      </w:r>
      <w:r>
        <w:rPr>
          <w:rFonts w:hint="eastAsia"/>
          <w:sz w:val="24"/>
        </w:rPr>
        <w:t>采用固定总价包干合同，</w:t>
      </w:r>
      <w:r>
        <w:rPr>
          <w:rFonts w:hint="eastAsia"/>
          <w:color w:val="000000"/>
          <w:sz w:val="24"/>
        </w:rPr>
        <w:t>当发生合同价格风险范围以外的事件时，其费用的计算方法如下：</w:t>
      </w:r>
    </w:p>
    <w:p>
      <w:pPr>
        <w:spacing w:line="360" w:lineRule="auto"/>
        <w:rPr>
          <w:color w:val="000000"/>
          <w:sz w:val="24"/>
        </w:rPr>
      </w:pPr>
      <w:r>
        <w:rPr>
          <w:rFonts w:hint="eastAsia"/>
          <w:color w:val="000000"/>
          <w:sz w:val="24"/>
        </w:rPr>
        <w:t>1．因国家政策引起材料、设备价格异常变动导致合同价款变化超</w:t>
      </w:r>
      <w:r>
        <w:rPr>
          <w:rFonts w:hint="eastAsia"/>
          <w:color w:val="000000"/>
          <w:sz w:val="24"/>
          <w:highlight w:val="none"/>
        </w:rPr>
        <w:t>过合同总价5%以上</w:t>
      </w:r>
      <w:r>
        <w:rPr>
          <w:rFonts w:hint="eastAsia"/>
          <w:color w:val="000000"/>
          <w:sz w:val="24"/>
        </w:rPr>
        <w:t>时，其超出部分可作调整。具体调整方法：</w:t>
      </w:r>
    </w:p>
    <w:p>
      <w:pPr>
        <w:spacing w:line="360" w:lineRule="auto"/>
        <w:rPr>
          <w:color w:val="000000"/>
          <w:sz w:val="24"/>
          <w:u w:val="single"/>
        </w:rPr>
      </w:pPr>
      <w:r>
        <w:rPr>
          <w:rFonts w:hint="eastAsia"/>
          <w:color w:val="000000"/>
          <w:sz w:val="24"/>
          <w:u w:val="single"/>
        </w:rPr>
        <w:t xml:space="preserve">   </w:t>
      </w:r>
      <w:bookmarkStart w:id="472" w:name="超出部分可作调整"/>
      <w:r>
        <w:rPr>
          <w:rFonts w:hint="eastAsia"/>
          <w:color w:val="000000"/>
          <w:sz w:val="24"/>
          <w:u w:val="single"/>
        </w:rPr>
        <w:t xml:space="preserve">           不做调整。                                                 </w:t>
      </w:r>
    </w:p>
    <w:bookmarkEnd w:id="472"/>
    <w:p>
      <w:pPr>
        <w:spacing w:line="360" w:lineRule="auto"/>
        <w:rPr>
          <w:color w:val="000000"/>
          <w:sz w:val="24"/>
        </w:rPr>
      </w:pPr>
      <w:r>
        <w:rPr>
          <w:rFonts w:hint="eastAsia"/>
          <w:color w:val="000000"/>
          <w:sz w:val="24"/>
        </w:rPr>
        <w:t>2.双方约定由于各种原因引起下表的材料价格变化超过约定的幅度时，构成合同价款的项目单价可按表中的方法作相应调整。</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851"/>
        <w:gridCol w:w="1774"/>
        <w:gridCol w:w="2195"/>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color w:val="000000"/>
                <w:sz w:val="24"/>
              </w:rPr>
            </w:pPr>
            <w:r>
              <w:rPr>
                <w:rFonts w:hint="eastAsia"/>
                <w:color w:val="000000"/>
                <w:sz w:val="24"/>
              </w:rPr>
              <w:t>序号</w:t>
            </w:r>
          </w:p>
        </w:tc>
        <w:tc>
          <w:tcPr>
            <w:tcW w:w="1984" w:type="dxa"/>
            <w:vAlign w:val="center"/>
          </w:tcPr>
          <w:p>
            <w:pPr>
              <w:spacing w:line="360" w:lineRule="auto"/>
              <w:jc w:val="center"/>
              <w:rPr>
                <w:color w:val="000000"/>
                <w:sz w:val="24"/>
              </w:rPr>
            </w:pPr>
            <w:r>
              <w:rPr>
                <w:rFonts w:hint="eastAsia"/>
                <w:color w:val="000000"/>
                <w:sz w:val="24"/>
              </w:rPr>
              <w:t>材料名称和规格</w:t>
            </w:r>
          </w:p>
        </w:tc>
        <w:tc>
          <w:tcPr>
            <w:tcW w:w="851" w:type="dxa"/>
            <w:vAlign w:val="center"/>
          </w:tcPr>
          <w:p>
            <w:pPr>
              <w:spacing w:line="360" w:lineRule="auto"/>
              <w:jc w:val="center"/>
              <w:rPr>
                <w:color w:val="000000"/>
                <w:sz w:val="24"/>
              </w:rPr>
            </w:pPr>
            <w:r>
              <w:rPr>
                <w:rFonts w:hint="eastAsia"/>
                <w:color w:val="000000"/>
                <w:sz w:val="24"/>
              </w:rPr>
              <w:t>单位</w:t>
            </w:r>
          </w:p>
        </w:tc>
        <w:tc>
          <w:tcPr>
            <w:tcW w:w="1774" w:type="dxa"/>
            <w:vAlign w:val="center"/>
          </w:tcPr>
          <w:p>
            <w:pPr>
              <w:spacing w:line="360" w:lineRule="auto"/>
              <w:jc w:val="center"/>
              <w:rPr>
                <w:color w:val="000000"/>
                <w:sz w:val="24"/>
              </w:rPr>
            </w:pPr>
            <w:r>
              <w:rPr>
                <w:rFonts w:hint="eastAsia"/>
                <w:color w:val="000000"/>
                <w:sz w:val="24"/>
              </w:rPr>
              <w:t>约定的价格</w:t>
            </w:r>
          </w:p>
          <w:p>
            <w:pPr>
              <w:spacing w:line="360" w:lineRule="auto"/>
              <w:jc w:val="center"/>
              <w:rPr>
                <w:color w:val="000000"/>
                <w:sz w:val="24"/>
              </w:rPr>
            </w:pPr>
            <w:r>
              <w:rPr>
                <w:rFonts w:hint="eastAsia"/>
                <w:color w:val="000000"/>
                <w:sz w:val="24"/>
              </w:rPr>
              <w:t>变化幅度%</w:t>
            </w:r>
          </w:p>
        </w:tc>
        <w:tc>
          <w:tcPr>
            <w:tcW w:w="2195" w:type="dxa"/>
            <w:vAlign w:val="center"/>
          </w:tcPr>
          <w:p>
            <w:pPr>
              <w:spacing w:line="360" w:lineRule="auto"/>
              <w:jc w:val="center"/>
              <w:rPr>
                <w:color w:val="000000"/>
                <w:sz w:val="24"/>
              </w:rPr>
            </w:pPr>
            <w:r>
              <w:rPr>
                <w:rFonts w:hint="eastAsia"/>
                <w:color w:val="000000"/>
                <w:sz w:val="24"/>
              </w:rPr>
              <w:t>调整方法</w:t>
            </w:r>
          </w:p>
        </w:tc>
        <w:tc>
          <w:tcPr>
            <w:tcW w:w="1060" w:type="dxa"/>
            <w:vAlign w:val="center"/>
          </w:tcPr>
          <w:p>
            <w:pPr>
              <w:spacing w:line="360" w:lineRule="auto"/>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rPr>
                <w:color w:val="000000"/>
                <w:sz w:val="24"/>
              </w:rPr>
            </w:pPr>
            <w:bookmarkStart w:id="473" w:name="合同价款的项目单价" w:colFirst="0" w:colLast="5"/>
            <w:r>
              <w:rPr>
                <w:rFonts w:hint="eastAsia"/>
                <w:color w:val="000000"/>
                <w:sz w:val="24"/>
              </w:rPr>
              <w:t>/</w:t>
            </w:r>
          </w:p>
        </w:tc>
        <w:tc>
          <w:tcPr>
            <w:tcW w:w="1984" w:type="dxa"/>
            <w:vAlign w:val="center"/>
          </w:tcPr>
          <w:p>
            <w:pPr>
              <w:spacing w:line="360" w:lineRule="auto"/>
              <w:rPr>
                <w:color w:val="000000"/>
                <w:sz w:val="24"/>
              </w:rPr>
            </w:pPr>
            <w:r>
              <w:rPr>
                <w:rFonts w:hint="eastAsia"/>
                <w:color w:val="000000"/>
                <w:sz w:val="24"/>
              </w:rPr>
              <w:t>/</w:t>
            </w:r>
          </w:p>
        </w:tc>
        <w:tc>
          <w:tcPr>
            <w:tcW w:w="851" w:type="dxa"/>
            <w:vAlign w:val="center"/>
          </w:tcPr>
          <w:p>
            <w:pPr>
              <w:spacing w:line="360" w:lineRule="auto"/>
              <w:rPr>
                <w:color w:val="000000"/>
                <w:sz w:val="24"/>
              </w:rPr>
            </w:pPr>
            <w:r>
              <w:rPr>
                <w:rFonts w:hint="eastAsia"/>
                <w:color w:val="000000"/>
                <w:sz w:val="24"/>
              </w:rPr>
              <w:t>/</w:t>
            </w:r>
          </w:p>
        </w:tc>
        <w:tc>
          <w:tcPr>
            <w:tcW w:w="1774" w:type="dxa"/>
            <w:vAlign w:val="center"/>
          </w:tcPr>
          <w:p>
            <w:pPr>
              <w:spacing w:line="360" w:lineRule="auto"/>
              <w:rPr>
                <w:color w:val="000000"/>
                <w:sz w:val="24"/>
              </w:rPr>
            </w:pPr>
            <w:r>
              <w:rPr>
                <w:rFonts w:hint="eastAsia"/>
                <w:color w:val="000000"/>
                <w:sz w:val="24"/>
              </w:rPr>
              <w:t>/</w:t>
            </w:r>
          </w:p>
        </w:tc>
        <w:tc>
          <w:tcPr>
            <w:tcW w:w="2195" w:type="dxa"/>
            <w:vAlign w:val="center"/>
          </w:tcPr>
          <w:p>
            <w:pPr>
              <w:spacing w:line="360" w:lineRule="auto"/>
              <w:rPr>
                <w:color w:val="000000"/>
                <w:sz w:val="24"/>
              </w:rPr>
            </w:pPr>
            <w:r>
              <w:rPr>
                <w:rFonts w:hint="eastAsia"/>
                <w:color w:val="000000"/>
                <w:sz w:val="24"/>
              </w:rPr>
              <w:t>/</w:t>
            </w:r>
          </w:p>
        </w:tc>
        <w:tc>
          <w:tcPr>
            <w:tcW w:w="1060" w:type="dxa"/>
            <w:vAlign w:val="center"/>
          </w:tcPr>
          <w:p>
            <w:pPr>
              <w:spacing w:line="360" w:lineRule="auto"/>
              <w:rPr>
                <w:color w:val="000000"/>
                <w:sz w:val="24"/>
              </w:rPr>
            </w:pP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rPr>
                <w:color w:val="000000"/>
                <w:sz w:val="24"/>
              </w:rPr>
            </w:pPr>
          </w:p>
        </w:tc>
        <w:tc>
          <w:tcPr>
            <w:tcW w:w="1984" w:type="dxa"/>
            <w:vAlign w:val="center"/>
          </w:tcPr>
          <w:p>
            <w:pPr>
              <w:spacing w:line="360" w:lineRule="auto"/>
              <w:rPr>
                <w:color w:val="000000"/>
                <w:sz w:val="24"/>
              </w:rPr>
            </w:pPr>
          </w:p>
        </w:tc>
        <w:tc>
          <w:tcPr>
            <w:tcW w:w="851" w:type="dxa"/>
            <w:vAlign w:val="center"/>
          </w:tcPr>
          <w:p>
            <w:pPr>
              <w:spacing w:line="360" w:lineRule="auto"/>
              <w:rPr>
                <w:color w:val="000000"/>
                <w:sz w:val="24"/>
              </w:rPr>
            </w:pPr>
          </w:p>
        </w:tc>
        <w:tc>
          <w:tcPr>
            <w:tcW w:w="1774" w:type="dxa"/>
            <w:vAlign w:val="center"/>
          </w:tcPr>
          <w:p>
            <w:pPr>
              <w:spacing w:line="360" w:lineRule="auto"/>
              <w:rPr>
                <w:color w:val="000000"/>
                <w:sz w:val="24"/>
              </w:rPr>
            </w:pPr>
          </w:p>
        </w:tc>
        <w:tc>
          <w:tcPr>
            <w:tcW w:w="2195" w:type="dxa"/>
            <w:vAlign w:val="center"/>
          </w:tcPr>
          <w:p>
            <w:pPr>
              <w:spacing w:line="360" w:lineRule="auto"/>
              <w:rPr>
                <w:color w:val="000000"/>
                <w:sz w:val="24"/>
              </w:rPr>
            </w:pPr>
          </w:p>
          <w:p/>
        </w:tc>
        <w:tc>
          <w:tcPr>
            <w:tcW w:w="1060" w:type="dxa"/>
            <w:vAlign w:val="center"/>
          </w:tcPr>
          <w:p>
            <w:pPr>
              <w:spacing w:line="360" w:lineRule="auto"/>
              <w:rPr>
                <w:color w:val="000000"/>
                <w:sz w:val="24"/>
              </w:rPr>
            </w:pPr>
          </w:p>
        </w:tc>
      </w:tr>
      <w:bookmarkEnd w:id="473"/>
    </w:tbl>
    <w:p>
      <w:pPr>
        <w:spacing w:line="360" w:lineRule="auto"/>
        <w:ind w:firstLine="480"/>
        <w:rPr>
          <w:rFonts w:ascii="宋体" w:hAnsi="宋体"/>
          <w:sz w:val="24"/>
        </w:rPr>
      </w:pPr>
      <w:r>
        <w:rPr>
          <w:rFonts w:hint="eastAsia"/>
          <w:color w:val="000000"/>
          <w:sz w:val="24"/>
        </w:rPr>
        <w:t>3.</w:t>
      </w:r>
      <w:r>
        <w:rPr>
          <w:rFonts w:ascii="宋体" w:hAnsi="宋体"/>
          <w:sz w:val="24"/>
        </w:rPr>
        <w:t>用于本工程的可调差材料发生价格波动时合同价格的调整方法为：</w:t>
      </w:r>
    </w:p>
    <w:p>
      <w:pPr>
        <w:spacing w:line="360" w:lineRule="auto"/>
        <w:ind w:firstLine="480"/>
        <w:rPr>
          <w:rFonts w:ascii="宋体" w:hAnsi="宋体"/>
          <w:sz w:val="24"/>
        </w:rPr>
      </w:pPr>
      <w:r>
        <w:rPr>
          <w:rFonts w:hint="eastAsia" w:ascii="Segoe UI Symbol" w:hAnsi="Segoe UI Symbol" w:eastAsia="微软雅黑" w:cs="Segoe UI Symbol"/>
          <w:color w:val="333333"/>
          <w:sz w:val="24"/>
        </w:rPr>
        <w:sym w:font="Wingdings 2" w:char="0052"/>
      </w:r>
      <w:r>
        <w:rPr>
          <w:rFonts w:hint="eastAsia" w:ascii="宋体" w:hAnsi="宋体"/>
          <w:sz w:val="24"/>
        </w:rPr>
        <w:t>（</w:t>
      </w:r>
      <w:r>
        <w:rPr>
          <w:rFonts w:ascii="宋体" w:hAnsi="宋体"/>
          <w:sz w:val="24"/>
        </w:rPr>
        <w:t>1）加权平均法。</w:t>
      </w:r>
    </w:p>
    <w:p>
      <w:pPr>
        <w:spacing w:line="360" w:lineRule="auto"/>
        <w:ind w:firstLine="480"/>
        <w:rPr>
          <w:rFonts w:ascii="宋体" w:hAnsi="宋体"/>
          <w:sz w:val="24"/>
        </w:rPr>
      </w:pPr>
      <w:r>
        <w:rPr>
          <w:rFonts w:hint="eastAsia" w:ascii="宋体" w:hAnsi="宋体"/>
          <w:sz w:val="24"/>
        </w:rPr>
        <w:t>□（</w:t>
      </w:r>
      <w:r>
        <w:rPr>
          <w:rFonts w:ascii="宋体" w:hAnsi="宋体"/>
          <w:sz w:val="24"/>
        </w:rPr>
        <w:t>2）算术平均法。</w:t>
      </w:r>
    </w:p>
    <w:p>
      <w:pPr>
        <w:spacing w:line="360" w:lineRule="auto"/>
        <w:ind w:firstLine="480"/>
        <w:rPr>
          <w:rFonts w:ascii="宋体" w:hAnsi="宋体"/>
          <w:bCs/>
          <w:sz w:val="24"/>
          <w:u w:val="single"/>
        </w:rPr>
      </w:pPr>
      <w:r>
        <w:rPr>
          <w:rFonts w:hint="eastAsia" w:ascii="宋体" w:hAnsi="宋体"/>
          <w:sz w:val="24"/>
        </w:rPr>
        <w:t>□（</w:t>
      </w:r>
      <w:r>
        <w:rPr>
          <w:rFonts w:ascii="宋体" w:hAnsi="宋体"/>
          <w:sz w:val="24"/>
        </w:rPr>
        <w:t>3）其他方法。具体约定为：</w:t>
      </w:r>
      <w:r>
        <w:rPr>
          <w:rFonts w:ascii="宋体" w:hAnsi="宋体"/>
          <w:sz w:val="24"/>
          <w:u w:val="single"/>
        </w:rPr>
        <w:t xml:space="preserve"> </w:t>
      </w:r>
      <w:r>
        <w:rPr>
          <w:rFonts w:hint="eastAsia" w:ascii="宋体" w:hAnsi="宋体"/>
          <w:sz w:val="24"/>
          <w:u w:val="single"/>
        </w:rPr>
        <w:t>无。</w:t>
      </w:r>
      <w:r>
        <w:rPr>
          <w:rFonts w:ascii="宋体" w:hAnsi="宋体"/>
          <w:bCs/>
          <w:sz w:val="24"/>
          <w:u w:val="single"/>
        </w:rPr>
        <w:t xml:space="preserve"> </w:t>
      </w:r>
    </w:p>
    <w:p>
      <w:pPr>
        <w:spacing w:line="360" w:lineRule="auto"/>
        <w:ind w:firstLine="480"/>
        <w:rPr>
          <w:rFonts w:ascii="宋体" w:hAnsi="宋体"/>
          <w:sz w:val="24"/>
          <w:highlight w:val="none"/>
        </w:rPr>
      </w:pPr>
      <w:r>
        <w:rPr>
          <w:rFonts w:hint="eastAsia" w:ascii="宋体" w:hAnsi="宋体"/>
          <w:sz w:val="24"/>
        </w:rPr>
        <w:t>调差公式中，</w:t>
      </w:r>
      <w:r>
        <w:rPr>
          <w:rFonts w:ascii="宋体" w:hAnsi="宋体"/>
          <w:sz w:val="24"/>
        </w:rPr>
        <w:t>P</w:t>
      </w:r>
      <w:r>
        <w:rPr>
          <w:rFonts w:ascii="宋体" w:hAnsi="宋体"/>
          <w:sz w:val="24"/>
          <w:vertAlign w:val="subscript"/>
        </w:rPr>
        <w:t>0</w:t>
      </w:r>
      <w:r>
        <w:rPr>
          <w:rFonts w:hint="eastAsia" w:ascii="宋体" w:hAnsi="宋体"/>
          <w:sz w:val="24"/>
        </w:rPr>
        <w:t>为</w:t>
      </w:r>
      <w:r>
        <w:rPr>
          <w:rFonts w:ascii="宋体" w:hAnsi="宋体"/>
          <w:sz w:val="24"/>
          <w:u w:val="single"/>
        </w:rPr>
        <w:t xml:space="preserve"> </w:t>
      </w:r>
      <w:r>
        <w:rPr>
          <w:rFonts w:hint="eastAsia" w:ascii="宋体" w:hAnsi="宋体"/>
          <w:sz w:val="24"/>
          <w:u w:val="single"/>
        </w:rPr>
        <w:t>XXXX</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highlight w:val="none"/>
          <w:u w:val="single"/>
        </w:rPr>
        <w:t>XX</w:t>
      </w:r>
      <w:r>
        <w:rPr>
          <w:rFonts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lang w:val="en-US" w:eastAsia="zh-CN"/>
        </w:rPr>
        <w:t>广州</w:t>
      </w:r>
      <w:r>
        <w:rPr>
          <w:rFonts w:hint="eastAsia" w:ascii="宋体" w:hAnsi="宋体"/>
          <w:sz w:val="24"/>
          <w:highlight w:val="none"/>
        </w:rPr>
        <w:t>市建设工程价格信息》某材料含税价格。</w:t>
      </w:r>
    </w:p>
    <w:p>
      <w:pPr>
        <w:spacing w:line="360" w:lineRule="auto"/>
        <w:ind w:firstLine="480"/>
        <w:rPr>
          <w:rFonts w:ascii="宋体" w:hAnsi="宋体"/>
          <w:sz w:val="24"/>
        </w:rPr>
      </w:pPr>
      <w:r>
        <w:rPr>
          <w:rFonts w:hint="eastAsia" w:ascii="宋体" w:hAnsi="宋体"/>
          <w:sz w:val="24"/>
          <w:highlight w:val="none"/>
        </w:rPr>
        <w:t>本合同</w:t>
      </w:r>
      <w:r>
        <w:rPr>
          <w:rFonts w:ascii="宋体" w:hAnsi="宋体"/>
          <w:sz w:val="24"/>
          <w:highlight w:val="none"/>
        </w:rPr>
        <w:t>Q</w:t>
      </w:r>
      <w:r>
        <w:rPr>
          <w:rFonts w:hint="eastAsia" w:ascii="宋体" w:hAnsi="宋体"/>
          <w:sz w:val="24"/>
          <w:highlight w:val="none"/>
          <w:vertAlign w:val="subscript"/>
        </w:rPr>
        <w:t>总</w:t>
      </w:r>
      <w:r>
        <w:rPr>
          <w:rFonts w:hint="eastAsia" w:ascii="宋体" w:hAnsi="宋体"/>
          <w:sz w:val="24"/>
          <w:highlight w:val="none"/>
        </w:rPr>
        <w:t>、</w:t>
      </w:r>
      <w:r>
        <w:rPr>
          <w:rFonts w:ascii="宋体" w:hAnsi="宋体"/>
          <w:sz w:val="24"/>
          <w:highlight w:val="none"/>
        </w:rPr>
        <w:t>Q</w:t>
      </w:r>
      <w:r>
        <w:rPr>
          <w:rFonts w:ascii="宋体" w:hAnsi="宋体"/>
          <w:sz w:val="24"/>
          <w:highlight w:val="none"/>
          <w:vertAlign w:val="subscript"/>
        </w:rPr>
        <w:t>i</w:t>
      </w:r>
      <w:r>
        <w:rPr>
          <w:rFonts w:hint="eastAsia" w:ascii="宋体" w:hAnsi="宋体"/>
          <w:sz w:val="24"/>
          <w:highlight w:val="none"/>
        </w:rPr>
        <w:t>中，考虑的消耗量因素为：（注：只能选择一种方</w:t>
      </w:r>
      <w:r>
        <w:rPr>
          <w:rFonts w:hint="eastAsia" w:ascii="宋体" w:hAnsi="宋体"/>
          <w:sz w:val="24"/>
        </w:rPr>
        <w:t>式，在选定的方式前的“□”内打“√”）</w:t>
      </w:r>
    </w:p>
    <w:p>
      <w:pPr>
        <w:spacing w:line="360" w:lineRule="auto"/>
        <w:ind w:firstLine="480"/>
        <w:rPr>
          <w:rFonts w:ascii="宋体" w:hAnsi="宋体"/>
          <w:sz w:val="24"/>
        </w:rPr>
      </w:pPr>
      <w:r>
        <w:rPr>
          <w:rFonts w:hint="eastAsia" w:ascii="宋体" w:hAnsi="宋体"/>
          <w:sz w:val="24"/>
        </w:rPr>
        <w:t>□投标报价中材料消耗量。</w:t>
      </w:r>
    </w:p>
    <w:p>
      <w:pPr>
        <w:spacing w:line="360" w:lineRule="auto"/>
        <w:ind w:firstLine="480"/>
        <w:rPr>
          <w:rFonts w:ascii="宋体" w:hAnsi="宋体"/>
          <w:sz w:val="24"/>
        </w:rPr>
      </w:pPr>
      <w:r>
        <w:rPr>
          <w:rFonts w:hint="eastAsia" w:ascii="宋体" w:hAnsi="宋体"/>
          <w:sz w:val="24"/>
        </w:rPr>
        <w:t>□定额消耗量。</w:t>
      </w:r>
    </w:p>
    <w:p>
      <w:pPr>
        <w:spacing w:line="360" w:lineRule="auto"/>
        <w:ind w:firstLine="480"/>
        <w:rPr>
          <w:rFonts w:ascii="宋体" w:hAnsi="宋体"/>
          <w:sz w:val="24"/>
        </w:rPr>
      </w:pPr>
      <w:r>
        <w:rPr>
          <w:rFonts w:ascii="Segoe UI Symbol" w:hAnsi="Segoe UI Symbol" w:eastAsia="微软雅黑" w:cs="Segoe UI Symbol"/>
          <w:color w:val="333333"/>
          <w:sz w:val="24"/>
        </w:rPr>
        <w:t>☑</w:t>
      </w:r>
      <w:r>
        <w:rPr>
          <w:rFonts w:hint="eastAsia" w:ascii="宋体" w:hAnsi="宋体"/>
          <w:sz w:val="24"/>
        </w:rPr>
        <w:t>投标报价中材料消耗量和定额消耗量两者中最小值。</w:t>
      </w:r>
    </w:p>
    <w:p>
      <w:pPr>
        <w:spacing w:line="360" w:lineRule="auto"/>
        <w:ind w:firstLine="664" w:firstLineChars="277"/>
        <w:rPr>
          <w:rFonts w:ascii="宋体" w:hAnsi="宋体"/>
          <w:sz w:val="24"/>
        </w:rPr>
      </w:pPr>
      <w:r>
        <w:rPr>
          <w:rFonts w:hint="eastAsia" w:ascii="宋体" w:hAnsi="宋体"/>
          <w:sz w:val="24"/>
        </w:rPr>
        <w:t>□其他：</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r>
        <w:rPr>
          <w:rFonts w:hint="eastAsia" w:ascii="宋体" w:hAnsi="宋体"/>
          <w:sz w:val="24"/>
        </w:rPr>
        <w:t>。</w:t>
      </w:r>
    </w:p>
    <w:p>
      <w:pPr>
        <w:spacing w:line="360" w:lineRule="auto"/>
        <w:ind w:firstLine="480"/>
        <w:rPr>
          <w:color w:val="000000"/>
          <w:sz w:val="24"/>
        </w:rPr>
      </w:pPr>
      <w:r>
        <w:rPr>
          <w:color w:val="000000"/>
          <w:sz w:val="24"/>
        </w:rPr>
        <w:t xml:space="preserve">4. </w:t>
      </w:r>
      <w:r>
        <w:rPr>
          <w:rFonts w:hint="eastAsia"/>
          <w:color w:val="000000"/>
          <w:sz w:val="24"/>
        </w:rPr>
        <w:t>本工程工料机调差费用的计算和支付约定如下：</w:t>
      </w:r>
    </w:p>
    <w:p>
      <w:pPr>
        <w:spacing w:line="360" w:lineRule="auto"/>
        <w:ind w:firstLine="480"/>
        <w:rPr>
          <w:rFonts w:ascii="宋体" w:hAnsi="宋体"/>
          <w:sz w:val="24"/>
        </w:rPr>
      </w:pPr>
      <w:r>
        <w:rPr>
          <w:rFonts w:ascii="Segoe UI Symbol" w:hAnsi="Segoe UI Symbol" w:eastAsia="微软雅黑" w:cs="Segoe UI Symbol"/>
          <w:color w:val="333333"/>
          <w:sz w:val="24"/>
        </w:rPr>
        <w:t>☑</w:t>
      </w:r>
      <w:r>
        <w:rPr>
          <w:rFonts w:hint="eastAsia" w:ascii="宋体" w:hAnsi="宋体"/>
          <w:sz w:val="24"/>
        </w:rPr>
        <w:t>与其相关的工程完工后进行计算并同期支付。</w:t>
      </w:r>
    </w:p>
    <w:p>
      <w:pPr>
        <w:spacing w:line="360" w:lineRule="auto"/>
        <w:ind w:firstLine="480"/>
        <w:rPr>
          <w:rFonts w:ascii="宋体" w:hAnsi="宋体"/>
          <w:sz w:val="24"/>
        </w:rPr>
      </w:pPr>
      <w:r>
        <w:rPr>
          <w:rFonts w:hint="eastAsia" w:ascii="宋体" w:hAnsi="宋体"/>
          <w:sz w:val="24"/>
        </w:rPr>
        <w:t>□竣工结算时一次性计算和支付。</w:t>
      </w:r>
    </w:p>
    <w:p>
      <w:pPr>
        <w:spacing w:line="360" w:lineRule="auto"/>
        <w:ind w:firstLine="480" w:firstLineChars="200"/>
        <w:rPr>
          <w:rFonts w:ascii="宋体" w:hAnsi="宋体"/>
          <w:sz w:val="24"/>
          <w:u w:val="single"/>
        </w:rPr>
      </w:pPr>
      <w:r>
        <w:rPr>
          <w:rFonts w:hint="eastAsia" w:ascii="宋体" w:hAnsi="宋体"/>
          <w:sz w:val="24"/>
        </w:rPr>
        <w:t>□其他方式。具体约定为：</w:t>
      </w:r>
      <w:r>
        <w:rPr>
          <w:rFonts w:ascii="宋体" w:hAnsi="宋体"/>
          <w:sz w:val="24"/>
          <w:u w:val="single"/>
        </w:rPr>
        <w:t xml:space="preserve">  </w:t>
      </w:r>
      <w:r>
        <w:rPr>
          <w:rFonts w:hint="eastAsia" w:ascii="宋体" w:hAnsi="宋体"/>
          <w:sz w:val="24"/>
          <w:u w:val="single"/>
        </w:rPr>
        <w:t>无</w:t>
      </w:r>
      <w:r>
        <w:rPr>
          <w:rFonts w:ascii="宋体" w:hAnsi="宋体"/>
          <w:sz w:val="24"/>
          <w:u w:val="single"/>
        </w:rPr>
        <w:t xml:space="preserve"> </w:t>
      </w:r>
    </w:p>
    <w:p>
      <w:pPr>
        <w:spacing w:line="360" w:lineRule="auto"/>
        <w:ind w:firstLine="480"/>
        <w:rPr>
          <w:rFonts w:ascii="宋体" w:hAnsi="宋体"/>
          <w:sz w:val="24"/>
        </w:rPr>
      </w:pPr>
      <w:r>
        <w:rPr>
          <w:rFonts w:ascii="宋体" w:hAnsi="宋体"/>
          <w:sz w:val="24"/>
        </w:rPr>
        <w:t>5.</w:t>
      </w:r>
      <w:r>
        <w:rPr>
          <w:rFonts w:hint="eastAsia" w:ascii="宋体" w:hAnsi="宋体"/>
          <w:sz w:val="24"/>
        </w:rPr>
        <w:t>以按公式计算出的调差费用，不计管理费和利润，加上按</w:t>
      </w:r>
      <w:r>
        <w:rPr>
          <w:rFonts w:hint="eastAsia" w:ascii="宋体" w:hAnsi="宋体"/>
          <w:sz w:val="24"/>
          <w:lang w:val="en-US" w:eastAsia="zh-CN"/>
        </w:rPr>
        <w:t>广州</w:t>
      </w:r>
      <w:r>
        <w:rPr>
          <w:rFonts w:hint="eastAsia" w:ascii="宋体" w:hAnsi="宋体"/>
          <w:sz w:val="24"/>
        </w:rPr>
        <w:t>市增值税税率计取的税金为最终调差费用。</w:t>
      </w:r>
    </w:p>
    <w:p>
      <w:pPr>
        <w:spacing w:line="360" w:lineRule="auto"/>
        <w:ind w:firstLine="480"/>
        <w:rPr>
          <w:rFonts w:ascii="宋体" w:hAnsi="宋体"/>
          <w:sz w:val="24"/>
        </w:rPr>
      </w:pPr>
      <w:bookmarkStart w:id="474" w:name="_Hlk117518592"/>
      <w:r>
        <w:rPr>
          <w:rFonts w:hint="eastAsia" w:ascii="宋体" w:hAnsi="宋体"/>
          <w:sz w:val="24"/>
        </w:rPr>
        <w:t>6</w:t>
      </w:r>
      <w:r>
        <w:rPr>
          <w:rFonts w:ascii="宋体" w:hAnsi="宋体"/>
          <w:sz w:val="24"/>
        </w:rPr>
        <w:t>.</w:t>
      </w:r>
      <w:r>
        <w:rPr>
          <w:rFonts w:hint="eastAsia" w:ascii="宋体" w:hAnsi="宋体"/>
          <w:sz w:val="24"/>
        </w:rPr>
        <w:t>调差费用的确认须提供调差材料对应清单的综合单价分析表、材料用量、信息价等佐证资料经项目管理单位、发包人签字确认。</w:t>
      </w:r>
    </w:p>
    <w:bookmarkEnd w:id="474"/>
    <w:p>
      <w:pPr>
        <w:spacing w:line="360" w:lineRule="auto"/>
        <w:rPr>
          <w:color w:val="000000"/>
          <w:sz w:val="24"/>
          <w:u w:val="single"/>
        </w:rPr>
      </w:pPr>
      <w:r>
        <w:rPr>
          <w:rFonts w:hint="eastAsia"/>
          <w:color w:val="000000"/>
          <w:sz w:val="24"/>
        </w:rPr>
        <w:t>29.7暂估价材料、设备名称及专业工程暂估价：</w:t>
      </w:r>
      <w:r>
        <w:rPr>
          <w:rFonts w:hint="eastAsia"/>
          <w:color w:val="000000"/>
          <w:sz w:val="24"/>
          <w:u w:val="single"/>
        </w:rPr>
        <w:t xml:space="preserve">  详见工程量清单及招标控制价   </w:t>
      </w:r>
      <w:bookmarkStart w:id="475" w:name="暂定价材料设备名称及暂定价"/>
    </w:p>
    <w:bookmarkEnd w:id="475"/>
    <w:p>
      <w:pPr>
        <w:spacing w:line="360" w:lineRule="auto"/>
        <w:rPr>
          <w:color w:val="000000"/>
          <w:sz w:val="24"/>
          <w:u w:val="single"/>
        </w:rPr>
      </w:pPr>
      <w:r>
        <w:rPr>
          <w:rFonts w:hint="eastAsia"/>
          <w:color w:val="000000"/>
          <w:sz w:val="24"/>
        </w:rPr>
        <w:t>29.8暂估价的最后确定方法：</w:t>
      </w:r>
      <w:r>
        <w:rPr>
          <w:rFonts w:hint="eastAsia"/>
          <w:color w:val="000000"/>
          <w:sz w:val="24"/>
          <w:u w:val="single"/>
        </w:rPr>
        <w:t xml:space="preserve">          见补充条款         </w:t>
      </w:r>
    </w:p>
    <w:p>
      <w:pPr>
        <w:spacing w:line="360" w:lineRule="auto"/>
        <w:rPr>
          <w:color w:val="000000"/>
          <w:sz w:val="24"/>
          <w:u w:val="single"/>
        </w:rPr>
      </w:pPr>
      <w:r>
        <w:rPr>
          <w:rFonts w:hint="eastAsia"/>
          <w:color w:val="000000"/>
          <w:sz w:val="24"/>
        </w:rPr>
        <w:t>29.9暂列金额工程名称及暂列金额：</w:t>
      </w:r>
      <w:r>
        <w:rPr>
          <w:rFonts w:hint="eastAsia"/>
          <w:color w:val="000000"/>
          <w:sz w:val="24"/>
          <w:u w:val="single"/>
        </w:rPr>
        <w:t xml:space="preserve">  </w:t>
      </w:r>
      <w:bookmarkStart w:id="476" w:name="暂定金额工程名称及暂定金额"/>
      <w:r>
        <w:rPr>
          <w:rFonts w:hint="eastAsia"/>
          <w:color w:val="000000"/>
          <w:sz w:val="24"/>
          <w:u w:val="single"/>
        </w:rPr>
        <w:t xml:space="preserve">详见工程量清单及招标控制价             </w:t>
      </w:r>
    </w:p>
    <w:bookmarkEnd w:id="476"/>
    <w:p>
      <w:pPr>
        <w:spacing w:line="360" w:lineRule="auto"/>
        <w:rPr>
          <w:color w:val="000000"/>
          <w:sz w:val="24"/>
          <w:u w:val="single"/>
        </w:rPr>
      </w:pPr>
      <w:r>
        <w:rPr>
          <w:rFonts w:hint="eastAsia"/>
          <w:color w:val="000000"/>
          <w:sz w:val="24"/>
        </w:rPr>
        <w:t>29.10暂列金额的最后使用：</w:t>
      </w:r>
      <w:r>
        <w:rPr>
          <w:rFonts w:hint="eastAsia"/>
          <w:color w:val="000000"/>
          <w:sz w:val="24"/>
          <w:u w:val="single"/>
        </w:rPr>
        <w:t>　　　　　　　／　　　　　　</w:t>
      </w:r>
    </w:p>
    <w:p>
      <w:pPr>
        <w:spacing w:line="360" w:lineRule="auto"/>
        <w:rPr>
          <w:color w:val="000000"/>
          <w:sz w:val="28"/>
          <w:szCs w:val="28"/>
        </w:rPr>
      </w:pPr>
      <w:bookmarkStart w:id="477" w:name="_Toc35656542"/>
      <w:r>
        <w:rPr>
          <w:rFonts w:hint="eastAsia"/>
          <w:color w:val="000000"/>
          <w:sz w:val="28"/>
          <w:szCs w:val="28"/>
        </w:rPr>
        <w:t>30 工程量确认</w:t>
      </w:r>
      <w:bookmarkEnd w:id="477"/>
    </w:p>
    <w:p>
      <w:pPr>
        <w:spacing w:line="360" w:lineRule="auto"/>
        <w:rPr>
          <w:color w:val="000000"/>
          <w:sz w:val="24"/>
        </w:rPr>
      </w:pPr>
      <w:r>
        <w:rPr>
          <w:rFonts w:hint="eastAsia"/>
          <w:color w:val="000000"/>
          <w:sz w:val="24"/>
        </w:rPr>
        <w:t>30.1本工程采用的工程量计算规则：</w:t>
      </w:r>
    </w:p>
    <w:p>
      <w:pPr>
        <w:spacing w:line="360" w:lineRule="auto"/>
        <w:rPr>
          <w:color w:val="000000"/>
          <w:sz w:val="24"/>
          <w:highlight w:val="none"/>
        </w:rPr>
      </w:pPr>
      <w:r>
        <w:rPr>
          <w:rFonts w:hint="eastAsia"/>
          <w:color w:val="000000"/>
          <w:sz w:val="24"/>
        </w:rPr>
        <w:t>■《建设工程工程</w:t>
      </w:r>
      <w:r>
        <w:rPr>
          <w:rFonts w:hint="eastAsia"/>
          <w:color w:val="000000"/>
          <w:sz w:val="24"/>
          <w:highlight w:val="none"/>
        </w:rPr>
        <w:t>量清单计价规范》（GB50500-2013）及《</w:t>
      </w:r>
      <w:r>
        <w:rPr>
          <w:rFonts w:hint="eastAsia"/>
          <w:color w:val="000000"/>
          <w:sz w:val="24"/>
          <w:highlight w:val="none"/>
          <w:lang w:val="en-US" w:eastAsia="zh-CN"/>
        </w:rPr>
        <w:t>广州</w:t>
      </w:r>
      <w:r>
        <w:rPr>
          <w:rFonts w:hint="eastAsia"/>
          <w:color w:val="000000"/>
          <w:sz w:val="24"/>
          <w:highlight w:val="none"/>
        </w:rPr>
        <w:t>市建设工程工程量清单计价实施细则》；</w:t>
      </w:r>
    </w:p>
    <w:p>
      <w:pPr>
        <w:spacing w:line="360" w:lineRule="auto"/>
        <w:rPr>
          <w:color w:val="000000"/>
          <w:sz w:val="24"/>
          <w:highlight w:val="none"/>
        </w:rPr>
      </w:pPr>
      <w:bookmarkStart w:id="478" w:name="深圳市综合价格中的分部分项工程量计算规则"/>
      <w:r>
        <w:rPr>
          <w:rFonts w:hint="eastAsia"/>
          <w:color w:val="000000"/>
          <w:sz w:val="24"/>
          <w:highlight w:val="none"/>
        </w:rPr>
        <w:t>□</w:t>
      </w:r>
      <w:bookmarkEnd w:id="478"/>
      <w:r>
        <w:rPr>
          <w:rFonts w:hint="eastAsia"/>
          <w:color w:val="000000"/>
          <w:sz w:val="24"/>
          <w:highlight w:val="none"/>
          <w:lang w:val="en-US" w:eastAsia="zh-CN"/>
        </w:rPr>
        <w:t>广州</w:t>
      </w:r>
      <w:r>
        <w:rPr>
          <w:rFonts w:hint="eastAsia"/>
          <w:color w:val="000000"/>
          <w:sz w:val="24"/>
          <w:highlight w:val="none"/>
        </w:rPr>
        <w:t>市综合价格中的分部分项工程量计算规则；</w:t>
      </w:r>
      <w:bookmarkStart w:id="479" w:name="其他工程量计算规则"/>
      <w:r>
        <w:rPr>
          <w:rFonts w:hint="eastAsia"/>
          <w:color w:val="000000"/>
          <w:sz w:val="24"/>
          <w:highlight w:val="none"/>
        </w:rPr>
        <w:t xml:space="preserve">       </w:t>
      </w:r>
    </w:p>
    <w:p>
      <w:pPr>
        <w:spacing w:line="360" w:lineRule="auto"/>
        <w:rPr>
          <w:rFonts w:hint="eastAsia"/>
          <w:color w:val="000000"/>
          <w:sz w:val="24"/>
          <w:u w:val="single"/>
        </w:rPr>
      </w:pPr>
      <w:r>
        <w:rPr>
          <w:rFonts w:hint="eastAsia"/>
          <w:color w:val="000000"/>
          <w:sz w:val="24"/>
          <w:highlight w:val="none"/>
          <w:u w:val="single"/>
        </w:rPr>
        <w:t>30.2 因承包人的原因导</w:t>
      </w:r>
      <w:r>
        <w:rPr>
          <w:rFonts w:hint="eastAsia"/>
          <w:color w:val="000000"/>
          <w:sz w:val="24"/>
          <w:u w:val="single"/>
        </w:rPr>
        <w:t>致的返工、重做、修理等，不得计入项目结算的工程量。</w:t>
      </w:r>
    </w:p>
    <w:p>
      <w:pPr>
        <w:spacing w:before="156" w:beforeLines="50" w:line="440" w:lineRule="exact"/>
        <w:rPr>
          <w:rFonts w:hint="eastAsia"/>
          <w:color w:val="000000"/>
          <w:sz w:val="24"/>
        </w:rPr>
      </w:pPr>
      <w:r>
        <w:rPr>
          <w:rFonts w:hint="eastAsia"/>
          <w:color w:val="000000"/>
          <w:sz w:val="24"/>
        </w:rPr>
        <w:t>■其他</w:t>
      </w:r>
    </w:p>
    <w:p>
      <w:pPr>
        <w:widowControl/>
        <w:spacing w:line="360" w:lineRule="auto"/>
        <w:ind w:left="629" w:hanging="629"/>
        <w:rPr>
          <w:rFonts w:hAnsi="宋体" w:cs="宋体"/>
          <w:sz w:val="24"/>
        </w:rPr>
      </w:pPr>
      <w:r>
        <w:rPr>
          <w:rFonts w:hint="eastAsia" w:hAnsi="宋体" w:cs="宋体"/>
          <w:sz w:val="24"/>
        </w:rPr>
        <w:t>（1）本工程的危大工程的专项施工方案编制、专家论证组织均由施工单位组织，相关费用已包含在投标总价中。</w:t>
      </w:r>
    </w:p>
    <w:p>
      <w:pPr>
        <w:widowControl/>
        <w:spacing w:line="360" w:lineRule="auto"/>
        <w:ind w:left="629" w:hanging="629"/>
        <w:rPr>
          <w:rFonts w:hAnsi="宋体" w:cs="宋体"/>
          <w:sz w:val="24"/>
        </w:rPr>
      </w:pPr>
      <w:r>
        <w:rPr>
          <w:rFonts w:hint="eastAsia" w:hAnsi="宋体" w:cs="宋体"/>
          <w:sz w:val="24"/>
          <w:highlight w:val="none"/>
        </w:rPr>
        <w:t>（2）严格落实《</w:t>
      </w:r>
      <w:r>
        <w:rPr>
          <w:rFonts w:hint="eastAsia" w:hAnsi="宋体" w:cs="宋体"/>
          <w:sz w:val="24"/>
          <w:highlight w:val="none"/>
          <w:lang w:val="en-US" w:eastAsia="zh-CN"/>
        </w:rPr>
        <w:t>广州</w:t>
      </w:r>
      <w:r>
        <w:rPr>
          <w:rFonts w:hint="eastAsia" w:hAnsi="宋体" w:cs="宋体"/>
          <w:sz w:val="24"/>
          <w:highlight w:val="none"/>
        </w:rPr>
        <w:t>市扬尘污染防治管理办法》、</w:t>
      </w:r>
      <w:r>
        <w:rPr>
          <w:rFonts w:hint="eastAsia" w:hAnsi="宋体" w:cs="宋体"/>
          <w:sz w:val="24"/>
          <w:highlight w:val="none"/>
          <w:lang w:val="en-US" w:eastAsia="zh-CN"/>
        </w:rPr>
        <w:t>广州</w:t>
      </w:r>
      <w:r>
        <w:rPr>
          <w:rFonts w:hint="eastAsia" w:hAnsi="宋体" w:cs="宋体"/>
          <w:sz w:val="24"/>
          <w:highlight w:val="none"/>
        </w:rPr>
        <w:t>市规</w:t>
      </w:r>
      <w:r>
        <w:rPr>
          <w:rFonts w:hint="eastAsia" w:hAnsi="宋体" w:cs="宋体"/>
          <w:sz w:val="24"/>
        </w:rPr>
        <w:t>定的各项防尘、监测等各项措施费用包含在投标总价中。</w:t>
      </w:r>
    </w:p>
    <w:p>
      <w:pPr>
        <w:widowControl/>
        <w:spacing w:line="360" w:lineRule="auto"/>
        <w:ind w:left="629" w:hanging="629"/>
        <w:rPr>
          <w:rFonts w:hAnsi="宋体" w:cs="宋体"/>
          <w:sz w:val="24"/>
        </w:rPr>
      </w:pPr>
      <w:r>
        <w:rPr>
          <w:rFonts w:hint="eastAsia" w:hAnsi="宋体" w:cs="宋体"/>
          <w:sz w:val="24"/>
        </w:rPr>
        <w:t>（3）施工期间的基本用水用电费用由施工方承担。</w:t>
      </w:r>
    </w:p>
    <w:p>
      <w:pPr>
        <w:spacing w:line="360" w:lineRule="auto"/>
        <w:rPr>
          <w:rFonts w:hint="eastAsia" w:hAnsi="宋体" w:cs="宋体"/>
          <w:sz w:val="24"/>
        </w:rPr>
      </w:pPr>
      <w:r>
        <w:rPr>
          <w:rFonts w:hint="eastAsia" w:hAnsi="宋体" w:cs="宋体"/>
          <w:sz w:val="24"/>
        </w:rPr>
        <w:t>（4）降排水措施及抽水台班、土方</w:t>
      </w:r>
      <w:r>
        <w:rPr>
          <w:rFonts w:hAnsi="宋体" w:cs="宋体"/>
          <w:sz w:val="24"/>
        </w:rPr>
        <w:t>覆盖绿网</w:t>
      </w:r>
      <w:r>
        <w:rPr>
          <w:rFonts w:hint="eastAsia" w:hAnsi="宋体" w:cs="宋体"/>
          <w:sz w:val="24"/>
        </w:rPr>
        <w:t>等施工措施费包含在合同总价中。</w:t>
      </w:r>
    </w:p>
    <w:p>
      <w:pPr>
        <w:spacing w:line="360" w:lineRule="auto"/>
        <w:rPr>
          <w:rFonts w:hint="eastAsia" w:hAnsi="宋体" w:cs="宋体"/>
          <w:sz w:val="24"/>
        </w:rPr>
      </w:pPr>
      <w:r>
        <w:rPr>
          <w:rFonts w:hint="eastAsia"/>
          <w:color w:val="000000"/>
          <w:sz w:val="24"/>
          <w:u w:val="single"/>
        </w:rPr>
        <w:t>30.3 因承包人的原因导致的返工、重做、修理等，不得计入项目结算的工程量。</w:t>
      </w:r>
    </w:p>
    <w:bookmarkEnd w:id="479"/>
    <w:p>
      <w:pPr>
        <w:spacing w:line="360" w:lineRule="auto"/>
        <w:rPr>
          <w:color w:val="000000"/>
          <w:sz w:val="28"/>
          <w:szCs w:val="28"/>
        </w:rPr>
      </w:pPr>
      <w:bookmarkStart w:id="480" w:name="_Toc35656543"/>
      <w:r>
        <w:rPr>
          <w:rFonts w:hint="eastAsia"/>
          <w:color w:val="000000"/>
          <w:sz w:val="28"/>
          <w:szCs w:val="28"/>
        </w:rPr>
        <w:t>31 工程款支付</w:t>
      </w:r>
      <w:bookmarkEnd w:id="480"/>
    </w:p>
    <w:p>
      <w:pPr>
        <w:spacing w:line="360" w:lineRule="auto"/>
        <w:rPr>
          <w:rFonts w:hint="eastAsia"/>
          <w:color w:val="000000"/>
          <w:sz w:val="24"/>
          <w:u w:val="single"/>
        </w:rPr>
      </w:pPr>
      <w:r>
        <w:rPr>
          <w:rFonts w:hint="eastAsia"/>
          <w:color w:val="000000"/>
          <w:sz w:val="24"/>
        </w:rPr>
        <w:t>31.1发包人向承包人支付工程预付款的时间及条件：</w:t>
      </w:r>
      <w:r>
        <w:rPr>
          <w:rFonts w:hint="eastAsia"/>
          <w:color w:val="000000"/>
          <w:sz w:val="24"/>
          <w:u w:val="single"/>
        </w:rPr>
        <w:t>合同签订后，且在承包人提供合同</w:t>
      </w:r>
      <w:r>
        <w:rPr>
          <w:color w:val="000000"/>
          <w:sz w:val="24"/>
          <w:u w:val="single"/>
        </w:rPr>
        <w:t>总价</w:t>
      </w:r>
      <w:r>
        <w:rPr>
          <w:rFonts w:hint="eastAsia"/>
          <w:color w:val="000000"/>
          <w:sz w:val="24"/>
          <w:u w:val="single"/>
        </w:rPr>
        <w:t>10</w:t>
      </w:r>
      <w:r>
        <w:rPr>
          <w:color w:val="000000"/>
          <w:sz w:val="24"/>
          <w:u w:val="single"/>
        </w:rPr>
        <w:t>%的</w:t>
      </w:r>
      <w:r>
        <w:rPr>
          <w:rFonts w:hint="eastAsia"/>
          <w:color w:val="000000"/>
          <w:sz w:val="24"/>
          <w:u w:val="single"/>
        </w:rPr>
        <w:t>不可撤销履约保函及等额合格收据后3</w:t>
      </w:r>
      <w:r>
        <w:rPr>
          <w:color w:val="000000"/>
          <w:sz w:val="24"/>
          <w:u w:val="single"/>
        </w:rPr>
        <w:t>0</w:t>
      </w:r>
      <w:r>
        <w:rPr>
          <w:rFonts w:hint="eastAsia"/>
          <w:color w:val="000000"/>
          <w:sz w:val="24"/>
          <w:u w:val="single"/>
        </w:rPr>
        <w:t xml:space="preserve">个工作日内支付。                        </w:t>
      </w:r>
    </w:p>
    <w:p>
      <w:pPr>
        <w:spacing w:line="360" w:lineRule="auto"/>
        <w:ind w:firstLine="480"/>
        <w:rPr>
          <w:rFonts w:hint="eastAsia"/>
          <w:color w:val="000000"/>
          <w:sz w:val="24"/>
          <w:u w:val="single"/>
        </w:rPr>
      </w:pPr>
      <w:r>
        <w:rPr>
          <w:rFonts w:hint="eastAsia"/>
          <w:color w:val="000000"/>
          <w:sz w:val="24"/>
        </w:rPr>
        <w:t>发包人向承包人支付工程预付款的数额：</w:t>
      </w:r>
      <w:r>
        <w:rPr>
          <w:rFonts w:hint="eastAsia"/>
          <w:sz w:val="24"/>
          <w:u w:val="single"/>
        </w:rPr>
        <w:t>合同签订后30个工作日内，发包人预付给承包人预付款，预付款的计算方法为：预付款＝（合同总价-暂列金额- 暂估价-总包服务费-安全文明措施费）X10%；预付款在承包人提供无条件不可撤销见索即付履约保函及等额合格收据后支付</w:t>
      </w:r>
      <w:r>
        <w:rPr>
          <w:rFonts w:hint="eastAsia"/>
          <w:color w:val="000000"/>
          <w:sz w:val="24"/>
          <w:u w:val="single"/>
        </w:rPr>
        <w:t>。</w:t>
      </w:r>
    </w:p>
    <w:p>
      <w:pPr>
        <w:spacing w:line="360" w:lineRule="auto"/>
        <w:ind w:firstLine="480"/>
        <w:rPr>
          <w:rFonts w:hint="eastAsia"/>
          <w:color w:val="000000"/>
          <w:sz w:val="24"/>
          <w:u w:val="single"/>
        </w:rPr>
      </w:pPr>
      <w:r>
        <w:rPr>
          <w:rFonts w:hint="eastAsia"/>
          <w:color w:val="000000"/>
          <w:sz w:val="24"/>
          <w:u w:val="single"/>
        </w:rPr>
        <w:t>合同签订后15个工作日内，发包人预付给承包人安全文明措施费30%的预付款，安全文明措施费预付款在承包人提供无条件不可撤销见索即付履约保函及等额合格收据后支付。</w:t>
      </w:r>
    </w:p>
    <w:p>
      <w:pPr>
        <w:spacing w:line="360" w:lineRule="auto"/>
        <w:rPr>
          <w:rFonts w:hint="eastAsia"/>
          <w:color w:val="000000"/>
          <w:sz w:val="24"/>
          <w:u w:val="single"/>
        </w:rPr>
      </w:pPr>
      <w:r>
        <w:rPr>
          <w:rFonts w:hint="eastAsia"/>
          <w:color w:val="000000"/>
          <w:sz w:val="24"/>
        </w:rPr>
        <w:t>31.3工程预付款扣回的起扣点：</w:t>
      </w:r>
      <w:r>
        <w:rPr>
          <w:rFonts w:hint="eastAsia"/>
          <w:color w:val="000000"/>
          <w:sz w:val="24"/>
          <w:u w:val="single"/>
        </w:rPr>
        <w:t xml:space="preserve">  </w:t>
      </w:r>
      <w:r>
        <w:rPr>
          <w:rFonts w:hint="eastAsia" w:ascii="宋体" w:hAnsi="宋体"/>
          <w:sz w:val="24"/>
          <w:u w:val="single"/>
        </w:rPr>
        <w:t>工程进度款（含预付款）累计支付至合同价的50%时，发包人开始扣回。</w:t>
      </w:r>
      <w:r>
        <w:rPr>
          <w:rFonts w:hint="eastAsia"/>
          <w:color w:val="000000"/>
          <w:sz w:val="24"/>
          <w:u w:val="single"/>
        </w:rPr>
        <w:t xml:space="preserve">   </w:t>
      </w:r>
    </w:p>
    <w:p>
      <w:pPr>
        <w:spacing w:line="360" w:lineRule="auto"/>
        <w:rPr>
          <w:rFonts w:hint="eastAsia"/>
          <w:color w:val="000000"/>
          <w:sz w:val="24"/>
          <w:u w:val="single"/>
        </w:rPr>
      </w:pPr>
      <w:r>
        <w:rPr>
          <w:rFonts w:hint="eastAsia"/>
          <w:color w:val="000000"/>
          <w:sz w:val="24"/>
        </w:rPr>
        <w:t>工程预付款扣回比例：</w:t>
      </w:r>
      <w:r>
        <w:rPr>
          <w:rFonts w:hint="eastAsia"/>
          <w:color w:val="000000"/>
          <w:sz w:val="24"/>
          <w:u w:val="single"/>
        </w:rPr>
        <w:t xml:space="preserve">  </w:t>
      </w:r>
      <w:r>
        <w:rPr>
          <w:rFonts w:hint="eastAsia" w:ascii="宋体" w:hAnsi="宋体"/>
          <w:sz w:val="24"/>
          <w:u w:val="single"/>
        </w:rPr>
        <w:t>分次（</w:t>
      </w:r>
      <w:r>
        <w:rPr>
          <w:rFonts w:ascii="宋体" w:hAnsi="宋体"/>
          <w:sz w:val="24"/>
          <w:u w:val="single"/>
        </w:rPr>
        <w:t>最多三次）</w:t>
      </w:r>
      <w:r>
        <w:rPr>
          <w:rFonts w:hint="eastAsia" w:ascii="宋体" w:hAnsi="宋体"/>
          <w:sz w:val="24"/>
          <w:u w:val="single"/>
        </w:rPr>
        <w:t>从各月的期中支付中等额扣回且在进度款支付至85%之前全部扣回</w:t>
      </w:r>
      <w:r>
        <w:rPr>
          <w:rFonts w:hint="eastAsia" w:ascii="宋体" w:hAnsi="宋体"/>
          <w:b/>
          <w:sz w:val="24"/>
          <w:u w:val="single"/>
        </w:rPr>
        <w:t>。</w:t>
      </w:r>
      <w:r>
        <w:rPr>
          <w:rFonts w:hint="eastAsia"/>
          <w:color w:val="000000"/>
          <w:sz w:val="24"/>
          <w:u w:val="single"/>
        </w:rPr>
        <w:t xml:space="preserve"> </w:t>
      </w:r>
    </w:p>
    <w:p>
      <w:pPr>
        <w:spacing w:line="360" w:lineRule="auto"/>
        <w:rPr>
          <w:color w:val="000000"/>
          <w:sz w:val="24"/>
          <w:u w:val="single"/>
        </w:rPr>
      </w:pPr>
      <w:r>
        <w:rPr>
          <w:rFonts w:hint="eastAsia"/>
          <w:color w:val="000000"/>
          <w:sz w:val="24"/>
        </w:rPr>
        <w:t>31.4办理期中结算与支付的时间间隔和要求：</w:t>
      </w:r>
    </w:p>
    <w:p>
      <w:pPr>
        <w:spacing w:line="360" w:lineRule="auto"/>
        <w:rPr>
          <w:rFonts w:hint="eastAsia"/>
          <w:color w:val="000000"/>
          <w:sz w:val="24"/>
          <w:u w:val="single"/>
        </w:rPr>
      </w:pPr>
      <w:r>
        <w:rPr>
          <w:rFonts w:hint="eastAsia"/>
          <w:color w:val="000000"/>
          <w:sz w:val="24"/>
          <w:u w:val="single"/>
        </w:rPr>
        <w:t>（1）按月进度支付，以实际完成的工程量于每月25日递交月进度款申请单及明细到项目管理单位和监理单位处确认。发包人在收到项目管理单位和监理单位提交的期中支付证书后核批并付款。</w:t>
      </w:r>
    </w:p>
    <w:p>
      <w:pPr>
        <w:spacing w:line="360" w:lineRule="auto"/>
        <w:rPr>
          <w:rFonts w:hint="eastAsia"/>
          <w:color w:val="000000"/>
          <w:sz w:val="24"/>
          <w:u w:val="single"/>
        </w:rPr>
      </w:pPr>
      <w:r>
        <w:rPr>
          <w:rFonts w:hint="eastAsia"/>
          <w:color w:val="000000"/>
          <w:sz w:val="24"/>
          <w:u w:val="single"/>
        </w:rPr>
        <w:t>（2）根据每月核准的工程完成量,在收到等额增值税专用发票后（第一次支付月进度款前承包人需补足预付款等额的增值税专用发票）支付工程进度款，每月按核准工程款的85%支付，累计支付至核准工程款的85%为止且</w:t>
      </w:r>
      <w:r>
        <w:rPr>
          <w:color w:val="000000"/>
          <w:sz w:val="24"/>
          <w:u w:val="single"/>
        </w:rPr>
        <w:t>不超过合同额的</w:t>
      </w:r>
      <w:r>
        <w:rPr>
          <w:rFonts w:hint="eastAsia"/>
          <w:color w:val="000000"/>
          <w:sz w:val="24"/>
          <w:u w:val="single"/>
        </w:rPr>
        <w:t>85%</w:t>
      </w:r>
      <w:r>
        <w:rPr>
          <w:rFonts w:hint="eastAsia" w:ascii="宋体" w:hAnsi="宋体"/>
          <w:sz w:val="24"/>
          <w:u w:val="single"/>
        </w:rPr>
        <w:t>。</w:t>
      </w:r>
    </w:p>
    <w:p>
      <w:pPr>
        <w:spacing w:line="360" w:lineRule="auto"/>
        <w:rPr>
          <w:rFonts w:hint="eastAsia"/>
          <w:color w:val="000000"/>
          <w:sz w:val="24"/>
          <w:u w:val="single"/>
        </w:rPr>
      </w:pPr>
      <w:r>
        <w:rPr>
          <w:rFonts w:hint="eastAsia"/>
          <w:color w:val="000000"/>
          <w:sz w:val="24"/>
          <w:u w:val="single"/>
        </w:rPr>
        <w:t>(3) 本工程如需政府验收，则本工程经政府验收通过后，并经发包人确认验收合格，累计支付至核准工程款的90%且不超过自施合同额的9</w:t>
      </w:r>
      <w:r>
        <w:rPr>
          <w:color w:val="000000"/>
          <w:sz w:val="24"/>
          <w:u w:val="single"/>
        </w:rPr>
        <w:t>0%</w:t>
      </w:r>
      <w:r>
        <w:rPr>
          <w:rFonts w:hint="eastAsia"/>
          <w:color w:val="000000"/>
          <w:sz w:val="24"/>
          <w:u w:val="single"/>
        </w:rPr>
        <w:t>（不含变更、调差部分）；</w:t>
      </w:r>
    </w:p>
    <w:p>
      <w:pPr>
        <w:spacing w:line="360" w:lineRule="auto"/>
        <w:rPr>
          <w:rFonts w:hint="eastAsia"/>
          <w:color w:val="000000"/>
          <w:sz w:val="24"/>
          <w:u w:val="single"/>
        </w:rPr>
      </w:pPr>
      <w:r>
        <w:rPr>
          <w:rFonts w:hint="eastAsia"/>
          <w:color w:val="000000"/>
          <w:sz w:val="24"/>
          <w:u w:val="single"/>
        </w:rPr>
        <w:t>如本工程不需政府验收，则待承包人提交验收申请且经发包人确认通过后，累计支付至核准工程款的90%且不超过自施合同额的9</w:t>
      </w:r>
      <w:r>
        <w:rPr>
          <w:color w:val="000000"/>
          <w:sz w:val="24"/>
          <w:u w:val="single"/>
        </w:rPr>
        <w:t>0%</w:t>
      </w:r>
      <w:r>
        <w:rPr>
          <w:rFonts w:hint="eastAsia"/>
          <w:color w:val="000000"/>
          <w:sz w:val="24"/>
          <w:u w:val="single"/>
        </w:rPr>
        <w:t>（不含变更、调差部分）。</w:t>
      </w:r>
    </w:p>
    <w:p>
      <w:pPr>
        <w:spacing w:line="360" w:lineRule="auto"/>
        <w:rPr>
          <w:color w:val="000000"/>
          <w:sz w:val="24"/>
          <w:u w:val="single"/>
        </w:rPr>
      </w:pPr>
      <w:r>
        <w:rPr>
          <w:rFonts w:hint="eastAsia"/>
          <w:color w:val="000000"/>
          <w:sz w:val="24"/>
          <w:u w:val="single"/>
        </w:rPr>
        <w:t>（4）本工程如需政府审计或第三方审计，则本工程结算完成后，在收到等额发票后支付至结算价的92%；经政府审计或第三方审计通过后，累计支付至政府审计或第三方审计最终确定的工程结算款的97%；如经政府审计或第三方审计通过的最终工程结算款低于前期核算的工程结算款，发包人有权从待支付给承包人的工程价款中扣减前期超出支付部分的工程价款；</w:t>
      </w:r>
      <w:bookmarkStart w:id="537" w:name="_GoBack"/>
      <w:bookmarkEnd w:id="537"/>
    </w:p>
    <w:p>
      <w:pPr>
        <w:spacing w:line="360" w:lineRule="auto"/>
        <w:rPr>
          <w:rFonts w:hint="eastAsia"/>
          <w:color w:val="FF0000"/>
          <w:sz w:val="24"/>
          <w:u w:val="single"/>
        </w:rPr>
      </w:pPr>
      <w:r>
        <w:rPr>
          <w:rFonts w:hint="eastAsia"/>
          <w:color w:val="000000"/>
          <w:sz w:val="24"/>
          <w:u w:val="single"/>
        </w:rPr>
        <w:t>（5）如本工程不需政府审计或第三方审计，则待承包人提交请款资料且经发包人、监理单位、项目管理单位确认通过后，累计支付至工程结算款的97%。</w:t>
      </w:r>
    </w:p>
    <w:p>
      <w:pPr>
        <w:spacing w:line="360" w:lineRule="auto"/>
        <w:rPr>
          <w:b/>
          <w:color w:val="000000"/>
          <w:sz w:val="24"/>
          <w:u w:val="single"/>
        </w:rPr>
      </w:pPr>
      <w:r>
        <w:rPr>
          <w:rFonts w:hint="eastAsia"/>
          <w:color w:val="000000"/>
          <w:sz w:val="24"/>
          <w:u w:val="single"/>
        </w:rPr>
        <w:t xml:space="preserve">（6）工程竣工验收通过并满两年后，支付剩余尾款。 </w:t>
      </w:r>
    </w:p>
    <w:p>
      <w:pPr>
        <w:spacing w:line="312" w:lineRule="auto"/>
        <w:rPr>
          <w:rFonts w:hint="eastAsia" w:ascii="黑体" w:hAnsi="宋体" w:eastAsia="黑体"/>
          <w:b/>
          <w:sz w:val="24"/>
          <w:u w:val="single"/>
        </w:rPr>
      </w:pPr>
      <w:r>
        <w:rPr>
          <w:rFonts w:hint="eastAsia"/>
          <w:color w:val="000000"/>
          <w:sz w:val="24"/>
          <w:u w:val="single"/>
        </w:rPr>
        <w:t>（7）</w:t>
      </w:r>
      <w:r>
        <w:rPr>
          <w:rFonts w:hint="eastAsia"/>
          <w:b/>
          <w:sz w:val="24"/>
          <w:u w:val="single"/>
        </w:rPr>
        <w:t xml:space="preserve"> </w:t>
      </w:r>
      <w:r>
        <w:rPr>
          <w:rFonts w:hint="eastAsia" w:ascii="黑体" w:hAnsi="黑体" w:eastAsia="黑体"/>
          <w:b/>
          <w:bCs/>
          <w:sz w:val="24"/>
          <w:u w:val="single"/>
        </w:rPr>
        <w:t>暂估价项目工程款承包人委托发包人直接向暂估价分包人进行支付</w:t>
      </w:r>
      <w:r>
        <w:rPr>
          <w:rFonts w:hint="eastAsia" w:ascii="黑体" w:hAnsi="宋体" w:eastAsia="黑体"/>
          <w:b/>
          <w:sz w:val="24"/>
          <w:u w:val="single"/>
        </w:rPr>
        <w:t>。</w:t>
      </w:r>
    </w:p>
    <w:p>
      <w:pPr>
        <w:spacing w:line="360" w:lineRule="auto"/>
        <w:rPr>
          <w:rFonts w:hint="eastAsia"/>
          <w:b/>
          <w:color w:val="000000"/>
          <w:sz w:val="24"/>
          <w:u w:val="single"/>
        </w:rPr>
      </w:pPr>
      <w:r>
        <w:rPr>
          <w:rFonts w:hint="eastAsia"/>
          <w:color w:val="000000"/>
          <w:sz w:val="24"/>
          <w:u w:val="single"/>
        </w:rPr>
        <w:t>（8）</w:t>
      </w:r>
      <w:r>
        <w:rPr>
          <w:rFonts w:hint="eastAsia"/>
          <w:sz w:val="24"/>
          <w:u w:val="single"/>
        </w:rPr>
        <w:t xml:space="preserve"> 暂估价项目分包人开票给承包人，承包人应及时等额转票给发包人，转票过程中产生的任何费用</w:t>
      </w:r>
      <w:r>
        <w:rPr>
          <w:rFonts w:hint="eastAsia"/>
          <w:sz w:val="24"/>
          <w:u w:val="single"/>
          <w:lang w:eastAsia="zh-CN"/>
        </w:rPr>
        <w:t>（</w:t>
      </w:r>
      <w:r>
        <w:rPr>
          <w:rFonts w:hint="eastAsia"/>
          <w:sz w:val="24"/>
          <w:u w:val="single"/>
          <w:lang w:val="en-US" w:eastAsia="zh-CN"/>
        </w:rPr>
        <w:t>含转票税率差</w:t>
      </w:r>
      <w:r>
        <w:rPr>
          <w:rFonts w:hint="eastAsia"/>
          <w:sz w:val="24"/>
          <w:u w:val="single"/>
          <w:lang w:eastAsia="zh-CN"/>
        </w:rPr>
        <w:t>）</w:t>
      </w:r>
      <w:r>
        <w:rPr>
          <w:rFonts w:hint="eastAsia"/>
          <w:sz w:val="24"/>
          <w:u w:val="single"/>
        </w:rPr>
        <w:t>视为已包含在承包人投标报价中，承包人不应额外向暂估价项目分包人收取任何费用，否则发包人有权拒绝支付承包人的工程款。</w:t>
      </w:r>
    </w:p>
    <w:p>
      <w:pPr>
        <w:spacing w:line="360" w:lineRule="auto"/>
        <w:rPr>
          <w:rFonts w:hint="eastAsia" w:ascii="Arial" w:hAnsi="宋体"/>
          <w:sz w:val="24"/>
        </w:rPr>
      </w:pPr>
      <w:r>
        <w:rPr>
          <w:rFonts w:hint="eastAsia"/>
          <w:color w:val="000000"/>
          <w:sz w:val="24"/>
        </w:rPr>
        <w:t>（9）</w:t>
      </w:r>
      <w:r>
        <w:rPr>
          <w:rFonts w:hint="eastAsia" w:ascii="Arial" w:hAnsi="宋体"/>
          <w:b/>
          <w:sz w:val="24"/>
        </w:rPr>
        <w:t>投标人须按照9%的</w:t>
      </w:r>
      <w:r>
        <w:rPr>
          <w:rFonts w:ascii="Arial" w:hAnsi="宋体"/>
          <w:b/>
          <w:sz w:val="24"/>
        </w:rPr>
        <w:t>增值税</w:t>
      </w:r>
      <w:r>
        <w:rPr>
          <w:rFonts w:hint="eastAsia" w:ascii="Arial" w:hAnsi="宋体"/>
          <w:b/>
          <w:sz w:val="24"/>
        </w:rPr>
        <w:t>纳税费率自主报价</w:t>
      </w:r>
      <w:r>
        <w:rPr>
          <w:rFonts w:hint="eastAsia" w:ascii="Arial" w:hAnsi="宋体"/>
          <w:sz w:val="24"/>
        </w:rPr>
        <w:t>。中标人须开具符合中华人民共和国增值税暂行条例的增值税专用发票给发包人。如国家财税部门关于增值税税率有最新规定颁发，则按照国家财税部门颁布的最新规定执行，合同不含税价保持不变，</w:t>
      </w:r>
      <w:r>
        <w:rPr>
          <w:rFonts w:ascii="Arial" w:hAnsi="宋体"/>
          <w:sz w:val="24"/>
        </w:rPr>
        <w:t>按照最新税率调整合同含税价</w:t>
      </w:r>
      <w:r>
        <w:rPr>
          <w:rFonts w:hint="eastAsia" w:ascii="Arial" w:hAnsi="宋体"/>
          <w:sz w:val="24"/>
        </w:rPr>
        <w:t>。</w:t>
      </w:r>
    </w:p>
    <w:p>
      <w:pPr>
        <w:spacing w:line="360" w:lineRule="auto"/>
        <w:rPr>
          <w:color w:val="000000"/>
          <w:sz w:val="24"/>
        </w:rPr>
      </w:pPr>
      <w:r>
        <w:rPr>
          <w:rFonts w:hint="eastAsia"/>
          <w:color w:val="000000"/>
          <w:sz w:val="24"/>
        </w:rPr>
        <w:t>（</w:t>
      </w:r>
      <w:r>
        <w:rPr>
          <w:rFonts w:hint="eastAsia"/>
          <w:color w:val="000000"/>
          <w:sz w:val="24"/>
          <w:lang w:val="en-US" w:eastAsia="zh-CN"/>
        </w:rPr>
        <w:t>10</w:t>
      </w:r>
      <w:r>
        <w:rPr>
          <w:rFonts w:hint="eastAsia"/>
          <w:color w:val="000000"/>
          <w:sz w:val="24"/>
        </w:rPr>
        <w:t>）</w:t>
      </w:r>
      <w:r>
        <w:rPr>
          <w:rFonts w:hint="eastAsia"/>
          <w:b/>
          <w:bCs/>
          <w:color w:val="000000"/>
          <w:sz w:val="24"/>
        </w:rPr>
        <w:t>注：如有主材调差或工期奖励，经发包人确认后随当期进度款申请比例审批支付。</w:t>
      </w:r>
    </w:p>
    <w:p>
      <w:pPr>
        <w:spacing w:line="360" w:lineRule="auto"/>
        <w:rPr>
          <w:color w:val="000000"/>
          <w:sz w:val="24"/>
          <w:u w:val="single"/>
        </w:rPr>
      </w:pPr>
      <w:r>
        <w:rPr>
          <w:rFonts w:hint="eastAsia"/>
          <w:color w:val="000000"/>
          <w:sz w:val="24"/>
        </w:rPr>
        <w:t>31.5期中支付的最低金额：</w:t>
      </w:r>
      <w:r>
        <w:rPr>
          <w:rFonts w:hint="eastAsia"/>
          <w:color w:val="000000"/>
          <w:sz w:val="24"/>
          <w:u w:val="single"/>
        </w:rPr>
        <w:t xml:space="preserve">    </w:t>
      </w:r>
      <w:bookmarkStart w:id="481" w:name="期中支付的最低金额"/>
      <w:r>
        <w:rPr>
          <w:rFonts w:hint="eastAsia"/>
          <w:color w:val="000000"/>
          <w:sz w:val="24"/>
          <w:u w:val="single"/>
        </w:rPr>
        <w:t xml:space="preserve">                      /             </w:t>
      </w:r>
      <w:bookmarkEnd w:id="481"/>
      <w:r>
        <w:rPr>
          <w:rFonts w:hint="eastAsia"/>
          <w:color w:val="000000"/>
          <w:sz w:val="24"/>
          <w:u w:val="single"/>
        </w:rPr>
        <w:t xml:space="preserve">         </w:t>
      </w:r>
    </w:p>
    <w:p>
      <w:pPr>
        <w:spacing w:line="360" w:lineRule="auto"/>
        <w:rPr>
          <w:rFonts w:ascii="宋体" w:hAnsi="宋体"/>
          <w:sz w:val="24"/>
        </w:rPr>
      </w:pPr>
      <w:r>
        <w:rPr>
          <w:color w:val="000000"/>
          <w:sz w:val="24"/>
        </w:rPr>
        <w:t>31.6</w:t>
      </w:r>
      <w:r>
        <w:rPr>
          <w:rFonts w:hint="eastAsia" w:ascii="宋体" w:hAnsi="宋体"/>
          <w:sz w:val="24"/>
        </w:rPr>
        <w:t>支付方式：双方约定本合同价款可以电汇的方式支付，或者</w:t>
      </w:r>
      <w:r>
        <w:rPr>
          <w:rFonts w:ascii="宋体" w:hAnsi="宋体"/>
          <w:sz w:val="24"/>
        </w:rPr>
        <w:t>以</w:t>
      </w:r>
      <w:r>
        <w:rPr>
          <w:rFonts w:hint="eastAsia" w:ascii="宋体" w:hAnsi="宋体"/>
          <w:sz w:val="24"/>
        </w:rPr>
        <w:t>金单进行</w:t>
      </w:r>
      <w:r>
        <w:rPr>
          <w:rFonts w:ascii="宋体" w:hAnsi="宋体"/>
          <w:sz w:val="24"/>
        </w:rPr>
        <w:t>确认</w:t>
      </w:r>
      <w:r>
        <w:rPr>
          <w:rFonts w:hint="eastAsia" w:ascii="宋体" w:hAnsi="宋体"/>
          <w:sz w:val="24"/>
        </w:rPr>
        <w:t>。为保障付款，承包人应在中标后30天内完成简单汇平台（网址：www.jdh.com.cn）注册认证并将注册信息通知发包人，以便接收金单。</w:t>
      </w:r>
    </w:p>
    <w:p>
      <w:pPr>
        <w:spacing w:line="360" w:lineRule="auto"/>
        <w:rPr>
          <w:rFonts w:ascii="宋体" w:hAnsi="宋体"/>
          <w:sz w:val="24"/>
        </w:rPr>
      </w:pPr>
      <w:r>
        <w:rPr>
          <w:rFonts w:hint="eastAsia" w:ascii="宋体" w:hAnsi="宋体"/>
          <w:sz w:val="24"/>
        </w:rPr>
        <w:t>31.</w:t>
      </w:r>
      <w:r>
        <w:rPr>
          <w:rFonts w:ascii="宋体" w:hAnsi="宋体"/>
          <w:sz w:val="24"/>
        </w:rPr>
        <w:t>7</w:t>
      </w:r>
      <w:r>
        <w:rPr>
          <w:rFonts w:hint="eastAsia" w:ascii="宋体" w:hAnsi="宋体"/>
          <w:sz w:val="24"/>
        </w:rPr>
        <w:t>未经发包人出具事先书面同意函，承包人不得将本合同所产生的债权或商业应收款向第三方进行转让或质押，否则，该转让或质押行为无效并对发包人没有约束力，承包人应承担由此产生的所有责任，包括不限于，向发包人支付违约金、赔偿损失。除非合同双方当事人另有约定，发包人依据本条规定向承包人履行付款义务的，发包人的付款义务或者责任随之解除，任何受让人或者质押权人不得要求发包人承担责任。</w:t>
      </w:r>
    </w:p>
    <w:p>
      <w:pPr>
        <w:spacing w:line="360" w:lineRule="auto"/>
        <w:rPr>
          <w:rFonts w:ascii="宋体" w:hAnsi="宋体"/>
          <w:sz w:val="24"/>
        </w:rPr>
      </w:pPr>
      <w:r>
        <w:rPr>
          <w:rFonts w:hint="eastAsia" w:ascii="宋体" w:hAnsi="宋体"/>
          <w:sz w:val="24"/>
        </w:rPr>
        <w:t xml:space="preserve">    如承包人发生违约或者给发包人造成任何损失的，发包人可依据本合同规定要求承包人承担相应责任；如承包人在本合同项下的应收款不足以弥补发包人损失的，发包人有权以承包人与发包人之间的其他项目或合同所产生的应收账款抵扣承包人依据本合同约定应承担的任何责任。相应地，如果承包人依据其他合同的商业应收款无法弥补发包人在其他合同或者项目的任何损失的，发包人有权以本合同所产生的商业应收款予以抵扣。</w:t>
      </w:r>
    </w:p>
    <w:p>
      <w:pPr>
        <w:spacing w:before="156" w:beforeLines="50" w:after="156" w:afterLines="50" w:line="360" w:lineRule="auto"/>
        <w:rPr>
          <w:b/>
          <w:color w:val="000000"/>
          <w:sz w:val="30"/>
          <w:szCs w:val="30"/>
        </w:rPr>
      </w:pPr>
      <w:bookmarkStart w:id="482" w:name="_Toc84303933"/>
      <w:bookmarkStart w:id="483" w:name="_Toc47425606"/>
      <w:bookmarkStart w:id="484" w:name="_Toc35656544"/>
      <w:r>
        <w:rPr>
          <w:rFonts w:hint="eastAsia"/>
          <w:b/>
          <w:color w:val="000000"/>
          <w:sz w:val="30"/>
          <w:szCs w:val="30"/>
        </w:rPr>
        <w:t>十一、工程变更</w:t>
      </w:r>
      <w:bookmarkEnd w:id="482"/>
      <w:bookmarkEnd w:id="483"/>
      <w:bookmarkEnd w:id="484"/>
    </w:p>
    <w:p>
      <w:pPr>
        <w:spacing w:line="360" w:lineRule="auto"/>
        <w:rPr>
          <w:color w:val="000000"/>
          <w:sz w:val="28"/>
          <w:szCs w:val="28"/>
        </w:rPr>
      </w:pPr>
      <w:bookmarkStart w:id="485" w:name="_Toc35656545"/>
      <w:r>
        <w:rPr>
          <w:rFonts w:hint="eastAsia"/>
          <w:color w:val="000000"/>
          <w:sz w:val="28"/>
          <w:szCs w:val="28"/>
        </w:rPr>
        <w:t>33 变更价款的确定</w:t>
      </w:r>
      <w:bookmarkEnd w:id="485"/>
      <w:bookmarkStart w:id="486" w:name="_Toc84303934"/>
      <w:bookmarkStart w:id="487" w:name="_Toc47425607"/>
      <w:bookmarkStart w:id="488" w:name="_Toc35656546"/>
    </w:p>
    <w:p>
      <w:pPr>
        <w:spacing w:line="360" w:lineRule="auto"/>
        <w:rPr>
          <w:color w:val="000000"/>
          <w:sz w:val="24"/>
        </w:rPr>
      </w:pPr>
      <w:r>
        <w:rPr>
          <w:rFonts w:hint="eastAsia"/>
          <w:color w:val="000000"/>
          <w:sz w:val="24"/>
        </w:rPr>
        <w:t>33.1发包人发出的工程变更，承包人应予以执行，不得以变更价款未确定为由拒绝执行或拖延执行，否则导致工期延误和费用增加由承包人负责；对于发包人要求的变更、现场签证项目的结算单价确定方法（工程变更必须以发包人发出的变更通知为准）：</w:t>
      </w:r>
    </w:p>
    <w:p>
      <w:pPr>
        <w:spacing w:line="360" w:lineRule="auto"/>
        <w:rPr>
          <w:color w:val="000000"/>
          <w:sz w:val="24"/>
        </w:rPr>
      </w:pPr>
      <w:r>
        <w:rPr>
          <w:rFonts w:hint="eastAsia"/>
          <w:color w:val="000000"/>
          <w:sz w:val="24"/>
        </w:rPr>
        <w:t>33.1.1合同单价（中标单价）中有同类或类似的项目单价的，参照合同单价（中标单价）执行。项目特征因主材变化（混凝土标号），仅按照当地信息价中普通混凝土各标号对应的除税价格差，并根据合同中标下浮率下浮后调整材差，不计管理费和利润，仅计取税金；</w:t>
      </w:r>
    </w:p>
    <w:p>
      <w:pPr>
        <w:spacing w:line="360" w:lineRule="auto"/>
        <w:rPr>
          <w:color w:val="000000"/>
          <w:sz w:val="24"/>
          <w:u w:val="single"/>
        </w:rPr>
      </w:pPr>
      <w:r>
        <w:rPr>
          <w:rFonts w:hint="eastAsia"/>
          <w:color w:val="000000"/>
          <w:sz w:val="24"/>
        </w:rPr>
        <w:t>33.1.2合同中没有适用或类似于变更工程的项目单价，变更价款确定方法：</w:t>
      </w:r>
      <w:r>
        <w:rPr>
          <w:rFonts w:hint="eastAsia"/>
          <w:color w:val="000000"/>
          <w:sz w:val="24"/>
          <w:u w:val="single"/>
        </w:rPr>
        <w:t>如所采用主材设</w:t>
      </w:r>
      <w:r>
        <w:rPr>
          <w:rFonts w:hint="eastAsia"/>
          <w:color w:val="000000"/>
          <w:sz w:val="24"/>
          <w:highlight w:val="none"/>
          <w:u w:val="single"/>
        </w:rPr>
        <w:t>备价格在</w:t>
      </w:r>
      <w:r>
        <w:rPr>
          <w:rFonts w:hint="eastAsia"/>
          <w:color w:val="000000"/>
          <w:sz w:val="24"/>
          <w:highlight w:val="none"/>
          <w:u w:val="single"/>
          <w:lang w:val="en-US" w:eastAsia="zh-CN"/>
        </w:rPr>
        <w:t>广州</w:t>
      </w:r>
      <w:r>
        <w:rPr>
          <w:rFonts w:hint="eastAsia"/>
          <w:color w:val="000000"/>
          <w:sz w:val="24"/>
          <w:highlight w:val="none"/>
          <w:u w:val="single"/>
        </w:rPr>
        <w:t>市建设工程价格信息（如果</w:t>
      </w:r>
      <w:r>
        <w:rPr>
          <w:rFonts w:hint="eastAsia"/>
          <w:color w:val="000000"/>
          <w:sz w:val="24"/>
          <w:highlight w:val="none"/>
          <w:u w:val="single"/>
          <w:lang w:val="en-US" w:eastAsia="zh-CN"/>
        </w:rPr>
        <w:t>广州</w:t>
      </w:r>
      <w:r>
        <w:rPr>
          <w:rFonts w:hint="eastAsia"/>
          <w:color w:val="000000"/>
          <w:sz w:val="24"/>
          <w:highlight w:val="none"/>
          <w:u w:val="single"/>
        </w:rPr>
        <w:t>市造价信息不含有的部分可参照附近地区的建设工程价格信息）含有的（指设计变更、现场签证项目发生当月的期数），结算综合单价＝综合单价（按照</w:t>
      </w:r>
      <w:r>
        <w:rPr>
          <w:rFonts w:hint="eastAsia"/>
          <w:color w:val="000000"/>
          <w:sz w:val="24"/>
          <w:highlight w:val="none"/>
          <w:u w:val="single"/>
          <w:lang w:val="en-US" w:eastAsia="zh-CN"/>
        </w:rPr>
        <w:t>广州</w:t>
      </w:r>
      <w:r>
        <w:rPr>
          <w:rFonts w:hint="eastAsia"/>
          <w:color w:val="000000"/>
          <w:sz w:val="24"/>
          <w:highlight w:val="none"/>
          <w:u w:val="single"/>
        </w:rPr>
        <w:t>市建设工程量清单计价标准和计价方式计算并经发包人审定的综合单价）×（1-中标价对比招标控制价的净下浮率）</w:t>
      </w:r>
      <w:r>
        <w:rPr>
          <w:rFonts w:hint="eastAsia" w:ascii="宋体" w:hAnsi="宋体"/>
          <w:b/>
          <w:color w:val="000000"/>
          <w:sz w:val="24"/>
          <w:highlight w:val="none"/>
          <w:u w:val="single"/>
        </w:rPr>
        <w:t>（注：下浮率=</w:t>
      </w:r>
      <w:r>
        <w:rPr>
          <w:rFonts w:hint="eastAsia" w:ascii="宋体" w:hAnsi="宋体"/>
          <w:color w:val="000000"/>
          <w:sz w:val="24"/>
          <w:highlight w:val="none"/>
          <w:u w:val="single"/>
        </w:rPr>
        <w:t>【(招标控制价-暂列金额-暂估价等不可竞争费用)-（中标价-暂列金额--暂估价等不可竞争费用）】×100%/【招标控制价-暂列金额-暂估价等不可竞争费用】）</w:t>
      </w:r>
      <w:r>
        <w:rPr>
          <w:rFonts w:hint="eastAsia"/>
          <w:color w:val="000000"/>
          <w:sz w:val="24"/>
          <w:highlight w:val="none"/>
          <w:u w:val="single"/>
        </w:rPr>
        <w:t>如所采用主材设备价格在</w:t>
      </w:r>
      <w:r>
        <w:rPr>
          <w:rFonts w:hint="eastAsia"/>
          <w:color w:val="000000"/>
          <w:sz w:val="24"/>
          <w:highlight w:val="none"/>
          <w:u w:val="single"/>
          <w:lang w:val="en-US" w:eastAsia="zh-CN"/>
        </w:rPr>
        <w:t>广州</w:t>
      </w:r>
      <w:r>
        <w:rPr>
          <w:rFonts w:hint="eastAsia"/>
          <w:color w:val="000000"/>
          <w:sz w:val="24"/>
          <w:highlight w:val="none"/>
          <w:u w:val="single"/>
        </w:rPr>
        <w:t>市建设工程</w:t>
      </w:r>
      <w:r>
        <w:rPr>
          <w:rFonts w:hint="eastAsia"/>
          <w:color w:val="000000"/>
          <w:sz w:val="24"/>
          <w:u w:val="single"/>
        </w:rPr>
        <w:t>价格信息没有的，以发包人和承包人双方协商确定的价格为准，协商确定的价格在计算总价时主材不进行下浮</w:t>
      </w:r>
      <w:r>
        <w:rPr>
          <w:rFonts w:hint="eastAsia"/>
          <w:b/>
          <w:bCs/>
          <w:color w:val="000000"/>
          <w:sz w:val="24"/>
          <w:u w:val="single"/>
        </w:rPr>
        <w:t>。</w:t>
      </w:r>
      <w:r>
        <w:rPr>
          <w:rFonts w:hint="eastAsia"/>
          <w:color w:val="000000"/>
          <w:sz w:val="24"/>
          <w:u w:val="single"/>
        </w:rPr>
        <w:t>工程变更及签证经造价咨询单位和发包人确认后，随当期进度款预付至60%，剩余价款待结</w:t>
      </w:r>
      <w:r>
        <w:rPr>
          <w:rFonts w:hint="eastAsia"/>
          <w:color w:val="000000" w:themeColor="text1"/>
          <w:sz w:val="24"/>
          <w:u w:val="single"/>
          <w14:textFill>
            <w14:solidFill>
              <w14:schemeClr w14:val="tx1"/>
            </w14:solidFill>
          </w14:textFill>
        </w:rPr>
        <w:t>算并经政府审计（如有）通过后再</w:t>
      </w:r>
      <w:r>
        <w:rPr>
          <w:rFonts w:hint="eastAsia"/>
          <w:color w:val="000000"/>
          <w:sz w:val="24"/>
          <w:u w:val="single"/>
        </w:rPr>
        <w:t>进行支付。</w:t>
      </w:r>
    </w:p>
    <w:p>
      <w:pPr>
        <w:spacing w:line="360" w:lineRule="auto"/>
        <w:rPr>
          <w:color w:val="000000"/>
          <w:sz w:val="24"/>
          <w:u w:val="single"/>
        </w:rPr>
      </w:pPr>
      <w:r>
        <w:rPr>
          <w:rFonts w:hint="eastAsia"/>
          <w:color w:val="000000"/>
          <w:sz w:val="24"/>
          <w:u w:val="single"/>
        </w:rPr>
        <w:t>变更签证部分工程量：工程量按实际发生量计量。工程量增减不影响合同单价（即为综合单价包死），除非合同另有约定。</w:t>
      </w:r>
    </w:p>
    <w:p>
      <w:pPr>
        <w:spacing w:line="360" w:lineRule="auto"/>
        <w:rPr>
          <w:rFonts w:ascii="宋体" w:hAnsi="宋体"/>
          <w:color w:val="000000"/>
          <w:sz w:val="24"/>
        </w:rPr>
      </w:pPr>
      <w:r>
        <w:rPr>
          <w:rFonts w:hint="eastAsia"/>
          <w:color w:val="000000"/>
          <w:sz w:val="24"/>
        </w:rPr>
        <w:t>33.2</w:t>
      </w:r>
      <w:r>
        <w:rPr>
          <w:rFonts w:hint="eastAsia" w:ascii="宋体" w:hAnsi="宋体"/>
          <w:color w:val="000000"/>
          <w:sz w:val="24"/>
        </w:rPr>
        <w:t>变更价款的确定应按以下程序进行：</w:t>
      </w:r>
    </w:p>
    <w:p>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）承包人应在收到工程变更指令后及时将变更工程价款和</w:t>
      </w:r>
      <w:r>
        <w:rPr>
          <w:rFonts w:ascii="宋体" w:hAnsi="宋体"/>
          <w:color w:val="000000"/>
          <w:sz w:val="24"/>
        </w:rPr>
        <w:t>(</w:t>
      </w:r>
      <w:r>
        <w:rPr>
          <w:rFonts w:hint="eastAsia" w:ascii="宋体" w:hAnsi="宋体"/>
          <w:color w:val="000000"/>
          <w:sz w:val="24"/>
        </w:rPr>
        <w:t>或</w:t>
      </w:r>
      <w:r>
        <w:rPr>
          <w:rFonts w:ascii="宋体" w:hAnsi="宋体"/>
          <w:color w:val="000000"/>
          <w:sz w:val="24"/>
        </w:rPr>
        <w:t>)</w:t>
      </w:r>
      <w:r>
        <w:rPr>
          <w:rFonts w:hint="eastAsia" w:ascii="宋体" w:hAnsi="宋体"/>
          <w:color w:val="000000"/>
          <w:sz w:val="24"/>
        </w:rPr>
        <w:t>顺延工期报告提交给发包人或发包人委托的项目管理单位；承包人应在收到工程变更指令后应立即配合执行，若承包人</w:t>
      </w:r>
      <w:r>
        <w:rPr>
          <w:rFonts w:ascii="宋体" w:hAnsi="宋体"/>
          <w:color w:val="000000"/>
          <w:sz w:val="24"/>
        </w:rPr>
        <w:t>3</w:t>
      </w:r>
      <w:r>
        <w:rPr>
          <w:rFonts w:hint="eastAsia" w:ascii="宋体" w:hAnsi="宋体"/>
          <w:color w:val="000000"/>
          <w:sz w:val="24"/>
        </w:rPr>
        <w:t>日内不配合执行给发包人造成损失的，承包人应承担赔偿责任。</w:t>
      </w:r>
    </w:p>
    <w:p>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）工程完工后，承包人未按时提出变更工程价款和</w:t>
      </w:r>
      <w:r>
        <w:rPr>
          <w:rFonts w:ascii="宋体" w:hAnsi="宋体"/>
          <w:color w:val="000000"/>
          <w:sz w:val="24"/>
        </w:rPr>
        <w:t>(</w:t>
      </w:r>
      <w:r>
        <w:rPr>
          <w:rFonts w:hint="eastAsia" w:ascii="宋体" w:hAnsi="宋体"/>
          <w:color w:val="000000"/>
          <w:sz w:val="24"/>
        </w:rPr>
        <w:t>或</w:t>
      </w:r>
      <w:r>
        <w:rPr>
          <w:rFonts w:ascii="宋体" w:hAnsi="宋体"/>
          <w:color w:val="000000"/>
          <w:sz w:val="24"/>
        </w:rPr>
        <w:t>)</w:t>
      </w:r>
      <w:r>
        <w:rPr>
          <w:rFonts w:hint="eastAsia" w:ascii="宋体" w:hAnsi="宋体"/>
          <w:color w:val="000000"/>
          <w:sz w:val="24"/>
        </w:rPr>
        <w:t>顺延工期申请文件的，视为该变更不涉及合同价款和</w:t>
      </w:r>
      <w:r>
        <w:rPr>
          <w:rFonts w:ascii="宋体" w:hAnsi="宋体"/>
          <w:color w:val="000000"/>
          <w:sz w:val="24"/>
        </w:rPr>
        <w:t>(</w:t>
      </w:r>
      <w:r>
        <w:rPr>
          <w:rFonts w:hint="eastAsia" w:ascii="宋体" w:hAnsi="宋体"/>
          <w:color w:val="000000"/>
          <w:sz w:val="24"/>
        </w:rPr>
        <w:t>或</w:t>
      </w:r>
      <w:r>
        <w:rPr>
          <w:rFonts w:ascii="宋体" w:hAnsi="宋体"/>
          <w:color w:val="000000"/>
          <w:sz w:val="24"/>
        </w:rPr>
        <w:t>)</w:t>
      </w:r>
      <w:r>
        <w:rPr>
          <w:rFonts w:hint="eastAsia" w:ascii="宋体" w:hAnsi="宋体"/>
          <w:color w:val="000000"/>
          <w:sz w:val="24"/>
        </w:rPr>
        <w:t>工期的调整。</w:t>
      </w:r>
    </w:p>
    <w:p>
      <w:pPr>
        <w:spacing w:before="156" w:beforeLines="50" w:after="156" w:afterLines="50" w:line="360" w:lineRule="auto"/>
        <w:ind w:firstLine="480" w:firstLineChars="200"/>
        <w:rPr>
          <w:color w:val="000000"/>
          <w:sz w:val="24"/>
          <w:u w:val="single"/>
        </w:rPr>
      </w:pPr>
      <w:r>
        <w:rPr>
          <w:rFonts w:hint="eastAsia"/>
          <w:color w:val="000000"/>
          <w:sz w:val="24"/>
          <w:u w:val="single"/>
        </w:rPr>
        <w:t>发包人确认的工程变更价款作为变更合同价款。因发包人技术规格和包定义范围发生变化而产生的工程变更部分的变更款结算，应以变更后的价款与原价款进行比较，超出部分由发</w:t>
      </w:r>
      <w:r>
        <w:rPr>
          <w:rFonts w:hint="eastAsia"/>
          <w:color w:val="000000" w:themeColor="text1"/>
          <w:sz w:val="24"/>
          <w:u w:val="single"/>
          <w14:textFill>
            <w14:solidFill>
              <w14:schemeClr w14:val="tx1"/>
            </w14:solidFill>
          </w14:textFill>
        </w:rPr>
        <w:t>包人另行支付，不足部分由发包人予以扣减，双方以书面形式予以确认。变更价款的支付(根据合同价款支付确定)：待工程竣工验收合格且结算并经政府审计（如有）通过后支付至结算价的9</w:t>
      </w:r>
      <w:r>
        <w:rPr>
          <w:color w:val="000000" w:themeColor="text1"/>
          <w:sz w:val="24"/>
          <w:u w:val="single"/>
          <w14:textFill>
            <w14:solidFill>
              <w14:schemeClr w14:val="tx1"/>
            </w14:solidFill>
          </w14:textFill>
        </w:rPr>
        <w:t>7</w:t>
      </w:r>
      <w:r>
        <w:rPr>
          <w:rFonts w:hint="eastAsia"/>
          <w:color w:val="000000" w:themeColor="text1"/>
          <w:sz w:val="24"/>
          <w:u w:val="single"/>
          <w14:textFill>
            <w14:solidFill>
              <w14:schemeClr w14:val="tx1"/>
            </w14:solidFill>
          </w14:textFill>
        </w:rPr>
        <w:t>%，剩余</w:t>
      </w:r>
      <w:r>
        <w:rPr>
          <w:color w:val="000000" w:themeColor="text1"/>
          <w:sz w:val="24"/>
          <w:u w:val="single"/>
          <w14:textFill>
            <w14:solidFill>
              <w14:schemeClr w14:val="tx1"/>
            </w14:solidFill>
          </w14:textFill>
        </w:rPr>
        <w:t>3</w:t>
      </w:r>
      <w:r>
        <w:rPr>
          <w:rFonts w:hint="eastAsia"/>
          <w:color w:val="000000" w:themeColor="text1"/>
          <w:sz w:val="24"/>
          <w:u w:val="single"/>
          <w14:textFill>
            <w14:solidFill>
              <w14:schemeClr w14:val="tx1"/>
            </w14:solidFill>
          </w14:textFill>
        </w:rPr>
        <w:t>%转为质保金。</w:t>
      </w:r>
    </w:p>
    <w:p>
      <w:pPr>
        <w:spacing w:line="360" w:lineRule="auto"/>
        <w:rPr>
          <w:b/>
          <w:color w:val="000000"/>
          <w:sz w:val="30"/>
          <w:szCs w:val="30"/>
        </w:rPr>
      </w:pPr>
      <w:r>
        <w:rPr>
          <w:rFonts w:hint="eastAsia"/>
          <w:b/>
          <w:color w:val="000000"/>
          <w:sz w:val="30"/>
          <w:szCs w:val="30"/>
        </w:rPr>
        <w:t>十二、竣工验收和结算</w:t>
      </w:r>
      <w:bookmarkEnd w:id="486"/>
      <w:bookmarkEnd w:id="487"/>
      <w:bookmarkEnd w:id="488"/>
    </w:p>
    <w:p>
      <w:pPr>
        <w:spacing w:line="360" w:lineRule="auto"/>
        <w:rPr>
          <w:color w:val="000000"/>
          <w:sz w:val="28"/>
          <w:szCs w:val="28"/>
        </w:rPr>
      </w:pPr>
      <w:bookmarkStart w:id="489" w:name="_Toc35656547"/>
      <w:r>
        <w:rPr>
          <w:rFonts w:hint="eastAsia"/>
          <w:color w:val="000000"/>
          <w:sz w:val="28"/>
          <w:szCs w:val="28"/>
        </w:rPr>
        <w:t>34 竣工验收</w:t>
      </w:r>
      <w:bookmarkEnd w:id="489"/>
    </w:p>
    <w:p>
      <w:pPr>
        <w:spacing w:line="360" w:lineRule="auto"/>
        <w:rPr>
          <w:color w:val="000000"/>
          <w:sz w:val="24"/>
          <w:u w:val="single"/>
        </w:rPr>
      </w:pPr>
      <w:r>
        <w:rPr>
          <w:rFonts w:hint="eastAsia"/>
          <w:color w:val="000000"/>
          <w:sz w:val="24"/>
        </w:rPr>
        <w:t>34.1承包人提供竣工资料的约定：</w:t>
      </w:r>
      <w:r>
        <w:rPr>
          <w:rFonts w:hint="eastAsia"/>
          <w:color w:val="000000"/>
          <w:sz w:val="24"/>
          <w:u w:val="single"/>
        </w:rPr>
        <w:t>承包人应在工程竣工验收后</w:t>
      </w:r>
      <w:r>
        <w:rPr>
          <w:color w:val="000000"/>
          <w:sz w:val="24"/>
          <w:u w:val="single"/>
        </w:rPr>
        <w:t>3</w:t>
      </w:r>
      <w:r>
        <w:rPr>
          <w:rFonts w:hint="eastAsia"/>
          <w:color w:val="000000"/>
          <w:sz w:val="24"/>
          <w:u w:val="single"/>
        </w:rPr>
        <w:t xml:space="preserve">个月内按照城建档案资料验收要求、提供竣工资料肆套，并承担相关工作费用。协助发包人办理城建档案验收手续。 </w:t>
      </w:r>
    </w:p>
    <w:p>
      <w:pPr>
        <w:spacing w:line="360" w:lineRule="auto"/>
      </w:pPr>
      <w:r>
        <w:rPr>
          <w:rFonts w:hint="eastAsia"/>
          <w:color w:val="000000"/>
          <w:sz w:val="24"/>
          <w:u w:val="single"/>
        </w:rPr>
        <w:t>34.2承包人最终报送结算金额对比一审金额核减率不应超过（含）10%，如有超过，则扣罚超出10%部分的1%，承包人承担由此造成的结算时间延后、第三方咨询费核减奖励等相关责任。</w:t>
      </w:r>
    </w:p>
    <w:p>
      <w:pPr>
        <w:spacing w:line="360" w:lineRule="auto"/>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34.3结算金额=(合同不含税包干总价+合同不含税变更金额(含奖励/罚款金额)+材料调差不含税金额)* (1+税率)。</w:t>
      </w:r>
    </w:p>
    <w:p>
      <w:pPr>
        <w:spacing w:line="360" w:lineRule="auto"/>
        <w:rPr>
          <w:b/>
          <w:color w:val="000000"/>
          <w:sz w:val="30"/>
          <w:szCs w:val="30"/>
        </w:rPr>
      </w:pPr>
      <w:bookmarkStart w:id="490" w:name="_Toc84303935"/>
      <w:bookmarkStart w:id="491" w:name="_Toc35656548"/>
      <w:bookmarkStart w:id="492" w:name="_Toc47425608"/>
      <w:r>
        <w:rPr>
          <w:rFonts w:hint="eastAsia"/>
          <w:b/>
          <w:color w:val="000000"/>
          <w:sz w:val="30"/>
          <w:szCs w:val="30"/>
        </w:rPr>
        <w:t>十三、违约、索赔和争议</w:t>
      </w:r>
      <w:bookmarkEnd w:id="490"/>
      <w:bookmarkEnd w:id="491"/>
      <w:bookmarkEnd w:id="492"/>
    </w:p>
    <w:p>
      <w:pPr>
        <w:spacing w:line="360" w:lineRule="auto"/>
        <w:rPr>
          <w:color w:val="000000"/>
          <w:sz w:val="28"/>
          <w:szCs w:val="28"/>
        </w:rPr>
      </w:pPr>
      <w:bookmarkStart w:id="493" w:name="_Toc35656549"/>
      <w:r>
        <w:rPr>
          <w:rFonts w:hint="eastAsia"/>
          <w:color w:val="000000"/>
          <w:sz w:val="28"/>
          <w:szCs w:val="28"/>
        </w:rPr>
        <w:t>36 违约</w:t>
      </w:r>
      <w:bookmarkEnd w:id="493"/>
    </w:p>
    <w:p>
      <w:pPr>
        <w:spacing w:line="360" w:lineRule="auto"/>
        <w:rPr>
          <w:color w:val="000000"/>
          <w:sz w:val="24"/>
          <w:u w:val="single"/>
        </w:rPr>
      </w:pPr>
      <w:r>
        <w:rPr>
          <w:rFonts w:hint="eastAsia"/>
          <w:color w:val="000000"/>
          <w:sz w:val="24"/>
        </w:rPr>
        <w:t>36.1通用条款19.4款所指发包人暂停工程施工持续63天以上发包人违约责任约定：</w:t>
      </w:r>
      <w:bookmarkStart w:id="494" w:name="发包人暂停工程施工持续63天以上发包人违约责任约定"/>
      <w:r>
        <w:rPr>
          <w:rFonts w:hint="eastAsia"/>
          <w:color w:val="000000"/>
          <w:sz w:val="24"/>
          <w:u w:val="single"/>
        </w:rPr>
        <w:t>不承担责任</w:t>
      </w:r>
      <w:bookmarkEnd w:id="494"/>
      <w:r>
        <w:rPr>
          <w:rFonts w:hint="eastAsia"/>
          <w:b/>
          <w:bCs/>
          <w:color w:val="000000"/>
          <w:sz w:val="24"/>
        </w:rPr>
        <w:t>。</w:t>
      </w:r>
    </w:p>
    <w:p>
      <w:pPr>
        <w:spacing w:line="360" w:lineRule="auto"/>
        <w:rPr>
          <w:color w:val="000000"/>
          <w:sz w:val="24"/>
          <w:u w:val="single"/>
        </w:rPr>
      </w:pPr>
      <w:r>
        <w:rPr>
          <w:rFonts w:hint="eastAsia"/>
          <w:color w:val="000000"/>
          <w:sz w:val="24"/>
        </w:rPr>
        <w:t>通用条款31.2款所指发包人不按时支付工程预付款发包人违约责任约定：</w:t>
      </w:r>
      <w:r>
        <w:rPr>
          <w:rFonts w:hint="eastAsia"/>
          <w:color w:val="000000"/>
          <w:sz w:val="24"/>
          <w:u w:val="single"/>
        </w:rPr>
        <w:t>不承担责任</w:t>
      </w:r>
      <w:r>
        <w:rPr>
          <w:rFonts w:hint="eastAsia"/>
          <w:color w:val="000000"/>
          <w:sz w:val="24"/>
        </w:rPr>
        <w:t>。</w:t>
      </w:r>
    </w:p>
    <w:p>
      <w:pPr>
        <w:spacing w:line="360" w:lineRule="auto"/>
        <w:rPr>
          <w:color w:val="000000"/>
          <w:sz w:val="24"/>
          <w:u w:val="single"/>
        </w:rPr>
      </w:pPr>
      <w:r>
        <w:rPr>
          <w:rFonts w:hint="eastAsia"/>
          <w:color w:val="000000"/>
          <w:sz w:val="24"/>
        </w:rPr>
        <w:t>通用条款31.7款所指发包人不按时支付工程进度款发包人违约责任约定：</w:t>
      </w:r>
      <w:bookmarkStart w:id="495" w:name="发包人不按时支付工程进度款发包人违约责任约定"/>
      <w:r>
        <w:rPr>
          <w:rFonts w:hint="eastAsia"/>
          <w:color w:val="000000"/>
          <w:sz w:val="24"/>
          <w:u w:val="single"/>
        </w:rPr>
        <w:t>不承担责任</w:t>
      </w:r>
      <w:bookmarkEnd w:id="495"/>
      <w:r>
        <w:rPr>
          <w:rFonts w:hint="eastAsia"/>
          <w:color w:val="000000"/>
          <w:sz w:val="24"/>
        </w:rPr>
        <w:t xml:space="preserve">。 </w:t>
      </w:r>
    </w:p>
    <w:p>
      <w:pPr>
        <w:spacing w:line="360" w:lineRule="auto"/>
        <w:rPr>
          <w:color w:val="000000"/>
          <w:sz w:val="24"/>
          <w:u w:val="single"/>
        </w:rPr>
      </w:pPr>
      <w:r>
        <w:rPr>
          <w:rFonts w:hint="eastAsia"/>
          <w:color w:val="000000"/>
          <w:sz w:val="24"/>
        </w:rPr>
        <w:t>通用条款35.9款所指发包人不按时支付工程竣工结算款发包人违约责任约定：</w:t>
      </w:r>
      <w:r>
        <w:rPr>
          <w:rFonts w:hint="eastAsia"/>
          <w:color w:val="000000"/>
          <w:sz w:val="24"/>
          <w:u w:val="single"/>
        </w:rPr>
        <w:t xml:space="preserve">                                  不承担责任</w:t>
      </w:r>
      <w:r>
        <w:rPr>
          <w:rFonts w:hint="eastAsia"/>
          <w:color w:val="000000"/>
          <w:sz w:val="24"/>
        </w:rPr>
        <w:t>。</w:t>
      </w:r>
    </w:p>
    <w:p>
      <w:pPr>
        <w:spacing w:line="360" w:lineRule="auto"/>
        <w:rPr>
          <w:color w:val="000000"/>
          <w:sz w:val="24"/>
          <w:u w:val="single"/>
        </w:rPr>
      </w:pPr>
      <w:r>
        <w:rPr>
          <w:rFonts w:hint="eastAsia"/>
          <w:color w:val="000000"/>
          <w:sz w:val="24"/>
        </w:rPr>
        <w:t>发包人违约的其他约定：</w:t>
      </w:r>
      <w:r>
        <w:rPr>
          <w:rFonts w:hint="eastAsia"/>
          <w:color w:val="000000"/>
          <w:sz w:val="24"/>
          <w:u w:val="single"/>
        </w:rPr>
        <w:t xml:space="preserve">    </w:t>
      </w:r>
      <w:bookmarkStart w:id="496" w:name="发包人违约的其他约定"/>
      <w:r>
        <w:rPr>
          <w:rFonts w:hint="eastAsia"/>
          <w:color w:val="000000"/>
          <w:sz w:val="24"/>
          <w:u w:val="single"/>
        </w:rPr>
        <w:t xml:space="preserve">        /                                      </w:t>
      </w:r>
    </w:p>
    <w:bookmarkEnd w:id="496"/>
    <w:p>
      <w:pPr>
        <w:spacing w:line="360" w:lineRule="auto"/>
        <w:rPr>
          <w:color w:val="000000"/>
          <w:sz w:val="24"/>
          <w:u w:val="single"/>
        </w:rPr>
      </w:pPr>
      <w:r>
        <w:rPr>
          <w:rFonts w:hint="eastAsia"/>
          <w:color w:val="000000"/>
          <w:sz w:val="24"/>
        </w:rPr>
        <w:t>36.2通用条款20.5款所指承包人未按时竣工承包人违约责任约定：</w:t>
      </w:r>
      <w:bookmarkStart w:id="497" w:name="承包人未按时竣工承包人违约责任约定"/>
      <w:r>
        <w:rPr>
          <w:rFonts w:hint="eastAsia"/>
          <w:color w:val="000000"/>
          <w:sz w:val="24"/>
          <w:u w:val="single"/>
        </w:rPr>
        <w:t>承包人按照专用条款20.5条支付违约金。</w:t>
      </w:r>
      <w:r>
        <w:rPr>
          <w:rFonts w:hint="eastAsia"/>
          <w:b/>
          <w:bCs/>
          <w:color w:val="000000"/>
          <w:sz w:val="24"/>
          <w:u w:val="single"/>
        </w:rPr>
        <w:t xml:space="preserve"> </w:t>
      </w:r>
    </w:p>
    <w:bookmarkEnd w:id="497"/>
    <w:p>
      <w:pPr>
        <w:spacing w:line="360" w:lineRule="auto"/>
        <w:rPr>
          <w:color w:val="000000"/>
          <w:sz w:val="24"/>
        </w:rPr>
      </w:pPr>
      <w:r>
        <w:rPr>
          <w:rFonts w:hint="eastAsia"/>
          <w:color w:val="000000"/>
          <w:sz w:val="24"/>
        </w:rPr>
        <w:t>通用条款24.5款所指工程质量达不到合同约定的质量标准承包人违约责任约定：</w:t>
      </w:r>
      <w:r>
        <w:rPr>
          <w:rFonts w:hint="eastAsia"/>
          <w:color w:val="000000"/>
          <w:sz w:val="24"/>
          <w:u w:val="single"/>
        </w:rPr>
        <w:t xml:space="preserve">   承包人对工程质量缺陷或不合格之处负责，并自费进行修复，直至合格。如第一次检测验收不合格，承包人向发包人支付合同价</w:t>
      </w:r>
      <w:r>
        <w:rPr>
          <w:color w:val="000000"/>
          <w:sz w:val="24"/>
          <w:u w:val="single"/>
        </w:rPr>
        <w:t>5%的违约金。</w:t>
      </w:r>
      <w:r>
        <w:rPr>
          <w:rFonts w:hint="eastAsia"/>
          <w:color w:val="000000"/>
          <w:sz w:val="24"/>
          <w:u w:val="single"/>
        </w:rPr>
        <w:t xml:space="preserve">如因承包人原因延期达10天 ，发包人有权单方解除本合同，并有权要求承包人赔偿由此造成的全部损失，如上述违约金不足以赔偿发包人损失，承包人还应赔偿发包人由此造成的其他损失。    </w:t>
      </w:r>
      <w:bookmarkStart w:id="498" w:name="工程质量达不到合同约定的质量标准承包人违约责任约定"/>
      <w:r>
        <w:rPr>
          <w:rFonts w:hint="eastAsia"/>
          <w:color w:val="000000"/>
          <w:sz w:val="24"/>
          <w:u w:val="single"/>
        </w:rPr>
        <w:t xml:space="preserve">                                                              </w:t>
      </w:r>
      <w:bookmarkEnd w:id="498"/>
    </w:p>
    <w:p>
      <w:pPr>
        <w:spacing w:line="360" w:lineRule="auto"/>
        <w:rPr>
          <w:color w:val="000000"/>
          <w:sz w:val="24"/>
          <w:u w:val="single"/>
        </w:rPr>
      </w:pPr>
      <w:r>
        <w:rPr>
          <w:rFonts w:hint="eastAsia"/>
          <w:color w:val="000000"/>
          <w:sz w:val="24"/>
        </w:rPr>
        <w:t>承包人违约的其他约定：</w:t>
      </w:r>
      <w:r>
        <w:rPr>
          <w:rFonts w:hint="eastAsia"/>
          <w:color w:val="000000"/>
          <w:sz w:val="24"/>
          <w:u w:val="single"/>
        </w:rPr>
        <w:t xml:space="preserve">如发包人发现承包人不履行本合同义务、履行义务不符合本合同约定时经发包人催告后仍未及时履行本合同义务时或无法满足发包人的需求时，发包人有权单方解除本合同并另行聘请有资质的第三方履行本合同义务，相关费用及损失由承包人承担，发包人可在本合同未付款中予以扣减。     </w:t>
      </w:r>
      <w:bookmarkStart w:id="499" w:name="承包人违约的其他约定"/>
      <w:r>
        <w:rPr>
          <w:rFonts w:hint="eastAsia"/>
          <w:color w:val="000000"/>
          <w:sz w:val="24"/>
          <w:u w:val="single"/>
        </w:rPr>
        <w:t xml:space="preserve">                                               </w:t>
      </w:r>
    </w:p>
    <w:bookmarkEnd w:id="499"/>
    <w:p>
      <w:pPr>
        <w:spacing w:line="360" w:lineRule="auto"/>
        <w:rPr>
          <w:color w:val="000000"/>
          <w:sz w:val="28"/>
          <w:szCs w:val="28"/>
        </w:rPr>
      </w:pPr>
      <w:bookmarkStart w:id="500" w:name="_Toc35656550"/>
      <w:r>
        <w:rPr>
          <w:rFonts w:hint="eastAsia"/>
          <w:color w:val="000000"/>
          <w:sz w:val="28"/>
          <w:szCs w:val="28"/>
        </w:rPr>
        <w:t>38 争议</w:t>
      </w:r>
      <w:bookmarkEnd w:id="500"/>
    </w:p>
    <w:p>
      <w:pPr>
        <w:spacing w:line="360" w:lineRule="auto"/>
        <w:rPr>
          <w:color w:val="000000"/>
          <w:sz w:val="24"/>
        </w:rPr>
      </w:pPr>
      <w:r>
        <w:rPr>
          <w:rFonts w:hint="eastAsia"/>
          <w:color w:val="000000"/>
          <w:sz w:val="24"/>
        </w:rPr>
        <w:t>38.1解决争议的约定：</w:t>
      </w:r>
    </w:p>
    <w:p>
      <w:pPr>
        <w:spacing w:line="360" w:lineRule="auto"/>
        <w:rPr>
          <w:color w:val="000000"/>
          <w:sz w:val="24"/>
        </w:rPr>
      </w:pPr>
      <w:r>
        <w:rPr>
          <w:rFonts w:hint="eastAsia"/>
          <w:color w:val="000000"/>
          <w:sz w:val="24"/>
        </w:rPr>
        <w:tab/>
      </w:r>
      <w:r>
        <w:rPr>
          <w:rFonts w:hint="eastAsia"/>
          <w:color w:val="000000"/>
          <w:sz w:val="24"/>
        </w:rPr>
        <w:t>凡与本合同有关的或因履行本合同产生的一切争议,双方应友好协商解决，若协商解决不成的，任何一方均应向项目所在地有管辖权人民法院诉讼解决。因本合同、以及本合同履行之任何争议所产生的费用（包括但不限于诉讼费、律师费、鉴定费）均由败诉一方承担。</w:t>
      </w:r>
      <w:bookmarkStart w:id="501" w:name="_Toc35656553"/>
      <w:bookmarkStart w:id="502" w:name="_Toc47425609"/>
      <w:bookmarkStart w:id="503" w:name="_Toc84303936"/>
    </w:p>
    <w:p>
      <w:pPr>
        <w:spacing w:line="360" w:lineRule="auto"/>
        <w:rPr>
          <w:b/>
          <w:color w:val="000000"/>
          <w:sz w:val="30"/>
          <w:szCs w:val="30"/>
        </w:rPr>
      </w:pPr>
      <w:r>
        <w:rPr>
          <w:rFonts w:hint="eastAsia"/>
          <w:b/>
          <w:color w:val="000000"/>
          <w:sz w:val="30"/>
          <w:szCs w:val="30"/>
        </w:rPr>
        <w:t>十五、不可抗力</w:t>
      </w:r>
      <w:bookmarkEnd w:id="501"/>
      <w:bookmarkEnd w:id="502"/>
      <w:bookmarkEnd w:id="503"/>
    </w:p>
    <w:p>
      <w:pPr>
        <w:spacing w:line="360" w:lineRule="auto"/>
        <w:rPr>
          <w:color w:val="000000"/>
          <w:sz w:val="28"/>
          <w:szCs w:val="28"/>
        </w:rPr>
      </w:pPr>
      <w:bookmarkStart w:id="504" w:name="_Toc35656554"/>
      <w:r>
        <w:rPr>
          <w:rFonts w:hint="eastAsia"/>
          <w:color w:val="000000"/>
          <w:sz w:val="28"/>
          <w:szCs w:val="28"/>
        </w:rPr>
        <w:t>40 不可抗力</w:t>
      </w:r>
      <w:bookmarkEnd w:id="504"/>
    </w:p>
    <w:p>
      <w:pPr>
        <w:spacing w:line="360" w:lineRule="auto"/>
        <w:rPr>
          <w:color w:val="000000"/>
          <w:sz w:val="24"/>
        </w:rPr>
      </w:pPr>
      <w:r>
        <w:rPr>
          <w:rFonts w:hint="eastAsia"/>
          <w:color w:val="000000"/>
          <w:sz w:val="24"/>
        </w:rPr>
        <w:t>40.1发包人承包人约定的其他不可抗力：</w:t>
      </w:r>
    </w:p>
    <w:p>
      <w:pPr>
        <w:spacing w:line="360" w:lineRule="auto"/>
        <w:rPr>
          <w:color w:val="000000"/>
          <w:kern w:val="0"/>
          <w:sz w:val="24"/>
        </w:rPr>
      </w:pPr>
      <w:r>
        <w:rPr>
          <w:rFonts w:hint="eastAsia"/>
          <w:color w:val="000000"/>
          <w:sz w:val="24"/>
        </w:rPr>
        <w:t>⑴</w:t>
      </w:r>
      <w:r>
        <w:rPr>
          <w:color w:val="000000"/>
          <w:sz w:val="24"/>
        </w:rPr>
        <w:t>.</w:t>
      </w:r>
      <w:r>
        <w:rPr>
          <w:color w:val="000000"/>
          <w:sz w:val="24"/>
          <w:u w:val="single"/>
        </w:rPr>
        <w:t xml:space="preserve">  7</w:t>
      </w:r>
      <w:r>
        <w:rPr>
          <w:rFonts w:hint="eastAsia"/>
          <w:color w:val="000000"/>
          <w:sz w:val="24"/>
          <w:u w:val="single"/>
        </w:rPr>
        <w:t xml:space="preserve"> </w:t>
      </w:r>
      <w:r>
        <w:rPr>
          <w:color w:val="000000"/>
          <w:sz w:val="24"/>
          <w:u w:val="single"/>
        </w:rPr>
        <w:t xml:space="preserve"> </w:t>
      </w:r>
      <w:r>
        <w:rPr>
          <w:color w:val="000000"/>
          <w:sz w:val="24"/>
        </w:rPr>
        <w:t>级以上的地震；</w:t>
      </w:r>
    </w:p>
    <w:p>
      <w:pPr>
        <w:spacing w:line="360" w:lineRule="auto"/>
        <w:rPr>
          <w:color w:val="000000"/>
          <w:sz w:val="24"/>
        </w:rPr>
      </w:pPr>
      <w:r>
        <w:rPr>
          <w:rFonts w:hint="eastAsia"/>
          <w:color w:val="000000"/>
          <w:sz w:val="24"/>
        </w:rPr>
        <w:t>⑵</w:t>
      </w:r>
      <w:r>
        <w:rPr>
          <w:color w:val="000000"/>
          <w:sz w:val="24"/>
        </w:rPr>
        <w:t>.</w:t>
      </w:r>
      <w:r>
        <w:rPr>
          <w:color w:val="000000"/>
          <w:sz w:val="24"/>
          <w:u w:val="single"/>
        </w:rPr>
        <w:t xml:space="preserve"> 持续1天10</w:t>
      </w:r>
      <w:r>
        <w:rPr>
          <w:color w:val="000000"/>
          <w:sz w:val="24"/>
        </w:rPr>
        <w:t>级以上的大风；</w:t>
      </w:r>
    </w:p>
    <w:p>
      <w:pPr>
        <w:spacing w:line="360" w:lineRule="auto"/>
        <w:rPr>
          <w:color w:val="000000"/>
          <w:sz w:val="24"/>
        </w:rPr>
      </w:pPr>
      <w:r>
        <w:rPr>
          <w:rFonts w:hint="eastAsia"/>
          <w:color w:val="000000"/>
          <w:sz w:val="24"/>
        </w:rPr>
        <w:t>⑶</w:t>
      </w:r>
      <w:r>
        <w:rPr>
          <w:color w:val="000000"/>
          <w:sz w:val="24"/>
        </w:rPr>
        <w:t>.持续降水24小时且降雨量为</w:t>
      </w:r>
      <w:r>
        <w:rPr>
          <w:color w:val="000000"/>
          <w:sz w:val="24"/>
          <w:u w:val="single"/>
        </w:rPr>
        <w:t xml:space="preserve"> 2</w:t>
      </w:r>
      <w:r>
        <w:rPr>
          <w:rFonts w:hint="eastAsia"/>
          <w:color w:val="000000"/>
          <w:sz w:val="24"/>
          <w:u w:val="single"/>
        </w:rPr>
        <w:t>2</w:t>
      </w:r>
      <w:r>
        <w:rPr>
          <w:color w:val="000000"/>
          <w:sz w:val="24"/>
          <w:u w:val="single"/>
        </w:rPr>
        <w:t>0 mm</w:t>
      </w:r>
      <w:r>
        <w:rPr>
          <w:color w:val="000000"/>
          <w:sz w:val="24"/>
        </w:rPr>
        <w:t>以上；</w:t>
      </w:r>
    </w:p>
    <w:p>
      <w:pPr>
        <w:spacing w:line="360" w:lineRule="auto"/>
        <w:rPr>
          <w:color w:val="000000"/>
          <w:sz w:val="24"/>
        </w:rPr>
      </w:pPr>
      <w:r>
        <w:rPr>
          <w:rFonts w:hint="eastAsia"/>
          <w:color w:val="000000"/>
          <w:sz w:val="24"/>
        </w:rPr>
        <w:t>⑷</w:t>
      </w:r>
      <w:r>
        <w:rPr>
          <w:color w:val="000000"/>
          <w:sz w:val="24"/>
        </w:rPr>
        <w:t>.</w:t>
      </w:r>
      <w:r>
        <w:rPr>
          <w:color w:val="000000"/>
          <w:sz w:val="24"/>
          <w:u w:val="single"/>
        </w:rPr>
        <w:t xml:space="preserve">  39  </w:t>
      </w:r>
      <w:r>
        <w:rPr>
          <w:color w:val="000000"/>
          <w:sz w:val="24"/>
        </w:rPr>
        <w:t>摄氏度以上并持续2天的高温天气；</w:t>
      </w:r>
    </w:p>
    <w:p>
      <w:pPr>
        <w:spacing w:line="360" w:lineRule="auto"/>
        <w:rPr>
          <w:color w:val="000000"/>
          <w:sz w:val="24"/>
          <w:u w:val="single"/>
        </w:rPr>
      </w:pPr>
      <w:r>
        <w:rPr>
          <w:rFonts w:hint="eastAsia"/>
          <w:color w:val="000000"/>
          <w:sz w:val="24"/>
        </w:rPr>
        <w:t>⑸</w:t>
      </w:r>
      <w:r>
        <w:rPr>
          <w:color w:val="000000"/>
          <w:sz w:val="24"/>
        </w:rPr>
        <w:t>.其它：</w:t>
      </w:r>
      <w:r>
        <w:rPr>
          <w:color w:val="000000"/>
          <w:sz w:val="24"/>
          <w:u w:val="single"/>
        </w:rPr>
        <w:t>无</w:t>
      </w:r>
      <w:r>
        <w:rPr>
          <w:rFonts w:hint="eastAsia"/>
          <w:color w:val="000000"/>
          <w:sz w:val="24"/>
          <w:u w:val="single"/>
        </w:rPr>
        <w:t xml:space="preserve">         。</w:t>
      </w:r>
    </w:p>
    <w:p>
      <w:pPr>
        <w:spacing w:line="360" w:lineRule="auto"/>
        <w:rPr>
          <w:color w:val="000000"/>
          <w:sz w:val="24"/>
        </w:rPr>
      </w:pPr>
      <w:r>
        <w:rPr>
          <w:rFonts w:hint="eastAsia"/>
          <w:color w:val="000000"/>
          <w:sz w:val="24"/>
        </w:rPr>
        <w:t>40.6发包人可根据该不可抗力的影响程度选择如下一项或几项处理方法：（1）相应的顺延合同的履行期限，承包人应尽最大努力将不可抗力造成的影响降至最低,双方对延期相关的事项协商处理；（2）因不可抗力影响导致承包人无法再继续履行本合同的，发包人可另行聘请有资质的第三方履行本合同项下的承包人义务；（3）终止本合同，发包人根据合同实际履行情况与承包人结算合同价款，对于发包人已支付价款但承包人尚未履行的部分，承包人应退回相应的合同款；对于发包人尚未支付价款且承包人尚未履行的部分，发包人无需支付剩余款项，承包人无需继续履行合同。</w:t>
      </w:r>
    </w:p>
    <w:p>
      <w:pPr>
        <w:spacing w:line="360" w:lineRule="auto"/>
        <w:rPr>
          <w:color w:val="000000"/>
          <w:sz w:val="24"/>
        </w:rPr>
      </w:pPr>
      <w:r>
        <w:rPr>
          <w:rFonts w:hint="eastAsia"/>
          <w:color w:val="000000"/>
          <w:sz w:val="24"/>
        </w:rPr>
        <w:t>40.7承包人在签署本合同时已经预见新冠</w:t>
      </w:r>
      <w:r>
        <w:rPr>
          <w:rFonts w:hint="eastAsia"/>
          <w:color w:val="000000"/>
          <w:sz w:val="24"/>
          <w:lang w:val="en-US" w:eastAsia="zh-CN"/>
        </w:rPr>
        <w:t>病毒感染</w:t>
      </w:r>
      <w:r>
        <w:rPr>
          <w:rFonts w:hint="eastAsia"/>
          <w:color w:val="000000"/>
          <w:sz w:val="24"/>
        </w:rPr>
        <w:t>或防控措施可能给承包人履行本合同造成影响，承包人经审慎评估后认为能够自主承担该等风险且已将防疫措施和费用综合考虑到工期和报价中，承包人承诺不会因此向业主/发包人提出任何费用或工期索赔、解除合同、减免责任。承包人将针对新冠</w:t>
      </w:r>
      <w:r>
        <w:rPr>
          <w:rFonts w:hint="eastAsia"/>
          <w:color w:val="000000"/>
          <w:sz w:val="24"/>
          <w:lang w:val="en-US" w:eastAsia="zh-CN"/>
        </w:rPr>
        <w:t>病毒感染</w:t>
      </w:r>
      <w:r>
        <w:rPr>
          <w:rFonts w:hint="eastAsia"/>
          <w:color w:val="000000"/>
          <w:sz w:val="24"/>
        </w:rPr>
        <w:t>或防控措施提前做好各项准备，保障合同顺利履行。</w:t>
      </w:r>
    </w:p>
    <w:p>
      <w:pPr>
        <w:spacing w:line="360" w:lineRule="auto"/>
        <w:rPr>
          <w:color w:val="000000"/>
          <w:sz w:val="24"/>
        </w:rPr>
      </w:pPr>
    </w:p>
    <w:p>
      <w:pPr>
        <w:spacing w:line="360" w:lineRule="auto"/>
        <w:rPr>
          <w:b/>
          <w:color w:val="000000"/>
          <w:sz w:val="30"/>
          <w:szCs w:val="30"/>
        </w:rPr>
      </w:pPr>
      <w:bookmarkStart w:id="505" w:name="_Toc47425610"/>
      <w:bookmarkStart w:id="506" w:name="_Toc35656555"/>
      <w:bookmarkStart w:id="507" w:name="_Toc84303937"/>
      <w:r>
        <w:rPr>
          <w:rFonts w:hint="eastAsia"/>
          <w:b/>
          <w:color w:val="000000"/>
          <w:sz w:val="30"/>
          <w:szCs w:val="30"/>
        </w:rPr>
        <w:t>十六、保险和担保</w:t>
      </w:r>
      <w:bookmarkEnd w:id="505"/>
      <w:bookmarkEnd w:id="506"/>
      <w:bookmarkEnd w:id="507"/>
    </w:p>
    <w:p>
      <w:pPr>
        <w:spacing w:line="360" w:lineRule="auto"/>
        <w:rPr>
          <w:color w:val="000000"/>
          <w:sz w:val="28"/>
          <w:szCs w:val="28"/>
        </w:rPr>
      </w:pPr>
      <w:bookmarkStart w:id="508" w:name="_Toc35656556"/>
      <w:r>
        <w:rPr>
          <w:rFonts w:hint="eastAsia"/>
          <w:color w:val="000000"/>
          <w:sz w:val="28"/>
          <w:szCs w:val="28"/>
        </w:rPr>
        <w:t>41 工程保险</w:t>
      </w:r>
      <w:bookmarkEnd w:id="508"/>
    </w:p>
    <w:p>
      <w:pPr>
        <w:spacing w:line="360" w:lineRule="auto"/>
        <w:rPr>
          <w:rFonts w:hint="eastAsia"/>
          <w:color w:val="000000"/>
          <w:sz w:val="24"/>
        </w:rPr>
      </w:pPr>
      <w:r>
        <w:rPr>
          <w:rFonts w:hint="eastAsia"/>
          <w:color w:val="000000"/>
          <w:sz w:val="24"/>
        </w:rPr>
        <w:t>41.3发包人承包人约定工程保险事项：</w:t>
      </w:r>
    </w:p>
    <w:p>
      <w:pPr>
        <w:spacing w:line="360" w:lineRule="auto"/>
        <w:rPr>
          <w:rFonts w:hint="eastAsia"/>
          <w:color w:val="000000"/>
          <w:sz w:val="24"/>
          <w:u w:val="single"/>
        </w:rPr>
      </w:pPr>
      <w:r>
        <w:rPr>
          <w:rFonts w:hint="eastAsia"/>
          <w:color w:val="000000"/>
          <w:sz w:val="24"/>
        </w:rPr>
        <w:t>⑴.发包人投保内容：</w:t>
      </w:r>
      <w:bookmarkStart w:id="509" w:name="发包人投保内容"/>
      <w:r>
        <w:rPr>
          <w:rFonts w:hint="eastAsia" w:ascii="宋体" w:hAnsi="宋体"/>
          <w:sz w:val="24"/>
          <w:u w:val="single"/>
        </w:rPr>
        <w:t>发包人自有员工保险。</w:t>
      </w:r>
      <w:r>
        <w:rPr>
          <w:rFonts w:hint="eastAsia"/>
          <w:color w:val="000000"/>
          <w:sz w:val="24"/>
          <w:u w:val="single"/>
        </w:rPr>
        <w:t xml:space="preserve"> </w:t>
      </w:r>
    </w:p>
    <w:bookmarkEnd w:id="509"/>
    <w:p>
      <w:pPr>
        <w:spacing w:line="360" w:lineRule="auto"/>
        <w:rPr>
          <w:rFonts w:hint="eastAsia"/>
          <w:color w:val="000000"/>
          <w:sz w:val="24"/>
        </w:rPr>
      </w:pPr>
      <w:r>
        <w:rPr>
          <w:rFonts w:hint="eastAsia"/>
          <w:color w:val="000000"/>
          <w:sz w:val="24"/>
        </w:rPr>
        <w:t>⑵.发包人委托承包人办理的保险事项：</w:t>
      </w:r>
      <w:r>
        <w:rPr>
          <w:rFonts w:hint="eastAsia"/>
          <w:color w:val="000000"/>
          <w:sz w:val="24"/>
          <w:u w:val="single"/>
        </w:rPr>
        <w:t>建筑/安装工程一切险（其保险金额应不低于中标 价）及第三者人员生命财产保险（受益人为发包人），以及满足当地政府要求的其他保险。此部分费用已包含在合同价中</w:t>
      </w:r>
    </w:p>
    <w:p>
      <w:pPr>
        <w:spacing w:line="360" w:lineRule="auto"/>
        <w:rPr>
          <w:color w:val="000000"/>
          <w:sz w:val="24"/>
          <w:u w:val="single"/>
        </w:rPr>
      </w:pPr>
      <w:r>
        <w:rPr>
          <w:rFonts w:hint="eastAsia"/>
          <w:color w:val="000000"/>
          <w:sz w:val="24"/>
          <w:u w:val="single"/>
        </w:rPr>
        <w:t>⑷．承包人需要承担所有保险单不承保的风险和损失，包括但不限于保险单中免赔额。</w:t>
      </w:r>
      <w:bookmarkStart w:id="510" w:name="_Toc35656557"/>
    </w:p>
    <w:p>
      <w:pPr>
        <w:spacing w:line="360" w:lineRule="auto"/>
        <w:rPr>
          <w:color w:val="000000"/>
          <w:sz w:val="24"/>
          <w:u w:val="single"/>
        </w:rPr>
      </w:pPr>
      <w:r>
        <w:rPr>
          <w:rFonts w:hint="eastAsia" w:ascii="宋体" w:hAnsi="宋体"/>
          <w:sz w:val="24"/>
          <w:u w:val="single"/>
        </w:rPr>
        <w:t>⑸．以上</w:t>
      </w:r>
      <w:r>
        <w:rPr>
          <w:rFonts w:ascii="宋体" w:hAnsi="宋体"/>
          <w:sz w:val="24"/>
          <w:u w:val="single"/>
        </w:rPr>
        <w:t>关于本合同条款提及的所有保险政策，</w:t>
      </w:r>
      <w:r>
        <w:rPr>
          <w:rFonts w:hint="eastAsia" w:ascii="宋体" w:hAnsi="宋体"/>
          <w:sz w:val="24"/>
          <w:u w:val="single"/>
        </w:rPr>
        <w:t>本工程项目</w:t>
      </w:r>
      <w:r>
        <w:rPr>
          <w:rFonts w:ascii="宋体" w:hAnsi="宋体"/>
          <w:sz w:val="24"/>
          <w:u w:val="single"/>
        </w:rPr>
        <w:t>承包</w:t>
      </w:r>
      <w:r>
        <w:rPr>
          <w:rFonts w:hint="eastAsia" w:ascii="宋体" w:hAnsi="宋体"/>
          <w:sz w:val="24"/>
          <w:u w:val="single"/>
        </w:rPr>
        <w:t>人</w:t>
      </w:r>
      <w:r>
        <w:rPr>
          <w:rFonts w:ascii="宋体" w:hAnsi="宋体"/>
          <w:sz w:val="24"/>
          <w:u w:val="single"/>
        </w:rPr>
        <w:t>应该（并促使其各层分包</w:t>
      </w:r>
      <w:r>
        <w:rPr>
          <w:rFonts w:hint="eastAsia" w:ascii="宋体" w:hAnsi="宋体"/>
          <w:sz w:val="24"/>
          <w:u w:val="single"/>
        </w:rPr>
        <w:t>人</w:t>
      </w:r>
      <w:r>
        <w:rPr>
          <w:rFonts w:ascii="宋体" w:hAnsi="宋体"/>
          <w:sz w:val="24"/>
          <w:u w:val="single"/>
        </w:rPr>
        <w:t>）在任何时间遵守本合同的各项规定。承包</w:t>
      </w:r>
      <w:r>
        <w:rPr>
          <w:rFonts w:hint="eastAsia" w:ascii="宋体" w:hAnsi="宋体"/>
          <w:sz w:val="24"/>
          <w:u w:val="single"/>
        </w:rPr>
        <w:t>人</w:t>
      </w:r>
      <w:r>
        <w:rPr>
          <w:rFonts w:ascii="宋体" w:hAnsi="宋体"/>
          <w:sz w:val="24"/>
          <w:u w:val="single"/>
        </w:rPr>
        <w:t>的分包</w:t>
      </w:r>
      <w:r>
        <w:rPr>
          <w:rFonts w:hint="eastAsia" w:ascii="宋体" w:hAnsi="宋体"/>
          <w:sz w:val="24"/>
          <w:u w:val="single"/>
        </w:rPr>
        <w:t>人</w:t>
      </w:r>
      <w:r>
        <w:rPr>
          <w:rFonts w:ascii="宋体" w:hAnsi="宋体"/>
          <w:sz w:val="24"/>
          <w:u w:val="single"/>
        </w:rPr>
        <w:t>如有未遵守本条款要求将等同于承包</w:t>
      </w:r>
      <w:r>
        <w:rPr>
          <w:rFonts w:hint="eastAsia" w:ascii="宋体" w:hAnsi="宋体"/>
          <w:sz w:val="24"/>
          <w:u w:val="single"/>
        </w:rPr>
        <w:t>人</w:t>
      </w:r>
      <w:r>
        <w:rPr>
          <w:rFonts w:ascii="宋体" w:hAnsi="宋体"/>
          <w:sz w:val="24"/>
          <w:u w:val="single"/>
        </w:rPr>
        <w:t>未遵守本条款或相关附录要求。发包人保留审核和批准所有承包</w:t>
      </w:r>
      <w:r>
        <w:rPr>
          <w:rFonts w:hint="eastAsia" w:ascii="宋体" w:hAnsi="宋体"/>
          <w:sz w:val="24"/>
          <w:u w:val="single"/>
        </w:rPr>
        <w:t>人</w:t>
      </w:r>
      <w:r>
        <w:rPr>
          <w:rFonts w:ascii="宋体" w:hAnsi="宋体"/>
          <w:sz w:val="24"/>
          <w:u w:val="single"/>
        </w:rPr>
        <w:t>和其分包</w:t>
      </w:r>
      <w:r>
        <w:rPr>
          <w:rFonts w:hint="eastAsia" w:ascii="宋体" w:hAnsi="宋体"/>
          <w:sz w:val="24"/>
          <w:u w:val="single"/>
        </w:rPr>
        <w:t>人</w:t>
      </w:r>
      <w:r>
        <w:rPr>
          <w:rFonts w:ascii="宋体" w:hAnsi="宋体"/>
          <w:sz w:val="24"/>
          <w:u w:val="single"/>
        </w:rPr>
        <w:t>依据本条款或相关附录要求购买的保险的条款和保险公司的权利。承包</w:t>
      </w:r>
      <w:r>
        <w:rPr>
          <w:rFonts w:hint="eastAsia" w:ascii="宋体" w:hAnsi="宋体"/>
          <w:sz w:val="24"/>
          <w:u w:val="single"/>
        </w:rPr>
        <w:t>人</w:t>
      </w:r>
      <w:r>
        <w:rPr>
          <w:rFonts w:ascii="宋体" w:hAnsi="宋体"/>
          <w:sz w:val="24"/>
          <w:u w:val="single"/>
        </w:rPr>
        <w:t>和其分包</w:t>
      </w:r>
      <w:r>
        <w:rPr>
          <w:rFonts w:hint="eastAsia" w:ascii="宋体" w:hAnsi="宋体"/>
          <w:sz w:val="24"/>
          <w:u w:val="single"/>
        </w:rPr>
        <w:t>人</w:t>
      </w:r>
      <w:r>
        <w:rPr>
          <w:rFonts w:ascii="宋体" w:hAnsi="宋体"/>
          <w:sz w:val="24"/>
          <w:u w:val="single"/>
        </w:rPr>
        <w:t>需要在相关保险保险生效前出具保险证明并在发包人要求下提供相关证明待审核。发包人将以国内同类型由外商建设项目为标准审核和批准承包</w:t>
      </w:r>
      <w:r>
        <w:rPr>
          <w:rFonts w:hint="eastAsia" w:ascii="宋体" w:hAnsi="宋体"/>
          <w:sz w:val="24"/>
          <w:u w:val="single"/>
        </w:rPr>
        <w:t>人</w:t>
      </w:r>
      <w:r>
        <w:rPr>
          <w:rFonts w:ascii="宋体" w:hAnsi="宋体"/>
          <w:sz w:val="24"/>
          <w:u w:val="single"/>
        </w:rPr>
        <w:t>和其分包</w:t>
      </w:r>
      <w:r>
        <w:rPr>
          <w:rFonts w:hint="eastAsia" w:ascii="宋体" w:hAnsi="宋体"/>
          <w:sz w:val="24"/>
          <w:u w:val="single"/>
        </w:rPr>
        <w:t>人</w:t>
      </w:r>
      <w:r>
        <w:rPr>
          <w:rFonts w:ascii="宋体" w:hAnsi="宋体"/>
          <w:sz w:val="24"/>
          <w:u w:val="single"/>
        </w:rPr>
        <w:t>安排的保险</w:t>
      </w:r>
      <w:r>
        <w:rPr>
          <w:rFonts w:hint="eastAsia" w:ascii="宋体" w:hAnsi="宋体"/>
          <w:b/>
          <w:color w:val="000000"/>
          <w:sz w:val="24"/>
          <w:u w:val="single"/>
        </w:rPr>
        <w:t>。</w:t>
      </w:r>
    </w:p>
    <w:p>
      <w:pPr>
        <w:spacing w:line="360" w:lineRule="auto"/>
        <w:rPr>
          <w:color w:val="000000"/>
          <w:sz w:val="28"/>
          <w:szCs w:val="28"/>
        </w:rPr>
      </w:pPr>
      <w:r>
        <w:rPr>
          <w:rFonts w:hint="eastAsia"/>
          <w:color w:val="000000"/>
          <w:sz w:val="28"/>
          <w:szCs w:val="28"/>
        </w:rPr>
        <w:t>42 工程担保</w:t>
      </w:r>
      <w:bookmarkEnd w:id="510"/>
    </w:p>
    <w:p>
      <w:pPr>
        <w:spacing w:line="360" w:lineRule="auto"/>
        <w:rPr>
          <w:color w:val="000000"/>
          <w:sz w:val="24"/>
        </w:rPr>
      </w:pPr>
      <w:r>
        <w:rPr>
          <w:rFonts w:hint="eastAsia"/>
          <w:color w:val="000000"/>
          <w:sz w:val="24"/>
        </w:rPr>
        <w:t>42.3履约担保金额为：</w:t>
      </w:r>
      <w:r>
        <w:rPr>
          <w:rFonts w:hint="eastAsia"/>
          <w:color w:val="000000"/>
          <w:sz w:val="24"/>
          <w:u w:val="single"/>
        </w:rPr>
        <w:t>合同总价的10</w:t>
      </w:r>
      <w:r>
        <w:rPr>
          <w:color w:val="000000"/>
          <w:sz w:val="24"/>
          <w:u w:val="single"/>
        </w:rPr>
        <w:t>%</w:t>
      </w:r>
      <w:r>
        <w:rPr>
          <w:rFonts w:hint="eastAsia"/>
          <w:color w:val="000000"/>
          <w:sz w:val="24"/>
          <w:u w:val="single"/>
        </w:rPr>
        <w:t xml:space="preserve">； </w:t>
      </w:r>
      <w:bookmarkStart w:id="511" w:name="履约担保金额"/>
      <w:r>
        <w:rPr>
          <w:rFonts w:hint="eastAsia"/>
          <w:color w:val="000000"/>
          <w:sz w:val="24"/>
          <w:u w:val="single"/>
        </w:rPr>
        <w:t xml:space="preserve">                             </w:t>
      </w:r>
      <w:bookmarkEnd w:id="511"/>
    </w:p>
    <w:p>
      <w:pPr>
        <w:spacing w:line="360" w:lineRule="auto"/>
        <w:rPr>
          <w:color w:val="000000"/>
          <w:sz w:val="24"/>
        </w:rPr>
      </w:pPr>
      <w:r>
        <w:rPr>
          <w:rFonts w:hint="eastAsia"/>
          <w:color w:val="000000"/>
          <w:sz w:val="24"/>
        </w:rPr>
        <w:t>支付担保金额为：</w:t>
      </w:r>
      <w:bookmarkStart w:id="512" w:name="支付担保金额"/>
      <w:r>
        <w:rPr>
          <w:rFonts w:hint="eastAsia"/>
          <w:color w:val="000000"/>
          <w:sz w:val="24"/>
          <w:u w:val="single"/>
        </w:rPr>
        <w:t xml:space="preserve">无                          </w:t>
      </w:r>
      <w:bookmarkEnd w:id="512"/>
      <w:r>
        <w:rPr>
          <w:rFonts w:hint="eastAsia"/>
          <w:color w:val="000000"/>
          <w:sz w:val="24"/>
          <w:u w:val="single"/>
        </w:rPr>
        <w:t xml:space="preserve">                          </w:t>
      </w:r>
    </w:p>
    <w:p>
      <w:pPr>
        <w:spacing w:line="360" w:lineRule="auto"/>
        <w:rPr>
          <w:color w:val="000000"/>
          <w:sz w:val="24"/>
          <w:u w:val="single"/>
        </w:rPr>
      </w:pPr>
      <w:r>
        <w:rPr>
          <w:rFonts w:hint="eastAsia"/>
          <w:color w:val="000000"/>
          <w:sz w:val="24"/>
        </w:rPr>
        <w:t>42.8担保方式和其他担保事项约定：</w:t>
      </w:r>
      <w:bookmarkStart w:id="513" w:name="_Toc35656558"/>
      <w:bookmarkStart w:id="514" w:name="_Toc84303938"/>
      <w:bookmarkStart w:id="515" w:name="_Toc47425611"/>
      <w:r>
        <w:rPr>
          <w:rFonts w:hint="eastAsia"/>
          <w:color w:val="000000"/>
          <w:sz w:val="24"/>
          <w:u w:val="single"/>
        </w:rPr>
        <w:t>采用银行保函方式。履约保函的有效期限应为自开立之日起至工程合同期满3个月止。</w:t>
      </w:r>
    </w:p>
    <w:p>
      <w:pPr>
        <w:spacing w:line="360" w:lineRule="auto"/>
        <w:rPr>
          <w:color w:val="000000"/>
          <w:sz w:val="24"/>
          <w:u w:val="single"/>
        </w:rPr>
      </w:pPr>
      <w:r>
        <w:rPr>
          <w:rFonts w:hint="eastAsia"/>
          <w:color w:val="000000"/>
          <w:sz w:val="24"/>
          <w:u w:val="single"/>
        </w:rPr>
        <w:t xml:space="preserve">承包人应提供发包人可接受的中国境内银行出具的的保函，对保函的任何形式的更改应得到发包人的同意。保函内容有误或发包人认定存在风险，包括保函条款、名称等，发包人可拒收保函，直至保函符合发包人要求。若承包人提交的保函有效期少于本合同约定及发包人要求的保证期间，承包人应于保函期限届满前1个月向发包人重新提交符合合同约定及发包人要求的银行保函，如重新开立的保函期限仍未达到发包人要求，承包人应继续开立新的保函至保证期满，同时不能影响交期/工期，否则发包人有权在上述保函期限届满前兑付，并暂停对承包人的任何付款，发包人不承担保函办理及延期等任何费用。 </w:t>
      </w:r>
    </w:p>
    <w:p>
      <w:pPr>
        <w:spacing w:line="360" w:lineRule="auto"/>
        <w:rPr>
          <w:b/>
          <w:color w:val="000000"/>
          <w:sz w:val="30"/>
          <w:szCs w:val="30"/>
        </w:rPr>
      </w:pPr>
      <w:r>
        <w:rPr>
          <w:rFonts w:hint="eastAsia"/>
          <w:b/>
          <w:color w:val="000000"/>
          <w:sz w:val="30"/>
          <w:szCs w:val="30"/>
        </w:rPr>
        <w:t>十七、合同的生效、终止和解除</w:t>
      </w:r>
      <w:bookmarkEnd w:id="513"/>
      <w:bookmarkEnd w:id="514"/>
      <w:bookmarkEnd w:id="515"/>
    </w:p>
    <w:p>
      <w:pPr>
        <w:spacing w:line="360" w:lineRule="auto"/>
        <w:rPr>
          <w:color w:val="000000"/>
          <w:sz w:val="28"/>
          <w:szCs w:val="28"/>
        </w:rPr>
      </w:pPr>
      <w:bookmarkStart w:id="516" w:name="_Toc35656559"/>
      <w:r>
        <w:rPr>
          <w:rFonts w:hint="eastAsia"/>
          <w:color w:val="000000"/>
          <w:sz w:val="28"/>
          <w:szCs w:val="28"/>
        </w:rPr>
        <w:t>45 合同份数</w:t>
      </w:r>
      <w:bookmarkEnd w:id="516"/>
    </w:p>
    <w:p>
      <w:pPr>
        <w:spacing w:line="360" w:lineRule="auto"/>
        <w:rPr>
          <w:color w:val="000000"/>
          <w:sz w:val="24"/>
          <w:u w:val="single"/>
        </w:rPr>
      </w:pPr>
      <w:r>
        <w:rPr>
          <w:rFonts w:hint="eastAsia"/>
          <w:color w:val="000000"/>
          <w:sz w:val="24"/>
        </w:rPr>
        <w:t>45.2合同正副本份数：</w:t>
      </w:r>
      <w:r>
        <w:rPr>
          <w:rFonts w:hint="eastAsia"/>
          <w:color w:val="000000"/>
          <w:sz w:val="24"/>
          <w:u w:val="single"/>
        </w:rPr>
        <w:t xml:space="preserve">正本贰份，双方各壹份；副本陆份，其中发包人伍份，承包人壹份。 </w:t>
      </w:r>
    </w:p>
    <w:p>
      <w:pPr>
        <w:spacing w:line="360" w:lineRule="auto"/>
        <w:rPr>
          <w:b/>
          <w:color w:val="000000"/>
          <w:sz w:val="24"/>
        </w:rPr>
      </w:pPr>
    </w:p>
    <w:p>
      <w:pPr>
        <w:pageBreakBefore/>
        <w:spacing w:line="360" w:lineRule="auto"/>
        <w:rPr>
          <w:b/>
          <w:color w:val="000000"/>
          <w:sz w:val="24"/>
        </w:rPr>
      </w:pPr>
      <w:r>
        <w:rPr>
          <w:rFonts w:hint="eastAsia"/>
          <w:b/>
          <w:color w:val="000000"/>
          <w:sz w:val="24"/>
        </w:rPr>
        <w:t>附件1：</w:t>
      </w:r>
    </w:p>
    <w:p>
      <w:pPr>
        <w:spacing w:line="312" w:lineRule="auto"/>
        <w:jc w:val="center"/>
        <w:rPr>
          <w:b/>
          <w:color w:val="000000"/>
          <w:sz w:val="30"/>
        </w:rPr>
      </w:pPr>
      <w:r>
        <w:rPr>
          <w:rFonts w:hint="eastAsia"/>
          <w:b/>
          <w:color w:val="000000"/>
          <w:sz w:val="30"/>
        </w:rPr>
        <w:t>工程质量缺陷保修书</w:t>
      </w:r>
    </w:p>
    <w:p>
      <w:pPr>
        <w:spacing w:line="360" w:lineRule="auto"/>
        <w:rPr>
          <w:color w:val="000000"/>
          <w:sz w:val="24"/>
        </w:rPr>
      </w:pPr>
    </w:p>
    <w:p>
      <w:pPr>
        <w:spacing w:line="360" w:lineRule="auto"/>
        <w:rPr>
          <w:color w:val="000000"/>
          <w:sz w:val="24"/>
        </w:rPr>
      </w:pPr>
      <w:r>
        <w:rPr>
          <w:rFonts w:hint="eastAsia"/>
          <w:color w:val="000000"/>
          <w:sz w:val="24"/>
        </w:rPr>
        <w:t>发包人(全称)：</w:t>
      </w:r>
      <w:permStart w:id="0" w:edGrp="everyone"/>
      <w:r>
        <w:rPr>
          <w:rFonts w:hint="eastAsia"/>
          <w:color w:val="000000"/>
          <w:sz w:val="24"/>
        </w:rPr>
        <w:t xml:space="preserve"> </w:t>
      </w:r>
      <w:r>
        <w:rPr>
          <w:rFonts w:hint="eastAsia"/>
          <w:color w:val="000000"/>
          <w:sz w:val="24"/>
          <w:u w:val="single"/>
        </w:rPr>
        <w:t>广州华星光电半导体显示技术有限公司</w:t>
      </w:r>
      <w:permEnd w:id="0"/>
    </w:p>
    <w:p>
      <w:pPr>
        <w:spacing w:line="360" w:lineRule="auto"/>
        <w:rPr>
          <w:color w:val="000000"/>
          <w:sz w:val="24"/>
        </w:rPr>
      </w:pPr>
      <w:r>
        <w:rPr>
          <w:rFonts w:hint="eastAsia"/>
          <w:color w:val="000000"/>
          <w:sz w:val="24"/>
        </w:rPr>
        <w:t>承包人(全称)：</w:t>
      </w:r>
      <w:permStart w:id="1" w:edGrp="everyone"/>
      <w:r>
        <w:rPr>
          <w:rFonts w:hint="eastAsia"/>
          <w:b/>
          <w:color w:val="000000"/>
          <w:sz w:val="24"/>
        </w:rPr>
        <w:t xml:space="preserve"> </w:t>
      </w:r>
      <w:r>
        <w:rPr>
          <w:rFonts w:hint="eastAsia"/>
          <w:color w:val="000000"/>
          <w:sz w:val="24"/>
          <w:u w:val="single"/>
        </w:rPr>
        <w:t xml:space="preserve">                                           </w:t>
      </w:r>
      <w:r>
        <w:rPr>
          <w:rFonts w:hint="eastAsia"/>
          <w:color w:val="000000"/>
          <w:sz w:val="24"/>
        </w:rPr>
        <w:t xml:space="preserve">  </w:t>
      </w:r>
      <w:permEnd w:id="1"/>
    </w:p>
    <w:p>
      <w:pPr>
        <w:spacing w:line="360" w:lineRule="auto"/>
        <w:ind w:firstLine="480" w:firstLineChars="200"/>
        <w:rPr>
          <w:color w:val="000000"/>
          <w:sz w:val="24"/>
        </w:rPr>
      </w:pPr>
    </w:p>
    <w:p>
      <w:pPr>
        <w:spacing w:before="156" w:beforeLines="50" w:after="156" w:afterLines="50" w:line="360" w:lineRule="auto"/>
        <w:ind w:firstLine="480" w:firstLineChars="200"/>
        <w:rPr>
          <w:color w:val="000000"/>
          <w:sz w:val="24"/>
        </w:rPr>
      </w:pPr>
      <w:r>
        <w:rPr>
          <w:rFonts w:hint="eastAsia"/>
          <w:color w:val="000000"/>
          <w:sz w:val="24"/>
        </w:rPr>
        <w:t>为保证</w:t>
      </w:r>
      <w:permStart w:id="2" w:edGrp="everyone"/>
      <w:r>
        <w:rPr>
          <w:color w:val="000000"/>
          <w:sz w:val="24"/>
        </w:rPr>
        <w:t xml:space="preserve"> </w:t>
      </w:r>
      <w:r>
        <w:rPr>
          <w:rFonts w:hint="eastAsia"/>
          <w:color w:val="000000"/>
          <w:sz w:val="24"/>
          <w:u w:val="single"/>
        </w:rPr>
        <w:t>广州华星第8.6代氧化物半导体新型显示器件生产线项目（ph2）洁净机电工程施工总承包</w:t>
      </w:r>
      <w:r>
        <w:rPr>
          <w:rFonts w:hint="eastAsia"/>
          <w:color w:val="000000"/>
          <w:sz w:val="24"/>
        </w:rPr>
        <w:t xml:space="preserve"> </w:t>
      </w:r>
      <w:permEnd w:id="2"/>
      <w:r>
        <w:rPr>
          <w:rFonts w:hint="eastAsia"/>
          <w:color w:val="000000"/>
          <w:sz w:val="24"/>
        </w:rPr>
        <w:t>(工程名称)在合理使用期限内正常使用，发包人和承包人根据《中华人民共和国建筑法》、《建设工程质量管理条例》，经协商一致，签订工程质量缺陷保修书。承包人在质量缺陷保修期内按照有关规定及双方约定承担工程质量缺陷保修责任。</w:t>
      </w:r>
    </w:p>
    <w:p>
      <w:pPr>
        <w:spacing w:before="156" w:beforeLines="50" w:after="156" w:afterLines="50" w:line="360" w:lineRule="auto"/>
        <w:ind w:firstLine="560" w:firstLineChars="200"/>
        <w:rPr>
          <w:color w:val="000000"/>
          <w:sz w:val="28"/>
          <w:szCs w:val="28"/>
        </w:rPr>
      </w:pPr>
      <w:r>
        <w:rPr>
          <w:rFonts w:hint="eastAsia"/>
          <w:color w:val="000000"/>
          <w:sz w:val="28"/>
          <w:szCs w:val="28"/>
        </w:rPr>
        <w:t>一、工程质量缺陷保修范围</w:t>
      </w:r>
    </w:p>
    <w:p>
      <w:pPr>
        <w:spacing w:before="156" w:beforeLines="50" w:after="156" w:afterLines="50" w:line="360" w:lineRule="auto"/>
        <w:ind w:firstLine="480" w:firstLineChars="200"/>
        <w:rPr>
          <w:color w:val="000000"/>
          <w:sz w:val="24"/>
        </w:rPr>
      </w:pPr>
      <w:r>
        <w:rPr>
          <w:rFonts w:hint="eastAsia"/>
          <w:color w:val="000000"/>
          <w:sz w:val="24"/>
        </w:rPr>
        <w:t>具体质量缺陷保修范围，双方约定如下：</w:t>
      </w:r>
    </w:p>
    <w:p>
      <w:pPr>
        <w:spacing w:before="156" w:beforeLines="50" w:after="156" w:afterLines="50" w:line="360" w:lineRule="auto"/>
        <w:rPr>
          <w:color w:val="000000"/>
          <w:sz w:val="24"/>
        </w:rPr>
      </w:pPr>
      <w:permStart w:id="3" w:edGrp="everyone"/>
      <w:r>
        <w:rPr>
          <w:rFonts w:hint="eastAsia"/>
          <w:b/>
          <w:color w:val="000000"/>
          <w:sz w:val="24"/>
        </w:rPr>
        <w:t xml:space="preserve">  </w:t>
      </w:r>
      <w:r>
        <w:rPr>
          <w:rFonts w:hint="eastAsia" w:ascii="宋体" w:hAnsi="宋体"/>
          <w:color w:val="000000"/>
          <w:sz w:val="24"/>
        </w:rPr>
        <w:t>包括发包人与承包人于</w:t>
      </w:r>
      <w:r>
        <w:rPr>
          <w:rFonts w:hint="eastAsia" w:ascii="宋体" w:hAnsi="宋体"/>
          <w:color w:val="000000"/>
          <w:sz w:val="24"/>
          <w:lang w:val="en-US" w:eastAsia="zh-CN"/>
        </w:rPr>
        <w:t>2023</w:t>
      </w:r>
      <w:r>
        <w:rPr>
          <w:rFonts w:hint="eastAsia" w:ascii="宋体" w:hAnsi="宋体"/>
          <w:color w:val="000000"/>
          <w:sz w:val="24"/>
        </w:rPr>
        <w:t>年 月  日签订的《</w:t>
      </w:r>
      <w:r>
        <w:rPr>
          <w:rFonts w:hint="eastAsia"/>
          <w:color w:val="000000"/>
          <w:sz w:val="24"/>
          <w:u w:val="single"/>
        </w:rPr>
        <w:t>广州华星第8.6代氧化物半导体新型显示器件生产线项目（ph2）洁净机电工程施工总承包</w:t>
      </w:r>
      <w:r>
        <w:rPr>
          <w:rFonts w:hint="eastAsia" w:ascii="宋体" w:hAnsi="宋体"/>
          <w:color w:val="000000"/>
          <w:sz w:val="24"/>
        </w:rPr>
        <w:t>》内的所有施工内容。</w:t>
      </w:r>
      <w:permEnd w:id="3"/>
    </w:p>
    <w:p>
      <w:pPr>
        <w:spacing w:before="156" w:beforeLines="50" w:after="156" w:afterLines="50" w:line="360" w:lineRule="auto"/>
        <w:ind w:firstLine="560" w:firstLineChars="200"/>
        <w:rPr>
          <w:color w:val="000000"/>
          <w:sz w:val="28"/>
          <w:szCs w:val="28"/>
        </w:rPr>
      </w:pPr>
      <w:r>
        <w:rPr>
          <w:rFonts w:hint="eastAsia"/>
          <w:color w:val="000000"/>
          <w:sz w:val="28"/>
          <w:szCs w:val="28"/>
        </w:rPr>
        <w:t>二、工程质量缺陷保修期</w:t>
      </w:r>
    </w:p>
    <w:p>
      <w:pPr>
        <w:spacing w:before="156" w:beforeLines="50" w:after="156" w:afterLines="50" w:line="360" w:lineRule="auto"/>
        <w:ind w:firstLine="480" w:firstLineChars="200"/>
        <w:rPr>
          <w:color w:val="000000"/>
          <w:sz w:val="24"/>
        </w:rPr>
      </w:pPr>
      <w:r>
        <w:rPr>
          <w:rFonts w:hint="eastAsia"/>
          <w:color w:val="000000"/>
          <w:sz w:val="24"/>
        </w:rPr>
        <w:t>质量缺陷保修期从工程竣工验收合格之日算起。单项竣工验收的工程，按单项工程分别计算质量缺陷保修期。</w:t>
      </w:r>
    </w:p>
    <w:p>
      <w:pPr>
        <w:pStyle w:val="24"/>
        <w:snapToGrid w:val="0"/>
        <w:spacing w:before="156" w:beforeLines="50" w:after="156" w:afterLines="50"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双方约定本工程质量缺陷保修期如下：</w:t>
      </w:r>
    </w:p>
    <w:p>
      <w:pPr>
        <w:pStyle w:val="24"/>
        <w:snapToGrid w:val="0"/>
        <w:spacing w:before="156" w:beforeLines="50" w:after="156" w:afterLines="50" w:line="360" w:lineRule="auto"/>
        <w:ind w:firstLine="480" w:firstLineChars="200"/>
        <w:jc w:val="left"/>
        <w:rPr>
          <w:rFonts w:ascii="Times New Roman" w:hAnsi="Times New Roman"/>
          <w:color w:val="000000"/>
          <w:sz w:val="24"/>
          <w:szCs w:val="24"/>
        </w:rPr>
      </w:pPr>
      <w:r>
        <w:rPr>
          <w:rFonts w:ascii="Times New Roman" w:hAnsi="Times New Roman"/>
          <w:color w:val="000000"/>
          <w:sz w:val="24"/>
        </w:rPr>
        <w:object>
          <v:shape id="_x0000_i1025" o:spt="201" type="#_x0000_t201" style="height:14.5pt;width:12pt;" o:ole="t" filled="f" o:preferrelative="t" stroked="f" coordsize="21600,21600">
            <v:path/>
            <v:fill on="f" focussize="0,0"/>
            <v:stroke on="f"/>
            <v:imagedata r:id="rId7" o:title=""/>
            <o:lock v:ext="edit" aspectratio="t"/>
            <w10:wrap type="none"/>
            <w10:anchorlock/>
          </v:shape>
          <w:control r:id="rId6" w:name="CheckBox1" w:shapeid="_x0000_i1025"/>
        </w:object>
      </w:r>
      <w:r>
        <w:rPr>
          <w:rFonts w:hint="eastAsia" w:ascii="Times New Roman" w:hAnsi="Times New Roman"/>
          <w:color w:val="000000"/>
          <w:sz w:val="24"/>
          <w:szCs w:val="24"/>
        </w:rPr>
        <w:t>工程</w:t>
      </w:r>
      <w:r>
        <w:rPr>
          <w:rFonts w:ascii="Times New Roman" w:hAnsi="Times New Roman"/>
          <w:color w:val="000000"/>
          <w:sz w:val="24"/>
          <w:szCs w:val="24"/>
        </w:rPr>
        <w:t>主体结构工程为设计文件规定的合理使用年限；</w:t>
      </w:r>
    </w:p>
    <w:p>
      <w:pPr>
        <w:pStyle w:val="24"/>
        <w:snapToGrid w:val="0"/>
        <w:spacing w:before="156" w:beforeLines="50" w:after="156" w:afterLines="50" w:line="360" w:lineRule="auto"/>
        <w:ind w:firstLine="480" w:firstLineChars="200"/>
        <w:jc w:val="left"/>
        <w:rPr>
          <w:rFonts w:ascii="Times New Roman" w:hAnsi="Times New Roman"/>
          <w:color w:val="000000"/>
          <w:sz w:val="24"/>
          <w:szCs w:val="24"/>
        </w:rPr>
      </w:pPr>
      <w:r>
        <w:rPr>
          <w:rFonts w:ascii="Times New Roman" w:hAnsi="Times New Roman"/>
          <w:color w:val="000000"/>
          <w:sz w:val="24"/>
        </w:rPr>
        <w:object>
          <v:shape id="_x0000_i1026" o:spt="201" type="#_x0000_t201" style="height:14.5pt;width:12pt;" o:ole="t" filled="f" o:preferrelative="t" stroked="f" coordsize="21600,21600">
            <v:path/>
            <v:fill on="f" focussize="0,0"/>
            <v:stroke on="f"/>
            <v:imagedata r:id="rId7" o:title=""/>
            <o:lock v:ext="edit" aspectratio="t"/>
            <w10:wrap type="none"/>
            <w10:anchorlock/>
          </v:shape>
          <w:control r:id="rId8" w:name="CheckBox2" w:shapeid="_x0000_i1026"/>
        </w:object>
      </w:r>
      <w:r>
        <w:rPr>
          <w:rFonts w:ascii="Times New Roman" w:hAnsi="Times New Roman"/>
          <w:color w:val="000000"/>
          <w:sz w:val="24"/>
          <w:szCs w:val="24"/>
        </w:rPr>
        <w:t>屋面防水工程、有防水要求的卫生间/房间和外墙面的防渗漏工程为</w:t>
      </w:r>
      <w:permStart w:id="4" w:edGrp="everyone"/>
      <w:r>
        <w:rPr>
          <w:rFonts w:ascii="Times New Roman" w:hAnsi="Times New Roman"/>
          <w:b/>
          <w:color w:val="000000"/>
          <w:sz w:val="24"/>
          <w:szCs w:val="24"/>
          <w:u w:val="single"/>
        </w:rPr>
        <w:t xml:space="preserve">  </w:t>
      </w:r>
      <w:r>
        <w:rPr>
          <w:rFonts w:hint="eastAsia" w:ascii="Times New Roman" w:hAnsi="Times New Roman"/>
          <w:b/>
          <w:color w:val="000000"/>
          <w:sz w:val="24"/>
          <w:szCs w:val="24"/>
          <w:u w:val="single"/>
        </w:rPr>
        <w:t>5</w:t>
      </w:r>
      <w:r>
        <w:rPr>
          <w:rFonts w:ascii="Times New Roman" w:hAnsi="Times New Roman"/>
          <w:b/>
          <w:color w:val="000000"/>
          <w:sz w:val="24"/>
          <w:szCs w:val="24"/>
          <w:u w:val="single"/>
        </w:rPr>
        <w:t xml:space="preserve"> </w:t>
      </w:r>
      <w:permEnd w:id="4"/>
      <w:r>
        <w:rPr>
          <w:rFonts w:ascii="Times New Roman" w:hAnsi="Times New Roman"/>
          <w:color w:val="000000"/>
          <w:sz w:val="24"/>
          <w:szCs w:val="24"/>
        </w:rPr>
        <w:t>年(最低为5年)；</w:t>
      </w:r>
    </w:p>
    <w:p>
      <w:pPr>
        <w:pStyle w:val="24"/>
        <w:snapToGrid w:val="0"/>
        <w:spacing w:before="156" w:beforeLines="50" w:after="156" w:afterLines="50" w:line="360" w:lineRule="auto"/>
        <w:ind w:firstLine="480" w:firstLineChars="200"/>
        <w:jc w:val="left"/>
        <w:rPr>
          <w:rFonts w:ascii="Times New Roman" w:hAnsi="Times New Roman"/>
          <w:color w:val="000000"/>
          <w:sz w:val="24"/>
          <w:szCs w:val="24"/>
        </w:rPr>
      </w:pPr>
      <w:r>
        <w:rPr>
          <w:rFonts w:ascii="Times New Roman" w:hAnsi="Times New Roman"/>
          <w:color w:val="000000"/>
          <w:sz w:val="24"/>
        </w:rPr>
        <w:object>
          <v:shape id="_x0000_i1027" o:spt="201" type="#_x0000_t201" style="height:14.5pt;width:12pt;" o:ole="t" filled="f" o:preferrelative="t" stroked="f" coordsize="21600,21600">
            <v:path/>
            <v:fill on="f" focussize="0,0"/>
            <v:stroke on="f"/>
            <v:imagedata r:id="rId7" o:title=""/>
            <o:lock v:ext="edit" aspectratio="t"/>
            <w10:wrap type="none"/>
            <w10:anchorlock/>
          </v:shape>
          <w:control r:id="rId9" w:name="CheckBox3" w:shapeid="_x0000_i1027"/>
        </w:object>
      </w:r>
      <w:r>
        <w:rPr>
          <w:rFonts w:ascii="Times New Roman" w:hAnsi="Times New Roman"/>
          <w:color w:val="000000"/>
          <w:sz w:val="24"/>
          <w:szCs w:val="24"/>
        </w:rPr>
        <w:t>电气管线工程、给排水管道工程、设备安装工程为</w:t>
      </w:r>
      <w:permStart w:id="5" w:edGrp="everyone"/>
      <w:r>
        <w:rPr>
          <w:rFonts w:ascii="Times New Roman" w:hAnsi="Times New Roman"/>
          <w:b/>
          <w:color w:val="000000"/>
          <w:sz w:val="24"/>
          <w:szCs w:val="24"/>
          <w:u w:val="single"/>
        </w:rPr>
        <w:t xml:space="preserve">  </w:t>
      </w:r>
      <w:r>
        <w:rPr>
          <w:rFonts w:hint="eastAsia" w:ascii="Times New Roman" w:hAnsi="Times New Roman"/>
          <w:b/>
          <w:color w:val="000000"/>
          <w:sz w:val="24"/>
          <w:szCs w:val="24"/>
          <w:u w:val="single"/>
          <w:lang w:val="en-US" w:eastAsia="zh-CN"/>
        </w:rPr>
        <w:t>2</w:t>
      </w:r>
      <w:r>
        <w:rPr>
          <w:rFonts w:ascii="Times New Roman" w:hAnsi="Times New Roman"/>
          <w:b/>
          <w:color w:val="000000"/>
          <w:sz w:val="24"/>
          <w:szCs w:val="24"/>
          <w:u w:val="single"/>
        </w:rPr>
        <w:t xml:space="preserve">  </w:t>
      </w:r>
      <w:permEnd w:id="5"/>
      <w:r>
        <w:rPr>
          <w:rFonts w:ascii="Times New Roman" w:hAnsi="Times New Roman"/>
          <w:color w:val="000000"/>
          <w:sz w:val="24"/>
          <w:szCs w:val="24"/>
        </w:rPr>
        <w:t>年(最低为2年)；</w:t>
      </w:r>
    </w:p>
    <w:p>
      <w:pPr>
        <w:pStyle w:val="24"/>
        <w:snapToGrid w:val="0"/>
        <w:spacing w:before="156" w:beforeLines="50" w:after="156" w:afterLines="50" w:line="360" w:lineRule="auto"/>
        <w:ind w:firstLine="480" w:firstLineChars="200"/>
        <w:jc w:val="left"/>
        <w:rPr>
          <w:rFonts w:ascii="Times New Roman" w:hAnsi="Times New Roman"/>
          <w:color w:val="000000"/>
          <w:sz w:val="24"/>
          <w:szCs w:val="24"/>
        </w:rPr>
      </w:pPr>
      <w:r>
        <w:rPr>
          <w:rFonts w:ascii="Times New Roman" w:hAnsi="Times New Roman"/>
          <w:color w:val="000000"/>
          <w:sz w:val="24"/>
        </w:rPr>
        <w:object>
          <v:shape id="_x0000_i1028" o:spt="201" type="#_x0000_t201" style="height:14.5pt;width:12pt;" o:ole="t" filled="f" o:preferrelative="t" stroked="f" coordsize="21600,21600">
            <v:path/>
            <v:fill on="f" focussize="0,0"/>
            <v:stroke on="f"/>
            <v:imagedata r:id="rId7" o:title=""/>
            <o:lock v:ext="edit" aspectratio="t"/>
            <w10:wrap type="none"/>
            <w10:anchorlock/>
          </v:shape>
          <w:control r:id="rId10" w:name="CheckBox4" w:shapeid="_x0000_i1028"/>
        </w:object>
      </w:r>
      <w:r>
        <w:rPr>
          <w:rFonts w:ascii="Times New Roman" w:hAnsi="Times New Roman"/>
          <w:color w:val="000000"/>
          <w:sz w:val="24"/>
        </w:rPr>
        <w:t>供热和供冷系统工程为</w:t>
      </w:r>
      <w:permStart w:id="6" w:edGrp="everyone"/>
      <w:r>
        <w:rPr>
          <w:rFonts w:ascii="Times New Roman" w:hAnsi="Times New Roman"/>
          <w:b/>
          <w:color w:val="000000"/>
          <w:sz w:val="24"/>
          <w:szCs w:val="24"/>
          <w:u w:val="single"/>
        </w:rPr>
        <w:t xml:space="preserve">  2  </w:t>
      </w:r>
      <w:permEnd w:id="6"/>
      <w:r>
        <w:rPr>
          <w:rFonts w:ascii="Times New Roman" w:hAnsi="Times New Roman"/>
          <w:color w:val="000000"/>
          <w:sz w:val="24"/>
          <w:szCs w:val="24"/>
        </w:rPr>
        <w:t>个(最低为2个)采暖期、供冷期；</w:t>
      </w:r>
    </w:p>
    <w:p>
      <w:pPr>
        <w:pStyle w:val="24"/>
        <w:snapToGrid w:val="0"/>
        <w:spacing w:before="156" w:beforeLines="50" w:after="156" w:afterLines="50" w:line="360" w:lineRule="auto"/>
        <w:ind w:firstLine="480" w:firstLineChars="200"/>
        <w:jc w:val="left"/>
        <w:rPr>
          <w:rFonts w:ascii="Times New Roman" w:hAnsi="Times New Roman"/>
          <w:color w:val="000000"/>
          <w:sz w:val="24"/>
        </w:rPr>
      </w:pPr>
      <w:r>
        <w:rPr>
          <w:rFonts w:ascii="Times New Roman" w:hAnsi="Times New Roman"/>
          <w:color w:val="000000"/>
          <w:sz w:val="24"/>
        </w:rPr>
        <w:object>
          <v:shape id="_x0000_i1029" o:spt="201" type="#_x0000_t201" style="height:14.5pt;width:12pt;" o:ole="t" filled="f" o:preferrelative="t" stroked="f" coordsize="21600,21600">
            <v:path/>
            <v:fill on="f" focussize="0,0"/>
            <v:stroke on="f"/>
            <v:imagedata r:id="rId7" o:title=""/>
            <o:lock v:ext="edit" aspectratio="t"/>
            <w10:wrap type="none"/>
            <w10:anchorlock/>
          </v:shape>
          <w:control r:id="rId11" w:name="CheckBox5" w:shapeid="_x0000_i1029"/>
        </w:object>
      </w:r>
      <w:r>
        <w:rPr>
          <w:rFonts w:ascii="Times New Roman" w:hAnsi="Times New Roman"/>
          <w:color w:val="000000"/>
          <w:sz w:val="24"/>
        </w:rPr>
        <w:t>装饰装修工程为</w:t>
      </w:r>
      <w:permStart w:id="7" w:edGrp="everyone"/>
      <w:r>
        <w:rPr>
          <w:rFonts w:ascii="Times New Roman" w:hAnsi="Times New Roman"/>
          <w:b/>
          <w:color w:val="000000"/>
          <w:sz w:val="24"/>
          <w:u w:val="single"/>
        </w:rPr>
        <w:t xml:space="preserve">  </w:t>
      </w:r>
      <w:r>
        <w:rPr>
          <w:rFonts w:hint="eastAsia" w:ascii="Times New Roman" w:hAnsi="Times New Roman"/>
          <w:b/>
          <w:color w:val="000000"/>
          <w:sz w:val="24"/>
          <w:u w:val="single"/>
        </w:rPr>
        <w:t>2</w:t>
      </w:r>
      <w:r>
        <w:rPr>
          <w:rFonts w:ascii="Times New Roman" w:hAnsi="Times New Roman"/>
          <w:b/>
          <w:color w:val="000000"/>
          <w:sz w:val="24"/>
          <w:u w:val="single"/>
        </w:rPr>
        <w:t xml:space="preserve">  </w:t>
      </w:r>
      <w:permEnd w:id="7"/>
      <w:r>
        <w:rPr>
          <w:rFonts w:ascii="Times New Roman" w:hAnsi="Times New Roman"/>
          <w:color w:val="000000"/>
          <w:sz w:val="24"/>
        </w:rPr>
        <w:t>年；</w:t>
      </w:r>
    </w:p>
    <w:p>
      <w:pPr>
        <w:pStyle w:val="24"/>
        <w:snapToGrid w:val="0"/>
        <w:spacing w:before="156" w:beforeLines="50" w:after="156" w:afterLines="50" w:line="360" w:lineRule="auto"/>
        <w:ind w:firstLine="480" w:firstLineChars="200"/>
        <w:jc w:val="left"/>
        <w:rPr>
          <w:rFonts w:ascii="Times New Roman" w:hAnsi="Times New Roman"/>
          <w:color w:val="000000"/>
          <w:sz w:val="24"/>
          <w:szCs w:val="24"/>
        </w:rPr>
      </w:pPr>
      <w:r>
        <w:rPr>
          <w:rFonts w:ascii="Times New Roman" w:hAnsi="Times New Roman"/>
          <w:color w:val="000000"/>
          <w:sz w:val="24"/>
        </w:rPr>
        <w:object>
          <v:shape id="_x0000_i1030" o:spt="201" type="#_x0000_t201" style="height:14.5pt;width:12pt;" o:ole="t" filled="f" o:preferrelative="t" stroked="f" coordsize="21600,21600">
            <v:path/>
            <v:fill on="f" focussize="0,0"/>
            <v:stroke on="f"/>
            <v:imagedata r:id="rId7" o:title=""/>
            <o:lock v:ext="edit" aspectratio="t"/>
            <w10:wrap type="none"/>
            <w10:anchorlock/>
          </v:shape>
          <w:control r:id="rId12" w:name="CheckBox6" w:shapeid="_x0000_i1030"/>
        </w:object>
      </w:r>
      <w:r>
        <w:rPr>
          <w:rFonts w:ascii="Times New Roman" w:hAnsi="Times New Roman"/>
          <w:color w:val="000000"/>
          <w:sz w:val="24"/>
          <w:szCs w:val="24"/>
        </w:rPr>
        <w:t>其他项目保修期约定：</w:t>
      </w:r>
    </w:p>
    <w:p>
      <w:pPr>
        <w:spacing w:line="360" w:lineRule="auto"/>
        <w:ind w:firstLine="480" w:firstLineChars="200"/>
        <w:rPr>
          <w:rFonts w:ascii="宋体" w:hAnsi="宋体" w:cs="Courier New"/>
          <w:color w:val="000000"/>
          <w:sz w:val="24"/>
          <w:szCs w:val="21"/>
          <w:u w:val="single"/>
        </w:rPr>
      </w:pPr>
      <w:permStart w:id="8" w:edGrp="everyone"/>
      <w:r>
        <w:rPr>
          <w:rFonts w:hint="eastAsia" w:ascii="宋体" w:hAnsi="宋体" w:cs="Courier New"/>
          <w:color w:val="000000"/>
          <w:sz w:val="24"/>
          <w:szCs w:val="21"/>
          <w:u w:val="single"/>
        </w:rPr>
        <w:t>①、承包人须保证工程项目，达到有关部门的要求并通过验收。</w:t>
      </w:r>
    </w:p>
    <w:p>
      <w:pPr>
        <w:spacing w:line="360" w:lineRule="auto"/>
        <w:ind w:firstLine="480" w:firstLineChars="200"/>
        <w:rPr>
          <w:rFonts w:ascii="宋体" w:hAnsi="宋体" w:cs="Courier New"/>
          <w:color w:val="000000"/>
          <w:sz w:val="24"/>
          <w:szCs w:val="21"/>
          <w:u w:val="single"/>
        </w:rPr>
      </w:pPr>
      <w:r>
        <w:rPr>
          <w:rFonts w:hint="eastAsia" w:ascii="宋体" w:hAnsi="宋体" w:cs="Courier New"/>
          <w:color w:val="000000"/>
          <w:sz w:val="24"/>
          <w:szCs w:val="21"/>
          <w:u w:val="single"/>
        </w:rPr>
        <w:t>②、承包人必须保证所提供的设备或配件均能按要求在任何工作环境正常操作。</w:t>
      </w:r>
    </w:p>
    <w:p>
      <w:pPr>
        <w:spacing w:line="360" w:lineRule="auto"/>
        <w:ind w:firstLine="480" w:firstLineChars="200"/>
        <w:rPr>
          <w:rFonts w:ascii="宋体" w:hAnsi="宋体" w:cs="Courier New"/>
          <w:color w:val="000000"/>
          <w:sz w:val="24"/>
          <w:szCs w:val="21"/>
          <w:u w:val="single"/>
        </w:rPr>
      </w:pPr>
      <w:r>
        <w:rPr>
          <w:rFonts w:hint="eastAsia" w:ascii="宋体" w:hAnsi="宋体" w:cs="Courier New"/>
          <w:color w:val="000000"/>
          <w:sz w:val="24"/>
          <w:szCs w:val="21"/>
          <w:u w:val="single"/>
        </w:rPr>
        <w:t>③、保修期是指竣工验收合格之日起计。</w:t>
      </w:r>
    </w:p>
    <w:p>
      <w:pPr>
        <w:spacing w:line="360" w:lineRule="auto"/>
        <w:ind w:firstLine="480" w:firstLineChars="200"/>
        <w:rPr>
          <w:rFonts w:ascii="宋体" w:hAnsi="宋体" w:cs="Courier New"/>
          <w:color w:val="000000"/>
          <w:sz w:val="24"/>
          <w:szCs w:val="21"/>
          <w:u w:val="single"/>
        </w:rPr>
      </w:pPr>
      <w:r>
        <w:rPr>
          <w:rFonts w:hint="eastAsia" w:ascii="宋体" w:hAnsi="宋体" w:cs="Courier New"/>
          <w:color w:val="000000"/>
          <w:sz w:val="24"/>
          <w:szCs w:val="21"/>
          <w:u w:val="single"/>
        </w:rPr>
        <w:t>④、若在保证期满后，发现系统上潜在的缺陷，经技术人员认定是由于承包人的工料和施工方法不符合招标文件和图纸要求引起，承包人须负全责免费更换或整改，而不得推诿。</w:t>
      </w:r>
    </w:p>
    <w:p>
      <w:pPr>
        <w:pStyle w:val="24"/>
        <w:snapToGrid w:val="0"/>
        <w:spacing w:before="156" w:beforeLines="50" w:after="156" w:afterLines="50" w:line="360" w:lineRule="auto"/>
        <w:ind w:firstLine="516" w:firstLineChars="215"/>
        <w:rPr>
          <w:rFonts w:ascii="Times New Roman" w:hAnsi="Times New Roman"/>
          <w:color w:val="000000"/>
          <w:sz w:val="24"/>
          <w:szCs w:val="24"/>
          <w:u w:val="single"/>
        </w:rPr>
      </w:pPr>
      <w:r>
        <w:rPr>
          <w:rFonts w:hint="eastAsia" w:hAnsi="宋体"/>
          <w:color w:val="000000"/>
          <w:sz w:val="24"/>
          <w:szCs w:val="24"/>
          <w:u w:val="single"/>
        </w:rPr>
        <w:t>未注明的工程质量缺陷保修期均为</w:t>
      </w:r>
      <w:r>
        <w:rPr>
          <w:rFonts w:hAnsi="宋体"/>
          <w:color w:val="000000"/>
          <w:sz w:val="24"/>
          <w:szCs w:val="24"/>
          <w:u w:val="single"/>
        </w:rPr>
        <w:t>2</w:t>
      </w:r>
      <w:r>
        <w:rPr>
          <w:rFonts w:hint="eastAsia" w:hAnsi="宋体"/>
          <w:color w:val="000000"/>
          <w:sz w:val="24"/>
          <w:szCs w:val="24"/>
          <w:u w:val="single"/>
        </w:rPr>
        <w:t xml:space="preserve">年  </w:t>
      </w:r>
      <w:r>
        <w:rPr>
          <w:rFonts w:ascii="Times New Roman" w:hAnsi="Times New Roman"/>
          <w:b/>
          <w:color w:val="000000"/>
          <w:sz w:val="24"/>
          <w:szCs w:val="24"/>
          <w:u w:val="single"/>
        </w:rPr>
        <w:t xml:space="preserve">                                     </w:t>
      </w:r>
      <w:permEnd w:id="8"/>
    </w:p>
    <w:p>
      <w:pPr>
        <w:spacing w:before="156" w:beforeLines="50" w:after="156" w:afterLines="50" w:line="360" w:lineRule="auto"/>
        <w:ind w:firstLine="560" w:firstLineChars="200"/>
        <w:rPr>
          <w:color w:val="auto"/>
          <w:sz w:val="28"/>
          <w:szCs w:val="28"/>
        </w:rPr>
      </w:pPr>
      <w:r>
        <w:rPr>
          <w:rFonts w:hint="eastAsia"/>
          <w:color w:val="000000"/>
          <w:sz w:val="28"/>
          <w:szCs w:val="28"/>
        </w:rPr>
        <w:t>三、工程质量缺陷保</w:t>
      </w:r>
      <w:r>
        <w:rPr>
          <w:rFonts w:hint="eastAsia"/>
          <w:color w:val="auto"/>
          <w:sz w:val="28"/>
          <w:szCs w:val="28"/>
        </w:rPr>
        <w:t>修责任</w:t>
      </w:r>
    </w:p>
    <w:p>
      <w:pPr>
        <w:spacing w:before="156" w:beforeLines="50" w:after="156" w:afterLines="50" w:line="360" w:lineRule="auto"/>
        <w:ind w:firstLine="480" w:firstLineChars="200"/>
        <w:rPr>
          <w:color w:val="auto"/>
          <w:sz w:val="24"/>
        </w:rPr>
      </w:pPr>
      <w:r>
        <w:rPr>
          <w:rFonts w:hint="eastAsia"/>
          <w:color w:val="auto"/>
          <w:sz w:val="24"/>
        </w:rPr>
        <w:t>1.属于保修范围内的项目，在保修期内，承包人应在接到保修通知之日后７天内派人修理。承包人不在约定期限内派人修理，发包人可委托其他人员修理，</w:t>
      </w:r>
      <w:r>
        <w:rPr>
          <w:rFonts w:hint="eastAsia" w:ascii="宋体" w:hAnsi="宋体"/>
          <w:color w:val="auto"/>
          <w:sz w:val="24"/>
        </w:rPr>
        <w:t>由此产生的费用在工程质量缺陷保修金中扣除，如工程质量缺陷保修金不足以扣除的，超出部分由承包人全部承担</w:t>
      </w:r>
      <w:r>
        <w:rPr>
          <w:rFonts w:hint="eastAsia"/>
          <w:color w:val="auto"/>
          <w:sz w:val="24"/>
        </w:rPr>
        <w:t>。</w:t>
      </w:r>
    </w:p>
    <w:p>
      <w:pPr>
        <w:spacing w:before="156" w:beforeLines="50" w:after="156" w:afterLines="50" w:line="360" w:lineRule="auto"/>
        <w:ind w:firstLine="480" w:firstLineChars="200"/>
        <w:rPr>
          <w:color w:val="000000"/>
          <w:sz w:val="24"/>
        </w:rPr>
      </w:pPr>
      <w:r>
        <w:rPr>
          <w:rFonts w:hint="eastAsia"/>
          <w:color w:val="auto"/>
          <w:sz w:val="24"/>
        </w:rPr>
        <w:t>2.发生紧急抢修事故的，承包人接到事故通</w:t>
      </w:r>
      <w:r>
        <w:rPr>
          <w:rFonts w:hint="eastAsia"/>
          <w:color w:val="000000"/>
          <w:sz w:val="24"/>
        </w:rPr>
        <w:t>知后，应立即到达事故现场抢修。</w:t>
      </w:r>
    </w:p>
    <w:p>
      <w:pPr>
        <w:spacing w:before="156" w:beforeLines="50" w:after="156" w:afterLines="50" w:line="360" w:lineRule="auto"/>
        <w:ind w:firstLine="560" w:firstLineChars="200"/>
        <w:rPr>
          <w:color w:val="000000"/>
          <w:sz w:val="28"/>
          <w:szCs w:val="28"/>
        </w:rPr>
      </w:pPr>
      <w:r>
        <w:rPr>
          <w:rFonts w:hint="eastAsia"/>
          <w:color w:val="000000"/>
          <w:sz w:val="28"/>
          <w:szCs w:val="28"/>
        </w:rPr>
        <w:t>四、工程质量缺陷保修费用</w:t>
      </w:r>
    </w:p>
    <w:p>
      <w:pPr>
        <w:spacing w:before="156" w:beforeLines="50" w:after="156" w:afterLines="50" w:line="360" w:lineRule="auto"/>
        <w:ind w:firstLine="480" w:firstLineChars="200"/>
        <w:rPr>
          <w:color w:val="000000"/>
          <w:sz w:val="24"/>
        </w:rPr>
      </w:pPr>
      <w:r>
        <w:rPr>
          <w:rFonts w:hint="eastAsia"/>
          <w:color w:val="000000"/>
          <w:sz w:val="24"/>
        </w:rPr>
        <w:t>工程质量缺陷保修费用及相关的损害赔偿责任由造成质量缺陷的责任方承担。</w:t>
      </w:r>
    </w:p>
    <w:p>
      <w:pPr>
        <w:spacing w:before="156" w:beforeLines="50" w:after="156" w:afterLines="50" w:line="360" w:lineRule="auto"/>
        <w:ind w:firstLine="420" w:firstLineChars="150"/>
        <w:rPr>
          <w:color w:val="000000"/>
          <w:sz w:val="28"/>
          <w:szCs w:val="28"/>
        </w:rPr>
      </w:pPr>
      <w:r>
        <w:rPr>
          <w:rFonts w:hint="eastAsia"/>
          <w:color w:val="000000"/>
          <w:sz w:val="28"/>
          <w:szCs w:val="28"/>
        </w:rPr>
        <w:t>五、工程质量缺陷保证方式</w:t>
      </w:r>
    </w:p>
    <w:p>
      <w:pPr>
        <w:pStyle w:val="24"/>
        <w:snapToGrid w:val="0"/>
        <w:spacing w:before="156" w:beforeLines="50" w:after="156" w:afterLines="50"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工程质量缺陷保证方式可采用以下方式：</w:t>
      </w:r>
    </w:p>
    <w:p>
      <w:pPr>
        <w:pStyle w:val="24"/>
        <w:snapToGrid w:val="0"/>
        <w:spacing w:before="156" w:beforeLines="50" w:after="156" w:afterLines="50" w:line="360" w:lineRule="auto"/>
        <w:ind w:firstLine="480" w:firstLineChars="200"/>
        <w:rPr>
          <w:rFonts w:ascii="Times New Roman" w:hAnsi="Times New Roman"/>
          <w:color w:val="000000"/>
          <w:sz w:val="28"/>
          <w:szCs w:val="28"/>
        </w:rPr>
      </w:pPr>
      <w:r>
        <w:rPr>
          <w:rFonts w:ascii="Times New Roman" w:hAnsi="Times New Roman"/>
          <w:color w:val="000000"/>
          <w:sz w:val="24"/>
        </w:rPr>
        <w:object>
          <v:shape id="_x0000_i1031" o:spt="201" type="#_x0000_t201" style="height:14.5pt;width:12pt;" o:ole="t" filled="f" o:preferrelative="t" stroked="f" coordsize="21600,21600">
            <v:path/>
            <v:fill on="f" focussize="0,0"/>
            <v:stroke on="f"/>
            <v:imagedata r:id="rId7" o:title=""/>
            <o:lock v:ext="edit" aspectratio="t"/>
            <w10:wrap type="none"/>
            <w10:anchorlock/>
          </v:shape>
          <w:control r:id="rId13" w:name="CheckBox7" w:shapeid="_x0000_i1031"/>
        </w:object>
      </w:r>
      <w:r>
        <w:rPr>
          <w:rFonts w:ascii="Times New Roman" w:hAnsi="Times New Roman"/>
          <w:color w:val="000000"/>
          <w:sz w:val="24"/>
          <w:szCs w:val="24"/>
        </w:rPr>
        <w:t>工程质量缺陷保修金：</w:t>
      </w:r>
    </w:p>
    <w:p>
      <w:pPr>
        <w:pStyle w:val="24"/>
        <w:snapToGrid w:val="0"/>
        <w:spacing w:before="156" w:beforeLines="50" w:after="156" w:afterLines="50"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工程质</w:t>
      </w:r>
      <w:r>
        <w:rPr>
          <w:rFonts w:ascii="Times New Roman" w:hAnsi="Times New Roman"/>
          <w:color w:val="auto"/>
          <w:sz w:val="24"/>
          <w:szCs w:val="24"/>
        </w:rPr>
        <w:t>量缺陷保修金一般不超过施工合同价款的3％，发包人承包人约定本工程的工程质量保修金为</w:t>
      </w:r>
      <w:r>
        <w:rPr>
          <w:rFonts w:hint="eastAsia" w:ascii="Times New Roman" w:hAnsi="Times New Roman"/>
          <w:color w:val="auto"/>
          <w:sz w:val="24"/>
          <w:szCs w:val="24"/>
        </w:rPr>
        <w:t>经政府审计通过的</w:t>
      </w:r>
      <w:r>
        <w:rPr>
          <w:rFonts w:ascii="Times New Roman" w:hAnsi="Times New Roman"/>
          <w:color w:val="auto"/>
          <w:sz w:val="24"/>
          <w:szCs w:val="24"/>
        </w:rPr>
        <w:t>施工合同</w:t>
      </w:r>
      <w:r>
        <w:rPr>
          <w:rFonts w:hint="eastAsia" w:ascii="Times New Roman" w:hAnsi="Times New Roman"/>
          <w:color w:val="auto"/>
          <w:sz w:val="24"/>
          <w:szCs w:val="24"/>
        </w:rPr>
        <w:t>结算</w:t>
      </w:r>
      <w:r>
        <w:rPr>
          <w:rFonts w:ascii="Times New Roman" w:hAnsi="Times New Roman"/>
          <w:color w:val="auto"/>
          <w:sz w:val="24"/>
          <w:szCs w:val="24"/>
        </w:rPr>
        <w:t>价款的</w:t>
      </w:r>
      <w:permStart w:id="9" w:edGrp="everyone"/>
      <w:r>
        <w:rPr>
          <w:rFonts w:ascii="Times New Roman" w:hAnsi="Times New Roman"/>
          <w:b/>
          <w:color w:val="auto"/>
          <w:sz w:val="24"/>
          <w:szCs w:val="24"/>
          <w:u w:val="single"/>
        </w:rPr>
        <w:t xml:space="preserve">  3   </w:t>
      </w:r>
      <w:permEnd w:id="9"/>
      <w:r>
        <w:rPr>
          <w:rFonts w:ascii="Times New Roman" w:hAnsi="Times New Roman"/>
          <w:color w:val="000000"/>
          <w:sz w:val="24"/>
          <w:szCs w:val="24"/>
        </w:rPr>
        <w:t>％，具体为：</w:t>
      </w:r>
    </w:p>
    <w:p>
      <w:pPr>
        <w:spacing w:before="156" w:beforeLines="50" w:after="156" w:afterLines="50" w:line="360" w:lineRule="auto"/>
        <w:ind w:firstLine="480" w:firstLineChars="200"/>
        <w:rPr>
          <w:color w:val="000000"/>
          <w:sz w:val="24"/>
          <w:u w:val="single"/>
        </w:rPr>
      </w:pPr>
      <w:r>
        <w:rPr>
          <w:rFonts w:hint="eastAsia"/>
          <w:color w:val="000000"/>
          <w:sz w:val="24"/>
        </w:rPr>
        <w:t>币种：</w:t>
      </w:r>
      <w:permStart w:id="10" w:edGrp="everyone"/>
      <w:r>
        <w:rPr>
          <w:rFonts w:hint="eastAsia"/>
          <w:b/>
          <w:color w:val="000000"/>
          <w:sz w:val="24"/>
          <w:u w:val="single"/>
        </w:rPr>
        <w:t xml:space="preserve">           /          </w:t>
      </w:r>
      <w:permEnd w:id="10"/>
    </w:p>
    <w:p>
      <w:pPr>
        <w:spacing w:before="156" w:beforeLines="50" w:after="156" w:afterLines="50" w:line="360" w:lineRule="auto"/>
        <w:ind w:firstLine="480" w:firstLineChars="200"/>
        <w:rPr>
          <w:color w:val="000000"/>
          <w:sz w:val="24"/>
        </w:rPr>
      </w:pPr>
      <w:r>
        <w:rPr>
          <w:rFonts w:hint="eastAsia"/>
          <w:color w:val="000000"/>
          <w:sz w:val="24"/>
        </w:rPr>
        <w:t>金额(大写)：</w:t>
      </w:r>
      <w:permStart w:id="11" w:edGrp="everyone"/>
      <w:r>
        <w:rPr>
          <w:rFonts w:hint="eastAsia"/>
          <w:b/>
          <w:color w:val="000000"/>
          <w:sz w:val="24"/>
          <w:u w:val="single"/>
        </w:rPr>
        <w:t xml:space="preserve">          /              </w:t>
      </w:r>
      <w:permEnd w:id="11"/>
      <w:r>
        <w:rPr>
          <w:rFonts w:hint="eastAsia"/>
          <w:color w:val="000000"/>
          <w:sz w:val="24"/>
        </w:rPr>
        <w:t>元</w:t>
      </w:r>
    </w:p>
    <w:p>
      <w:pPr>
        <w:spacing w:before="156" w:beforeLines="50" w:after="156" w:afterLines="50" w:line="360" w:lineRule="auto"/>
        <w:ind w:firstLine="480" w:firstLineChars="200"/>
        <w:rPr>
          <w:color w:val="000000"/>
          <w:sz w:val="24"/>
        </w:rPr>
      </w:pPr>
      <w:r>
        <w:rPr>
          <w:rFonts w:hint="eastAsia"/>
          <w:color w:val="000000"/>
          <w:sz w:val="24"/>
        </w:rPr>
        <w:t>(小写)：</w:t>
      </w:r>
      <w:permStart w:id="12" w:edGrp="everyone"/>
      <w:r>
        <w:rPr>
          <w:rFonts w:hint="eastAsia"/>
          <w:b/>
          <w:color w:val="000000"/>
          <w:sz w:val="24"/>
          <w:u w:val="single"/>
        </w:rPr>
        <w:t xml:space="preserve">             /           </w:t>
      </w:r>
      <w:permEnd w:id="12"/>
      <w:r>
        <w:rPr>
          <w:rFonts w:hint="eastAsia"/>
          <w:color w:val="000000"/>
          <w:sz w:val="24"/>
        </w:rPr>
        <w:t>元</w:t>
      </w:r>
    </w:p>
    <w:p>
      <w:pPr>
        <w:pStyle w:val="24"/>
        <w:snapToGrid w:val="0"/>
        <w:spacing w:before="156" w:beforeLines="50" w:after="156" w:afterLines="50" w:line="360" w:lineRule="auto"/>
        <w:ind w:firstLine="480" w:firstLineChars="200"/>
        <w:rPr>
          <w:rFonts w:ascii="Times New Roman" w:hAnsi="Times New Roman"/>
          <w:color w:val="000000"/>
          <w:sz w:val="24"/>
          <w:szCs w:val="24"/>
          <w:u w:val="single"/>
        </w:rPr>
      </w:pPr>
      <w:r>
        <w:rPr>
          <w:rFonts w:ascii="Times New Roman" w:hAnsi="Times New Roman"/>
          <w:color w:val="000000"/>
          <w:sz w:val="24"/>
          <w:szCs w:val="24"/>
        </w:rPr>
        <w:t>质量缺陷保修金银行利率为：</w:t>
      </w:r>
      <w:permStart w:id="13" w:edGrp="everyone"/>
      <w:r>
        <w:rPr>
          <w:rFonts w:ascii="Times New Roman" w:hAnsi="Times New Roman"/>
          <w:b/>
          <w:color w:val="000000"/>
          <w:sz w:val="24"/>
          <w:szCs w:val="24"/>
          <w:u w:val="single"/>
        </w:rPr>
        <w:t xml:space="preserve">            </w:t>
      </w:r>
      <w:r>
        <w:rPr>
          <w:rFonts w:hint="eastAsia" w:ascii="Times New Roman" w:hAnsi="Times New Roman"/>
          <w:b/>
          <w:color w:val="000000"/>
          <w:sz w:val="24"/>
          <w:szCs w:val="24"/>
          <w:u w:val="single"/>
        </w:rPr>
        <w:t>/</w:t>
      </w:r>
      <w:r>
        <w:rPr>
          <w:rFonts w:ascii="Times New Roman" w:hAnsi="Times New Roman"/>
          <w:b/>
          <w:color w:val="000000"/>
          <w:sz w:val="24"/>
          <w:szCs w:val="24"/>
          <w:u w:val="single"/>
        </w:rPr>
        <w:t xml:space="preserve">        </w:t>
      </w:r>
      <w:permEnd w:id="13"/>
    </w:p>
    <w:p>
      <w:pPr>
        <w:pStyle w:val="24"/>
        <w:snapToGrid w:val="0"/>
        <w:spacing w:before="156" w:beforeLines="50" w:after="156" w:afterLines="50" w:line="360" w:lineRule="auto"/>
        <w:ind w:firstLine="480" w:firstLineChars="200"/>
        <w:rPr>
          <w:rFonts w:ascii="Times New Roman" w:hAnsi="Times New Roman"/>
          <w:color w:val="000000"/>
          <w:sz w:val="28"/>
        </w:rPr>
      </w:pPr>
      <w:r>
        <w:rPr>
          <w:rFonts w:ascii="Times New Roman" w:hAnsi="Times New Roman"/>
          <w:color w:val="000000"/>
          <w:sz w:val="24"/>
        </w:rPr>
        <w:object>
          <v:shape id="_x0000_i1032" o:spt="201" type="#_x0000_t201" style="height:14.5pt;width:12pt;" o:ole="t" filled="f" o:preferrelative="t" stroked="f" coordsize="21600,21600">
            <v:path/>
            <v:fill on="f" focussize="0,0"/>
            <v:stroke on="f"/>
            <v:imagedata r:id="rId15" o:title=""/>
            <o:lock v:ext="edit" aspectratio="t"/>
            <w10:wrap type="none"/>
            <w10:anchorlock/>
          </v:shape>
          <w:control r:id="rId14" w:name="CheckBox8" w:shapeid="_x0000_i1032"/>
        </w:object>
      </w:r>
      <w:r>
        <w:rPr>
          <w:rFonts w:ascii="Times New Roman" w:hAnsi="Times New Roman"/>
          <w:color w:val="000000"/>
          <w:sz w:val="28"/>
        </w:rPr>
        <w:t>工程质量保证担保：</w:t>
      </w:r>
    </w:p>
    <w:p>
      <w:pPr>
        <w:pStyle w:val="24"/>
        <w:snapToGrid w:val="0"/>
        <w:spacing w:before="156" w:beforeLines="50" w:after="156" w:afterLines="50" w:line="360" w:lineRule="auto"/>
        <w:ind w:firstLine="482" w:firstLineChars="200"/>
        <w:rPr>
          <w:rFonts w:ascii="Times New Roman" w:hAnsi="Times New Roman"/>
          <w:color w:val="000000"/>
          <w:sz w:val="28"/>
          <w:u w:val="single"/>
        </w:rPr>
      </w:pPr>
      <w:permStart w:id="14" w:edGrp="everyone"/>
      <w:r>
        <w:rPr>
          <w:rFonts w:hint="eastAsia" w:ascii="Times New Roman" w:hAnsi="Times New Roman"/>
          <w:b/>
          <w:color w:val="000000"/>
          <w:sz w:val="24"/>
          <w:u w:val="single"/>
        </w:rPr>
        <w:t xml:space="preserve"> </w:t>
      </w:r>
      <w:r>
        <w:rPr>
          <w:rFonts w:ascii="Times New Roman" w:hAnsi="Times New Roman"/>
          <w:b/>
          <w:color w:val="000000"/>
          <w:sz w:val="24"/>
          <w:u w:val="single"/>
        </w:rPr>
        <w:t xml:space="preserve">             </w:t>
      </w:r>
      <w:r>
        <w:rPr>
          <w:rFonts w:hint="eastAsia" w:ascii="Times New Roman" w:hAnsi="Times New Roman"/>
          <w:b/>
          <w:color w:val="000000"/>
          <w:sz w:val="24"/>
          <w:u w:val="single"/>
        </w:rPr>
        <w:t>/</w:t>
      </w:r>
      <w:r>
        <w:rPr>
          <w:rFonts w:ascii="Times New Roman" w:hAnsi="Times New Roman"/>
          <w:b/>
          <w:color w:val="000000"/>
          <w:sz w:val="24"/>
          <w:u w:val="single"/>
        </w:rPr>
        <w:t xml:space="preserve">                           </w:t>
      </w:r>
      <w:permEnd w:id="14"/>
    </w:p>
    <w:p>
      <w:pPr>
        <w:pStyle w:val="24"/>
        <w:snapToGrid w:val="0"/>
        <w:spacing w:before="156" w:beforeLines="50" w:after="156" w:afterLines="50" w:line="360" w:lineRule="auto"/>
        <w:ind w:firstLine="480" w:firstLineChars="200"/>
        <w:rPr>
          <w:rFonts w:ascii="Times New Roman" w:hAnsi="Times New Roman"/>
          <w:color w:val="000000"/>
          <w:sz w:val="28"/>
        </w:rPr>
      </w:pPr>
      <w:r>
        <w:rPr>
          <w:rFonts w:ascii="Times New Roman" w:hAnsi="Times New Roman"/>
          <w:color w:val="000000"/>
          <w:sz w:val="24"/>
        </w:rPr>
        <w:object>
          <v:shape id="_x0000_i1033" o:spt="201" type="#_x0000_t201" style="height:14.5pt;width:12pt;" o:ole="t" filled="f" o:preferrelative="t" stroked="f" coordsize="21600,21600">
            <v:path/>
            <v:fill on="f" focussize="0,0"/>
            <v:stroke on="f"/>
            <v:imagedata r:id="rId15" o:title=""/>
            <o:lock v:ext="edit" aspectratio="t"/>
            <w10:wrap type="none"/>
            <w10:anchorlock/>
          </v:shape>
          <w:control r:id="rId16" w:name="CheckBox9" w:shapeid="_x0000_i1033"/>
        </w:object>
      </w:r>
      <w:r>
        <w:rPr>
          <w:rFonts w:ascii="Times New Roman" w:hAnsi="Times New Roman"/>
          <w:color w:val="000000"/>
          <w:sz w:val="28"/>
        </w:rPr>
        <w:t>工程质量保险：</w:t>
      </w:r>
    </w:p>
    <w:p>
      <w:pPr>
        <w:pStyle w:val="24"/>
        <w:snapToGrid w:val="0"/>
        <w:spacing w:before="156" w:beforeLines="50" w:after="156" w:afterLines="50" w:line="360" w:lineRule="auto"/>
        <w:ind w:firstLine="482" w:firstLineChars="200"/>
        <w:rPr>
          <w:rFonts w:ascii="Times New Roman" w:hAnsi="Times New Roman"/>
          <w:color w:val="000000"/>
          <w:sz w:val="28"/>
          <w:u w:val="single"/>
        </w:rPr>
      </w:pPr>
      <w:permStart w:id="15" w:edGrp="everyone"/>
      <w:r>
        <w:rPr>
          <w:rFonts w:ascii="Times New Roman" w:hAnsi="Times New Roman"/>
          <w:b/>
          <w:color w:val="000000"/>
          <w:sz w:val="24"/>
          <w:u w:val="single"/>
        </w:rPr>
        <w:t xml:space="preserve">               </w:t>
      </w:r>
      <w:r>
        <w:rPr>
          <w:rFonts w:hint="eastAsia" w:ascii="Times New Roman" w:hAnsi="Times New Roman"/>
          <w:b/>
          <w:color w:val="000000"/>
          <w:sz w:val="24"/>
          <w:u w:val="single"/>
        </w:rPr>
        <w:t>/</w:t>
      </w:r>
      <w:r>
        <w:rPr>
          <w:rFonts w:ascii="Times New Roman" w:hAnsi="Times New Roman"/>
          <w:b/>
          <w:color w:val="000000"/>
          <w:sz w:val="24"/>
          <w:u w:val="single"/>
        </w:rPr>
        <w:t xml:space="preserve">                         </w:t>
      </w:r>
      <w:permEnd w:id="15"/>
    </w:p>
    <w:p>
      <w:pPr>
        <w:spacing w:before="156" w:beforeLines="50" w:after="156" w:afterLines="50" w:line="360" w:lineRule="auto"/>
        <w:ind w:firstLine="560" w:firstLineChars="200"/>
        <w:rPr>
          <w:color w:val="000000"/>
          <w:sz w:val="28"/>
          <w:szCs w:val="28"/>
        </w:rPr>
      </w:pPr>
      <w:r>
        <w:rPr>
          <w:rFonts w:hint="eastAsia"/>
          <w:color w:val="000000"/>
          <w:sz w:val="28"/>
          <w:szCs w:val="28"/>
        </w:rPr>
        <w:t>六、工程质量缺陷保修金的支付</w:t>
      </w:r>
    </w:p>
    <w:p>
      <w:pPr>
        <w:pStyle w:val="24"/>
        <w:snapToGrid w:val="0"/>
        <w:spacing w:before="156" w:beforeLines="50" w:after="156" w:afterLines="50" w:line="360" w:lineRule="auto"/>
        <w:ind w:firstLine="644"/>
        <w:rPr>
          <w:rFonts w:ascii="Times New Roman" w:hAnsi="Times New Roman"/>
          <w:color w:val="000000"/>
          <w:sz w:val="24"/>
          <w:szCs w:val="24"/>
        </w:rPr>
      </w:pPr>
      <w:r>
        <w:rPr>
          <w:rFonts w:ascii="Times New Roman" w:hAnsi="Times New Roman"/>
          <w:color w:val="000000"/>
          <w:sz w:val="24"/>
          <w:szCs w:val="24"/>
        </w:rPr>
        <w:t>采用工程质量缺陷保修金方式时，发包人在</w:t>
      </w:r>
      <w:r>
        <w:rPr>
          <w:rFonts w:hint="eastAsia" w:ascii="Times New Roman" w:hAnsi="Times New Roman"/>
          <w:color w:val="000000"/>
          <w:sz w:val="24"/>
          <w:szCs w:val="24"/>
        </w:rPr>
        <w:t>工程竣工验收</w:t>
      </w:r>
      <w:r>
        <w:rPr>
          <w:rFonts w:ascii="Times New Roman" w:hAnsi="Times New Roman"/>
          <w:color w:val="000000"/>
          <w:sz w:val="24"/>
          <w:szCs w:val="24"/>
        </w:rPr>
        <w:t>后</w:t>
      </w:r>
      <w:r>
        <w:rPr>
          <w:rFonts w:hint="eastAsia" w:ascii="Times New Roman" w:hAnsi="Times New Roman"/>
          <w:color w:val="000000"/>
          <w:sz w:val="24"/>
          <w:szCs w:val="24"/>
        </w:rPr>
        <w:t>满两年</w:t>
      </w:r>
      <w:r>
        <w:rPr>
          <w:rFonts w:ascii="Times New Roman" w:hAnsi="Times New Roman"/>
          <w:color w:val="000000"/>
          <w:sz w:val="24"/>
          <w:szCs w:val="24"/>
        </w:rPr>
        <w:t>，将剩余工程质量缺陷保修金</w:t>
      </w:r>
      <w:r>
        <w:rPr>
          <w:rFonts w:hint="eastAsia" w:ascii="Times New Roman" w:hAnsi="Times New Roman"/>
          <w:color w:val="000000"/>
          <w:sz w:val="24"/>
          <w:szCs w:val="24"/>
        </w:rPr>
        <w:t>无息</w:t>
      </w:r>
      <w:r>
        <w:rPr>
          <w:rFonts w:ascii="Times New Roman" w:hAnsi="Times New Roman"/>
          <w:color w:val="000000"/>
          <w:sz w:val="24"/>
          <w:szCs w:val="24"/>
        </w:rPr>
        <w:t>支付给承包人，但并不免除承包人在保修期内的保修责任。保修金不计利息。</w:t>
      </w:r>
    </w:p>
    <w:p>
      <w:pPr>
        <w:spacing w:before="156" w:beforeLines="50" w:after="156" w:afterLines="50" w:line="360" w:lineRule="auto"/>
        <w:ind w:firstLine="560" w:firstLineChars="200"/>
        <w:rPr>
          <w:color w:val="000000"/>
          <w:sz w:val="28"/>
          <w:szCs w:val="28"/>
        </w:rPr>
      </w:pPr>
      <w:r>
        <w:rPr>
          <w:rFonts w:hint="eastAsia"/>
          <w:color w:val="000000"/>
          <w:sz w:val="28"/>
          <w:szCs w:val="28"/>
        </w:rPr>
        <w:t>七、其他</w:t>
      </w:r>
    </w:p>
    <w:p>
      <w:pPr>
        <w:pStyle w:val="24"/>
        <w:snapToGrid w:val="0"/>
        <w:spacing w:before="156" w:beforeLines="50" w:after="156" w:afterLines="50" w:line="360" w:lineRule="auto"/>
        <w:ind w:firstLine="644"/>
        <w:rPr>
          <w:rFonts w:ascii="Times New Roman" w:hAnsi="Times New Roman"/>
          <w:color w:val="000000"/>
          <w:sz w:val="24"/>
          <w:szCs w:val="24"/>
        </w:rPr>
      </w:pPr>
      <w:r>
        <w:rPr>
          <w:rFonts w:ascii="Times New Roman" w:hAnsi="Times New Roman"/>
          <w:color w:val="000000"/>
          <w:sz w:val="24"/>
          <w:szCs w:val="24"/>
        </w:rPr>
        <w:t>发包人承包人约定的其他工程质量缺陷保修事项：</w:t>
      </w:r>
    </w:p>
    <w:p>
      <w:pPr>
        <w:spacing w:line="360" w:lineRule="auto"/>
        <w:ind w:firstLine="482" w:firstLineChars="200"/>
        <w:rPr>
          <w:rFonts w:ascii="宋体" w:hAnsi="宋体" w:cs="Courier New"/>
          <w:color w:val="000000"/>
          <w:sz w:val="24"/>
          <w:szCs w:val="21"/>
          <w:u w:val="single"/>
        </w:rPr>
      </w:pPr>
      <w:permStart w:id="16" w:edGrp="everyone"/>
      <w:r>
        <w:rPr>
          <w:b/>
          <w:color w:val="000000"/>
          <w:sz w:val="24"/>
          <w:u w:val="single"/>
        </w:rPr>
        <w:t xml:space="preserve">   </w:t>
      </w:r>
      <w:r>
        <w:rPr>
          <w:rFonts w:hint="eastAsia"/>
          <w:b/>
          <w:color w:val="000000"/>
          <w:sz w:val="24"/>
          <w:u w:val="single"/>
        </w:rPr>
        <w:t xml:space="preserve"> </w:t>
      </w:r>
      <w:r>
        <w:rPr>
          <w:rFonts w:hint="eastAsia" w:ascii="宋体" w:hAnsi="宋体"/>
          <w:color w:val="000000"/>
          <w:sz w:val="24"/>
          <w:u w:val="single"/>
        </w:rPr>
        <w:t>①</w:t>
      </w:r>
      <w:r>
        <w:rPr>
          <w:rFonts w:hint="eastAsia" w:ascii="宋体" w:hAnsi="宋体" w:cs="Courier New"/>
          <w:color w:val="000000"/>
          <w:sz w:val="24"/>
          <w:szCs w:val="21"/>
          <w:u w:val="single"/>
        </w:rPr>
        <w:t>、承包人须于工地测试和试运行进行前一个多月，预先草拟一份包含临时图纸，电脑软件表和操作和维修保养程序的操作和维修保养手册草稿，以便发包人的工程人员能预先对有关装置有所认识。</w:t>
      </w:r>
    </w:p>
    <w:p>
      <w:pPr>
        <w:spacing w:line="360" w:lineRule="auto"/>
        <w:ind w:firstLine="960" w:firstLineChars="400"/>
        <w:rPr>
          <w:rFonts w:ascii="宋体" w:hAnsi="宋体" w:cs="Courier New"/>
          <w:color w:val="000000"/>
          <w:sz w:val="24"/>
          <w:szCs w:val="21"/>
          <w:u w:val="single"/>
        </w:rPr>
      </w:pPr>
      <w:r>
        <w:rPr>
          <w:rFonts w:hint="eastAsia" w:ascii="宋体" w:hAnsi="宋体" w:cs="Courier New"/>
          <w:color w:val="000000"/>
          <w:sz w:val="24"/>
          <w:szCs w:val="21"/>
          <w:u w:val="single"/>
        </w:rPr>
        <w:t>②、在工程质量缺陷保修期内，承包人须免费提供所需的工作人员和材料，作一般性的定期维修保养，同时提供日夜二十四小时随传随到的紧急维修服务。</w:t>
      </w:r>
    </w:p>
    <w:p>
      <w:pPr>
        <w:pStyle w:val="24"/>
        <w:snapToGrid w:val="0"/>
        <w:spacing w:before="156" w:beforeLines="50" w:after="156" w:afterLines="50" w:line="360" w:lineRule="auto"/>
        <w:ind w:firstLine="960" w:firstLineChars="400"/>
        <w:rPr>
          <w:rFonts w:ascii="Times New Roman" w:hAnsi="Times New Roman"/>
          <w:color w:val="000000"/>
          <w:sz w:val="24"/>
          <w:szCs w:val="24"/>
          <w:u w:val="single"/>
        </w:rPr>
      </w:pPr>
      <w:r>
        <w:rPr>
          <w:rFonts w:hint="eastAsia" w:hAnsi="宋体"/>
          <w:color w:val="000000"/>
          <w:sz w:val="24"/>
          <w:u w:val="single"/>
        </w:rPr>
        <w:t>③、收到紧急事故通知时，承包人须按正常工作时间及非工作时间分别于两小时及六小时之内到场进行抢修工作。</w:t>
      </w:r>
      <w:r>
        <w:rPr>
          <w:rFonts w:hint="eastAsia" w:ascii="Times New Roman" w:hAnsi="Times New Roman"/>
          <w:b/>
          <w:color w:val="000000"/>
          <w:sz w:val="24"/>
          <w:szCs w:val="24"/>
          <w:u w:val="single"/>
        </w:rPr>
        <w:t xml:space="preserve">       </w:t>
      </w:r>
      <w:r>
        <w:rPr>
          <w:rFonts w:ascii="Times New Roman" w:hAnsi="Times New Roman"/>
          <w:b/>
          <w:color w:val="000000"/>
          <w:sz w:val="24"/>
          <w:szCs w:val="24"/>
          <w:u w:val="single"/>
        </w:rPr>
        <w:t xml:space="preserve">  </w:t>
      </w:r>
      <w:permEnd w:id="16"/>
    </w:p>
    <w:p>
      <w:pPr>
        <w:pStyle w:val="24"/>
        <w:snapToGrid w:val="0"/>
        <w:spacing w:before="156" w:beforeLines="50" w:after="156" w:afterLines="50"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本</w:t>
      </w:r>
      <w:r>
        <w:rPr>
          <w:rFonts w:ascii="Times New Roman" w:hAnsi="Times New Roman"/>
          <w:color w:val="000000"/>
          <w:sz w:val="24"/>
        </w:rPr>
        <w:t>《</w:t>
      </w:r>
      <w:r>
        <w:rPr>
          <w:rFonts w:ascii="Times New Roman" w:hAnsi="Times New Roman"/>
          <w:color w:val="000000"/>
          <w:sz w:val="24"/>
          <w:szCs w:val="24"/>
        </w:rPr>
        <w:t>工程质量</w:t>
      </w:r>
      <w:r>
        <w:rPr>
          <w:rFonts w:hint="eastAsia" w:ascii="Times New Roman" w:hAnsi="Times New Roman"/>
          <w:color w:val="000000"/>
          <w:sz w:val="24"/>
          <w:szCs w:val="24"/>
        </w:rPr>
        <w:t>缺陷</w:t>
      </w:r>
      <w:r>
        <w:rPr>
          <w:rFonts w:ascii="Times New Roman" w:hAnsi="Times New Roman"/>
          <w:color w:val="000000"/>
          <w:sz w:val="24"/>
          <w:szCs w:val="24"/>
        </w:rPr>
        <w:t>保修</w:t>
      </w:r>
      <w:r>
        <w:rPr>
          <w:rFonts w:hint="eastAsia" w:ascii="Times New Roman" w:hAnsi="Times New Roman"/>
          <w:color w:val="000000"/>
          <w:sz w:val="24"/>
          <w:szCs w:val="24"/>
        </w:rPr>
        <w:t>书</w:t>
      </w:r>
      <w:r>
        <w:rPr>
          <w:rFonts w:ascii="Times New Roman" w:hAnsi="Times New Roman"/>
          <w:color w:val="000000"/>
          <w:sz w:val="24"/>
        </w:rPr>
        <w:t>》</w:t>
      </w:r>
      <w:r>
        <w:rPr>
          <w:rFonts w:ascii="Times New Roman" w:hAnsi="Times New Roman"/>
          <w:color w:val="000000"/>
          <w:sz w:val="24"/>
          <w:szCs w:val="24"/>
        </w:rPr>
        <w:t>作为施工合同附件由发包人承包人双方共同签署。</w:t>
      </w:r>
    </w:p>
    <w:p>
      <w:pPr>
        <w:pStyle w:val="24"/>
        <w:snapToGrid w:val="0"/>
        <w:spacing w:before="156" w:beforeLines="50" w:after="156" w:afterLines="50" w:line="360" w:lineRule="auto"/>
        <w:ind w:firstLine="644"/>
        <w:rPr>
          <w:rFonts w:ascii="Times New Roman" w:hAnsi="Times New Roman"/>
          <w:color w:val="000000"/>
          <w:spacing w:val="14"/>
          <w:sz w:val="30"/>
        </w:rPr>
      </w:pPr>
    </w:p>
    <w:p>
      <w:pPr>
        <w:pStyle w:val="24"/>
        <w:snapToGrid w:val="0"/>
        <w:spacing w:before="156" w:beforeLines="50" w:after="156" w:afterLines="50" w:line="360" w:lineRule="auto"/>
        <w:ind w:firstLine="644"/>
        <w:rPr>
          <w:rFonts w:ascii="Times New Roman" w:hAnsi="Times New Roman"/>
          <w:color w:val="000000"/>
          <w:spacing w:val="14"/>
          <w:sz w:val="30"/>
        </w:rPr>
      </w:pPr>
    </w:p>
    <w:p>
      <w:pPr>
        <w:pStyle w:val="24"/>
        <w:snapToGrid w:val="0"/>
        <w:spacing w:before="156" w:beforeLines="50" w:after="156" w:afterLines="50" w:line="360" w:lineRule="auto"/>
        <w:ind w:firstLine="644"/>
        <w:rPr>
          <w:rFonts w:ascii="Times New Roman" w:hAnsi="Times New Roman"/>
          <w:color w:val="000000"/>
          <w:spacing w:val="14"/>
          <w:sz w:val="30"/>
        </w:rPr>
      </w:pPr>
    </w:p>
    <w:p>
      <w:pPr>
        <w:pStyle w:val="2"/>
        <w:numPr>
          <w:ilvl w:val="0"/>
          <w:numId w:val="0"/>
        </w:numPr>
        <w:jc w:val="center"/>
      </w:pPr>
      <w:r>
        <w:rPr>
          <w:rFonts w:ascii="Times New Roman" w:hAnsi="Times New Roman"/>
          <w:b w:val="0"/>
          <w:color w:val="000000"/>
          <w:szCs w:val="30"/>
        </w:rPr>
        <w:br w:type="page"/>
      </w:r>
      <w:bookmarkStart w:id="517" w:name="_Toc398834625"/>
      <w:bookmarkStart w:id="518" w:name="_Toc3721"/>
      <w:r>
        <w:rPr>
          <w:rFonts w:hint="eastAsia" w:ascii="Times New Roman" w:hAnsi="Times New Roman"/>
          <w:b w:val="0"/>
          <w:color w:val="000000"/>
          <w:szCs w:val="30"/>
        </w:rPr>
        <w:t xml:space="preserve">第六部分 </w:t>
      </w:r>
      <w:r>
        <w:rPr>
          <w:rFonts w:hint="eastAsia"/>
        </w:rPr>
        <w:t>补充条款</w:t>
      </w:r>
      <w:bookmarkEnd w:id="517"/>
      <w:bookmarkEnd w:id="518"/>
    </w:p>
    <w:p>
      <w:pPr>
        <w:spacing w:line="360" w:lineRule="auto"/>
        <w:ind w:firstLine="480" w:firstLineChars="200"/>
        <w:rPr>
          <w:iCs/>
          <w:color w:val="000000"/>
          <w:sz w:val="24"/>
        </w:rPr>
      </w:pPr>
      <w:r>
        <w:rPr>
          <w:rFonts w:hint="eastAsia"/>
          <w:iCs/>
          <w:color w:val="000000"/>
          <w:sz w:val="24"/>
        </w:rPr>
        <w:t>本“补充条款”是对“通用条款及专用条款”的修改。若“补充条款”内容与“通用条款或专用条款”中的相应条款有冲突，应以“补充条款”内容为准。</w:t>
      </w:r>
    </w:p>
    <w:p>
      <w:pPr>
        <w:jc w:val="left"/>
        <w:rPr>
          <w:b/>
          <w:color w:val="000000"/>
          <w:sz w:val="28"/>
          <w:szCs w:val="28"/>
        </w:rPr>
      </w:pPr>
      <w:r>
        <w:rPr>
          <w:rFonts w:hint="eastAsia"/>
          <w:b/>
          <w:color w:val="000000"/>
          <w:sz w:val="28"/>
          <w:szCs w:val="28"/>
        </w:rPr>
        <w:t>补充条款一  相关要求和说明</w:t>
      </w:r>
    </w:p>
    <w:p>
      <w:pPr>
        <w:spacing w:line="520" w:lineRule="exact"/>
        <w:ind w:firstLine="480" w:firstLineChars="200"/>
        <w:rPr>
          <w:iCs/>
          <w:sz w:val="24"/>
        </w:rPr>
      </w:pPr>
      <w:r>
        <w:rPr>
          <w:rFonts w:hint="eastAsia"/>
          <w:iCs/>
          <w:sz w:val="24"/>
        </w:rPr>
        <w:t>1、承包人认可发包人的招标文件及招标程序，并对此无任何疑义、异议。如双方对本合同组成文件的理解产生分歧，承包人同意以发包人的最终解释为准。</w:t>
      </w:r>
    </w:p>
    <w:p>
      <w:pPr>
        <w:spacing w:line="520" w:lineRule="exact"/>
        <w:ind w:firstLine="480" w:firstLineChars="200"/>
        <w:rPr>
          <w:iCs/>
          <w:sz w:val="24"/>
        </w:rPr>
      </w:pPr>
      <w:r>
        <w:rPr>
          <w:rFonts w:hint="eastAsia"/>
          <w:iCs/>
          <w:sz w:val="24"/>
        </w:rPr>
        <w:t>2、工程由承包人包工、包料、包税率、包规费、包工期、包质量、包安全文明施工费、临建设施费等措施费。施工场地要</w:t>
      </w:r>
      <w:r>
        <w:rPr>
          <w:rFonts w:hint="eastAsia"/>
          <w:iCs/>
          <w:sz w:val="24"/>
          <w:highlight w:val="none"/>
        </w:rPr>
        <w:t>求达到</w:t>
      </w:r>
      <w:r>
        <w:rPr>
          <w:rFonts w:hint="eastAsia"/>
          <w:iCs/>
          <w:sz w:val="24"/>
          <w:highlight w:val="none"/>
          <w:lang w:val="en-US" w:eastAsia="zh-CN"/>
        </w:rPr>
        <w:t>广州</w:t>
      </w:r>
      <w:r>
        <w:rPr>
          <w:rFonts w:hint="eastAsia"/>
          <w:iCs/>
          <w:sz w:val="24"/>
          <w:highlight w:val="none"/>
        </w:rPr>
        <w:t>市文明工地标</w:t>
      </w:r>
      <w:r>
        <w:rPr>
          <w:rFonts w:hint="eastAsia"/>
          <w:iCs/>
          <w:sz w:val="24"/>
        </w:rPr>
        <w:t>准，临时设施按政府具体有关要求搭设。打桩后成品保护和现场地面形成孔洞的安全防护等措施由承包人负责。</w:t>
      </w:r>
      <w:r>
        <w:rPr>
          <w:rFonts w:hint="eastAsia" w:ascii="宋体" w:hAnsi="宋体"/>
          <w:b/>
          <w:iCs/>
          <w:color w:val="auto"/>
          <w:sz w:val="24"/>
        </w:rPr>
        <w:t>措施费、规费包干</w:t>
      </w:r>
      <w:r>
        <w:rPr>
          <w:rFonts w:hint="eastAsia"/>
          <w:color w:val="auto"/>
          <w:lang w:eastAsia="zh-CN"/>
        </w:rPr>
        <w:t>，</w:t>
      </w:r>
      <w:r>
        <w:rPr>
          <w:rFonts w:hint="eastAsia" w:ascii="宋体" w:hAnsi="宋体"/>
          <w:iCs/>
          <w:color w:val="auto"/>
          <w:sz w:val="24"/>
        </w:rPr>
        <w:t>不因工程</w:t>
      </w:r>
      <w:r>
        <w:rPr>
          <w:rFonts w:hint="eastAsia" w:ascii="宋体" w:hAnsi="宋体"/>
          <w:iCs/>
          <w:sz w:val="24"/>
        </w:rPr>
        <w:t>量变化、设计变更、现场签证、市场价格波动等因素而调整，</w:t>
      </w:r>
      <w:r>
        <w:rPr>
          <w:rFonts w:hint="eastAsia" w:ascii="宋体" w:hAnsi="宋体"/>
          <w:color w:val="000000"/>
          <w:sz w:val="24"/>
        </w:rPr>
        <w:t>承包人已充分考虑了本项目的特点、各种资源和生产要素以及现行</w:t>
      </w:r>
      <w:r>
        <w:rPr>
          <w:rFonts w:ascii="宋体" w:hAnsi="宋体"/>
          <w:color w:val="000000"/>
          <w:sz w:val="24"/>
        </w:rPr>
        <w:t>和将来政府的政策及法律</w:t>
      </w:r>
      <w:r>
        <w:rPr>
          <w:rFonts w:hint="eastAsia" w:ascii="宋体" w:hAnsi="宋体"/>
          <w:color w:val="000000"/>
          <w:sz w:val="24"/>
        </w:rPr>
        <w:t>等，不得以任何理由提出变更。</w:t>
      </w:r>
    </w:p>
    <w:p>
      <w:pPr>
        <w:spacing w:line="360" w:lineRule="auto"/>
        <w:ind w:left="29" w:leftChars="14" w:firstLine="480" w:firstLineChars="200"/>
        <w:rPr>
          <w:rFonts w:ascii="宋体"/>
          <w:bCs/>
          <w:sz w:val="24"/>
        </w:rPr>
      </w:pPr>
      <w:r>
        <w:rPr>
          <w:rFonts w:hint="eastAsia"/>
          <w:iCs/>
          <w:sz w:val="24"/>
        </w:rPr>
        <w:t>3、措施项目费是承包人在投标前已清楚并充分考虑了工地周围环境、交通道路、现场地质资料、周围地下管网、现场实际条件、招标文件、承包范围、施工图纸等因素的情况下，为完成工程项目施工，发生于该工程施工前和施工过程中技术、生活、安全等方面的非工程实体项目，包含了按设计图纸和技术规范要求完成该招标工程所需发生的全部措施费用。</w:t>
      </w:r>
    </w:p>
    <w:p>
      <w:pPr>
        <w:spacing w:line="360" w:lineRule="auto"/>
        <w:ind w:left="29" w:leftChars="14" w:firstLine="480" w:firstLineChars="200"/>
        <w:rPr>
          <w:rFonts w:ascii="宋体"/>
          <w:bCs/>
          <w:sz w:val="24"/>
        </w:rPr>
      </w:pPr>
      <w:r>
        <w:rPr>
          <w:rFonts w:hint="eastAsia" w:ascii="宋体"/>
          <w:bCs/>
          <w:sz w:val="24"/>
        </w:rPr>
        <w:t>如承包人提供的施工组织设计方案存在缺陷，发包人可要求其对方案进行完善、修改，承包人必须无条件执行，直到发包人批准通过，不因施工组织设计方案调整等其他任何因素而调整措施费用。</w:t>
      </w:r>
    </w:p>
    <w:p>
      <w:pPr>
        <w:spacing w:line="360" w:lineRule="auto"/>
        <w:ind w:left="29" w:leftChars="14" w:firstLine="480" w:firstLineChars="200"/>
        <w:rPr>
          <w:rFonts w:ascii="宋体"/>
          <w:bCs/>
          <w:sz w:val="24"/>
        </w:rPr>
      </w:pPr>
      <w:r>
        <w:rPr>
          <w:rFonts w:hint="eastAsia" w:ascii="宋体"/>
          <w:bCs/>
          <w:sz w:val="24"/>
        </w:rPr>
        <w:t>本工程措施费包含但不限于以下内容：</w:t>
      </w:r>
    </w:p>
    <w:p>
      <w:pPr>
        <w:spacing w:line="360" w:lineRule="auto"/>
        <w:ind w:left="29" w:leftChars="14" w:firstLine="480" w:firstLineChars="200"/>
        <w:rPr>
          <w:rFonts w:ascii="宋体"/>
          <w:bCs/>
          <w:sz w:val="24"/>
        </w:rPr>
      </w:pPr>
      <w:r>
        <w:rPr>
          <w:rFonts w:hint="eastAsia" w:ascii="宋体"/>
          <w:bCs/>
          <w:sz w:val="24"/>
        </w:rPr>
        <w:t>a、履约担保手续费、工程保险费、环境保护费、夜间施工增加费、赶工措施费、二次搬运费、模板及支架费、脚手架费；</w:t>
      </w:r>
    </w:p>
    <w:p>
      <w:pPr>
        <w:spacing w:line="360" w:lineRule="auto"/>
        <w:ind w:left="29" w:leftChars="14" w:firstLine="480" w:firstLineChars="200"/>
        <w:rPr>
          <w:rFonts w:ascii="宋体"/>
          <w:bCs/>
          <w:sz w:val="24"/>
        </w:rPr>
      </w:pPr>
      <w:r>
        <w:rPr>
          <w:rFonts w:hint="eastAsia" w:ascii="宋体"/>
          <w:bCs/>
          <w:sz w:val="24"/>
        </w:rPr>
        <w:t>b、垂直运输机械费、大型机械设备进出场及安拆费；</w:t>
      </w:r>
    </w:p>
    <w:p>
      <w:pPr>
        <w:spacing w:line="360" w:lineRule="auto"/>
        <w:ind w:left="29" w:leftChars="14" w:firstLine="480" w:firstLineChars="200"/>
        <w:rPr>
          <w:rFonts w:ascii="宋体"/>
          <w:bCs/>
          <w:sz w:val="24"/>
        </w:rPr>
      </w:pPr>
      <w:r>
        <w:rPr>
          <w:rFonts w:hint="eastAsia" w:ascii="宋体"/>
          <w:bCs/>
          <w:sz w:val="24"/>
        </w:rPr>
        <w:t>c、施工排水、降水费、排水沟砌筑费、抽水台班费、防止台风等费用；</w:t>
      </w:r>
    </w:p>
    <w:p>
      <w:pPr>
        <w:spacing w:line="520" w:lineRule="exact"/>
        <w:ind w:firstLine="480" w:firstLineChars="200"/>
        <w:rPr>
          <w:rFonts w:ascii="宋体"/>
          <w:bCs/>
          <w:sz w:val="24"/>
        </w:rPr>
      </w:pPr>
      <w:r>
        <w:rPr>
          <w:rFonts w:hint="eastAsia" w:ascii="宋体"/>
          <w:bCs/>
          <w:sz w:val="24"/>
        </w:rPr>
        <w:t>承包人未报价视为上述费用已被包含在工程量清单各项目的综合单价中，当施工现场需发生此类费用时，由承包人自行承担，发包人无需另外支付。如承包人通过现场考查认为尚有其他措施项目需在措施费用清单中开列，可自行列项增加。任何因忽视或误解工地情况而导致的费用索赔或工期延长申请不获批准。承包人所有的报价已在价格清单中列明，如未列明，则视为已包含在工程量清单各项目的综合单价及本合同总价中。本合同签订后，承包人以理解错误、报价错误或其他理由要求发包人额外支付费用或要求延长工期的，发包人不予接受。如因此擅自停工或减少日工作量可能对工期造成延误的，承包人应承担相应的违约责任。</w:t>
      </w:r>
    </w:p>
    <w:p>
      <w:pPr>
        <w:spacing w:line="520" w:lineRule="exact"/>
        <w:ind w:firstLine="480" w:firstLineChars="200"/>
        <w:rPr>
          <w:rFonts w:ascii="宋体" w:hAnsi="宋体" w:cs="Courier New"/>
          <w:sz w:val="24"/>
          <w:szCs w:val="20"/>
        </w:rPr>
      </w:pPr>
      <w:r>
        <w:rPr>
          <w:rFonts w:hint="eastAsia" w:ascii="宋体"/>
          <w:bCs/>
          <w:sz w:val="24"/>
        </w:rPr>
        <w:t>4、本合同的综合单价、措施费、规费不因包括但不限于以下因素在内的其他任何变化而调整：如劳务和(或)材料价格的上涨、工程变更、工程项目及工程量的增减、以及其他事项的价格上涨等。</w:t>
      </w:r>
    </w:p>
    <w:p>
      <w:pPr>
        <w:spacing w:line="520" w:lineRule="exact"/>
        <w:ind w:firstLine="480" w:firstLineChars="200"/>
        <w:rPr>
          <w:sz w:val="24"/>
        </w:rPr>
      </w:pPr>
      <w:r>
        <w:rPr>
          <w:rFonts w:hint="eastAsia"/>
          <w:sz w:val="24"/>
        </w:rPr>
        <w:t>5、工程材料由承包人自行采购，</w:t>
      </w:r>
      <w:r>
        <w:rPr>
          <w:rFonts w:hint="eastAsia" w:ascii="宋体" w:hAnsi="宋体"/>
          <w:sz w:val="24"/>
        </w:rPr>
        <w:t>承包人在采购前应将供应商的所有资料报送发包人审查并通过，否则发包人有权拒绝该材料，</w:t>
      </w:r>
      <w:r>
        <w:rPr>
          <w:rFonts w:hint="eastAsia"/>
          <w:sz w:val="24"/>
        </w:rPr>
        <w:t>承包人采购的材料必须是满足工程要求的合格产品，承包人在投标报价时已根据市场情况，充分考虑市场价格变化的风险，除另有规定的外，发包人均不予调价。</w:t>
      </w:r>
    </w:p>
    <w:p>
      <w:pPr>
        <w:spacing w:line="520" w:lineRule="exact"/>
        <w:ind w:firstLine="480" w:firstLineChars="200"/>
        <w:rPr>
          <w:rFonts w:ascii="宋体" w:hAnsi="宋体"/>
          <w:iCs/>
          <w:sz w:val="24"/>
        </w:rPr>
      </w:pPr>
      <w:r>
        <w:rPr>
          <w:rFonts w:hint="eastAsia"/>
          <w:sz w:val="24"/>
        </w:rPr>
        <w:t>6、承包人采购的用于永久工程的材料进场时，应附有正式的购货</w:t>
      </w:r>
      <w:r>
        <w:rPr>
          <w:rFonts w:hint="eastAsia"/>
          <w:color w:val="000000"/>
          <w:sz w:val="24"/>
        </w:rPr>
        <w:t>增值税专用</w:t>
      </w:r>
      <w:r>
        <w:rPr>
          <w:rFonts w:hint="eastAsia"/>
          <w:sz w:val="24"/>
        </w:rPr>
        <w:t>发票。</w:t>
      </w:r>
    </w:p>
    <w:p>
      <w:pPr>
        <w:spacing w:line="520" w:lineRule="exact"/>
        <w:ind w:firstLine="480" w:firstLineChars="200"/>
        <w:rPr>
          <w:rFonts w:ascii="宋体" w:hAnsi="宋体"/>
          <w:sz w:val="24"/>
        </w:rPr>
      </w:pPr>
      <w:r>
        <w:rPr>
          <w:rFonts w:hint="eastAsia" w:ascii="宋体" w:hAnsi="宋体"/>
          <w:iCs/>
          <w:sz w:val="24"/>
        </w:rPr>
        <w:t>7、承包人应配合</w:t>
      </w:r>
      <w:r>
        <w:rPr>
          <w:rFonts w:hint="eastAsia" w:ascii="宋体" w:hAnsi="宋体"/>
          <w:sz w:val="24"/>
        </w:rPr>
        <w:t>发包人办理规划、施工许可证。其它施工所需证件和批件委托承包人办理，包括但不限于临时停水、停电等的申请批准手续，所需费用，被视为已包含在合同价款中。</w:t>
      </w:r>
    </w:p>
    <w:p>
      <w:pPr>
        <w:spacing w:line="360" w:lineRule="auto"/>
        <w:rPr>
          <w:sz w:val="24"/>
        </w:rPr>
      </w:pPr>
      <w:r>
        <w:rPr>
          <w:rFonts w:hint="eastAsia"/>
          <w:sz w:val="24"/>
        </w:rPr>
        <w:t xml:space="preserve">   8、发包人有权利根据工程需要调整招标范围或合同工程内容，增加或减少合同工程量。发包人根据工程需要增加或减少合同工程量或合同工程内容时，按实际完成的工程量结算工程价款，承包人不得因此而提出调整合同已有项目单价或其他费用索赔。</w:t>
      </w:r>
    </w:p>
    <w:p>
      <w:pPr>
        <w:spacing w:line="360" w:lineRule="auto"/>
        <w:rPr>
          <w:sz w:val="24"/>
        </w:rPr>
      </w:pPr>
      <w:r>
        <w:rPr>
          <w:rFonts w:hint="eastAsia"/>
          <w:sz w:val="24"/>
        </w:rPr>
        <w:t xml:space="preserve">   9、承包人已充分考虑本合同工程需要的施工场地，如承包人认为发包人提供的或最终批复场地不足时，承包人自行解决场地租用问题，并承担与此有关的场地租用、临时设施、其他支出以及税费等，该等费用承包人在投标报价时已考虑并包含在承包人的投标报价中，发包人无需另外支付该等费用。</w:t>
      </w:r>
    </w:p>
    <w:p>
      <w:pPr>
        <w:spacing w:line="360" w:lineRule="auto"/>
        <w:rPr>
          <w:sz w:val="24"/>
        </w:rPr>
      </w:pPr>
      <w:r>
        <w:rPr>
          <w:rFonts w:hint="eastAsia"/>
          <w:sz w:val="24"/>
        </w:rPr>
        <w:t xml:space="preserve">  10、本工程在工程实施期间，必须的安全及文明施工措施、环保措施等及其他临建的设计、建设等标准必须符</w:t>
      </w:r>
      <w:r>
        <w:rPr>
          <w:rFonts w:hint="eastAsia"/>
          <w:sz w:val="24"/>
          <w:highlight w:val="none"/>
        </w:rPr>
        <w:t>合</w:t>
      </w:r>
      <w:r>
        <w:rPr>
          <w:rFonts w:hint="eastAsia"/>
          <w:sz w:val="24"/>
          <w:highlight w:val="none"/>
          <w:lang w:val="en-US" w:eastAsia="zh-CN"/>
        </w:rPr>
        <w:t>广州</w:t>
      </w:r>
      <w:r>
        <w:rPr>
          <w:rFonts w:hint="eastAsia"/>
          <w:sz w:val="24"/>
          <w:highlight w:val="none"/>
        </w:rPr>
        <w:t>市和发包</w:t>
      </w:r>
      <w:r>
        <w:rPr>
          <w:rFonts w:hint="eastAsia"/>
          <w:sz w:val="24"/>
        </w:rPr>
        <w:t>人的有关规定和要求。</w:t>
      </w:r>
    </w:p>
    <w:p>
      <w:pPr>
        <w:spacing w:line="360" w:lineRule="auto"/>
        <w:rPr>
          <w:sz w:val="24"/>
        </w:rPr>
      </w:pPr>
      <w:r>
        <w:rPr>
          <w:rFonts w:hint="eastAsia"/>
          <w:sz w:val="24"/>
        </w:rPr>
        <w:t xml:space="preserve">  11、承包人必须执行发包人已颁布或将来颁布的办法、程序、文件等及其他有关各类工程管理规定。</w:t>
      </w:r>
    </w:p>
    <w:p>
      <w:pPr>
        <w:spacing w:line="360" w:lineRule="auto"/>
        <w:rPr>
          <w:sz w:val="24"/>
        </w:rPr>
      </w:pPr>
      <w:r>
        <w:rPr>
          <w:rFonts w:hint="eastAsia"/>
          <w:sz w:val="24"/>
        </w:rPr>
        <w:t xml:space="preserve">  12、承包人必</w:t>
      </w:r>
      <w:r>
        <w:rPr>
          <w:rFonts w:hint="eastAsia"/>
          <w:sz w:val="24"/>
          <w:highlight w:val="none"/>
        </w:rPr>
        <w:t>须按</w:t>
      </w:r>
      <w:r>
        <w:rPr>
          <w:rFonts w:hint="eastAsia"/>
          <w:sz w:val="24"/>
          <w:highlight w:val="none"/>
          <w:lang w:val="en-US" w:eastAsia="zh-CN"/>
        </w:rPr>
        <w:t>广州</w:t>
      </w:r>
      <w:r>
        <w:rPr>
          <w:rFonts w:hint="eastAsia"/>
          <w:sz w:val="24"/>
          <w:highlight w:val="none"/>
        </w:rPr>
        <w:t>市政府有关</w:t>
      </w:r>
      <w:r>
        <w:rPr>
          <w:rFonts w:hint="eastAsia"/>
          <w:sz w:val="24"/>
        </w:rPr>
        <w:t>规定按时支付农民工工资，向发包人提交农民工工资详细支付清单，并向有关部门交纳农民工工资保证金。</w:t>
      </w:r>
    </w:p>
    <w:p>
      <w:pPr>
        <w:spacing w:line="360" w:lineRule="auto"/>
        <w:ind w:firstLine="480"/>
        <w:rPr>
          <w:rFonts w:hint="eastAsia"/>
          <w:sz w:val="24"/>
        </w:rPr>
      </w:pPr>
      <w:r>
        <w:rPr>
          <w:rFonts w:hint="eastAsia"/>
          <w:sz w:val="24"/>
        </w:rPr>
        <w:t>13、对承包人不平衡报价项目，发包人保留对承包人报价中认为明显不合理的报价高的项目单价进行调整的权利（不包含报价低项目，报价低项目视为承包人已考虑在整个项目的投标报价中，由此产生的低报价风险由承包人自行承担）。</w:t>
      </w:r>
    </w:p>
    <w:p>
      <w:pPr>
        <w:spacing w:line="360" w:lineRule="auto"/>
        <w:ind w:firstLine="480"/>
        <w:rPr>
          <w:rFonts w:hint="eastAsia"/>
          <w:sz w:val="24"/>
        </w:rPr>
      </w:pPr>
      <w:r>
        <w:rPr>
          <w:rFonts w:hint="eastAsia"/>
          <w:sz w:val="24"/>
        </w:rPr>
        <w:t>当中标净下浮率大于15%时，对承包人所报项目综合单价超过(招标控制价中项目综合单价×（1—（本工程中标净下浮率-15%）)的视为明显不合理的报价高的项目单价，结算/变更执行时，按以下方式处理：</w:t>
      </w:r>
    </w:p>
    <w:p>
      <w:pPr>
        <w:spacing w:line="360" w:lineRule="auto"/>
        <w:ind w:firstLine="480"/>
        <w:rPr>
          <w:rFonts w:hint="eastAsia"/>
          <w:sz w:val="24"/>
        </w:rPr>
      </w:pPr>
      <w:r>
        <w:rPr>
          <w:rFonts w:hint="eastAsia"/>
          <w:sz w:val="24"/>
        </w:rPr>
        <w:t>对于清单综合单价投标报价偏高的清单子目，执行时，合同清单内的工程量及变更减少部分执行其投标综合单价；合同清单外及变更增加部分执行调整后的修正单价，修正综合单价=招标控制价中项目综合单价×（1—本工程中标净下浮率）。</w:t>
      </w:r>
    </w:p>
    <w:p>
      <w:pPr>
        <w:spacing w:line="360" w:lineRule="auto"/>
        <w:rPr>
          <w:color w:val="000000"/>
          <w:spacing w:val="-10"/>
          <w:sz w:val="24"/>
        </w:rPr>
      </w:pPr>
      <w:r>
        <w:rPr>
          <w:rFonts w:hint="eastAsia"/>
          <w:sz w:val="24"/>
        </w:rPr>
        <w:t>　</w:t>
      </w:r>
      <w:r>
        <w:rPr>
          <w:rFonts w:hint="eastAsia"/>
          <w:color w:val="000000"/>
          <w:spacing w:val="-10"/>
          <w:sz w:val="24"/>
        </w:rPr>
        <w:t>14、《建设工程工程量清单计价规范》(GB50500-2013)对于本工程仅具有补充适用效力。如果本合同及附件规定的和《建设工程工程量清单计价规范》(GB50500-2013)不一致的，优先适用本合同及附件的规定。本合同及附件没有规定但是本工程所在地招投标的法律法规有规定的， 且该规定与《建设工程工程量清单计价规范》(GB50500-2013)不一致的， 优先适用本工程所在地招投标法律法规的规定。如果本合同及本工程所在地招投标法律法规均没有规定的，由本合同双方进行协议补充；如果双方达不成一致意见的，可适用《建设工程工程量清单计价规范》(GB50500-2013)的有关规定。</w:t>
      </w:r>
    </w:p>
    <w:p>
      <w:pPr>
        <w:spacing w:line="360" w:lineRule="auto"/>
        <w:ind w:firstLine="330" w:firstLineChars="150"/>
        <w:jc w:val="left"/>
        <w:rPr>
          <w:sz w:val="24"/>
        </w:rPr>
      </w:pPr>
      <w:r>
        <w:rPr>
          <w:rFonts w:hint="eastAsia"/>
          <w:color w:val="000000"/>
          <w:spacing w:val="-10"/>
          <w:sz w:val="24"/>
        </w:rPr>
        <w:t>15、</w:t>
      </w:r>
      <w:r>
        <w:rPr>
          <w:rFonts w:hint="eastAsia"/>
          <w:sz w:val="24"/>
        </w:rPr>
        <w:t>本合同通用条款9.5、15.2（1）（2）、19.3、34.7、35.7、37.3至37.6不适用于本项目。如发生索赔事宜，则由合同一方当事人在索赔事件发生之日起叁年内向另一方当事人进行索赔；如果本合同对索赔事宜有规定，适用该规定；如果本合同未约定，按照相关法律规定执行。本合同其他条款与本条款关于索赔事宜相冲突的，优先适用本条款。</w:t>
      </w:r>
    </w:p>
    <w:p>
      <w:pPr>
        <w:spacing w:before="156" w:beforeLines="50" w:line="440" w:lineRule="exact"/>
        <w:ind w:left="535" w:leftChars="255"/>
        <w:rPr>
          <w:rFonts w:ascii="宋体" w:hAnsi="宋体"/>
          <w:color w:val="000000"/>
          <w:sz w:val="24"/>
          <w:szCs w:val="22"/>
          <w:u w:val="single"/>
        </w:rPr>
      </w:pPr>
      <w:r>
        <w:rPr>
          <w:rFonts w:hint="eastAsia"/>
          <w:color w:val="000000"/>
          <w:spacing w:val="-10"/>
          <w:sz w:val="24"/>
        </w:rPr>
        <w:t>16、</w:t>
      </w:r>
      <w:r>
        <w:rPr>
          <w:rFonts w:hint="eastAsia"/>
          <w:color w:val="000000"/>
          <w:sz w:val="24"/>
        </w:rPr>
        <w:t>结算工程量的确认：</w:t>
      </w:r>
    </w:p>
    <w:p>
      <w:pPr>
        <w:spacing w:before="156" w:beforeLines="50" w:line="440" w:lineRule="exact"/>
        <w:ind w:left="535" w:leftChars="255"/>
        <w:rPr>
          <w:rFonts w:ascii="宋体" w:hAnsi="宋体"/>
          <w:color w:val="000000"/>
          <w:sz w:val="24"/>
          <w:u w:val="single"/>
        </w:rPr>
      </w:pPr>
      <w:r>
        <w:rPr>
          <w:rFonts w:hint="eastAsia" w:ascii="宋体" w:hAnsi="宋体"/>
          <w:sz w:val="24"/>
          <w:u w:val="single"/>
        </w:rPr>
        <w:t>工程量应以发包人、</w:t>
      </w:r>
      <w:r>
        <w:rPr>
          <w:rFonts w:hint="eastAsia" w:ascii="宋体" w:hAnsi="宋体"/>
          <w:bCs/>
          <w:sz w:val="24"/>
          <w:u w:val="single"/>
        </w:rPr>
        <w:t>项目管理单位、</w:t>
      </w:r>
      <w:r>
        <w:rPr>
          <w:rFonts w:hint="eastAsia" w:ascii="宋体" w:hAnsi="宋体"/>
          <w:sz w:val="24"/>
          <w:u w:val="single"/>
        </w:rPr>
        <w:t>监理单位、造价咨询单位共同确认为准</w:t>
      </w:r>
      <w:r>
        <w:rPr>
          <w:rFonts w:hint="eastAsia" w:ascii="宋体" w:hAnsi="宋体"/>
          <w:color w:val="000000"/>
          <w:sz w:val="24"/>
          <w:u w:val="single"/>
        </w:rPr>
        <w:t>。</w:t>
      </w:r>
    </w:p>
    <w:p>
      <w:pPr>
        <w:spacing w:before="156" w:beforeLines="50" w:line="440" w:lineRule="exact"/>
        <w:ind w:firstLine="535" w:firstLineChars="222"/>
        <w:rPr>
          <w:rFonts w:ascii="宋体" w:hAnsi="宋体"/>
          <w:b/>
          <w:color w:val="000000" w:themeColor="text1"/>
          <w:sz w:val="24"/>
          <w:szCs w:val="22"/>
          <w14:textFill>
            <w14:solidFill>
              <w14:schemeClr w14:val="tx1"/>
            </w14:solidFill>
          </w14:textFill>
        </w:rPr>
      </w:pPr>
      <w:r>
        <w:rPr>
          <w:rFonts w:hint="eastAsia" w:ascii="宋体" w:hAnsi="宋体"/>
          <w:b/>
          <w:color w:val="000000" w:themeColor="text1"/>
          <w:sz w:val="24"/>
          <w:szCs w:val="22"/>
          <w14:textFill>
            <w14:solidFill>
              <w14:schemeClr w14:val="tx1"/>
            </w14:solidFill>
          </w14:textFill>
        </w:rPr>
        <w:t>1）如果是招标图纸、招标文件中包含，工程量清单未包含或与图纸描述不一致，而承包人在招标质疑过程中又未提出的，视为承包人是在充分了解发包人的所有要求及现场实际情况后进行的报价，并已考虑在其他报价中，且视为承包人的报价已包含承包人未提出质疑、工程量清单上没有列出但属于招标图纸、招标文件中包含的工作内容。承包人在投标阶段任何漏项、漏报、少报、错报所产生的后果，在结算时不予支付</w:t>
      </w:r>
      <w:r>
        <w:rPr>
          <w:rFonts w:ascii="宋体" w:hAnsi="宋体"/>
          <w:b/>
          <w:color w:val="000000" w:themeColor="text1"/>
          <w:sz w:val="24"/>
          <w:szCs w:val="22"/>
          <w14:textFill>
            <w14:solidFill>
              <w14:schemeClr w14:val="tx1"/>
            </w14:solidFill>
          </w14:textFill>
        </w:rPr>
        <w:t>其相关款项</w:t>
      </w:r>
      <w:r>
        <w:rPr>
          <w:rFonts w:hint="eastAsia" w:ascii="宋体" w:hAnsi="宋体"/>
          <w:b/>
          <w:color w:val="000000" w:themeColor="text1"/>
          <w:sz w:val="24"/>
          <w:szCs w:val="22"/>
          <w14:textFill>
            <w14:solidFill>
              <w14:schemeClr w14:val="tx1"/>
            </w14:solidFill>
          </w14:textFill>
        </w:rPr>
        <w:t>。</w:t>
      </w:r>
    </w:p>
    <w:p>
      <w:pPr>
        <w:spacing w:line="360" w:lineRule="auto"/>
        <w:ind w:firstLine="482" w:firstLineChars="200"/>
        <w:rPr>
          <w:rFonts w:ascii="宋体" w:hAnsi="宋体"/>
          <w:b/>
          <w:color w:val="000000" w:themeColor="text1"/>
          <w:sz w:val="24"/>
          <w:szCs w:val="22"/>
          <w14:textFill>
            <w14:solidFill>
              <w14:schemeClr w14:val="tx1"/>
            </w14:solidFill>
          </w14:textFill>
        </w:rPr>
      </w:pPr>
      <w:r>
        <w:rPr>
          <w:rFonts w:hint="eastAsia" w:ascii="宋体" w:hAnsi="宋体"/>
          <w:b/>
          <w:color w:val="000000" w:themeColor="text1"/>
          <w:sz w:val="24"/>
          <w:szCs w:val="22"/>
          <w14:textFill>
            <w14:solidFill>
              <w14:schemeClr w14:val="tx1"/>
            </w14:solidFill>
          </w14:textFill>
        </w:rPr>
        <w:t>2）由于设计变更引起的工程量变化或由于发包人认可的现场工程量确认引起的工程量变化，可以调整工程量大小。变更部分的单价的确定方法按照专用条款第33款确定。</w:t>
      </w:r>
    </w:p>
    <w:p>
      <w:pPr>
        <w:spacing w:line="360" w:lineRule="auto"/>
        <w:ind w:firstLine="440" w:firstLineChars="200"/>
        <w:rPr>
          <w:color w:val="000000"/>
          <w:spacing w:val="-10"/>
          <w:sz w:val="24"/>
        </w:rPr>
      </w:pPr>
      <w:r>
        <w:rPr>
          <w:rFonts w:hint="eastAsia"/>
          <w:color w:val="000000"/>
          <w:spacing w:val="-10"/>
          <w:sz w:val="24"/>
        </w:rPr>
        <w:t>17、承包人原因导致设计文件需要修改、工程需要返工、修复、重作造成的工程量增加、工程费用增加、工期延长的，由此引起及与之相关的责任均由承包人承担，与发包人无关。</w:t>
      </w:r>
    </w:p>
    <w:p>
      <w:pPr>
        <w:spacing w:line="360" w:lineRule="auto"/>
        <w:ind w:firstLine="440" w:firstLineChars="200"/>
        <w:rPr>
          <w:color w:val="000000"/>
          <w:spacing w:val="-10"/>
          <w:sz w:val="24"/>
        </w:rPr>
      </w:pPr>
      <w:r>
        <w:rPr>
          <w:rFonts w:hint="eastAsia"/>
          <w:color w:val="000000"/>
          <w:spacing w:val="-10"/>
          <w:sz w:val="24"/>
        </w:rPr>
        <w:t>18、本合同项下的任何工程变更、签证均应按照合同约定的程序执行；对工程变更、签证无约定的，均应由发包人事先以书面形式正式提出或确认。否则，由此造成的任何费用、损失或工期延长等责任均由承包人承担，与发包人无关。</w:t>
      </w:r>
    </w:p>
    <w:p>
      <w:pPr>
        <w:spacing w:before="45" w:line="309" w:lineRule="auto"/>
        <w:ind w:left="149" w:right="63" w:firstLine="439"/>
        <w:rPr>
          <w:rFonts w:ascii="宋体" w:hAnsi="宋体" w:cs="宋体"/>
          <w:spacing w:val="-19"/>
          <w:sz w:val="24"/>
        </w:rPr>
      </w:pPr>
      <w:r>
        <w:rPr>
          <w:rFonts w:hint="eastAsia" w:ascii="宋体" w:hAnsi="宋体" w:cs="宋体"/>
          <w:spacing w:val="-19"/>
          <w:sz w:val="24"/>
        </w:rPr>
        <w:t>19、招标人</w:t>
      </w:r>
      <w:r>
        <w:rPr>
          <w:rFonts w:ascii="宋体" w:hAnsi="宋体" w:cs="宋体"/>
          <w:spacing w:val="-19"/>
          <w:sz w:val="24"/>
        </w:rPr>
        <w:t>提供的清单和控制价仅作参考，投标人应按招标文件、包定义、技术规格书、图纸要求进行报价。</w:t>
      </w:r>
      <w:r>
        <w:rPr>
          <w:rFonts w:hint="eastAsia" w:ascii="宋体" w:hAnsi="宋体" w:cs="宋体"/>
          <w:spacing w:val="-19"/>
          <w:sz w:val="24"/>
        </w:rPr>
        <w:t>如招标文件、技术规格书、包定义、图纸等前后不一致或有矛盾的，投标人应提出质疑，如投标人未提出，应按最严格要求执行或有利于招标人的解释为准，不管</w:t>
      </w:r>
      <w:r>
        <w:rPr>
          <w:rFonts w:ascii="宋体" w:hAnsi="宋体" w:cs="宋体"/>
          <w:spacing w:val="-19"/>
          <w:sz w:val="24"/>
        </w:rPr>
        <w:t>投标报价是否包含相关报价，</w:t>
      </w:r>
      <w:r>
        <w:rPr>
          <w:rFonts w:hint="eastAsia" w:ascii="宋体" w:hAnsi="宋体" w:cs="宋体"/>
          <w:spacing w:val="-19"/>
          <w:sz w:val="24"/>
        </w:rPr>
        <w:t>中标后都不因以上原因调整综合单价或合同总价。</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w:t>
      </w:r>
      <w:r>
        <w:rPr>
          <w:rFonts w:ascii="宋体" w:hAnsi="宋体"/>
          <w:sz w:val="24"/>
        </w:rPr>
        <w:t>设计变更必须以图纸作为计算工程量的依据，即使</w:t>
      </w:r>
      <w:r>
        <w:rPr>
          <w:rFonts w:hint="eastAsia" w:ascii="宋体" w:hAnsi="宋体"/>
          <w:sz w:val="24"/>
        </w:rPr>
        <w:t>中标人进行</w:t>
      </w:r>
      <w:r>
        <w:rPr>
          <w:rFonts w:ascii="宋体" w:hAnsi="宋体"/>
          <w:sz w:val="24"/>
        </w:rPr>
        <w:t>了现场签证，工程量仍以</w:t>
      </w:r>
      <w:r>
        <w:rPr>
          <w:rFonts w:hint="eastAsia" w:ascii="宋体" w:hAnsi="宋体"/>
          <w:sz w:val="24"/>
        </w:rPr>
        <w:t>项目</w:t>
      </w:r>
      <w:r>
        <w:rPr>
          <w:rFonts w:ascii="宋体" w:hAnsi="宋体"/>
          <w:sz w:val="24"/>
        </w:rPr>
        <w:t>管理、监理、业主、设计</w:t>
      </w:r>
      <w:r>
        <w:rPr>
          <w:rFonts w:hint="eastAsia" w:ascii="宋体" w:hAnsi="宋体"/>
          <w:sz w:val="24"/>
        </w:rPr>
        <w:t>确认</w:t>
      </w:r>
      <w:r>
        <w:rPr>
          <w:rFonts w:ascii="宋体" w:hAnsi="宋体"/>
          <w:sz w:val="24"/>
        </w:rPr>
        <w:t>的图纸计算</w:t>
      </w:r>
      <w:r>
        <w:rPr>
          <w:rFonts w:hint="eastAsia" w:ascii="宋体" w:hAnsi="宋体"/>
          <w:sz w:val="24"/>
        </w:rPr>
        <w:t>为准，</w:t>
      </w:r>
      <w:r>
        <w:rPr>
          <w:rFonts w:ascii="宋体" w:hAnsi="宋体"/>
          <w:sz w:val="24"/>
        </w:rPr>
        <w:t>签证工程量不作为结算依据。</w:t>
      </w:r>
    </w:p>
    <w:p>
      <w:pPr>
        <w:spacing w:line="360" w:lineRule="auto"/>
        <w:ind w:firstLine="480" w:firstLineChars="200"/>
        <w:rPr>
          <w:rFonts w:ascii="宋体" w:hAnsi="宋体"/>
          <w:sz w:val="24"/>
        </w:rPr>
      </w:pPr>
      <w:r>
        <w:rPr>
          <w:rFonts w:ascii="宋体" w:hAnsi="宋体"/>
          <w:sz w:val="24"/>
        </w:rPr>
        <w:t>21</w:t>
      </w:r>
      <w:r>
        <w:rPr>
          <w:rFonts w:hint="eastAsia" w:ascii="宋体" w:hAnsi="宋体"/>
          <w:sz w:val="24"/>
        </w:rPr>
        <w:t>、投标人应提供拟</w:t>
      </w:r>
      <w:r>
        <w:rPr>
          <w:rFonts w:hint="eastAsia"/>
          <w:color w:val="000000"/>
          <w:spacing w:val="-10"/>
          <w:sz w:val="24"/>
        </w:rPr>
        <w:t>选用</w:t>
      </w:r>
      <w:r>
        <w:rPr>
          <w:rFonts w:hint="eastAsia" w:ascii="宋体" w:hAnsi="宋体"/>
          <w:sz w:val="24"/>
        </w:rPr>
        <w:t>材料品牌清单</w:t>
      </w:r>
    </w:p>
    <w:p>
      <w:pPr>
        <w:snapToGrid w:val="0"/>
        <w:spacing w:line="360" w:lineRule="auto"/>
        <w:ind w:firstLine="480" w:firstLineChars="200"/>
        <w:rPr>
          <w:rFonts w:ascii="宋体" w:hAnsi="宋体"/>
          <w:sz w:val="24"/>
        </w:rPr>
      </w:pPr>
      <w:r>
        <w:rPr>
          <w:rFonts w:hint="eastAsia" w:ascii="宋体" w:hAnsi="宋体"/>
          <w:sz w:val="24"/>
        </w:rPr>
        <w:t>投标人应按招标人提供的材料品牌进行报价，若</w:t>
      </w:r>
      <w:r>
        <w:rPr>
          <w:rFonts w:ascii="宋体" w:hAnsi="宋体"/>
          <w:sz w:val="24"/>
        </w:rPr>
        <w:t>投标</w:t>
      </w:r>
      <w:r>
        <w:rPr>
          <w:rFonts w:hint="eastAsia" w:ascii="宋体" w:hAnsi="宋体"/>
          <w:sz w:val="24"/>
        </w:rPr>
        <w:t>过程</w:t>
      </w:r>
      <w:r>
        <w:rPr>
          <w:rFonts w:ascii="宋体" w:hAnsi="宋体"/>
          <w:sz w:val="24"/>
        </w:rPr>
        <w:t>中未提出质疑</w:t>
      </w:r>
      <w:r>
        <w:rPr>
          <w:rFonts w:hint="eastAsia" w:ascii="宋体" w:hAnsi="宋体"/>
          <w:sz w:val="24"/>
        </w:rPr>
        <w:t>，中标后应选择招标文件中约定的材料品牌，不因任何因素调整材料价格和材料品牌。</w:t>
      </w:r>
    </w:p>
    <w:p>
      <w:pPr>
        <w:snapToGrid w:val="0"/>
        <w:spacing w:line="360" w:lineRule="auto"/>
        <w:ind w:firstLine="480" w:firstLineChars="200"/>
        <w:rPr>
          <w:rFonts w:ascii="宋体" w:hAnsi="宋体"/>
          <w:sz w:val="24"/>
        </w:rPr>
      </w:pPr>
      <w:r>
        <w:rPr>
          <w:rFonts w:hint="eastAsia" w:ascii="宋体" w:hAnsi="宋体"/>
          <w:sz w:val="24"/>
        </w:rPr>
        <w:t>如施工过程中因承包人原因导致无法采用招标文件中约定的材料品牌，发包人有权要求承包人采用高于招标文件要求的材料品牌，但材料价格不调整。</w:t>
      </w:r>
    </w:p>
    <w:p>
      <w:pPr>
        <w:snapToGrid w:val="0"/>
        <w:spacing w:line="360" w:lineRule="auto"/>
        <w:ind w:firstLine="480" w:firstLineChars="200"/>
        <w:rPr>
          <w:rFonts w:ascii="宋体" w:hAnsi="宋体"/>
          <w:sz w:val="24"/>
        </w:rPr>
      </w:pPr>
      <w:r>
        <w:rPr>
          <w:rFonts w:hint="eastAsia" w:ascii="宋体" w:hAnsi="宋体"/>
          <w:sz w:val="24"/>
        </w:rPr>
        <w:t>招标人不接受低于招标文件约定品牌，施工过程中因承包人选用招标清单之外的品牌确认时间较长所引起的工期、费用等一切损失由投标人自行承担，且招标人保留向投标人索赔的权利。</w:t>
      </w:r>
    </w:p>
    <w:p>
      <w:pPr>
        <w:numPr>
          <w:ilvl w:val="0"/>
          <w:numId w:val="9"/>
        </w:numPr>
        <w:spacing w:line="360" w:lineRule="auto"/>
        <w:ind w:firstLine="480" w:firstLineChars="200"/>
        <w:rPr>
          <w:rFonts w:hint="eastAsia" w:ascii="宋体" w:hAnsi="宋体"/>
          <w:sz w:val="24"/>
        </w:rPr>
      </w:pPr>
      <w:r>
        <w:rPr>
          <w:rFonts w:ascii="宋体" w:hAnsi="宋体"/>
          <w:sz w:val="24"/>
        </w:rPr>
        <w:t>措施费、规费</w:t>
      </w:r>
      <w:r>
        <w:rPr>
          <w:rFonts w:hint="eastAsia" w:ascii="宋体" w:hAnsi="宋体"/>
          <w:sz w:val="24"/>
        </w:rPr>
        <w:t>：措施费、规费包干，承包人已充分考虑了本项目的特点、各种资源和生产要素，不得以任何理由提出变更。</w:t>
      </w:r>
    </w:p>
    <w:p>
      <w:pPr>
        <w:numPr>
          <w:ilvl w:val="0"/>
          <w:numId w:val="9"/>
        </w:numPr>
        <w:spacing w:line="360" w:lineRule="auto"/>
        <w:ind w:firstLine="480" w:firstLineChars="200"/>
        <w:rPr>
          <w:rFonts w:hint="eastAsia" w:ascii="宋体" w:hAnsi="宋体"/>
          <w:sz w:val="24"/>
        </w:rPr>
      </w:pPr>
      <w:r>
        <w:rPr>
          <w:rFonts w:hint="eastAsia" w:ascii="宋体" w:hAnsi="宋体"/>
          <w:sz w:val="24"/>
        </w:rPr>
        <w:t>投标报价文件要求</w:t>
      </w:r>
    </w:p>
    <w:p>
      <w:pPr>
        <w:numPr>
          <w:ilvl w:val="0"/>
          <w:numId w:val="0"/>
        </w:numPr>
        <w:spacing w:line="360" w:lineRule="auto"/>
        <w:ind w:firstLine="480" w:firstLineChars="200"/>
        <w:rPr>
          <w:rFonts w:hint="eastAsia" w:ascii="宋体" w:hAnsi="宋体"/>
          <w:sz w:val="24"/>
        </w:rPr>
      </w:pPr>
      <w:r>
        <w:rPr>
          <w:rFonts w:hint="eastAsia" w:ascii="宋体" w:hAnsi="宋体"/>
          <w:sz w:val="24"/>
        </w:rPr>
        <w:t>投标人商务标投标文件应包含综合单价分析表及主要材料、设备价格表，同时提供广联达软件报价格式。</w:t>
      </w:r>
    </w:p>
    <w:p>
      <w:pPr>
        <w:numPr>
          <w:ilvl w:val="0"/>
          <w:numId w:val="0"/>
        </w:numPr>
        <w:spacing w:line="360" w:lineRule="auto"/>
        <w:ind w:firstLine="480" w:firstLineChars="200"/>
        <w:rPr>
          <w:rFonts w:hint="eastAsia" w:ascii="宋体" w:hAnsi="宋体"/>
          <w:sz w:val="24"/>
        </w:rPr>
      </w:pPr>
      <w:r>
        <w:rPr>
          <w:rFonts w:hint="eastAsia" w:ascii="宋体" w:hAnsi="宋体"/>
          <w:sz w:val="24"/>
        </w:rPr>
        <w:t>每份变更价款必须采用广联达软件报价，结算时必须提供软件报价明细，如包商未按要求格式提供，招标人将按变更价款的3%收取变更审核费，该费用直接从结算款中扣除。</w:t>
      </w:r>
    </w:p>
    <w:p>
      <w:pPr>
        <w:numPr>
          <w:ilvl w:val="0"/>
          <w:numId w:val="9"/>
        </w:numPr>
        <w:spacing w:line="360" w:lineRule="auto"/>
        <w:ind w:firstLine="480" w:firstLineChars="200"/>
        <w:rPr>
          <w:rFonts w:hint="eastAsia" w:ascii="宋体" w:hAnsi="宋体"/>
          <w:sz w:val="24"/>
        </w:rPr>
      </w:pPr>
      <w:r>
        <w:rPr>
          <w:rFonts w:hint="eastAsia" w:ascii="宋体" w:hAnsi="宋体"/>
          <w:sz w:val="24"/>
        </w:rPr>
        <w:t>商务人员及文档人员配置</w:t>
      </w:r>
    </w:p>
    <w:p>
      <w:pPr>
        <w:numPr>
          <w:ilvl w:val="0"/>
          <w:numId w:val="0"/>
        </w:numPr>
        <w:spacing w:line="360" w:lineRule="auto"/>
        <w:ind w:firstLine="480" w:firstLineChars="200"/>
        <w:rPr>
          <w:rFonts w:hint="eastAsia" w:ascii="宋体" w:hAnsi="宋体"/>
          <w:sz w:val="24"/>
        </w:rPr>
      </w:pPr>
      <w:r>
        <w:rPr>
          <w:rFonts w:hint="eastAsia" w:ascii="宋体" w:hAnsi="宋体"/>
          <w:sz w:val="24"/>
        </w:rPr>
        <w:t>进场后中标人应配置至少2名专业造价工程师及1名专业文档负责工程款申请及变更上报工作。中标人收到设计变更或变更指令后2个月内必须上报变更，逾期视为变更无费用产生。</w:t>
      </w:r>
    </w:p>
    <w:p>
      <w:pPr>
        <w:jc w:val="left"/>
        <w:rPr>
          <w:b/>
          <w:color w:val="000000"/>
          <w:sz w:val="28"/>
          <w:szCs w:val="28"/>
        </w:rPr>
      </w:pPr>
      <w:r>
        <w:rPr>
          <w:rFonts w:hint="eastAsia"/>
          <w:b/>
          <w:color w:val="000000"/>
          <w:sz w:val="28"/>
          <w:szCs w:val="28"/>
        </w:rPr>
        <w:t>补充条款二  工程管理</w:t>
      </w:r>
    </w:p>
    <w:p>
      <w:pPr>
        <w:spacing w:line="360" w:lineRule="auto"/>
        <w:rPr>
          <w:sz w:val="24"/>
        </w:rPr>
      </w:pPr>
      <w:r>
        <w:rPr>
          <w:rFonts w:hint="eastAsia"/>
          <w:sz w:val="24"/>
        </w:rPr>
        <w:t>1、本工程发包人委托TCL建设管理（深圳）有限公司（本合同中简称“项目管理单位”）进行项目管理，承包人必须服从其管理。</w:t>
      </w:r>
    </w:p>
    <w:p>
      <w:pPr>
        <w:spacing w:line="360" w:lineRule="auto"/>
        <w:rPr>
          <w:sz w:val="24"/>
        </w:rPr>
      </w:pPr>
      <w:r>
        <w:rPr>
          <w:rFonts w:hint="eastAsia"/>
          <w:sz w:val="24"/>
        </w:rPr>
        <w:t>2、承包人投标文件中提供的项目管理班子必须与现场项目管理班子相一致，项目管理班子主要成员（包括项目经理、技术负责人、现场工程师、技术员、质量监督员和安全监督员等）必须常驻施工现场，有事确需离开工地，必须书面向发包人工程师请假，否则，承包人应对自己的不当行为所造成的后果负责，项目管理班子主要成员每人每月请假超过3天的，承包人应当承担违约责任，每次4000元～8000元违约金，由发包人决定具体金额并在工程进度款中扣除。承包人还应赔偿因此造成的其他损失。</w:t>
      </w:r>
    </w:p>
    <w:p>
      <w:pPr>
        <w:spacing w:line="360" w:lineRule="auto"/>
        <w:rPr>
          <w:sz w:val="24"/>
        </w:rPr>
      </w:pPr>
      <w:r>
        <w:rPr>
          <w:rFonts w:hint="eastAsia"/>
          <w:sz w:val="24"/>
        </w:rPr>
        <w:t>发包人可随时抽查项目经理（项目</w:t>
      </w:r>
      <w:r>
        <w:rPr>
          <w:sz w:val="24"/>
        </w:rPr>
        <w:t>经理按专用条款特别约定）</w:t>
      </w:r>
      <w:r>
        <w:rPr>
          <w:rFonts w:hint="eastAsia"/>
          <w:sz w:val="24"/>
        </w:rPr>
        <w:t>及项目管理班子主要成员是否在工作现场，如果一个月内抽查发现有两次不在现场，承包人应当承担违约责任，每次10000元违约金，由发包人在工程进度款中扣除。承包人还应赔偿因此造成的其他损失。</w:t>
      </w:r>
    </w:p>
    <w:p>
      <w:pPr>
        <w:spacing w:line="360" w:lineRule="auto"/>
        <w:rPr>
          <w:sz w:val="24"/>
        </w:rPr>
      </w:pPr>
      <w:r>
        <w:rPr>
          <w:rFonts w:hint="eastAsia"/>
          <w:sz w:val="24"/>
        </w:rPr>
        <w:t>3、在工程实施过程中，对于承包人安排的不称职的管理人员和主要操作技术人员，发包人有权要求承包人进行更换，直至发包人满意为止，且更换人员应在接到书面通知后的3天内到位，如果达不到上述要求，承包人应当承担违约责任，每人每天1000元~2000元违约金，由发包人决定具体金额并在工程进度款中扣除。承包人还应赔偿因此造成的其他损失。</w:t>
      </w:r>
    </w:p>
    <w:p>
      <w:pPr>
        <w:spacing w:line="360" w:lineRule="auto"/>
        <w:rPr>
          <w:sz w:val="24"/>
        </w:rPr>
      </w:pPr>
      <w:r>
        <w:rPr>
          <w:rFonts w:hint="eastAsia"/>
          <w:sz w:val="24"/>
        </w:rPr>
        <w:t>4、承包人应采取相应保卫措施，保证施工场地内的保安工作，施工现场须由专业保安公司24小时负责照看，防止出现相关设施、设备被盗行为，由此产生的相关费用已包括在合同价中，发包人无需另行支付。若因承包人原因引起的财产损失，全部由承包人承担。</w:t>
      </w:r>
    </w:p>
    <w:p>
      <w:pPr>
        <w:spacing w:line="360" w:lineRule="auto"/>
        <w:rPr>
          <w:sz w:val="24"/>
        </w:rPr>
      </w:pPr>
      <w:r>
        <w:rPr>
          <w:rFonts w:hint="eastAsia"/>
          <w:sz w:val="24"/>
        </w:rPr>
        <w:t>5、承包人的弃土(石)、弃碴、弃泥浆的排放方案，应事先取得发包人工程师的批准，并办理相应的手续后方能运出，费用由承包人负责。承包人应遵</w:t>
      </w:r>
      <w:r>
        <w:rPr>
          <w:rFonts w:hint="eastAsia"/>
          <w:sz w:val="24"/>
          <w:highlight w:val="none"/>
        </w:rPr>
        <w:t>守</w:t>
      </w:r>
      <w:r>
        <w:rPr>
          <w:rFonts w:hint="eastAsia"/>
          <w:sz w:val="24"/>
          <w:highlight w:val="none"/>
          <w:lang w:val="en-US" w:eastAsia="zh-CN"/>
        </w:rPr>
        <w:t>广州市</w:t>
      </w:r>
      <w:r>
        <w:rPr>
          <w:rFonts w:hint="eastAsia"/>
          <w:sz w:val="24"/>
          <w:highlight w:val="none"/>
        </w:rPr>
        <w:t>政</w:t>
      </w:r>
      <w:r>
        <w:rPr>
          <w:rFonts w:hint="eastAsia"/>
          <w:sz w:val="24"/>
        </w:rPr>
        <w:t>府的有关规定，不得随意排放，由此引起的处罚、索赔、诉讼等均由承包人负责。如因此造成发包人损失的，承包人负责赔偿。</w:t>
      </w:r>
    </w:p>
    <w:p>
      <w:pPr>
        <w:spacing w:line="360" w:lineRule="auto"/>
        <w:rPr>
          <w:sz w:val="24"/>
        </w:rPr>
      </w:pPr>
      <w:r>
        <w:rPr>
          <w:rFonts w:hint="eastAsia"/>
          <w:sz w:val="24"/>
        </w:rPr>
        <w:t>6、承包人应采取一切有效的措施保证本工程的质量和安全。如发现基础开挖施工质量不能满足设计或规范要求，或因施工引起的周边建筑物沉降、开裂超过警戒值时，承包人应当承担按违约处理，发包人将按每发现一处违约金扣款5000元人民币。承包人还应赔偿因此造成的其他损失。</w:t>
      </w:r>
    </w:p>
    <w:p>
      <w:pPr>
        <w:spacing w:line="360" w:lineRule="auto"/>
        <w:rPr>
          <w:sz w:val="24"/>
        </w:rPr>
      </w:pPr>
      <w:r>
        <w:rPr>
          <w:rFonts w:hint="eastAsia"/>
          <w:sz w:val="24"/>
        </w:rPr>
        <w:t>7、承包人必须保证施工安全，</w:t>
      </w:r>
      <w:r>
        <w:rPr>
          <w:rFonts w:hint="eastAsia"/>
          <w:sz w:val="24"/>
          <w:highlight w:val="none"/>
        </w:rPr>
        <w:t>并满足</w:t>
      </w:r>
      <w:r>
        <w:rPr>
          <w:rFonts w:hint="eastAsia"/>
          <w:sz w:val="24"/>
          <w:highlight w:val="none"/>
          <w:lang w:val="en-US" w:eastAsia="zh-CN"/>
        </w:rPr>
        <w:t>广州</w:t>
      </w:r>
      <w:r>
        <w:rPr>
          <w:rFonts w:hint="eastAsia"/>
          <w:sz w:val="24"/>
          <w:highlight w:val="none"/>
        </w:rPr>
        <w:t>市、</w:t>
      </w:r>
      <w:r>
        <w:rPr>
          <w:rFonts w:hint="eastAsia"/>
          <w:sz w:val="24"/>
        </w:rPr>
        <w:t>发包人等对安全文明施工的要求，在不定期检查中如发现不合格项目，按违约处理，每项将违约金扣款5000人民币。承包人还应赔偿因此造成的其他损失。</w:t>
      </w:r>
    </w:p>
    <w:p>
      <w:pPr>
        <w:spacing w:line="360" w:lineRule="auto"/>
        <w:rPr>
          <w:sz w:val="24"/>
        </w:rPr>
      </w:pPr>
      <w:r>
        <w:rPr>
          <w:rFonts w:hint="eastAsia"/>
          <w:sz w:val="24"/>
        </w:rPr>
        <w:t>8、未经发包人同意，承包人不得停工，否则，按违约处理，发包人有权对承包人处以10000元/天的违约金扣款，如累计停工五天，发包人有权解除合同，承包人应承担给发包人造成的损失。</w:t>
      </w:r>
    </w:p>
    <w:p>
      <w:pPr>
        <w:spacing w:line="360" w:lineRule="auto"/>
        <w:rPr>
          <w:sz w:val="24"/>
        </w:rPr>
      </w:pPr>
      <w:r>
        <w:rPr>
          <w:rFonts w:hint="eastAsia"/>
          <w:sz w:val="24"/>
        </w:rPr>
        <w:t xml:space="preserve">9、如发包人和承包人双方发生争议，承包人不得以争议未解决为由停工，否则视为违约，由此延误的工期不可得到工期顺延，同时发包人有权解除合同，承包人应承担给发包人造成的损失。                </w:t>
      </w:r>
    </w:p>
    <w:p>
      <w:pPr>
        <w:spacing w:line="360" w:lineRule="auto"/>
        <w:rPr>
          <w:sz w:val="24"/>
        </w:rPr>
      </w:pPr>
      <w:r>
        <w:rPr>
          <w:rFonts w:hint="eastAsia"/>
          <w:sz w:val="24"/>
        </w:rPr>
        <w:t>10、工程竣工完成后，承包人应及时办理交工手续，承包人在接到工程师或发包人的书面退场书后7天内应完全从施工现场撤退出去，不得以竣工决算未完成或其它原因不按发包人的要求时间退场，承包人应按“专用条款”第36.2款规定支付违约金。</w:t>
      </w:r>
    </w:p>
    <w:p>
      <w:pPr>
        <w:spacing w:line="360" w:lineRule="auto"/>
        <w:rPr>
          <w:sz w:val="24"/>
        </w:rPr>
      </w:pPr>
      <w:r>
        <w:rPr>
          <w:rFonts w:hint="eastAsia"/>
          <w:sz w:val="24"/>
        </w:rPr>
        <w:t>11、在承包人进场后，应将现场人员工资发放制度报发包人批准，并向发包人作出书面承诺，保证按批准的工资发放制度按时足额发放本单位施工人员的工资。在工程施工阶段和施工完成后，承包人应按时、足额发放现场所有本单位施工人员的工资，并做好记录，接受政府相关部门、发包人的检查。如政府部门检查发现有违规现象的，所有政府部门的处罚由承包人承担，另发包人按每次处以50000-100000元违约金扣款。如发包人检查发现承包人没有按批准的发放制度执行的，除要求立即改正外，还处以20000-50000元违约金扣款。如果施工人员由于没有领到工资而停工、聚众堵住现场入口或闹事、上访时，承包人应立即进行调解并补发工资，消除影响，此时发包人有权但无义务从承包人工程款中提款代发工资；凡发生此类事件，发包人将对承包人每次处以违约金扣款100000-200000元。</w:t>
      </w:r>
    </w:p>
    <w:p>
      <w:pPr>
        <w:spacing w:line="360" w:lineRule="auto"/>
        <w:rPr>
          <w:sz w:val="24"/>
        </w:rPr>
      </w:pPr>
      <w:r>
        <w:rPr>
          <w:rFonts w:hint="eastAsia"/>
          <w:sz w:val="24"/>
        </w:rPr>
        <w:t>12、未尽事宜按本招标文件的原则、</w:t>
      </w:r>
      <w:r>
        <w:rPr>
          <w:sz w:val="24"/>
        </w:rPr>
        <w:t>法律法</w:t>
      </w:r>
      <w:r>
        <w:rPr>
          <w:sz w:val="24"/>
          <w:highlight w:val="none"/>
        </w:rPr>
        <w:t>规</w:t>
      </w:r>
      <w:r>
        <w:rPr>
          <w:rFonts w:hint="eastAsia"/>
          <w:sz w:val="24"/>
          <w:highlight w:val="none"/>
        </w:rPr>
        <w:t>及</w:t>
      </w:r>
      <w:r>
        <w:rPr>
          <w:rFonts w:hint="eastAsia"/>
          <w:sz w:val="24"/>
          <w:highlight w:val="none"/>
          <w:lang w:val="en-US" w:eastAsia="zh-CN"/>
        </w:rPr>
        <w:t>广州</w:t>
      </w:r>
      <w:r>
        <w:rPr>
          <w:rFonts w:hint="eastAsia"/>
          <w:sz w:val="24"/>
          <w:highlight w:val="none"/>
        </w:rPr>
        <w:t>市有关规定执</w:t>
      </w:r>
      <w:r>
        <w:rPr>
          <w:rFonts w:hint="eastAsia"/>
          <w:sz w:val="24"/>
        </w:rPr>
        <w:t>行。</w:t>
      </w:r>
    </w:p>
    <w:p>
      <w:pPr>
        <w:spacing w:line="360" w:lineRule="auto"/>
        <w:rPr>
          <w:sz w:val="24"/>
        </w:rPr>
      </w:pPr>
      <w:r>
        <w:rPr>
          <w:rFonts w:hint="eastAsia"/>
          <w:sz w:val="24"/>
        </w:rPr>
        <w:t>13、承包人应就投标文件中的计算错误进行修正，使其完全满足招标文件和评标计算的有关规定，对于投标文件中可能出现的发包人不能接受的、超出招标文件规定的，发包人有权予以删除。</w:t>
      </w:r>
    </w:p>
    <w:p>
      <w:pPr>
        <w:rPr>
          <w:color w:val="000000"/>
          <w:sz w:val="28"/>
          <w:szCs w:val="28"/>
        </w:rPr>
      </w:pPr>
    </w:p>
    <w:p>
      <w:pPr>
        <w:rPr>
          <w:color w:val="000000"/>
          <w:sz w:val="28"/>
          <w:szCs w:val="28"/>
        </w:rPr>
      </w:pPr>
    </w:p>
    <w:p>
      <w:pPr>
        <w:jc w:val="left"/>
        <w:rPr>
          <w:b/>
          <w:color w:val="000000"/>
          <w:sz w:val="28"/>
          <w:szCs w:val="28"/>
        </w:rPr>
      </w:pPr>
      <w:r>
        <w:rPr>
          <w:rFonts w:hint="eastAsia"/>
          <w:b/>
          <w:color w:val="000000"/>
          <w:sz w:val="28"/>
          <w:szCs w:val="28"/>
        </w:rPr>
        <w:t>补充条款三  工程相关要求及说明</w:t>
      </w:r>
    </w:p>
    <w:p>
      <w:pPr>
        <w:rPr>
          <w:b/>
          <w:bCs/>
          <w:sz w:val="28"/>
          <w:szCs w:val="28"/>
        </w:rPr>
      </w:pPr>
      <w:bookmarkStart w:id="519" w:name="_Toc11178"/>
      <w:bookmarkStart w:id="520" w:name="_Toc2150"/>
      <w:r>
        <w:rPr>
          <w:rFonts w:hint="eastAsia"/>
          <w:b/>
          <w:bCs/>
          <w:sz w:val="28"/>
          <w:szCs w:val="28"/>
        </w:rPr>
        <w:t xml:space="preserve">第一条  </w:t>
      </w:r>
      <w:r>
        <w:rPr>
          <w:b/>
          <w:bCs/>
          <w:sz w:val="28"/>
          <w:szCs w:val="28"/>
        </w:rPr>
        <w:t>工程承包范围划分说明</w:t>
      </w:r>
      <w:bookmarkEnd w:id="519"/>
      <w:bookmarkEnd w:id="520"/>
    </w:p>
    <w:p>
      <w:pPr>
        <w:spacing w:line="520" w:lineRule="exact"/>
        <w:ind w:firstLine="480" w:firstLineChars="200"/>
        <w:rPr>
          <w:iCs/>
          <w:sz w:val="24"/>
        </w:rPr>
      </w:pPr>
      <w:r>
        <w:rPr>
          <w:iCs/>
          <w:sz w:val="24"/>
        </w:rPr>
        <w:t>1</w:t>
      </w:r>
      <w:r>
        <w:rPr>
          <w:rFonts w:hint="eastAsia"/>
          <w:iCs/>
          <w:sz w:val="24"/>
        </w:rPr>
        <w:t>.1、</w:t>
      </w:r>
      <w:r>
        <w:rPr>
          <w:iCs/>
          <w:sz w:val="24"/>
        </w:rPr>
        <w:t>以下</w:t>
      </w:r>
      <w:r>
        <w:rPr>
          <w:rFonts w:hint="eastAsia"/>
          <w:iCs/>
          <w:sz w:val="24"/>
        </w:rPr>
        <w:t>关于本</w:t>
      </w:r>
      <w:r>
        <w:rPr>
          <w:iCs/>
          <w:sz w:val="24"/>
        </w:rPr>
        <w:t>工程承包项目和施工范围划分的描述，只是概括的，不应该认为是全面的、完整无缺的</w:t>
      </w:r>
      <w:r>
        <w:rPr>
          <w:rFonts w:hint="eastAsia"/>
          <w:iCs/>
          <w:sz w:val="24"/>
        </w:rPr>
        <w:t>。本</w:t>
      </w:r>
      <w:r>
        <w:rPr>
          <w:iCs/>
          <w:sz w:val="24"/>
        </w:rPr>
        <w:t>工程承包项目和施工范围</w:t>
      </w:r>
      <w:r>
        <w:rPr>
          <w:rFonts w:hint="eastAsia"/>
          <w:iCs/>
          <w:sz w:val="24"/>
        </w:rPr>
        <w:t>包括：招标</w:t>
      </w:r>
      <w:r>
        <w:rPr>
          <w:iCs/>
          <w:sz w:val="24"/>
        </w:rPr>
        <w:t>图纸、设计变更、招标文件和招标答疑纪要所</w:t>
      </w:r>
      <w:r>
        <w:rPr>
          <w:rFonts w:hint="eastAsia"/>
          <w:iCs/>
          <w:sz w:val="24"/>
        </w:rPr>
        <w:t>涉及</w:t>
      </w:r>
      <w:r>
        <w:rPr>
          <w:iCs/>
          <w:sz w:val="24"/>
        </w:rPr>
        <w:t>的所有项目</w:t>
      </w:r>
      <w:r>
        <w:rPr>
          <w:rFonts w:hint="eastAsia"/>
          <w:iCs/>
          <w:sz w:val="24"/>
        </w:rPr>
        <w:t>和工作</w:t>
      </w:r>
      <w:r>
        <w:rPr>
          <w:iCs/>
          <w:sz w:val="24"/>
        </w:rPr>
        <w:t>（合同文件约定发包人另外发包的除外）。</w:t>
      </w:r>
    </w:p>
    <w:p>
      <w:pPr>
        <w:spacing w:line="520" w:lineRule="exact"/>
        <w:ind w:firstLine="480" w:firstLineChars="200"/>
        <w:rPr>
          <w:iCs/>
          <w:sz w:val="24"/>
        </w:rPr>
      </w:pPr>
      <w:r>
        <w:rPr>
          <w:rFonts w:hint="eastAsia"/>
          <w:iCs/>
          <w:sz w:val="24"/>
        </w:rPr>
        <w:t>1.2、</w:t>
      </w:r>
      <w:r>
        <w:rPr>
          <w:iCs/>
          <w:sz w:val="24"/>
        </w:rPr>
        <w:t>承包人被认为已详细阅读过构成本合同文件的</w:t>
      </w:r>
      <w:r>
        <w:rPr>
          <w:rFonts w:hint="eastAsia"/>
          <w:iCs/>
          <w:sz w:val="24"/>
        </w:rPr>
        <w:t>所有</w:t>
      </w:r>
      <w:r>
        <w:rPr>
          <w:iCs/>
          <w:sz w:val="24"/>
        </w:rPr>
        <w:t>文件，尤其是已充分研究了合同</w:t>
      </w:r>
      <w:r>
        <w:rPr>
          <w:rFonts w:hint="eastAsia"/>
          <w:iCs/>
          <w:sz w:val="24"/>
        </w:rPr>
        <w:t>文件、招标图纸、招标文件和招标答疑纪要等，承包人须按招标图纸和招标文件要求，负责完成整个工程所有的施工任务（合同文件约定发包人另外发包的除外），包括材料设备采购、工程施工、成品或半成品保护及工程质量缺陷保修，不论是永久性质的和临时性质的。</w:t>
      </w:r>
    </w:p>
    <w:p>
      <w:pPr>
        <w:spacing w:line="520" w:lineRule="exact"/>
        <w:ind w:firstLine="480" w:firstLineChars="200"/>
        <w:rPr>
          <w:iCs/>
          <w:sz w:val="24"/>
        </w:rPr>
      </w:pPr>
      <w:r>
        <w:rPr>
          <w:rFonts w:hint="eastAsia"/>
          <w:iCs/>
          <w:sz w:val="24"/>
        </w:rPr>
        <w:t>1.</w:t>
      </w:r>
      <w:r>
        <w:rPr>
          <w:iCs/>
          <w:sz w:val="24"/>
        </w:rPr>
        <w:t>3</w:t>
      </w:r>
      <w:r>
        <w:rPr>
          <w:rFonts w:hint="eastAsia"/>
          <w:iCs/>
          <w:sz w:val="24"/>
        </w:rPr>
        <w:t>、</w:t>
      </w:r>
      <w:r>
        <w:rPr>
          <w:iCs/>
          <w:sz w:val="24"/>
        </w:rPr>
        <w:t>工程承包范围所要求完成的工作，包括但不限于依据</w:t>
      </w:r>
      <w:r>
        <w:rPr>
          <w:rFonts w:hint="eastAsia"/>
          <w:iCs/>
          <w:sz w:val="24"/>
        </w:rPr>
        <w:t>招标</w:t>
      </w:r>
      <w:r>
        <w:rPr>
          <w:iCs/>
          <w:sz w:val="24"/>
        </w:rPr>
        <w:t>图纸、合同文件、招标文件、政府</w:t>
      </w:r>
      <w:r>
        <w:rPr>
          <w:rFonts w:hint="eastAsia"/>
          <w:iCs/>
          <w:sz w:val="24"/>
        </w:rPr>
        <w:t>法律</w:t>
      </w:r>
      <w:r>
        <w:rPr>
          <w:iCs/>
          <w:sz w:val="24"/>
        </w:rPr>
        <w:t>法规</w:t>
      </w:r>
      <w:r>
        <w:rPr>
          <w:rFonts w:hint="eastAsia"/>
          <w:iCs/>
          <w:sz w:val="24"/>
        </w:rPr>
        <w:t>、</w:t>
      </w:r>
      <w:r>
        <w:rPr>
          <w:iCs/>
          <w:sz w:val="24"/>
        </w:rPr>
        <w:t>政府文件</w:t>
      </w:r>
      <w:r>
        <w:rPr>
          <w:rFonts w:hint="eastAsia"/>
          <w:iCs/>
          <w:sz w:val="24"/>
        </w:rPr>
        <w:t>、设计、规范、地方标准、行业标准</w:t>
      </w:r>
      <w:r>
        <w:rPr>
          <w:iCs/>
          <w:sz w:val="24"/>
        </w:rPr>
        <w:t>所要求的</w:t>
      </w:r>
      <w:r>
        <w:rPr>
          <w:rFonts w:hint="eastAsia"/>
          <w:iCs/>
          <w:sz w:val="24"/>
        </w:rPr>
        <w:t>全部工作内容，</w:t>
      </w:r>
      <w:r>
        <w:rPr>
          <w:iCs/>
          <w:sz w:val="24"/>
        </w:rPr>
        <w:t>和（或）根据实际情况可推断出的为完成一个完整工程所需要的全部工作。</w:t>
      </w:r>
    </w:p>
    <w:p>
      <w:pPr>
        <w:spacing w:line="520" w:lineRule="exact"/>
        <w:ind w:firstLine="480" w:firstLineChars="200"/>
        <w:rPr>
          <w:iCs/>
          <w:sz w:val="24"/>
        </w:rPr>
      </w:pPr>
      <w:r>
        <w:rPr>
          <w:rFonts w:hint="eastAsia"/>
          <w:iCs/>
          <w:sz w:val="24"/>
        </w:rPr>
        <w:t>1.4、承包人应认真严谨对待本项目工程的投标工作，承包人一经投标，即表示对招标文件内容和招标过程全部了解，无任何疑义或异议。如在投标、评标、施工、结算中双方发生理解性差异，均以发包人的解释为准。</w:t>
      </w:r>
    </w:p>
    <w:p>
      <w:pPr>
        <w:spacing w:line="520" w:lineRule="exact"/>
        <w:ind w:firstLine="480" w:firstLineChars="200"/>
        <w:rPr>
          <w:iCs/>
          <w:sz w:val="24"/>
        </w:rPr>
      </w:pPr>
      <w:r>
        <w:rPr>
          <w:rFonts w:hint="eastAsia"/>
          <w:iCs/>
          <w:sz w:val="24"/>
        </w:rPr>
        <w:t>1.5、施工现场要求达到</w:t>
      </w:r>
      <w:r>
        <w:rPr>
          <w:rFonts w:hint="eastAsia"/>
          <w:iCs/>
          <w:sz w:val="24"/>
          <w:lang w:val="en-US" w:eastAsia="zh-CN"/>
        </w:rPr>
        <w:t>广</w:t>
      </w:r>
      <w:r>
        <w:rPr>
          <w:rFonts w:hint="eastAsia"/>
          <w:iCs/>
          <w:sz w:val="24"/>
          <w:highlight w:val="none"/>
          <w:lang w:val="en-US" w:eastAsia="zh-CN"/>
        </w:rPr>
        <w:t>州</w:t>
      </w:r>
      <w:r>
        <w:rPr>
          <w:rFonts w:hint="eastAsia"/>
          <w:iCs/>
          <w:sz w:val="24"/>
          <w:highlight w:val="none"/>
        </w:rPr>
        <w:t>市</w:t>
      </w:r>
      <w:r>
        <w:rPr>
          <w:rFonts w:hint="eastAsia"/>
          <w:iCs/>
          <w:sz w:val="24"/>
        </w:rPr>
        <w:t>的有关施工现场合格标准，临时设施按政府有关要求搭设。</w:t>
      </w:r>
    </w:p>
    <w:p>
      <w:pPr>
        <w:spacing w:line="360" w:lineRule="auto"/>
        <w:ind w:firstLine="480" w:firstLineChars="200"/>
        <w:rPr>
          <w:iCs/>
          <w:sz w:val="24"/>
        </w:rPr>
      </w:pPr>
      <w:r>
        <w:rPr>
          <w:rFonts w:hint="eastAsia"/>
          <w:iCs/>
          <w:sz w:val="24"/>
        </w:rPr>
        <w:t>1.6、如承包人提供和采用的施工组织设计和施工方案不合理或存在漏洞和缺陷，发包人可要求其对方案进行完善、修改，承包人必须无条件执行，直到发包人批准通过，由此导致的措施费用变更由承包人承担，不因施工组织设计和施工方案的调整而调整。</w:t>
      </w:r>
    </w:p>
    <w:p>
      <w:pPr>
        <w:spacing w:line="360" w:lineRule="auto"/>
        <w:ind w:firstLine="480" w:firstLineChars="200"/>
        <w:rPr>
          <w:iCs/>
          <w:sz w:val="24"/>
        </w:rPr>
      </w:pPr>
    </w:p>
    <w:p>
      <w:pPr>
        <w:spacing w:line="360" w:lineRule="auto"/>
        <w:rPr>
          <w:b/>
          <w:bCs/>
          <w:sz w:val="28"/>
          <w:szCs w:val="28"/>
        </w:rPr>
      </w:pPr>
      <w:r>
        <w:rPr>
          <w:rFonts w:hint="eastAsia"/>
          <w:b/>
          <w:bCs/>
          <w:sz w:val="28"/>
          <w:szCs w:val="28"/>
        </w:rPr>
        <w:t>第二条  工程承包范围</w:t>
      </w:r>
    </w:p>
    <w:p>
      <w:pPr>
        <w:spacing w:line="360" w:lineRule="auto"/>
        <w:ind w:left="29" w:leftChars="14" w:firstLine="480" w:firstLineChars="200"/>
        <w:rPr>
          <w:rFonts w:hint="eastAsia"/>
          <w:bCs/>
          <w:iCs/>
          <w:color w:val="000000"/>
          <w:sz w:val="24"/>
        </w:rPr>
      </w:pPr>
      <w:r>
        <w:rPr>
          <w:rFonts w:hint="eastAsia"/>
          <w:bCs/>
          <w:iCs/>
          <w:color w:val="000000"/>
          <w:sz w:val="24"/>
        </w:rPr>
        <w:t>工作范围包含广州华星光电半导体显示技术有限公司</w:t>
      </w:r>
      <w:r>
        <w:rPr>
          <w:rFonts w:hint="eastAsia"/>
          <w:bCs/>
          <w:iCs/>
          <w:color w:val="000000"/>
          <w:sz w:val="24"/>
          <w:u w:val="single"/>
        </w:rPr>
        <w:t>广州华星第8.6代氧化物半导体新型显示器件生产线项目（ph2）</w:t>
      </w:r>
      <w:r>
        <w:rPr>
          <w:rFonts w:hint="eastAsia"/>
          <w:bCs/>
          <w:iCs/>
          <w:color w:val="000000"/>
          <w:sz w:val="24"/>
        </w:rPr>
        <w:t>范围内的</w:t>
      </w:r>
      <w:r>
        <w:rPr>
          <w:rFonts w:hint="eastAsia"/>
          <w:bCs/>
          <w:iCs/>
          <w:color w:val="000000"/>
          <w:sz w:val="24"/>
          <w:u w:val="single"/>
        </w:rPr>
        <w:t>洁净机电工程施工总承包</w:t>
      </w:r>
      <w:r>
        <w:rPr>
          <w:rFonts w:hint="eastAsia"/>
          <w:bCs/>
          <w:iCs/>
          <w:color w:val="000000"/>
          <w:sz w:val="24"/>
        </w:rPr>
        <w:t>施工，主要工作内容包括且不限于本包的目的是为第 8.6 代氧化物半导体新型显示器件生产线项目（PH2）1 号建筑 （Array）、2 号建筑（CF/CELL、BEOL）PH2 洁净室工程及 ph1 洁净区域改造工程，3 号建筑（综合动力站）ph2 部分区域机电工程、4 号建筑（废水处理站） ph2 部分区域机电工程；包含内容如设备安装、机电、消防、装修、暖通、电力、自控等相关配套工程的建设提供符合相关技术规格书要求的整体洁净室与机电系统。本包工作范围不仅包括具有洁净级别的洁净室，还包括划入本包范围内的洁净室配套区如上/下夹层、回风夹道、MAU 机房等洁净相关工程</w:t>
      </w:r>
    </w:p>
    <w:p>
      <w:pPr>
        <w:spacing w:line="360" w:lineRule="auto"/>
        <w:ind w:left="29" w:leftChars="14" w:firstLine="480" w:firstLineChars="200"/>
        <w:rPr>
          <w:rFonts w:hint="eastAsia"/>
          <w:bCs/>
          <w:iCs/>
          <w:color w:val="000000"/>
          <w:sz w:val="24"/>
        </w:rPr>
      </w:pPr>
      <w:r>
        <w:rPr>
          <w:rFonts w:hint="eastAsia"/>
          <w:bCs/>
          <w:iCs/>
          <w:color w:val="000000"/>
          <w:sz w:val="24"/>
        </w:rPr>
        <w:t>（1）承重基台、现浇微振基台、华星筒开孔与封孔属于本包范围</w:t>
      </w:r>
    </w:p>
    <w:p>
      <w:pPr>
        <w:spacing w:line="360" w:lineRule="auto"/>
        <w:ind w:left="29" w:leftChars="14" w:firstLine="480" w:firstLineChars="200"/>
        <w:rPr>
          <w:rFonts w:hint="eastAsia"/>
          <w:bCs/>
          <w:iCs/>
          <w:color w:val="000000"/>
          <w:sz w:val="24"/>
        </w:rPr>
      </w:pPr>
      <w:r>
        <w:rPr>
          <w:rFonts w:hint="eastAsia"/>
          <w:bCs/>
          <w:iCs/>
          <w:color w:val="000000"/>
          <w:sz w:val="24"/>
        </w:rPr>
        <w:t>（2）1 号生产厂房 1（Array）、2 号生产厂房 2（CF/CELL、BEOL）PH1 区域零星改造工程，具体 PH1 洁净区域内 Foundation、后做回风夹道、搬入口、沸石转轮机组、 MAU 机组等零星改造</w:t>
      </w:r>
    </w:p>
    <w:p>
      <w:pPr>
        <w:spacing w:line="360" w:lineRule="auto"/>
        <w:ind w:left="29" w:leftChars="14" w:firstLine="480" w:firstLineChars="200"/>
        <w:rPr>
          <w:rFonts w:hint="eastAsia"/>
          <w:bCs/>
          <w:iCs/>
          <w:color w:val="000000"/>
          <w:sz w:val="24"/>
        </w:rPr>
      </w:pPr>
      <w:r>
        <w:rPr>
          <w:rFonts w:hint="eastAsia"/>
          <w:bCs/>
          <w:iCs/>
          <w:color w:val="000000"/>
          <w:sz w:val="24"/>
        </w:rPr>
        <w:t>（3） 3 号建筑（综合动力站）内 ph2 部分空压机、冷冻机、干燥机等设备的安装、配管、配电，二次泵设备采购安装</w:t>
      </w:r>
    </w:p>
    <w:p>
      <w:pPr>
        <w:spacing w:line="360" w:lineRule="auto"/>
        <w:ind w:left="29" w:leftChars="14" w:firstLine="480" w:firstLineChars="200"/>
        <w:rPr>
          <w:rFonts w:hint="eastAsia"/>
          <w:bCs/>
          <w:iCs/>
          <w:color w:val="000000"/>
          <w:sz w:val="24"/>
        </w:rPr>
      </w:pPr>
      <w:r>
        <w:rPr>
          <w:rFonts w:hint="eastAsia"/>
          <w:bCs/>
          <w:iCs/>
          <w:color w:val="000000"/>
          <w:sz w:val="24"/>
        </w:rPr>
        <w:t>（4）4 号建筑（废水处理站）内 ph2 新增废水处理系统配电工程</w:t>
      </w:r>
    </w:p>
    <w:p>
      <w:pPr>
        <w:spacing w:line="360" w:lineRule="auto"/>
        <w:ind w:left="29" w:leftChars="14" w:firstLine="480" w:firstLineChars="200"/>
        <w:rPr>
          <w:bCs/>
          <w:iCs/>
          <w:color w:val="000000"/>
          <w:sz w:val="24"/>
        </w:rPr>
      </w:pPr>
      <w:r>
        <w:rPr>
          <w:rFonts w:hint="eastAsia"/>
          <w:bCs/>
          <w:iCs/>
          <w:color w:val="000000"/>
          <w:sz w:val="24"/>
        </w:rPr>
        <w:t>（5）1 号建筑（Array）、2 号建筑（CF/CELL、BEOL）、3 号建筑（综合动力站）、 4号建筑（废水处理站）内 ph2 动力设备如 MAU、PV、纯水、废水、特殊废气、 一般废气等设备的配电。</w:t>
      </w:r>
    </w:p>
    <w:p>
      <w:pPr>
        <w:spacing w:line="360" w:lineRule="auto"/>
        <w:ind w:left="29" w:leftChars="14" w:firstLine="480" w:firstLineChars="200"/>
        <w:rPr>
          <w:bCs/>
          <w:iCs/>
          <w:color w:val="000000"/>
          <w:sz w:val="24"/>
        </w:rPr>
      </w:pPr>
      <w:r>
        <w:rPr>
          <w:rFonts w:hint="eastAsia"/>
          <w:bCs/>
          <w:iCs/>
          <w:color w:val="000000"/>
          <w:sz w:val="24"/>
        </w:rPr>
        <w:t>（具体以施工图、包定义文件要求为准）。</w:t>
      </w:r>
    </w:p>
    <w:p>
      <w:pPr>
        <w:spacing w:line="360" w:lineRule="auto"/>
        <w:ind w:left="29" w:leftChars="14" w:firstLine="480" w:firstLineChars="200"/>
        <w:rPr>
          <w:rFonts w:hint="eastAsia"/>
          <w:bCs/>
          <w:iCs/>
          <w:color w:val="000000"/>
          <w:sz w:val="24"/>
          <w:lang w:eastAsia="zh-CN"/>
        </w:rPr>
      </w:pPr>
      <w:r>
        <w:rPr>
          <w:rFonts w:hint="eastAsia"/>
          <w:bCs/>
          <w:iCs/>
          <w:color w:val="000000"/>
          <w:sz w:val="24"/>
        </w:rPr>
        <w:t>如果承包人投标文件（含投标报价文件）偏离、超出发包人招标文件规定的工作范围及其他各项要求的，对于偏离、超出的部分，无论承包人是否已经实施，发包人均不予结算；如该部分费用发包人在结算前已支付的，结算时应予以扣除或要求承包人退回。承包人不得以发包人与承包人已签订合同为由或任何其他理由要求发包人支付该部分费用</w:t>
      </w:r>
      <w:r>
        <w:rPr>
          <w:rFonts w:hint="eastAsia"/>
          <w:bCs/>
          <w:iCs/>
          <w:color w:val="000000"/>
          <w:sz w:val="24"/>
          <w:lang w:eastAsia="zh-CN"/>
        </w:rPr>
        <w:t>。</w:t>
      </w:r>
    </w:p>
    <w:p>
      <w:pPr>
        <w:spacing w:line="360" w:lineRule="auto"/>
        <w:ind w:left="29" w:leftChars="14" w:firstLine="480" w:firstLineChars="200"/>
        <w:rPr>
          <w:rFonts w:hint="eastAsia"/>
          <w:iCs/>
          <w:sz w:val="24"/>
        </w:rPr>
      </w:pPr>
      <w:r>
        <w:rPr>
          <w:iCs/>
          <w:sz w:val="24"/>
        </w:rPr>
        <w:t>2.2</w:t>
      </w:r>
      <w:r>
        <w:rPr>
          <w:rFonts w:hint="eastAsia"/>
          <w:iCs/>
          <w:sz w:val="24"/>
        </w:rPr>
        <w:t>暂估价部分的约定：（见下表）</w:t>
      </w:r>
    </w:p>
    <w:tbl>
      <w:tblPr>
        <w:tblStyle w:val="45"/>
        <w:tblW w:w="8458"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3780"/>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center"/>
          </w:tcPr>
          <w:p>
            <w:pPr>
              <w:widowControl/>
              <w:jc w:val="center"/>
              <w:rPr>
                <w:rFonts w:hint="eastAsia" w:ascii="宋体" w:hAnsi="宋体" w:cs="宋体"/>
                <w:b/>
                <w:bCs/>
                <w:kern w:val="0"/>
                <w:sz w:val="24"/>
              </w:rPr>
            </w:pPr>
            <w:r>
              <w:rPr>
                <w:rFonts w:hint="eastAsia" w:ascii="宋体" w:hAnsi="宋体" w:cs="宋体"/>
                <w:b/>
                <w:bCs/>
                <w:kern w:val="0"/>
                <w:sz w:val="24"/>
              </w:rPr>
              <w:t>序号</w:t>
            </w:r>
          </w:p>
        </w:tc>
        <w:tc>
          <w:tcPr>
            <w:tcW w:w="3780" w:type="dxa"/>
            <w:noWrap/>
            <w:vAlign w:val="center"/>
          </w:tcPr>
          <w:p>
            <w:pPr>
              <w:widowControl/>
              <w:jc w:val="center"/>
              <w:rPr>
                <w:rFonts w:hint="eastAsia" w:ascii="宋体" w:hAnsi="宋体" w:cs="宋体"/>
                <w:b/>
                <w:bCs/>
                <w:kern w:val="0"/>
                <w:sz w:val="24"/>
              </w:rPr>
            </w:pPr>
            <w:r>
              <w:rPr>
                <w:rFonts w:hint="eastAsia" w:ascii="宋体" w:hAnsi="宋体" w:cs="宋体"/>
                <w:b/>
                <w:bCs/>
                <w:kern w:val="0"/>
                <w:sz w:val="24"/>
              </w:rPr>
              <w:t>工程包</w:t>
            </w:r>
          </w:p>
        </w:tc>
        <w:tc>
          <w:tcPr>
            <w:tcW w:w="3084" w:type="dxa"/>
            <w:noWrap/>
            <w:vAlign w:val="center"/>
          </w:tcPr>
          <w:p>
            <w:pPr>
              <w:widowControl/>
              <w:jc w:val="center"/>
              <w:rPr>
                <w:rFonts w:hint="eastAsia"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eastAsia" w:ascii="宋体" w:hAnsi="宋体" w:cs="宋体"/>
                <w:kern w:val="0"/>
                <w:sz w:val="24"/>
              </w:rPr>
            </w:pPr>
            <w:r>
              <w:rPr>
                <w:rFonts w:hint="eastAsia" w:ascii="宋体" w:hAnsi="宋体" w:cs="宋体"/>
                <w:kern w:val="0"/>
                <w:sz w:val="24"/>
              </w:rPr>
              <w:t>1</w:t>
            </w:r>
          </w:p>
        </w:tc>
        <w:tc>
          <w:tcPr>
            <w:tcW w:w="3780" w:type="dxa"/>
            <w:noWrap/>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消防包</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eastAsia" w:ascii="宋体" w:hAnsi="宋体" w:cs="宋体"/>
                <w:kern w:val="0"/>
                <w:sz w:val="24"/>
              </w:rPr>
            </w:pPr>
            <w:r>
              <w:rPr>
                <w:rFonts w:hint="eastAsia" w:ascii="宋体" w:hAnsi="宋体" w:cs="宋体"/>
                <w:kern w:val="0"/>
                <w:sz w:val="24"/>
              </w:rPr>
              <w:t>2</w:t>
            </w:r>
          </w:p>
        </w:tc>
        <w:tc>
          <w:tcPr>
            <w:tcW w:w="3780" w:type="dxa"/>
            <w:noWrap/>
            <w:vAlign w:val="top"/>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工艺管道</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80" w:type="dxa"/>
            <w:noWrap/>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变电所安装</w:t>
            </w:r>
          </w:p>
        </w:tc>
        <w:tc>
          <w:tcPr>
            <w:tcW w:w="3084" w:type="dxa"/>
            <w:noWrap/>
            <w:vAlign w:val="center"/>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3780" w:type="dxa"/>
            <w:noWrap/>
            <w:vAlign w:val="center"/>
          </w:tcPr>
          <w:p>
            <w:pPr>
              <w:widowControl/>
              <w:jc w:val="left"/>
              <w:rPr>
                <w:rFonts w:hint="default" w:ascii="宋体" w:hAnsi="宋体" w:cs="宋体"/>
                <w:kern w:val="0"/>
                <w:sz w:val="24"/>
                <w:lang w:val="en-US" w:eastAsia="zh-CN"/>
              </w:rPr>
            </w:pPr>
            <w:r>
              <w:rPr>
                <w:rFonts w:hint="eastAsia" w:ascii="宋体" w:hAnsi="宋体" w:cs="宋体"/>
                <w:kern w:val="0"/>
                <w:sz w:val="24"/>
                <w:lang w:val="en-US" w:eastAsia="zh-CN"/>
              </w:rPr>
              <w:t>排气包</w:t>
            </w:r>
          </w:p>
        </w:tc>
        <w:tc>
          <w:tcPr>
            <w:tcW w:w="3084" w:type="dxa"/>
            <w:noWrap/>
            <w:vAlign w:val="center"/>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eastAsia" w:ascii="宋体" w:hAnsi="宋体" w:cs="宋体"/>
                <w:kern w:val="0"/>
                <w:sz w:val="24"/>
              </w:rPr>
            </w:pPr>
            <w:r>
              <w:rPr>
                <w:rFonts w:hint="eastAsia" w:ascii="宋体" w:hAnsi="宋体" w:cs="微软雅黑"/>
                <w:color w:val="000000"/>
                <w:kern w:val="24"/>
                <w:sz w:val="24"/>
              </w:rPr>
              <w:t>5</w:t>
            </w:r>
          </w:p>
        </w:tc>
        <w:tc>
          <w:tcPr>
            <w:tcW w:w="3780" w:type="dxa"/>
            <w:noWrap/>
            <w:vAlign w:val="top"/>
          </w:tcPr>
          <w:p>
            <w:pPr>
              <w:widowControl/>
              <w:jc w:val="left"/>
              <w:rPr>
                <w:rFonts w:hint="eastAsia" w:ascii="宋体" w:hAnsi="宋体" w:eastAsia="宋体" w:cs="宋体"/>
                <w:kern w:val="0"/>
                <w:sz w:val="24"/>
                <w:lang w:eastAsia="zh-CN"/>
              </w:rPr>
            </w:pPr>
            <w:r>
              <w:rPr>
                <w:rFonts w:hint="eastAsia" w:ascii="宋体" w:hAnsi="宋体" w:cs="宋体"/>
                <w:kern w:val="0"/>
                <w:sz w:val="24"/>
              </w:rPr>
              <w:t>冰机智能控制</w:t>
            </w:r>
            <w:r>
              <w:rPr>
                <w:rFonts w:hint="eastAsia" w:ascii="宋体" w:hAnsi="宋体" w:cs="宋体"/>
                <w:kern w:val="0"/>
                <w:sz w:val="24"/>
                <w:lang w:eastAsia="zh-CN"/>
              </w:rPr>
              <w:t>（</w:t>
            </w:r>
            <w:r>
              <w:rPr>
                <w:rFonts w:hint="eastAsia" w:ascii="宋体" w:hAnsi="宋体" w:cs="宋体"/>
                <w:kern w:val="0"/>
                <w:sz w:val="24"/>
                <w:lang w:val="en-US" w:eastAsia="zh-CN"/>
              </w:rPr>
              <w:t>安装</w:t>
            </w:r>
            <w:r>
              <w:rPr>
                <w:rFonts w:hint="eastAsia" w:ascii="宋体" w:hAnsi="宋体" w:cs="宋体"/>
                <w:kern w:val="0"/>
                <w:sz w:val="24"/>
                <w:lang w:eastAsia="zh-CN"/>
              </w:rPr>
              <w:t>）</w:t>
            </w:r>
          </w:p>
        </w:tc>
        <w:tc>
          <w:tcPr>
            <w:tcW w:w="3084" w:type="dxa"/>
            <w:noWrap/>
            <w:vAlign w:val="top"/>
          </w:tcPr>
          <w:p>
            <w:pPr>
              <w:widowControl/>
              <w:jc w:val="left"/>
              <w:rPr>
                <w:rFonts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eastAsia" w:ascii="宋体" w:hAnsi="宋体" w:cs="微软雅黑"/>
                <w:color w:val="000000"/>
                <w:kern w:val="24"/>
                <w:sz w:val="24"/>
              </w:rPr>
            </w:pPr>
            <w:r>
              <w:rPr>
                <w:rFonts w:hint="eastAsia" w:ascii="宋体" w:hAnsi="宋体" w:cs="宋体"/>
                <w:kern w:val="0"/>
                <w:sz w:val="24"/>
              </w:rPr>
              <w:t>6</w:t>
            </w:r>
          </w:p>
        </w:tc>
        <w:tc>
          <w:tcPr>
            <w:tcW w:w="3780" w:type="dxa"/>
            <w:noWrap/>
            <w:vAlign w:val="top"/>
          </w:tcPr>
          <w:p>
            <w:pPr>
              <w:widowControl/>
              <w:jc w:val="left"/>
              <w:rPr>
                <w:rFonts w:hint="eastAsia" w:ascii="宋体" w:hAnsi="宋体" w:eastAsia="宋体" w:cs="微软雅黑"/>
                <w:color w:val="000000"/>
                <w:kern w:val="24"/>
                <w:sz w:val="24"/>
                <w:lang w:eastAsia="zh-CN"/>
              </w:rPr>
            </w:pPr>
            <w:r>
              <w:rPr>
                <w:rFonts w:hint="eastAsia" w:ascii="宋体" w:hAnsi="宋体" w:cs="微软雅黑"/>
                <w:color w:val="000000"/>
                <w:kern w:val="24"/>
                <w:sz w:val="24"/>
              </w:rPr>
              <w:t>大宗气输配</w:t>
            </w:r>
            <w:r>
              <w:rPr>
                <w:rFonts w:hint="eastAsia" w:ascii="宋体" w:hAnsi="宋体" w:cs="微软雅黑"/>
                <w:color w:val="000000"/>
                <w:kern w:val="24"/>
                <w:sz w:val="24"/>
                <w:lang w:eastAsia="zh-CN"/>
              </w:rPr>
              <w:t>（</w:t>
            </w:r>
            <w:r>
              <w:rPr>
                <w:rFonts w:hint="eastAsia" w:ascii="宋体" w:hAnsi="宋体" w:cs="微软雅黑"/>
                <w:color w:val="000000"/>
                <w:kern w:val="24"/>
                <w:sz w:val="24"/>
                <w:lang w:val="en-US" w:eastAsia="zh-CN"/>
              </w:rPr>
              <w:t>安装</w:t>
            </w:r>
            <w:r>
              <w:rPr>
                <w:rFonts w:hint="eastAsia" w:ascii="宋体" w:hAnsi="宋体" w:cs="微软雅黑"/>
                <w:color w:val="000000"/>
                <w:kern w:val="24"/>
                <w:sz w:val="24"/>
                <w:lang w:eastAsia="zh-CN"/>
              </w:rPr>
              <w:t>）</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eastAsia" w:ascii="宋体" w:hAnsi="宋体" w:cs="宋体"/>
                <w:kern w:val="0"/>
                <w:sz w:val="24"/>
              </w:rPr>
            </w:pPr>
            <w:r>
              <w:rPr>
                <w:rFonts w:hint="eastAsia" w:ascii="宋体" w:hAnsi="宋体" w:cs="宋体"/>
                <w:kern w:val="0"/>
                <w:sz w:val="24"/>
              </w:rPr>
              <w:t>7</w:t>
            </w:r>
          </w:p>
        </w:tc>
        <w:tc>
          <w:tcPr>
            <w:tcW w:w="3780" w:type="dxa"/>
            <w:noWrap/>
            <w:vAlign w:val="top"/>
          </w:tcPr>
          <w:p>
            <w:pPr>
              <w:widowControl/>
              <w:jc w:val="left"/>
              <w:rPr>
                <w:rFonts w:hint="eastAsia" w:ascii="宋体" w:hAnsi="宋体" w:eastAsia="宋体" w:cs="宋体"/>
                <w:kern w:val="0"/>
                <w:sz w:val="24"/>
                <w:lang w:eastAsia="zh-CN"/>
              </w:rPr>
            </w:pPr>
            <w:r>
              <w:rPr>
                <w:rFonts w:hint="eastAsia" w:ascii="宋体" w:hAnsi="宋体" w:cs="宋体"/>
                <w:kern w:val="0"/>
                <w:sz w:val="24"/>
              </w:rPr>
              <w:t>化学品</w:t>
            </w:r>
            <w:r>
              <w:rPr>
                <w:rFonts w:hint="eastAsia" w:ascii="宋体" w:hAnsi="宋体" w:cs="宋体"/>
                <w:kern w:val="0"/>
                <w:sz w:val="24"/>
                <w:lang w:eastAsia="zh-CN"/>
              </w:rPr>
              <w:t>（</w:t>
            </w:r>
            <w:r>
              <w:rPr>
                <w:rFonts w:hint="eastAsia" w:ascii="宋体" w:hAnsi="宋体" w:cs="宋体"/>
                <w:kern w:val="0"/>
                <w:sz w:val="24"/>
                <w:lang w:val="en-US" w:eastAsia="zh-CN"/>
              </w:rPr>
              <w:t>安装</w:t>
            </w:r>
            <w:r>
              <w:rPr>
                <w:rFonts w:hint="eastAsia" w:ascii="宋体" w:hAnsi="宋体" w:cs="宋体"/>
                <w:kern w:val="0"/>
                <w:sz w:val="24"/>
                <w:lang w:eastAsia="zh-CN"/>
              </w:rPr>
              <w:t>）</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eastAsia" w:ascii="宋体" w:hAnsi="宋体" w:cs="宋体"/>
                <w:kern w:val="0"/>
                <w:sz w:val="24"/>
              </w:rPr>
            </w:pPr>
            <w:r>
              <w:rPr>
                <w:rFonts w:hint="eastAsia" w:ascii="宋体" w:hAnsi="宋体" w:cs="宋体"/>
                <w:kern w:val="0"/>
                <w:sz w:val="24"/>
                <w:lang w:val="en-US" w:eastAsia="zh-CN"/>
              </w:rPr>
              <w:t>8</w:t>
            </w:r>
          </w:p>
        </w:tc>
        <w:tc>
          <w:tcPr>
            <w:tcW w:w="3780" w:type="dxa"/>
            <w:noWrap/>
            <w:vAlign w:val="top"/>
          </w:tcPr>
          <w:p>
            <w:pPr>
              <w:widowControl/>
              <w:jc w:val="left"/>
              <w:rPr>
                <w:rFonts w:hint="eastAsia" w:ascii="宋体" w:hAnsi="宋体" w:cs="宋体"/>
                <w:kern w:val="0"/>
                <w:sz w:val="24"/>
              </w:rPr>
            </w:pPr>
            <w:r>
              <w:rPr>
                <w:rFonts w:hint="eastAsia" w:ascii="宋体" w:hAnsi="宋体" w:cs="宋体"/>
                <w:kern w:val="0"/>
                <w:sz w:val="24"/>
              </w:rPr>
              <w:t>特气</w:t>
            </w:r>
            <w:r>
              <w:rPr>
                <w:rFonts w:hint="eastAsia" w:ascii="宋体" w:hAnsi="宋体" w:cs="宋体"/>
                <w:kern w:val="0"/>
                <w:sz w:val="24"/>
                <w:lang w:eastAsia="zh-CN"/>
              </w:rPr>
              <w:t>（</w:t>
            </w:r>
            <w:r>
              <w:rPr>
                <w:rFonts w:hint="eastAsia" w:ascii="宋体" w:hAnsi="宋体" w:cs="宋体"/>
                <w:kern w:val="0"/>
                <w:sz w:val="24"/>
                <w:lang w:val="en-US" w:eastAsia="zh-CN"/>
              </w:rPr>
              <w:t>安装</w:t>
            </w:r>
            <w:r>
              <w:rPr>
                <w:rFonts w:hint="eastAsia" w:ascii="宋体" w:hAnsi="宋体" w:cs="宋体"/>
                <w:kern w:val="0"/>
                <w:sz w:val="24"/>
                <w:lang w:eastAsia="zh-CN"/>
              </w:rPr>
              <w:t>）</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9</w:t>
            </w:r>
          </w:p>
        </w:tc>
        <w:tc>
          <w:tcPr>
            <w:tcW w:w="3780" w:type="dxa"/>
            <w:noWrap/>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纯水</w:t>
            </w:r>
            <w:r>
              <w:rPr>
                <w:rFonts w:hint="eastAsia" w:ascii="宋体" w:hAnsi="宋体" w:cs="宋体"/>
                <w:kern w:val="0"/>
                <w:sz w:val="24"/>
                <w:lang w:eastAsia="zh-CN"/>
              </w:rPr>
              <w:t>（</w:t>
            </w:r>
            <w:r>
              <w:rPr>
                <w:rFonts w:hint="eastAsia" w:ascii="宋体" w:hAnsi="宋体" w:cs="宋体"/>
                <w:kern w:val="0"/>
                <w:sz w:val="24"/>
                <w:lang w:val="en-US" w:eastAsia="zh-CN"/>
              </w:rPr>
              <w:t>安装</w:t>
            </w:r>
            <w:r>
              <w:rPr>
                <w:rFonts w:hint="eastAsia" w:ascii="宋体" w:hAnsi="宋体" w:cs="宋体"/>
                <w:kern w:val="0"/>
                <w:sz w:val="24"/>
                <w:lang w:eastAsia="zh-CN"/>
              </w:rPr>
              <w:t>）</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10</w:t>
            </w:r>
          </w:p>
        </w:tc>
        <w:tc>
          <w:tcPr>
            <w:tcW w:w="3780" w:type="dxa"/>
            <w:noWrap/>
            <w:vAlign w:val="top"/>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废水</w:t>
            </w:r>
            <w:r>
              <w:rPr>
                <w:rFonts w:hint="eastAsia" w:ascii="宋体" w:hAnsi="宋体" w:cs="宋体"/>
                <w:kern w:val="0"/>
                <w:sz w:val="24"/>
                <w:lang w:eastAsia="zh-CN"/>
              </w:rPr>
              <w:t>（</w:t>
            </w:r>
            <w:r>
              <w:rPr>
                <w:rFonts w:hint="eastAsia" w:ascii="宋体" w:hAnsi="宋体" w:cs="宋体"/>
                <w:kern w:val="0"/>
                <w:sz w:val="24"/>
                <w:lang w:val="en-US" w:eastAsia="zh-CN"/>
              </w:rPr>
              <w:t>安装</w:t>
            </w:r>
            <w:r>
              <w:rPr>
                <w:rFonts w:hint="eastAsia" w:ascii="宋体" w:hAnsi="宋体" w:cs="宋体"/>
                <w:kern w:val="0"/>
                <w:sz w:val="24"/>
                <w:lang w:eastAsia="zh-CN"/>
              </w:rPr>
              <w:t>）</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c>
          <w:tcPr>
            <w:tcW w:w="3780" w:type="dxa"/>
            <w:noWrap/>
            <w:vAlign w:val="top"/>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PCW</w:t>
            </w:r>
            <w:r>
              <w:rPr>
                <w:rFonts w:hint="eastAsia" w:ascii="宋体" w:hAnsi="宋体" w:cs="宋体"/>
                <w:kern w:val="0"/>
                <w:sz w:val="24"/>
                <w:lang w:eastAsia="zh-CN"/>
              </w:rPr>
              <w:t>（</w:t>
            </w:r>
            <w:r>
              <w:rPr>
                <w:rFonts w:hint="eastAsia" w:ascii="宋体" w:hAnsi="宋体" w:cs="宋体"/>
                <w:kern w:val="0"/>
                <w:sz w:val="24"/>
                <w:lang w:val="en-US" w:eastAsia="zh-CN"/>
              </w:rPr>
              <w:t>安装</w:t>
            </w:r>
            <w:r>
              <w:rPr>
                <w:rFonts w:hint="eastAsia" w:ascii="宋体" w:hAnsi="宋体" w:cs="宋体"/>
                <w:kern w:val="0"/>
                <w:sz w:val="24"/>
                <w:lang w:eastAsia="zh-CN"/>
              </w:rPr>
              <w:t>）</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w:t>
            </w:r>
          </w:p>
        </w:tc>
        <w:tc>
          <w:tcPr>
            <w:tcW w:w="3780" w:type="dxa"/>
            <w:noWrap/>
            <w:vAlign w:val="top"/>
          </w:tcPr>
          <w:p>
            <w:pPr>
              <w:widowControl/>
              <w:jc w:val="left"/>
              <w:rPr>
                <w:rFonts w:hint="eastAsia" w:ascii="宋体" w:hAnsi="宋体" w:cs="宋体"/>
                <w:kern w:val="0"/>
                <w:sz w:val="24"/>
              </w:rPr>
            </w:pPr>
            <w:r>
              <w:rPr>
                <w:rFonts w:hint="eastAsia" w:ascii="宋体" w:hAnsi="宋体" w:cs="宋体"/>
                <w:kern w:val="0"/>
                <w:sz w:val="24"/>
              </w:rPr>
              <w:t>电力监控</w:t>
            </w:r>
            <w:r>
              <w:rPr>
                <w:rFonts w:hint="eastAsia" w:ascii="宋体" w:hAnsi="宋体" w:cs="宋体"/>
                <w:kern w:val="0"/>
                <w:sz w:val="24"/>
                <w:lang w:eastAsia="zh-CN"/>
              </w:rPr>
              <w:t>（</w:t>
            </w:r>
            <w:r>
              <w:rPr>
                <w:rFonts w:hint="eastAsia" w:ascii="宋体" w:hAnsi="宋体" w:cs="宋体"/>
                <w:kern w:val="0"/>
                <w:sz w:val="24"/>
                <w:lang w:val="en-US" w:eastAsia="zh-CN"/>
              </w:rPr>
              <w:t>安装</w:t>
            </w:r>
            <w:r>
              <w:rPr>
                <w:rFonts w:hint="eastAsia" w:ascii="宋体" w:hAnsi="宋体" w:cs="宋体"/>
                <w:kern w:val="0"/>
                <w:sz w:val="24"/>
                <w:lang w:eastAsia="zh-CN"/>
              </w:rPr>
              <w:t>）</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w:t>
            </w:r>
          </w:p>
        </w:tc>
        <w:tc>
          <w:tcPr>
            <w:tcW w:w="3780" w:type="dxa"/>
            <w:noWrap/>
            <w:vAlign w:val="top"/>
          </w:tcPr>
          <w:p>
            <w:pPr>
              <w:widowControl/>
              <w:jc w:val="left"/>
              <w:rPr>
                <w:rFonts w:hint="eastAsia" w:ascii="宋体" w:hAnsi="宋体" w:cs="宋体"/>
                <w:kern w:val="0"/>
                <w:sz w:val="24"/>
              </w:rPr>
            </w:pPr>
            <w:r>
              <w:rPr>
                <w:rFonts w:hint="eastAsia" w:ascii="宋体" w:hAnsi="宋体" w:cs="宋体"/>
                <w:kern w:val="0"/>
                <w:sz w:val="24"/>
              </w:rPr>
              <w:t>通信信息</w:t>
            </w:r>
            <w:r>
              <w:rPr>
                <w:rFonts w:hint="eastAsia" w:ascii="宋体" w:hAnsi="宋体" w:cs="宋体"/>
                <w:kern w:val="0"/>
                <w:sz w:val="24"/>
                <w:lang w:eastAsia="zh-CN"/>
              </w:rPr>
              <w:t>（</w:t>
            </w:r>
            <w:r>
              <w:rPr>
                <w:rFonts w:hint="eastAsia" w:ascii="宋体" w:hAnsi="宋体" w:cs="宋体"/>
                <w:kern w:val="0"/>
                <w:sz w:val="24"/>
                <w:lang w:val="en-US" w:eastAsia="zh-CN"/>
              </w:rPr>
              <w:t>安装</w:t>
            </w:r>
            <w:r>
              <w:rPr>
                <w:rFonts w:hint="eastAsia" w:ascii="宋体" w:hAnsi="宋体" w:cs="宋体"/>
                <w:kern w:val="0"/>
                <w:sz w:val="24"/>
                <w:lang w:eastAsia="zh-CN"/>
              </w:rPr>
              <w:t>）</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4" w:type="dxa"/>
            <w:noWrap/>
            <w:vAlign w:val="top"/>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14</w:t>
            </w:r>
          </w:p>
        </w:tc>
        <w:tc>
          <w:tcPr>
            <w:tcW w:w="3780" w:type="dxa"/>
            <w:noWrap/>
            <w:vAlign w:val="top"/>
          </w:tcPr>
          <w:p>
            <w:pPr>
              <w:widowControl/>
              <w:jc w:val="left"/>
              <w:rPr>
                <w:rFonts w:hint="eastAsia" w:ascii="宋体" w:hAnsi="宋体" w:cs="宋体"/>
                <w:kern w:val="0"/>
                <w:sz w:val="24"/>
              </w:rPr>
            </w:pPr>
            <w:r>
              <w:rPr>
                <w:rFonts w:hint="eastAsia" w:ascii="宋体" w:hAnsi="宋体" w:cs="宋体"/>
                <w:kern w:val="0"/>
                <w:sz w:val="24"/>
              </w:rPr>
              <w:t>FMCS</w:t>
            </w:r>
            <w:r>
              <w:rPr>
                <w:rFonts w:hint="eastAsia" w:ascii="宋体" w:hAnsi="宋体" w:cs="宋体"/>
                <w:kern w:val="0"/>
                <w:sz w:val="24"/>
                <w:lang w:eastAsia="zh-CN"/>
              </w:rPr>
              <w:t>（</w:t>
            </w:r>
            <w:r>
              <w:rPr>
                <w:rFonts w:hint="eastAsia" w:ascii="宋体" w:hAnsi="宋体" w:cs="宋体"/>
                <w:kern w:val="0"/>
                <w:sz w:val="24"/>
                <w:lang w:val="en-US" w:eastAsia="zh-CN"/>
              </w:rPr>
              <w:t>安装</w:t>
            </w:r>
            <w:r>
              <w:rPr>
                <w:rFonts w:hint="eastAsia" w:ascii="宋体" w:hAnsi="宋体" w:cs="宋体"/>
                <w:kern w:val="0"/>
                <w:sz w:val="24"/>
                <w:lang w:eastAsia="zh-CN"/>
              </w:rPr>
              <w:t>）</w:t>
            </w:r>
          </w:p>
        </w:tc>
        <w:tc>
          <w:tcPr>
            <w:tcW w:w="3084" w:type="dxa"/>
            <w:noWrap/>
            <w:vAlign w:val="top"/>
          </w:tcPr>
          <w:p>
            <w:pPr>
              <w:widowControl/>
              <w:jc w:val="left"/>
              <w:rPr>
                <w:rFonts w:hint="eastAsia" w:ascii="宋体" w:hAnsi="宋体" w:cs="微软雅黑"/>
                <w:color w:val="000000"/>
                <w:kern w:val="2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94" w:type="dxa"/>
            <w:noWrap/>
            <w:vAlign w:val="top"/>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15</w:t>
            </w:r>
          </w:p>
        </w:tc>
        <w:tc>
          <w:tcPr>
            <w:tcW w:w="3780" w:type="dxa"/>
            <w:noWrap/>
            <w:vAlign w:val="top"/>
          </w:tcPr>
          <w:p>
            <w:pPr>
              <w:widowControl/>
              <w:jc w:val="left"/>
            </w:pPr>
            <w:r>
              <w:rPr>
                <w:rFonts w:hint="eastAsia" w:ascii="宋体" w:hAnsi="宋体" w:cs="宋体"/>
                <w:kern w:val="0"/>
                <w:sz w:val="24"/>
              </w:rPr>
              <w:t>SRS</w:t>
            </w:r>
            <w:r>
              <w:rPr>
                <w:rFonts w:hint="eastAsia" w:ascii="宋体" w:hAnsi="宋体" w:cs="宋体"/>
                <w:kern w:val="0"/>
                <w:sz w:val="24"/>
                <w:lang w:eastAsia="zh-CN"/>
              </w:rPr>
              <w:t>（</w:t>
            </w:r>
            <w:r>
              <w:rPr>
                <w:rFonts w:hint="eastAsia" w:ascii="宋体" w:hAnsi="宋体" w:cs="宋体"/>
                <w:kern w:val="0"/>
                <w:sz w:val="24"/>
                <w:lang w:val="en-US" w:eastAsia="zh-CN"/>
              </w:rPr>
              <w:t>安装</w:t>
            </w:r>
            <w:r>
              <w:rPr>
                <w:rFonts w:hint="eastAsia" w:ascii="宋体" w:hAnsi="宋体" w:cs="宋体"/>
                <w:kern w:val="0"/>
                <w:sz w:val="24"/>
                <w:lang w:eastAsia="zh-CN"/>
              </w:rPr>
              <w:t>）</w:t>
            </w:r>
          </w:p>
        </w:tc>
        <w:tc>
          <w:tcPr>
            <w:tcW w:w="3084" w:type="dxa"/>
            <w:noWrap/>
            <w:vAlign w:val="top"/>
          </w:tcPr>
          <w:p>
            <w:pPr>
              <w:widowControl/>
              <w:jc w:val="left"/>
              <w:rPr>
                <w:rFonts w:hint="eastAsia" w:ascii="宋体" w:hAnsi="宋体" w:cs="微软雅黑"/>
                <w:color w:val="000000"/>
                <w:kern w:val="24"/>
                <w:sz w:val="24"/>
              </w:rPr>
            </w:pPr>
          </w:p>
        </w:tc>
      </w:tr>
    </w:tbl>
    <w:p>
      <w:pPr>
        <w:spacing w:line="360" w:lineRule="auto"/>
        <w:ind w:left="29" w:leftChars="14" w:firstLine="480" w:firstLineChars="200"/>
        <w:rPr>
          <w:rFonts w:hint="eastAsia"/>
          <w:bCs/>
          <w:iCs/>
          <w:color w:val="000000"/>
          <w:sz w:val="24"/>
          <w:lang w:eastAsia="zh-CN"/>
        </w:rPr>
      </w:pPr>
    </w:p>
    <w:p>
      <w:pPr>
        <w:rPr>
          <w:b/>
          <w:bCs/>
          <w:sz w:val="28"/>
          <w:szCs w:val="28"/>
        </w:rPr>
      </w:pPr>
      <w:bookmarkStart w:id="521" w:name="_Toc15716"/>
      <w:bookmarkStart w:id="522" w:name="_Toc22989"/>
      <w:r>
        <w:rPr>
          <w:rFonts w:hint="eastAsia"/>
          <w:b/>
          <w:bCs/>
          <w:sz w:val="28"/>
          <w:szCs w:val="28"/>
        </w:rPr>
        <w:t>第三条 发包人供应的材料设备</w:t>
      </w:r>
      <w:bookmarkEnd w:id="521"/>
      <w:bookmarkEnd w:id="522"/>
    </w:p>
    <w:p>
      <w:pPr>
        <w:spacing w:line="360" w:lineRule="auto"/>
        <w:ind w:firstLine="480" w:firstLineChars="200"/>
        <w:rPr>
          <w:color w:val="000000"/>
          <w:sz w:val="24"/>
        </w:rPr>
      </w:pPr>
      <w:r>
        <w:rPr>
          <w:rFonts w:hint="eastAsia"/>
          <w:color w:val="000000"/>
          <w:sz w:val="24"/>
        </w:rPr>
        <w:t>3</w:t>
      </w:r>
      <w:r>
        <w:rPr>
          <w:color w:val="000000"/>
          <w:sz w:val="24"/>
        </w:rPr>
        <w:t>.1 发包人</w:t>
      </w:r>
      <w:r>
        <w:rPr>
          <w:rFonts w:hint="eastAsia"/>
          <w:color w:val="000000"/>
          <w:sz w:val="24"/>
        </w:rPr>
        <w:t>向承包人提供自行采购的</w:t>
      </w:r>
      <w:r>
        <w:rPr>
          <w:color w:val="000000"/>
          <w:sz w:val="24"/>
        </w:rPr>
        <w:t>材料设备（包括成品或半成品</w:t>
      </w:r>
      <w:r>
        <w:rPr>
          <w:rFonts w:hint="eastAsia"/>
          <w:color w:val="000000"/>
          <w:sz w:val="24"/>
        </w:rPr>
        <w:t>）名称，这些</w:t>
      </w:r>
      <w:r>
        <w:rPr>
          <w:color w:val="000000"/>
          <w:sz w:val="24"/>
        </w:rPr>
        <w:t>材料设备（包括成品或半成品）的</w:t>
      </w:r>
      <w:r>
        <w:rPr>
          <w:rFonts w:hint="eastAsia"/>
          <w:color w:val="000000"/>
          <w:sz w:val="24"/>
        </w:rPr>
        <w:t>品牌、</w:t>
      </w:r>
      <w:r>
        <w:rPr>
          <w:color w:val="000000"/>
          <w:sz w:val="24"/>
        </w:rPr>
        <w:t>型号、规格、质量、数量及到货时间，承包人应在</w:t>
      </w:r>
      <w:r>
        <w:rPr>
          <w:rFonts w:hint="eastAsia"/>
          <w:color w:val="000000"/>
          <w:sz w:val="24"/>
        </w:rPr>
        <w:t>需求日30天前提出</w:t>
      </w:r>
      <w:r>
        <w:rPr>
          <w:color w:val="000000"/>
          <w:sz w:val="24"/>
        </w:rPr>
        <w:t>进场计划，并加盖承包人单位公章。承包人没有及时提出或提出的计划有误，造成的工期延误，由承包人负责。</w:t>
      </w:r>
    </w:p>
    <w:p>
      <w:pPr>
        <w:spacing w:line="360" w:lineRule="auto"/>
        <w:ind w:firstLine="480" w:firstLineChars="200"/>
        <w:rPr>
          <w:color w:val="000000"/>
          <w:sz w:val="24"/>
        </w:rPr>
      </w:pPr>
      <w:r>
        <w:rPr>
          <w:rFonts w:hint="eastAsia"/>
          <w:color w:val="000000"/>
          <w:sz w:val="24"/>
          <w:highlight w:val="none"/>
        </w:rPr>
        <w:t>3</w:t>
      </w:r>
      <w:r>
        <w:rPr>
          <w:color w:val="000000"/>
          <w:sz w:val="24"/>
          <w:highlight w:val="none"/>
        </w:rPr>
        <w:t>.2发包人供应材料设备（包括成品或半成品），工程量按</w:t>
      </w:r>
      <w:r>
        <w:rPr>
          <w:rFonts w:hint="eastAsia"/>
          <w:color w:val="000000"/>
          <w:sz w:val="24"/>
          <w:highlight w:val="none"/>
        </w:rPr>
        <w:t>施工图纸</w:t>
      </w:r>
      <w:r>
        <w:rPr>
          <w:color w:val="000000"/>
          <w:sz w:val="24"/>
          <w:highlight w:val="none"/>
        </w:rPr>
        <w:t>计算</w:t>
      </w:r>
      <w:r>
        <w:rPr>
          <w:rFonts w:hint="eastAsia"/>
          <w:color w:val="000000"/>
          <w:sz w:val="24"/>
          <w:highlight w:val="none"/>
        </w:rPr>
        <w:t>，损耗按《</w:t>
      </w:r>
      <w:r>
        <w:rPr>
          <w:rFonts w:hint="eastAsia"/>
          <w:color w:val="000000"/>
          <w:sz w:val="24"/>
          <w:highlight w:val="none"/>
          <w:lang w:val="en-US" w:eastAsia="zh-CN"/>
        </w:rPr>
        <w:t>广东省</w:t>
      </w:r>
      <w:r>
        <w:rPr>
          <w:rFonts w:hint="eastAsia"/>
          <w:color w:val="000000"/>
          <w:sz w:val="24"/>
          <w:highlight w:val="none"/>
        </w:rPr>
        <w:t>建筑安装工</w:t>
      </w:r>
      <w:r>
        <w:rPr>
          <w:rFonts w:hint="eastAsia"/>
          <w:color w:val="000000"/>
          <w:sz w:val="24"/>
        </w:rPr>
        <w:t>程费用定额》(201</w:t>
      </w:r>
      <w:r>
        <w:rPr>
          <w:rFonts w:hint="eastAsia"/>
          <w:color w:val="000000"/>
          <w:sz w:val="24"/>
          <w:lang w:val="en-US" w:eastAsia="zh-CN"/>
        </w:rPr>
        <w:t>8</w:t>
      </w:r>
      <w:r>
        <w:rPr>
          <w:rFonts w:hint="eastAsia"/>
          <w:color w:val="000000"/>
          <w:sz w:val="24"/>
        </w:rPr>
        <w:t>)定额计算，承包人提出的材料设备品牌、型号、规格、质量、数量有误，若造成材料浪费和工期延误，概由承包人承担。</w:t>
      </w:r>
    </w:p>
    <w:p>
      <w:pPr>
        <w:spacing w:line="360" w:lineRule="auto"/>
        <w:ind w:firstLine="480" w:firstLineChars="200"/>
        <w:rPr>
          <w:color w:val="000000"/>
          <w:sz w:val="24"/>
        </w:rPr>
      </w:pPr>
      <w:r>
        <w:rPr>
          <w:rFonts w:hint="eastAsia"/>
          <w:color w:val="000000"/>
          <w:sz w:val="24"/>
        </w:rPr>
        <w:t>3</w:t>
      </w:r>
      <w:r>
        <w:rPr>
          <w:color w:val="000000"/>
          <w:sz w:val="24"/>
        </w:rPr>
        <w:t>.3发包人供应材料设备（包括成品或半成品），发包人在货物进场前48小时通知承包人。货物运到施工场地红线范围后，承包人应安排适当的卸货地点，并在1小时内组织卸货验收，逾期未验收的，视为承包人已验收合格，相应的保管责任由承包人承担。</w:t>
      </w:r>
      <w:r>
        <w:rPr>
          <w:rFonts w:hint="eastAsia"/>
          <w:color w:val="000000"/>
          <w:sz w:val="24"/>
        </w:rPr>
        <w:t>承包人无合理正当理由不得拒绝配合对发包人采购的工程建设相关的设备、材料进行验收，并出具相关验收、检验合格证明文件。承包人无合理正当理由不得阻碍发包人采购的工程建设相关的设备、材料供应商及其运输车辆出入材料设备堆场。</w:t>
      </w:r>
    </w:p>
    <w:p>
      <w:pPr>
        <w:spacing w:line="360" w:lineRule="auto"/>
        <w:ind w:firstLine="480" w:firstLineChars="200"/>
        <w:rPr>
          <w:color w:val="000000"/>
          <w:sz w:val="24"/>
        </w:rPr>
      </w:pPr>
      <w:r>
        <w:rPr>
          <w:rFonts w:hint="eastAsia"/>
          <w:color w:val="000000"/>
          <w:sz w:val="24"/>
        </w:rPr>
        <w:t>3</w:t>
      </w:r>
      <w:r>
        <w:rPr>
          <w:color w:val="000000"/>
          <w:sz w:val="24"/>
        </w:rPr>
        <w:t>.4发包人供应材料设备（包括成品或半成品），在材料设备安装前，承包人按规定向发包人索取该材料设备产品出厂合格证书和材料设备检验试验</w:t>
      </w:r>
      <w:r>
        <w:rPr>
          <w:rFonts w:hint="eastAsia"/>
          <w:color w:val="000000"/>
          <w:sz w:val="24"/>
        </w:rPr>
        <w:t>资料，发包人负责送检和交纳检验试验相关费用。</w:t>
      </w:r>
    </w:p>
    <w:p>
      <w:pPr>
        <w:spacing w:line="360" w:lineRule="auto"/>
        <w:ind w:firstLine="480" w:firstLineChars="200"/>
        <w:rPr>
          <w:color w:val="000000"/>
          <w:sz w:val="24"/>
        </w:rPr>
      </w:pPr>
      <w:r>
        <w:rPr>
          <w:rFonts w:hint="eastAsia"/>
          <w:color w:val="000000"/>
          <w:sz w:val="24"/>
        </w:rPr>
        <w:t>3</w:t>
      </w:r>
      <w:r>
        <w:rPr>
          <w:color w:val="000000"/>
          <w:sz w:val="24"/>
        </w:rPr>
        <w:t>.5承包人对发包人供应材料设备（包括成品及半成品）的投标报价及结算约定：承包人对发包人供应材料设备项目安装的综合单价，投标报价时应包括该材料设备的</w:t>
      </w:r>
      <w:r>
        <w:rPr>
          <w:rFonts w:hint="eastAsia"/>
          <w:color w:val="000000"/>
          <w:sz w:val="24"/>
        </w:rPr>
        <w:t>卸车、</w:t>
      </w:r>
      <w:r>
        <w:rPr>
          <w:color w:val="000000"/>
          <w:sz w:val="24"/>
        </w:rPr>
        <w:t>搬卸</w:t>
      </w:r>
      <w:r>
        <w:rPr>
          <w:rFonts w:hint="eastAsia"/>
          <w:color w:val="000000"/>
          <w:sz w:val="24"/>
        </w:rPr>
        <w:t>及二次搬运费、</w:t>
      </w:r>
      <w:r>
        <w:rPr>
          <w:color w:val="000000"/>
          <w:sz w:val="24"/>
        </w:rPr>
        <w:t>保管费</w:t>
      </w:r>
      <w:r>
        <w:rPr>
          <w:rFonts w:hint="eastAsia"/>
          <w:color w:val="000000"/>
          <w:sz w:val="24"/>
        </w:rPr>
        <w:t>、</w:t>
      </w:r>
      <w:r>
        <w:rPr>
          <w:color w:val="000000"/>
          <w:sz w:val="24"/>
        </w:rPr>
        <w:t>安装费、</w:t>
      </w:r>
      <w:r>
        <w:rPr>
          <w:rFonts w:hint="eastAsia"/>
          <w:color w:val="000000"/>
          <w:sz w:val="24"/>
        </w:rPr>
        <w:t>利润</w:t>
      </w:r>
      <w:r>
        <w:rPr>
          <w:color w:val="000000"/>
          <w:sz w:val="24"/>
        </w:rPr>
        <w:t>及</w:t>
      </w:r>
      <w:r>
        <w:rPr>
          <w:rFonts w:hint="eastAsia"/>
          <w:color w:val="000000"/>
          <w:sz w:val="24"/>
        </w:rPr>
        <w:t>税金</w:t>
      </w:r>
      <w:r>
        <w:rPr>
          <w:color w:val="000000"/>
          <w:sz w:val="24"/>
        </w:rPr>
        <w:t>等费用，结算时综合单价不因发包人供应材料设备的</w:t>
      </w:r>
      <w:r>
        <w:rPr>
          <w:rFonts w:hint="eastAsia"/>
          <w:color w:val="000000"/>
          <w:sz w:val="24"/>
        </w:rPr>
        <w:t>规格、型号及</w:t>
      </w:r>
      <w:r>
        <w:rPr>
          <w:color w:val="000000"/>
          <w:sz w:val="24"/>
        </w:rPr>
        <w:t>价格变化而作调整。</w:t>
      </w:r>
    </w:p>
    <w:p>
      <w:pPr>
        <w:rPr>
          <w:b/>
          <w:bCs/>
          <w:sz w:val="28"/>
          <w:szCs w:val="28"/>
        </w:rPr>
      </w:pPr>
      <w:bookmarkStart w:id="523" w:name="_Toc31643"/>
      <w:bookmarkStart w:id="524" w:name="_Toc2353"/>
      <w:r>
        <w:rPr>
          <w:rFonts w:hint="eastAsia"/>
          <w:b/>
          <w:bCs/>
          <w:sz w:val="28"/>
          <w:szCs w:val="28"/>
        </w:rPr>
        <w:t>第四条　承包人采购的材料设备</w:t>
      </w:r>
      <w:bookmarkEnd w:id="523"/>
      <w:bookmarkEnd w:id="524"/>
    </w:p>
    <w:p>
      <w:pPr>
        <w:spacing w:line="360" w:lineRule="auto"/>
        <w:ind w:firstLine="420" w:firstLineChars="175"/>
        <w:rPr>
          <w:color w:val="000000"/>
          <w:sz w:val="24"/>
        </w:rPr>
      </w:pPr>
      <w:r>
        <w:rPr>
          <w:rFonts w:hint="eastAsia"/>
          <w:color w:val="000000"/>
          <w:sz w:val="24"/>
        </w:rPr>
        <w:t>4</w:t>
      </w:r>
      <w:r>
        <w:rPr>
          <w:color w:val="000000"/>
          <w:sz w:val="24"/>
        </w:rPr>
        <w:t>.1　承包人采购材料设备（包括成品或半成品）</w:t>
      </w:r>
      <w:r>
        <w:rPr>
          <w:rFonts w:hint="eastAsia"/>
          <w:color w:val="000000"/>
          <w:sz w:val="24"/>
        </w:rPr>
        <w:t>的品牌、品质范围</w:t>
      </w:r>
      <w:r>
        <w:rPr>
          <w:color w:val="000000"/>
          <w:sz w:val="24"/>
        </w:rPr>
        <w:t>，</w:t>
      </w:r>
      <w:r>
        <w:rPr>
          <w:rFonts w:hint="eastAsia"/>
          <w:color w:val="000000"/>
          <w:sz w:val="24"/>
        </w:rPr>
        <w:t>如</w:t>
      </w:r>
      <w:r>
        <w:rPr>
          <w:color w:val="000000"/>
          <w:sz w:val="24"/>
        </w:rPr>
        <w:t>在招标文件中或发包人有约定的，承包人必须按招标文件或发包人约定的品牌、品质范围进行采购</w:t>
      </w:r>
      <w:r>
        <w:rPr>
          <w:rFonts w:hint="eastAsia"/>
          <w:color w:val="000000"/>
          <w:sz w:val="24"/>
        </w:rPr>
        <w:t>。在承包人进行材料采购前，必须通过管理公司送审流程</w:t>
      </w:r>
      <w:r>
        <w:rPr>
          <w:color w:val="000000"/>
          <w:sz w:val="24"/>
        </w:rPr>
        <w:t>获得发包人和工程师认可。承包人提出变更，必须获得发包人</w:t>
      </w:r>
      <w:r>
        <w:rPr>
          <w:rFonts w:hint="eastAsia"/>
          <w:color w:val="000000"/>
          <w:sz w:val="24"/>
        </w:rPr>
        <w:t>书面同意，否则承包人承担一切责任。</w:t>
      </w:r>
    </w:p>
    <w:p>
      <w:pPr>
        <w:spacing w:line="360" w:lineRule="auto"/>
        <w:ind w:firstLine="420" w:firstLineChars="175"/>
        <w:rPr>
          <w:color w:val="000000"/>
          <w:sz w:val="24"/>
          <w:szCs w:val="28"/>
        </w:rPr>
      </w:pPr>
      <w:r>
        <w:rPr>
          <w:rFonts w:hint="eastAsia"/>
          <w:color w:val="000000"/>
          <w:sz w:val="24"/>
        </w:rPr>
        <w:t>4</w:t>
      </w:r>
      <w:r>
        <w:rPr>
          <w:color w:val="000000"/>
          <w:sz w:val="24"/>
        </w:rPr>
        <w:t>.2　承包人采购的材料设备（包括成品及半成品），承包人需要使用代用材料时，其材料设备品牌、品质标准必须等同或高于招标文件中或发包人</w:t>
      </w:r>
      <w:r>
        <w:rPr>
          <w:rFonts w:hint="eastAsia"/>
          <w:color w:val="000000"/>
          <w:sz w:val="24"/>
        </w:rPr>
        <w:t>要求的</w:t>
      </w:r>
      <w:r>
        <w:rPr>
          <w:color w:val="000000"/>
          <w:sz w:val="24"/>
        </w:rPr>
        <w:t>样板标准，并经发包人认可后方可使用，其增加费用，由承包人承担。</w:t>
      </w:r>
      <w:r>
        <w:rPr>
          <w:rFonts w:hint="eastAsia"/>
          <w:color w:val="000000"/>
          <w:sz w:val="24"/>
        </w:rPr>
        <w:t xml:space="preserve"> </w:t>
      </w:r>
    </w:p>
    <w:p>
      <w:pPr>
        <w:rPr>
          <w:b/>
          <w:bCs/>
          <w:sz w:val="28"/>
          <w:szCs w:val="28"/>
        </w:rPr>
      </w:pPr>
      <w:bookmarkStart w:id="525" w:name="_Toc31094"/>
      <w:bookmarkStart w:id="526" w:name="_Toc30763"/>
      <w:r>
        <w:rPr>
          <w:rFonts w:hint="eastAsia"/>
          <w:b/>
          <w:bCs/>
          <w:sz w:val="28"/>
          <w:szCs w:val="28"/>
        </w:rPr>
        <w:t>第五条　承包人配合内容</w:t>
      </w:r>
      <w:bookmarkEnd w:id="525"/>
      <w:bookmarkEnd w:id="526"/>
    </w:p>
    <w:p>
      <w:pPr>
        <w:spacing w:line="360" w:lineRule="auto"/>
        <w:ind w:firstLine="420" w:firstLineChars="175"/>
        <w:rPr>
          <w:color w:val="000000"/>
          <w:sz w:val="24"/>
        </w:rPr>
      </w:pPr>
      <w:r>
        <w:rPr>
          <w:rFonts w:hint="eastAsia"/>
          <w:color w:val="000000"/>
          <w:sz w:val="24"/>
        </w:rPr>
        <w:t>5</w:t>
      </w:r>
      <w:r>
        <w:rPr>
          <w:color w:val="000000"/>
          <w:sz w:val="24"/>
        </w:rPr>
        <w:t>.1　承包人负责协调</w:t>
      </w:r>
      <w:r>
        <w:rPr>
          <w:rFonts w:hint="eastAsia"/>
          <w:color w:val="000000"/>
          <w:sz w:val="24"/>
        </w:rPr>
        <w:t>分包人、专业工程承包人</w:t>
      </w:r>
      <w:r>
        <w:rPr>
          <w:color w:val="000000"/>
          <w:sz w:val="24"/>
        </w:rPr>
        <w:t>的</w:t>
      </w:r>
      <w:r>
        <w:rPr>
          <w:rFonts w:hint="eastAsia"/>
          <w:color w:val="000000"/>
          <w:sz w:val="24"/>
        </w:rPr>
        <w:t>配合</w:t>
      </w:r>
      <w:r>
        <w:rPr>
          <w:color w:val="000000"/>
          <w:sz w:val="24"/>
        </w:rPr>
        <w:t>工作，</w:t>
      </w:r>
      <w:r>
        <w:rPr>
          <w:rFonts w:ascii="宋体" w:hAnsi="宋体"/>
          <w:sz w:val="24"/>
        </w:rPr>
        <w:t>按月提供对各分包工程的进度要求和提供必要的测量定位。</w:t>
      </w:r>
      <w:r>
        <w:rPr>
          <w:color w:val="000000"/>
          <w:sz w:val="24"/>
        </w:rPr>
        <w:t>在发包人另外发包工程中，发包人要求承包人有甩项施工配合要求的，承包人必须服从。</w:t>
      </w:r>
    </w:p>
    <w:p>
      <w:pPr>
        <w:spacing w:line="360" w:lineRule="auto"/>
        <w:ind w:firstLine="420" w:firstLineChars="175"/>
        <w:rPr>
          <w:rFonts w:ascii="宋体" w:hAnsi="宋体"/>
          <w:sz w:val="24"/>
        </w:rPr>
      </w:pPr>
      <w:r>
        <w:rPr>
          <w:rFonts w:hint="eastAsia" w:ascii="宋体" w:hAnsi="宋体"/>
          <w:sz w:val="24"/>
        </w:rPr>
        <w:t>5</w:t>
      </w:r>
      <w:r>
        <w:rPr>
          <w:rFonts w:ascii="宋体" w:hAnsi="宋体"/>
          <w:sz w:val="24"/>
        </w:rPr>
        <w:t>.2　承包人应提供材料设备进场、吊装、堆放、保护条件及其他承包人办公和生活、加工场地等，并须在现场具备其他承包人施工的前提下，提前15天书面通知发包人安排其他承包人进场，否则由</w:t>
      </w:r>
      <w:r>
        <w:rPr>
          <w:rFonts w:hint="eastAsia" w:ascii="宋体" w:hAnsi="宋体"/>
          <w:sz w:val="24"/>
        </w:rPr>
        <w:t>此导致</w:t>
      </w:r>
      <w:r>
        <w:rPr>
          <w:rFonts w:ascii="宋体" w:hAnsi="宋体"/>
          <w:sz w:val="24"/>
        </w:rPr>
        <w:t>其他承包人延误进场施工所导致的工期延误由承包人承担。</w:t>
      </w:r>
    </w:p>
    <w:p>
      <w:pPr>
        <w:spacing w:line="360" w:lineRule="auto"/>
        <w:ind w:firstLine="420" w:firstLineChars="175"/>
        <w:rPr>
          <w:rFonts w:ascii="宋体" w:hAnsi="宋体"/>
          <w:sz w:val="24"/>
        </w:rPr>
      </w:pPr>
      <w:r>
        <w:rPr>
          <w:rFonts w:hint="eastAsia" w:ascii="宋体" w:hAnsi="宋体"/>
          <w:sz w:val="24"/>
        </w:rPr>
        <w:t>5</w:t>
      </w:r>
      <w:r>
        <w:rPr>
          <w:rFonts w:ascii="宋体" w:hAnsi="宋体"/>
          <w:sz w:val="24"/>
        </w:rPr>
        <w:t>.3　承包人应提供现场现有的垂直运输、脚手架供其他承包人使用，如必须拆除应报发包人</w:t>
      </w:r>
      <w:r>
        <w:rPr>
          <w:rFonts w:hint="eastAsia" w:ascii="宋体" w:hAnsi="宋体"/>
          <w:sz w:val="24"/>
        </w:rPr>
        <w:t>、发包人批准。承包人的脚手架、垂直运输设备、临时水电管线等必须待其他承包人承包的工程施工完成后或其他承包人施工无须利用时，才能拆除，否则视为承包人违约，发包人有权对承包人处以10万元/次</w:t>
      </w:r>
      <w:r>
        <w:rPr>
          <w:rFonts w:ascii="宋体" w:hAnsi="宋体"/>
          <w:sz w:val="24"/>
        </w:rPr>
        <w:t>的违约扣款。</w:t>
      </w:r>
    </w:p>
    <w:p>
      <w:pPr>
        <w:spacing w:line="360" w:lineRule="auto"/>
        <w:ind w:firstLine="420" w:firstLineChars="175"/>
        <w:rPr>
          <w:rFonts w:ascii="宋体" w:hAnsi="宋体"/>
          <w:sz w:val="24"/>
        </w:rPr>
      </w:pPr>
      <w:r>
        <w:rPr>
          <w:rFonts w:hint="eastAsia" w:ascii="宋体" w:hAnsi="宋体"/>
          <w:sz w:val="24"/>
        </w:rPr>
        <w:t>5</w:t>
      </w:r>
      <w:r>
        <w:rPr>
          <w:rFonts w:ascii="宋体" w:hAnsi="宋体"/>
          <w:sz w:val="24"/>
        </w:rPr>
        <w:t>.4　承包人应按施工图</w:t>
      </w:r>
      <w:r>
        <w:rPr>
          <w:rFonts w:hint="eastAsia" w:ascii="宋体" w:hAnsi="宋体"/>
          <w:sz w:val="24"/>
        </w:rPr>
        <w:t>纸</w:t>
      </w:r>
      <w:r>
        <w:rPr>
          <w:rFonts w:ascii="宋体" w:hAnsi="宋体"/>
          <w:sz w:val="24"/>
        </w:rPr>
        <w:t>、图纸会审</w:t>
      </w:r>
      <w:r>
        <w:rPr>
          <w:rFonts w:hint="eastAsia" w:ascii="宋体" w:hAnsi="宋体"/>
          <w:sz w:val="24"/>
        </w:rPr>
        <w:t>纪要</w:t>
      </w:r>
      <w:r>
        <w:rPr>
          <w:rFonts w:ascii="宋体" w:hAnsi="宋体"/>
          <w:sz w:val="24"/>
        </w:rPr>
        <w:t>、设计变更及有关规范等完成全部工程的预留预埋，预埋线管需穿通铁线，修补</w:t>
      </w:r>
      <w:r>
        <w:rPr>
          <w:rFonts w:hint="eastAsia" w:ascii="宋体" w:hAnsi="宋体"/>
          <w:sz w:val="24"/>
        </w:rPr>
        <w:t>其他承包人</w:t>
      </w:r>
      <w:r>
        <w:rPr>
          <w:rFonts w:ascii="宋体" w:hAnsi="宋体"/>
          <w:sz w:val="24"/>
        </w:rPr>
        <w:t>工程施工损坏的内外墙墙面，完成</w:t>
      </w:r>
      <w:r>
        <w:rPr>
          <w:rFonts w:hint="eastAsia" w:ascii="宋体" w:hAnsi="宋体"/>
          <w:sz w:val="24"/>
        </w:rPr>
        <w:t>其他承包人</w:t>
      </w:r>
      <w:r>
        <w:rPr>
          <w:rFonts w:ascii="宋体" w:hAnsi="宋体"/>
          <w:sz w:val="24"/>
        </w:rPr>
        <w:t>工程安装后的修补及塞缝。</w:t>
      </w:r>
    </w:p>
    <w:p>
      <w:pPr>
        <w:spacing w:line="360" w:lineRule="auto"/>
        <w:ind w:firstLine="420" w:firstLineChars="175"/>
        <w:rPr>
          <w:rFonts w:ascii="宋体" w:hAnsi="宋体"/>
          <w:sz w:val="24"/>
        </w:rPr>
      </w:pPr>
      <w:r>
        <w:rPr>
          <w:rFonts w:hint="eastAsia" w:ascii="宋体" w:hAnsi="宋体"/>
          <w:sz w:val="24"/>
        </w:rPr>
        <w:t>5.5 承包人应根据其它承包人提供的资料，在机电安装阶段做出各楼层的综合管线布置图，按发包人的要求做好各机电管线的协调；根据消防联动控制的要求，为各消防联动控制部位预留控制模块安装位置，并配合模块的安装和接线工作。在消防测试时，由各专业人员配合进行，并对发现的问题及时改正；提供消防验收所需的资料。</w:t>
      </w:r>
    </w:p>
    <w:p>
      <w:pPr>
        <w:spacing w:line="360" w:lineRule="auto"/>
        <w:ind w:firstLine="420" w:firstLineChars="175"/>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 xml:space="preserve">6 </w:t>
      </w:r>
      <w:r>
        <w:rPr>
          <w:rFonts w:ascii="宋体" w:hAnsi="宋体"/>
          <w:sz w:val="24"/>
        </w:rPr>
        <w:t>在其他承包人工程施工前，按发包人</w:t>
      </w:r>
      <w:r>
        <w:rPr>
          <w:rFonts w:hint="eastAsia" w:ascii="宋体" w:hAnsi="宋体"/>
          <w:sz w:val="24"/>
        </w:rPr>
        <w:t>、分包人、专业工程承包人</w:t>
      </w:r>
      <w:r>
        <w:rPr>
          <w:rFonts w:ascii="宋体" w:hAnsi="宋体"/>
          <w:sz w:val="24"/>
        </w:rPr>
        <w:t>的要求，完成有关土建项目施工，并与其他承包人核对清楚各分包图纸与总包图纸间相关联</w:t>
      </w:r>
      <w:r>
        <w:rPr>
          <w:rFonts w:hint="eastAsia" w:ascii="宋体" w:hAnsi="宋体"/>
          <w:sz w:val="24"/>
        </w:rPr>
        <w:t>的尺寸、标高等数据是否统一，否则由此造成的损失，由承包人承担。</w:t>
      </w:r>
    </w:p>
    <w:p>
      <w:pPr>
        <w:spacing w:line="360" w:lineRule="auto"/>
        <w:ind w:firstLine="420" w:firstLineChars="175"/>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 xml:space="preserve">7 </w:t>
      </w:r>
      <w:r>
        <w:rPr>
          <w:rFonts w:ascii="宋体" w:hAnsi="宋体"/>
          <w:sz w:val="24"/>
        </w:rPr>
        <w:t>其他承包人工程竣工后，由承包人与</w:t>
      </w:r>
      <w:r>
        <w:rPr>
          <w:rFonts w:hint="eastAsia" w:ascii="宋体" w:hAnsi="宋体"/>
          <w:sz w:val="24"/>
        </w:rPr>
        <w:t>分包人、专业工程承包人</w:t>
      </w:r>
      <w:r>
        <w:rPr>
          <w:rFonts w:ascii="宋体" w:hAnsi="宋体"/>
          <w:sz w:val="24"/>
        </w:rPr>
        <w:t>办理移交手续，并负责该其他承包人工程的成品保护工作。由于成品保护不周造成损坏的，由承包人负责。</w:t>
      </w:r>
    </w:p>
    <w:p>
      <w:pPr>
        <w:spacing w:line="360" w:lineRule="auto"/>
        <w:ind w:firstLine="420" w:firstLineChars="175"/>
        <w:rPr>
          <w:rFonts w:ascii="宋体" w:hAnsi="宋体"/>
          <w:sz w:val="24"/>
        </w:rPr>
      </w:pPr>
      <w:r>
        <w:rPr>
          <w:rFonts w:hint="eastAsia" w:ascii="宋体" w:hAnsi="宋体"/>
          <w:sz w:val="24"/>
        </w:rPr>
        <w:t>5.8 整个项目的施工报建、验收和资料归档。</w:t>
      </w:r>
    </w:p>
    <w:p>
      <w:pPr>
        <w:spacing w:line="360" w:lineRule="auto"/>
        <w:ind w:firstLine="420" w:firstLineChars="175"/>
        <w:rPr>
          <w:color w:val="000000"/>
          <w:sz w:val="24"/>
        </w:rPr>
      </w:pPr>
      <w:r>
        <w:rPr>
          <w:rFonts w:hint="eastAsia" w:ascii="宋体" w:hAnsi="宋体"/>
          <w:sz w:val="24"/>
        </w:rPr>
        <w:t>5.9发包人有权对承包人承包的工程承包范围做出调整，将其中的部分专业工程单独直接发包。承包人对发包人单独直接发包的专业工程承包人应提供一切工程安装、施工所需的配合。总包配合费由发包人支付给承包人，承包人不得以其他任何理由向发包人单独直接发包的专业工程承包人收取任何费用。承包人违反规定，每发生一次/项，向发包人支付50万元的违约金。违约金不足以弥补发包人损失的，承包人应补充赔偿发包人损失。</w:t>
      </w:r>
    </w:p>
    <w:p>
      <w:pPr>
        <w:rPr>
          <w:b/>
          <w:bCs/>
          <w:sz w:val="28"/>
          <w:szCs w:val="28"/>
        </w:rPr>
      </w:pPr>
      <w:bookmarkStart w:id="527" w:name="_Toc24145"/>
      <w:bookmarkStart w:id="528" w:name="_Toc15360"/>
      <w:r>
        <w:rPr>
          <w:rFonts w:hint="eastAsia"/>
          <w:b/>
          <w:bCs/>
          <w:sz w:val="28"/>
          <w:szCs w:val="28"/>
        </w:rPr>
        <w:t>第六条　总承包服务费</w:t>
      </w:r>
      <w:bookmarkEnd w:id="527"/>
      <w:bookmarkEnd w:id="528"/>
    </w:p>
    <w:p>
      <w:pPr>
        <w:spacing w:line="360" w:lineRule="auto"/>
        <w:ind w:firstLine="420" w:firstLineChars="175"/>
        <w:rPr>
          <w:rFonts w:hint="eastAsia" w:ascii="宋体" w:hAnsi="宋体"/>
          <w:sz w:val="24"/>
        </w:rPr>
      </w:pPr>
      <w:r>
        <w:rPr>
          <w:rFonts w:hint="eastAsia" w:ascii="宋体" w:hAnsi="宋体"/>
          <w:sz w:val="24"/>
        </w:rPr>
        <w:t>6</w:t>
      </w:r>
      <w:r>
        <w:rPr>
          <w:rFonts w:ascii="宋体" w:hAnsi="宋体"/>
          <w:sz w:val="24"/>
        </w:rPr>
        <w:t>.1承包人向发包人收取</w:t>
      </w:r>
      <w:r>
        <w:rPr>
          <w:rFonts w:hint="eastAsia" w:ascii="宋体" w:hAnsi="宋体"/>
          <w:sz w:val="24"/>
        </w:rPr>
        <w:t>总承包服务费</w:t>
      </w:r>
      <w:r>
        <w:rPr>
          <w:rFonts w:ascii="宋体" w:hAnsi="宋体"/>
          <w:sz w:val="24"/>
        </w:rPr>
        <w:t>：</w:t>
      </w:r>
      <w:r>
        <w:rPr>
          <w:rFonts w:hint="eastAsia" w:ascii="宋体" w:hAnsi="宋体"/>
          <w:sz w:val="24"/>
        </w:rPr>
        <w:t>实行固定费率</w:t>
      </w:r>
      <w:r>
        <w:rPr>
          <w:rFonts w:hint="eastAsia" w:ascii="宋体" w:hAnsi="宋体"/>
          <w:b/>
          <w:sz w:val="24"/>
        </w:rPr>
        <w:t>1.5%</w:t>
      </w:r>
      <w:r>
        <w:rPr>
          <w:rFonts w:ascii="宋体" w:hAnsi="宋体"/>
          <w:sz w:val="24"/>
        </w:rPr>
        <w:t>,</w:t>
      </w:r>
      <w:r>
        <w:rPr>
          <w:rFonts w:hint="eastAsia" w:ascii="宋体" w:hAnsi="宋体"/>
          <w:sz w:val="24"/>
        </w:rPr>
        <w:t>投标报价时以暂估价金额作为计取基数，最终结算时以暂估项合同金额作为计取基数，</w:t>
      </w:r>
      <w:r>
        <w:rPr>
          <w:rFonts w:hint="eastAsia" w:ascii="宋体" w:hAnsi="宋体"/>
          <w:b/>
          <w:sz w:val="24"/>
        </w:rPr>
        <w:t>达到</w:t>
      </w:r>
      <w:r>
        <w:rPr>
          <w:rFonts w:hint="eastAsia" w:ascii="宋体" w:hAnsi="宋体"/>
          <w:b/>
          <w:sz w:val="24"/>
          <w:lang w:val="en-US" w:eastAsia="zh-CN"/>
        </w:rPr>
        <w:t>暂估价工程包</w:t>
      </w:r>
      <w:r>
        <w:rPr>
          <w:rFonts w:hint="eastAsia" w:ascii="宋体" w:hAnsi="宋体"/>
          <w:b/>
          <w:sz w:val="24"/>
        </w:rPr>
        <w:t>进场条件时支付至总承包服务费合同金额的40%，在第一台主设备搬入条件后支付至总承包服务费合同金额的80%，</w:t>
      </w:r>
      <w:r>
        <w:rPr>
          <w:rFonts w:hint="eastAsia" w:ascii="宋体" w:hAnsi="宋体"/>
          <w:sz w:val="24"/>
        </w:rPr>
        <w:t>剩余部分在竣工验收/结算完成且资料归档后一次性付清</w:t>
      </w:r>
      <w:r>
        <w:rPr>
          <w:rFonts w:ascii="宋体" w:hAnsi="宋体"/>
          <w:sz w:val="24"/>
        </w:rPr>
        <w:t>。</w:t>
      </w:r>
      <w:r>
        <w:rPr>
          <w:rFonts w:hint="eastAsia" w:ascii="宋体" w:hAnsi="宋体"/>
          <w:color w:val="000000"/>
          <w:sz w:val="24"/>
        </w:rPr>
        <w:t>此费用还包括施工过程中对招标人另外发包工程的进度安排、施工现场管理协调、其他承包人工程的成品保护费、竣工资料的汇总整理、其他承包人使用承包人的脚手架、垂直运输设备、临时水电管线及其它设施费用、专业分包合同按税法规定应由总承包人承担的印花税等</w:t>
      </w:r>
      <w:r>
        <w:rPr>
          <w:rFonts w:hint="eastAsia" w:ascii="宋体" w:hAnsi="宋体"/>
          <w:sz w:val="24"/>
        </w:rPr>
        <w:t>。</w:t>
      </w:r>
    </w:p>
    <w:p>
      <w:pPr>
        <w:spacing w:line="360" w:lineRule="auto"/>
        <w:ind w:firstLine="420" w:firstLineChars="175"/>
        <w:rPr>
          <w:rFonts w:ascii="Arial" w:hAnsi="Arial"/>
          <w:bCs/>
          <w:color w:val="FF0000"/>
          <w:sz w:val="24"/>
        </w:rPr>
      </w:pPr>
      <w:r>
        <w:rPr>
          <w:rFonts w:hint="eastAsia" w:ascii="宋体" w:hAnsi="宋体"/>
          <w:sz w:val="24"/>
        </w:rPr>
        <w:t>6</w:t>
      </w:r>
      <w:r>
        <w:rPr>
          <w:rFonts w:ascii="宋体" w:hAnsi="宋体"/>
          <w:sz w:val="24"/>
        </w:rPr>
        <w:t>.2</w:t>
      </w:r>
      <w:r>
        <w:rPr>
          <w:rFonts w:hint="eastAsia" w:ascii="宋体" w:hAnsi="宋体"/>
          <w:sz w:val="24"/>
        </w:rPr>
        <w:t xml:space="preserve">  承包人向发包人收取总承包服务费后，不得再向其他分包人收取任何费用，且必须接受发包人、项目管理单位及监理单位的现场指挥、协调。若承包人不按发包人、项目管理单位及监理单位的要求提供现场管理及配合，发包人有权扣减相应的总包管理及配合费用，并按补充条款5</w:t>
      </w:r>
      <w:r>
        <w:rPr>
          <w:rFonts w:ascii="宋体" w:hAnsi="宋体"/>
          <w:sz w:val="24"/>
        </w:rPr>
        <w:t>.3款予以处罚。</w:t>
      </w:r>
    </w:p>
    <w:p>
      <w:pPr>
        <w:rPr>
          <w:b/>
          <w:bCs/>
          <w:sz w:val="28"/>
          <w:szCs w:val="28"/>
        </w:rPr>
      </w:pPr>
      <w:bookmarkStart w:id="529" w:name="_Toc15532"/>
      <w:bookmarkStart w:id="530" w:name="_Toc26021"/>
      <w:r>
        <w:rPr>
          <w:rFonts w:hint="eastAsia"/>
          <w:b/>
          <w:bCs/>
          <w:sz w:val="28"/>
          <w:szCs w:val="28"/>
        </w:rPr>
        <w:t>第七条　违约处罚、索赔及奖励</w:t>
      </w:r>
      <w:bookmarkEnd w:id="529"/>
      <w:bookmarkEnd w:id="530"/>
    </w:p>
    <w:p>
      <w:pPr>
        <w:spacing w:line="360" w:lineRule="auto"/>
        <w:ind w:firstLine="420" w:firstLineChars="175"/>
        <w:rPr>
          <w:color w:val="000000"/>
          <w:sz w:val="24"/>
        </w:rPr>
      </w:pPr>
      <w:r>
        <w:rPr>
          <w:rFonts w:hint="eastAsia"/>
          <w:color w:val="000000"/>
          <w:sz w:val="24"/>
        </w:rPr>
        <w:t>7</w:t>
      </w:r>
      <w:r>
        <w:rPr>
          <w:color w:val="000000"/>
          <w:sz w:val="24"/>
        </w:rPr>
        <w:t>.1　</w:t>
      </w:r>
      <w:r>
        <w:rPr>
          <w:rFonts w:hint="eastAsia"/>
          <w:color w:val="000000"/>
          <w:sz w:val="24"/>
        </w:rPr>
        <w:t>承包人主管生产的项目经理、项目技术负责人必须参加每周工程生产例会；承包人主管生产的安全经理必须参加每周工程安全例会，</w:t>
      </w:r>
      <w:r>
        <w:rPr>
          <w:color w:val="000000"/>
          <w:sz w:val="24"/>
        </w:rPr>
        <w:t>因故不能参加的应提前</w:t>
      </w:r>
      <w:r>
        <w:rPr>
          <w:rFonts w:hint="eastAsia"/>
          <w:color w:val="000000"/>
          <w:sz w:val="24"/>
        </w:rPr>
        <w:t>4</w:t>
      </w:r>
      <w:r>
        <w:rPr>
          <w:color w:val="000000"/>
          <w:sz w:val="24"/>
        </w:rPr>
        <w:t>小</w:t>
      </w:r>
      <w:r>
        <w:rPr>
          <w:rFonts w:hint="eastAsia"/>
          <w:color w:val="000000"/>
          <w:sz w:val="24"/>
        </w:rPr>
        <w:t>时提出书面申请并获得发包人书面批准后方可缺席，否则承包人向发包人支付违约金2</w:t>
      </w:r>
      <w:r>
        <w:rPr>
          <w:color w:val="000000"/>
          <w:sz w:val="24"/>
        </w:rPr>
        <w:t>000元/人·次。</w:t>
      </w:r>
      <w:r>
        <w:rPr>
          <w:rFonts w:hint="eastAsia"/>
          <w:color w:val="000000"/>
          <w:sz w:val="24"/>
        </w:rPr>
        <w:t>承包人项目部管理人员在本工程施工期间（包括准备和收尾阶段），均须专职在岗,不得兼任其他项目任何职务，如需变更(人员安排、机械设备、施工方案等)，必须提前一周书面上报发包人，经同意后方可执行，否则，每违约一项（或一人），承包人须向发包人支付违约金1万元；承包人项目部代表更换，其后任者必须无条件全面继续前任应负的责任。</w:t>
      </w:r>
    </w:p>
    <w:p>
      <w:pPr>
        <w:spacing w:line="360" w:lineRule="auto"/>
        <w:ind w:firstLine="420" w:firstLineChars="175"/>
        <w:rPr>
          <w:color w:val="000000"/>
          <w:sz w:val="24"/>
        </w:rPr>
      </w:pPr>
      <w:r>
        <w:rPr>
          <w:rFonts w:hint="eastAsia"/>
          <w:color w:val="000000"/>
          <w:sz w:val="24"/>
        </w:rPr>
        <w:t>7</w:t>
      </w:r>
      <w:r>
        <w:rPr>
          <w:color w:val="000000"/>
          <w:sz w:val="24"/>
        </w:rPr>
        <w:t>.2　合同约定由承包人完成或提供服务的工作，若承包人拒绝完成或不能按合同约定要求完成，发包人即可安排其他单位完成，所发生的费用从承包人</w:t>
      </w:r>
      <w:r>
        <w:rPr>
          <w:rFonts w:hint="eastAsia"/>
          <w:color w:val="000000"/>
          <w:sz w:val="24"/>
        </w:rPr>
        <w:t>合同总价</w:t>
      </w:r>
      <w:r>
        <w:rPr>
          <w:color w:val="000000"/>
          <w:sz w:val="24"/>
        </w:rPr>
        <w:t>中</w:t>
      </w:r>
      <w:r>
        <w:rPr>
          <w:rFonts w:hint="eastAsia"/>
          <w:color w:val="000000"/>
          <w:sz w:val="24"/>
        </w:rPr>
        <w:t>扣除</w:t>
      </w:r>
      <w:r>
        <w:rPr>
          <w:color w:val="000000"/>
          <w:sz w:val="24"/>
        </w:rPr>
        <w:t>，</w:t>
      </w:r>
      <w:r>
        <w:rPr>
          <w:rFonts w:hint="eastAsia"/>
          <w:color w:val="000000"/>
          <w:sz w:val="24"/>
        </w:rPr>
        <w:t>同时</w:t>
      </w:r>
      <w:r>
        <w:rPr>
          <w:color w:val="000000"/>
          <w:sz w:val="24"/>
        </w:rPr>
        <w:t>承包人向发包人支付该项发生费用的</w:t>
      </w:r>
      <w:r>
        <w:rPr>
          <w:rFonts w:hint="eastAsia"/>
          <w:color w:val="000000"/>
          <w:sz w:val="24"/>
        </w:rPr>
        <w:t>200%的违约金</w:t>
      </w:r>
      <w:r>
        <w:rPr>
          <w:color w:val="000000"/>
          <w:sz w:val="24"/>
        </w:rPr>
        <w:t>，影响工期的责任由承包人承担。</w:t>
      </w:r>
    </w:p>
    <w:p>
      <w:pPr>
        <w:spacing w:line="360" w:lineRule="auto"/>
        <w:ind w:firstLine="420" w:firstLineChars="175"/>
        <w:rPr>
          <w:color w:val="000000"/>
          <w:sz w:val="24"/>
        </w:rPr>
      </w:pPr>
      <w:r>
        <w:rPr>
          <w:rFonts w:hint="eastAsia"/>
          <w:color w:val="000000"/>
          <w:sz w:val="24"/>
        </w:rPr>
        <w:t>承包人不得将其承包的全部或部分工程分包转包他人,也不得将其承包的全部工程肢解以后以分包的名义分别转包给他人。</w:t>
      </w:r>
    </w:p>
    <w:p>
      <w:pPr>
        <w:spacing w:line="360" w:lineRule="auto"/>
        <w:ind w:firstLine="420" w:firstLineChars="175"/>
        <w:rPr>
          <w:color w:val="000000"/>
          <w:sz w:val="24"/>
        </w:rPr>
      </w:pPr>
      <w:r>
        <w:rPr>
          <w:rFonts w:hint="eastAsia"/>
          <w:color w:val="000000"/>
          <w:sz w:val="24"/>
        </w:rPr>
        <w:t>若发包人均认定承包人有转包行为（无须承包人认可，除非承包人在发包人发出通知后3天内提出有效证据），发包人有权勒令其停工、驱逐出现场等，由此造成的损失均由承包人承担，同时承包人向发包人支付违约金100万元/每次。</w:t>
      </w:r>
    </w:p>
    <w:p>
      <w:pPr>
        <w:spacing w:line="360" w:lineRule="auto"/>
        <w:ind w:firstLine="420" w:firstLineChars="175"/>
        <w:rPr>
          <w:color w:val="000000"/>
          <w:sz w:val="24"/>
        </w:rPr>
      </w:pPr>
      <w:r>
        <w:rPr>
          <w:rFonts w:hint="eastAsia"/>
          <w:color w:val="000000"/>
          <w:sz w:val="24"/>
        </w:rPr>
        <w:t>若发包人均认定承包人有未经发包人同意的分包行为（无须承包人认可，除非承包人在发包人发出通知后3天内提出有效证据），发包人有权勒令其停工、驱逐出现场等，由此造成的损失均由承包人承担，同时承包人向发包人支付违约金50万元/每次。</w:t>
      </w:r>
    </w:p>
    <w:p>
      <w:pPr>
        <w:spacing w:line="360" w:lineRule="auto"/>
        <w:ind w:firstLine="420" w:firstLineChars="175"/>
        <w:rPr>
          <w:color w:val="000000"/>
          <w:sz w:val="24"/>
        </w:rPr>
      </w:pPr>
      <w:r>
        <w:rPr>
          <w:rFonts w:hint="eastAsia"/>
          <w:color w:val="000000"/>
          <w:sz w:val="24"/>
        </w:rPr>
        <w:t>7</w:t>
      </w:r>
      <w:r>
        <w:rPr>
          <w:color w:val="000000"/>
          <w:sz w:val="24"/>
        </w:rPr>
        <w:t>.3　承包人采购材料设备，必须符合招标文件约定或发包人确定的样板或设计图纸规定品</w:t>
      </w:r>
      <w:r>
        <w:rPr>
          <w:rFonts w:hint="eastAsia"/>
          <w:color w:val="000000"/>
          <w:sz w:val="24"/>
        </w:rPr>
        <w:t>牌、规格、型号、质量、等级。若发包人发现承包人采购的材料设备，不符合招标文件约定或发包人确定的样板品牌、品质，承包人除重新采购符合招标文件约定或发包人确定的样板品牌、品质的材料设备外，承包人另外向发包人支付该材料设备费用</w:t>
      </w:r>
      <w:r>
        <w:rPr>
          <w:color w:val="000000"/>
          <w:sz w:val="24"/>
        </w:rPr>
        <w:t>20%的违约金，由此延误工期</w:t>
      </w:r>
      <w:r>
        <w:rPr>
          <w:rFonts w:hint="eastAsia"/>
          <w:color w:val="000000"/>
          <w:sz w:val="24"/>
        </w:rPr>
        <w:t>产生的损失及责任</w:t>
      </w:r>
      <w:r>
        <w:rPr>
          <w:color w:val="000000"/>
          <w:sz w:val="24"/>
        </w:rPr>
        <w:t>由承包人</w:t>
      </w:r>
      <w:r>
        <w:rPr>
          <w:rFonts w:hint="eastAsia"/>
          <w:color w:val="000000"/>
          <w:sz w:val="24"/>
        </w:rPr>
        <w:t>承担</w:t>
      </w:r>
      <w:r>
        <w:rPr>
          <w:color w:val="000000"/>
          <w:sz w:val="24"/>
        </w:rPr>
        <w:t>。</w:t>
      </w:r>
    </w:p>
    <w:p>
      <w:pPr>
        <w:spacing w:line="360" w:lineRule="auto"/>
        <w:ind w:firstLine="420" w:firstLineChars="175"/>
        <w:rPr>
          <w:color w:val="000000"/>
          <w:sz w:val="24"/>
        </w:rPr>
      </w:pPr>
      <w:r>
        <w:rPr>
          <w:rFonts w:hint="eastAsia"/>
          <w:color w:val="000000"/>
          <w:sz w:val="24"/>
        </w:rPr>
        <w:t>7</w:t>
      </w:r>
      <w:r>
        <w:rPr>
          <w:color w:val="000000"/>
          <w:sz w:val="24"/>
        </w:rPr>
        <w:t>.</w:t>
      </w:r>
      <w:r>
        <w:rPr>
          <w:rFonts w:hint="eastAsia"/>
          <w:color w:val="000000"/>
          <w:sz w:val="24"/>
        </w:rPr>
        <w:t>4</w:t>
      </w:r>
      <w:r>
        <w:rPr>
          <w:color w:val="000000"/>
          <w:sz w:val="24"/>
        </w:rPr>
        <w:t>　在工程施工期间，承包人应及时整理和安排机械、材料、工具、垃圾等，工程施工中每个楼层的多余材料、垃圾严禁从高空直接向下抛物。否则每发现一次，承包</w:t>
      </w:r>
      <w:r>
        <w:rPr>
          <w:rFonts w:hint="eastAsia"/>
          <w:color w:val="000000"/>
          <w:sz w:val="24"/>
        </w:rPr>
        <w:t>人向发包人支付违约金2</w:t>
      </w:r>
      <w:r>
        <w:rPr>
          <w:color w:val="000000"/>
          <w:sz w:val="24"/>
        </w:rPr>
        <w:t>000元</w:t>
      </w:r>
      <w:r>
        <w:rPr>
          <w:rFonts w:hint="eastAsia"/>
          <w:color w:val="000000"/>
          <w:sz w:val="24"/>
        </w:rPr>
        <w:t>/次</w:t>
      </w:r>
      <w:r>
        <w:rPr>
          <w:color w:val="000000"/>
          <w:sz w:val="24"/>
        </w:rPr>
        <w:t>。</w:t>
      </w:r>
    </w:p>
    <w:p>
      <w:pPr>
        <w:spacing w:line="360" w:lineRule="auto"/>
        <w:ind w:firstLine="420" w:firstLineChars="175"/>
        <w:rPr>
          <w:color w:val="000000"/>
          <w:sz w:val="24"/>
        </w:rPr>
      </w:pPr>
      <w:r>
        <w:rPr>
          <w:rFonts w:hint="eastAsia"/>
          <w:color w:val="000000"/>
          <w:sz w:val="24"/>
        </w:rPr>
        <w:t>7</w:t>
      </w:r>
      <w:r>
        <w:rPr>
          <w:color w:val="000000"/>
          <w:sz w:val="24"/>
        </w:rPr>
        <w:t>.</w:t>
      </w:r>
      <w:r>
        <w:rPr>
          <w:rFonts w:hint="eastAsia"/>
          <w:color w:val="000000"/>
          <w:sz w:val="24"/>
        </w:rPr>
        <w:t>5</w:t>
      </w:r>
      <w:r>
        <w:rPr>
          <w:color w:val="000000"/>
          <w:sz w:val="24"/>
        </w:rPr>
        <w:t>　在工程施工过程中或工程移交</w:t>
      </w:r>
      <w:r>
        <w:rPr>
          <w:rFonts w:hint="eastAsia"/>
          <w:color w:val="000000"/>
          <w:sz w:val="24"/>
        </w:rPr>
        <w:t>一</w:t>
      </w:r>
      <w:r>
        <w:rPr>
          <w:color w:val="000000"/>
          <w:sz w:val="24"/>
        </w:rPr>
        <w:t>年内，由于承包人责任出现工程质量缺陷、安全事故或其它原因，受到</w:t>
      </w:r>
      <w:r>
        <w:rPr>
          <w:rFonts w:hint="eastAsia"/>
          <w:color w:val="000000"/>
          <w:sz w:val="24"/>
        </w:rPr>
        <w:t>报纸、电视等媒体的曝光或</w:t>
      </w:r>
      <w:r>
        <w:rPr>
          <w:color w:val="000000"/>
          <w:sz w:val="24"/>
        </w:rPr>
        <w:t>政府有关部门的通报批评，每</w:t>
      </w:r>
      <w:r>
        <w:rPr>
          <w:rFonts w:hint="eastAsia"/>
          <w:color w:val="000000"/>
          <w:sz w:val="24"/>
        </w:rPr>
        <w:t>曝光</w:t>
      </w:r>
      <w:r>
        <w:rPr>
          <w:color w:val="000000"/>
          <w:sz w:val="24"/>
        </w:rPr>
        <w:t>一次，承包人向发包人支付违约金</w:t>
      </w:r>
      <w:r>
        <w:rPr>
          <w:rFonts w:hint="eastAsia"/>
          <w:color w:val="000000"/>
          <w:sz w:val="24"/>
        </w:rPr>
        <w:t>5</w:t>
      </w:r>
      <w:r>
        <w:rPr>
          <w:color w:val="000000"/>
          <w:sz w:val="24"/>
        </w:rPr>
        <w:t>万元。</w:t>
      </w:r>
    </w:p>
    <w:p>
      <w:pPr>
        <w:spacing w:line="360" w:lineRule="auto"/>
        <w:ind w:firstLine="420" w:firstLineChars="175"/>
        <w:rPr>
          <w:color w:val="000000"/>
          <w:sz w:val="24"/>
        </w:rPr>
      </w:pPr>
      <w:r>
        <w:rPr>
          <w:rFonts w:hint="eastAsia"/>
          <w:color w:val="000000"/>
          <w:sz w:val="24"/>
        </w:rPr>
        <w:t>7</w:t>
      </w:r>
      <w:r>
        <w:rPr>
          <w:color w:val="000000"/>
          <w:sz w:val="24"/>
        </w:rPr>
        <w:t>.</w:t>
      </w:r>
      <w:r>
        <w:rPr>
          <w:rFonts w:hint="eastAsia"/>
          <w:color w:val="000000"/>
          <w:sz w:val="24"/>
        </w:rPr>
        <w:t>6</w:t>
      </w:r>
      <w:r>
        <w:rPr>
          <w:color w:val="000000"/>
          <w:sz w:val="24"/>
        </w:rPr>
        <w:t>　分部分项</w:t>
      </w:r>
      <w:r>
        <w:rPr>
          <w:rFonts w:hint="eastAsia"/>
          <w:color w:val="000000"/>
          <w:sz w:val="24"/>
        </w:rPr>
        <w:t>工程达到</w:t>
      </w:r>
      <w:r>
        <w:rPr>
          <w:color w:val="000000"/>
          <w:sz w:val="24"/>
        </w:rPr>
        <w:t>隐蔽</w:t>
      </w:r>
      <w:r>
        <w:rPr>
          <w:rFonts w:hint="eastAsia"/>
          <w:color w:val="000000"/>
          <w:sz w:val="24"/>
        </w:rPr>
        <w:t>条件</w:t>
      </w:r>
      <w:r>
        <w:rPr>
          <w:color w:val="000000"/>
          <w:sz w:val="24"/>
        </w:rPr>
        <w:t>，</w:t>
      </w:r>
      <w:r>
        <w:rPr>
          <w:rFonts w:hint="eastAsia"/>
          <w:color w:val="000000"/>
          <w:sz w:val="24"/>
        </w:rPr>
        <w:t>承包人自检合格后，须在验收前48小时通知发包人，并提供有关自检合格资料，经发包人验收合格并签字后方可进行隐蔽。若承包人在验收合格后到隐蔽施工前，对合格部分做任何改动，应重新进行验收；重要的工程隐蔽验收应通知质量监督和设计单位共同参加验收；若承包人同一分项工程验收两次仍不合格，则以后每增加一次验收，承包人</w:t>
      </w:r>
      <w:r>
        <w:rPr>
          <w:color w:val="000000"/>
          <w:sz w:val="24"/>
        </w:rPr>
        <w:t>向发包人支付违约金5000元</w:t>
      </w:r>
      <w:r>
        <w:rPr>
          <w:rFonts w:hint="eastAsia"/>
          <w:color w:val="000000"/>
          <w:sz w:val="24"/>
        </w:rPr>
        <w:t>。如出现未经验收就进行隐蔽施工，承包人向发包人支付10万元/每次的违约金，并且发包人有权暂停支付该部分进度款，直至发包人确认该部分工程合格为止</w:t>
      </w:r>
      <w:r>
        <w:rPr>
          <w:color w:val="000000"/>
          <w:sz w:val="24"/>
        </w:rPr>
        <w:t>。</w:t>
      </w:r>
    </w:p>
    <w:p>
      <w:pPr>
        <w:spacing w:line="360" w:lineRule="auto"/>
        <w:ind w:firstLine="420" w:firstLineChars="175"/>
        <w:rPr>
          <w:color w:val="000000"/>
          <w:sz w:val="24"/>
        </w:rPr>
      </w:pPr>
      <w:r>
        <w:rPr>
          <w:rFonts w:hint="eastAsia"/>
          <w:color w:val="000000"/>
          <w:sz w:val="24"/>
        </w:rPr>
        <w:t>7</w:t>
      </w:r>
      <w:r>
        <w:rPr>
          <w:color w:val="000000"/>
          <w:sz w:val="24"/>
        </w:rPr>
        <w:t>.</w:t>
      </w:r>
      <w:r>
        <w:rPr>
          <w:rFonts w:hint="eastAsia"/>
          <w:color w:val="000000"/>
          <w:sz w:val="24"/>
        </w:rPr>
        <w:t xml:space="preserve">7 </w:t>
      </w:r>
      <w:r>
        <w:rPr>
          <w:color w:val="000000"/>
          <w:sz w:val="24"/>
        </w:rPr>
        <w:t>工程竣工验收合格后28天内，承包人应将合格工程</w:t>
      </w:r>
      <w:r>
        <w:rPr>
          <w:rFonts w:hint="eastAsia"/>
          <w:color w:val="000000"/>
          <w:sz w:val="24"/>
        </w:rPr>
        <w:t>全部移交</w:t>
      </w:r>
      <w:r>
        <w:rPr>
          <w:color w:val="000000"/>
          <w:sz w:val="24"/>
        </w:rPr>
        <w:t>发包人。</w:t>
      </w:r>
      <w:r>
        <w:rPr>
          <w:rFonts w:hint="eastAsia"/>
          <w:color w:val="000000"/>
          <w:sz w:val="24"/>
        </w:rPr>
        <w:t>若承包人在竣工验收合格后</w:t>
      </w:r>
      <w:r>
        <w:rPr>
          <w:color w:val="000000"/>
          <w:sz w:val="24"/>
        </w:rPr>
        <w:t>28天内未</w:t>
      </w:r>
      <w:r>
        <w:rPr>
          <w:rFonts w:hint="eastAsia"/>
          <w:color w:val="000000"/>
          <w:sz w:val="24"/>
        </w:rPr>
        <w:t>将工程全部移交</w:t>
      </w:r>
      <w:r>
        <w:rPr>
          <w:color w:val="000000"/>
          <w:sz w:val="24"/>
        </w:rPr>
        <w:t>发包人，继续占用场地的，每延期1天，承包人向发包人支付违约金5</w:t>
      </w:r>
      <w:r>
        <w:rPr>
          <w:rFonts w:hint="eastAsia"/>
          <w:color w:val="000000"/>
          <w:sz w:val="24"/>
        </w:rPr>
        <w:t>万</w:t>
      </w:r>
      <w:r>
        <w:rPr>
          <w:color w:val="000000"/>
          <w:sz w:val="24"/>
        </w:rPr>
        <w:t>元。</w:t>
      </w:r>
    </w:p>
    <w:p>
      <w:pPr>
        <w:spacing w:line="360" w:lineRule="auto"/>
        <w:ind w:firstLine="420" w:firstLineChars="175"/>
        <w:rPr>
          <w:color w:val="000000"/>
          <w:sz w:val="24"/>
        </w:rPr>
      </w:pPr>
      <w:r>
        <w:rPr>
          <w:rFonts w:hint="eastAsia"/>
          <w:color w:val="000000"/>
          <w:sz w:val="24"/>
        </w:rPr>
        <w:t>7</w:t>
      </w:r>
      <w:r>
        <w:rPr>
          <w:color w:val="000000"/>
          <w:sz w:val="24"/>
        </w:rPr>
        <w:t>.</w:t>
      </w:r>
      <w:r>
        <w:rPr>
          <w:rFonts w:hint="eastAsia"/>
          <w:color w:val="000000"/>
          <w:sz w:val="24"/>
        </w:rPr>
        <w:t>8</w:t>
      </w:r>
      <w:r>
        <w:rPr>
          <w:color w:val="000000"/>
          <w:sz w:val="24"/>
        </w:rPr>
        <w:t>　工程竣工验收合格后</w:t>
      </w:r>
      <w:r>
        <w:rPr>
          <w:rFonts w:hint="eastAsia"/>
          <w:color w:val="000000"/>
          <w:sz w:val="24"/>
        </w:rPr>
        <w:t>30</w:t>
      </w:r>
      <w:r>
        <w:rPr>
          <w:color w:val="000000"/>
          <w:sz w:val="24"/>
        </w:rPr>
        <w:t>天内，承包人向发包人移交完整的竣工图纸及竣工资料各</w:t>
      </w:r>
      <w:r>
        <w:rPr>
          <w:rFonts w:hint="eastAsia"/>
          <w:color w:val="000000"/>
          <w:sz w:val="24"/>
        </w:rPr>
        <w:t>4</w:t>
      </w:r>
      <w:r>
        <w:rPr>
          <w:color w:val="000000"/>
          <w:sz w:val="24"/>
        </w:rPr>
        <w:t>套（包括电子文件），竣工图纸及竣工资料必须准确真实地反映工程施工的实际情况，由承包人负责汇总后移交相关管理部门，并办理完成相关移交手续，否则每延迟１天，承包人向发包人支付违约金1万元。</w:t>
      </w:r>
    </w:p>
    <w:p>
      <w:pPr>
        <w:spacing w:line="360" w:lineRule="auto"/>
        <w:ind w:firstLine="420" w:firstLineChars="175"/>
        <w:rPr>
          <w:color w:val="000000"/>
          <w:sz w:val="24"/>
        </w:rPr>
      </w:pPr>
      <w:r>
        <w:rPr>
          <w:rFonts w:hint="eastAsia"/>
          <w:color w:val="000000"/>
          <w:sz w:val="24"/>
        </w:rPr>
        <w:t>7</w:t>
      </w:r>
      <w:r>
        <w:rPr>
          <w:color w:val="000000"/>
          <w:sz w:val="24"/>
        </w:rPr>
        <w:t>.</w:t>
      </w:r>
      <w:r>
        <w:rPr>
          <w:rFonts w:hint="eastAsia"/>
          <w:color w:val="000000"/>
          <w:sz w:val="24"/>
        </w:rPr>
        <w:t>9</w:t>
      </w:r>
      <w:r>
        <w:rPr>
          <w:color w:val="000000"/>
          <w:sz w:val="24"/>
        </w:rPr>
        <w:t>　发包人提出修改或设计变更，</w:t>
      </w:r>
      <w:r>
        <w:rPr>
          <w:rFonts w:hint="eastAsia"/>
          <w:color w:val="000000"/>
          <w:sz w:val="24"/>
        </w:rPr>
        <w:t>承包人应按照要求予以执行，不能以变更或修改的价格未确定等理由拒绝执行，否则，发包人有权给予承包人每次10万元的违约扣款，情节严重的发包人有权解除合同，给发包人造成的损失由承包人承担。</w:t>
      </w:r>
      <w:r>
        <w:rPr>
          <w:color w:val="000000"/>
          <w:sz w:val="24"/>
        </w:rPr>
        <w:t>修改或设计变更导致承</w:t>
      </w:r>
      <w:r>
        <w:rPr>
          <w:rFonts w:hint="eastAsia"/>
          <w:color w:val="000000"/>
          <w:sz w:val="24"/>
        </w:rPr>
        <w:t>包人现场增加工程量签证的，在事件发生后7</w:t>
      </w:r>
      <w:r>
        <w:rPr>
          <w:color w:val="000000"/>
          <w:sz w:val="24"/>
        </w:rPr>
        <w:t>天内，承包人应向发包人递交现场增加工程量签证单。承包人未</w:t>
      </w:r>
      <w:r>
        <w:rPr>
          <w:rFonts w:hint="eastAsia"/>
          <w:color w:val="000000"/>
          <w:sz w:val="24"/>
        </w:rPr>
        <w:t>在</w:t>
      </w:r>
      <w:r>
        <w:rPr>
          <w:color w:val="000000"/>
          <w:sz w:val="24"/>
        </w:rPr>
        <w:t>此期限内递交现场增加工程量签证单，发包人有权拒绝签署，由此导致承包人损失的，由承包人承担。</w:t>
      </w:r>
    </w:p>
    <w:p>
      <w:pPr>
        <w:spacing w:line="360" w:lineRule="auto"/>
        <w:ind w:firstLine="420" w:firstLineChars="175"/>
        <w:rPr>
          <w:color w:val="000000"/>
          <w:sz w:val="24"/>
        </w:rPr>
      </w:pPr>
      <w:r>
        <w:rPr>
          <w:rFonts w:hint="eastAsia"/>
          <w:color w:val="000000"/>
          <w:sz w:val="24"/>
        </w:rPr>
        <w:t>7</w:t>
      </w:r>
      <w:r>
        <w:rPr>
          <w:color w:val="000000"/>
          <w:sz w:val="24"/>
        </w:rPr>
        <w:t>.1</w:t>
      </w:r>
      <w:r>
        <w:rPr>
          <w:rFonts w:hint="eastAsia"/>
          <w:color w:val="000000"/>
          <w:sz w:val="24"/>
        </w:rPr>
        <w:t>0</w:t>
      </w:r>
      <w:r>
        <w:rPr>
          <w:color w:val="000000"/>
          <w:sz w:val="24"/>
        </w:rPr>
        <w:t>　承包人在报送现场增加工程量签证单，必须详细说明现场签证事件发生的原因、时间、部位、数量和处理方法及计算资料，并签署递交签证单的日期，且加盖承包人印章。发包人复核确认签署意见，且加盖相关印章后生效，仅发包人单方签字或未加盖相关印章的现场增加工程量签证单，均视为无效签证单。所有签证</w:t>
      </w:r>
      <w:r>
        <w:rPr>
          <w:rFonts w:hint="eastAsia"/>
          <w:color w:val="000000"/>
          <w:sz w:val="24"/>
        </w:rPr>
        <w:t>均应每月2</w:t>
      </w:r>
      <w:r>
        <w:rPr>
          <w:color w:val="000000"/>
          <w:sz w:val="24"/>
        </w:rPr>
        <w:t>5日之前装订成册向发包人提交，作为结算的依据。</w:t>
      </w:r>
    </w:p>
    <w:p>
      <w:pPr>
        <w:spacing w:line="360" w:lineRule="auto"/>
        <w:ind w:firstLine="420" w:firstLineChars="175"/>
        <w:rPr>
          <w:color w:val="000000"/>
          <w:sz w:val="24"/>
        </w:rPr>
      </w:pPr>
      <w:r>
        <w:rPr>
          <w:rFonts w:hint="eastAsia"/>
          <w:color w:val="000000"/>
          <w:sz w:val="24"/>
        </w:rPr>
        <w:t>7</w:t>
      </w:r>
      <w:r>
        <w:rPr>
          <w:color w:val="000000"/>
          <w:sz w:val="24"/>
        </w:rPr>
        <w:t>.1</w:t>
      </w:r>
      <w:r>
        <w:rPr>
          <w:rFonts w:hint="eastAsia"/>
          <w:color w:val="000000"/>
          <w:sz w:val="24"/>
        </w:rPr>
        <w:t>1</w:t>
      </w:r>
      <w:r>
        <w:rPr>
          <w:color w:val="000000"/>
          <w:sz w:val="24"/>
        </w:rPr>
        <w:t>　发包人对本工程施工质量、施工进度、安全、工程投资等进行全面监督和检查，承包人应随时接受</w:t>
      </w:r>
      <w:r>
        <w:rPr>
          <w:rFonts w:hint="eastAsia"/>
          <w:color w:val="000000"/>
          <w:sz w:val="24"/>
        </w:rPr>
        <w:t>发包人</w:t>
      </w:r>
      <w:r>
        <w:rPr>
          <w:color w:val="000000"/>
          <w:sz w:val="24"/>
        </w:rPr>
        <w:t>监督和检查，</w:t>
      </w:r>
      <w:r>
        <w:rPr>
          <w:rFonts w:hint="eastAsia"/>
          <w:color w:val="000000"/>
          <w:sz w:val="24"/>
        </w:rPr>
        <w:t>为检查提供便利条件，及时根据要求向发包人提供与工程有关的技术资料，并按检查的结果进行整改。</w:t>
      </w:r>
    </w:p>
    <w:p>
      <w:pPr>
        <w:spacing w:line="360" w:lineRule="auto"/>
        <w:ind w:firstLine="420" w:firstLineChars="175"/>
        <w:rPr>
          <w:ins w:id="0" w:author="土豆炒马铃薯" w:date="2023-07-25T11:24:07Z"/>
          <w:color w:val="000000"/>
          <w:sz w:val="24"/>
        </w:rPr>
      </w:pPr>
      <w:r>
        <w:rPr>
          <w:rFonts w:hint="eastAsia"/>
          <w:color w:val="000000"/>
          <w:sz w:val="24"/>
        </w:rPr>
        <w:t>7</w:t>
      </w:r>
      <w:r>
        <w:rPr>
          <w:color w:val="000000"/>
          <w:sz w:val="24"/>
        </w:rPr>
        <w:t>.1</w:t>
      </w:r>
      <w:r>
        <w:rPr>
          <w:rFonts w:hint="eastAsia"/>
          <w:color w:val="000000"/>
          <w:sz w:val="24"/>
        </w:rPr>
        <w:t>2</w:t>
      </w:r>
      <w:r>
        <w:rPr>
          <w:color w:val="000000"/>
          <w:sz w:val="24"/>
        </w:rPr>
        <w:t>　承包人应积极配合发包人造价工程师核实工作，结算资料按有关主管部门要求提供齐全，因提供的资料不全或者</w:t>
      </w:r>
      <w:r>
        <w:rPr>
          <w:rFonts w:hint="eastAsia"/>
          <w:color w:val="000000"/>
          <w:sz w:val="24"/>
        </w:rPr>
        <w:t>提供</w:t>
      </w:r>
      <w:r>
        <w:rPr>
          <w:color w:val="000000"/>
          <w:sz w:val="24"/>
        </w:rPr>
        <w:t>资料的手续不合规定，导致结算延误和承包人损失的，由承包人承担。若给发包人造成损失的，承包人负全部责任。</w:t>
      </w:r>
    </w:p>
    <w:p>
      <w:pPr>
        <w:spacing w:line="360" w:lineRule="auto"/>
        <w:ind w:firstLine="420" w:firstLineChars="175"/>
        <w:rPr>
          <w:rFonts w:hint="eastAsia"/>
          <w:sz w:val="24"/>
        </w:rPr>
      </w:pPr>
      <w:r>
        <w:rPr>
          <w:rFonts w:hint="eastAsia"/>
          <w:sz w:val="24"/>
        </w:rPr>
        <w:t>7</w:t>
      </w:r>
      <w:r>
        <w:rPr>
          <w:sz w:val="24"/>
        </w:rPr>
        <w:t>.1</w:t>
      </w:r>
      <w:r>
        <w:rPr>
          <w:rFonts w:hint="eastAsia"/>
          <w:sz w:val="24"/>
        </w:rPr>
        <w:t>3</w:t>
      </w:r>
      <w:r>
        <w:rPr>
          <w:sz w:val="24"/>
        </w:rPr>
        <w:t xml:space="preserve">  承包人</w:t>
      </w:r>
      <w:r>
        <w:rPr>
          <w:rFonts w:hint="eastAsia"/>
          <w:sz w:val="24"/>
        </w:rPr>
        <w:t>对发包人分包的工程承担管理职责并提供配合服务，如不按要求内容提供配合或配合不及时，承担违约责任及由此影响该分包工程施工的责任，承包人提供配合内容如下；</w:t>
      </w:r>
    </w:p>
    <w:p>
      <w:pPr>
        <w:spacing w:line="360" w:lineRule="auto"/>
        <w:ind w:firstLine="420" w:firstLineChars="175"/>
        <w:rPr>
          <w:rFonts w:hint="eastAsia"/>
          <w:sz w:val="24"/>
        </w:rPr>
      </w:pPr>
      <w:r>
        <w:rPr>
          <w:rFonts w:hint="eastAsia"/>
          <w:sz w:val="24"/>
        </w:rPr>
        <w:t>（1）承包人在开工后30天内提交发包人分包工程的进退场时间，经发包人、项目管理单位和监理单位确认后执行，否则，由此造成的责任由承包人承担；</w:t>
      </w:r>
    </w:p>
    <w:p>
      <w:pPr>
        <w:spacing w:line="360" w:lineRule="auto"/>
        <w:ind w:firstLine="420" w:firstLineChars="175"/>
        <w:rPr>
          <w:rFonts w:hint="eastAsia"/>
          <w:sz w:val="24"/>
        </w:rPr>
      </w:pPr>
      <w:r>
        <w:rPr>
          <w:rFonts w:hint="eastAsia"/>
          <w:sz w:val="24"/>
        </w:rPr>
        <w:t>（2）协调日常工作，按月提供对各分包工程的进度要求；</w:t>
      </w:r>
    </w:p>
    <w:p>
      <w:pPr>
        <w:spacing w:line="360" w:lineRule="auto"/>
        <w:ind w:firstLine="420" w:firstLineChars="175"/>
        <w:rPr>
          <w:rFonts w:hint="eastAsia"/>
          <w:sz w:val="24"/>
        </w:rPr>
      </w:pPr>
      <w:r>
        <w:rPr>
          <w:rFonts w:hint="eastAsia"/>
          <w:sz w:val="24"/>
        </w:rPr>
        <w:t>（3）与分包人核对清楚各分包工程图纸与总包图纸间相关联的尺寸、标高等数据是否统一，否则由此造成的损失由承包人承担；</w:t>
      </w:r>
    </w:p>
    <w:p>
      <w:pPr>
        <w:spacing w:line="360" w:lineRule="auto"/>
        <w:ind w:firstLine="420" w:firstLineChars="175"/>
        <w:rPr>
          <w:rFonts w:hint="eastAsia"/>
          <w:sz w:val="24"/>
        </w:rPr>
      </w:pPr>
      <w:r>
        <w:rPr>
          <w:rFonts w:hint="eastAsia"/>
          <w:sz w:val="24"/>
        </w:rPr>
        <w:t>（4）</w:t>
      </w:r>
      <w:r>
        <w:rPr>
          <w:sz w:val="24"/>
        </w:rPr>
        <w:t>承包人应提供材料设备进场、吊装、堆放、保护条件及分包人办公和生活、加工场地等，否则由于分包人延误进场施工所导致的工期延误由承包人承担</w:t>
      </w:r>
      <w:r>
        <w:rPr>
          <w:rFonts w:hint="eastAsia"/>
          <w:sz w:val="24"/>
        </w:rPr>
        <w:t>；</w:t>
      </w:r>
    </w:p>
    <w:p>
      <w:pPr>
        <w:spacing w:line="360" w:lineRule="auto"/>
        <w:ind w:firstLine="420" w:firstLineChars="175"/>
        <w:rPr>
          <w:rFonts w:hint="eastAsia"/>
          <w:sz w:val="24"/>
        </w:rPr>
      </w:pPr>
      <w:r>
        <w:rPr>
          <w:rFonts w:hint="eastAsia"/>
          <w:sz w:val="24"/>
        </w:rPr>
        <w:t>（5）</w:t>
      </w:r>
      <w:r>
        <w:rPr>
          <w:sz w:val="24"/>
        </w:rPr>
        <w:t>承包人应提供现场现有的垂直运输、脚手架供分包人使用，如必须拆除应报发包人和监理</w:t>
      </w:r>
      <w:r>
        <w:rPr>
          <w:rFonts w:hint="eastAsia"/>
          <w:sz w:val="24"/>
        </w:rPr>
        <w:t>单位批准。承包人的脚手架、垂直运输设备、临时水电管线等必须待分包人承包的工程施工完成后或分包人施工无须利用时，才能拆除，否则视为承包人违约，发包人有权对承包人处以10万元/次</w:t>
      </w:r>
      <w:r>
        <w:rPr>
          <w:sz w:val="24"/>
        </w:rPr>
        <w:t>的违约扣款</w:t>
      </w:r>
      <w:r>
        <w:rPr>
          <w:rFonts w:hint="eastAsia"/>
          <w:sz w:val="24"/>
        </w:rPr>
        <w:t>并恢复原状</w:t>
      </w:r>
      <w:r>
        <w:rPr>
          <w:sz w:val="24"/>
        </w:rPr>
        <w:t>。</w:t>
      </w:r>
    </w:p>
    <w:p>
      <w:pPr>
        <w:spacing w:line="360" w:lineRule="auto"/>
        <w:ind w:firstLine="420" w:firstLineChars="175"/>
        <w:rPr>
          <w:rFonts w:hint="eastAsia"/>
          <w:sz w:val="24"/>
        </w:rPr>
      </w:pPr>
      <w:r>
        <w:rPr>
          <w:rFonts w:hint="eastAsia"/>
          <w:sz w:val="24"/>
        </w:rPr>
        <w:t>（6）施工用水、用电供应（施工用水应接至施工现场，每层至少有两个能满足分包人施工要求的配电箱）；</w:t>
      </w:r>
    </w:p>
    <w:p>
      <w:pPr>
        <w:spacing w:line="360" w:lineRule="auto"/>
        <w:ind w:firstLine="420" w:firstLineChars="175"/>
        <w:rPr>
          <w:rFonts w:hint="eastAsia"/>
          <w:sz w:val="24"/>
        </w:rPr>
      </w:pPr>
      <w:r>
        <w:rPr>
          <w:rFonts w:hint="eastAsia"/>
          <w:sz w:val="24"/>
        </w:rPr>
        <w:t>（7）提供材料设备堆放场地等；</w:t>
      </w:r>
    </w:p>
    <w:p>
      <w:pPr>
        <w:spacing w:line="360" w:lineRule="auto"/>
        <w:ind w:firstLine="420" w:firstLineChars="175"/>
        <w:rPr>
          <w:rFonts w:hint="eastAsia"/>
          <w:sz w:val="24"/>
        </w:rPr>
      </w:pPr>
      <w:r>
        <w:rPr>
          <w:rFonts w:hint="eastAsia"/>
          <w:sz w:val="24"/>
        </w:rPr>
        <w:t>（8）提供必要的测量定位；</w:t>
      </w:r>
    </w:p>
    <w:p>
      <w:pPr>
        <w:spacing w:line="360" w:lineRule="auto"/>
        <w:ind w:firstLine="420" w:firstLineChars="175"/>
        <w:rPr>
          <w:rFonts w:hint="eastAsia"/>
          <w:sz w:val="24"/>
        </w:rPr>
      </w:pPr>
      <w:r>
        <w:rPr>
          <w:rFonts w:hint="eastAsia"/>
          <w:sz w:val="24"/>
        </w:rPr>
        <w:t>（9）在合同、招标文件的承包范围，完成分包工程预留预埋，线管必须穿铁丝；</w:t>
      </w:r>
    </w:p>
    <w:p>
      <w:pPr>
        <w:spacing w:line="360" w:lineRule="auto"/>
        <w:ind w:firstLine="420" w:firstLineChars="175"/>
        <w:rPr>
          <w:rFonts w:hint="eastAsia"/>
          <w:sz w:val="24"/>
        </w:rPr>
      </w:pPr>
      <w:r>
        <w:rPr>
          <w:rFonts w:hint="eastAsia"/>
          <w:sz w:val="24"/>
        </w:rPr>
        <w:t>（10）在分包工程施工前，按发包人及分包人的要求完成有关的土建项目施工，提供具备各分包工程施工的条件；</w:t>
      </w:r>
    </w:p>
    <w:p>
      <w:pPr>
        <w:spacing w:line="360" w:lineRule="auto"/>
        <w:ind w:firstLine="420" w:firstLineChars="175"/>
        <w:rPr>
          <w:rFonts w:hint="eastAsia"/>
          <w:sz w:val="24"/>
        </w:rPr>
      </w:pPr>
      <w:r>
        <w:rPr>
          <w:rFonts w:hint="eastAsia"/>
          <w:sz w:val="24"/>
        </w:rPr>
        <w:t>（11）电梯配合工作还包括要求提供充足、稳定电源到各电梯井首层，清理井道。分包人进场前完成机房全部土建工作，提供建筑基准线；</w:t>
      </w:r>
    </w:p>
    <w:p>
      <w:pPr>
        <w:spacing w:line="360" w:lineRule="auto"/>
        <w:ind w:firstLine="420" w:firstLineChars="175"/>
        <w:rPr>
          <w:rFonts w:hint="eastAsia"/>
          <w:sz w:val="24"/>
        </w:rPr>
      </w:pPr>
      <w:r>
        <w:rPr>
          <w:rFonts w:hint="eastAsia"/>
          <w:sz w:val="24"/>
        </w:rPr>
        <w:t>（12）在电梯及强、弱电竖井开始安装前，在每个电梯门及强、弱电竖井的门口处，应考虑临时防水措施，防止水侵入电梯井道及强、弱电竖井，否则，造成的损失有承包人负责；</w:t>
      </w:r>
    </w:p>
    <w:p>
      <w:pPr>
        <w:spacing w:line="360" w:lineRule="auto"/>
        <w:ind w:firstLine="420" w:firstLineChars="175"/>
        <w:rPr>
          <w:rFonts w:hint="eastAsia"/>
          <w:sz w:val="24"/>
        </w:rPr>
      </w:pPr>
      <w:r>
        <w:rPr>
          <w:rFonts w:hint="eastAsia"/>
          <w:sz w:val="24"/>
        </w:rPr>
        <w:t>（13）清理分包工程施工现场；</w:t>
      </w:r>
    </w:p>
    <w:p>
      <w:pPr>
        <w:spacing w:line="360" w:lineRule="auto"/>
        <w:ind w:firstLine="420" w:firstLineChars="175"/>
        <w:rPr>
          <w:rFonts w:hint="eastAsia"/>
          <w:sz w:val="24"/>
        </w:rPr>
      </w:pPr>
      <w:r>
        <w:rPr>
          <w:rFonts w:hint="eastAsia"/>
          <w:sz w:val="24"/>
        </w:rPr>
        <w:t>（14）负责在交叉施工过程中，采取措施保护分包工程成品，分包工程的成品遭到破坏，（除当场抓住破坏</w:t>
      </w:r>
      <w:r>
        <w:rPr>
          <w:rFonts w:hint="eastAsia"/>
          <w:color w:val="auto"/>
          <w:sz w:val="24"/>
        </w:rPr>
        <w:t>者）全部责任由承包人承担10%，分包人承担90%，特</w:t>
      </w:r>
      <w:r>
        <w:rPr>
          <w:rFonts w:hint="eastAsia"/>
          <w:sz w:val="24"/>
        </w:rPr>
        <w:t>别是玻璃幕墙必须采取切实可行的保护措施；</w:t>
      </w:r>
    </w:p>
    <w:p>
      <w:pPr>
        <w:spacing w:line="360" w:lineRule="auto"/>
        <w:ind w:firstLine="420" w:firstLineChars="175"/>
        <w:rPr>
          <w:rFonts w:hint="eastAsia"/>
          <w:sz w:val="24"/>
        </w:rPr>
      </w:pPr>
      <w:r>
        <w:rPr>
          <w:rFonts w:hint="eastAsia"/>
          <w:sz w:val="24"/>
        </w:rPr>
        <w:t>（15）分包工程竣工后，由分包商和承包人办理移交手续，即日起承包人负责该分包工程的成品保护工作，由于保护不周造成的损失由承包人负责；</w:t>
      </w:r>
    </w:p>
    <w:p>
      <w:pPr>
        <w:spacing w:line="360" w:lineRule="auto"/>
        <w:ind w:firstLine="420" w:firstLineChars="175"/>
        <w:rPr>
          <w:rFonts w:hint="eastAsia"/>
          <w:sz w:val="24"/>
        </w:rPr>
      </w:pPr>
      <w:r>
        <w:rPr>
          <w:rFonts w:hint="eastAsia"/>
          <w:sz w:val="24"/>
        </w:rPr>
        <w:t>（16）提供分包工程施工其他便利条件；</w:t>
      </w:r>
    </w:p>
    <w:p>
      <w:pPr>
        <w:spacing w:line="360" w:lineRule="auto"/>
        <w:ind w:firstLine="420" w:firstLineChars="175"/>
        <w:rPr>
          <w:color w:val="000000"/>
          <w:sz w:val="24"/>
        </w:rPr>
      </w:pPr>
      <w:r>
        <w:rPr>
          <w:rFonts w:hint="eastAsia"/>
          <w:sz w:val="24"/>
        </w:rPr>
        <w:t>（17）发包人分包单位进场后，承包人负责对其现场和文明施工、安全施工进行管理，每日安排专人清理施工场地垃圾、道路清洁，确保现场的井道、楼梯有扶手、围档等安全措施和照明设施，查到上述不符合安全文明施工现场，处罚1000元/处.天罚款。</w:t>
      </w:r>
    </w:p>
    <w:p>
      <w:pPr>
        <w:spacing w:line="360" w:lineRule="auto"/>
        <w:ind w:firstLine="420" w:firstLineChars="175"/>
        <w:rPr>
          <w:color w:val="000000"/>
          <w:sz w:val="24"/>
        </w:rPr>
      </w:pPr>
      <w:r>
        <w:rPr>
          <w:rFonts w:hint="eastAsia"/>
          <w:color w:val="000000"/>
          <w:sz w:val="24"/>
        </w:rPr>
        <w:t>7.1</w:t>
      </w:r>
      <w:r>
        <w:rPr>
          <w:rFonts w:hint="eastAsia"/>
          <w:color w:val="000000"/>
          <w:sz w:val="24"/>
          <w:lang w:val="en-US" w:eastAsia="zh-CN"/>
        </w:rPr>
        <w:t>4</w:t>
      </w:r>
      <w:r>
        <w:rPr>
          <w:rFonts w:hint="eastAsia"/>
          <w:color w:val="000000"/>
          <w:sz w:val="24"/>
        </w:rPr>
        <w:t xml:space="preserve"> 发包人对施工质量有疑问，而要求承包人复测时，承包人应予积极配合；若检测不合格，承包人承担全部责任；若检测合格，发包人承担复测费用。</w:t>
      </w:r>
    </w:p>
    <w:p>
      <w:pPr>
        <w:spacing w:line="360" w:lineRule="auto"/>
        <w:ind w:firstLine="420" w:firstLineChars="175"/>
        <w:rPr>
          <w:color w:val="000000"/>
          <w:sz w:val="24"/>
        </w:rPr>
      </w:pPr>
      <w:r>
        <w:rPr>
          <w:rFonts w:hint="eastAsia"/>
          <w:color w:val="000000"/>
          <w:sz w:val="24"/>
        </w:rPr>
        <w:t>7.1</w:t>
      </w:r>
      <w:r>
        <w:rPr>
          <w:rFonts w:hint="eastAsia"/>
          <w:color w:val="000000"/>
          <w:sz w:val="24"/>
          <w:lang w:val="en-US" w:eastAsia="zh-CN"/>
        </w:rPr>
        <w:t>5</w:t>
      </w:r>
      <w:r>
        <w:rPr>
          <w:rFonts w:hint="eastAsia"/>
          <w:color w:val="000000"/>
          <w:sz w:val="24"/>
        </w:rPr>
        <w:t xml:space="preserve"> 由于承包人施工质量原因，出现以下质量问题，承包人除按要求进行整改外并承担相应责任外，还应向发包人支付违约金； </w:t>
      </w:r>
    </w:p>
    <w:p>
      <w:pPr>
        <w:spacing w:line="360" w:lineRule="auto"/>
        <w:ind w:firstLine="420" w:firstLineChars="175"/>
        <w:rPr>
          <w:color w:val="000000"/>
          <w:sz w:val="24"/>
        </w:rPr>
      </w:pPr>
      <w:r>
        <w:rPr>
          <w:rFonts w:hint="eastAsia"/>
          <w:color w:val="000000"/>
          <w:sz w:val="24"/>
        </w:rPr>
        <w:t>（1）本合同工程投入使用后一年内，屋面、外墙等地方出现渗水，或防锈漆、防火涂料未达到设计要求或未达到国家或地方标准，每处每次违约金扣款1万元；</w:t>
      </w:r>
    </w:p>
    <w:p>
      <w:pPr>
        <w:spacing w:line="360" w:lineRule="auto"/>
        <w:ind w:firstLine="420" w:firstLineChars="175"/>
        <w:rPr>
          <w:color w:val="000000"/>
          <w:sz w:val="24"/>
        </w:rPr>
      </w:pPr>
      <w:r>
        <w:rPr>
          <w:rFonts w:hint="eastAsia"/>
          <w:color w:val="000000"/>
          <w:sz w:val="24"/>
        </w:rPr>
        <w:t>（2）结构尺寸达不到设计要求，每组违约金扣款10万元；</w:t>
      </w:r>
    </w:p>
    <w:p>
      <w:pPr>
        <w:spacing w:line="360" w:lineRule="auto"/>
        <w:ind w:firstLine="420" w:firstLineChars="175"/>
        <w:rPr>
          <w:color w:val="000000"/>
          <w:sz w:val="24"/>
        </w:rPr>
      </w:pPr>
      <w:r>
        <w:rPr>
          <w:rFonts w:hint="eastAsia"/>
          <w:color w:val="000000"/>
          <w:sz w:val="24"/>
        </w:rPr>
        <w:t>（3）其他质量事故，每次违约金扣款10000—50000元。</w:t>
      </w:r>
    </w:p>
    <w:p>
      <w:pPr>
        <w:spacing w:line="360" w:lineRule="auto"/>
        <w:ind w:firstLine="420" w:firstLineChars="175"/>
        <w:rPr>
          <w:color w:val="000000"/>
          <w:sz w:val="24"/>
        </w:rPr>
      </w:pPr>
      <w:r>
        <w:rPr>
          <w:rFonts w:hint="eastAsia"/>
          <w:color w:val="000000"/>
          <w:sz w:val="24"/>
        </w:rPr>
        <w:t>7.1</w:t>
      </w:r>
      <w:r>
        <w:rPr>
          <w:rFonts w:hint="eastAsia"/>
          <w:color w:val="000000"/>
          <w:sz w:val="24"/>
          <w:lang w:val="en-US" w:eastAsia="zh-CN"/>
        </w:rPr>
        <w:t>6</w:t>
      </w:r>
      <w:r>
        <w:rPr>
          <w:rFonts w:hint="eastAsia"/>
          <w:color w:val="000000"/>
          <w:sz w:val="24"/>
        </w:rPr>
        <w:t>如承包人不按合同条款施工，或违反正常施工程序、施工工艺进行野蛮施工，或施工质量、安全、环保等达不到有关要求，或施工用材料设备不符合规定，发包人有权勒令承包人暂停施工，承包人必须停工整改，一切责任由承包人负责。</w:t>
      </w:r>
    </w:p>
    <w:p>
      <w:pPr>
        <w:spacing w:line="360" w:lineRule="auto"/>
        <w:ind w:firstLine="420" w:firstLineChars="175"/>
        <w:rPr>
          <w:color w:val="000000"/>
          <w:sz w:val="24"/>
        </w:rPr>
      </w:pPr>
      <w:r>
        <w:rPr>
          <w:rFonts w:hint="eastAsia"/>
          <w:color w:val="000000"/>
          <w:sz w:val="24"/>
        </w:rPr>
        <w:t>7.1</w:t>
      </w:r>
      <w:r>
        <w:rPr>
          <w:rFonts w:hint="eastAsia"/>
          <w:color w:val="000000"/>
          <w:sz w:val="24"/>
          <w:lang w:val="en-US" w:eastAsia="zh-CN"/>
        </w:rPr>
        <w:t>7</w:t>
      </w:r>
      <w:r>
        <w:rPr>
          <w:rFonts w:hint="eastAsia"/>
          <w:color w:val="000000"/>
          <w:sz w:val="24"/>
        </w:rPr>
        <w:t>承包人在本项目中必须按ISO9002质量管理体系进行质量管理。如果发包人在不定期的抽查中发现不合格项目，承包人按照每次1000元向发包人支付违约金。</w:t>
      </w:r>
    </w:p>
    <w:p>
      <w:pPr>
        <w:spacing w:line="360" w:lineRule="auto"/>
        <w:ind w:firstLine="420" w:firstLineChars="175"/>
        <w:rPr>
          <w:color w:val="000000"/>
          <w:sz w:val="24"/>
        </w:rPr>
      </w:pPr>
      <w:r>
        <w:rPr>
          <w:rFonts w:hint="eastAsia"/>
          <w:color w:val="000000"/>
          <w:sz w:val="24"/>
        </w:rPr>
        <w:t>承包人全体现场施工人员统一服装，各工种之间安全帽应有区别，全部施工人员佩工作牌。否则按照1000元/天向发包人支付违约金，直至达到要求。</w:t>
      </w:r>
    </w:p>
    <w:p>
      <w:pPr>
        <w:spacing w:line="360" w:lineRule="auto"/>
        <w:ind w:firstLine="420" w:firstLineChars="175"/>
        <w:rPr>
          <w:color w:val="000000"/>
          <w:sz w:val="24"/>
        </w:rPr>
      </w:pPr>
      <w:r>
        <w:rPr>
          <w:rFonts w:hint="eastAsia"/>
          <w:color w:val="000000"/>
          <w:sz w:val="24"/>
        </w:rPr>
        <w:t>7.1</w:t>
      </w:r>
      <w:r>
        <w:rPr>
          <w:rFonts w:hint="eastAsia"/>
          <w:color w:val="000000"/>
          <w:sz w:val="24"/>
          <w:lang w:val="en-US" w:eastAsia="zh-CN"/>
        </w:rPr>
        <w:t>8</w:t>
      </w:r>
      <w:r>
        <w:rPr>
          <w:rFonts w:hint="eastAsia"/>
          <w:color w:val="000000"/>
          <w:sz w:val="24"/>
        </w:rPr>
        <w:t xml:space="preserve"> 承包人必须按照发包人要求，在24小时内把以下人员调离出本工程，否则，每人每次按照1000元向发包人支付违约金；同时，承包人必须在发包人指令发出后2天内，用发包人批准的合格人员代替下述调离的人员：</w:t>
      </w:r>
    </w:p>
    <w:p>
      <w:pPr>
        <w:spacing w:line="360" w:lineRule="auto"/>
        <w:ind w:firstLine="420"/>
        <w:rPr>
          <w:color w:val="000000"/>
          <w:sz w:val="24"/>
        </w:rPr>
      </w:pPr>
      <w:r>
        <w:rPr>
          <w:rFonts w:hint="eastAsia"/>
          <w:color w:val="000000"/>
          <w:sz w:val="24"/>
        </w:rPr>
        <w:t xml:space="preserve">  （1）发包人确认无法胜任工作者，包括：对分部分项工程施工进度及施工质量达不到合同要求负有责任的施工人员、不熟悉熟练本专业的施工人员、工作责任心不强的施工人员等；</w:t>
      </w:r>
    </w:p>
    <w:p>
      <w:pPr>
        <w:spacing w:line="360" w:lineRule="auto"/>
        <w:ind w:firstLine="420"/>
        <w:rPr>
          <w:color w:val="000000"/>
          <w:sz w:val="24"/>
        </w:rPr>
      </w:pPr>
      <w:r>
        <w:rPr>
          <w:rFonts w:hint="eastAsia"/>
          <w:color w:val="000000"/>
          <w:sz w:val="24"/>
        </w:rPr>
        <w:t xml:space="preserve">  （2）不积极配合发包人正常工作者；</w:t>
      </w:r>
    </w:p>
    <w:p>
      <w:pPr>
        <w:spacing w:line="360" w:lineRule="auto"/>
        <w:ind w:firstLine="420"/>
        <w:rPr>
          <w:color w:val="000000"/>
          <w:sz w:val="24"/>
        </w:rPr>
      </w:pPr>
      <w:r>
        <w:rPr>
          <w:rFonts w:hint="eastAsia"/>
          <w:color w:val="000000"/>
          <w:sz w:val="24"/>
        </w:rPr>
        <w:t xml:space="preserve">  （3） 违反发包人工地现场管理规定者；</w:t>
      </w:r>
    </w:p>
    <w:p>
      <w:pPr>
        <w:spacing w:line="360" w:lineRule="auto"/>
        <w:ind w:firstLine="420"/>
        <w:rPr>
          <w:color w:val="000000"/>
          <w:sz w:val="24"/>
        </w:rPr>
      </w:pPr>
      <w:r>
        <w:rPr>
          <w:rFonts w:hint="eastAsia"/>
          <w:color w:val="000000"/>
          <w:sz w:val="24"/>
        </w:rPr>
        <w:t xml:space="preserve">  （4） 无证上岗者（适用于按规定必须有上岗证）；</w:t>
      </w:r>
    </w:p>
    <w:p>
      <w:pPr>
        <w:spacing w:line="360" w:lineRule="auto"/>
        <w:ind w:firstLine="420"/>
        <w:rPr>
          <w:color w:val="000000"/>
          <w:sz w:val="24"/>
        </w:rPr>
      </w:pPr>
      <w:r>
        <w:rPr>
          <w:rFonts w:hint="eastAsia"/>
          <w:color w:val="000000"/>
          <w:sz w:val="24"/>
        </w:rPr>
        <w:t xml:space="preserve">  （5） 与合同规定名册不符者；</w:t>
      </w:r>
    </w:p>
    <w:p>
      <w:pPr>
        <w:spacing w:line="360" w:lineRule="auto"/>
        <w:ind w:firstLine="420"/>
        <w:rPr>
          <w:color w:val="000000"/>
          <w:sz w:val="24"/>
        </w:rPr>
      </w:pPr>
      <w:r>
        <w:rPr>
          <w:rFonts w:hint="eastAsia"/>
          <w:color w:val="000000"/>
          <w:sz w:val="24"/>
        </w:rPr>
        <w:t xml:space="preserve">  （6） 与本工程施工无关的人员。</w:t>
      </w:r>
    </w:p>
    <w:p>
      <w:pPr>
        <w:spacing w:line="360" w:lineRule="auto"/>
        <w:ind w:firstLine="420"/>
        <w:rPr>
          <w:color w:val="000000"/>
          <w:sz w:val="24"/>
        </w:rPr>
      </w:pPr>
      <w:r>
        <w:rPr>
          <w:rFonts w:hint="eastAsia"/>
          <w:color w:val="000000"/>
          <w:sz w:val="24"/>
        </w:rPr>
        <w:t>7.1</w:t>
      </w:r>
      <w:r>
        <w:rPr>
          <w:rFonts w:hint="eastAsia"/>
          <w:color w:val="000000"/>
          <w:sz w:val="24"/>
          <w:lang w:val="en-US" w:eastAsia="zh-CN"/>
        </w:rPr>
        <w:t>9</w:t>
      </w:r>
      <w:r>
        <w:rPr>
          <w:rFonts w:hint="eastAsia"/>
          <w:color w:val="000000"/>
          <w:sz w:val="24"/>
        </w:rPr>
        <w:t xml:space="preserve">竣工日期 </w:t>
      </w:r>
    </w:p>
    <w:p>
      <w:pPr>
        <w:spacing w:line="360" w:lineRule="auto"/>
        <w:ind w:firstLine="480" w:firstLineChars="200"/>
        <w:rPr>
          <w:color w:val="000000"/>
          <w:sz w:val="24"/>
        </w:rPr>
      </w:pPr>
      <w:r>
        <w:rPr>
          <w:rFonts w:hint="eastAsia"/>
          <w:color w:val="000000"/>
          <w:sz w:val="24"/>
        </w:rPr>
        <w:t>本工程竣工日期为</w:t>
      </w:r>
      <w:r>
        <w:rPr>
          <w:color w:val="000000"/>
          <w:sz w:val="24"/>
        </w:rPr>
        <w:t>20</w:t>
      </w:r>
      <w:r>
        <w:rPr>
          <w:rFonts w:hint="eastAsia"/>
          <w:color w:val="000000"/>
          <w:sz w:val="24"/>
          <w:lang w:val="en-US" w:eastAsia="zh-CN"/>
        </w:rPr>
        <w:t>24</w:t>
      </w:r>
      <w:r>
        <w:rPr>
          <w:rFonts w:hint="eastAsia"/>
          <w:color w:val="000000"/>
          <w:sz w:val="24"/>
        </w:rPr>
        <w:t>年</w:t>
      </w:r>
      <w:r>
        <w:rPr>
          <w:rFonts w:hint="eastAsia"/>
          <w:color w:val="000000"/>
          <w:sz w:val="24"/>
          <w:lang w:val="en-US" w:eastAsia="zh-CN"/>
        </w:rPr>
        <w:t>12</w:t>
      </w:r>
      <w:r>
        <w:rPr>
          <w:rFonts w:hint="eastAsia"/>
          <w:color w:val="000000"/>
          <w:sz w:val="24"/>
        </w:rPr>
        <w:t>月</w:t>
      </w:r>
      <w:r>
        <w:rPr>
          <w:rFonts w:hint="eastAsia"/>
          <w:color w:val="000000"/>
          <w:sz w:val="24"/>
          <w:lang w:val="en-US" w:eastAsia="zh-CN"/>
        </w:rPr>
        <w:t>31</w:t>
      </w:r>
      <w:r>
        <w:rPr>
          <w:rFonts w:hint="eastAsia"/>
          <w:color w:val="000000"/>
          <w:sz w:val="24"/>
        </w:rPr>
        <w:t>日，竣工日期不予调整。</w:t>
      </w:r>
    </w:p>
    <w:p>
      <w:pPr>
        <w:spacing w:line="360" w:lineRule="auto"/>
        <w:ind w:firstLine="480" w:firstLineChars="200"/>
        <w:rPr>
          <w:color w:val="000000"/>
          <w:sz w:val="24"/>
        </w:rPr>
      </w:pPr>
      <w:r>
        <w:rPr>
          <w:rFonts w:hint="eastAsia"/>
          <w:color w:val="000000"/>
          <w:sz w:val="24"/>
        </w:rPr>
        <w:t>承包人应充分考虑工程施工时间，合理进行施工组织，为达到上述工期条件而采取的任何费用均包含在合同价款内。</w:t>
      </w:r>
    </w:p>
    <w:p>
      <w:pPr>
        <w:spacing w:line="360" w:lineRule="auto"/>
        <w:ind w:firstLine="420"/>
        <w:rPr>
          <w:color w:val="000000"/>
          <w:sz w:val="24"/>
        </w:rPr>
      </w:pPr>
      <w:r>
        <w:rPr>
          <w:rFonts w:hint="eastAsia"/>
          <w:color w:val="000000"/>
          <w:sz w:val="24"/>
        </w:rPr>
        <w:t>在以下情况发生后，发包人有权单方解除本合同，承包人应在收到发包人的解除合同通知后3天内无条件退场并将工程现场用地、工程设施、工程资料等完整移交给发包人，双方随后安排工程结算、支付等工作：</w:t>
      </w:r>
    </w:p>
    <w:p>
      <w:pPr>
        <w:spacing w:line="360" w:lineRule="auto"/>
        <w:ind w:firstLine="420"/>
        <w:rPr>
          <w:color w:val="000000"/>
          <w:sz w:val="24"/>
        </w:rPr>
      </w:pPr>
      <w:r>
        <w:rPr>
          <w:rFonts w:hint="eastAsia"/>
          <w:color w:val="000000"/>
          <w:sz w:val="24"/>
        </w:rPr>
        <w:t>（1)承包人承包范围内的工程发生质量事故，或导致工程验收不合格、或导致工程停工超过3天的；</w:t>
      </w:r>
    </w:p>
    <w:p>
      <w:pPr>
        <w:spacing w:line="360" w:lineRule="auto"/>
        <w:ind w:firstLine="420"/>
        <w:rPr>
          <w:color w:val="000000"/>
          <w:sz w:val="24"/>
        </w:rPr>
      </w:pPr>
      <w:r>
        <w:rPr>
          <w:rFonts w:hint="eastAsia"/>
          <w:color w:val="000000"/>
          <w:sz w:val="24"/>
        </w:rPr>
        <w:t>（2) 工程总工期比发包人审定的工期计划拖延超过5天的；</w:t>
      </w:r>
    </w:p>
    <w:p>
      <w:pPr>
        <w:spacing w:line="360" w:lineRule="auto"/>
        <w:ind w:firstLine="420"/>
        <w:rPr>
          <w:color w:val="000000"/>
          <w:sz w:val="24"/>
        </w:rPr>
      </w:pPr>
      <w:r>
        <w:rPr>
          <w:rFonts w:hint="eastAsia"/>
          <w:color w:val="000000"/>
          <w:sz w:val="24"/>
        </w:rPr>
        <w:t>（3) 节点工期累计延误超过3次的；</w:t>
      </w:r>
    </w:p>
    <w:p>
      <w:pPr>
        <w:spacing w:line="360" w:lineRule="auto"/>
        <w:ind w:firstLine="420"/>
        <w:rPr>
          <w:color w:val="000000"/>
          <w:sz w:val="24"/>
        </w:rPr>
      </w:pPr>
      <w:r>
        <w:rPr>
          <w:rFonts w:hint="eastAsia"/>
          <w:color w:val="000000"/>
          <w:sz w:val="24"/>
        </w:rPr>
        <w:t>（4) 工程发生安全事故，被政府责令停工超过5天的。</w:t>
      </w:r>
    </w:p>
    <w:p>
      <w:pPr>
        <w:spacing w:line="360" w:lineRule="auto"/>
        <w:ind w:firstLine="480" w:firstLineChars="200"/>
        <w:rPr>
          <w:color w:val="000000"/>
          <w:sz w:val="24"/>
        </w:rPr>
      </w:pPr>
      <w:r>
        <w:rPr>
          <w:rFonts w:hint="eastAsia"/>
          <w:color w:val="000000"/>
          <w:sz w:val="24"/>
        </w:rPr>
        <w:t>承包人不能在收到发包人解除合同通知后3天内履行前款约定义务的，每延期一天向发包人支付工期违约金人民币叁拾万元。</w:t>
      </w:r>
    </w:p>
    <w:p>
      <w:pPr>
        <w:spacing w:line="360" w:lineRule="auto"/>
        <w:ind w:firstLine="420"/>
        <w:rPr>
          <w:color w:val="000000"/>
          <w:sz w:val="24"/>
        </w:rPr>
      </w:pPr>
      <w:r>
        <w:rPr>
          <w:rFonts w:hint="eastAsia"/>
          <w:color w:val="000000"/>
          <w:sz w:val="24"/>
        </w:rPr>
        <w:t>7.</w:t>
      </w:r>
      <w:r>
        <w:rPr>
          <w:rFonts w:hint="eastAsia"/>
          <w:color w:val="000000"/>
          <w:sz w:val="24"/>
          <w:lang w:val="en-US" w:eastAsia="zh-CN"/>
        </w:rPr>
        <w:t>20</w:t>
      </w:r>
      <w:r>
        <w:rPr>
          <w:rFonts w:hint="eastAsia"/>
          <w:color w:val="000000"/>
          <w:sz w:val="24"/>
        </w:rPr>
        <w:t>承包人安全责任</w:t>
      </w:r>
    </w:p>
    <w:p>
      <w:pPr>
        <w:spacing w:line="360" w:lineRule="auto"/>
        <w:ind w:firstLine="480" w:firstLineChars="200"/>
        <w:rPr>
          <w:color w:val="000000"/>
          <w:sz w:val="24"/>
        </w:rPr>
      </w:pPr>
      <w:r>
        <w:rPr>
          <w:rFonts w:hint="eastAsia"/>
          <w:color w:val="000000"/>
          <w:sz w:val="24"/>
        </w:rPr>
        <w:t>本工程自承包人进场至工程完工经验收合格并移交发包人及相关专业单位前（“责任期间”），均由承包人负责现场管理。在责任期间，承包人是工程范围内全部工程施工安全管理的第一责任人。承包人的安全管理责任范围内发生施工安全事故，应由承包人负责解决，并与实际责任人（或直接责任人）承担连带责任。如实际责任人（或直接责任人）无法确定的，应由承包人承担全部责任。承包人应确保发包人不承担任何责任，如由此给发包人造成的直接及间接损失，承包人应全额赔偿，且发包人有权从任一应付承包人的款项中扣除。</w:t>
      </w:r>
    </w:p>
    <w:p>
      <w:pPr>
        <w:spacing w:line="360" w:lineRule="auto"/>
        <w:ind w:firstLine="420"/>
        <w:rPr>
          <w:color w:val="000000"/>
          <w:sz w:val="24"/>
        </w:rPr>
      </w:pPr>
      <w:r>
        <w:rPr>
          <w:rFonts w:hint="eastAsia"/>
          <w:color w:val="000000"/>
          <w:sz w:val="24"/>
        </w:rPr>
        <w:t>7.2</w:t>
      </w:r>
      <w:r>
        <w:rPr>
          <w:rFonts w:hint="eastAsia"/>
          <w:color w:val="000000"/>
          <w:sz w:val="24"/>
          <w:lang w:val="en-US" w:eastAsia="zh-CN"/>
        </w:rPr>
        <w:t>1</w:t>
      </w:r>
      <w:r>
        <w:rPr>
          <w:rFonts w:hint="eastAsia"/>
          <w:color w:val="000000"/>
          <w:sz w:val="24"/>
        </w:rPr>
        <w:t>质量标准和质量等级</w:t>
      </w:r>
    </w:p>
    <w:p>
      <w:pPr>
        <w:spacing w:line="360" w:lineRule="auto"/>
        <w:ind w:firstLine="480" w:firstLineChars="200"/>
        <w:rPr>
          <w:color w:val="000000"/>
          <w:sz w:val="24"/>
        </w:rPr>
      </w:pPr>
      <w:r>
        <w:rPr>
          <w:rFonts w:hint="eastAsia"/>
          <w:color w:val="000000"/>
          <w:sz w:val="24"/>
        </w:rPr>
        <w:t>本工程质量标准必须符合中华人民共和国国家标准及地方标准（具体见技术规格书）。当地方标准与国家标准不一致时，按标准高的执行。若约定的任何工程质量标准低于国家标准及地方标准，则按国家标准执行及地方标准；若约定的任何工程质量标准高于国家标准及地方标准，则按约定的标准执行。</w:t>
      </w:r>
    </w:p>
    <w:p>
      <w:pPr>
        <w:spacing w:line="360" w:lineRule="auto"/>
        <w:ind w:firstLine="480" w:firstLineChars="200"/>
        <w:rPr>
          <w:color w:val="000000"/>
          <w:sz w:val="24"/>
        </w:rPr>
      </w:pPr>
      <w:r>
        <w:rPr>
          <w:rFonts w:hint="eastAsia"/>
          <w:color w:val="000000"/>
          <w:sz w:val="24"/>
        </w:rPr>
        <w:t>本工程质量等级约定为合格标准，以建设工程质量监督部门备案后的相关结论为准。保证本工程的质量达到约定的质量等级是承包人的责任和义务，如因承包人原因不能达到约定的质量等级，承包人应承担由此给发包人带来的所有损失 （含直接损失及发包人因本项目而对他人承担的合同/协议项下的责任等）。</w:t>
      </w:r>
    </w:p>
    <w:p>
      <w:pPr>
        <w:spacing w:line="360" w:lineRule="auto"/>
        <w:ind w:firstLine="420"/>
        <w:rPr>
          <w:color w:val="000000"/>
          <w:sz w:val="24"/>
        </w:rPr>
      </w:pPr>
      <w:r>
        <w:rPr>
          <w:rFonts w:hint="eastAsia"/>
          <w:color w:val="000000"/>
          <w:sz w:val="24"/>
        </w:rPr>
        <w:t>7．2</w:t>
      </w:r>
      <w:r>
        <w:rPr>
          <w:rFonts w:hint="eastAsia"/>
          <w:color w:val="000000"/>
          <w:sz w:val="24"/>
          <w:lang w:val="en-US" w:eastAsia="zh-CN"/>
        </w:rPr>
        <w:t>2</w:t>
      </w:r>
      <w:r>
        <w:rPr>
          <w:rFonts w:hint="eastAsia"/>
          <w:color w:val="000000"/>
          <w:sz w:val="24"/>
        </w:rPr>
        <w:t>承包人的组织机构和人员</w:t>
      </w:r>
    </w:p>
    <w:p>
      <w:pPr>
        <w:spacing w:line="360" w:lineRule="auto"/>
        <w:ind w:firstLine="420"/>
        <w:rPr>
          <w:color w:val="000000"/>
          <w:sz w:val="24"/>
        </w:rPr>
      </w:pPr>
      <w:r>
        <w:rPr>
          <w:rFonts w:hint="eastAsia"/>
          <w:color w:val="000000"/>
          <w:sz w:val="24"/>
        </w:rPr>
        <w:t>承包人为完成合同应设置现场组织机构并组成项目管理班子，项目管理班子主要成员应和投标书中承诺的一致，除事先获得发包人书面批准除外，承包人不得更换或撤回本工程施工主要管理人员，否则，承包人应向发包人支付违约金，违约金支付标准为：更换或撤回项目经理需支付伍拾万元；更换或撤回项目总工、现场经理、质量总监、安全总监需按每人叁拾万元支付；更换或撤回其他管理人员需按每人壹拾万元支付。</w:t>
      </w:r>
    </w:p>
    <w:p>
      <w:pPr>
        <w:spacing w:line="360" w:lineRule="auto"/>
        <w:ind w:firstLine="420"/>
        <w:rPr>
          <w:color w:val="000000"/>
          <w:sz w:val="24"/>
        </w:rPr>
      </w:pPr>
      <w:r>
        <w:rPr>
          <w:rFonts w:hint="eastAsia"/>
          <w:color w:val="000000"/>
          <w:sz w:val="24"/>
        </w:rPr>
        <w:t>项目经理离开现场时应指定合适的替代人员，离开现场1天及1天以上时应书面报发包人批准，否则，承包人应按伍万元人民币</w:t>
      </w:r>
      <w:r>
        <w:rPr>
          <w:rFonts w:hint="eastAsia"/>
          <w:szCs w:val="21"/>
        </w:rPr>
        <w:t>/每次</w:t>
      </w:r>
      <w:r>
        <w:rPr>
          <w:rFonts w:hint="eastAsia"/>
          <w:color w:val="000000"/>
          <w:sz w:val="24"/>
        </w:rPr>
        <w:t>支付违约金；此类违约超过两次，发包人有权要求更换项目经理，承包人应在接到发包人书面通知3日内无条件执行，新指派的项目经理应经发包人同意。</w:t>
      </w:r>
    </w:p>
    <w:p>
      <w:pPr>
        <w:spacing w:line="360" w:lineRule="auto"/>
        <w:ind w:firstLine="420"/>
        <w:rPr>
          <w:color w:val="000000"/>
          <w:sz w:val="24"/>
        </w:rPr>
      </w:pPr>
      <w:r>
        <w:rPr>
          <w:rFonts w:hint="eastAsia"/>
          <w:color w:val="000000"/>
          <w:sz w:val="24"/>
        </w:rPr>
        <w:t>7.2</w:t>
      </w:r>
      <w:r>
        <w:rPr>
          <w:rFonts w:hint="eastAsia"/>
          <w:color w:val="000000"/>
          <w:sz w:val="24"/>
          <w:lang w:val="en-US" w:eastAsia="zh-CN"/>
        </w:rPr>
        <w:t>3</w:t>
      </w:r>
      <w:r>
        <w:rPr>
          <w:rFonts w:hint="eastAsia"/>
          <w:color w:val="000000"/>
          <w:sz w:val="24"/>
        </w:rPr>
        <w:t>施工规划和施工方案</w:t>
      </w:r>
    </w:p>
    <w:p>
      <w:pPr>
        <w:spacing w:line="360" w:lineRule="auto"/>
        <w:ind w:firstLine="420"/>
        <w:rPr>
          <w:color w:val="000000"/>
          <w:sz w:val="24"/>
        </w:rPr>
      </w:pPr>
      <w:r>
        <w:rPr>
          <w:rFonts w:hint="eastAsia"/>
          <w:color w:val="000000"/>
          <w:sz w:val="24"/>
        </w:rPr>
        <w:t>承包人应在开工后3天内向发包人提交整个工程的施工组织设计、项目质量保证计划、主要工序的施工方案，且不应对随投标文件提交的施工规划和施工方案做实质性变动，而是对其进一步细化。在施工过程中，发包人有权要求承包人随时提交施工规划和施工方案的任何说明或文件。承包人应按照经发包人批准的施工规划和施工方案进行施工。在任何情况下，发包人对上述施工规划或施工方案的批准不解除承包人对其应负的责任。</w:t>
      </w:r>
    </w:p>
    <w:p>
      <w:pPr>
        <w:spacing w:line="360" w:lineRule="auto"/>
        <w:ind w:firstLine="420"/>
        <w:rPr>
          <w:color w:val="000000"/>
          <w:sz w:val="24"/>
        </w:rPr>
      </w:pPr>
      <w:r>
        <w:rPr>
          <w:rFonts w:hint="eastAsia"/>
          <w:color w:val="000000"/>
          <w:sz w:val="24"/>
        </w:rPr>
        <w:t>无论何时，如果发包人认为工程实际进度与已经批准的进度计划不符，承包人应根据发包人的要求提出一份经过修订的进度计划，以保证工程按期竣工。承包人无权因上述进度修订而引起的费用</w:t>
      </w:r>
      <w:r>
        <w:rPr>
          <w:rFonts w:hint="eastAsia"/>
          <w:szCs w:val="21"/>
        </w:rPr>
        <w:t>增加</w:t>
      </w:r>
      <w:r>
        <w:rPr>
          <w:rFonts w:hint="eastAsia"/>
          <w:color w:val="000000"/>
          <w:sz w:val="24"/>
        </w:rPr>
        <w:t>进行索赔</w:t>
      </w:r>
      <w:r>
        <w:rPr>
          <w:rFonts w:hint="eastAsia"/>
          <w:szCs w:val="21"/>
        </w:rPr>
        <w:t>或要求延长工期</w:t>
      </w:r>
      <w:r>
        <w:rPr>
          <w:rFonts w:hint="eastAsia"/>
          <w:color w:val="000000"/>
          <w:sz w:val="24"/>
        </w:rPr>
        <w:t>。承包人采取必要的措施来保证工程按照经过修订的进度计划进行施工，与此类措施有关的费用由承包人承担。如施工过程中出现关键线路的某些施工节点进度经过赶工还是滞后，发包人有权要求承包人加大力度继续赶工，直至达到工程总进度要求为止，此类因赶工所发生的费用由承包人承担。</w:t>
      </w:r>
    </w:p>
    <w:p>
      <w:pPr>
        <w:spacing w:line="360" w:lineRule="auto"/>
        <w:ind w:firstLine="420"/>
        <w:rPr>
          <w:color w:val="000000"/>
          <w:sz w:val="24"/>
        </w:rPr>
      </w:pPr>
      <w:r>
        <w:rPr>
          <w:rFonts w:hint="eastAsia"/>
          <w:color w:val="000000"/>
          <w:sz w:val="24"/>
        </w:rPr>
        <w:t>7.2</w:t>
      </w:r>
      <w:r>
        <w:rPr>
          <w:rFonts w:hint="eastAsia"/>
          <w:color w:val="000000"/>
          <w:sz w:val="24"/>
          <w:lang w:val="en-US" w:eastAsia="zh-CN"/>
        </w:rPr>
        <w:t>4</w:t>
      </w:r>
      <w:r>
        <w:rPr>
          <w:rFonts w:hint="eastAsia"/>
          <w:color w:val="000000"/>
          <w:sz w:val="24"/>
        </w:rPr>
        <w:t>文件的接收及执行</w:t>
      </w:r>
    </w:p>
    <w:p>
      <w:pPr>
        <w:spacing w:line="360" w:lineRule="auto"/>
        <w:ind w:firstLine="420"/>
        <w:rPr>
          <w:color w:val="000000"/>
          <w:sz w:val="24"/>
        </w:rPr>
      </w:pPr>
      <w:r>
        <w:rPr>
          <w:rFonts w:hint="eastAsia"/>
          <w:color w:val="000000"/>
          <w:sz w:val="24"/>
        </w:rPr>
        <w:t>工程建设过程中，发包人发给承包人的工作指令、现场技术变更、整改通知单等文件，承包人应签收并执行，如果拒绝签收或签收不执行的，每发生一次承包人承担壹拾万元的违约金，且累计总额无最高限额限制；并且</w:t>
      </w:r>
      <w:r>
        <w:rPr>
          <w:rFonts w:hint="eastAsia"/>
          <w:szCs w:val="21"/>
        </w:rPr>
        <w:t>上述文件自发包人发出2个工作日后，</w:t>
      </w:r>
      <w:r>
        <w:rPr>
          <w:rFonts w:hint="eastAsia"/>
          <w:color w:val="000000"/>
          <w:sz w:val="24"/>
        </w:rPr>
        <w:t>视为承包人已签收，因此产生的责任及费用由承包人承担。</w:t>
      </w:r>
    </w:p>
    <w:p>
      <w:pPr>
        <w:spacing w:line="360" w:lineRule="auto"/>
        <w:ind w:firstLine="420"/>
        <w:rPr>
          <w:color w:val="000000"/>
          <w:sz w:val="24"/>
        </w:rPr>
      </w:pPr>
      <w:r>
        <w:rPr>
          <w:rFonts w:hint="eastAsia"/>
          <w:color w:val="000000"/>
          <w:sz w:val="24"/>
        </w:rPr>
        <w:t>7.2</w:t>
      </w:r>
      <w:r>
        <w:rPr>
          <w:rFonts w:hint="eastAsia"/>
          <w:color w:val="000000"/>
          <w:sz w:val="24"/>
          <w:lang w:val="en-US" w:eastAsia="zh-CN"/>
        </w:rPr>
        <w:t>5</w:t>
      </w:r>
      <w:r>
        <w:rPr>
          <w:rFonts w:hint="eastAsia"/>
          <w:color w:val="000000"/>
          <w:sz w:val="24"/>
        </w:rPr>
        <w:t>施工协调及配合</w:t>
      </w:r>
    </w:p>
    <w:p>
      <w:pPr>
        <w:spacing w:line="360" w:lineRule="auto"/>
        <w:ind w:firstLine="420"/>
        <w:rPr>
          <w:color w:val="000000"/>
          <w:sz w:val="24"/>
        </w:rPr>
      </w:pPr>
      <w:r>
        <w:rPr>
          <w:rFonts w:hint="eastAsia"/>
          <w:color w:val="000000"/>
          <w:sz w:val="24"/>
        </w:rPr>
        <w:t>开工前任何必要的批准、许可、证书及手续（承包人应取得的批准除外），发包人将尽力在开工前完成，承包人协助。根据相关规定，应该由发包人承担的费用，发包人将按照规定的金额或比例支付。</w:t>
      </w:r>
    </w:p>
    <w:p>
      <w:pPr>
        <w:spacing w:line="360" w:lineRule="auto"/>
        <w:ind w:firstLine="420"/>
        <w:rPr>
          <w:color w:val="000000"/>
          <w:sz w:val="24"/>
        </w:rPr>
      </w:pPr>
      <w:r>
        <w:rPr>
          <w:rFonts w:hint="eastAsia"/>
          <w:color w:val="000000"/>
          <w:sz w:val="24"/>
        </w:rPr>
        <w:t>承包人须负责与当地政府及有关单位联系、安排及协调直至完成整个工程。</w:t>
      </w:r>
    </w:p>
    <w:p>
      <w:pPr>
        <w:spacing w:line="360" w:lineRule="auto"/>
        <w:ind w:firstLine="420"/>
        <w:rPr>
          <w:color w:val="000000"/>
          <w:sz w:val="24"/>
        </w:rPr>
      </w:pPr>
      <w:r>
        <w:rPr>
          <w:rFonts w:hint="eastAsia"/>
          <w:color w:val="000000"/>
          <w:sz w:val="24"/>
        </w:rPr>
        <w:t>承包人应充分考虑与发包人其他承包人之间的配合费用，此类费用已包含在合同总价当中。</w:t>
      </w:r>
    </w:p>
    <w:p>
      <w:pPr>
        <w:spacing w:line="360" w:lineRule="auto"/>
        <w:ind w:firstLine="420"/>
        <w:rPr>
          <w:color w:val="000000"/>
          <w:sz w:val="24"/>
        </w:rPr>
      </w:pPr>
      <w:r>
        <w:rPr>
          <w:rFonts w:hint="eastAsia"/>
          <w:color w:val="000000"/>
          <w:sz w:val="24"/>
        </w:rPr>
        <w:t>承包人有责任和义务采用适当的措施最大程度地降低施工过程中产生的施工扰民，并对施工现场周围的居民和公众进行安抚并在必要时支付补偿金，以避免因施工（包括夜间施工）所产生施工噪音、震动、光线等扰民因素导致的扰民对工程进展造成影响。承包人应保证发包人不会承担任何与施工扰民有关的费用，且不会遭受任何与施工扰民或有关的费用和延长工期的索赔。</w:t>
      </w:r>
    </w:p>
    <w:p>
      <w:pPr>
        <w:spacing w:line="360" w:lineRule="auto"/>
        <w:ind w:firstLine="420"/>
        <w:rPr>
          <w:color w:val="000000"/>
          <w:sz w:val="24"/>
        </w:rPr>
      </w:pPr>
      <w:r>
        <w:rPr>
          <w:rFonts w:hint="eastAsia"/>
          <w:color w:val="000000"/>
          <w:sz w:val="24"/>
        </w:rPr>
        <w:t>所有施工都不得产生过量噪音和干扰。如果附近现有的工厂（或其它企业）正在运行，承包人应按照发包人的指示，自费采取一切必要的措施，使其施工对于邻近工厂</w:t>
      </w:r>
      <w:r>
        <w:rPr>
          <w:rFonts w:hint="eastAsia"/>
          <w:szCs w:val="21"/>
        </w:rPr>
        <w:t>（或其它企业）</w:t>
      </w:r>
      <w:r>
        <w:rPr>
          <w:rFonts w:hint="eastAsia"/>
          <w:color w:val="000000"/>
          <w:sz w:val="24"/>
        </w:rPr>
        <w:t>的干扰、危险性、不方便条件减至最低程度。承包人也应根据发包人的指示自费增加路障,警告标志等的设置。承包人必须保障发包人不承担由于施工产生的噪音或其它干扰所造成的损坏所引起的一切索赔、诉讼、损害、费用、罚款和开支等有关的责任。</w:t>
      </w:r>
    </w:p>
    <w:p>
      <w:pPr>
        <w:spacing w:line="360" w:lineRule="auto"/>
        <w:ind w:firstLine="420"/>
        <w:rPr>
          <w:color w:val="000000"/>
          <w:sz w:val="24"/>
        </w:rPr>
      </w:pPr>
    </w:p>
    <w:p>
      <w:pPr>
        <w:spacing w:line="360" w:lineRule="auto"/>
        <w:ind w:firstLine="420"/>
        <w:rPr>
          <w:color w:val="000000"/>
          <w:sz w:val="24"/>
        </w:rPr>
      </w:pPr>
      <w:r>
        <w:rPr>
          <w:rFonts w:hint="eastAsia"/>
          <w:color w:val="000000"/>
          <w:sz w:val="24"/>
        </w:rPr>
        <w:t>7.2</w:t>
      </w:r>
      <w:r>
        <w:rPr>
          <w:rFonts w:hint="eastAsia"/>
          <w:color w:val="000000"/>
          <w:sz w:val="24"/>
          <w:lang w:val="en-US" w:eastAsia="zh-CN"/>
        </w:rPr>
        <w:t>6</w:t>
      </w:r>
      <w:r>
        <w:rPr>
          <w:rFonts w:hint="eastAsia"/>
          <w:color w:val="000000"/>
          <w:sz w:val="24"/>
        </w:rPr>
        <w:t>工程检验验收</w:t>
      </w:r>
    </w:p>
    <w:p>
      <w:pPr>
        <w:spacing w:line="360" w:lineRule="auto"/>
        <w:ind w:firstLine="420"/>
        <w:rPr>
          <w:color w:val="000000"/>
          <w:sz w:val="24"/>
        </w:rPr>
      </w:pPr>
      <w:r>
        <w:rPr>
          <w:rFonts w:hint="eastAsia"/>
          <w:color w:val="000000"/>
          <w:sz w:val="24"/>
        </w:rPr>
        <w:t>任何隐蔽工程或中间验收部位在隐蔽之前必须经过检验并得到发包人批准。在工程具备隐蔽条件并经承包人自检合格后，提前24小时通知发包人参加检验。发包人在收到此类通知后，应按约定的时间参加检验。如检验结果表明其施工符合要求，发包人在验收记录上签字，承包人可进行隐蔽工程施工，如不符合要求，承包人应拆除不合格工程，并进行重新施工。</w:t>
      </w:r>
    </w:p>
    <w:p>
      <w:pPr>
        <w:spacing w:line="360" w:lineRule="auto"/>
        <w:ind w:firstLine="420"/>
        <w:rPr>
          <w:color w:val="000000"/>
          <w:sz w:val="24"/>
        </w:rPr>
      </w:pPr>
      <w:r>
        <w:rPr>
          <w:rFonts w:hint="eastAsia"/>
          <w:color w:val="000000"/>
          <w:sz w:val="24"/>
        </w:rPr>
        <w:t>无论发包人是否参加检验，当其提出对已经隐蔽的工程重新检验时，承包人应按要求进行剥露或开孔，并在检验后重新覆盖或修复。如果检验结果表明符合要求，则发包人与承包人进行适当协商之后应将因此而发生的费用总额追加到合同价款中。其他任何情况下，由此而发生的一切费用由承包人承担。</w:t>
      </w:r>
    </w:p>
    <w:p>
      <w:pPr>
        <w:spacing w:line="360" w:lineRule="auto"/>
        <w:ind w:firstLine="420"/>
        <w:rPr>
          <w:color w:val="000000"/>
          <w:sz w:val="24"/>
        </w:rPr>
      </w:pPr>
      <w:r>
        <w:rPr>
          <w:rFonts w:hint="eastAsia"/>
          <w:color w:val="000000"/>
          <w:sz w:val="24"/>
        </w:rPr>
        <w:t>7.2</w:t>
      </w:r>
      <w:r>
        <w:rPr>
          <w:rFonts w:hint="eastAsia"/>
          <w:color w:val="000000"/>
          <w:sz w:val="24"/>
          <w:lang w:val="en-US" w:eastAsia="zh-CN"/>
        </w:rPr>
        <w:t>7</w:t>
      </w:r>
      <w:r>
        <w:rPr>
          <w:rFonts w:hint="eastAsia"/>
          <w:color w:val="000000"/>
          <w:sz w:val="24"/>
        </w:rPr>
        <w:t>施工成套设备</w:t>
      </w:r>
    </w:p>
    <w:p>
      <w:pPr>
        <w:spacing w:line="360" w:lineRule="auto"/>
        <w:ind w:firstLine="420"/>
        <w:rPr>
          <w:color w:val="000000"/>
          <w:sz w:val="24"/>
        </w:rPr>
      </w:pPr>
      <w:r>
        <w:rPr>
          <w:rFonts w:hint="eastAsia"/>
          <w:color w:val="000000"/>
          <w:sz w:val="24"/>
        </w:rPr>
        <w:t>承包人必须自费提供一切必要的施工成套设备，用于工程的施工、完工及维护。所有进入现场或邻近地区的施工设备在未经发包人书面批准时不得移出场外。在施工过程中，承包人必须妥善使用并正常维护这些施工设备以避免任何停工，不允许由于施工设备的停运和误操作而延长工期。如果由于缺少某种特定的施工设备而导致工程进度中断，发包人有权从其他来源购入所需设备，由此发生的费用必须由承包人负责，且承包人另外支付发生费用20%的违约金。。</w:t>
      </w:r>
    </w:p>
    <w:p>
      <w:pPr>
        <w:spacing w:line="360" w:lineRule="auto"/>
        <w:ind w:firstLine="420"/>
        <w:rPr>
          <w:color w:val="000000"/>
          <w:sz w:val="24"/>
        </w:rPr>
      </w:pPr>
      <w:r>
        <w:rPr>
          <w:rFonts w:hint="eastAsia"/>
          <w:color w:val="000000"/>
          <w:sz w:val="24"/>
        </w:rPr>
        <w:t>7.2</w:t>
      </w:r>
      <w:r>
        <w:rPr>
          <w:rFonts w:hint="eastAsia"/>
          <w:color w:val="000000"/>
          <w:sz w:val="24"/>
          <w:lang w:val="en-US" w:eastAsia="zh-CN"/>
        </w:rPr>
        <w:t>8</w:t>
      </w:r>
      <w:r>
        <w:rPr>
          <w:rFonts w:hint="eastAsia"/>
          <w:color w:val="000000"/>
          <w:sz w:val="24"/>
        </w:rPr>
        <w:t>进度报告</w:t>
      </w:r>
    </w:p>
    <w:p>
      <w:pPr>
        <w:spacing w:line="360" w:lineRule="auto"/>
        <w:ind w:firstLine="420"/>
        <w:rPr>
          <w:color w:val="000000"/>
          <w:sz w:val="24"/>
        </w:rPr>
      </w:pPr>
      <w:r>
        <w:rPr>
          <w:rFonts w:hint="eastAsia"/>
          <w:color w:val="000000"/>
          <w:sz w:val="24"/>
        </w:rPr>
        <w:t>承包人应编制周报告，并作为请款单的附件或证明文件提交给发包人。所包含的期间应从当周的第一天起至最后一天止，直至工程竣工验收合格并移交为止。每一份周报告应早于周例会前两天内提供，内容包括但不限于：</w:t>
      </w:r>
    </w:p>
    <w:p>
      <w:pPr>
        <w:spacing w:line="360" w:lineRule="auto"/>
        <w:ind w:firstLine="420"/>
        <w:rPr>
          <w:color w:val="000000"/>
          <w:sz w:val="24"/>
        </w:rPr>
      </w:pPr>
      <w:r>
        <w:rPr>
          <w:rFonts w:hint="eastAsia"/>
          <w:color w:val="000000"/>
          <w:sz w:val="24"/>
        </w:rPr>
        <w:t>（1)采购、货运、施工等每一阶段进展情况的彩色照片(包括底片及数码文件)与详细说明；照片的拍摄在发包人同意下取自工程的不同部位，每张照片应标上日期，并有叙述说明其位置的标记。这些照片的底片及数码文件和正片的版权和所有权归属发包人。</w:t>
      </w:r>
    </w:p>
    <w:p>
      <w:pPr>
        <w:spacing w:line="360" w:lineRule="auto"/>
        <w:ind w:firstLine="420"/>
        <w:rPr>
          <w:color w:val="000000"/>
          <w:sz w:val="24"/>
        </w:rPr>
      </w:pPr>
      <w:r>
        <w:rPr>
          <w:rFonts w:hint="eastAsia"/>
          <w:color w:val="000000"/>
          <w:sz w:val="24"/>
        </w:rPr>
        <w:t>（2) 反映工程进展情况的任何必要的图表；</w:t>
      </w:r>
    </w:p>
    <w:p>
      <w:pPr>
        <w:spacing w:line="360" w:lineRule="auto"/>
        <w:ind w:firstLine="420"/>
        <w:rPr>
          <w:color w:val="000000"/>
          <w:sz w:val="24"/>
        </w:rPr>
      </w:pPr>
      <w:r>
        <w:rPr>
          <w:rFonts w:hint="eastAsia"/>
          <w:color w:val="000000"/>
          <w:sz w:val="24"/>
        </w:rPr>
        <w:t>（3) 每一项主要材料供应商的名称、制造地点、进度百分比、计划日期与实际日期；</w:t>
      </w:r>
    </w:p>
    <w:p>
      <w:pPr>
        <w:spacing w:line="360" w:lineRule="auto"/>
        <w:ind w:firstLine="420"/>
        <w:rPr>
          <w:color w:val="000000"/>
          <w:sz w:val="24"/>
        </w:rPr>
      </w:pPr>
      <w:r>
        <w:rPr>
          <w:rFonts w:hint="eastAsia"/>
          <w:color w:val="000000"/>
          <w:sz w:val="24"/>
        </w:rPr>
        <w:t>（4) 承包人在现场的人员及施工机械的记录；</w:t>
      </w:r>
    </w:p>
    <w:p>
      <w:pPr>
        <w:spacing w:line="360" w:lineRule="auto"/>
        <w:ind w:firstLine="420"/>
        <w:rPr>
          <w:color w:val="000000"/>
          <w:sz w:val="24"/>
        </w:rPr>
      </w:pPr>
      <w:r>
        <w:rPr>
          <w:rFonts w:hint="eastAsia"/>
          <w:color w:val="000000"/>
          <w:sz w:val="24"/>
        </w:rPr>
        <w:t>（5) 必要的质量证明文件、材料的检验结果及证书；</w:t>
      </w:r>
    </w:p>
    <w:p>
      <w:pPr>
        <w:spacing w:line="360" w:lineRule="auto"/>
        <w:ind w:firstLine="420"/>
        <w:rPr>
          <w:color w:val="000000"/>
          <w:sz w:val="24"/>
        </w:rPr>
      </w:pPr>
      <w:r>
        <w:rPr>
          <w:rFonts w:hint="eastAsia"/>
          <w:color w:val="000000"/>
          <w:sz w:val="24"/>
        </w:rPr>
        <w:t>（6) 安全统计，包括涉及环境和公共关系方面的任何事件或活动的详情；</w:t>
      </w:r>
    </w:p>
    <w:p>
      <w:pPr>
        <w:spacing w:line="360" w:lineRule="auto"/>
        <w:ind w:firstLine="420"/>
        <w:rPr>
          <w:color w:val="000000"/>
          <w:sz w:val="24"/>
        </w:rPr>
      </w:pPr>
      <w:r>
        <w:rPr>
          <w:rFonts w:hint="eastAsia"/>
          <w:color w:val="000000"/>
          <w:sz w:val="24"/>
        </w:rPr>
        <w:t>（7) 实际进度与计划进度的对比，包括可能影响工程按照进度计划进行的任何因素之详情，以及为消除这些因素正在采取（或准备采取）的措施。</w:t>
      </w:r>
    </w:p>
    <w:p>
      <w:pPr>
        <w:spacing w:line="360" w:lineRule="auto"/>
        <w:ind w:firstLine="420"/>
        <w:rPr>
          <w:color w:val="000000"/>
          <w:sz w:val="24"/>
        </w:rPr>
      </w:pPr>
      <w:r>
        <w:rPr>
          <w:rFonts w:hint="eastAsia"/>
          <w:color w:val="000000"/>
          <w:sz w:val="24"/>
        </w:rPr>
        <w:t>7.2</w:t>
      </w:r>
      <w:r>
        <w:rPr>
          <w:rFonts w:hint="eastAsia"/>
          <w:color w:val="000000"/>
          <w:sz w:val="24"/>
          <w:lang w:val="en-US" w:eastAsia="zh-CN"/>
        </w:rPr>
        <w:t>9</w:t>
      </w:r>
      <w:r>
        <w:rPr>
          <w:rFonts w:hint="eastAsia"/>
          <w:color w:val="000000"/>
          <w:sz w:val="24"/>
        </w:rPr>
        <w:t>竣工清理</w:t>
      </w:r>
    </w:p>
    <w:p>
      <w:pPr>
        <w:spacing w:line="360" w:lineRule="auto"/>
        <w:ind w:firstLine="420"/>
        <w:rPr>
          <w:color w:val="000000"/>
          <w:sz w:val="24"/>
        </w:rPr>
      </w:pPr>
      <w:r>
        <w:rPr>
          <w:rFonts w:hint="eastAsia"/>
          <w:color w:val="000000"/>
          <w:sz w:val="24"/>
        </w:rPr>
        <w:t>工程颁发竣工证书前，承包人必须清除全部垃圾以及一切无用的暂设工程，并从工地运走，保持工地及其周围环境的清洁整齐，以便立即移交，直至发包人满意为止。如果承包人在发包人发出清扫指示后的规定时间内未执行清扫工作，发包人保留雇用第三方从事该项工作的权利，由此产生的费用由承包人承担</w:t>
      </w:r>
      <w:r>
        <w:rPr>
          <w:rFonts w:hint="eastAsia"/>
          <w:szCs w:val="21"/>
        </w:rPr>
        <w:t>。</w:t>
      </w:r>
      <w:r>
        <w:rPr>
          <w:rFonts w:hint="eastAsia"/>
          <w:color w:val="000000"/>
          <w:sz w:val="24"/>
        </w:rPr>
        <w:t>该等费用发包人无须与承包人协商，直接从合同进度款中扣除，并向承包人另外收取外加20%的代办费；如果合同应付款不足扣除，发包人可</w:t>
      </w:r>
      <w:r>
        <w:rPr>
          <w:rFonts w:hint="eastAsia"/>
          <w:szCs w:val="21"/>
        </w:rPr>
        <w:t>向</w:t>
      </w:r>
      <w:r>
        <w:rPr>
          <w:rFonts w:hint="eastAsia"/>
          <w:color w:val="000000"/>
          <w:sz w:val="24"/>
        </w:rPr>
        <w:t>履约保函出具银行申请索赔和/或从承包人与发包人的任何其他合同项下的应付款中扣回。</w:t>
      </w:r>
    </w:p>
    <w:p>
      <w:pPr>
        <w:rPr>
          <w:b/>
          <w:bCs/>
          <w:sz w:val="28"/>
          <w:szCs w:val="28"/>
        </w:rPr>
      </w:pPr>
      <w:r>
        <w:rPr>
          <w:rFonts w:hint="eastAsia"/>
          <w:b/>
          <w:bCs/>
          <w:sz w:val="28"/>
          <w:szCs w:val="28"/>
        </w:rPr>
        <w:t>第八条   其  他</w:t>
      </w:r>
    </w:p>
    <w:p>
      <w:pPr>
        <w:spacing w:line="360" w:lineRule="auto"/>
        <w:ind w:firstLine="360" w:firstLineChars="150"/>
        <w:rPr>
          <w:color w:val="000000"/>
          <w:sz w:val="24"/>
        </w:rPr>
      </w:pPr>
      <w:r>
        <w:rPr>
          <w:rFonts w:hint="eastAsia"/>
          <w:color w:val="000000"/>
          <w:sz w:val="24"/>
        </w:rPr>
        <w:t>8.1未经发包人书面许可，承包人不得在施工现场安全网、施工围板上悬挂任何广告，否则，发包人有权派人强行拆除，同时承包人应向发包人每次支付违约金10万元。</w:t>
      </w:r>
    </w:p>
    <w:p>
      <w:pPr>
        <w:spacing w:line="360" w:lineRule="auto"/>
        <w:ind w:firstLine="360" w:firstLineChars="150"/>
        <w:rPr>
          <w:color w:val="000000"/>
          <w:sz w:val="24"/>
        </w:rPr>
      </w:pPr>
      <w:r>
        <w:rPr>
          <w:rFonts w:hint="eastAsia"/>
          <w:color w:val="000000"/>
          <w:sz w:val="24"/>
        </w:rPr>
        <w:t>8.2本工程在工</w:t>
      </w:r>
      <w:r>
        <w:rPr>
          <w:rFonts w:hint="eastAsia"/>
          <w:color w:val="auto"/>
          <w:sz w:val="24"/>
          <w:highlight w:val="none"/>
        </w:rPr>
        <w:t>程实施期间，必须的安全及文明施工措施、环保措施等及其他临建的设计、建设等标准必须符合</w:t>
      </w:r>
      <w:r>
        <w:rPr>
          <w:rFonts w:hint="eastAsia"/>
          <w:color w:val="auto"/>
          <w:sz w:val="24"/>
          <w:highlight w:val="none"/>
          <w:lang w:val="en-US" w:eastAsia="zh-CN"/>
        </w:rPr>
        <w:t>广州</w:t>
      </w:r>
      <w:r>
        <w:rPr>
          <w:rFonts w:hint="eastAsia"/>
          <w:color w:val="auto"/>
          <w:sz w:val="24"/>
          <w:highlight w:val="none"/>
        </w:rPr>
        <w:t>市和发包人的有关规定和要求，围挡的结构形式及墙面的文字、标志、颜色、图案等应按发包人的统一方案实施，承包人在投标报价时已充分考虑包括但不限于：因城市景观、噪音控制、管线拆迁、既有道路拆除及恢复、交通疏解、城市卫生及环境整治要求、以及发包人为配合</w:t>
      </w:r>
      <w:r>
        <w:rPr>
          <w:rFonts w:hint="eastAsia"/>
          <w:color w:val="auto"/>
          <w:sz w:val="24"/>
          <w:highlight w:val="none"/>
          <w:lang w:val="en-US" w:eastAsia="zh-CN"/>
        </w:rPr>
        <w:t>广州</w:t>
      </w:r>
      <w:r>
        <w:rPr>
          <w:rFonts w:hint="eastAsia"/>
          <w:color w:val="auto"/>
          <w:sz w:val="24"/>
          <w:highlight w:val="none"/>
        </w:rPr>
        <w:t>市的各项大型活动等原因需多次围挡、或多次翻新围挡等的各种情况。在本合同履行期间，任何</w:t>
      </w:r>
      <w:r>
        <w:rPr>
          <w:rFonts w:hint="eastAsia"/>
          <w:color w:val="000000"/>
          <w:sz w:val="24"/>
        </w:rPr>
        <w:t>此类原因引起的费用变化，发包人将不予调整。工程完工后由承包人负责修理施工围挡并经发包人验收合格后移交给发包人。此类费用已含在合同价中。</w:t>
      </w:r>
    </w:p>
    <w:p>
      <w:pPr>
        <w:spacing w:line="360" w:lineRule="auto"/>
        <w:ind w:firstLine="360" w:firstLineChars="150"/>
        <w:rPr>
          <w:color w:val="000000"/>
          <w:sz w:val="24"/>
        </w:rPr>
      </w:pPr>
      <w:r>
        <w:rPr>
          <w:rFonts w:hint="eastAsia"/>
          <w:color w:val="000000"/>
          <w:sz w:val="24"/>
        </w:rPr>
        <w:t>8.3施工期间的各种临时支护、加固、支撑措施费用，周边或地下建(构)筑物、地下管线、道路等的安全防护施工措施所需的一切费用，承包人已在工程报价单中列明，如未列明的，则视为已包含在承包人工程报价单的综合单价及本合同总价中。无论承包人如何列项，均视为承包人已充分考虑了实施本工程所需的一切施工措施及全部的相关费用。在本合同履行期间，任何此类施工措施引起的费用变化，发包人将不予调整。</w:t>
      </w:r>
    </w:p>
    <w:p>
      <w:pPr>
        <w:spacing w:line="360" w:lineRule="auto"/>
        <w:ind w:firstLine="480" w:firstLineChars="200"/>
        <w:rPr>
          <w:color w:val="000000"/>
          <w:sz w:val="24"/>
        </w:rPr>
      </w:pPr>
      <w:r>
        <w:rPr>
          <w:rFonts w:hint="eastAsia"/>
          <w:color w:val="000000"/>
          <w:sz w:val="24"/>
        </w:rPr>
        <w:t>8.4履约保函的有效期限应为自开立之日起至工程合同期满3个月止，如承包人不及时提交履约保函，发包人有权不予支付本工程任何应付款以及发包人按照与承包人签订的其他合同应支付的款项。</w:t>
      </w:r>
    </w:p>
    <w:p>
      <w:pPr>
        <w:spacing w:line="360" w:lineRule="auto"/>
        <w:ind w:firstLine="480" w:firstLineChars="200"/>
        <w:rPr>
          <w:rFonts w:ascii="宋体" w:hAnsi="宋体"/>
          <w:sz w:val="24"/>
          <w:highlight w:val="none"/>
        </w:rPr>
      </w:pPr>
      <w:r>
        <w:rPr>
          <w:rFonts w:hint="eastAsia"/>
          <w:sz w:val="24"/>
        </w:rPr>
        <w:t>8.5承包人在投标时应考虑到在招标期间及合同有效期间内，由于劳务及材料价格的上涨，以及任何其他事项的价格上涨而引起工程施工成本增加的风险，合同价款</w:t>
      </w:r>
      <w:r>
        <w:rPr>
          <w:rFonts w:hint="eastAsia"/>
          <w:sz w:val="24"/>
          <w:highlight w:val="none"/>
        </w:rPr>
        <w:t>不会因此而调整。</w:t>
      </w:r>
      <w:r>
        <w:rPr>
          <w:rFonts w:hint="eastAsia" w:ascii="宋体" w:hAnsi="宋体"/>
          <w:sz w:val="24"/>
          <w:highlight w:val="none"/>
        </w:rPr>
        <w:t>在合同履行过程中，结构用钢材（不含支撑及马凳等措施钢筋，不含预埋钢板、钢梁、钢柱等回风夹道及屋面钢结构构件</w:t>
      </w:r>
      <w:r>
        <w:rPr>
          <w:rFonts w:ascii="宋体" w:hAnsi="宋体"/>
          <w:sz w:val="24"/>
          <w:highlight w:val="none"/>
        </w:rPr>
        <w:t>）</w:t>
      </w:r>
      <w:r>
        <w:rPr>
          <w:rFonts w:hint="eastAsia" w:ascii="宋体" w:hAnsi="宋体"/>
          <w:sz w:val="24"/>
          <w:highlight w:val="none"/>
        </w:rPr>
        <w:t>及混凝土价格比截标时信息价格（指</w:t>
      </w:r>
      <w:r>
        <w:rPr>
          <w:rFonts w:hint="eastAsia" w:ascii="宋体" w:hAnsi="宋体"/>
          <w:color w:val="000000"/>
          <w:highlight w:val="none"/>
          <w:lang w:val="en-US" w:eastAsia="zh-CN"/>
        </w:rPr>
        <w:t>广州</w:t>
      </w:r>
      <w:r>
        <w:rPr>
          <w:rFonts w:hint="eastAsia" w:ascii="宋体" w:hAnsi="宋体"/>
          <w:sz w:val="24"/>
          <w:highlight w:val="none"/>
        </w:rPr>
        <w:t>市造价管理部门公布的材料价格信息）涨落超过±</w:t>
      </w:r>
      <w:r>
        <w:rPr>
          <w:rFonts w:ascii="宋体" w:hAnsi="宋体"/>
          <w:sz w:val="24"/>
          <w:highlight w:val="none"/>
        </w:rPr>
        <w:t>5%</w:t>
      </w:r>
      <w:r>
        <w:rPr>
          <w:rFonts w:hint="eastAsia" w:ascii="宋体" w:hAnsi="宋体"/>
          <w:sz w:val="24"/>
          <w:highlight w:val="none"/>
        </w:rPr>
        <w:t>（不含</w:t>
      </w:r>
      <w:r>
        <w:rPr>
          <w:rFonts w:ascii="宋体" w:hAnsi="宋体"/>
          <w:sz w:val="24"/>
          <w:highlight w:val="none"/>
        </w:rPr>
        <w:t>5%</w:t>
      </w:r>
      <w:r>
        <w:rPr>
          <w:rFonts w:hint="eastAsia" w:ascii="宋体" w:hAnsi="宋体"/>
          <w:sz w:val="24"/>
          <w:highlight w:val="none"/>
        </w:rPr>
        <w:t>）时，其超过部分的材料价格</w:t>
      </w:r>
      <w:r>
        <w:rPr>
          <w:rFonts w:hint="eastAsia" w:ascii="宋体" w:hAnsi="宋体"/>
          <w:sz w:val="24"/>
          <w:highlight w:val="none"/>
          <w:lang w:val="en-US" w:eastAsia="zh-CN"/>
        </w:rPr>
        <w:t>不</w:t>
      </w:r>
      <w:r>
        <w:rPr>
          <w:rFonts w:hint="eastAsia" w:ascii="宋体" w:hAnsi="宋体"/>
          <w:sz w:val="24"/>
          <w:highlight w:val="none"/>
        </w:rPr>
        <w:t>予调整，调整公式为：</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当</w:t>
      </w:r>
      <w:r>
        <w:rPr>
          <w:rFonts w:ascii="宋体" w:hAnsi="宋体"/>
          <w:color w:val="000000"/>
          <w:highlight w:val="none"/>
        </w:rPr>
        <w:t>P</w:t>
      </w:r>
      <w:r>
        <w:rPr>
          <w:rFonts w:hint="eastAsia" w:ascii="宋体" w:hAnsi="宋体"/>
          <w:color w:val="000000"/>
          <w:highlight w:val="none"/>
        </w:rPr>
        <w:t>＞</w:t>
      </w:r>
      <w:r>
        <w:rPr>
          <w:rFonts w:ascii="宋体" w:hAnsi="宋体"/>
          <w:color w:val="000000"/>
          <w:highlight w:val="none"/>
        </w:rPr>
        <w:t>P0</w:t>
      </w:r>
      <w:r>
        <w:rPr>
          <w:rFonts w:hint="eastAsia" w:ascii="宋体" w:hAnsi="宋体"/>
          <w:color w:val="000000"/>
          <w:highlight w:val="none"/>
        </w:rPr>
        <w:t>时：</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①</w:t>
      </w:r>
      <w:r>
        <w:rPr>
          <w:rFonts w:ascii="宋体" w:hAnsi="宋体"/>
          <w:color w:val="000000"/>
          <w:highlight w:val="none"/>
        </w:rPr>
        <w:t>Pt</w:t>
      </w:r>
      <w:r>
        <w:rPr>
          <w:rFonts w:hint="eastAsia" w:ascii="宋体" w:hAnsi="宋体"/>
          <w:color w:val="000000"/>
          <w:highlight w:val="none"/>
        </w:rPr>
        <w:t>＜</w:t>
      </w:r>
      <w:r>
        <w:rPr>
          <w:rFonts w:ascii="宋体" w:hAnsi="宋体"/>
          <w:color w:val="000000"/>
          <w:highlight w:val="none"/>
        </w:rPr>
        <w:t>P0</w:t>
      </w:r>
      <w:r>
        <w:rPr>
          <w:rFonts w:hint="eastAsia" w:ascii="宋体" w:hAnsi="宋体"/>
          <w:color w:val="000000"/>
          <w:highlight w:val="none"/>
        </w:rPr>
        <w:t>，且</w:t>
      </w:r>
      <w:r>
        <w:rPr>
          <w:rFonts w:ascii="宋体" w:hAnsi="宋体"/>
          <w:color w:val="000000"/>
          <w:highlight w:val="none"/>
        </w:rPr>
        <w:t>P /P0</w:t>
      </w:r>
      <w:r>
        <w:rPr>
          <w:rFonts w:hint="eastAsia" w:ascii="宋体" w:hAnsi="宋体"/>
          <w:color w:val="000000"/>
          <w:highlight w:val="none"/>
        </w:rPr>
        <w:t>＞</w:t>
      </w:r>
      <w:r>
        <w:rPr>
          <w:rFonts w:ascii="宋体" w:hAnsi="宋体"/>
          <w:color w:val="000000"/>
          <w:highlight w:val="none"/>
        </w:rPr>
        <w:t>1.05</w:t>
      </w:r>
      <w:r>
        <w:rPr>
          <w:rFonts w:hint="eastAsia" w:ascii="宋体" w:hAnsi="宋体"/>
          <w:color w:val="000000"/>
          <w:highlight w:val="none"/>
        </w:rPr>
        <w:t>，则：</w:t>
      </w:r>
    </w:p>
    <w:p>
      <w:pPr>
        <w:tabs>
          <w:tab w:val="left" w:pos="1620"/>
          <w:tab w:val="left" w:pos="2340"/>
        </w:tabs>
        <w:ind w:left="1266" w:leftChars="603" w:firstLine="672" w:firstLineChars="320"/>
        <w:rPr>
          <w:rFonts w:ascii="宋体" w:hAnsi="宋体"/>
          <w:color w:val="000000"/>
          <w:highlight w:val="none"/>
        </w:rPr>
      </w:pPr>
      <w:r>
        <w:rPr>
          <w:rFonts w:ascii="宋体" w:hAnsi="宋体"/>
          <w:color w:val="000000"/>
          <w:highlight w:val="none"/>
        </w:rPr>
        <w:t>C</w:t>
      </w:r>
      <w:r>
        <w:rPr>
          <w:rFonts w:hint="eastAsia" w:ascii="宋体" w:hAnsi="宋体"/>
          <w:color w:val="000000"/>
          <w:highlight w:val="none"/>
        </w:rPr>
        <w:t>增</w:t>
      </w:r>
      <w:r>
        <w:rPr>
          <w:rFonts w:ascii="宋体" w:hAnsi="宋体"/>
          <w:color w:val="000000"/>
          <w:highlight w:val="none"/>
        </w:rPr>
        <w:t>=Q</w:t>
      </w:r>
      <w:r>
        <w:rPr>
          <w:rFonts w:hint="eastAsia" w:ascii="宋体" w:hAnsi="宋体"/>
          <w:color w:val="000000"/>
          <w:highlight w:val="none"/>
        </w:rPr>
        <w:t>总×</w:t>
      </w:r>
      <w:r>
        <w:rPr>
          <w:rFonts w:ascii="宋体" w:hAnsi="宋体"/>
          <w:color w:val="000000"/>
          <w:highlight w:val="none"/>
        </w:rPr>
        <w:t>Pt×(P /P0</w:t>
      </w:r>
      <w:r>
        <w:rPr>
          <w:rFonts w:hint="eastAsia" w:ascii="宋体" w:hAnsi="宋体"/>
          <w:color w:val="000000"/>
          <w:highlight w:val="none"/>
        </w:rPr>
        <w:t>－</w:t>
      </w:r>
      <w:r>
        <w:rPr>
          <w:rFonts w:ascii="宋体" w:hAnsi="宋体"/>
          <w:color w:val="000000"/>
          <w:highlight w:val="none"/>
        </w:rPr>
        <w:t>1.05)</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②</w:t>
      </w:r>
      <w:r>
        <w:rPr>
          <w:rFonts w:ascii="宋体" w:hAnsi="宋体"/>
          <w:color w:val="000000"/>
          <w:highlight w:val="none"/>
        </w:rPr>
        <w:t>Pt</w:t>
      </w:r>
      <w:r>
        <w:rPr>
          <w:rFonts w:hint="eastAsia" w:ascii="宋体" w:hAnsi="宋体"/>
          <w:color w:val="000000"/>
          <w:highlight w:val="none"/>
        </w:rPr>
        <w:t>≥</w:t>
      </w:r>
      <w:r>
        <w:rPr>
          <w:rFonts w:ascii="宋体" w:hAnsi="宋体"/>
          <w:color w:val="000000"/>
          <w:highlight w:val="none"/>
        </w:rPr>
        <w:t>P0</w:t>
      </w:r>
      <w:r>
        <w:rPr>
          <w:rFonts w:hint="eastAsia" w:ascii="宋体" w:hAnsi="宋体"/>
          <w:color w:val="000000"/>
          <w:highlight w:val="none"/>
        </w:rPr>
        <w:t>，且</w:t>
      </w:r>
      <w:r>
        <w:rPr>
          <w:rFonts w:ascii="宋体" w:hAnsi="宋体"/>
          <w:color w:val="000000"/>
          <w:highlight w:val="none"/>
        </w:rPr>
        <w:t>P /Pt</w:t>
      </w:r>
      <w:r>
        <w:rPr>
          <w:rFonts w:hint="eastAsia" w:ascii="宋体" w:hAnsi="宋体"/>
          <w:color w:val="000000"/>
          <w:highlight w:val="none"/>
        </w:rPr>
        <w:t>＞</w:t>
      </w:r>
      <w:r>
        <w:rPr>
          <w:rFonts w:ascii="宋体" w:hAnsi="宋体"/>
          <w:color w:val="000000"/>
          <w:highlight w:val="none"/>
        </w:rPr>
        <w:t>1.05</w:t>
      </w:r>
      <w:r>
        <w:rPr>
          <w:rFonts w:hint="eastAsia" w:ascii="宋体" w:hAnsi="宋体"/>
          <w:color w:val="000000"/>
          <w:highlight w:val="none"/>
        </w:rPr>
        <w:t>，则：</w:t>
      </w:r>
    </w:p>
    <w:p>
      <w:pPr>
        <w:tabs>
          <w:tab w:val="left" w:pos="1620"/>
          <w:tab w:val="left" w:pos="2340"/>
        </w:tabs>
        <w:ind w:left="1266" w:leftChars="603" w:firstLine="672" w:firstLineChars="320"/>
        <w:rPr>
          <w:rFonts w:ascii="宋体" w:hAnsi="宋体"/>
          <w:color w:val="000000"/>
          <w:highlight w:val="none"/>
        </w:rPr>
      </w:pPr>
      <w:r>
        <w:rPr>
          <w:rFonts w:ascii="宋体" w:hAnsi="宋体"/>
          <w:color w:val="000000"/>
          <w:highlight w:val="none"/>
        </w:rPr>
        <w:t>C</w:t>
      </w:r>
      <w:r>
        <w:rPr>
          <w:rFonts w:hint="eastAsia" w:ascii="宋体" w:hAnsi="宋体"/>
          <w:color w:val="000000"/>
          <w:highlight w:val="none"/>
        </w:rPr>
        <w:t>增</w:t>
      </w:r>
      <w:r>
        <w:rPr>
          <w:rFonts w:ascii="宋体" w:hAnsi="宋体"/>
          <w:color w:val="000000"/>
          <w:highlight w:val="none"/>
        </w:rPr>
        <w:t>=Q</w:t>
      </w:r>
      <w:r>
        <w:rPr>
          <w:rFonts w:hint="eastAsia" w:ascii="宋体" w:hAnsi="宋体"/>
          <w:color w:val="000000"/>
          <w:highlight w:val="none"/>
        </w:rPr>
        <w:t>总×</w:t>
      </w:r>
      <w:r>
        <w:rPr>
          <w:rFonts w:ascii="宋体" w:hAnsi="宋体"/>
          <w:color w:val="000000"/>
          <w:highlight w:val="none"/>
        </w:rPr>
        <w:t>Pt×(P /Pt</w:t>
      </w:r>
      <w:r>
        <w:rPr>
          <w:rFonts w:hint="eastAsia" w:ascii="宋体" w:hAnsi="宋体"/>
          <w:color w:val="000000"/>
          <w:highlight w:val="none"/>
        </w:rPr>
        <w:t>－</w:t>
      </w:r>
      <w:r>
        <w:rPr>
          <w:rFonts w:ascii="宋体" w:hAnsi="宋体"/>
          <w:color w:val="000000"/>
          <w:highlight w:val="none"/>
        </w:rPr>
        <w:t>1.05)</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当</w:t>
      </w:r>
      <w:r>
        <w:rPr>
          <w:rFonts w:ascii="宋体" w:hAnsi="宋体"/>
          <w:color w:val="000000"/>
          <w:highlight w:val="none"/>
        </w:rPr>
        <w:t>P</w:t>
      </w:r>
      <w:r>
        <w:rPr>
          <w:rFonts w:hint="eastAsia" w:ascii="宋体" w:hAnsi="宋体"/>
          <w:color w:val="000000"/>
          <w:highlight w:val="none"/>
        </w:rPr>
        <w:t>＜</w:t>
      </w:r>
      <w:r>
        <w:rPr>
          <w:rFonts w:ascii="宋体" w:hAnsi="宋体"/>
          <w:color w:val="000000"/>
          <w:highlight w:val="none"/>
        </w:rPr>
        <w:t>P0</w:t>
      </w:r>
      <w:r>
        <w:rPr>
          <w:rFonts w:hint="eastAsia" w:ascii="宋体" w:hAnsi="宋体"/>
          <w:color w:val="000000"/>
          <w:highlight w:val="none"/>
        </w:rPr>
        <w:t>时：</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①</w:t>
      </w:r>
      <w:r>
        <w:rPr>
          <w:rFonts w:ascii="宋体" w:hAnsi="宋体"/>
          <w:color w:val="000000"/>
          <w:highlight w:val="none"/>
        </w:rPr>
        <w:t>Pt</w:t>
      </w:r>
      <w:r>
        <w:rPr>
          <w:rFonts w:hint="eastAsia" w:ascii="宋体" w:hAnsi="宋体"/>
          <w:color w:val="000000"/>
          <w:highlight w:val="none"/>
        </w:rPr>
        <w:t>＜</w:t>
      </w:r>
      <w:r>
        <w:rPr>
          <w:rFonts w:ascii="宋体" w:hAnsi="宋体"/>
          <w:color w:val="000000"/>
          <w:highlight w:val="none"/>
        </w:rPr>
        <w:t>P0</w:t>
      </w:r>
      <w:r>
        <w:rPr>
          <w:rFonts w:hint="eastAsia" w:ascii="宋体" w:hAnsi="宋体"/>
          <w:color w:val="000000"/>
          <w:highlight w:val="none"/>
        </w:rPr>
        <w:t>，且</w:t>
      </w:r>
      <w:r>
        <w:rPr>
          <w:rFonts w:ascii="宋体" w:hAnsi="宋体"/>
          <w:color w:val="000000"/>
          <w:highlight w:val="none"/>
        </w:rPr>
        <w:t>P /Pt</w:t>
      </w:r>
      <w:r>
        <w:rPr>
          <w:rFonts w:hint="eastAsia" w:ascii="宋体" w:hAnsi="宋体"/>
          <w:color w:val="000000"/>
          <w:highlight w:val="none"/>
        </w:rPr>
        <w:t>＜</w:t>
      </w:r>
      <w:r>
        <w:rPr>
          <w:rFonts w:ascii="宋体" w:hAnsi="宋体"/>
          <w:color w:val="000000"/>
          <w:highlight w:val="none"/>
        </w:rPr>
        <w:t>0.95</w:t>
      </w:r>
      <w:r>
        <w:rPr>
          <w:rFonts w:hint="eastAsia" w:ascii="宋体" w:hAnsi="宋体"/>
          <w:color w:val="000000"/>
          <w:highlight w:val="none"/>
        </w:rPr>
        <w:t>，则：</w:t>
      </w:r>
    </w:p>
    <w:p>
      <w:pPr>
        <w:tabs>
          <w:tab w:val="left" w:pos="1620"/>
          <w:tab w:val="left" w:pos="2340"/>
        </w:tabs>
        <w:ind w:left="1266" w:leftChars="603" w:firstLine="672" w:firstLineChars="320"/>
        <w:rPr>
          <w:rFonts w:ascii="宋体" w:hAnsi="宋体"/>
          <w:color w:val="000000"/>
          <w:highlight w:val="none"/>
        </w:rPr>
      </w:pPr>
      <w:r>
        <w:rPr>
          <w:rFonts w:ascii="宋体" w:hAnsi="宋体"/>
          <w:color w:val="000000"/>
          <w:highlight w:val="none"/>
        </w:rPr>
        <w:t>C</w:t>
      </w:r>
      <w:r>
        <w:rPr>
          <w:rFonts w:hint="eastAsia" w:ascii="宋体" w:hAnsi="宋体"/>
          <w:color w:val="000000"/>
          <w:highlight w:val="none"/>
        </w:rPr>
        <w:t>减</w:t>
      </w:r>
      <w:r>
        <w:rPr>
          <w:rFonts w:ascii="宋体" w:hAnsi="宋体"/>
          <w:color w:val="000000"/>
          <w:highlight w:val="none"/>
        </w:rPr>
        <w:t>=Q</w:t>
      </w:r>
      <w:r>
        <w:rPr>
          <w:rFonts w:hint="eastAsia" w:ascii="宋体" w:hAnsi="宋体"/>
          <w:color w:val="000000"/>
          <w:highlight w:val="none"/>
        </w:rPr>
        <w:t>总×</w:t>
      </w:r>
      <w:r>
        <w:rPr>
          <w:rFonts w:ascii="宋体" w:hAnsi="宋体"/>
          <w:color w:val="000000"/>
          <w:highlight w:val="none"/>
        </w:rPr>
        <w:t>Pt×(0.95</w:t>
      </w:r>
      <w:r>
        <w:rPr>
          <w:rFonts w:hint="eastAsia" w:ascii="宋体" w:hAnsi="宋体"/>
          <w:color w:val="000000"/>
          <w:highlight w:val="none"/>
        </w:rPr>
        <w:t>－</w:t>
      </w:r>
      <w:r>
        <w:rPr>
          <w:rFonts w:ascii="宋体" w:hAnsi="宋体"/>
          <w:color w:val="000000"/>
          <w:highlight w:val="none"/>
        </w:rPr>
        <w:t>P /Pt)</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②</w:t>
      </w:r>
      <w:r>
        <w:rPr>
          <w:rFonts w:ascii="宋体" w:hAnsi="宋体"/>
          <w:color w:val="000000"/>
          <w:highlight w:val="none"/>
        </w:rPr>
        <w:t>Pt</w:t>
      </w:r>
      <w:r>
        <w:rPr>
          <w:rFonts w:hint="eastAsia" w:ascii="宋体" w:hAnsi="宋体"/>
          <w:color w:val="000000"/>
          <w:highlight w:val="none"/>
        </w:rPr>
        <w:t>≥</w:t>
      </w:r>
      <w:r>
        <w:rPr>
          <w:rFonts w:ascii="宋体" w:hAnsi="宋体"/>
          <w:color w:val="000000"/>
          <w:highlight w:val="none"/>
        </w:rPr>
        <w:t>P0</w:t>
      </w:r>
      <w:r>
        <w:rPr>
          <w:rFonts w:hint="eastAsia" w:ascii="宋体" w:hAnsi="宋体"/>
          <w:color w:val="000000"/>
          <w:highlight w:val="none"/>
        </w:rPr>
        <w:t>，且</w:t>
      </w:r>
      <w:r>
        <w:rPr>
          <w:rFonts w:ascii="宋体" w:hAnsi="宋体"/>
          <w:color w:val="000000"/>
          <w:highlight w:val="none"/>
        </w:rPr>
        <w:t>P /P0</w:t>
      </w:r>
      <w:r>
        <w:rPr>
          <w:rFonts w:hint="eastAsia" w:ascii="宋体" w:hAnsi="宋体"/>
          <w:color w:val="000000"/>
          <w:highlight w:val="none"/>
        </w:rPr>
        <w:t>＜</w:t>
      </w:r>
      <w:r>
        <w:rPr>
          <w:rFonts w:ascii="宋体" w:hAnsi="宋体"/>
          <w:color w:val="000000"/>
          <w:highlight w:val="none"/>
        </w:rPr>
        <w:t>0.95</w:t>
      </w:r>
      <w:r>
        <w:rPr>
          <w:rFonts w:hint="eastAsia" w:ascii="宋体" w:hAnsi="宋体"/>
          <w:color w:val="000000"/>
          <w:highlight w:val="none"/>
        </w:rPr>
        <w:t>，则：</w:t>
      </w:r>
    </w:p>
    <w:p>
      <w:pPr>
        <w:tabs>
          <w:tab w:val="left" w:pos="1620"/>
          <w:tab w:val="left" w:pos="2340"/>
        </w:tabs>
        <w:ind w:left="1266" w:leftChars="603" w:firstLine="672" w:firstLineChars="320"/>
        <w:rPr>
          <w:rFonts w:ascii="宋体" w:hAnsi="宋体"/>
          <w:color w:val="000000"/>
          <w:highlight w:val="none"/>
        </w:rPr>
      </w:pPr>
      <w:r>
        <w:rPr>
          <w:rFonts w:ascii="宋体" w:hAnsi="宋体"/>
          <w:color w:val="000000"/>
          <w:highlight w:val="none"/>
        </w:rPr>
        <w:t>C</w:t>
      </w:r>
      <w:r>
        <w:rPr>
          <w:rFonts w:hint="eastAsia" w:ascii="宋体" w:hAnsi="宋体"/>
          <w:color w:val="000000"/>
          <w:highlight w:val="none"/>
        </w:rPr>
        <w:t>减</w:t>
      </w:r>
      <w:r>
        <w:rPr>
          <w:rFonts w:ascii="宋体" w:hAnsi="宋体"/>
          <w:color w:val="000000"/>
          <w:highlight w:val="none"/>
        </w:rPr>
        <w:t>=Q</w:t>
      </w:r>
      <w:r>
        <w:rPr>
          <w:rFonts w:hint="eastAsia" w:ascii="宋体" w:hAnsi="宋体"/>
          <w:color w:val="000000"/>
          <w:highlight w:val="none"/>
        </w:rPr>
        <w:t>总×</w:t>
      </w:r>
      <w:r>
        <w:rPr>
          <w:rFonts w:ascii="宋体" w:hAnsi="宋体"/>
          <w:color w:val="000000"/>
          <w:highlight w:val="none"/>
        </w:rPr>
        <w:t>Pt×(0.95</w:t>
      </w:r>
      <w:r>
        <w:rPr>
          <w:rFonts w:hint="eastAsia" w:ascii="宋体" w:hAnsi="宋体"/>
          <w:color w:val="000000"/>
          <w:highlight w:val="none"/>
        </w:rPr>
        <w:t>－</w:t>
      </w:r>
      <w:r>
        <w:rPr>
          <w:rFonts w:ascii="宋体" w:hAnsi="宋体"/>
          <w:color w:val="000000"/>
          <w:highlight w:val="none"/>
        </w:rPr>
        <w:t>P /P0)</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式中：</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P0－按专用条款约定月份《</w:t>
      </w:r>
      <w:r>
        <w:rPr>
          <w:rFonts w:hint="eastAsia" w:ascii="宋体" w:hAnsi="宋体"/>
          <w:color w:val="000000"/>
          <w:highlight w:val="none"/>
          <w:lang w:val="en-US" w:eastAsia="zh-CN"/>
        </w:rPr>
        <w:t>广州</w:t>
      </w:r>
      <w:r>
        <w:rPr>
          <w:rFonts w:hint="eastAsia" w:ascii="宋体" w:hAnsi="宋体"/>
          <w:color w:val="000000"/>
          <w:highlight w:val="none"/>
        </w:rPr>
        <w:t>市建设工程价格信息》某材料价格。</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Pt－承包人投标文件商务标书中某材料的投标单价，如投标报价中无法确认某材料的单价时，则Pt取值为P0×（1-中标净下浮率）；</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C增－调增合同价格；</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C减－调减合同价格；</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Q总－本项目已完工程合格产品的某材料总用量（其中消耗量因素在专用条款约定）。</w:t>
      </w:r>
    </w:p>
    <w:p>
      <w:pPr>
        <w:tabs>
          <w:tab w:val="left" w:pos="1620"/>
          <w:tab w:val="left" w:pos="2340"/>
        </w:tabs>
        <w:ind w:left="1266" w:leftChars="603" w:firstLine="672" w:firstLineChars="320"/>
        <w:rPr>
          <w:rFonts w:ascii="宋体" w:hAnsi="宋体"/>
          <w:color w:val="000000"/>
          <w:highlight w:val="none"/>
        </w:rPr>
      </w:pPr>
      <w:r>
        <w:rPr>
          <w:rFonts w:ascii="宋体" w:hAnsi="宋体"/>
          <w:color w:val="000000"/>
          <w:highlight w:val="none"/>
        </w:rPr>
        <w:t>P</w:t>
      </w:r>
      <w:r>
        <w:rPr>
          <w:rFonts w:hint="eastAsia" w:ascii="宋体" w:hAnsi="宋体"/>
          <w:color w:val="000000"/>
          <w:highlight w:val="none"/>
        </w:rPr>
        <w:t>－计算方式如下（或按专用条款中约定的方法）：</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①加权平均法：</w:t>
      </w:r>
    </w:p>
    <w:p>
      <w:pPr>
        <w:tabs>
          <w:tab w:val="left" w:pos="1620"/>
          <w:tab w:val="left" w:pos="2340"/>
        </w:tabs>
        <w:ind w:left="1266" w:leftChars="603" w:firstLine="672" w:firstLineChars="320"/>
        <w:rPr>
          <w:rFonts w:ascii="宋体" w:hAnsi="宋体"/>
          <w:color w:val="000000"/>
          <w:highlight w:val="none"/>
        </w:rPr>
      </w:pPr>
      <w:r>
        <w:rPr>
          <w:rFonts w:ascii="宋体" w:hAnsi="宋体"/>
          <w:color w:val="000000"/>
          <w:highlight w:val="none"/>
        </w:rPr>
        <w:t>P -</w:t>
      </w:r>
      <w:r>
        <w:rPr>
          <w:rFonts w:hint="eastAsia" w:ascii="宋体" w:hAnsi="宋体"/>
          <w:color w:val="000000"/>
          <w:highlight w:val="none"/>
        </w:rPr>
        <w:t>施工期加权平均价格，即∑</w:t>
      </w:r>
      <w:r>
        <w:rPr>
          <w:rFonts w:ascii="宋体" w:hAnsi="宋体"/>
          <w:color w:val="000000"/>
          <w:highlight w:val="none"/>
        </w:rPr>
        <w:t>(Qi×Pi)/Q</w:t>
      </w:r>
      <w:r>
        <w:rPr>
          <w:rFonts w:hint="eastAsia" w:ascii="宋体" w:hAnsi="宋体"/>
          <w:color w:val="000000"/>
          <w:highlight w:val="none"/>
        </w:rPr>
        <w:t>总，其中</w:t>
      </w:r>
      <w:r>
        <w:rPr>
          <w:rFonts w:ascii="宋体" w:hAnsi="宋体"/>
          <w:color w:val="000000"/>
          <w:highlight w:val="none"/>
        </w:rPr>
        <w:t>Qi</w:t>
      </w:r>
      <w:r>
        <w:rPr>
          <w:rFonts w:hint="eastAsia" w:ascii="宋体" w:hAnsi="宋体"/>
          <w:color w:val="000000"/>
          <w:highlight w:val="none"/>
        </w:rPr>
        <w:t>为施工期第</w:t>
      </w:r>
      <w:r>
        <w:rPr>
          <w:rFonts w:ascii="宋体" w:hAnsi="宋体"/>
          <w:color w:val="000000"/>
          <w:highlight w:val="none"/>
        </w:rPr>
        <w:t>i</w:t>
      </w:r>
      <w:r>
        <w:rPr>
          <w:rFonts w:hint="eastAsia" w:ascii="宋体" w:hAnsi="宋体"/>
          <w:color w:val="000000"/>
          <w:highlight w:val="none"/>
        </w:rPr>
        <w:t>个月某材料用量（消耗量因素在专用条款约定）；</w:t>
      </w:r>
      <w:r>
        <w:rPr>
          <w:rFonts w:ascii="宋体" w:hAnsi="宋体"/>
          <w:color w:val="000000"/>
          <w:highlight w:val="none"/>
        </w:rPr>
        <w:t>Pi</w:t>
      </w:r>
      <w:r>
        <w:rPr>
          <w:rFonts w:hint="eastAsia" w:ascii="宋体" w:hAnsi="宋体"/>
          <w:color w:val="000000"/>
          <w:highlight w:val="none"/>
        </w:rPr>
        <w:t>为施工期第</w:t>
      </w:r>
      <w:r>
        <w:rPr>
          <w:rFonts w:ascii="宋体" w:hAnsi="宋体"/>
          <w:color w:val="000000"/>
          <w:highlight w:val="none"/>
        </w:rPr>
        <w:t>i</w:t>
      </w:r>
      <w:r>
        <w:rPr>
          <w:rFonts w:hint="eastAsia" w:ascii="宋体" w:hAnsi="宋体"/>
          <w:color w:val="000000"/>
          <w:highlight w:val="none"/>
        </w:rPr>
        <w:t>个月当月《</w:t>
      </w:r>
      <w:r>
        <w:rPr>
          <w:rFonts w:hint="eastAsia" w:ascii="宋体" w:hAnsi="宋体"/>
          <w:color w:val="000000"/>
          <w:highlight w:val="none"/>
          <w:lang w:val="en-US" w:eastAsia="zh-CN"/>
        </w:rPr>
        <w:t>广州</w:t>
      </w:r>
      <w:r>
        <w:rPr>
          <w:rFonts w:hint="eastAsia" w:ascii="宋体" w:hAnsi="宋体"/>
          <w:color w:val="000000"/>
          <w:highlight w:val="none"/>
        </w:rPr>
        <w:t>市建设工程价格信息》某材料价格。例如施工期第</w:t>
      </w:r>
      <w:r>
        <w:rPr>
          <w:rFonts w:ascii="宋体" w:hAnsi="宋体"/>
          <w:color w:val="000000"/>
          <w:highlight w:val="none"/>
        </w:rPr>
        <w:t>i</w:t>
      </w:r>
      <w:r>
        <w:rPr>
          <w:rFonts w:hint="eastAsia" w:ascii="宋体" w:hAnsi="宋体"/>
          <w:color w:val="000000"/>
          <w:highlight w:val="none"/>
        </w:rPr>
        <w:t>个月是</w:t>
      </w:r>
      <w:r>
        <w:rPr>
          <w:rFonts w:ascii="宋体" w:hAnsi="宋体"/>
          <w:color w:val="000000"/>
          <w:highlight w:val="none"/>
        </w:rPr>
        <w:t>2018</w:t>
      </w:r>
      <w:r>
        <w:rPr>
          <w:rFonts w:hint="eastAsia" w:ascii="宋体" w:hAnsi="宋体"/>
          <w:color w:val="000000"/>
          <w:highlight w:val="none"/>
        </w:rPr>
        <w:t>年</w:t>
      </w:r>
      <w:r>
        <w:rPr>
          <w:rFonts w:ascii="宋体" w:hAnsi="宋体"/>
          <w:color w:val="000000"/>
          <w:highlight w:val="none"/>
        </w:rPr>
        <w:t>6</w:t>
      </w:r>
      <w:r>
        <w:rPr>
          <w:rFonts w:hint="eastAsia" w:ascii="宋体" w:hAnsi="宋体"/>
          <w:color w:val="000000"/>
          <w:highlight w:val="none"/>
        </w:rPr>
        <w:t>月，则对应</w:t>
      </w:r>
      <w:r>
        <w:rPr>
          <w:rFonts w:ascii="宋体" w:hAnsi="宋体"/>
          <w:color w:val="000000"/>
          <w:highlight w:val="none"/>
        </w:rPr>
        <w:t>2018</w:t>
      </w:r>
      <w:r>
        <w:rPr>
          <w:rFonts w:hint="eastAsia" w:ascii="宋体" w:hAnsi="宋体"/>
          <w:color w:val="000000"/>
          <w:highlight w:val="none"/>
        </w:rPr>
        <w:t>年</w:t>
      </w:r>
      <w:r>
        <w:rPr>
          <w:rFonts w:ascii="宋体" w:hAnsi="宋体"/>
          <w:color w:val="000000"/>
          <w:highlight w:val="none"/>
        </w:rPr>
        <w:t>6</w:t>
      </w:r>
      <w:r>
        <w:rPr>
          <w:rFonts w:hint="eastAsia" w:ascii="宋体" w:hAnsi="宋体"/>
          <w:color w:val="000000"/>
          <w:highlight w:val="none"/>
        </w:rPr>
        <w:t>月《</w:t>
      </w:r>
      <w:r>
        <w:rPr>
          <w:rFonts w:hint="eastAsia" w:ascii="宋体" w:hAnsi="宋体"/>
          <w:color w:val="000000"/>
          <w:highlight w:val="none"/>
          <w:lang w:val="en-US" w:eastAsia="zh-CN"/>
        </w:rPr>
        <w:t>广州</w:t>
      </w:r>
      <w:r>
        <w:rPr>
          <w:rFonts w:hint="eastAsia" w:ascii="宋体" w:hAnsi="宋体"/>
          <w:color w:val="000000"/>
          <w:highlight w:val="none"/>
        </w:rPr>
        <w:t>市建设工程价格信息》。</w:t>
      </w:r>
    </w:p>
    <w:p>
      <w:pPr>
        <w:tabs>
          <w:tab w:val="left" w:pos="1620"/>
          <w:tab w:val="left" w:pos="2340"/>
        </w:tabs>
        <w:ind w:left="1266" w:leftChars="603" w:firstLine="672" w:firstLineChars="320"/>
        <w:rPr>
          <w:rFonts w:ascii="宋体" w:hAnsi="宋体"/>
          <w:color w:val="000000"/>
          <w:highlight w:val="none"/>
        </w:rPr>
      </w:pPr>
      <w:r>
        <w:rPr>
          <w:rFonts w:hint="eastAsia" w:ascii="宋体" w:hAnsi="宋体"/>
          <w:color w:val="000000"/>
          <w:highlight w:val="none"/>
        </w:rPr>
        <w:t>或者②算术平均法：</w:t>
      </w:r>
    </w:p>
    <w:p>
      <w:pPr>
        <w:tabs>
          <w:tab w:val="left" w:pos="1620"/>
          <w:tab w:val="left" w:pos="2340"/>
        </w:tabs>
        <w:ind w:left="1487" w:leftChars="708" w:firstLine="306" w:firstLineChars="146"/>
        <w:rPr>
          <w:rFonts w:ascii="宋体" w:hAnsi="宋体"/>
          <w:color w:val="000000"/>
          <w:highlight w:val="none"/>
        </w:rPr>
      </w:pPr>
      <w:r>
        <w:rPr>
          <w:rFonts w:ascii="宋体" w:hAnsi="宋体"/>
          <w:color w:val="000000"/>
          <w:highlight w:val="none"/>
        </w:rPr>
        <w:t>P -</w:t>
      </w:r>
      <w:r>
        <w:rPr>
          <w:rFonts w:hint="eastAsia" w:ascii="宋体" w:hAnsi="宋体"/>
          <w:color w:val="000000"/>
          <w:highlight w:val="none"/>
        </w:rPr>
        <w:t>本工程有某材料投入月份对应《</w:t>
      </w:r>
      <w:r>
        <w:rPr>
          <w:rFonts w:hint="eastAsia" w:ascii="宋体" w:hAnsi="宋体"/>
          <w:color w:val="000000"/>
          <w:highlight w:val="none"/>
          <w:lang w:val="en-US" w:eastAsia="zh-CN"/>
        </w:rPr>
        <w:t>广州</w:t>
      </w:r>
      <w:r>
        <w:rPr>
          <w:rFonts w:hint="eastAsia" w:ascii="宋体" w:hAnsi="宋体"/>
          <w:color w:val="000000"/>
          <w:highlight w:val="none"/>
        </w:rPr>
        <w:t>市建设工程价格信息》某材料价格的算术平均值。例如有某材料投入月份是指</w:t>
      </w:r>
      <w:r>
        <w:rPr>
          <w:rFonts w:ascii="宋体" w:hAnsi="宋体"/>
          <w:color w:val="000000"/>
          <w:highlight w:val="none"/>
        </w:rPr>
        <w:t>2018</w:t>
      </w:r>
      <w:r>
        <w:rPr>
          <w:rFonts w:hint="eastAsia" w:ascii="宋体" w:hAnsi="宋体"/>
          <w:color w:val="000000"/>
          <w:highlight w:val="none"/>
        </w:rPr>
        <w:t>年</w:t>
      </w:r>
      <w:r>
        <w:rPr>
          <w:rFonts w:ascii="宋体" w:hAnsi="宋体"/>
          <w:color w:val="000000"/>
          <w:highlight w:val="none"/>
        </w:rPr>
        <w:t>6</w:t>
      </w:r>
      <w:r>
        <w:rPr>
          <w:rFonts w:hint="eastAsia" w:ascii="宋体" w:hAnsi="宋体"/>
          <w:color w:val="000000"/>
          <w:highlight w:val="none"/>
        </w:rPr>
        <w:t>月至</w:t>
      </w:r>
      <w:r>
        <w:rPr>
          <w:rFonts w:ascii="宋体" w:hAnsi="宋体"/>
          <w:color w:val="000000"/>
          <w:highlight w:val="none"/>
        </w:rPr>
        <w:t>8</w:t>
      </w:r>
      <w:r>
        <w:rPr>
          <w:rFonts w:hint="eastAsia" w:ascii="宋体" w:hAnsi="宋体"/>
          <w:color w:val="000000"/>
          <w:highlight w:val="none"/>
        </w:rPr>
        <w:t>月，则对应</w:t>
      </w:r>
      <w:r>
        <w:rPr>
          <w:rFonts w:ascii="宋体" w:hAnsi="宋体"/>
          <w:color w:val="000000"/>
          <w:highlight w:val="none"/>
        </w:rPr>
        <w:t>2018</w:t>
      </w:r>
      <w:r>
        <w:rPr>
          <w:rFonts w:hint="eastAsia" w:ascii="宋体" w:hAnsi="宋体"/>
          <w:color w:val="000000"/>
          <w:highlight w:val="none"/>
        </w:rPr>
        <w:t>年</w:t>
      </w:r>
      <w:r>
        <w:rPr>
          <w:rFonts w:ascii="宋体" w:hAnsi="宋体"/>
          <w:color w:val="000000"/>
          <w:highlight w:val="none"/>
        </w:rPr>
        <w:t>6</w:t>
      </w:r>
      <w:r>
        <w:rPr>
          <w:rFonts w:hint="eastAsia" w:ascii="宋体" w:hAnsi="宋体"/>
          <w:color w:val="000000"/>
          <w:highlight w:val="none"/>
        </w:rPr>
        <w:t>月至</w:t>
      </w:r>
      <w:r>
        <w:rPr>
          <w:rFonts w:ascii="宋体" w:hAnsi="宋体"/>
          <w:color w:val="000000"/>
          <w:highlight w:val="none"/>
        </w:rPr>
        <w:t>8</w:t>
      </w:r>
      <w:r>
        <w:rPr>
          <w:rFonts w:hint="eastAsia" w:ascii="宋体" w:hAnsi="宋体"/>
          <w:color w:val="000000"/>
          <w:highlight w:val="none"/>
        </w:rPr>
        <w:t>月《</w:t>
      </w:r>
      <w:r>
        <w:rPr>
          <w:rFonts w:hint="eastAsia" w:ascii="宋体" w:hAnsi="宋体"/>
          <w:color w:val="000000"/>
          <w:highlight w:val="none"/>
          <w:lang w:val="en-US" w:eastAsia="zh-CN"/>
        </w:rPr>
        <w:t>广州</w:t>
      </w:r>
      <w:r>
        <w:rPr>
          <w:rFonts w:hint="eastAsia" w:ascii="宋体" w:hAnsi="宋体"/>
          <w:color w:val="000000"/>
          <w:highlight w:val="none"/>
        </w:rPr>
        <w:t>市建设工程价格信息》某材料价格之和除以</w:t>
      </w:r>
      <w:r>
        <w:rPr>
          <w:rFonts w:ascii="宋体" w:hAnsi="宋体"/>
          <w:color w:val="000000"/>
          <w:highlight w:val="none"/>
        </w:rPr>
        <w:t>3</w:t>
      </w:r>
      <w:r>
        <w:rPr>
          <w:rFonts w:hint="eastAsia" w:ascii="宋体" w:hAnsi="宋体"/>
          <w:color w:val="000000"/>
          <w:highlight w:val="none"/>
        </w:rPr>
        <w:t>。</w:t>
      </w:r>
    </w:p>
    <w:p>
      <w:pPr>
        <w:tabs>
          <w:tab w:val="left" w:pos="1620"/>
          <w:tab w:val="left" w:pos="2340"/>
        </w:tabs>
        <w:ind w:left="1487" w:leftChars="708" w:firstLine="306" w:firstLineChars="146"/>
        <w:rPr>
          <w:rFonts w:ascii="宋体" w:hAnsi="宋体"/>
          <w:sz w:val="24"/>
          <w:highlight w:val="none"/>
        </w:rPr>
      </w:pPr>
      <w:r>
        <w:rPr>
          <w:rFonts w:hint="eastAsia" w:ascii="宋体" w:hAnsi="宋体"/>
          <w:color w:val="000000"/>
          <w:highlight w:val="none"/>
        </w:rPr>
        <w:t>人工、机械使用的价格波动时，按照上述公式，将公式中的材料价格替换为人工或机械使用价格，调整合同价款。</w:t>
      </w:r>
    </w:p>
    <w:p>
      <w:pPr>
        <w:spacing w:line="360" w:lineRule="auto"/>
        <w:ind w:firstLine="480" w:firstLineChars="200"/>
        <w:rPr>
          <w:rFonts w:ascii="宋体" w:hAnsi="宋体"/>
          <w:sz w:val="24"/>
          <w:highlight w:val="none"/>
        </w:rPr>
      </w:pPr>
      <w:r>
        <w:rPr>
          <w:rFonts w:hint="eastAsia" w:ascii="宋体" w:hAnsi="宋体"/>
          <w:sz w:val="24"/>
          <w:highlight w:val="none"/>
        </w:rPr>
        <w:t>当《</w:t>
      </w:r>
      <w:r>
        <w:rPr>
          <w:rFonts w:hint="eastAsia" w:ascii="宋体" w:hAnsi="宋体"/>
          <w:color w:val="000000"/>
          <w:highlight w:val="none"/>
          <w:lang w:val="en-US" w:eastAsia="zh-CN"/>
        </w:rPr>
        <w:t>广州</w:t>
      </w:r>
      <w:r>
        <w:rPr>
          <w:rFonts w:hint="eastAsia" w:ascii="宋体" w:hAnsi="宋体"/>
          <w:sz w:val="24"/>
          <w:highlight w:val="none"/>
        </w:rPr>
        <w:t>市建设工程价格信息》中无该种材料的价格信息时，由承包人提交材料价格确认报告和有关的证明资料，经监理单位审核、发包人审批审定的材料价格可作为材料结算价格。</w:t>
      </w:r>
    </w:p>
    <w:p>
      <w:pPr>
        <w:spacing w:line="360" w:lineRule="auto"/>
        <w:ind w:firstLine="480" w:firstLineChars="200"/>
        <w:rPr>
          <w:rFonts w:hint="eastAsia"/>
          <w:sz w:val="24"/>
          <w:highlight w:val="none"/>
        </w:rPr>
      </w:pPr>
      <w:r>
        <w:rPr>
          <w:rFonts w:hint="eastAsia" w:ascii="宋体" w:hAnsi="宋体"/>
          <w:sz w:val="24"/>
          <w:highlight w:val="none"/>
        </w:rPr>
        <w:t>承包人在投标时应考虑到在招标期间及合同有效期间内，由于劳务价格的上涨，以及任何其他事项的价格上涨（不含上述调差材料）而引起工程施工成本增加的风险，合同价款不会因此而调整。</w:t>
      </w:r>
    </w:p>
    <w:p>
      <w:pPr>
        <w:spacing w:line="360" w:lineRule="auto"/>
        <w:ind w:firstLine="480" w:firstLineChars="200"/>
        <w:rPr>
          <w:sz w:val="24"/>
        </w:rPr>
      </w:pPr>
      <w:r>
        <w:rPr>
          <w:rFonts w:hint="eastAsia"/>
          <w:sz w:val="24"/>
        </w:rPr>
        <w:t>8.6承包人针对由专业分包进行实施的工作范围所收取的总承包服务费，总承包服务费为双方约定的费率1.5%与各专业分工合同价款的乘积累计总和。</w:t>
      </w:r>
    </w:p>
    <w:p>
      <w:pPr>
        <w:spacing w:line="360" w:lineRule="auto"/>
        <w:ind w:firstLine="480" w:firstLineChars="200"/>
        <w:rPr>
          <w:sz w:val="24"/>
        </w:rPr>
      </w:pPr>
      <w:r>
        <w:rPr>
          <w:rFonts w:hint="eastAsia"/>
          <w:sz w:val="24"/>
        </w:rPr>
        <w:t>8</w:t>
      </w:r>
      <w:r>
        <w:rPr>
          <w:sz w:val="24"/>
        </w:rPr>
        <w:t>.7</w:t>
      </w:r>
      <w:r>
        <w:rPr>
          <w:rFonts w:hint="eastAsia"/>
          <w:sz w:val="24"/>
        </w:rPr>
        <w:t>措施费：本工程所有措施费、规费包干，不因变更、工程量清单及控制价错项、漏项、工程量差异、清单计量计价规则、施工方案调整、规范及政策变化等任何因素调整。各投标人报价应视为一个有经验承包商在充分了解本项目特点、难点、施工要点及风险点的情况下所作出的合理性报价，视为对招标文件的实质性响应，中标后不因技术方案调整、清单计量计价规则、实际投入与清单或控制价的差异等任何因素而调整此部分费用。</w:t>
      </w:r>
    </w:p>
    <w:p>
      <w:pPr>
        <w:spacing w:line="360" w:lineRule="auto"/>
        <w:ind w:firstLine="480" w:firstLineChars="200"/>
        <w:rPr>
          <w:sz w:val="24"/>
        </w:rPr>
      </w:pPr>
      <w:r>
        <w:rPr>
          <w:sz w:val="24"/>
        </w:rPr>
        <w:t>8</w:t>
      </w:r>
      <w:r>
        <w:rPr>
          <w:rFonts w:hint="eastAsia"/>
          <w:sz w:val="24"/>
        </w:rPr>
        <w:t>.8为满足施工进度及招标文件要求，需额外投入支撑体系的专项措施费（包含但不限于模板、木方、碗扣架、钢管架、盘扣架等材料费及人工费）请投标人依据各自投标方案并结合模板、木方残值自行考虑并包含在投标报价中，各投标人报价应视为一个有经验承包商在充分了解本项目特点、难点、施工要点、工期要求、支撑体系周转材料配置要求、实际周转次数及风险点的情况下进行的合理性报价，视为对招标文件的实质性相应，中标后不因技术方案调整、清单计量计价规则、实际投入与清单或控制价的差异等任何因素而调整此部分费用。</w:t>
      </w:r>
    </w:p>
    <w:p>
      <w:pPr>
        <w:spacing w:line="360" w:lineRule="auto"/>
        <w:ind w:firstLine="480" w:firstLineChars="200"/>
        <w:rPr>
          <w:sz w:val="24"/>
        </w:rPr>
      </w:pPr>
      <w:r>
        <w:rPr>
          <w:rFonts w:hint="eastAsia"/>
          <w:sz w:val="24"/>
        </w:rPr>
        <w:t>8.9各种脚手架及使用费包干，请投标人依据招标文件要求并结合投标方案自行考虑并包含在投标报价中，请投标人充分考虑钢结构吊装、外墙施工及其他分包配合等因素对脚手架搭拆时间的影响。施工过程中总包有责任统一管理并配合协调各专业分包对脚手架的使用需求，因专业分包需求需提前或延迟拆除脚手架而增加的费用已包含在投标报价中，中标后不因技术方案调整、清单、定额计量计价规则、实际投入与清单或控制价的差异、其他分包使用需求等任何因素而调整此部分费用。</w:t>
      </w:r>
    </w:p>
    <w:p>
      <w:pPr>
        <w:spacing w:line="360" w:lineRule="auto"/>
        <w:ind w:firstLine="480" w:firstLineChars="200"/>
        <w:rPr>
          <w:sz w:val="24"/>
        </w:rPr>
      </w:pPr>
      <w:r>
        <w:rPr>
          <w:rFonts w:hint="eastAsia"/>
          <w:sz w:val="24"/>
        </w:rPr>
        <w:t>8.10本工程垂直运输费包干，并考虑塔吊按招标文件约定时间拆除后，主体结构施工所发生的其它措施费、施工降效费及其他施工费用的增加，投标商应充分考虑，并应包含在投标报价中，中标后不因技术方案调整、清单及定额计量计价规则、实际投入与清单或控制价的差异、塔吊、施工电梯、履带吊等垂直运输机械数量、规格型号、使用时间等任何因素的变化而调整此部分费用。</w:t>
      </w:r>
    </w:p>
    <w:p>
      <w:pPr>
        <w:spacing w:line="360" w:lineRule="auto"/>
        <w:ind w:firstLine="480" w:firstLineChars="200"/>
        <w:rPr>
          <w:sz w:val="24"/>
        </w:rPr>
      </w:pPr>
      <w:r>
        <w:rPr>
          <w:rFonts w:hint="eastAsia"/>
          <w:sz w:val="24"/>
        </w:rPr>
        <w:t>8.11本工程基础施工期间材料、钢结构构件、土方等任何材料二次搬（转）运费请投标人根据总平面布置并结合自身投标方案自行考虑并包含在投标报价或综合单价中，中标后不因技术方案调整、清单计量计价规则、实际投入与清单或控制价的差异等任何因素而调整此部分费用。</w:t>
      </w:r>
    </w:p>
    <w:p>
      <w:pPr>
        <w:spacing w:line="360" w:lineRule="auto"/>
        <w:ind w:firstLine="480" w:firstLineChars="200"/>
        <w:rPr>
          <w:rFonts w:hint="eastAsia"/>
          <w:sz w:val="24"/>
        </w:rPr>
      </w:pPr>
      <w:r>
        <w:rPr>
          <w:sz w:val="24"/>
        </w:rPr>
        <w:t>8.12</w:t>
      </w:r>
      <w:r>
        <w:rPr>
          <w:rFonts w:hint="eastAsia"/>
          <w:sz w:val="24"/>
        </w:rPr>
        <w:t>成品保护</w:t>
      </w:r>
    </w:p>
    <w:p>
      <w:pPr>
        <w:spacing w:line="360" w:lineRule="auto"/>
        <w:ind w:firstLine="480" w:firstLineChars="200"/>
        <w:rPr>
          <w:sz w:val="24"/>
        </w:rPr>
      </w:pPr>
      <w:r>
        <w:rPr>
          <w:rFonts w:hint="eastAsia"/>
          <w:sz w:val="24"/>
        </w:rPr>
        <w:t>投标人需考虑脚手架搭设和拆除期间对所有砼梁板柱等的成品保护，投标人应提供详细成品保护方案，成品保护所采用的各项措施投入（如旧模板等）已包含在已有的措施项目清单中，中标后不因任何因素调整此部分措施费。</w:t>
      </w:r>
    </w:p>
    <w:p>
      <w:pPr>
        <w:spacing w:line="360" w:lineRule="auto"/>
        <w:ind w:firstLine="480" w:firstLineChars="200"/>
        <w:rPr>
          <w:rFonts w:hint="eastAsia"/>
          <w:sz w:val="24"/>
        </w:rPr>
      </w:pPr>
      <w:r>
        <w:rPr>
          <w:rFonts w:hint="eastAsia"/>
          <w:sz w:val="24"/>
        </w:rPr>
        <w:t>8.13措施钢筋</w:t>
      </w:r>
    </w:p>
    <w:p>
      <w:pPr>
        <w:spacing w:line="360" w:lineRule="auto"/>
        <w:ind w:firstLine="480" w:firstLineChars="200"/>
        <w:rPr>
          <w:sz w:val="24"/>
        </w:rPr>
      </w:pPr>
      <w:r>
        <w:rPr>
          <w:rFonts w:hint="eastAsia"/>
          <w:sz w:val="24"/>
        </w:rPr>
        <w:t>本工程支撑钢筋、马凳筋等措施钢筋招标及结算时不计取此部分工程量，此部分钢筋费用请投标人自行考虑并体现在相应的分部分项清单综合单价中。中标后，如果此部分施工方案不能满足结构或规范求时，招标人有权要求中标人调整此部分施工方案，以符合各项要求，但此部分费用不做调整。</w:t>
      </w:r>
    </w:p>
    <w:p>
      <w:pPr>
        <w:spacing w:line="360" w:lineRule="auto"/>
        <w:ind w:firstLine="480" w:firstLineChars="200"/>
        <w:rPr>
          <w:rFonts w:hint="eastAsia"/>
          <w:sz w:val="24"/>
        </w:rPr>
      </w:pPr>
      <w:r>
        <w:rPr>
          <w:rFonts w:hint="eastAsia"/>
          <w:sz w:val="24"/>
        </w:rPr>
        <w:t>8.14塔吊及施工电梯</w:t>
      </w:r>
    </w:p>
    <w:p>
      <w:pPr>
        <w:spacing w:line="360" w:lineRule="auto"/>
        <w:ind w:firstLine="480" w:firstLineChars="200"/>
        <w:rPr>
          <w:sz w:val="24"/>
        </w:rPr>
      </w:pPr>
      <w:r>
        <w:rPr>
          <w:rFonts w:hint="eastAsia"/>
          <w:sz w:val="24"/>
        </w:rPr>
        <w:t>投标人应按招标人提供的塔吊平面布置图（塔吊数量、规格、荷重、位置等）进行整体施工方案部署，如投标人认为招标人提供的塔吊布置或技术要求不合理，应在投标答疑澄清中提出，如未提出，中标后不因工程量增加、塔吊覆盖面、施工交叉等任何因素调整与此部分相关的费用。投标人应按招标文件要求的时间拆除塔吊，若施工过程中承包人延迟拆除影响钢构、外墙板及幕墙等专业分包安装进度的，责任及相关费用由总承包人承担。塔吊拆除后引起的施工降效费请投标人自行考虑并包含在投标报价中，施工过程及结算时不因任何因素调整与此部分相关的费用。</w:t>
      </w:r>
    </w:p>
    <w:p>
      <w:pPr>
        <w:spacing w:line="360" w:lineRule="auto"/>
        <w:ind w:firstLine="480" w:firstLineChars="200"/>
        <w:rPr>
          <w:rFonts w:hint="eastAsia"/>
          <w:sz w:val="24"/>
        </w:rPr>
      </w:pPr>
      <w:r>
        <w:rPr>
          <w:rFonts w:hint="eastAsia"/>
          <w:sz w:val="24"/>
        </w:rPr>
        <w:t>8.15运距</w:t>
      </w:r>
    </w:p>
    <w:p>
      <w:pPr>
        <w:spacing w:line="360" w:lineRule="auto"/>
        <w:ind w:firstLine="480" w:firstLineChars="200"/>
        <w:rPr>
          <w:sz w:val="24"/>
        </w:rPr>
      </w:pPr>
      <w:r>
        <w:rPr>
          <w:rFonts w:hint="eastAsia"/>
          <w:sz w:val="24"/>
        </w:rPr>
        <w:t>用于本工程的钢筋、砼、钢构件等所有材料及土方、建筑垃圾等的运距请投标人结合自身情况、项目周边搅拌站、加工厂、弃土场情况及市场供需，自行考虑并包含在投标报价中，中标后不因技术方案调整、清单计量计价规则、实际与清单或控制价的差异等任何因素而调整此部分费用。</w:t>
      </w:r>
    </w:p>
    <w:p>
      <w:pPr>
        <w:spacing w:line="360" w:lineRule="auto"/>
        <w:ind w:firstLine="480" w:firstLineChars="200"/>
        <w:rPr>
          <w:rFonts w:hint="eastAsia"/>
          <w:sz w:val="24"/>
        </w:rPr>
      </w:pPr>
      <w:r>
        <w:rPr>
          <w:rFonts w:hint="eastAsia"/>
          <w:sz w:val="24"/>
        </w:rPr>
        <w:t>8</w:t>
      </w:r>
      <w:r>
        <w:rPr>
          <w:sz w:val="24"/>
        </w:rPr>
        <w:t>.16</w:t>
      </w:r>
      <w:r>
        <w:rPr>
          <w:rFonts w:hint="eastAsia"/>
          <w:sz w:val="24"/>
        </w:rPr>
        <w:t>零星变更</w:t>
      </w:r>
    </w:p>
    <w:p>
      <w:pPr>
        <w:spacing w:line="360" w:lineRule="auto"/>
        <w:ind w:firstLine="480" w:firstLineChars="200"/>
        <w:rPr>
          <w:sz w:val="24"/>
        </w:rPr>
      </w:pPr>
      <w:r>
        <w:rPr>
          <w:rFonts w:hint="eastAsia"/>
          <w:sz w:val="24"/>
        </w:rPr>
        <w:t>施工后期新增的零星变更或签证（如设备基础、零星构件等），应按合同约定计量计价，包商不得以施工降效为由签核工日和机械台班。</w:t>
      </w:r>
    </w:p>
    <w:p>
      <w:pPr>
        <w:spacing w:line="360" w:lineRule="auto"/>
        <w:ind w:firstLine="480" w:firstLineChars="200"/>
        <w:rPr>
          <w:rFonts w:hint="eastAsia"/>
          <w:sz w:val="24"/>
        </w:rPr>
      </w:pPr>
      <w:r>
        <w:rPr>
          <w:rFonts w:hint="eastAsia"/>
          <w:sz w:val="24"/>
        </w:rPr>
        <w:t>8</w:t>
      </w:r>
      <w:r>
        <w:rPr>
          <w:sz w:val="24"/>
        </w:rPr>
        <w:t>.17</w:t>
      </w:r>
      <w:r>
        <w:rPr>
          <w:rFonts w:hint="eastAsia"/>
          <w:sz w:val="24"/>
        </w:rPr>
        <w:t>深化设计</w:t>
      </w:r>
    </w:p>
    <w:p>
      <w:pPr>
        <w:spacing w:line="360" w:lineRule="auto"/>
        <w:ind w:firstLine="480" w:firstLineChars="200"/>
        <w:rPr>
          <w:sz w:val="24"/>
        </w:rPr>
      </w:pPr>
      <w:r>
        <w:rPr>
          <w:rFonts w:hint="eastAsia"/>
          <w:sz w:val="24"/>
        </w:rPr>
        <w:t>本工程包含但不限于钢平台、电梯井道钢构、零星钢构件、轻质隔墙、吊顶、玻璃幕墙、防雨百叶窗等需投标人进行深化设计，深化设计请投标人自行考虑并包含在投标报价中，中标后不再因任何因素调整此部分费用。中标后如中标人加固方案不能满足规范要求，招标人有权要求中标人调整加固方案及做法，直至达到要求。中标后不因技术方案调整、清单计量计价规则、实际投入与清单或控制价的差异等任何因素而调整综合单价。</w:t>
      </w:r>
    </w:p>
    <w:p>
      <w:pPr>
        <w:spacing w:line="360" w:lineRule="auto"/>
        <w:ind w:firstLine="480" w:firstLineChars="200"/>
        <w:rPr>
          <w:rFonts w:hint="eastAsia"/>
          <w:sz w:val="24"/>
        </w:rPr>
      </w:pPr>
      <w:r>
        <w:rPr>
          <w:sz w:val="24"/>
        </w:rPr>
        <w:t>8.18</w:t>
      </w:r>
      <w:r>
        <w:rPr>
          <w:rFonts w:hint="eastAsia"/>
          <w:sz w:val="24"/>
        </w:rPr>
        <w:t>隔墙及门洞加固费</w:t>
      </w:r>
    </w:p>
    <w:p>
      <w:pPr>
        <w:spacing w:line="360" w:lineRule="auto"/>
        <w:ind w:firstLine="480" w:firstLineChars="200"/>
        <w:rPr>
          <w:sz w:val="24"/>
        </w:rPr>
      </w:pPr>
      <w:r>
        <w:rPr>
          <w:rFonts w:hint="eastAsia"/>
          <w:sz w:val="24"/>
        </w:rPr>
        <w:t>轻质隔墙及墙上门窗洞口、预留洞口及后开洞口等的加固方案及做法请投标人自行深化设计，深化设计费及加固费用请投标人自行考虑并体现在综合单价中。中标后如中标人加固方案不能满足规范要求，招标人有权要求中标人调整加固方案及做法，直至达到要求。中标后不因技术方案调整、清单计量计价规则、实际投入与清单或控制价的差异等任何因素而调整综合单价</w:t>
      </w:r>
    </w:p>
    <w:p>
      <w:pPr>
        <w:spacing w:line="360" w:lineRule="auto"/>
        <w:ind w:firstLine="480" w:firstLineChars="200"/>
        <w:rPr>
          <w:rFonts w:hint="eastAsia"/>
          <w:sz w:val="24"/>
        </w:rPr>
      </w:pPr>
      <w:r>
        <w:rPr>
          <w:rFonts w:hint="eastAsia"/>
          <w:sz w:val="24"/>
        </w:rPr>
        <w:t>8</w:t>
      </w:r>
      <w:r>
        <w:rPr>
          <w:sz w:val="24"/>
        </w:rPr>
        <w:t>.19</w:t>
      </w:r>
      <w:r>
        <w:rPr>
          <w:rFonts w:hint="eastAsia"/>
          <w:sz w:val="24"/>
        </w:rPr>
        <w:t>吊顶反支撑</w:t>
      </w:r>
    </w:p>
    <w:p>
      <w:pPr>
        <w:spacing w:line="360" w:lineRule="auto"/>
        <w:ind w:firstLine="480" w:firstLineChars="200"/>
        <w:rPr>
          <w:sz w:val="24"/>
        </w:rPr>
      </w:pPr>
      <w:r>
        <w:rPr>
          <w:rFonts w:hint="eastAsia"/>
          <w:sz w:val="24"/>
        </w:rPr>
        <w:t>根据设计图纸，吊顶高度超过要求时，应按规范设置反支撑，具体施工方案及做法请投标人自行深化设计，深化设计费及加固费用请投标人自行考虑并体现在综合单价中。中标后如中标人加固方案不能满足规范要求，招标人有权要求中标人调整加固方案及做法，直至达到要求。中标后不因技术方案调整、清单计量计价规则、实际投入与清单或控制价的差异等任何因素而调整综合单价。</w:t>
      </w:r>
    </w:p>
    <w:p>
      <w:pPr>
        <w:pStyle w:val="185"/>
        <w:spacing w:line="360" w:lineRule="auto"/>
        <w:ind w:firstLine="420"/>
        <w:jc w:val="left"/>
        <w:rPr>
          <w:sz w:val="24"/>
        </w:rPr>
      </w:pPr>
      <w:r>
        <w:rPr>
          <w:rFonts w:hint="eastAsia"/>
          <w:sz w:val="24"/>
        </w:rPr>
        <w:t>8.</w:t>
      </w:r>
      <w:r>
        <w:rPr>
          <w:sz w:val="24"/>
        </w:rPr>
        <w:t>20</w:t>
      </w:r>
      <w:r>
        <w:rPr>
          <w:rFonts w:hint="eastAsia"/>
          <w:sz w:val="24"/>
        </w:rPr>
        <w:t>未尽事宜按本招标文件的原则及深圳市有关规定执行。</w:t>
      </w:r>
    </w:p>
    <w:p>
      <w:pPr>
        <w:pStyle w:val="185"/>
        <w:spacing w:line="360" w:lineRule="auto"/>
        <w:ind w:firstLine="420"/>
        <w:jc w:val="left"/>
        <w:rPr>
          <w:rFonts w:hint="eastAsia"/>
          <w:sz w:val="24"/>
        </w:rPr>
      </w:pPr>
      <w:r>
        <w:rPr>
          <w:rFonts w:hint="eastAsia"/>
          <w:sz w:val="24"/>
        </w:rPr>
        <w:t>8.21竣工结算方式</w:t>
      </w:r>
    </w:p>
    <w:p>
      <w:pPr>
        <w:pStyle w:val="185"/>
        <w:spacing w:line="360" w:lineRule="auto"/>
        <w:ind w:firstLine="420"/>
        <w:jc w:val="left"/>
        <w:rPr>
          <w:rFonts w:hint="eastAsia"/>
          <w:sz w:val="24"/>
        </w:rPr>
      </w:pPr>
      <w:r>
        <w:rPr>
          <w:rFonts w:hint="eastAsia"/>
          <w:sz w:val="24"/>
        </w:rPr>
        <w:t>1、编制竣工结算书：</w:t>
      </w:r>
      <w:r>
        <w:rPr>
          <w:rFonts w:hint="eastAsia"/>
          <w:b/>
          <w:bCs/>
          <w:sz w:val="24"/>
          <w:u w:val="single"/>
        </w:rPr>
        <w:t>本工程按</w:t>
      </w:r>
      <w:r>
        <w:rPr>
          <w:rFonts w:hint="eastAsia"/>
          <w:b/>
          <w:bCs/>
          <w:sz w:val="24"/>
          <w:u w:val="single"/>
          <w:lang w:val="en-US" w:eastAsia="zh-CN"/>
        </w:rPr>
        <w:t>固定总价包干合同价</w:t>
      </w:r>
      <w:r>
        <w:rPr>
          <w:rFonts w:hint="eastAsia"/>
          <w:b/>
          <w:bCs/>
          <w:sz w:val="24"/>
          <w:u w:val="single"/>
        </w:rPr>
        <w:t xml:space="preserve">，加设计变更签证、材料调差、奖金、罚款、扣款的方式结算 </w:t>
      </w:r>
    </w:p>
    <w:p>
      <w:pPr>
        <w:spacing w:line="360" w:lineRule="auto"/>
        <w:ind w:firstLine="480" w:firstLineChars="200"/>
        <w:rPr>
          <w:color w:val="000000"/>
          <w:sz w:val="24"/>
        </w:rPr>
      </w:pPr>
    </w:p>
    <w:p>
      <w:pPr>
        <w:rPr>
          <w:b/>
          <w:bCs/>
          <w:sz w:val="28"/>
          <w:szCs w:val="28"/>
        </w:rPr>
      </w:pPr>
      <w:bookmarkStart w:id="531" w:name="_Toc14613"/>
      <w:bookmarkStart w:id="532" w:name="_Toc12104"/>
      <w:r>
        <w:rPr>
          <w:rFonts w:hint="eastAsia"/>
          <w:b/>
          <w:bCs/>
          <w:sz w:val="28"/>
          <w:szCs w:val="28"/>
        </w:rPr>
        <w:t>第九条   工  期</w:t>
      </w:r>
      <w:bookmarkEnd w:id="531"/>
      <w:bookmarkEnd w:id="532"/>
    </w:p>
    <w:p>
      <w:pPr>
        <w:spacing w:line="360" w:lineRule="auto"/>
        <w:ind w:firstLine="480" w:firstLineChars="200"/>
        <w:rPr>
          <w:color w:val="000000"/>
          <w:sz w:val="24"/>
        </w:rPr>
      </w:pPr>
      <w:r>
        <w:rPr>
          <w:rFonts w:hint="eastAsia"/>
          <w:color w:val="000000"/>
          <w:sz w:val="24"/>
        </w:rPr>
        <w:t>9</w:t>
      </w:r>
      <w:r>
        <w:rPr>
          <w:color w:val="000000"/>
          <w:sz w:val="24"/>
        </w:rPr>
        <w:t>.1</w:t>
      </w:r>
      <w:r>
        <w:rPr>
          <w:rFonts w:hint="eastAsia"/>
          <w:b/>
          <w:color w:val="000000"/>
          <w:sz w:val="24"/>
        </w:rPr>
        <w:t>合同工期总日历天数</w:t>
      </w:r>
      <w:r>
        <w:rPr>
          <w:b/>
          <w:color w:val="000000"/>
          <w:sz w:val="24"/>
          <w:u w:val="single"/>
        </w:rPr>
        <w:t xml:space="preserve">  </w:t>
      </w:r>
      <w:r>
        <w:rPr>
          <w:rFonts w:hint="eastAsia"/>
          <w:b/>
          <w:color w:val="000000"/>
          <w:sz w:val="24"/>
          <w:u w:val="single"/>
          <w:lang w:val="en-US" w:eastAsia="zh-CN"/>
        </w:rPr>
        <w:t>444</w:t>
      </w:r>
      <w:r>
        <w:rPr>
          <w:rFonts w:hint="eastAsia"/>
          <w:b/>
          <w:color w:val="000000"/>
          <w:sz w:val="24"/>
        </w:rPr>
        <w:t>天，自</w:t>
      </w:r>
      <w:r>
        <w:rPr>
          <w:rFonts w:hint="eastAsia"/>
          <w:b/>
          <w:color w:val="000000"/>
          <w:sz w:val="24"/>
          <w:lang w:val="en-US" w:eastAsia="zh-CN"/>
        </w:rPr>
        <w:t>2023</w:t>
      </w:r>
      <w:r>
        <w:rPr>
          <w:rFonts w:hint="eastAsia"/>
          <w:b/>
          <w:color w:val="000000"/>
          <w:sz w:val="24"/>
        </w:rPr>
        <w:t>年</w:t>
      </w:r>
      <w:r>
        <w:rPr>
          <w:rFonts w:hint="eastAsia"/>
          <w:b/>
          <w:color w:val="000000"/>
          <w:sz w:val="24"/>
          <w:lang w:val="en-US" w:eastAsia="zh-CN"/>
        </w:rPr>
        <w:t>10</w:t>
      </w:r>
      <w:r>
        <w:rPr>
          <w:rFonts w:hint="eastAsia"/>
          <w:b/>
          <w:color w:val="000000"/>
          <w:sz w:val="24"/>
        </w:rPr>
        <w:t>月</w:t>
      </w:r>
      <w:r>
        <w:rPr>
          <w:rFonts w:hint="eastAsia"/>
          <w:b/>
          <w:color w:val="000000"/>
          <w:sz w:val="24"/>
          <w:lang w:val="en-US" w:eastAsia="zh-CN"/>
        </w:rPr>
        <w:t>15</w:t>
      </w:r>
      <w:r>
        <w:rPr>
          <w:rFonts w:hint="eastAsia"/>
          <w:b/>
          <w:color w:val="000000"/>
          <w:sz w:val="24"/>
        </w:rPr>
        <w:t>日至</w:t>
      </w:r>
      <w:r>
        <w:rPr>
          <w:rFonts w:hint="eastAsia"/>
          <w:b/>
          <w:color w:val="000000"/>
          <w:sz w:val="24"/>
          <w:lang w:val="en-US" w:eastAsia="zh-CN"/>
        </w:rPr>
        <w:t>2024</w:t>
      </w:r>
      <w:r>
        <w:rPr>
          <w:rFonts w:hint="eastAsia"/>
          <w:b/>
          <w:color w:val="000000"/>
          <w:sz w:val="24"/>
        </w:rPr>
        <w:t>年</w:t>
      </w:r>
      <w:r>
        <w:rPr>
          <w:rFonts w:hint="eastAsia"/>
          <w:b/>
          <w:color w:val="000000"/>
          <w:sz w:val="24"/>
          <w:lang w:val="en-US" w:eastAsia="zh-CN"/>
        </w:rPr>
        <w:t>12</w:t>
      </w:r>
      <w:r>
        <w:rPr>
          <w:rFonts w:hint="eastAsia"/>
          <w:b/>
          <w:color w:val="000000"/>
          <w:sz w:val="24"/>
        </w:rPr>
        <w:t>月</w:t>
      </w:r>
      <w:r>
        <w:rPr>
          <w:rFonts w:hint="eastAsia"/>
          <w:b/>
          <w:color w:val="000000"/>
          <w:sz w:val="24"/>
          <w:lang w:val="en-US" w:eastAsia="zh-CN"/>
        </w:rPr>
        <w:t>31</w:t>
      </w:r>
      <w:r>
        <w:rPr>
          <w:rFonts w:hint="eastAsia"/>
          <w:b/>
          <w:color w:val="000000"/>
          <w:sz w:val="24"/>
        </w:rPr>
        <w:t>日</w:t>
      </w:r>
      <w:r>
        <w:rPr>
          <w:rFonts w:hint="eastAsia"/>
          <w:color w:val="000000"/>
          <w:sz w:val="24"/>
        </w:rPr>
        <w:t>。</w:t>
      </w:r>
    </w:p>
    <w:p>
      <w:pPr>
        <w:spacing w:line="360" w:lineRule="auto"/>
        <w:ind w:firstLine="480" w:firstLineChars="200"/>
        <w:rPr>
          <w:color w:val="000000"/>
          <w:sz w:val="24"/>
        </w:rPr>
      </w:pPr>
      <w:r>
        <w:rPr>
          <w:rFonts w:hint="eastAsia"/>
          <w:color w:val="000000"/>
          <w:sz w:val="24"/>
        </w:rPr>
        <w:t>9.2 承包人必须保证自身且协调/管理分包人（供应商）按照投标文件中工期节点（关键日期）完成相关工作。如承包人实际施工进度发生延迟，超出或已经无法满足里程碑节点要求，发包人有权调整承包人工作范围，将承包人的部分工作交给第三方完成，所发生费用从承包人应付合同价款中扣除；</w:t>
      </w:r>
    </w:p>
    <w:p>
      <w:pPr>
        <w:spacing w:line="360" w:lineRule="auto"/>
        <w:ind w:firstLine="480" w:firstLineChars="200"/>
        <w:rPr>
          <w:color w:val="000000"/>
          <w:sz w:val="24"/>
        </w:rPr>
      </w:pPr>
      <w:r>
        <w:rPr>
          <w:rFonts w:hint="eastAsia"/>
          <w:color w:val="000000"/>
          <w:sz w:val="24"/>
        </w:rPr>
        <w:t xml:space="preserve"> 9.3因政府原因造成停工，只顺延工期，发包人不给予补偿。</w:t>
      </w:r>
    </w:p>
    <w:p>
      <w:pPr>
        <w:spacing w:line="360" w:lineRule="auto"/>
        <w:ind w:firstLine="480" w:firstLineChars="200"/>
        <w:rPr>
          <w:color w:val="000000"/>
          <w:sz w:val="24"/>
        </w:rPr>
      </w:pPr>
      <w:r>
        <w:rPr>
          <w:rFonts w:hint="eastAsia"/>
          <w:color w:val="000000"/>
          <w:sz w:val="24"/>
        </w:rPr>
        <w:t>9.4除专用条款中明确可顺延工期的情况外，本合同工期不予顺延。</w:t>
      </w:r>
    </w:p>
    <w:p>
      <w:pPr>
        <w:spacing w:line="360" w:lineRule="auto"/>
        <w:ind w:firstLine="480" w:firstLineChars="200"/>
        <w:rPr>
          <w:color w:val="000000"/>
          <w:sz w:val="24"/>
        </w:rPr>
      </w:pPr>
      <w:r>
        <w:rPr>
          <w:rFonts w:hint="eastAsia"/>
          <w:color w:val="000000"/>
          <w:sz w:val="24"/>
        </w:rPr>
        <w:t>9.5施工图内的工程变更不顺延本合同工期。</w:t>
      </w:r>
    </w:p>
    <w:p>
      <w:pPr>
        <w:spacing w:line="360" w:lineRule="auto"/>
        <w:ind w:firstLine="480" w:firstLineChars="200"/>
        <w:rPr>
          <w:color w:val="000000"/>
          <w:sz w:val="24"/>
        </w:rPr>
      </w:pPr>
      <w:r>
        <w:rPr>
          <w:rFonts w:hint="eastAsia"/>
          <w:color w:val="000000"/>
          <w:sz w:val="24"/>
        </w:rPr>
        <w:t>9.6由于发包人增加工程量而导致工期的延长，可根据实际情况，由发包人和承包人协商可顺延的具体工期。</w:t>
      </w:r>
    </w:p>
    <w:p>
      <w:pPr>
        <w:pStyle w:val="27"/>
        <w:spacing w:line="360" w:lineRule="auto"/>
        <w:ind w:left="479" w:leftChars="228" w:firstLine="0" w:firstLineChars="0"/>
        <w:rPr>
          <w:rFonts w:eastAsia="宋体"/>
          <w:color w:val="000000"/>
          <w:sz w:val="24"/>
        </w:rPr>
      </w:pPr>
    </w:p>
    <w:p>
      <w:pPr>
        <w:spacing w:line="400" w:lineRule="exact"/>
        <w:rPr>
          <w:rFonts w:ascii="宋体" w:hAnsi="宋体"/>
          <w:b/>
          <w:sz w:val="28"/>
          <w:szCs w:val="28"/>
        </w:rPr>
      </w:pPr>
      <w:r>
        <w:rPr>
          <w:rFonts w:hint="eastAsia" w:ascii="宋体" w:hAnsi="宋体"/>
          <w:b/>
          <w:sz w:val="28"/>
          <w:szCs w:val="28"/>
        </w:rPr>
        <w:t>第十条  分部分项工程和措施项目</w:t>
      </w:r>
    </w:p>
    <w:p>
      <w:pPr>
        <w:spacing w:line="360" w:lineRule="auto"/>
        <w:ind w:firstLine="480" w:firstLineChars="200"/>
        <w:rPr>
          <w:rFonts w:ascii="宋体" w:hAnsi="宋体"/>
          <w:sz w:val="24"/>
        </w:rPr>
      </w:pPr>
      <w:r>
        <w:rPr>
          <w:rFonts w:hint="eastAsia" w:ascii="宋体" w:hAnsi="宋体"/>
          <w:sz w:val="24"/>
        </w:rPr>
        <w:t>除特别说明外，本工程项下所有项目的</w:t>
      </w:r>
      <w:r>
        <w:rPr>
          <w:rFonts w:ascii="宋体" w:hAnsi="宋体"/>
          <w:sz w:val="24"/>
        </w:rPr>
        <w:t>措施</w:t>
      </w:r>
      <w:r>
        <w:rPr>
          <w:rFonts w:hint="eastAsia" w:ascii="宋体" w:hAnsi="宋体"/>
          <w:sz w:val="24"/>
        </w:rPr>
        <w:t>费用均为包干金额，承包人必须承担这些项目的所有风险及费用，该部分金额不因工程变更而作调整。工程施工中发生审定标底预算中列明的措施费项目，承包人必须无条件按相关要求完成。中标后，工程措施项目费将以总价包干，结算时不再调整（结算时不因本工程实际工程量的增减、工程变更、施工组织设计的修改及其它因素而调整）。如承包人的提供的施工组织设计方案存在缺陷，发包人可要求其对方案进行完善、修改，承包人必须无条件执行，直到发包人批准通过，但不因施工组织设计方案的调整而调整相关措施费用。任何因忽视或误解工地情况而导致的费用索赔或工期延长的申请将不获批准。</w:t>
      </w:r>
    </w:p>
    <w:p>
      <w:pPr>
        <w:spacing w:line="400" w:lineRule="exact"/>
        <w:rPr>
          <w:rFonts w:ascii="宋体" w:hAnsi="宋体"/>
          <w:sz w:val="24"/>
        </w:rPr>
      </w:pPr>
      <w:r>
        <w:rPr>
          <w:rFonts w:hint="eastAsia" w:ascii="宋体" w:hAnsi="宋体"/>
          <w:sz w:val="24"/>
        </w:rPr>
        <w:t>10.1合同价中已包含施工全过程中排污排水、降水所需的全部有关措施费用。施工排污排水、降水内容，包括但不限于：集水井、基槽、基坑、沟槽的抽排水、降水；修建集水井、截水带、与红线外排洪或排水管沟的连接管和渠道；完成雨季排水设施、施工导流、防洪排涝、防台风等工作内容及措施。</w:t>
      </w:r>
    </w:p>
    <w:p>
      <w:pPr>
        <w:spacing w:line="400" w:lineRule="exact"/>
        <w:rPr>
          <w:rFonts w:ascii="宋体" w:hAnsi="宋体"/>
          <w:sz w:val="24"/>
        </w:rPr>
      </w:pPr>
      <w:r>
        <w:rPr>
          <w:rFonts w:hint="eastAsia" w:ascii="宋体" w:hAnsi="宋体"/>
          <w:sz w:val="24"/>
        </w:rPr>
        <w:t>10.2承包人必须按有关法规、标准、规定或发包人的合理要求实施有关措施项目，若设施或措施达不到要求，工程师发出指令后承包人仍拒绝或未能及时整改，发包人有权委托他人实施以满足有关要求，并在本工程结算中扣除相应的费用。</w:t>
      </w:r>
    </w:p>
    <w:p>
      <w:pPr>
        <w:spacing w:line="400" w:lineRule="exact"/>
        <w:rPr>
          <w:rFonts w:ascii="宋体" w:hAnsi="宋体"/>
          <w:sz w:val="24"/>
        </w:rPr>
      </w:pPr>
      <w:r>
        <w:rPr>
          <w:rFonts w:hint="eastAsia" w:ascii="宋体" w:hAnsi="宋体"/>
          <w:sz w:val="24"/>
        </w:rPr>
        <w:t>10.3本工程施工驻地区域周围及邻接既有道路等部位必需全部采用全新波纹板或经发包人批准的方案进行全封闭</w:t>
      </w:r>
      <w:r>
        <w:rPr>
          <w:rFonts w:hint="eastAsia" w:ascii="宋体" w:hAnsi="宋体"/>
          <w:color w:val="auto"/>
          <w:sz w:val="24"/>
          <w:highlight w:val="none"/>
        </w:rPr>
        <w:t>分隔围护。施工期间，承包人应随时根据现场情况对围挡进行维修和保护，确保施工界面达到</w:t>
      </w:r>
      <w:r>
        <w:rPr>
          <w:rFonts w:hint="eastAsia" w:ascii="宋体" w:hAnsi="宋体"/>
          <w:color w:val="auto"/>
          <w:sz w:val="24"/>
          <w:highlight w:val="none"/>
          <w:lang w:val="en-US" w:eastAsia="zh-CN"/>
        </w:rPr>
        <w:t>广州</w:t>
      </w:r>
      <w:r>
        <w:rPr>
          <w:rFonts w:hint="eastAsia" w:ascii="宋体" w:hAnsi="宋体"/>
          <w:color w:val="auto"/>
          <w:sz w:val="24"/>
          <w:highlight w:val="none"/>
        </w:rPr>
        <w:t>市和建设部有关规定的标准。“七牌一图”及各种事项工作发生费用已包含在现场安全文明措</w:t>
      </w:r>
      <w:r>
        <w:rPr>
          <w:rFonts w:hint="eastAsia" w:ascii="宋体" w:hAnsi="宋体"/>
          <w:sz w:val="24"/>
        </w:rPr>
        <w:t>施费中。为确保施工安全，防止无关人员进入现场，承包人必须对施工范围（特殊情况除外）进行全封闭围挡，并设置车辆进出口。如果承包人开工后经发包人下达整改通知后3天内仍未按规定实施，承包人承诺按发包人制定的以下条款执行，不得有任何异议：</w:t>
      </w:r>
    </w:p>
    <w:p>
      <w:pPr>
        <w:spacing w:line="400" w:lineRule="exact"/>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当月现场安全文明措施费不予支付。</w:t>
      </w:r>
    </w:p>
    <w:p>
      <w:pPr>
        <w:spacing w:line="400" w:lineRule="exact"/>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发包人有权安排其他施工队伍进场作好封闭围挡，相应费用从本合同总价中的现场安全文明措施费中扣除。</w:t>
      </w:r>
    </w:p>
    <w:p>
      <w:pPr>
        <w:spacing w:line="400" w:lineRule="exact"/>
        <w:rPr>
          <w:rFonts w:ascii="宋体" w:hAnsi="宋体"/>
          <w:sz w:val="24"/>
        </w:rPr>
      </w:pPr>
      <w:r>
        <w:rPr>
          <w:rFonts w:hint="eastAsia" w:ascii="宋体" w:hAnsi="宋体"/>
          <w:sz w:val="24"/>
        </w:rPr>
        <w:t>10.4现场工程师发现施工现场污水（或泥浆）横流、尘土飞扬、噪音扰民、未按要求进行施工围挡、妨碍正常交通等情况，在当月进度支付中扣除工程款10000元/每次作为违约金，若当月进度款不足以抵扣，除不支付当月进度款外，按月顺延直至扣除完为止。</w:t>
      </w:r>
    </w:p>
    <w:p>
      <w:pPr>
        <w:spacing w:line="400" w:lineRule="exact"/>
        <w:rPr>
          <w:rFonts w:ascii="宋体" w:hAnsi="宋体"/>
          <w:sz w:val="24"/>
        </w:rPr>
      </w:pPr>
      <w:r>
        <w:rPr>
          <w:rFonts w:hint="eastAsia" w:ascii="宋体" w:hAnsi="宋体"/>
          <w:sz w:val="24"/>
        </w:rPr>
        <w:t>10.5承包人现场安全文明措施费扣款原则：①安全文明措施经发包人代表检查认定不合格的，每次扣除10000元作为违约金。②被城管、安检等有关部门处罚的，每次扣除50000元作为违约金。③被新闻媒体</w:t>
      </w:r>
      <w:r>
        <w:rPr>
          <w:rFonts w:ascii="宋体" w:hAnsi="宋体"/>
          <w:sz w:val="24"/>
        </w:rPr>
        <w:t>曝</w:t>
      </w:r>
      <w:r>
        <w:rPr>
          <w:rFonts w:hint="eastAsia" w:ascii="宋体" w:hAnsi="宋体"/>
          <w:sz w:val="24"/>
        </w:rPr>
        <w:t>光的，每次扣除安全文明施工措施费的50%作为违约金；造成恶劣社会影响的，一次性扣完。</w:t>
      </w:r>
    </w:p>
    <w:p>
      <w:pPr>
        <w:spacing w:line="400" w:lineRule="exact"/>
        <w:rPr>
          <w:rFonts w:ascii="宋体" w:hAnsi="宋体"/>
          <w:sz w:val="24"/>
        </w:rPr>
      </w:pPr>
      <w:r>
        <w:rPr>
          <w:rFonts w:hint="eastAsia" w:ascii="宋体" w:hAnsi="宋体"/>
          <w:sz w:val="24"/>
        </w:rPr>
        <w:t>10.6承包人应根据天气情况和工期安排搭设必要的、足够多的棚架等防雨措施，以确保雨季天气的正常施工和工程按期完工。</w:t>
      </w:r>
    </w:p>
    <w:p>
      <w:pPr>
        <w:spacing w:line="400" w:lineRule="exact"/>
        <w:rPr>
          <w:rFonts w:ascii="宋体" w:hAnsi="宋体"/>
          <w:sz w:val="24"/>
        </w:rPr>
      </w:pPr>
      <w:r>
        <w:rPr>
          <w:rFonts w:hint="eastAsia" w:ascii="宋体" w:hAnsi="宋体"/>
          <w:sz w:val="24"/>
        </w:rPr>
        <w:t>10.7本工程施工期内必须设置行人防护通道，确保周边行人和财物安全。</w:t>
      </w:r>
    </w:p>
    <w:p>
      <w:pPr>
        <w:spacing w:line="400" w:lineRule="exact"/>
        <w:rPr>
          <w:rFonts w:ascii="宋体" w:hAnsi="宋体"/>
          <w:sz w:val="24"/>
        </w:rPr>
      </w:pPr>
      <w:r>
        <w:rPr>
          <w:rFonts w:hint="eastAsia" w:ascii="宋体" w:hAnsi="宋体"/>
          <w:sz w:val="24"/>
        </w:rPr>
        <w:t>10.8赶工措施费和夜间施工增加费</w:t>
      </w:r>
    </w:p>
    <w:p>
      <w:pPr>
        <w:spacing w:line="400" w:lineRule="exact"/>
        <w:rPr>
          <w:rFonts w:ascii="宋体" w:hAnsi="宋体"/>
          <w:sz w:val="24"/>
        </w:rPr>
      </w:pPr>
      <w:r>
        <w:rPr>
          <w:rFonts w:hint="eastAsia" w:ascii="宋体" w:hAnsi="宋体"/>
          <w:sz w:val="24"/>
        </w:rPr>
        <w:t>10.8.1 为保证本工程按期完成，承包人应根据审批后的施工组织设计和合同工期要求，组织足够的人力、物力和机械，合理安排夜间和节假日的赶工施工。</w:t>
      </w:r>
    </w:p>
    <w:p>
      <w:pPr>
        <w:spacing w:line="400" w:lineRule="exact"/>
        <w:rPr>
          <w:rFonts w:ascii="宋体" w:hAnsi="宋体"/>
          <w:sz w:val="24"/>
        </w:rPr>
      </w:pPr>
      <w:r>
        <w:rPr>
          <w:rFonts w:hint="eastAsia" w:ascii="宋体" w:hAnsi="宋体"/>
          <w:sz w:val="24"/>
        </w:rPr>
        <w:t>10.8.2发包人有权在下列情况扣减赶工措施费和夜间施工增加费：</w:t>
      </w:r>
    </w:p>
    <w:p>
      <w:pPr>
        <w:spacing w:line="400" w:lineRule="exact"/>
        <w:rPr>
          <w:rFonts w:ascii="宋体" w:hAnsi="宋体"/>
          <w:sz w:val="24"/>
        </w:rPr>
      </w:pPr>
      <w:r>
        <w:rPr>
          <w:rFonts w:hint="eastAsia" w:ascii="宋体" w:hAnsi="宋体"/>
          <w:sz w:val="24"/>
        </w:rPr>
        <w:t>⑴承包人在接到中标通知书后60个日历天内未按照招标文件要求完成不可撤销履约保函的办理，或接到中标通知书后30个日历天内未按照招标文件要求完成施工合同的签订，或定标后7日历天内未能及时安排临时设施的搭建、水电接驳及材料、人员进场等各项施工准备工作的，发包人有权扣减赶工措施费，每天扣减30000元作为违约金。</w:t>
      </w:r>
    </w:p>
    <w:p>
      <w:pPr>
        <w:spacing w:line="400" w:lineRule="exact"/>
        <w:rPr>
          <w:rFonts w:ascii="宋体" w:hAnsi="宋体"/>
          <w:sz w:val="24"/>
        </w:rPr>
      </w:pPr>
      <w:r>
        <w:rPr>
          <w:rFonts w:hint="eastAsia" w:ascii="宋体" w:hAnsi="宋体"/>
          <w:sz w:val="24"/>
        </w:rPr>
        <w:t>⑵ 承包人在签订合同后，未按照约定的工期要求，未按经审批的施工组织设计中的机械、材料、劳动力进场计划和数量来组织施工机械、材料和劳动力进场的，并且各施工阶段未能按经发包人审批的进度计划进行施工的，发包人有权扣减赶工措施费。若由于承包人原因，造成工程不能按合同工期完工的，发包人将拒付赶工措施费，并按合同要求承包人支付逾期竣工违约金。</w:t>
      </w:r>
    </w:p>
    <w:p>
      <w:pPr>
        <w:spacing w:line="400" w:lineRule="exact"/>
        <w:rPr>
          <w:rFonts w:ascii="宋体" w:hAnsi="宋体"/>
          <w:sz w:val="24"/>
        </w:rPr>
      </w:pPr>
      <w:r>
        <w:rPr>
          <w:rFonts w:hint="eastAsia" w:ascii="宋体" w:hAnsi="宋体"/>
          <w:sz w:val="24"/>
        </w:rPr>
        <w:t>⑶ 承包人在签订合同后，未按招标文件要求合理安排夜间增加施工的，发包人有权扣减夜间施工增加费。</w:t>
      </w:r>
    </w:p>
    <w:p>
      <w:pPr>
        <w:spacing w:line="400" w:lineRule="exact"/>
        <w:rPr>
          <w:rFonts w:ascii="宋体" w:hAnsi="宋体"/>
          <w:sz w:val="24"/>
        </w:rPr>
      </w:pPr>
      <w:r>
        <w:rPr>
          <w:rFonts w:hint="eastAsia" w:ascii="宋体" w:hAnsi="宋体"/>
          <w:sz w:val="24"/>
        </w:rPr>
        <w:t>10.9本工程由于工期十分紧迫，承包人应认真研究施工图，深入调查现场采取切实可行的施工技术方案保证平面改造和立面改造项目同步平行进行，同时保证周边居民的正常出行和商户的正常生产经营。</w:t>
      </w:r>
    </w:p>
    <w:p>
      <w:pPr>
        <w:spacing w:line="400" w:lineRule="exact"/>
        <w:rPr>
          <w:rFonts w:ascii="宋体" w:hAnsi="宋体"/>
          <w:sz w:val="24"/>
        </w:rPr>
      </w:pPr>
      <w:r>
        <w:rPr>
          <w:rFonts w:hint="eastAsia" w:ascii="宋体" w:hAnsi="宋体"/>
          <w:sz w:val="24"/>
        </w:rPr>
        <w:t>10.10发生下列情形之一的，其措施费可根据实际情况由承包人提出申请、经发包人批准确认后予以适当调整。</w:t>
      </w:r>
    </w:p>
    <w:p>
      <w:pPr>
        <w:spacing w:line="400" w:lineRule="exact"/>
        <w:rPr>
          <w:rFonts w:ascii="宋体" w:hAnsi="宋体"/>
          <w:sz w:val="24"/>
        </w:rPr>
      </w:pPr>
      <w:r>
        <w:rPr>
          <w:rFonts w:hint="eastAsia" w:ascii="宋体" w:hAnsi="宋体"/>
          <w:sz w:val="24"/>
        </w:rPr>
        <w:t>（1）重大的设计变更或需要采取特殊措施的工程变更；</w:t>
      </w:r>
    </w:p>
    <w:p>
      <w:pPr>
        <w:spacing w:line="400" w:lineRule="exact"/>
        <w:rPr>
          <w:rFonts w:ascii="宋体" w:hAnsi="宋体"/>
          <w:sz w:val="24"/>
        </w:rPr>
      </w:pPr>
      <w:r>
        <w:rPr>
          <w:rFonts w:hint="eastAsia" w:ascii="宋体" w:hAnsi="宋体"/>
          <w:sz w:val="24"/>
        </w:rPr>
        <w:t>（2）发包人要求调整合同工期且工期提前 30 天及以上或延后90天及以上的。</w:t>
      </w:r>
    </w:p>
    <w:p>
      <w:pPr>
        <w:spacing w:line="400" w:lineRule="exact"/>
        <w:rPr>
          <w:rFonts w:ascii="宋体" w:hAnsi="宋体"/>
          <w:sz w:val="24"/>
        </w:rPr>
      </w:pPr>
      <w:r>
        <w:rPr>
          <w:rFonts w:hint="eastAsia" w:ascii="宋体" w:hAnsi="宋体"/>
          <w:sz w:val="24"/>
        </w:rPr>
        <w:t>10.11分部分项工程</w:t>
      </w:r>
    </w:p>
    <w:p>
      <w:pPr>
        <w:spacing w:line="400" w:lineRule="exact"/>
        <w:rPr>
          <w:rFonts w:ascii="宋体" w:hAnsi="宋体"/>
          <w:sz w:val="24"/>
        </w:rPr>
      </w:pPr>
      <w:r>
        <w:rPr>
          <w:rFonts w:hint="eastAsia" w:ascii="宋体" w:hAnsi="宋体"/>
          <w:sz w:val="24"/>
        </w:rPr>
        <w:t>10.11.1 分部分项工程量清单</w:t>
      </w:r>
      <w:r>
        <w:rPr>
          <w:rFonts w:ascii="宋体" w:hAnsi="宋体"/>
          <w:sz w:val="24"/>
        </w:rPr>
        <w:t>各子目</w:t>
      </w:r>
      <w:r>
        <w:rPr>
          <w:rFonts w:hint="eastAsia" w:ascii="宋体" w:hAnsi="宋体"/>
          <w:sz w:val="24"/>
        </w:rPr>
        <w:t>仅说明了主要工作内容，详细全面的施工</w:t>
      </w:r>
      <w:r>
        <w:rPr>
          <w:rFonts w:ascii="宋体" w:hAnsi="宋体"/>
          <w:sz w:val="24"/>
        </w:rPr>
        <w:t>内容以图纸</w:t>
      </w:r>
      <w:r>
        <w:rPr>
          <w:rFonts w:hint="eastAsia" w:ascii="宋体" w:hAnsi="宋体"/>
          <w:sz w:val="24"/>
        </w:rPr>
        <w:t>为依据，并以</w:t>
      </w:r>
      <w:r>
        <w:rPr>
          <w:rFonts w:ascii="宋体" w:hAnsi="宋体"/>
          <w:sz w:val="24"/>
        </w:rPr>
        <w:t>设计</w:t>
      </w:r>
      <w:r>
        <w:rPr>
          <w:rFonts w:hint="eastAsia" w:ascii="宋体" w:hAnsi="宋体"/>
          <w:sz w:val="24"/>
        </w:rPr>
        <w:t>、</w:t>
      </w:r>
      <w:r>
        <w:rPr>
          <w:rFonts w:ascii="宋体" w:hAnsi="宋体"/>
          <w:sz w:val="24"/>
        </w:rPr>
        <w:t>施工规范的严格者为准</w:t>
      </w:r>
      <w:r>
        <w:rPr>
          <w:rFonts w:hint="eastAsia" w:ascii="宋体" w:hAnsi="宋体"/>
          <w:sz w:val="24"/>
        </w:rPr>
        <w:t>。</w:t>
      </w:r>
    </w:p>
    <w:p>
      <w:pPr>
        <w:spacing w:line="400" w:lineRule="exact"/>
        <w:rPr>
          <w:rFonts w:ascii="宋体" w:hAnsi="宋体"/>
          <w:sz w:val="24"/>
        </w:rPr>
      </w:pPr>
      <w:r>
        <w:rPr>
          <w:rFonts w:hint="eastAsia" w:ascii="宋体" w:hAnsi="宋体"/>
          <w:sz w:val="24"/>
        </w:rPr>
        <w:t>10.11.2综合单价和措施费被视为已包含为完成施工图设计文件相应内容所需的全部费用，不仅是审定标底所列明的工作内容，《建设工程工程量清单计价规范》GB50500-2013中相应项目编码规定的工作内容均已包含在合同总价中。除另行约定外承包人不得以综合单价和措施费所含工作内容缺漏项为由，向发包人提出任何变更工程价款的要求。</w:t>
      </w:r>
    </w:p>
    <w:p>
      <w:pPr>
        <w:spacing w:line="400" w:lineRule="exact"/>
        <w:rPr>
          <w:rFonts w:ascii="宋体" w:hAnsi="宋体"/>
          <w:sz w:val="24"/>
        </w:rPr>
      </w:pPr>
    </w:p>
    <w:p>
      <w:pPr>
        <w:spacing w:line="360" w:lineRule="auto"/>
        <w:rPr>
          <w:rFonts w:ascii="宋体" w:hAnsi="宋体"/>
          <w:b/>
          <w:sz w:val="24"/>
        </w:rPr>
      </w:pPr>
      <w:r>
        <w:rPr>
          <w:rFonts w:hint="eastAsia" w:ascii="宋体" w:hAnsi="宋体"/>
          <w:b/>
          <w:sz w:val="24"/>
        </w:rPr>
        <w:t>第十一条 其它</w:t>
      </w:r>
    </w:p>
    <w:p>
      <w:pPr>
        <w:spacing w:line="360" w:lineRule="auto"/>
        <w:rPr>
          <w:rFonts w:ascii="宋体" w:hAnsi="宋体"/>
          <w:sz w:val="24"/>
        </w:rPr>
      </w:pPr>
      <w:r>
        <w:rPr>
          <w:rFonts w:hint="eastAsia" w:ascii="宋体" w:hAnsi="宋体"/>
          <w:sz w:val="24"/>
        </w:rPr>
        <w:t>11.1</w:t>
      </w:r>
      <w:r>
        <w:rPr>
          <w:rFonts w:ascii="宋体" w:hAnsi="宋体"/>
          <w:sz w:val="24"/>
        </w:rPr>
        <w:t>工程承包</w:t>
      </w:r>
      <w:r>
        <w:rPr>
          <w:rFonts w:hint="eastAsia" w:ascii="宋体" w:hAnsi="宋体"/>
          <w:sz w:val="24"/>
        </w:rPr>
        <w:t>项目和施工范围划分的描述，只是概括的，不应该认为是全面的、完整无缺的，也不仅限于工程量清单，应认为是本工程施工图纸、设计变更、招标文件和招标答疑纪要所包括的所有工程项目（合同文件约定发包人另外发包的除外）。</w:t>
      </w:r>
    </w:p>
    <w:p>
      <w:pPr>
        <w:spacing w:line="360" w:lineRule="auto"/>
        <w:rPr>
          <w:rFonts w:ascii="宋体" w:hAnsi="宋体"/>
          <w:sz w:val="24"/>
        </w:rPr>
      </w:pPr>
      <w:r>
        <w:rPr>
          <w:rFonts w:hint="eastAsia" w:ascii="宋体" w:hAnsi="宋体"/>
          <w:sz w:val="24"/>
        </w:rPr>
        <w:t>11.2承包人在参加投标时，已先到工地踏勘并充分了解工地位置、交通现状、储存空间、装卸限制及任何其它足以影响投标报价的情况，并考虑合理的施工顺序、作业时间的安排及合理的施工方法，采取切实可行的交通维护和交通安全疏导措施。该部分施工干扰费、材料二次搬运费均已包含在合同价中。任何因忽视或误解工地情况</w:t>
      </w:r>
      <w:r>
        <w:rPr>
          <w:rFonts w:ascii="宋体" w:hAnsi="宋体"/>
          <w:sz w:val="24"/>
        </w:rPr>
        <w:t>及周围环境</w:t>
      </w:r>
      <w:r>
        <w:rPr>
          <w:rFonts w:hint="eastAsia" w:ascii="宋体" w:hAnsi="宋体"/>
          <w:sz w:val="24"/>
        </w:rPr>
        <w:t>而提出的索赔或工期延长申请将不获接受或批准。</w:t>
      </w:r>
    </w:p>
    <w:p>
      <w:pPr>
        <w:spacing w:line="360" w:lineRule="auto"/>
        <w:rPr>
          <w:rFonts w:ascii="宋体" w:hAnsi="宋体"/>
          <w:sz w:val="24"/>
        </w:rPr>
      </w:pPr>
      <w:r>
        <w:rPr>
          <w:rFonts w:hint="eastAsia" w:ascii="宋体" w:hAnsi="宋体"/>
          <w:sz w:val="24"/>
        </w:rPr>
        <w:t>11.3本合同所称合同价包括属于发包人的预留金在内，预留金是发包人为可能发生的工程量变更而预留的金额，并非直接支付给承包人的实际费用，由发包人控制使用。结算时，应按实际发生的金额进行结算，剩余部分归发包人所有。</w:t>
      </w:r>
    </w:p>
    <w:p>
      <w:pPr>
        <w:spacing w:line="360" w:lineRule="auto"/>
        <w:rPr>
          <w:rFonts w:ascii="宋体" w:hAnsi="宋体"/>
          <w:sz w:val="24"/>
        </w:rPr>
      </w:pPr>
      <w:r>
        <w:rPr>
          <w:rFonts w:hint="eastAsia" w:ascii="宋体" w:hAnsi="宋体"/>
          <w:sz w:val="24"/>
        </w:rPr>
        <w:t>11.4对于涂料油漆、玻璃、地砖铺装、设备安装等均要求先行选材及安排现场样板施工，经发包人确认后方可大面积实施。</w:t>
      </w:r>
    </w:p>
    <w:p>
      <w:pPr>
        <w:spacing w:line="360" w:lineRule="auto"/>
        <w:rPr>
          <w:rFonts w:ascii="宋体" w:hAnsi="宋体"/>
          <w:sz w:val="24"/>
        </w:rPr>
      </w:pPr>
      <w:r>
        <w:rPr>
          <w:rFonts w:hint="eastAsia" w:ascii="宋体" w:hAnsi="宋体"/>
          <w:sz w:val="24"/>
        </w:rPr>
        <w:t>11.5发包人保留对因错项引起的综合单价偏差幅度超过5%（含5%）的项目综合单价进行修正的权力。</w:t>
      </w:r>
    </w:p>
    <w:p>
      <w:pPr>
        <w:spacing w:line="360" w:lineRule="auto"/>
        <w:rPr>
          <w:rFonts w:ascii="宋体" w:hAnsi="宋体"/>
          <w:sz w:val="24"/>
        </w:rPr>
      </w:pPr>
      <w:r>
        <w:rPr>
          <w:rFonts w:hint="eastAsia" w:ascii="宋体" w:hAnsi="宋体"/>
          <w:sz w:val="24"/>
        </w:rPr>
        <w:t xml:space="preserve">11.6深化设计：本项目由于设计不尽完善，部分需承包人进行二次深化设计，承包人应委托具备相应资质的设计单位进行设计，其设计费用已包含在合同价中。深化设计图纸应在施工两周前提供给本工程设计单位及发包人审核，在未通过审核前不允许施工，中标后不再因任何因素调整此部分费用。中标后如承包人加固方案不能满足规范要求，发包人有权要求承包人调整加固方案及做法，直至达到要求。中标后不因技术方案调整、清单计量计价规则、实际投入与清单或控制价的差异等任何因素而调整合同总价。 </w:t>
      </w:r>
    </w:p>
    <w:p>
      <w:pPr>
        <w:spacing w:line="360" w:lineRule="auto"/>
        <w:rPr>
          <w:rFonts w:ascii="宋体" w:hAnsi="宋体"/>
          <w:sz w:val="24"/>
        </w:rPr>
      </w:pPr>
      <w:r>
        <w:rPr>
          <w:rFonts w:hint="eastAsia" w:ascii="宋体" w:hAnsi="宋体"/>
          <w:sz w:val="24"/>
        </w:rPr>
        <w:t>11.7 对在工程实施过程中发生的设计变更和根据需要增加（减少）的工程项目，严格按照双方合同的有关计量和计价，并完全接受发包人要求变更和增加（减少）的所有工程内容。承包人已充分考虑了由此导致的风险增加，投标截止日后不再对上述工程变更或增加（减少）提出异议。</w:t>
      </w:r>
      <w:r>
        <w:rPr>
          <w:rFonts w:hint="eastAsia"/>
          <w:b/>
          <w:bCs/>
          <w:color w:val="000000"/>
          <w:sz w:val="24"/>
          <w:u w:val="single"/>
        </w:rPr>
        <w:t>发包人发出的工程变更，承包人应予以执行，不得以变更价款未确定为由拒绝执行或拖延执行，否则导致工期延误和费用增加由承包人负责。</w:t>
      </w:r>
    </w:p>
    <w:p>
      <w:pPr>
        <w:spacing w:line="360" w:lineRule="auto"/>
        <w:rPr>
          <w:rFonts w:ascii="宋体" w:hAnsi="宋体"/>
          <w:sz w:val="24"/>
        </w:rPr>
      </w:pPr>
      <w:r>
        <w:rPr>
          <w:rFonts w:hint="eastAsia" w:ascii="宋体" w:hAnsi="宋体"/>
          <w:sz w:val="24"/>
        </w:rPr>
        <w:t>11.8 本工程材料设备技术要求及参考品牌详见品牌选用清单。</w:t>
      </w:r>
    </w:p>
    <w:p>
      <w:pPr>
        <w:spacing w:line="360" w:lineRule="auto"/>
        <w:rPr>
          <w:rFonts w:ascii="宋体" w:hAnsi="宋体"/>
          <w:sz w:val="24"/>
        </w:rPr>
      </w:pPr>
      <w:r>
        <w:rPr>
          <w:rFonts w:hint="eastAsia" w:ascii="宋体" w:hAnsi="宋体"/>
          <w:sz w:val="24"/>
        </w:rPr>
        <w:t>11.9 通用条款和专用条款与补充条款如有冲突部分，以补充条款为准。</w:t>
      </w:r>
    </w:p>
    <w:p>
      <w:pPr>
        <w:pageBreakBefore/>
        <w:tabs>
          <w:tab w:val="left" w:pos="540"/>
          <w:tab w:val="left" w:pos="900"/>
          <w:tab w:val="left" w:pos="1080"/>
          <w:tab w:val="left" w:pos="1260"/>
        </w:tabs>
        <w:spacing w:line="360" w:lineRule="auto"/>
        <w:ind w:left="1849" w:leftChars="345" w:hanging="1125" w:hangingChars="400"/>
        <w:jc w:val="center"/>
        <w:rPr>
          <w:b/>
          <w:color w:val="000000"/>
          <w:sz w:val="30"/>
          <w:szCs w:val="32"/>
        </w:rPr>
      </w:pPr>
      <w:r>
        <w:rPr>
          <w:rFonts w:hint="eastAsia"/>
          <w:b/>
          <w:bCs/>
          <w:color w:val="000000"/>
          <w:spacing w:val="-10"/>
          <w:sz w:val="30"/>
        </w:rPr>
        <w:t>补充条款四　现场</w:t>
      </w:r>
      <w:r>
        <w:rPr>
          <w:rFonts w:hint="eastAsia"/>
          <w:b/>
          <w:color w:val="000000"/>
          <w:sz w:val="30"/>
          <w:szCs w:val="32"/>
        </w:rPr>
        <w:t>出入安全卫生环保要求及违规处罚标准</w:t>
      </w:r>
    </w:p>
    <w:p>
      <w:pPr>
        <w:pStyle w:val="111"/>
        <w:numPr>
          <w:ilvl w:val="0"/>
          <w:numId w:val="10"/>
        </w:numPr>
        <w:spacing w:line="360" w:lineRule="auto"/>
        <w:ind w:firstLineChars="0"/>
        <w:rPr>
          <w:color w:val="000000"/>
        </w:rPr>
      </w:pPr>
      <w:r>
        <w:rPr>
          <w:rFonts w:hint="eastAsia"/>
          <w:color w:val="000000"/>
        </w:rPr>
        <w:t>施工安全管理要求：</w:t>
      </w:r>
    </w:p>
    <w:p>
      <w:pPr>
        <w:pStyle w:val="111"/>
        <w:numPr>
          <w:ilvl w:val="0"/>
          <w:numId w:val="11"/>
        </w:numPr>
        <w:spacing w:line="360" w:lineRule="auto"/>
        <w:ind w:firstLineChars="0"/>
        <w:rPr>
          <w:color w:val="000000"/>
        </w:rPr>
      </w:pPr>
      <w:r>
        <w:rPr>
          <w:rFonts w:hint="eastAsia"/>
          <w:color w:val="000000"/>
        </w:rPr>
        <w:t>施工单位（包括承包人及分包人）对承包项目安全负责，建立安全组织，制定安全制度，落实安全责任，自主开展安全管理与检查，并管理好下包落实安全生产责任。</w:t>
      </w:r>
    </w:p>
    <w:p>
      <w:pPr>
        <w:pStyle w:val="111"/>
        <w:numPr>
          <w:ilvl w:val="0"/>
          <w:numId w:val="11"/>
        </w:numPr>
        <w:spacing w:line="360" w:lineRule="auto"/>
        <w:ind w:firstLineChars="0"/>
        <w:rPr>
          <w:color w:val="000000"/>
        </w:rPr>
      </w:pPr>
      <w:r>
        <w:rPr>
          <w:rFonts w:hint="eastAsia"/>
          <w:color w:val="000000"/>
        </w:rPr>
        <w:t>施工现场必须要配备有资质的专职安全员（施工人员300人以下之施工单位必须配备1名安全员，超过300人施工单位，每增加300人需增加1名安全员，不足300人以配1名安全员计），并进行施工监护。兼职安全员配置按作业人员1：50的比例配备。</w:t>
      </w:r>
    </w:p>
    <w:p>
      <w:pPr>
        <w:pStyle w:val="111"/>
        <w:numPr>
          <w:ilvl w:val="0"/>
          <w:numId w:val="11"/>
        </w:numPr>
        <w:spacing w:line="360" w:lineRule="auto"/>
        <w:ind w:firstLineChars="0"/>
        <w:rPr>
          <w:color w:val="000000"/>
        </w:rPr>
      </w:pPr>
      <w:r>
        <w:rPr>
          <w:rFonts w:hint="eastAsia"/>
          <w:color w:val="000000"/>
        </w:rPr>
        <w:t>施工单位需依据法规要求核发劳保用品，并按国家有关规定佩戴好相应的劳保用品。</w:t>
      </w:r>
    </w:p>
    <w:p>
      <w:pPr>
        <w:pStyle w:val="111"/>
        <w:numPr>
          <w:ilvl w:val="0"/>
          <w:numId w:val="11"/>
        </w:numPr>
        <w:spacing w:line="360" w:lineRule="auto"/>
        <w:ind w:firstLineChars="0"/>
        <w:rPr>
          <w:color w:val="000000"/>
        </w:rPr>
      </w:pPr>
      <w:r>
        <w:rPr>
          <w:rFonts w:hint="eastAsia"/>
          <w:color w:val="000000"/>
        </w:rPr>
        <w:t>施工单位在签订工程合同的同时，必须同时签订建设单位的《安全环保协议》、《安全承诺书》，同时提交《施工组织方案》(需含施工组织架构、应急方案、危险源识别内容)，人员保险证明等，在局部有重大危险区域作业前必须制定并提交专项安全预案，并开展内部三级安全教育培训传达相应安全要求。</w:t>
      </w:r>
    </w:p>
    <w:p>
      <w:pPr>
        <w:pStyle w:val="111"/>
        <w:numPr>
          <w:ilvl w:val="0"/>
          <w:numId w:val="11"/>
        </w:numPr>
        <w:spacing w:line="360" w:lineRule="auto"/>
        <w:ind w:firstLineChars="0"/>
        <w:rPr>
          <w:color w:val="000000"/>
        </w:rPr>
      </w:pPr>
      <w:r>
        <w:rPr>
          <w:rFonts w:hint="eastAsia"/>
          <w:color w:val="000000"/>
        </w:rPr>
        <w:t>各参建单位的安全管理人员需要遵守发包人的相关会议制度，积极参加。</w:t>
      </w:r>
    </w:p>
    <w:p>
      <w:pPr>
        <w:numPr>
          <w:ilvl w:val="0"/>
          <w:numId w:val="11"/>
        </w:numPr>
        <w:spacing w:line="360" w:lineRule="auto"/>
        <w:rPr>
          <w:color w:val="000000"/>
          <w:sz w:val="22"/>
        </w:rPr>
      </w:pPr>
      <w:r>
        <w:rPr>
          <w:rFonts w:hint="eastAsia"/>
          <w:color w:val="000000"/>
          <w:sz w:val="24"/>
        </w:rPr>
        <w:t>承包人在施工区域及周边存在交通安全隐患道路设置减速标识及减速带。</w:t>
      </w:r>
    </w:p>
    <w:p>
      <w:pPr>
        <w:pStyle w:val="111"/>
        <w:spacing w:line="360" w:lineRule="auto"/>
        <w:ind w:firstLineChars="0"/>
        <w:rPr>
          <w:color w:val="000000"/>
        </w:rPr>
      </w:pPr>
    </w:p>
    <w:p>
      <w:pPr>
        <w:pStyle w:val="111"/>
        <w:numPr>
          <w:ilvl w:val="0"/>
          <w:numId w:val="10"/>
        </w:numPr>
        <w:spacing w:line="360" w:lineRule="auto"/>
        <w:ind w:firstLineChars="0"/>
        <w:rPr>
          <w:color w:val="000000"/>
        </w:rPr>
      </w:pPr>
      <w:r>
        <w:rPr>
          <w:rFonts w:hint="eastAsia"/>
          <w:color w:val="000000"/>
        </w:rPr>
        <w:t>卫生文明施工要求：</w:t>
      </w:r>
    </w:p>
    <w:p>
      <w:pPr>
        <w:pStyle w:val="111"/>
        <w:numPr>
          <w:ilvl w:val="0"/>
          <w:numId w:val="12"/>
        </w:numPr>
        <w:spacing w:line="360" w:lineRule="auto"/>
        <w:ind w:firstLineChars="0"/>
        <w:rPr>
          <w:color w:val="000000"/>
        </w:rPr>
      </w:pPr>
      <w:r>
        <w:rPr>
          <w:rFonts w:hint="eastAsia"/>
          <w:color w:val="000000"/>
        </w:rPr>
        <w:t>施工现场人员进场施工必须戴好安全帽、安全鞋，并佩戴好识别卡，统一着装（反光背心或者公司统一服装，反光背心或者公司统一服装有明显的公司名称标识）。</w:t>
      </w:r>
    </w:p>
    <w:p>
      <w:pPr>
        <w:pStyle w:val="111"/>
        <w:numPr>
          <w:ilvl w:val="0"/>
          <w:numId w:val="12"/>
        </w:numPr>
        <w:spacing w:line="360" w:lineRule="auto"/>
        <w:ind w:firstLineChars="0"/>
        <w:rPr>
          <w:color w:val="000000"/>
        </w:rPr>
      </w:pPr>
      <w:r>
        <w:rPr>
          <w:rFonts w:hint="eastAsia"/>
          <w:color w:val="000000"/>
        </w:rPr>
        <w:t>施工现场需设置必要的宣传标语（如9牌2图等）、警示围篱、危险告知牌等，在施工工人主要进出口处及茶水吸烟处设置施工安全基本要求宣传栏。</w:t>
      </w:r>
    </w:p>
    <w:p>
      <w:pPr>
        <w:pStyle w:val="111"/>
        <w:numPr>
          <w:ilvl w:val="0"/>
          <w:numId w:val="12"/>
        </w:numPr>
        <w:spacing w:line="360" w:lineRule="auto"/>
        <w:ind w:firstLineChars="0"/>
        <w:rPr>
          <w:color w:val="000000"/>
        </w:rPr>
      </w:pPr>
      <w:r>
        <w:rPr>
          <w:rFonts w:hint="eastAsia"/>
          <w:color w:val="000000"/>
        </w:rPr>
        <w:t>施工垃圾及废弃物需按规定于指定地点进行处理，不得因施工不当造成环境污染。</w:t>
      </w:r>
    </w:p>
    <w:p>
      <w:pPr>
        <w:pStyle w:val="111"/>
        <w:numPr>
          <w:ilvl w:val="0"/>
          <w:numId w:val="12"/>
        </w:numPr>
        <w:spacing w:line="360" w:lineRule="auto"/>
        <w:ind w:firstLineChars="0"/>
        <w:rPr>
          <w:color w:val="000000"/>
        </w:rPr>
      </w:pPr>
      <w:r>
        <w:rPr>
          <w:rFonts w:hint="eastAsia"/>
          <w:color w:val="000000"/>
        </w:rPr>
        <w:t>施工需倡导文明施工，施工场所禁止喝酒、抽烟、饮食、赤膊、穿拖鞋、睡觉等现象。禁止打架斗殴、盗窃、威胁、赌博等违法行为。</w:t>
      </w:r>
    </w:p>
    <w:p>
      <w:pPr>
        <w:pStyle w:val="111"/>
        <w:numPr>
          <w:ilvl w:val="0"/>
          <w:numId w:val="12"/>
        </w:numPr>
        <w:spacing w:line="360" w:lineRule="auto"/>
        <w:ind w:firstLineChars="0"/>
        <w:rPr>
          <w:color w:val="000000"/>
        </w:rPr>
      </w:pPr>
      <w:r>
        <w:rPr>
          <w:rFonts w:hint="eastAsia"/>
          <w:color w:val="000000"/>
        </w:rPr>
        <w:t>各参建施工单位需组织一支不少于30人的清洁队伍，清理责任区域之垃圾，整理施工区域至6S。并将每日所产生的施工垃圾运输到指定的“垃圾中转区”，垃圾中转区由承包人指定，施工人员和车辆通行的主要道路禁止有垃圾堆放的现象。</w:t>
      </w:r>
    </w:p>
    <w:p>
      <w:pPr>
        <w:pStyle w:val="111"/>
        <w:numPr>
          <w:ilvl w:val="0"/>
          <w:numId w:val="12"/>
        </w:numPr>
        <w:spacing w:line="360" w:lineRule="auto"/>
        <w:ind w:firstLineChars="0"/>
        <w:rPr>
          <w:color w:val="000000"/>
        </w:rPr>
      </w:pPr>
      <w:r>
        <w:rPr>
          <w:rFonts w:hint="eastAsia"/>
          <w:color w:val="000000"/>
        </w:rPr>
        <w:t>洗车槽、茶水吸烟室、流动或固定厕所、开工前（工具箱）会议地点、请按照相应法律法规要求配置。</w:t>
      </w:r>
    </w:p>
    <w:p>
      <w:pPr>
        <w:pStyle w:val="111"/>
        <w:numPr>
          <w:ilvl w:val="0"/>
          <w:numId w:val="10"/>
        </w:numPr>
        <w:spacing w:line="360" w:lineRule="auto"/>
        <w:ind w:firstLineChars="0"/>
        <w:rPr>
          <w:color w:val="000000"/>
        </w:rPr>
      </w:pPr>
      <w:r>
        <w:rPr>
          <w:rFonts w:hint="eastAsia"/>
          <w:color w:val="000000"/>
        </w:rPr>
        <w:t>高风险作业安全要求：</w:t>
      </w:r>
    </w:p>
    <w:p>
      <w:pPr>
        <w:pStyle w:val="111"/>
        <w:numPr>
          <w:ilvl w:val="0"/>
          <w:numId w:val="13"/>
        </w:numPr>
        <w:spacing w:line="360" w:lineRule="auto"/>
        <w:ind w:firstLineChars="0"/>
        <w:rPr>
          <w:color w:val="000000"/>
        </w:rPr>
      </w:pPr>
      <w:r>
        <w:rPr>
          <w:rFonts w:hint="eastAsia"/>
          <w:color w:val="000000"/>
        </w:rPr>
        <w:t>特种设备车辆及特种岗位操作人员应具备相关资质证明，禁止违章操作，违章指挥。</w:t>
      </w:r>
    </w:p>
    <w:p>
      <w:pPr>
        <w:pStyle w:val="111"/>
        <w:numPr>
          <w:ilvl w:val="0"/>
          <w:numId w:val="13"/>
        </w:numPr>
        <w:spacing w:line="360" w:lineRule="auto"/>
        <w:ind w:firstLineChars="0"/>
        <w:rPr>
          <w:color w:val="000000"/>
        </w:rPr>
      </w:pPr>
      <w:r>
        <w:rPr>
          <w:rFonts w:hint="eastAsia"/>
          <w:color w:val="000000"/>
        </w:rPr>
        <w:t>高风险作业（动火、高架、吊装、密闭作业等）需要设置审批程序，电焊、气焊割必须配备动火监护人（一处一人原则），高空动火作业需要做区域隔离措施(防火毯、接火盆、隔离分区等有效安全措施)，未经批准禁止私自作业，高风险作业需做好相应防护。</w:t>
      </w:r>
    </w:p>
    <w:p>
      <w:pPr>
        <w:pStyle w:val="111"/>
        <w:numPr>
          <w:ilvl w:val="0"/>
          <w:numId w:val="13"/>
        </w:numPr>
        <w:spacing w:line="360" w:lineRule="auto"/>
        <w:ind w:firstLineChars="0"/>
        <w:rPr>
          <w:color w:val="000000"/>
        </w:rPr>
      </w:pPr>
      <w:r>
        <w:rPr>
          <w:rFonts w:hint="eastAsia"/>
          <w:color w:val="000000"/>
        </w:rPr>
        <w:t>施工单位需遵守用电安全管理制度，电线需做好防护（如防碾、防潮），禁止乱接乱拉、超负荷、严禁使用老化电器。电器接线符合国家法规标准采用“一机﹑一闸﹑一漏﹑一箱”方式。</w:t>
      </w:r>
    </w:p>
    <w:p>
      <w:pPr>
        <w:pStyle w:val="111"/>
        <w:numPr>
          <w:ilvl w:val="0"/>
          <w:numId w:val="10"/>
        </w:numPr>
        <w:spacing w:line="400" w:lineRule="exact"/>
        <w:ind w:firstLineChars="0"/>
        <w:jc w:val="left"/>
        <w:rPr>
          <w:rFonts w:ascii="宋体" w:hAnsi="宋体"/>
          <w:color w:val="000000"/>
        </w:rPr>
      </w:pPr>
      <w:r>
        <w:rPr>
          <w:rFonts w:hint="eastAsia" w:ascii="宋体" w:hAnsi="宋体"/>
          <w:color w:val="000000"/>
        </w:rPr>
        <w:t>其他（门禁、消防）安全要求：</w:t>
      </w:r>
    </w:p>
    <w:p>
      <w:pPr>
        <w:pStyle w:val="111"/>
        <w:numPr>
          <w:ilvl w:val="0"/>
          <w:numId w:val="14"/>
        </w:numPr>
        <w:spacing w:line="400" w:lineRule="exact"/>
        <w:ind w:firstLineChars="0"/>
        <w:jc w:val="left"/>
        <w:rPr>
          <w:rFonts w:ascii="宋体" w:hAnsi="宋体"/>
          <w:color w:val="000000"/>
        </w:rPr>
      </w:pPr>
      <w:r>
        <w:rPr>
          <w:rFonts w:hint="eastAsia" w:ascii="宋体" w:hAnsi="宋体"/>
          <w:color w:val="000000"/>
        </w:rPr>
        <w:t>施工单位需成立义务消防队，按总人数的10%配置，义务消防队需掌握消防灭火常识，并定期组织演练，验证应急方案可行性。</w:t>
      </w:r>
    </w:p>
    <w:p>
      <w:pPr>
        <w:pStyle w:val="111"/>
        <w:numPr>
          <w:ilvl w:val="0"/>
          <w:numId w:val="14"/>
        </w:numPr>
        <w:spacing w:line="400" w:lineRule="exact"/>
        <w:ind w:firstLineChars="0"/>
        <w:jc w:val="left"/>
        <w:rPr>
          <w:rFonts w:ascii="宋体" w:hAnsi="宋体"/>
          <w:color w:val="000000"/>
        </w:rPr>
      </w:pPr>
      <w:r>
        <w:rPr>
          <w:rFonts w:hint="eastAsia" w:ascii="宋体" w:hAnsi="宋体"/>
          <w:color w:val="000000"/>
        </w:rPr>
        <w:t>施工单位在施工场所之门岗要配置保安管控施工区域之人员物品出入，并建立相关人员、物品出入制度。</w:t>
      </w:r>
    </w:p>
    <w:p>
      <w:pPr>
        <w:pStyle w:val="111"/>
        <w:numPr>
          <w:ilvl w:val="0"/>
          <w:numId w:val="14"/>
        </w:numPr>
        <w:spacing w:line="400" w:lineRule="exact"/>
        <w:ind w:firstLineChars="0"/>
        <w:jc w:val="left"/>
        <w:rPr>
          <w:rFonts w:ascii="宋体" w:hAnsi="宋体"/>
          <w:color w:val="000000"/>
        </w:rPr>
      </w:pPr>
      <w:r>
        <w:rPr>
          <w:rFonts w:hint="eastAsia" w:ascii="宋体" w:hAnsi="宋体"/>
          <w:color w:val="000000"/>
        </w:rPr>
        <w:t>施工单位要防护好发包人物品，不得损坏，且做好自身施工物料防盗管理，施工人员、车辆进出需提前申请，按公司管理要求配合办理好相关出入证件，并从规定出入口出入，且配合门卫检查。</w:t>
      </w:r>
    </w:p>
    <w:p>
      <w:pPr>
        <w:pStyle w:val="111"/>
        <w:numPr>
          <w:ilvl w:val="0"/>
          <w:numId w:val="10"/>
        </w:numPr>
        <w:spacing w:line="400" w:lineRule="exact"/>
        <w:ind w:firstLineChars="0"/>
        <w:jc w:val="left"/>
        <w:rPr>
          <w:rFonts w:ascii="宋体" w:hAnsi="宋体"/>
          <w:color w:val="000000"/>
        </w:rPr>
      </w:pPr>
      <w:r>
        <w:rPr>
          <w:rFonts w:hint="eastAsia" w:ascii="宋体" w:hAnsi="宋体"/>
          <w:color w:val="000000"/>
        </w:rPr>
        <w:t>环安卫奖惩原则：</w:t>
      </w:r>
    </w:p>
    <w:p>
      <w:pPr>
        <w:pStyle w:val="111"/>
        <w:numPr>
          <w:ilvl w:val="0"/>
          <w:numId w:val="15"/>
        </w:numPr>
        <w:spacing w:line="400" w:lineRule="exact"/>
        <w:ind w:firstLineChars="0"/>
        <w:jc w:val="left"/>
        <w:rPr>
          <w:rFonts w:ascii="宋体" w:hAnsi="宋体"/>
          <w:color w:val="000000"/>
        </w:rPr>
      </w:pPr>
      <w:r>
        <w:rPr>
          <w:rFonts w:hint="eastAsia" w:ascii="宋体" w:hAnsi="宋体"/>
          <w:color w:val="000000"/>
        </w:rPr>
        <w:t>施工单位必须贯彻执行国</w:t>
      </w:r>
      <w:r>
        <w:rPr>
          <w:rFonts w:hint="eastAsia" w:ascii="宋体" w:hAnsi="宋体"/>
          <w:color w:val="000000"/>
          <w:highlight w:val="none"/>
        </w:rPr>
        <w:t>家和</w:t>
      </w:r>
      <w:r>
        <w:rPr>
          <w:rFonts w:hint="eastAsia" w:ascii="宋体" w:hAnsi="宋体"/>
          <w:color w:val="000000"/>
          <w:highlight w:val="none"/>
          <w:lang w:val="en-US" w:eastAsia="zh-CN"/>
        </w:rPr>
        <w:t>广东</w:t>
      </w:r>
      <w:r>
        <w:rPr>
          <w:rFonts w:hint="eastAsia" w:ascii="宋体" w:hAnsi="宋体"/>
          <w:color w:val="000000"/>
          <w:highlight w:val="none"/>
        </w:rPr>
        <w:t>省、</w:t>
      </w:r>
      <w:r>
        <w:rPr>
          <w:rFonts w:hint="eastAsia" w:ascii="宋体" w:hAnsi="宋体"/>
          <w:color w:val="000000"/>
          <w:highlight w:val="none"/>
          <w:lang w:val="en-US" w:eastAsia="zh-CN"/>
        </w:rPr>
        <w:t>广州</w:t>
      </w:r>
      <w:r>
        <w:rPr>
          <w:rFonts w:hint="eastAsia" w:ascii="宋体" w:hAnsi="宋体"/>
          <w:color w:val="000000"/>
          <w:highlight w:val="none"/>
        </w:rPr>
        <w:t>市环安卫</w:t>
      </w:r>
      <w:r>
        <w:rPr>
          <w:rFonts w:hint="eastAsia" w:ascii="宋体" w:hAnsi="宋体"/>
          <w:color w:val="000000"/>
        </w:rPr>
        <w:t>法律法规的相关规定，及严格执行发包人所有安全及环保管理规定，并积极配合环安人员安全检查，若有违反者则按法规或公司规定进行相应处理。</w:t>
      </w:r>
    </w:p>
    <w:p>
      <w:pPr>
        <w:pStyle w:val="111"/>
        <w:numPr>
          <w:ilvl w:val="0"/>
          <w:numId w:val="15"/>
        </w:numPr>
        <w:spacing w:line="400" w:lineRule="exact"/>
        <w:ind w:firstLineChars="0"/>
        <w:jc w:val="left"/>
        <w:rPr>
          <w:rFonts w:ascii="宋体" w:hAnsi="宋体"/>
          <w:color w:val="000000"/>
        </w:rPr>
      </w:pPr>
      <w:r>
        <w:rPr>
          <w:rFonts w:hint="eastAsia" w:ascii="宋体" w:hAnsi="宋体"/>
          <w:color w:val="000000"/>
        </w:rPr>
        <w:t>各参建单位工人施工过程中违反</w:t>
      </w:r>
      <w:bookmarkStart w:id="533" w:name="OLE_LINK1"/>
      <w:bookmarkEnd w:id="533"/>
      <w:r>
        <w:rPr>
          <w:rFonts w:hint="eastAsia" w:ascii="宋体" w:hAnsi="宋体"/>
          <w:color w:val="000000"/>
        </w:rPr>
        <w:t>《安全环保协议书》中条款，将按照《安全环保协议》的处罚细则进行相应的经济处罚。</w:t>
      </w:r>
    </w:p>
    <w:p>
      <w:pPr>
        <w:pStyle w:val="111"/>
        <w:numPr>
          <w:ilvl w:val="0"/>
          <w:numId w:val="15"/>
        </w:numPr>
        <w:spacing w:line="400" w:lineRule="exact"/>
        <w:ind w:firstLineChars="0"/>
        <w:jc w:val="left"/>
        <w:rPr>
          <w:rFonts w:ascii="宋体" w:hAnsi="宋体"/>
          <w:color w:val="000000"/>
        </w:rPr>
      </w:pPr>
      <w:r>
        <w:rPr>
          <w:rFonts w:hint="eastAsia" w:ascii="宋体" w:hAnsi="宋体"/>
          <w:color w:val="000000"/>
        </w:rPr>
        <w:t>对存在重要安全隐患、重大违章、情节恶劣或屡教不改之厂商，发包人可根据实际情况责令限期整改并开出NCR（保留工程款），保留之工程款于整改完成后的下月支付。</w:t>
      </w:r>
    </w:p>
    <w:p>
      <w:pPr>
        <w:pStyle w:val="111"/>
        <w:numPr>
          <w:ilvl w:val="0"/>
          <w:numId w:val="15"/>
        </w:numPr>
        <w:spacing w:line="400" w:lineRule="exact"/>
        <w:ind w:firstLineChars="0"/>
        <w:jc w:val="left"/>
        <w:rPr>
          <w:rFonts w:ascii="宋体" w:hAnsi="宋体"/>
          <w:color w:val="000000"/>
        </w:rPr>
      </w:pPr>
      <w:r>
        <w:rPr>
          <w:rFonts w:hint="eastAsia" w:ascii="宋体" w:hAnsi="宋体"/>
          <w:color w:val="000000"/>
        </w:rPr>
        <w:t>针对表现优良或对发包人建设做出重要贡献之厂商或个人，发包人可酌情予以相应奖励，相应奖励依发包人规划为准。</w:t>
      </w:r>
    </w:p>
    <w:p>
      <w:pPr>
        <w:rPr>
          <w:rFonts w:ascii="宋体" w:hAnsi="宋体"/>
          <w:color w:val="000000"/>
        </w:rPr>
      </w:pPr>
      <w:r>
        <w:rPr>
          <w:rFonts w:ascii="宋体" w:hAnsi="宋体"/>
          <w:color w:val="000000"/>
        </w:rPr>
        <w:br w:type="page"/>
      </w:r>
    </w:p>
    <w:p>
      <w:pPr>
        <w:pStyle w:val="183"/>
        <w:tabs>
          <w:tab w:val="left" w:pos="576"/>
        </w:tabs>
        <w:spacing w:line="360" w:lineRule="auto"/>
        <w:ind w:left="1848" w:hanging="1124"/>
        <w:rPr>
          <w:rFonts w:ascii="宋体" w:hAnsi="华文细黑"/>
          <w:color w:val="000000"/>
          <w:sz w:val="28"/>
          <w:szCs w:val="28"/>
        </w:rPr>
      </w:pPr>
      <w:r>
        <w:rPr>
          <w:rFonts w:hint="eastAsia" w:ascii="宋体" w:hAnsi="华文细黑"/>
          <w:color w:val="000000"/>
          <w:sz w:val="28"/>
          <w:szCs w:val="28"/>
        </w:rPr>
        <w:t>补充条款五  暂估价项目发包方案</w:t>
      </w:r>
    </w:p>
    <w:p>
      <w:pPr>
        <w:pStyle w:val="185"/>
        <w:spacing w:line="360" w:lineRule="auto"/>
        <w:ind w:firstLine="600"/>
        <w:rPr>
          <w:rFonts w:ascii="宋体" w:hAnsi="宋体"/>
          <w:color w:val="000000"/>
          <w:sz w:val="24"/>
        </w:rPr>
      </w:pPr>
      <w:r>
        <w:rPr>
          <w:rFonts w:hint="eastAsia" w:ascii="宋体" w:hAnsi="宋体"/>
          <w:color w:val="000000"/>
          <w:sz w:val="24"/>
        </w:rPr>
        <w:t>本招标文件中的暂估价项目，由承包人招标，对于暂估价项目的确认和批准按照以下约定执行：</w:t>
      </w:r>
    </w:p>
    <w:p>
      <w:pPr>
        <w:pStyle w:val="185"/>
        <w:spacing w:line="360" w:lineRule="auto"/>
        <w:ind w:firstLine="600"/>
        <w:rPr>
          <w:rFonts w:ascii="宋体" w:hAnsi="宋体"/>
          <w:color w:val="000000"/>
          <w:sz w:val="24"/>
        </w:rPr>
      </w:pPr>
      <w:r>
        <w:rPr>
          <w:rFonts w:hint="eastAsia" w:ascii="宋体" w:hAnsi="宋体"/>
          <w:color w:val="000000"/>
          <w:sz w:val="24"/>
        </w:rPr>
        <w:t>一、暂估价分包工程发包方案</w:t>
      </w:r>
    </w:p>
    <w:p>
      <w:pPr>
        <w:pStyle w:val="185"/>
        <w:spacing w:line="360" w:lineRule="auto"/>
        <w:ind w:firstLine="600"/>
        <w:rPr>
          <w:rFonts w:ascii="宋体" w:hAnsi="宋体"/>
          <w:color w:val="000000"/>
          <w:sz w:val="24"/>
        </w:rPr>
      </w:pPr>
      <w:r>
        <w:rPr>
          <w:rFonts w:hint="eastAsia" w:ascii="宋体" w:hAnsi="宋体"/>
          <w:color w:val="000000"/>
          <w:sz w:val="24"/>
        </w:rPr>
        <w:t>（1）承包人应当根据施工进度计划，在每个暂估价项目招标工作启动前（60）天将招标方案报送发包人审查，发包人在收到承包人报送的招标方案后应尽快批准或提出修改意见。承包人应当按照经过发包人批准的招标方案开展招标工作；</w:t>
      </w:r>
    </w:p>
    <w:p>
      <w:pPr>
        <w:pStyle w:val="185"/>
        <w:spacing w:line="360" w:lineRule="auto"/>
        <w:ind w:firstLine="600"/>
        <w:rPr>
          <w:rFonts w:ascii="宋体" w:hAnsi="宋体"/>
          <w:color w:val="000000"/>
          <w:sz w:val="24"/>
        </w:rPr>
      </w:pPr>
      <w:r>
        <w:rPr>
          <w:rFonts w:hint="eastAsia" w:ascii="宋体" w:hAnsi="宋体"/>
          <w:color w:val="000000"/>
          <w:sz w:val="24"/>
        </w:rPr>
        <w:t>（2）承包人应当根据施工进度计划，提前（45）天将招标文件报送发包人审批，发包人应当在收到承包人报送的相关文件后尽快完成审批或提出修改意见；发包人有权确定招标控制价并参加评标；</w:t>
      </w:r>
    </w:p>
    <w:p>
      <w:pPr>
        <w:pStyle w:val="185"/>
        <w:spacing w:line="360" w:lineRule="auto"/>
        <w:ind w:firstLine="600"/>
        <w:rPr>
          <w:rFonts w:ascii="宋体" w:hAnsi="宋体"/>
          <w:color w:val="000000"/>
          <w:sz w:val="24"/>
        </w:rPr>
      </w:pPr>
      <w:r>
        <w:rPr>
          <w:rFonts w:hint="eastAsia" w:ascii="宋体" w:hAnsi="宋体"/>
          <w:color w:val="000000"/>
          <w:sz w:val="24"/>
        </w:rPr>
        <w:t>（3）承包人应当在评标结束后当天将评标结果报送发包人进行确认，承包人应在发包人确认评标结果后（1）天向中标候选人发送中标确认函。中标确认函须经发包人认可，否则不视为发包人对该分包行为的认可。若发包人对评标结果有异议，承包人应无条件重新招标。</w:t>
      </w:r>
    </w:p>
    <w:p>
      <w:pPr>
        <w:pStyle w:val="185"/>
        <w:spacing w:line="360" w:lineRule="auto"/>
        <w:ind w:firstLine="600"/>
        <w:rPr>
          <w:rFonts w:ascii="宋体" w:hAnsi="宋体"/>
          <w:color w:val="000000"/>
          <w:sz w:val="24"/>
        </w:rPr>
      </w:pPr>
      <w:r>
        <w:rPr>
          <w:rFonts w:hint="eastAsia" w:ascii="宋体" w:hAnsi="宋体"/>
          <w:color w:val="000000"/>
          <w:sz w:val="24"/>
        </w:rPr>
        <w:t>（4）承包人与供应商、分包人在签订暂估价合同前应将合同文本报发包人审批，发包人应当在收到承包人报送的相关文件后尽快完成审批或提出修改意见，承包人应当按照经发包人批准的合同文本与供应商、分包人签署合同。承包人应当在签订合同后7天内，将暂估价合同副本报送发包人留存。</w:t>
      </w:r>
    </w:p>
    <w:p>
      <w:pPr>
        <w:pStyle w:val="185"/>
        <w:spacing w:line="360" w:lineRule="auto"/>
        <w:ind w:firstLine="600"/>
        <w:rPr>
          <w:rFonts w:ascii="宋体" w:hAnsi="宋体"/>
          <w:color w:val="000000"/>
          <w:sz w:val="24"/>
        </w:rPr>
      </w:pPr>
      <w:r>
        <w:rPr>
          <w:rFonts w:hint="eastAsia" w:ascii="宋体" w:hAnsi="宋体"/>
          <w:color w:val="000000"/>
          <w:sz w:val="24"/>
        </w:rPr>
        <w:t>二、发包人对暂估价项目分包人的资质及业绩要求</w:t>
      </w:r>
    </w:p>
    <w:p>
      <w:pPr>
        <w:pStyle w:val="185"/>
        <w:spacing w:line="360" w:lineRule="auto"/>
        <w:ind w:firstLine="600"/>
        <w:rPr>
          <w:rFonts w:ascii="宋体" w:hAnsi="宋体"/>
          <w:color w:val="000000"/>
          <w:sz w:val="24"/>
        </w:rPr>
      </w:pPr>
      <w:r>
        <w:rPr>
          <w:rFonts w:hint="eastAsia" w:ascii="宋体" w:hAnsi="宋体"/>
          <w:color w:val="000000"/>
          <w:sz w:val="24"/>
        </w:rPr>
        <w:t>暂估价项目的分包人资质和业绩要求：符合暂估价项目建设单位要求并经认可。</w:t>
      </w:r>
    </w:p>
    <w:p>
      <w:pPr>
        <w:pStyle w:val="185"/>
        <w:spacing w:line="360" w:lineRule="auto"/>
        <w:ind w:firstLine="600"/>
        <w:rPr>
          <w:rFonts w:ascii="宋体" w:hAnsi="宋体"/>
          <w:color w:val="000000"/>
          <w:sz w:val="24"/>
        </w:rPr>
      </w:pPr>
      <w:r>
        <w:rPr>
          <w:rFonts w:hint="eastAsia" w:ascii="宋体" w:hAnsi="宋体"/>
          <w:color w:val="000000"/>
          <w:sz w:val="24"/>
        </w:rPr>
        <w:t>三、其他约定</w:t>
      </w:r>
    </w:p>
    <w:p>
      <w:pPr>
        <w:pStyle w:val="185"/>
        <w:spacing w:line="360" w:lineRule="auto"/>
        <w:ind w:firstLine="600"/>
        <w:rPr>
          <w:rFonts w:ascii="宋体" w:hAnsi="宋体"/>
          <w:color w:val="000000"/>
          <w:sz w:val="24"/>
        </w:rPr>
      </w:pPr>
      <w:r>
        <w:rPr>
          <w:rFonts w:hint="eastAsia" w:ascii="宋体" w:hAnsi="宋体"/>
          <w:color w:val="000000"/>
          <w:sz w:val="24"/>
        </w:rPr>
        <w:t>（1）发包人有权将暂估价项目另行发包选择承包商，承包人须无条件执行。</w:t>
      </w:r>
    </w:p>
    <w:p>
      <w:pPr>
        <w:pStyle w:val="185"/>
        <w:spacing w:line="360" w:lineRule="auto"/>
        <w:ind w:firstLine="600"/>
        <w:rPr>
          <w:rFonts w:ascii="宋体" w:hAnsi="宋体"/>
          <w:color w:val="000000"/>
          <w:sz w:val="24"/>
        </w:rPr>
      </w:pPr>
      <w:r>
        <w:rPr>
          <w:rFonts w:hint="eastAsia" w:ascii="宋体" w:hAnsi="宋体"/>
          <w:color w:val="000000"/>
          <w:sz w:val="24"/>
        </w:rPr>
        <w:t>（2）若发包人认为有必要，承包人必须对本项目的项目经理部（或项目管理部或项目部）出具授权委托书，授权项目经理部（或项目管理部或项目部）进行暂估价项目的招标工作。承包人对其项目经理部（或项目管理部或项目部）出具的所有文件均予以认可并受其约束。</w:t>
      </w:r>
    </w:p>
    <w:p>
      <w:pPr>
        <w:pStyle w:val="185"/>
        <w:spacing w:line="360" w:lineRule="auto"/>
        <w:ind w:firstLine="600"/>
        <w:rPr>
          <w:rFonts w:ascii="宋体" w:hAnsi="宋体"/>
          <w:color w:val="000000"/>
          <w:sz w:val="24"/>
        </w:rPr>
      </w:pPr>
      <w:r>
        <w:rPr>
          <w:rFonts w:hint="eastAsia" w:ascii="宋体" w:hAnsi="宋体"/>
          <w:color w:val="000000"/>
          <w:sz w:val="24"/>
        </w:rPr>
        <w:t>（3）因承包人原因导致暂估价项目招标进度、合同订立和履行迟延的，由此增加的费用和（或）延误的工期由承包人承担。</w:t>
      </w:r>
    </w:p>
    <w:p>
      <w:pPr>
        <w:pStyle w:val="185"/>
        <w:spacing w:line="360" w:lineRule="auto"/>
        <w:ind w:firstLine="600"/>
        <w:rPr>
          <w:rFonts w:ascii="宋体" w:hAnsi="宋体"/>
          <w:color w:val="000000"/>
          <w:sz w:val="24"/>
        </w:rPr>
      </w:pPr>
      <w:r>
        <w:rPr>
          <w:rFonts w:hint="eastAsia" w:ascii="宋体" w:hAnsi="宋体"/>
          <w:color w:val="000000"/>
          <w:sz w:val="24"/>
        </w:rPr>
        <w:t>（4）暂估价项目招标过程中产生的费用已包含在承包人投标报价中，发包人不再另行支付。</w:t>
      </w:r>
    </w:p>
    <w:p>
      <w:pPr>
        <w:pStyle w:val="185"/>
        <w:spacing w:line="360" w:lineRule="auto"/>
        <w:ind w:firstLine="600"/>
        <w:rPr>
          <w:rFonts w:ascii="宋体" w:hAnsi="宋体"/>
          <w:color w:val="000000"/>
          <w:sz w:val="24"/>
          <w:szCs w:val="30"/>
        </w:rPr>
      </w:pPr>
      <w:r>
        <w:rPr>
          <w:rFonts w:hint="eastAsia" w:ascii="宋体" w:hAnsi="宋体"/>
          <w:color w:val="000000"/>
          <w:sz w:val="24"/>
          <w:szCs w:val="30"/>
        </w:rPr>
        <w:t>（5）对于暂估价项目的分包人，承包人应当提供所有必要协助，不得以任何理由阻挠、干扰其正常工作，也不得以任何名义向分包人收取费用。</w:t>
      </w:r>
    </w:p>
    <w:p>
      <w:pPr>
        <w:pStyle w:val="185"/>
        <w:spacing w:line="360" w:lineRule="auto"/>
        <w:ind w:firstLine="600"/>
        <w:rPr>
          <w:rFonts w:ascii="宋体" w:hAnsi="宋体"/>
          <w:color w:val="000000"/>
          <w:sz w:val="24"/>
          <w:szCs w:val="30"/>
        </w:rPr>
      </w:pPr>
      <w:r>
        <w:rPr>
          <w:rFonts w:hint="eastAsia" w:ascii="宋体" w:hAnsi="宋体"/>
          <w:color w:val="000000"/>
          <w:sz w:val="24"/>
          <w:szCs w:val="30"/>
        </w:rPr>
        <w:t>（6）承包人同意暂估价分包工程合同项下应支付给分包人的工程款承包人委托发包人直接支付给分包人。承包人无合理正当理由不得拒绝在分包人提交的工程量确认文件、工程款支付/结算文件上签字或盖章，或以其他方式阻碍发包人向分包人支付分包工程款。承包人违反规定，每发生一次/项，向发包人支付50万元的违约金。违约金不足以弥补发包人损失的，承包人应补充赔偿发包人损失。</w:t>
      </w:r>
    </w:p>
    <w:p>
      <w:pPr>
        <w:pStyle w:val="185"/>
        <w:spacing w:line="360" w:lineRule="auto"/>
        <w:ind w:firstLine="600"/>
        <w:rPr>
          <w:u w:val="single"/>
        </w:rPr>
      </w:pPr>
      <w:r>
        <w:rPr>
          <w:rFonts w:hint="eastAsia" w:ascii="宋体" w:hAnsi="宋体"/>
          <w:color w:val="000000"/>
          <w:sz w:val="24"/>
          <w:szCs w:val="30"/>
        </w:rPr>
        <w:t>（7）经发包人事先书面同意，承包人才可以参与暂估价项目投标。如承包人经发包人同意后参与暂估价项目投标，则由发包人作为暂估价项目招标人组织招标；并由发包人与中标人签订暂估价项目工程合同。</w:t>
      </w:r>
    </w:p>
    <w:p>
      <w:pPr>
        <w:pStyle w:val="111"/>
        <w:spacing w:line="400" w:lineRule="exact"/>
        <w:ind w:left="780" w:firstLine="0" w:firstLineChars="0"/>
        <w:jc w:val="left"/>
        <w:rPr>
          <w:rFonts w:ascii="宋体" w:hAnsi="宋体"/>
          <w:color w:val="000000"/>
        </w:rPr>
      </w:pPr>
    </w:p>
    <w:p>
      <w:pPr>
        <w:pStyle w:val="111"/>
        <w:spacing w:line="400" w:lineRule="exact"/>
        <w:ind w:left="780" w:firstLine="0" w:firstLineChars="0"/>
        <w:jc w:val="left"/>
        <w:rPr>
          <w:rFonts w:ascii="宋体" w:hAnsi="宋体"/>
          <w:color w:val="000000"/>
        </w:rPr>
      </w:pPr>
    </w:p>
    <w:p>
      <w:pPr>
        <w:pStyle w:val="111"/>
        <w:spacing w:line="400" w:lineRule="exact"/>
        <w:ind w:left="780" w:firstLine="0" w:firstLineChars="0"/>
        <w:jc w:val="left"/>
        <w:rPr>
          <w:color w:val="000000"/>
        </w:rPr>
      </w:pPr>
    </w:p>
    <w:bookmarkEnd w:id="6"/>
    <w:bookmarkEnd w:id="7"/>
    <w:bookmarkEnd w:id="8"/>
    <w:p>
      <w:pPr>
        <w:spacing w:line="360" w:lineRule="auto"/>
        <w:rPr>
          <w:color w:val="000000"/>
          <w:sz w:val="36"/>
          <w:szCs w:val="36"/>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7"/>
        <w:spacing w:line="360" w:lineRule="auto"/>
        <w:ind w:firstLine="0" w:firstLineChars="0"/>
        <w:rPr>
          <w:rFonts w:ascii="宋体" w:hAnsi="宋体" w:eastAsia="宋体"/>
          <w:sz w:val="24"/>
        </w:rPr>
      </w:pPr>
    </w:p>
    <w:p>
      <w:pPr>
        <w:pStyle w:val="2"/>
        <w:numPr>
          <w:ilvl w:val="0"/>
          <w:numId w:val="0"/>
        </w:numPr>
        <w:rPr>
          <w:rFonts w:ascii="Arial Unicode MS" w:hAnsi="Arial Unicode MS" w:eastAsia="Arial Unicode MS" w:cs="Arial Unicode MS"/>
          <w:color w:val="000000"/>
          <w:sz w:val="28"/>
          <w:szCs w:val="28"/>
        </w:rPr>
      </w:pPr>
      <w:r>
        <w:rPr>
          <w:rFonts w:hint="eastAsia" w:ascii="Arial Unicode MS" w:hAnsi="Arial Unicode MS" w:eastAsia="Arial Unicode MS" w:cs="Arial Unicode MS"/>
          <w:color w:val="000000"/>
          <w:sz w:val="28"/>
          <w:szCs w:val="28"/>
        </w:rPr>
        <w:t xml:space="preserve">第七部分  </w:t>
      </w:r>
      <w:r>
        <w:rPr>
          <w:rFonts w:ascii="Arial Unicode MS" w:hAnsi="Arial Unicode MS" w:eastAsia="Arial Unicode MS" w:cs="Arial Unicode MS"/>
          <w:color w:val="000000"/>
          <w:sz w:val="28"/>
          <w:szCs w:val="28"/>
        </w:rPr>
        <w:t>包定义文件、技术规格书及图纸</w:t>
      </w:r>
      <w:r>
        <w:rPr>
          <w:rFonts w:hint="eastAsia" w:ascii="Arial Unicode MS" w:hAnsi="Arial Unicode MS" w:eastAsia="Arial Unicode MS" w:cs="Arial Unicode MS"/>
          <w:color w:val="000000"/>
          <w:sz w:val="28"/>
          <w:szCs w:val="28"/>
        </w:rPr>
        <w:t>等技术（另册装订）</w:t>
      </w:r>
    </w:p>
    <w:p>
      <w:pPr>
        <w:pStyle w:val="2"/>
        <w:numPr>
          <w:ilvl w:val="0"/>
          <w:numId w:val="0"/>
        </w:numPr>
        <w:rPr>
          <w:rFonts w:ascii="Arial Unicode MS" w:hAnsi="Arial Unicode MS" w:eastAsia="Arial Unicode MS" w:cs="Arial Unicode MS"/>
          <w:color w:val="000000"/>
          <w:sz w:val="28"/>
          <w:szCs w:val="28"/>
        </w:rPr>
      </w:pPr>
      <w:r>
        <w:fldChar w:fldCharType="begin"/>
      </w:r>
      <w:r>
        <w:instrText xml:space="preserve"> HYPERLINK \l "_Toc401842445" </w:instrText>
      </w:r>
      <w:r>
        <w:fldChar w:fldCharType="separate"/>
      </w:r>
      <w:r>
        <w:rPr>
          <w:rFonts w:hint="eastAsia" w:ascii="Arial Unicode MS" w:hAnsi="Arial Unicode MS" w:eastAsia="Arial Unicode MS" w:cs="Arial Unicode MS"/>
          <w:color w:val="000000"/>
          <w:sz w:val="28"/>
          <w:szCs w:val="28"/>
        </w:rPr>
        <w:t>第八部分</w:t>
      </w:r>
      <w:r>
        <w:rPr>
          <w:rFonts w:hint="eastAsia" w:ascii="Arial Unicode MS" w:hAnsi="Arial Unicode MS" w:eastAsia="Arial Unicode MS" w:cs="Arial Unicode MS"/>
          <w:color w:val="000000"/>
          <w:sz w:val="28"/>
          <w:szCs w:val="28"/>
        </w:rPr>
        <w:tab/>
      </w:r>
      <w:r>
        <w:rPr>
          <w:rFonts w:hint="eastAsia" w:ascii="Arial Unicode MS" w:hAnsi="Arial Unicode MS" w:eastAsia="Arial Unicode MS" w:cs="Arial Unicode MS"/>
          <w:color w:val="000000"/>
          <w:sz w:val="28"/>
          <w:szCs w:val="28"/>
        </w:rPr>
        <w:fldChar w:fldCharType="end"/>
      </w:r>
      <w:r>
        <w:rPr>
          <w:rFonts w:ascii="Arial Unicode MS" w:hAnsi="Arial Unicode MS" w:eastAsia="Arial Unicode MS" w:cs="Arial Unicode MS"/>
          <w:color w:val="000000"/>
          <w:sz w:val="28"/>
          <w:szCs w:val="28"/>
        </w:rPr>
        <w:t xml:space="preserve"> </w:t>
      </w:r>
      <w:r>
        <w:rPr>
          <w:rFonts w:hint="eastAsia" w:ascii="Arial Unicode MS" w:hAnsi="Arial Unicode MS" w:eastAsia="Arial Unicode MS" w:cs="Arial Unicode MS"/>
          <w:color w:val="000000"/>
          <w:sz w:val="28"/>
          <w:szCs w:val="28"/>
        </w:rPr>
        <w:t>经双方确认的价格清单文件</w:t>
      </w:r>
      <w:r>
        <w:fldChar w:fldCharType="begin"/>
      </w:r>
      <w:r>
        <w:instrText xml:space="preserve"> HYPERLINK \l "_Toc401842447" </w:instrText>
      </w:r>
      <w:r>
        <w:fldChar w:fldCharType="separate"/>
      </w:r>
      <w:r>
        <w:rPr>
          <w:rFonts w:hint="eastAsia" w:ascii="Arial Unicode MS" w:hAnsi="Arial Unicode MS" w:eastAsia="Arial Unicode MS" w:cs="Arial Unicode MS"/>
          <w:color w:val="000000"/>
          <w:sz w:val="28"/>
          <w:szCs w:val="28"/>
        </w:rPr>
        <w:t>（另册装订）</w:t>
      </w:r>
      <w:r>
        <w:rPr>
          <w:rFonts w:hint="eastAsia" w:ascii="Arial Unicode MS" w:hAnsi="Arial Unicode MS" w:eastAsia="Arial Unicode MS" w:cs="Arial Unicode MS"/>
          <w:color w:val="000000"/>
          <w:sz w:val="28"/>
          <w:szCs w:val="28"/>
        </w:rPr>
        <w:fldChar w:fldCharType="end"/>
      </w:r>
    </w:p>
    <w:p>
      <w:pPr>
        <w:pStyle w:val="2"/>
        <w:numPr>
          <w:ilvl w:val="0"/>
          <w:numId w:val="0"/>
        </w:numPr>
        <w:rPr>
          <w:rFonts w:ascii="Arial Unicode MS" w:hAnsi="Arial Unicode MS" w:eastAsia="Arial Unicode MS" w:cs="Arial Unicode MS"/>
          <w:color w:val="000000"/>
          <w:sz w:val="28"/>
          <w:szCs w:val="28"/>
        </w:rPr>
      </w:pPr>
      <w:r>
        <w:fldChar w:fldCharType="begin"/>
      </w:r>
      <w:r>
        <w:instrText xml:space="preserve"> HYPERLINK \l "_Toc401842448" </w:instrText>
      </w:r>
      <w:r>
        <w:fldChar w:fldCharType="separate"/>
      </w:r>
      <w:r>
        <w:rPr>
          <w:rFonts w:hint="eastAsia" w:ascii="Arial Unicode MS" w:hAnsi="Arial Unicode MS" w:eastAsia="Arial Unicode MS" w:cs="Arial Unicode MS"/>
          <w:color w:val="000000"/>
          <w:sz w:val="28"/>
          <w:szCs w:val="28"/>
        </w:rPr>
        <w:t>第九部分</w:t>
      </w:r>
      <w:r>
        <w:rPr>
          <w:rFonts w:hint="eastAsia" w:ascii="Arial Unicode MS" w:hAnsi="Arial Unicode MS" w:eastAsia="Arial Unicode MS" w:cs="Arial Unicode MS"/>
          <w:color w:val="000000"/>
          <w:sz w:val="28"/>
          <w:szCs w:val="28"/>
        </w:rPr>
        <w:tab/>
      </w:r>
      <w:r>
        <w:rPr>
          <w:rFonts w:hint="eastAsia" w:ascii="Arial Unicode MS" w:hAnsi="Arial Unicode MS" w:eastAsia="Arial Unicode MS" w:cs="Arial Unicode MS"/>
          <w:color w:val="000000"/>
          <w:sz w:val="28"/>
          <w:szCs w:val="28"/>
        </w:rPr>
        <w:t xml:space="preserve"> 招标文件（另册装订）</w:t>
      </w:r>
      <w:r>
        <w:rPr>
          <w:rFonts w:hint="eastAsia" w:ascii="Arial Unicode MS" w:hAnsi="Arial Unicode MS" w:eastAsia="Arial Unicode MS" w:cs="Arial Unicode MS"/>
          <w:color w:val="000000"/>
          <w:sz w:val="28"/>
          <w:szCs w:val="28"/>
        </w:rPr>
        <w:fldChar w:fldCharType="end"/>
      </w:r>
    </w:p>
    <w:p>
      <w:pPr>
        <w:pStyle w:val="2"/>
        <w:numPr>
          <w:ilvl w:val="0"/>
          <w:numId w:val="0"/>
        </w:numPr>
        <w:rPr>
          <w:rFonts w:ascii="Arial Unicode MS" w:hAnsi="Arial Unicode MS" w:eastAsia="Arial Unicode MS" w:cs="Arial Unicode MS"/>
          <w:color w:val="000000"/>
          <w:sz w:val="28"/>
          <w:szCs w:val="28"/>
        </w:rPr>
      </w:pPr>
      <w:r>
        <w:fldChar w:fldCharType="begin"/>
      </w:r>
      <w:r>
        <w:instrText xml:space="preserve"> HYPERLINK \l "_Toc401842449" </w:instrText>
      </w:r>
      <w:r>
        <w:fldChar w:fldCharType="separate"/>
      </w:r>
      <w:r>
        <w:rPr>
          <w:rFonts w:hint="eastAsia" w:ascii="Arial Unicode MS" w:hAnsi="Arial Unicode MS" w:eastAsia="Arial Unicode MS" w:cs="Arial Unicode MS"/>
          <w:color w:val="000000"/>
          <w:sz w:val="28"/>
          <w:szCs w:val="28"/>
        </w:rPr>
        <w:t>第十部分</w:t>
      </w:r>
      <w:r>
        <w:rPr>
          <w:rFonts w:hint="eastAsia" w:ascii="Arial Unicode MS" w:hAnsi="Arial Unicode MS" w:eastAsia="Arial Unicode MS" w:cs="Arial Unicode MS"/>
          <w:color w:val="000000"/>
          <w:sz w:val="28"/>
          <w:szCs w:val="28"/>
        </w:rPr>
        <w:tab/>
      </w:r>
      <w:r>
        <w:rPr>
          <w:rFonts w:hint="eastAsia" w:ascii="Arial Unicode MS" w:hAnsi="Arial Unicode MS" w:eastAsia="Arial Unicode MS" w:cs="Arial Unicode MS"/>
          <w:color w:val="000000"/>
          <w:sz w:val="28"/>
          <w:szCs w:val="28"/>
        </w:rPr>
        <w:t xml:space="preserve"> 承包人投标文件（另册装订）</w:t>
      </w:r>
      <w:r>
        <w:rPr>
          <w:rFonts w:hint="eastAsia" w:ascii="Arial Unicode MS" w:hAnsi="Arial Unicode MS" w:eastAsia="Arial Unicode MS" w:cs="Arial Unicode MS"/>
          <w:color w:val="000000"/>
          <w:sz w:val="28"/>
          <w:szCs w:val="28"/>
        </w:rPr>
        <w:fldChar w:fldCharType="end"/>
      </w:r>
    </w:p>
    <w:p>
      <w:pPr>
        <w:pStyle w:val="2"/>
        <w:numPr>
          <w:ilvl w:val="0"/>
          <w:numId w:val="0"/>
        </w:numPr>
        <w:rPr>
          <w:rFonts w:ascii="Arial Unicode MS" w:hAnsi="Arial Unicode MS" w:eastAsia="Arial Unicode MS" w:cs="Arial Unicode MS"/>
          <w:color w:val="000000"/>
          <w:sz w:val="28"/>
          <w:szCs w:val="28"/>
        </w:rPr>
      </w:pPr>
      <w:r>
        <w:fldChar w:fldCharType="begin"/>
      </w:r>
      <w:r>
        <w:instrText xml:space="preserve"> HYPERLINK \l "_Toc401842450" </w:instrText>
      </w:r>
      <w:r>
        <w:fldChar w:fldCharType="separate"/>
      </w:r>
      <w:r>
        <w:rPr>
          <w:rFonts w:hint="eastAsia" w:ascii="Arial Unicode MS" w:hAnsi="Arial Unicode MS" w:eastAsia="Arial Unicode MS" w:cs="Arial Unicode MS"/>
          <w:color w:val="000000"/>
          <w:sz w:val="28"/>
          <w:szCs w:val="28"/>
        </w:rPr>
        <w:t>第十一部分  附件</w:t>
      </w:r>
      <w:r>
        <w:rPr>
          <w:rFonts w:hint="eastAsia" w:ascii="Arial Unicode MS" w:hAnsi="Arial Unicode MS" w:eastAsia="Arial Unicode MS" w:cs="Arial Unicode MS"/>
          <w:color w:val="000000"/>
          <w:sz w:val="28"/>
          <w:szCs w:val="28"/>
        </w:rPr>
        <w:fldChar w:fldCharType="end"/>
      </w:r>
    </w:p>
    <w:p>
      <w:pPr>
        <w:pStyle w:val="111"/>
        <w:numPr>
          <w:ilvl w:val="0"/>
          <w:numId w:val="16"/>
        </w:numPr>
        <w:tabs>
          <w:tab w:val="left" w:pos="1260"/>
          <w:tab w:val="right" w:pos="9288"/>
        </w:tabs>
        <w:ind w:firstLine="196" w:firstLineChars="0"/>
      </w:pPr>
      <w:r>
        <w:rPr>
          <w:rFonts w:hint="eastAsia"/>
        </w:rPr>
        <w:t>供应商</w:t>
      </w:r>
      <w:r>
        <w:t>合作协议</w:t>
      </w:r>
    </w:p>
    <w:p>
      <w:pPr>
        <w:pStyle w:val="111"/>
        <w:numPr>
          <w:ilvl w:val="0"/>
          <w:numId w:val="16"/>
        </w:numPr>
        <w:tabs>
          <w:tab w:val="left" w:pos="1260"/>
          <w:tab w:val="right" w:pos="9288"/>
        </w:tabs>
        <w:ind w:firstLine="196" w:firstLineChars="0"/>
      </w:pPr>
      <w:r>
        <w:fldChar w:fldCharType="begin"/>
      </w:r>
      <w:r>
        <w:instrText xml:space="preserve"> HYPERLINK \l "_Toc401842461" </w:instrText>
      </w:r>
      <w:r>
        <w:fldChar w:fldCharType="separate"/>
      </w:r>
      <w:r>
        <w:rPr>
          <w:rFonts w:hint="eastAsia"/>
        </w:rPr>
        <w:t>履约保函</w:t>
      </w:r>
      <w:r>
        <w:rPr>
          <w:rFonts w:hint="eastAsia"/>
        </w:rPr>
        <w:fldChar w:fldCharType="end"/>
      </w:r>
    </w:p>
    <w:p>
      <w:pPr>
        <w:pStyle w:val="111"/>
        <w:numPr>
          <w:ilvl w:val="0"/>
          <w:numId w:val="16"/>
        </w:numPr>
        <w:tabs>
          <w:tab w:val="left" w:pos="1260"/>
          <w:tab w:val="right" w:pos="9288"/>
        </w:tabs>
        <w:ind w:firstLine="196" w:firstLineChars="0"/>
      </w:pPr>
      <w:r>
        <w:rPr>
          <w:rFonts w:hint="eastAsia"/>
          <w:color w:val="000000"/>
          <w:lang w:val="en-US" w:eastAsia="zh-CN"/>
        </w:rPr>
        <w:t>项目管理文件（另册装订）</w:t>
      </w:r>
    </w:p>
    <w:p>
      <w:pPr>
        <w:pStyle w:val="27"/>
        <w:spacing w:line="360" w:lineRule="auto"/>
        <w:ind w:firstLine="0" w:firstLineChars="0"/>
        <w:rPr>
          <w:rFonts w:ascii="宋体" w:hAnsi="宋体" w:eastAsia="宋体"/>
          <w:sz w:val="24"/>
        </w:rPr>
      </w:pPr>
    </w:p>
    <w:bookmarkEnd w:id="2"/>
    <w:bookmarkEnd w:id="3"/>
    <w:bookmarkEnd w:id="4"/>
    <w:p>
      <w:pPr>
        <w:widowControl w:val="0"/>
        <w:spacing w:before="120" w:beforeLines="50" w:after="120" w:afterLines="50" w:line="320" w:lineRule="exact"/>
        <w:ind w:left="420"/>
        <w:jc w:val="center"/>
        <w:outlineLvl w:val="0"/>
        <w:rPr>
          <w:rFonts w:ascii="微软雅黑" w:hAnsi="微软雅黑" w:eastAsia="微软雅黑" w:cs="Times New Roman"/>
          <w:b/>
          <w:sz w:val="28"/>
          <w:szCs w:val="21"/>
          <w:lang w:val="en-US"/>
        </w:rPr>
      </w:pPr>
      <w:bookmarkStart w:id="534" w:name="bt协议书"/>
      <w:bookmarkEnd w:id="534"/>
      <w:bookmarkStart w:id="535" w:name="bt投标文件格式"/>
      <w:bookmarkEnd w:id="535"/>
      <w:bookmarkStart w:id="536" w:name="bt合同文件格式"/>
      <w:bookmarkEnd w:id="536"/>
      <w:r>
        <w:rPr>
          <w:b/>
          <w:sz w:val="32"/>
          <w:szCs w:val="28"/>
        </w:rPr>
        <w:br w:type="page"/>
      </w:r>
      <w:r>
        <w:rPr>
          <w:rFonts w:hint="eastAsia" w:ascii="微软雅黑" w:hAnsi="微软雅黑" w:eastAsia="微软雅黑" w:cs="Times New Roman"/>
          <w:b/>
          <w:sz w:val="28"/>
          <w:szCs w:val="21"/>
          <w:lang w:val="en-US"/>
        </w:rPr>
        <w:t>供应商合作协议</w:t>
      </w:r>
    </w:p>
    <w:p>
      <w:pPr>
        <w:snapToGrid w:val="0"/>
        <w:spacing w:line="336" w:lineRule="auto"/>
        <w:ind w:firstLine="420" w:firstLineChars="200"/>
        <w:jc w:val="both"/>
        <w:rPr>
          <w:rFonts w:ascii="微软雅黑" w:hAnsi="微软雅黑" w:eastAsia="微软雅黑" w:cs="Times New Roman"/>
          <w:kern w:val="2"/>
          <w:sz w:val="21"/>
          <w:szCs w:val="21"/>
          <w:lang w:val="en-US"/>
        </w:rPr>
      </w:pPr>
      <w:r>
        <w:rPr>
          <w:rFonts w:hint="eastAsia" w:ascii="微软雅黑" w:hAnsi="微软雅黑" w:eastAsia="微软雅黑" w:cs="Times New Roman"/>
          <w:kern w:val="2"/>
          <w:sz w:val="21"/>
          <w:szCs w:val="21"/>
          <w:lang w:val="en-US"/>
        </w:rPr>
        <w:t>甲方：广州华星光电半导体显示技术有限公司</w:t>
      </w:r>
    </w:p>
    <w:p>
      <w:pPr>
        <w:snapToGrid w:val="0"/>
        <w:spacing w:line="336" w:lineRule="auto"/>
        <w:ind w:firstLine="420" w:firstLineChars="200"/>
        <w:jc w:val="both"/>
        <w:rPr>
          <w:rFonts w:ascii="微软雅黑" w:hAnsi="微软雅黑" w:eastAsia="微软雅黑" w:cs="Times New Roman"/>
          <w:kern w:val="2"/>
          <w:sz w:val="21"/>
          <w:szCs w:val="21"/>
          <w:lang w:val="en-US"/>
        </w:rPr>
      </w:pPr>
    </w:p>
    <w:p>
      <w:pPr>
        <w:snapToGrid w:val="0"/>
        <w:spacing w:line="336" w:lineRule="auto"/>
        <w:ind w:firstLine="420" w:firstLineChars="200"/>
        <w:jc w:val="both"/>
        <w:rPr>
          <w:rFonts w:hint="eastAsia" w:ascii="微软雅黑" w:hAnsi="微软雅黑" w:eastAsia="微软雅黑" w:cs="Times New Roman"/>
          <w:kern w:val="2"/>
          <w:sz w:val="21"/>
          <w:szCs w:val="21"/>
          <w:lang w:val="en-US" w:eastAsia="zh-CN"/>
        </w:rPr>
      </w:pPr>
      <w:r>
        <w:rPr>
          <w:rFonts w:hint="eastAsia" w:ascii="微软雅黑" w:hAnsi="微软雅黑" w:eastAsia="微软雅黑" w:cs="Times New Roman"/>
          <w:kern w:val="2"/>
          <w:sz w:val="21"/>
          <w:szCs w:val="21"/>
          <w:lang w:val="en-US"/>
        </w:rPr>
        <w:t>乙方：</w:t>
      </w:r>
      <w:r>
        <w:rPr>
          <w:rFonts w:hint="eastAsia" w:ascii="微软雅黑" w:hAnsi="微软雅黑" w:eastAsia="微软雅黑" w:cs="Times New Roman"/>
          <w:kern w:val="2"/>
          <w:sz w:val="21"/>
          <w:szCs w:val="21"/>
          <w:lang w:val="en-US" w:eastAsia="zh-CN"/>
        </w:rPr>
        <w:t xml:space="preserve"> </w:t>
      </w:r>
    </w:p>
    <w:p>
      <w:pPr>
        <w:snapToGrid w:val="0"/>
        <w:spacing w:line="336" w:lineRule="auto"/>
        <w:ind w:firstLine="420" w:firstLineChars="200"/>
        <w:jc w:val="both"/>
        <w:rPr>
          <w:rFonts w:ascii="微软雅黑" w:hAnsi="微软雅黑" w:eastAsia="微软雅黑" w:cs="Times New Roman"/>
          <w:kern w:val="2"/>
          <w:sz w:val="21"/>
          <w:szCs w:val="21"/>
          <w:lang w:val="en-US"/>
        </w:rPr>
      </w:pPr>
    </w:p>
    <w:p>
      <w:pPr>
        <w:widowControl w:val="0"/>
        <w:spacing w:line="276" w:lineRule="auto"/>
        <w:ind w:firstLine="420" w:firstLineChars="200"/>
        <w:jc w:val="both"/>
        <w:rPr>
          <w:rFonts w:ascii="Times New Roman" w:hAnsi="Times New Roman" w:eastAsia="宋体" w:cs="Times New Roman"/>
          <w:kern w:val="2"/>
          <w:sz w:val="24"/>
          <w:szCs w:val="24"/>
          <w:lang w:val="en-US"/>
        </w:rPr>
      </w:pPr>
      <w:r>
        <w:rPr>
          <w:rFonts w:hint="eastAsia" w:ascii="微软雅黑" w:hAnsi="微软雅黑" w:eastAsia="微软雅黑" w:cs="Times New Roman"/>
          <w:kern w:val="2"/>
          <w:sz w:val="21"/>
          <w:szCs w:val="21"/>
          <w:lang w:val="en-US"/>
        </w:rPr>
        <w:t>本《供应商合作协议》的甲方是指在项目招标或业务合同中提出采购需求的一方，乙方是指希望成为或已经成为甲方的供应商，包括但不限于物料供应商、设备供应商、服务提供商、施工方、出租方、承租方、经销商、代理商、分包商。经双方友好协商，特签署本《供应商合作协议》（以下简称“本协议”）。</w:t>
      </w:r>
    </w:p>
    <w:p>
      <w:pPr>
        <w:snapToGrid w:val="0"/>
        <w:spacing w:line="276" w:lineRule="auto"/>
        <w:ind w:left="420"/>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本协议由以下内容组成：</w:t>
      </w:r>
    </w:p>
    <w:p>
      <w:pPr>
        <w:widowControl w:val="0"/>
        <w:numPr>
          <w:ilvl w:val="0"/>
          <w:numId w:val="17"/>
        </w:numPr>
        <w:snapToGrid w:val="0"/>
        <w:spacing w:line="276"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基本条款</w:t>
      </w:r>
    </w:p>
    <w:p>
      <w:pPr>
        <w:widowControl w:val="0"/>
        <w:numPr>
          <w:ilvl w:val="0"/>
          <w:numId w:val="17"/>
        </w:numPr>
        <w:snapToGrid w:val="0"/>
        <w:spacing w:line="276"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保密协议</w:t>
      </w:r>
    </w:p>
    <w:p>
      <w:pPr>
        <w:widowControl w:val="0"/>
        <w:numPr>
          <w:ilvl w:val="0"/>
          <w:numId w:val="17"/>
        </w:numPr>
        <w:snapToGrid w:val="0"/>
        <w:spacing w:line="276"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知识产权协议</w:t>
      </w:r>
    </w:p>
    <w:p>
      <w:pPr>
        <w:widowControl w:val="0"/>
        <w:numPr>
          <w:ilvl w:val="0"/>
          <w:numId w:val="17"/>
        </w:numPr>
        <w:snapToGrid w:val="0"/>
        <w:spacing w:line="276"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TCL合作伙伴行为准则</w:t>
      </w:r>
    </w:p>
    <w:p>
      <w:pPr>
        <w:widowControl w:val="0"/>
        <w:numPr>
          <w:ilvl w:val="0"/>
          <w:numId w:val="17"/>
        </w:numPr>
        <w:snapToGrid w:val="0"/>
        <w:spacing w:line="276"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安全环保协议</w:t>
      </w:r>
    </w:p>
    <w:p>
      <w:pPr>
        <w:spacing w:after="160" w:line="259" w:lineRule="auto"/>
        <w:rPr>
          <w:rFonts w:ascii="Times New Roman" w:hAnsi="Times New Roman" w:eastAsia="宋体" w:cs="Times New Roman"/>
          <w:kern w:val="2"/>
          <w:sz w:val="24"/>
          <w:szCs w:val="24"/>
          <w:lang w:val="en-US"/>
        </w:rPr>
      </w:pPr>
      <w:r>
        <w:rPr>
          <w:rFonts w:ascii="Times New Roman" w:hAnsi="Times New Roman" w:eastAsia="宋体" w:cs="Times New Roman"/>
          <w:kern w:val="2"/>
          <w:sz w:val="24"/>
          <w:szCs w:val="24"/>
          <w:lang w:val="en-US"/>
        </w:rPr>
        <w:br w:type="page"/>
      </w:r>
    </w:p>
    <w:p>
      <w:pPr>
        <w:widowControl w:val="0"/>
        <w:jc w:val="both"/>
        <w:rPr>
          <w:rFonts w:ascii="Times New Roman" w:hAnsi="Times New Roman" w:eastAsia="宋体" w:cs="Times New Roman"/>
          <w:kern w:val="2"/>
          <w:sz w:val="24"/>
          <w:szCs w:val="24"/>
          <w:lang w:val="en-US"/>
        </w:rPr>
      </w:pPr>
    </w:p>
    <w:p>
      <w:pPr>
        <w:widowControl w:val="0"/>
        <w:spacing w:before="120" w:beforeLines="50" w:after="120" w:afterLines="50" w:line="312" w:lineRule="auto"/>
        <w:ind w:left="420"/>
        <w:jc w:val="center"/>
        <w:outlineLvl w:val="0"/>
        <w:rPr>
          <w:rFonts w:ascii="微软雅黑" w:hAnsi="微软雅黑" w:eastAsia="微软雅黑" w:cs="Times New Roman"/>
          <w:b/>
          <w:sz w:val="28"/>
          <w:szCs w:val="21"/>
          <w:lang w:val="en-US"/>
        </w:rPr>
      </w:pPr>
      <w:r>
        <w:rPr>
          <w:rFonts w:hint="eastAsia" w:ascii="微软雅黑" w:hAnsi="微软雅黑" w:eastAsia="微软雅黑" w:cs="Times New Roman"/>
          <w:b/>
          <w:sz w:val="28"/>
          <w:szCs w:val="21"/>
          <w:lang w:val="en-US"/>
        </w:rPr>
        <w:t>基本条款</w:t>
      </w:r>
    </w:p>
    <w:p>
      <w:pPr>
        <w:widowControl w:val="0"/>
        <w:numPr>
          <w:ilvl w:val="0"/>
          <w:numId w:val="18"/>
        </w:numPr>
        <w:snapToGrid w:val="0"/>
        <w:spacing w:line="312"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乙方应坚持诚信经营原则，必须保证向甲方提供的一切材料和所有信息都是真实、准确、完整、合法、有效的。</w:t>
      </w:r>
    </w:p>
    <w:p>
      <w:pPr>
        <w:widowControl w:val="0"/>
        <w:numPr>
          <w:ilvl w:val="0"/>
          <w:numId w:val="18"/>
        </w:numPr>
        <w:snapToGrid w:val="0"/>
        <w:spacing w:line="312"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本协议签约双方地位相互独立，双方关系不是雇佣关系、代理关系或者任何其他隶属关系。乙方不因本协议之签署而获得代表甲方之权利。</w:t>
      </w:r>
    </w:p>
    <w:p>
      <w:pPr>
        <w:widowControl w:val="0"/>
        <w:numPr>
          <w:ilvl w:val="0"/>
          <w:numId w:val="18"/>
        </w:numPr>
        <w:snapToGrid w:val="0"/>
        <w:spacing w:line="312"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本协议有效期内，若乙方发生任何形式的合并、分立、联营、改变实际控制人、重组、改制、破产清算等，则本协议项下的乙方的权利义务将及于乙方代表、受让人和继承人。</w:t>
      </w:r>
    </w:p>
    <w:p>
      <w:pPr>
        <w:widowControl w:val="0"/>
        <w:numPr>
          <w:ilvl w:val="0"/>
          <w:numId w:val="18"/>
        </w:numPr>
        <w:snapToGrid w:val="0"/>
        <w:spacing w:line="312"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本协议任何条款无效不影响其他条款的效力。</w:t>
      </w:r>
    </w:p>
    <w:p>
      <w:pPr>
        <w:widowControl w:val="0"/>
        <w:numPr>
          <w:ilvl w:val="0"/>
          <w:numId w:val="18"/>
        </w:numPr>
        <w:snapToGrid w:val="0"/>
        <w:spacing w:line="312"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本协议受中华人民共和国法律（不包括香港、澳门、台湾地区法律）的管辖和解释，并排除冲突规范的适用。</w:t>
      </w:r>
    </w:p>
    <w:p>
      <w:pPr>
        <w:widowControl w:val="0"/>
        <w:numPr>
          <w:ilvl w:val="0"/>
          <w:numId w:val="18"/>
        </w:numPr>
        <w:snapToGrid w:val="0"/>
        <w:spacing w:line="312"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因本协议发生的争议，双方友好协商解决，若协商解决不成的，任何一方均应将争议提交</w:t>
      </w:r>
      <w:r>
        <w:rPr>
          <w:rFonts w:hint="eastAsia" w:ascii="微软雅黑" w:hAnsi="微软雅黑" w:eastAsia="微软雅黑" w:cs="Times New Roman"/>
          <w:sz w:val="21"/>
          <w:szCs w:val="21"/>
          <w:lang w:val="en-US" w:eastAsia="zh-CN"/>
        </w:rPr>
        <w:t>项目所在地</w:t>
      </w:r>
      <w:r>
        <w:rPr>
          <w:rFonts w:hint="eastAsia" w:ascii="微软雅黑" w:hAnsi="微软雅黑" w:eastAsia="微软雅黑" w:cs="Times New Roman"/>
          <w:sz w:val="21"/>
          <w:szCs w:val="21"/>
          <w:lang w:val="en-US"/>
        </w:rPr>
        <w:t>人民法院诉讼解决。因本协议发生的任何争议所产生的费用（包括但不限于诉讼/仲裁费、律师费、鉴定费）均由败诉一方承担。</w:t>
      </w:r>
    </w:p>
    <w:p>
      <w:pPr>
        <w:widowControl w:val="0"/>
        <w:numPr>
          <w:ilvl w:val="0"/>
          <w:numId w:val="18"/>
        </w:numPr>
        <w:snapToGrid w:val="0"/>
        <w:spacing w:line="312"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未经双方书面同意，本协议的内容不得修改。</w:t>
      </w:r>
    </w:p>
    <w:p>
      <w:pPr>
        <w:widowControl w:val="0"/>
        <w:numPr>
          <w:ilvl w:val="0"/>
          <w:numId w:val="18"/>
        </w:numPr>
        <w:snapToGrid w:val="0"/>
        <w:spacing w:line="312" w:lineRule="auto"/>
        <w:jc w:val="both"/>
        <w:rPr>
          <w:rFonts w:ascii="微软雅黑" w:hAnsi="微软雅黑" w:eastAsia="微软雅黑" w:cs="Times New Roman"/>
          <w:sz w:val="21"/>
          <w:szCs w:val="21"/>
          <w:lang w:val="en-US"/>
        </w:rPr>
      </w:pPr>
      <w:r>
        <w:rPr>
          <w:rFonts w:hint="eastAsia" w:ascii="微软雅黑" w:hAnsi="微软雅黑" w:eastAsia="微软雅黑" w:cs="Times New Roman"/>
          <w:sz w:val="21"/>
          <w:szCs w:val="21"/>
          <w:lang w:val="en-US"/>
        </w:rPr>
        <w:t>本协议自双方盖章或签字之日起生效，并作为业务合同的附件，与业务合同具有相同效力。</w:t>
      </w:r>
    </w:p>
    <w:p>
      <w:pPr>
        <w:widowControl w:val="0"/>
        <w:snapToGrid w:val="0"/>
        <w:spacing w:line="312" w:lineRule="auto"/>
        <w:ind w:left="420"/>
        <w:jc w:val="both"/>
        <w:rPr>
          <w:rFonts w:ascii="微软雅黑" w:hAnsi="微软雅黑" w:eastAsia="微软雅黑" w:cs="Times New Roman"/>
          <w:sz w:val="21"/>
          <w:szCs w:val="21"/>
          <w:lang w:val="en-US"/>
        </w:rPr>
      </w:pPr>
    </w:p>
    <w:p>
      <w:pPr>
        <w:spacing w:line="312" w:lineRule="auto"/>
        <w:ind w:firstLine="420" w:firstLineChars="200"/>
        <w:rPr>
          <w:rFonts w:ascii="微软雅黑" w:hAnsi="微软雅黑" w:eastAsia="微软雅黑" w:cs="Times New Roman"/>
          <w:kern w:val="2"/>
          <w:sz w:val="21"/>
          <w:szCs w:val="21"/>
          <w:lang w:val="en-US"/>
        </w:rPr>
      </w:pP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3"/>
        <w:gridCol w:w="3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pPr>
              <w:widowControl w:val="0"/>
              <w:spacing w:line="480" w:lineRule="auto"/>
              <w:jc w:val="both"/>
              <w:rPr>
                <w:rFonts w:ascii="微软雅黑" w:hAnsi="微软雅黑" w:eastAsia="微软雅黑" w:cs="Times New Roman"/>
                <w:kern w:val="2"/>
                <w:sz w:val="21"/>
                <w:szCs w:val="21"/>
                <w:lang w:val="en-US"/>
              </w:rPr>
            </w:pPr>
            <w:r>
              <w:rPr>
                <w:rFonts w:hint="eastAsia" w:ascii="微软雅黑" w:hAnsi="微软雅黑" w:eastAsia="微软雅黑" w:cs="Times New Roman"/>
                <w:kern w:val="2"/>
                <w:sz w:val="21"/>
                <w:szCs w:val="21"/>
                <w:lang w:val="en-US"/>
              </w:rPr>
              <w:t>甲方（盖章或签字）：</w:t>
            </w:r>
          </w:p>
        </w:tc>
        <w:tc>
          <w:tcPr>
            <w:tcW w:w="3193" w:type="dxa"/>
          </w:tcPr>
          <w:p>
            <w:pPr>
              <w:widowControl w:val="0"/>
              <w:spacing w:line="480" w:lineRule="auto"/>
              <w:jc w:val="both"/>
              <w:rPr>
                <w:rFonts w:ascii="微软雅黑" w:hAnsi="微软雅黑" w:eastAsia="微软雅黑" w:cs="Times New Roman"/>
                <w:kern w:val="2"/>
                <w:sz w:val="21"/>
                <w:szCs w:val="21"/>
                <w:lang w:val="en-US"/>
              </w:rPr>
            </w:pPr>
            <w:r>
              <w:rPr>
                <w:rFonts w:hint="eastAsia" w:ascii="微软雅黑" w:hAnsi="微软雅黑" w:eastAsia="微软雅黑" w:cs="Times New Roman"/>
                <w:kern w:val="2"/>
                <w:sz w:val="21"/>
                <w:szCs w:val="21"/>
                <w:lang w:val="en-US"/>
              </w:rPr>
              <w:t>乙方（盖章或签字）：</w:t>
            </w:r>
          </w:p>
        </w:tc>
      </w:tr>
    </w:tbl>
    <w:p>
      <w:pPr>
        <w:spacing w:after="160" w:line="259" w:lineRule="auto"/>
        <w:ind w:firstLine="480" w:firstLineChars="200"/>
        <w:rPr>
          <w:rFonts w:ascii="Times New Roman" w:hAnsi="Times New Roman" w:eastAsia="宋体" w:cs="Times New Roman"/>
          <w:kern w:val="2"/>
          <w:sz w:val="24"/>
          <w:szCs w:val="24"/>
          <w:lang w:val="en-US"/>
        </w:rPr>
      </w:pPr>
      <w:r>
        <w:rPr>
          <w:rFonts w:ascii="Times New Roman" w:hAnsi="Times New Roman" w:eastAsia="宋体" w:cs="Times New Roman"/>
          <w:kern w:val="2"/>
          <w:sz w:val="24"/>
          <w:szCs w:val="24"/>
          <w:lang w:val="en-US"/>
        </w:rPr>
        <w:br w:type="page"/>
      </w:r>
    </w:p>
    <w:p>
      <w:pPr>
        <w:spacing w:before="120" w:beforeLines="50" w:after="120" w:afterLines="50" w:line="320" w:lineRule="exact"/>
        <w:jc w:val="center"/>
        <w:outlineLvl w:val="0"/>
        <w:rPr>
          <w:rFonts w:ascii="微软雅黑" w:hAnsi="微软雅黑" w:eastAsia="微软雅黑"/>
          <w:b/>
          <w:sz w:val="28"/>
          <w:szCs w:val="21"/>
          <w:lang w:val="en-US"/>
        </w:rPr>
      </w:pPr>
      <w:r>
        <w:rPr>
          <w:rFonts w:hint="eastAsia" w:ascii="微软雅黑" w:hAnsi="微软雅黑" w:eastAsia="微软雅黑"/>
          <w:b/>
          <w:sz w:val="28"/>
          <w:szCs w:val="21"/>
        </w:rPr>
        <w:t>保密协议</w:t>
      </w:r>
    </w:p>
    <w:p>
      <w:pPr>
        <w:rPr>
          <w:rFonts w:ascii="Times New Roman" w:hAnsi="Times New Roman" w:eastAsia="宋体"/>
          <w:sz w:val="24"/>
          <w:szCs w:val="24"/>
        </w:rPr>
      </w:pPr>
    </w:p>
    <w:p>
      <w:pPr>
        <w:widowControl w:val="0"/>
        <w:numPr>
          <w:ilvl w:val="0"/>
          <w:numId w:val="19"/>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保密信息披露的目的</w:t>
      </w:r>
    </w:p>
    <w:p>
      <w:pPr>
        <w:tabs>
          <w:tab w:val="left" w:pos="2520"/>
        </w:tabs>
        <w:snapToGrid w:val="0"/>
        <w:spacing w:line="300" w:lineRule="auto"/>
        <w:ind w:firstLine="420" w:firstLineChars="200"/>
        <w:rPr>
          <w:rFonts w:ascii="微软雅黑" w:hAnsi="微软雅黑" w:eastAsia="微软雅黑"/>
          <w:sz w:val="21"/>
          <w:szCs w:val="21"/>
        </w:rPr>
      </w:pPr>
      <w:r>
        <w:rPr>
          <w:rFonts w:hint="eastAsia" w:ascii="微软雅黑" w:hAnsi="微软雅黑" w:eastAsia="微软雅黑"/>
          <w:sz w:val="21"/>
          <w:szCs w:val="21"/>
        </w:rPr>
        <w:t>甲方为业务需要，决定向乙方披露或允许乙方获得甲方保密信息。但是，甲方并不因本保密协议的签署而承担向乙方披露任何保密信息之义务，也不因本保密协议的签署而承担将项目授予乙方之义务。</w:t>
      </w:r>
    </w:p>
    <w:p>
      <w:pPr>
        <w:widowControl w:val="0"/>
        <w:numPr>
          <w:ilvl w:val="0"/>
          <w:numId w:val="19"/>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定义</w:t>
      </w:r>
    </w:p>
    <w:p>
      <w:pPr>
        <w:pStyle w:val="111"/>
        <w:numPr>
          <w:ilvl w:val="0"/>
          <w:numId w:val="20"/>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保密信息：指甲方根据需要向乙方提供的和/或乙方通过其他途径获得的甲方所有的或持有的技术、商业信息和知识产权，其包括但不限于：专有技术、电路原理、集成电路布图设计、结构原理和图纸、计算机软件源程序、制造方法、实验数据图表和诀窍、程序等技术信息和财务会计报告、客户名录、货源情报、市场竞争信息、商务模式信息、库存资料、产销策略、供求价格和招投标中未公开的标底和标书内容等信息。</w:t>
      </w:r>
    </w:p>
    <w:p>
      <w:pPr>
        <w:pStyle w:val="111"/>
        <w:numPr>
          <w:ilvl w:val="0"/>
          <w:numId w:val="20"/>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第三方：指除甲方和乙方以外的任何个人、公司、企业、政府部门、机构或其它任何组织或经济实体。</w:t>
      </w:r>
    </w:p>
    <w:p>
      <w:pPr>
        <w:pStyle w:val="111"/>
        <w:numPr>
          <w:ilvl w:val="0"/>
          <w:numId w:val="20"/>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保密信息载体：指所有知悉保密信息人员和载有、显示、披露保密信息的文件、表格、磁盘、电子文件及其它数据、物品，无论有形或无形。</w:t>
      </w:r>
    </w:p>
    <w:p>
      <w:pPr>
        <w:pStyle w:val="111"/>
        <w:numPr>
          <w:ilvl w:val="0"/>
          <w:numId w:val="20"/>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关联企业：是指由一方直接或间接控制；或直接或间接控制一方；或与一方共同控制同一家企业或能对其施加重大影响；或与一方受同一家企业直接或间接控制的企业。包括但不限于一方的母公司、子公司、分公司、分支机构；与一方受同一母公司控制的子公司；一方的合营企业、联营企业等。本保密协议之“甲方”、“乙方”均包含各自的关联企业。但如乙方的关联企业与甲方或其关联企业构成竞争关系时，乙方在任何情况下不得将保密信息披露给该关联企业。</w:t>
      </w:r>
    </w:p>
    <w:p>
      <w:pPr>
        <w:widowControl w:val="0"/>
        <w:numPr>
          <w:ilvl w:val="0"/>
          <w:numId w:val="19"/>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保密义务</w:t>
      </w:r>
    </w:p>
    <w:p>
      <w:pPr>
        <w:pStyle w:val="111"/>
        <w:numPr>
          <w:ilvl w:val="0"/>
          <w:numId w:val="21"/>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除非甲方事先书面同意，乙方不得以任何方式及/或任何实现本项目以外的其他目的擅自使用甲方保密信息及保密信息载体，或将该等保密信息揭示、公布、披露给任何第三方，或许可任何第三方使用，无论直接或间接。同时在本项目中，乙方如运用到与第三人之间《保密协议》的技术、商业信息和知识产权，由乙方自行承担相应责任。</w:t>
      </w:r>
    </w:p>
    <w:p>
      <w:pPr>
        <w:pStyle w:val="111"/>
        <w:numPr>
          <w:ilvl w:val="0"/>
          <w:numId w:val="21"/>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乙方应当仅在实现本项目所必须的范围内允许乙方的董事、管理人员、雇员、专业咨询人员等（以下简称“乙方人员”）知悉甲方保密信息，但乙方应保证已与上述乙方人员签订了保密程度不低于本保密协议的保密协议，且已告知乙方人员该等信息为甲方保密信息。</w:t>
      </w:r>
    </w:p>
    <w:p>
      <w:pPr>
        <w:pStyle w:val="111"/>
        <w:numPr>
          <w:ilvl w:val="0"/>
          <w:numId w:val="21"/>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 xml:space="preserve">乙方使用甲方保密信息的方式和程度仅限于本项目相关之活动及为了完成本保密协议所述项目之目的。未经甲方书面同意，在任何情况下乙方及乙方人员都不得综合、分离、修改任何保密信息或保密信息载体；或对载有保密信息的样品、工具、设备、软件等有形载体进行反向工程。  </w:t>
      </w:r>
    </w:p>
    <w:p>
      <w:pPr>
        <w:pStyle w:val="111"/>
        <w:numPr>
          <w:ilvl w:val="0"/>
          <w:numId w:val="21"/>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甲方保密信息无论其附着形式或载体，乙方都应尽严密注意义务以维持上述信息的秘密性。乙方对甲方保密信息的保护程度应不低于其对属于自己的商业秘密的保护程度，但无论如何，该等注意义务都不应低于合理的限度。如果发生甲方保密信息丢失或未授权的泄露时，乙方应立即通知甲方,并立即采取合理的补救措施。</w:t>
      </w:r>
    </w:p>
    <w:p>
      <w:pPr>
        <w:pStyle w:val="111"/>
        <w:numPr>
          <w:ilvl w:val="0"/>
          <w:numId w:val="21"/>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如果乙方能够证明存在下列事项，则其可以披露甲方保密信息(但只限于下列事项的范围内)：</w:t>
      </w:r>
    </w:p>
    <w:p>
      <w:pPr>
        <w:pStyle w:val="111"/>
        <w:numPr>
          <w:ilvl w:val="0"/>
          <w:numId w:val="22"/>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该等披露是根据有管辖权的法律、法规、监管机构、司法机构及政府的命令、或仲裁机关的要求所作；</w:t>
      </w:r>
    </w:p>
    <w:p>
      <w:pPr>
        <w:pStyle w:val="111"/>
        <w:numPr>
          <w:ilvl w:val="0"/>
          <w:numId w:val="22"/>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此信息在本保密协议签署前已由乙方合法拥有且已公开或可以从公开渠道获取；</w:t>
      </w:r>
    </w:p>
    <w:p>
      <w:pPr>
        <w:pStyle w:val="111"/>
        <w:numPr>
          <w:ilvl w:val="0"/>
          <w:numId w:val="22"/>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保密信息已进入公众领域，且这不是乙方违约的结果。</w:t>
      </w:r>
    </w:p>
    <w:p>
      <w:pPr>
        <w:pStyle w:val="111"/>
        <w:numPr>
          <w:ilvl w:val="0"/>
          <w:numId w:val="21"/>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如果乙方基于本保密协议第3.5.1项披露甲方保密信息的，应当在合理的期间内以书面形式事先通知甲方。乙方应当尽最大努力减少披露该保密信息的范围，并且采取一切可能之保密措施。</w:t>
      </w:r>
    </w:p>
    <w:p>
      <w:pPr>
        <w:pStyle w:val="111"/>
        <w:numPr>
          <w:ilvl w:val="0"/>
          <w:numId w:val="21"/>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一旦甲方提出要求的，乙方应当立即将所有甲方保密信息载体（包括原件及复制、复印件）归还或销毁，不得存留。所有由乙方准备的分析、文件、研究报告及其他材料如包含有甲方保密信息，则应被销毁。若甲方认为有必要时，可以请求乙方出具确认书，保证已将保密信息全数返还或销毁，乙方不得拒绝。</w:t>
      </w:r>
    </w:p>
    <w:p>
      <w:pPr>
        <w:widowControl w:val="0"/>
        <w:numPr>
          <w:ilvl w:val="0"/>
          <w:numId w:val="19"/>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保密信息的权利</w:t>
      </w:r>
    </w:p>
    <w:p>
      <w:pPr>
        <w:tabs>
          <w:tab w:val="left" w:pos="2520"/>
        </w:tabs>
        <w:snapToGrid w:val="0"/>
        <w:spacing w:line="300" w:lineRule="auto"/>
        <w:ind w:firstLine="420" w:firstLineChars="200"/>
        <w:rPr>
          <w:rFonts w:ascii="微软雅黑" w:hAnsi="微软雅黑" w:eastAsia="微软雅黑"/>
          <w:sz w:val="21"/>
          <w:szCs w:val="21"/>
        </w:rPr>
      </w:pPr>
      <w:r>
        <w:rPr>
          <w:rFonts w:hint="eastAsia" w:ascii="微软雅黑" w:hAnsi="微软雅黑" w:eastAsia="微软雅黑"/>
          <w:sz w:val="21"/>
          <w:szCs w:val="21"/>
        </w:rPr>
        <w:t>甲方保密信息的所有权利包括但不限于所有权和使用权属于甲方，除根据本保密协议甲方允许乙方为本项目目的使用外，乙方不享有甲方保密信息的所有权、使用权、再许可或分许可使用权、或其他任何权利。</w:t>
      </w:r>
    </w:p>
    <w:p>
      <w:pPr>
        <w:widowControl w:val="0"/>
        <w:numPr>
          <w:ilvl w:val="0"/>
          <w:numId w:val="19"/>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保密期间</w:t>
      </w:r>
    </w:p>
    <w:p>
      <w:pPr>
        <w:tabs>
          <w:tab w:val="left" w:pos="2520"/>
        </w:tabs>
        <w:snapToGrid w:val="0"/>
        <w:spacing w:line="300" w:lineRule="auto"/>
        <w:ind w:firstLine="420" w:firstLineChars="200"/>
        <w:rPr>
          <w:rFonts w:ascii="微软雅黑" w:hAnsi="微软雅黑" w:eastAsia="微软雅黑"/>
          <w:sz w:val="21"/>
          <w:szCs w:val="21"/>
        </w:rPr>
      </w:pPr>
      <w:r>
        <w:rPr>
          <w:rFonts w:hint="eastAsia" w:ascii="微软雅黑" w:hAnsi="微软雅黑" w:eastAsia="微软雅黑"/>
          <w:sz w:val="21"/>
          <w:szCs w:val="21"/>
        </w:rPr>
        <w:t>除甲方书面同意提前免除乙方保密义务外，乙方的保密义务从收到保密信息起延续甲方将该等保密信息披露为公知信息为止。此义务及于乙方的继承人、继任人和代理人。</w:t>
      </w:r>
    </w:p>
    <w:p>
      <w:pPr>
        <w:widowControl w:val="0"/>
        <w:numPr>
          <w:ilvl w:val="0"/>
          <w:numId w:val="19"/>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违约责任</w:t>
      </w:r>
    </w:p>
    <w:p>
      <w:pPr>
        <w:tabs>
          <w:tab w:val="left" w:pos="2520"/>
        </w:tabs>
        <w:snapToGrid w:val="0"/>
        <w:spacing w:line="300" w:lineRule="auto"/>
        <w:ind w:firstLine="420" w:firstLineChars="200"/>
        <w:rPr>
          <w:rFonts w:ascii="微软雅黑" w:hAnsi="微软雅黑" w:eastAsia="微软雅黑"/>
          <w:sz w:val="21"/>
          <w:szCs w:val="21"/>
        </w:rPr>
      </w:pPr>
      <w:r>
        <w:rPr>
          <w:rFonts w:hint="eastAsia" w:ascii="微软雅黑" w:hAnsi="微软雅黑" w:eastAsia="微软雅黑"/>
          <w:sz w:val="21"/>
          <w:szCs w:val="21"/>
        </w:rPr>
        <w:t>若乙方违反本保密协议中任何一项规定，甲方有权要求违约方进行金钱赔偿，或要求实际履行，或要求法律规定的惩罚性赔偿。此种索赔要求并非排他性的补救，而是甲方对于根据法律或公平原则所能获得补救的累加。</w:t>
      </w:r>
    </w:p>
    <w:p>
      <w:pPr>
        <w:widowControl w:val="0"/>
        <w:numPr>
          <w:ilvl w:val="0"/>
          <w:numId w:val="19"/>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诉前禁令</w:t>
      </w:r>
    </w:p>
    <w:p>
      <w:pPr>
        <w:tabs>
          <w:tab w:val="left" w:pos="2520"/>
        </w:tabs>
        <w:snapToGrid w:val="0"/>
        <w:spacing w:line="300" w:lineRule="auto"/>
        <w:ind w:firstLine="420" w:firstLineChars="200"/>
        <w:rPr>
          <w:rFonts w:ascii="微软雅黑" w:hAnsi="微软雅黑" w:eastAsia="微软雅黑"/>
          <w:sz w:val="21"/>
          <w:szCs w:val="21"/>
        </w:rPr>
      </w:pPr>
      <w:r>
        <w:rPr>
          <w:rFonts w:hint="eastAsia" w:ascii="微软雅黑" w:hAnsi="微软雅黑" w:eastAsia="微软雅黑"/>
          <w:sz w:val="21"/>
          <w:szCs w:val="21"/>
        </w:rPr>
        <w:t>乙方认为，违背协议的任何保密信息泄漏行为将会造成甲方不可弥补的损失，该损失之量很难估算。因此，甲方有权向有管辖权的法院申请终止泄密行为之禁制令。另外，依法律或公平原则，甲方有权采用其他可行的补救措施或救济。</w:t>
      </w:r>
    </w:p>
    <w:p>
      <w:pPr>
        <w:widowControl w:val="0"/>
        <w:numPr>
          <w:ilvl w:val="0"/>
          <w:numId w:val="19"/>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其他条款</w:t>
      </w:r>
    </w:p>
    <w:p>
      <w:pPr>
        <w:pStyle w:val="111"/>
        <w:numPr>
          <w:ilvl w:val="0"/>
          <w:numId w:val="23"/>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甲方并不保证其提供的保密信息的准确性、完整性和可执行性，甲方也不对其提供的该等保密信息作任何其他的承诺或保证。</w:t>
      </w:r>
    </w:p>
    <w:p>
      <w:pPr>
        <w:pStyle w:val="111"/>
        <w:numPr>
          <w:ilvl w:val="0"/>
          <w:numId w:val="23"/>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本保密协议是双方就保密事项上达成的唯一共识。若其他保密约定与本保密协议约定不一致的，则优先适用本保密协议的约定。</w:t>
      </w:r>
    </w:p>
    <w:p>
      <w:pPr>
        <w:spacing w:after="160" w:line="259" w:lineRule="auto"/>
        <w:rPr>
          <w:rFonts w:ascii="Times New Roman" w:hAnsi="Times New Roman" w:eastAsia="宋体" w:cs="Times New Roman"/>
          <w:kern w:val="2"/>
          <w:sz w:val="24"/>
          <w:szCs w:val="24"/>
          <w:lang w:val="en-US"/>
        </w:rPr>
      </w:pPr>
    </w:p>
    <w:p>
      <w:pPr>
        <w:snapToGrid w:val="0"/>
        <w:spacing w:before="120" w:beforeLines="50" w:after="120" w:afterLines="50" w:line="320" w:lineRule="exact"/>
        <w:jc w:val="center"/>
        <w:outlineLvl w:val="0"/>
        <w:rPr>
          <w:rFonts w:ascii="微软雅黑" w:hAnsi="微软雅黑" w:eastAsia="微软雅黑"/>
          <w:b/>
          <w:sz w:val="28"/>
          <w:szCs w:val="21"/>
          <w:lang w:val="en-US"/>
        </w:rPr>
      </w:pPr>
      <w:r>
        <w:rPr>
          <w:rFonts w:hint="eastAsia" w:ascii="微软雅黑" w:hAnsi="微软雅黑" w:eastAsia="微软雅黑"/>
          <w:b/>
          <w:sz w:val="28"/>
          <w:szCs w:val="21"/>
        </w:rPr>
        <w:t>知识产权协议</w:t>
      </w:r>
    </w:p>
    <w:p>
      <w:pPr>
        <w:tabs>
          <w:tab w:val="left" w:pos="2520"/>
        </w:tabs>
        <w:snapToGrid w:val="0"/>
        <w:spacing w:line="300" w:lineRule="auto"/>
        <w:ind w:firstLine="420" w:firstLineChars="200"/>
        <w:rPr>
          <w:rFonts w:ascii="微软雅黑" w:hAnsi="微软雅黑" w:eastAsia="微软雅黑"/>
          <w:sz w:val="21"/>
          <w:szCs w:val="21"/>
        </w:rPr>
      </w:pPr>
      <w:r>
        <w:rPr>
          <w:rFonts w:hint="eastAsia" w:ascii="微软雅黑" w:hAnsi="微软雅黑" w:eastAsia="微软雅黑"/>
          <w:sz w:val="21"/>
          <w:szCs w:val="21"/>
        </w:rPr>
        <w:t>甲乙双方在本知识产权协议中，两者简称“双方”，单独称为“一方”。</w:t>
      </w:r>
    </w:p>
    <w:p>
      <w:pPr>
        <w:tabs>
          <w:tab w:val="left" w:pos="2520"/>
        </w:tabs>
        <w:snapToGrid w:val="0"/>
        <w:spacing w:line="300" w:lineRule="auto"/>
        <w:ind w:firstLine="420" w:firstLineChars="200"/>
        <w:rPr>
          <w:rFonts w:ascii="微软雅黑" w:hAnsi="微软雅黑" w:eastAsia="微软雅黑"/>
          <w:sz w:val="21"/>
          <w:szCs w:val="21"/>
        </w:rPr>
      </w:pPr>
      <w:r>
        <w:rPr>
          <w:rFonts w:hint="eastAsia" w:ascii="微软雅黑" w:hAnsi="微软雅黑" w:eastAsia="微软雅黑"/>
          <w:sz w:val="21"/>
          <w:szCs w:val="21"/>
        </w:rPr>
        <w:t>鉴于，甲方欲从乙方采购“合同产品”（定义见本知识产权协议第1条）且乙方愿意向甲方出售“合同产品”，经甲乙双方平等协商，达成如下协议：</w:t>
      </w:r>
    </w:p>
    <w:p>
      <w:pPr>
        <w:widowControl w:val="0"/>
        <w:numPr>
          <w:ilvl w:val="0"/>
          <w:numId w:val="24"/>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定义</w:t>
      </w:r>
    </w:p>
    <w:p>
      <w:pPr>
        <w:pStyle w:val="111"/>
        <w:numPr>
          <w:ilvl w:val="0"/>
          <w:numId w:val="25"/>
        </w:numPr>
        <w:tabs>
          <w:tab w:val="left" w:pos="2520"/>
        </w:tabs>
        <w:snapToGrid w:val="0"/>
        <w:spacing w:line="300" w:lineRule="auto"/>
        <w:ind w:left="0" w:firstLine="454" w:firstLineChars="0"/>
        <w:rPr>
          <w:rFonts w:ascii="微软雅黑" w:hAnsi="微软雅黑" w:eastAsia="微软雅黑"/>
          <w:sz w:val="21"/>
          <w:szCs w:val="21"/>
        </w:rPr>
      </w:pPr>
      <w:r>
        <w:rPr>
          <w:rFonts w:hint="eastAsia" w:ascii="微软雅黑" w:hAnsi="微软雅黑" w:eastAsia="微软雅黑"/>
          <w:sz w:val="21"/>
          <w:szCs w:val="21"/>
        </w:rPr>
        <w:t>合同产品：是指乙方不论以直接还是间接方式，出售或提供给甲方和/或甲方关联方的任何货物、设备、材料、备品备件、硬件、软件、零部件、附属品、样品、模型、技术文档、报告文件、技术信息、专用工具及其任何组成部分、服务、劳务等。</w:t>
      </w:r>
    </w:p>
    <w:p>
      <w:pPr>
        <w:pStyle w:val="111"/>
        <w:numPr>
          <w:ilvl w:val="0"/>
          <w:numId w:val="25"/>
        </w:numPr>
        <w:tabs>
          <w:tab w:val="left" w:pos="2520"/>
        </w:tabs>
        <w:snapToGrid w:val="0"/>
        <w:spacing w:line="300" w:lineRule="auto"/>
        <w:ind w:left="0" w:firstLine="454" w:firstLineChars="0"/>
        <w:rPr>
          <w:rFonts w:ascii="微软雅黑" w:hAnsi="微软雅黑" w:eastAsia="微软雅黑"/>
          <w:sz w:val="21"/>
          <w:szCs w:val="21"/>
        </w:rPr>
      </w:pPr>
      <w:r>
        <w:rPr>
          <w:rFonts w:hint="eastAsia" w:ascii="微软雅黑" w:hAnsi="微软雅黑" w:eastAsia="微软雅黑"/>
          <w:sz w:val="21"/>
          <w:szCs w:val="21"/>
        </w:rPr>
        <w:t>知识产权：是指与合同产品相关的各种类的过去有效的、现行有效的、或即将产生的知识产权，包括但不限于专利、实用新型、外观设计、工业设计、集成电路布图设计、掩膜作品、版权、著作权、商标、商号、域名、邻接权、商业秘密、技术诀窍、植物新品种、数据库、地理标识以及其他形式在任何国家和地区受相关法律保护的智力成果所合法享有的任何专有权利。</w:t>
      </w:r>
    </w:p>
    <w:p>
      <w:pPr>
        <w:pStyle w:val="111"/>
        <w:numPr>
          <w:ilvl w:val="0"/>
          <w:numId w:val="25"/>
        </w:numPr>
        <w:tabs>
          <w:tab w:val="left" w:pos="2520"/>
        </w:tabs>
        <w:snapToGrid w:val="0"/>
        <w:spacing w:line="300" w:lineRule="auto"/>
        <w:ind w:left="0" w:firstLine="454" w:firstLineChars="0"/>
        <w:rPr>
          <w:rFonts w:ascii="微软雅黑" w:hAnsi="微软雅黑" w:eastAsia="微软雅黑"/>
          <w:sz w:val="21"/>
          <w:szCs w:val="21"/>
        </w:rPr>
      </w:pPr>
      <w:r>
        <w:rPr>
          <w:rFonts w:hint="eastAsia" w:ascii="微软雅黑" w:hAnsi="微软雅黑" w:eastAsia="微软雅黑"/>
          <w:sz w:val="21"/>
          <w:szCs w:val="21"/>
        </w:rPr>
        <w:t>关联企业：是指由一方直接或间接控制；或直接或间接控制一方；或与一方共同控制同一家企业或能对其施加重大影响；或与一方受同一家企业直接或间接控制的企业。包括但不限于一方的母公司、子公司、分公司、分支机构；与一方受同一母公司控制的子公司；一方的合营企业、联营企业等。</w:t>
      </w:r>
    </w:p>
    <w:p>
      <w:pPr>
        <w:pStyle w:val="111"/>
        <w:numPr>
          <w:ilvl w:val="0"/>
          <w:numId w:val="25"/>
        </w:numPr>
        <w:tabs>
          <w:tab w:val="left" w:pos="2520"/>
        </w:tabs>
        <w:snapToGrid w:val="0"/>
        <w:spacing w:line="300" w:lineRule="auto"/>
        <w:ind w:left="0" w:firstLine="454" w:firstLineChars="0"/>
        <w:rPr>
          <w:rFonts w:ascii="微软雅黑" w:hAnsi="微软雅黑" w:eastAsia="微软雅黑"/>
          <w:sz w:val="21"/>
          <w:szCs w:val="21"/>
        </w:rPr>
      </w:pPr>
      <w:r>
        <w:rPr>
          <w:rFonts w:hint="eastAsia" w:ascii="微软雅黑" w:hAnsi="微软雅黑" w:eastAsia="微软雅黑"/>
          <w:sz w:val="21"/>
          <w:szCs w:val="21"/>
        </w:rPr>
        <w:t>关联方：是指一方的关联企业以及该一方及其关联企业的董事、员工、代理人、供应商、客户和继受者。</w:t>
      </w:r>
    </w:p>
    <w:p>
      <w:pPr>
        <w:widowControl w:val="0"/>
        <w:numPr>
          <w:ilvl w:val="0"/>
          <w:numId w:val="24"/>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知识产权许可与保证义务</w:t>
      </w:r>
    </w:p>
    <w:p>
      <w:pPr>
        <w:pStyle w:val="111"/>
        <w:numPr>
          <w:ilvl w:val="0"/>
          <w:numId w:val="26"/>
        </w:numPr>
        <w:tabs>
          <w:tab w:val="left" w:pos="2520"/>
        </w:tabs>
        <w:snapToGrid w:val="0"/>
        <w:spacing w:line="300" w:lineRule="auto"/>
        <w:ind w:left="0" w:firstLine="454" w:firstLineChars="0"/>
        <w:rPr>
          <w:rFonts w:ascii="微软雅黑" w:hAnsi="微软雅黑" w:eastAsia="微软雅黑"/>
          <w:sz w:val="21"/>
          <w:szCs w:val="21"/>
        </w:rPr>
      </w:pPr>
      <w:r>
        <w:rPr>
          <w:rFonts w:hint="eastAsia" w:ascii="微软雅黑" w:hAnsi="微软雅黑" w:eastAsia="微软雅黑"/>
          <w:sz w:val="21"/>
          <w:szCs w:val="21"/>
        </w:rPr>
        <w:t>乙方保证合法享有合同产品所需的无权利瑕疵的知识产权或者取得相应许可，并保证甲方及甲方关联方在世界范围内使用（包括但不限于单独使用、结合使用、连接使用、嵌入使用、贴附使用、拼拆使用、生产、销售、许诺销售、运输、仓储、进口、出口、展示、复制、衍生开发，以下合称“使用”）合同产品不会侵犯任何第三方知识产权。合同产品亦不存在任何悬而未决的或潜在的关于合同产品可能侵犯第三方知识产权的诉讼、禁令、警示通知或纠纷等司法程序。</w:t>
      </w:r>
    </w:p>
    <w:p>
      <w:pPr>
        <w:pStyle w:val="111"/>
        <w:numPr>
          <w:ilvl w:val="0"/>
          <w:numId w:val="26"/>
        </w:numPr>
        <w:tabs>
          <w:tab w:val="left" w:pos="2520"/>
        </w:tabs>
        <w:snapToGrid w:val="0"/>
        <w:spacing w:line="300" w:lineRule="auto"/>
        <w:ind w:left="0" w:firstLine="454" w:firstLineChars="0"/>
        <w:rPr>
          <w:rFonts w:ascii="微软雅黑" w:hAnsi="微软雅黑" w:eastAsia="微软雅黑"/>
          <w:sz w:val="21"/>
          <w:szCs w:val="21"/>
        </w:rPr>
      </w:pPr>
      <w:r>
        <w:rPr>
          <w:rFonts w:hint="eastAsia" w:ascii="微软雅黑" w:hAnsi="微软雅黑" w:eastAsia="微软雅黑"/>
          <w:sz w:val="21"/>
          <w:szCs w:val="21"/>
        </w:rPr>
        <w:t>乙方就其提供给甲方所有合同产品依照本知识产权协议第2.1款特此授予甲方及甲方关联方永久的、免费的、不可撤销的、非排他性的使用该合同产品及相关知识产权的许可及权利。</w:t>
      </w:r>
    </w:p>
    <w:p>
      <w:pPr>
        <w:pStyle w:val="111"/>
        <w:numPr>
          <w:ilvl w:val="0"/>
          <w:numId w:val="26"/>
        </w:numPr>
        <w:tabs>
          <w:tab w:val="left" w:pos="2520"/>
        </w:tabs>
        <w:snapToGrid w:val="0"/>
        <w:spacing w:line="300" w:lineRule="auto"/>
        <w:ind w:left="0" w:firstLine="454" w:firstLineChars="0"/>
        <w:rPr>
          <w:rFonts w:ascii="微软雅黑" w:hAnsi="微软雅黑" w:eastAsia="微软雅黑"/>
          <w:sz w:val="21"/>
          <w:szCs w:val="21"/>
        </w:rPr>
      </w:pPr>
      <w:r>
        <w:rPr>
          <w:rFonts w:hint="eastAsia" w:ascii="微软雅黑" w:hAnsi="微软雅黑" w:eastAsia="微软雅黑"/>
          <w:sz w:val="21"/>
          <w:szCs w:val="21"/>
        </w:rPr>
        <w:t>此类许可费用及知识产权权利金（如有），已经涵盖在合同报价中，乙方不得重复要求此类费用。</w:t>
      </w:r>
    </w:p>
    <w:p>
      <w:pPr>
        <w:pStyle w:val="111"/>
        <w:numPr>
          <w:ilvl w:val="0"/>
          <w:numId w:val="26"/>
        </w:numPr>
        <w:tabs>
          <w:tab w:val="left" w:pos="2520"/>
        </w:tabs>
        <w:snapToGrid w:val="0"/>
        <w:spacing w:line="300" w:lineRule="auto"/>
        <w:ind w:left="0" w:firstLine="454" w:firstLineChars="0"/>
        <w:rPr>
          <w:rFonts w:ascii="微软雅黑" w:hAnsi="微软雅黑" w:eastAsia="微软雅黑"/>
          <w:sz w:val="21"/>
          <w:szCs w:val="21"/>
        </w:rPr>
      </w:pPr>
      <w:r>
        <w:rPr>
          <w:rFonts w:hint="eastAsia" w:ascii="微软雅黑" w:hAnsi="微软雅黑" w:eastAsia="微软雅黑"/>
          <w:sz w:val="21"/>
          <w:szCs w:val="21"/>
        </w:rPr>
        <w:t>乙方保证合同产品中所含软件均系正版并在任何情形下不侵犯第三方知识产权。乙方特此授权甲方使用该等软件并承诺提供所有必要的附随文件和培训，包括但不限于系统安装盘、操作员手册、管理员手册、软件程序号和软件使用授权证书等。乙方同意及时给甲方免费提供该软件的升级和后期维护服务。乙方必须如实告知该软件在使用过程中可能出现的问题以及解决办法以保证甲方可以正常和安全地使用软件。甲方有权要求乙方对该软件各个模块进行修正。乙方保证合同产品中的软件安装已发布的所有安全补丁，关闭与业务无关端口、进程和服务，且无后门、病毒和重大安全漏洞。同时乙方进一步保证提供给甲方的合同产品中未植入无关软件/计算机程序或任何恶意装置。未经甲方的事先书面许可，乙方不得通过合同产品收集、转移或使用甲方的任何信息。</w:t>
      </w:r>
    </w:p>
    <w:p>
      <w:pPr>
        <w:widowControl w:val="0"/>
        <w:numPr>
          <w:ilvl w:val="0"/>
          <w:numId w:val="24"/>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责任承担</w:t>
      </w:r>
    </w:p>
    <w:p>
      <w:pPr>
        <w:pStyle w:val="111"/>
        <w:numPr>
          <w:ilvl w:val="0"/>
          <w:numId w:val="27"/>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如果第三方以甲方或甲方关联方对合同产品的使用或乙方的生产流程、生产工艺直接或间接地侵犯第三人知识产权为由向甲方或甲方关联方提起任何诉讼、仲裁、威胁、警告、调查、索赔、禁令或其他任何程序（以下合称“索赔”）的，乙方应当自担一切费用为甲方或甲方关联方进行抗辩，并负责赔偿因此导致甲方或甲方关联方的一切损失及费用，包括并不限于诉讼费、仲裁费、鉴定费、律师费、损害赔偿、违约金、罚金、紧急更换其他产品而产生的费用和损失。虽有上述约定，未经甲方明确书面同意，乙方不得向索赔方以任何形式承认侵权、声明弃权、进行和解或作出任何有损甲方及甲方关联方利益的行为。无论如何，下述约定不能减少或减轻乙方依据第3.1款应承担的责任。</w:t>
      </w:r>
    </w:p>
    <w:p>
      <w:pPr>
        <w:pStyle w:val="111"/>
        <w:numPr>
          <w:ilvl w:val="0"/>
          <w:numId w:val="27"/>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如果（1）乙方拒绝为上述索赔进行抗辩或（2）乙方在法定或合理期限内没有采取法律手段进行有效抗辩或（3）经甲方要求，甲方有权自行就上述索赔进行抗辩或达成和解协议，乙方仍应负担一切费用、接受甲方抗辩的结果并依据第3.1款和第3.3款承担责任。</w:t>
      </w:r>
    </w:p>
    <w:p>
      <w:pPr>
        <w:pStyle w:val="111"/>
        <w:numPr>
          <w:ilvl w:val="0"/>
          <w:numId w:val="27"/>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如果乙方违反上述第2.1款至第2.4款中的任何约定，在不影响甲方依据法律法规、本知识产权协议约定或其他可适用规定所获得的任何其他权利和救济的前提下，乙方应当自担费用并根据甲方选择采取以下措施：</w:t>
      </w:r>
    </w:p>
    <w:p>
      <w:pPr>
        <w:pStyle w:val="111"/>
        <w:numPr>
          <w:ilvl w:val="0"/>
          <w:numId w:val="28"/>
        </w:numPr>
        <w:tabs>
          <w:tab w:val="left" w:pos="2520"/>
        </w:tabs>
        <w:snapToGrid w:val="0"/>
        <w:spacing w:line="300" w:lineRule="auto"/>
        <w:ind w:left="315" w:leftChars="150" w:firstLineChars="0"/>
        <w:rPr>
          <w:rFonts w:ascii="微软雅黑" w:hAnsi="微软雅黑" w:eastAsia="微软雅黑"/>
          <w:sz w:val="21"/>
          <w:szCs w:val="21"/>
        </w:rPr>
      </w:pPr>
      <w:r>
        <w:rPr>
          <w:rFonts w:hint="eastAsia" w:ascii="微软雅黑" w:hAnsi="微软雅黑" w:eastAsia="微软雅黑"/>
          <w:sz w:val="21"/>
          <w:szCs w:val="21"/>
        </w:rPr>
        <w:t>为甲方及甲方关联方获得继续使用合同产品的保证和权利；</w:t>
      </w:r>
    </w:p>
    <w:p>
      <w:pPr>
        <w:pStyle w:val="111"/>
        <w:numPr>
          <w:ilvl w:val="0"/>
          <w:numId w:val="28"/>
        </w:numPr>
        <w:tabs>
          <w:tab w:val="left" w:pos="2520"/>
        </w:tabs>
        <w:snapToGrid w:val="0"/>
        <w:spacing w:line="300" w:lineRule="auto"/>
        <w:ind w:left="315" w:leftChars="150" w:firstLineChars="0"/>
        <w:rPr>
          <w:rFonts w:ascii="微软雅黑" w:hAnsi="微软雅黑" w:eastAsia="微软雅黑"/>
          <w:sz w:val="21"/>
          <w:szCs w:val="21"/>
        </w:rPr>
      </w:pPr>
      <w:r>
        <w:rPr>
          <w:rFonts w:hint="eastAsia" w:ascii="微软雅黑" w:hAnsi="微软雅黑" w:eastAsia="微软雅黑"/>
          <w:sz w:val="21"/>
          <w:szCs w:val="21"/>
        </w:rPr>
        <w:t>为甲方及甲方关联方修改或更换侵权或涉嫌侵权的合同产品，并在与原合同产品性能和质量相当的前提下保证合同产品的使用不再侵犯任何第三方的知识产权；</w:t>
      </w:r>
    </w:p>
    <w:p>
      <w:pPr>
        <w:pStyle w:val="111"/>
        <w:numPr>
          <w:ilvl w:val="0"/>
          <w:numId w:val="28"/>
        </w:numPr>
        <w:tabs>
          <w:tab w:val="left" w:pos="2520"/>
        </w:tabs>
        <w:snapToGrid w:val="0"/>
        <w:spacing w:line="300" w:lineRule="auto"/>
        <w:ind w:left="315" w:leftChars="150" w:firstLineChars="0"/>
        <w:rPr>
          <w:rFonts w:ascii="微软雅黑" w:hAnsi="微软雅黑" w:eastAsia="微软雅黑"/>
          <w:sz w:val="21"/>
          <w:szCs w:val="21"/>
        </w:rPr>
      </w:pPr>
      <w:r>
        <w:rPr>
          <w:rFonts w:hint="eastAsia" w:ascii="微软雅黑" w:hAnsi="微软雅黑" w:eastAsia="微软雅黑"/>
          <w:sz w:val="21"/>
          <w:szCs w:val="21"/>
        </w:rPr>
        <w:t>接受退回的侵权、涉嫌侵权的合同产品,退还甲方支付的价款并赔偿甲方因此遭受的额外费用及该退还支付价款和额外费用按照全国银行间同业拆借中心公布的贷款市场报价利率计算的利息总和，该额外费用包括但不限于仓储费、包装费、运输费、保险费和人工费。</w:t>
      </w:r>
    </w:p>
    <w:p>
      <w:pPr>
        <w:pStyle w:val="111"/>
        <w:numPr>
          <w:ilvl w:val="0"/>
          <w:numId w:val="27"/>
        </w:numPr>
        <w:tabs>
          <w:tab w:val="left" w:pos="2520"/>
        </w:tabs>
        <w:snapToGrid w:val="0"/>
        <w:spacing w:line="300" w:lineRule="auto"/>
        <w:ind w:left="0" w:firstLine="420" w:firstLineChars="0"/>
        <w:rPr>
          <w:rFonts w:ascii="微软雅黑" w:hAnsi="微软雅黑" w:eastAsia="微软雅黑"/>
          <w:sz w:val="21"/>
          <w:szCs w:val="21"/>
        </w:rPr>
      </w:pPr>
      <w:r>
        <w:rPr>
          <w:rFonts w:hint="eastAsia" w:ascii="微软雅黑" w:hAnsi="微软雅黑" w:eastAsia="微软雅黑"/>
          <w:sz w:val="21"/>
          <w:szCs w:val="21"/>
        </w:rPr>
        <w:t>乙方及乙方关联方明确同意并保证（1）将不会在任何国家和地区向甲方或甲方关联方发起任何索赔或主张甲方或甲方关联方直接或间接侵犯乙方或乙方关联方知识产权；（2）如果乙方针对甲方或甲方关联方的其他供应商采取衡平或禁令救济会对甲方或甲方关联方的采购和销售业务造成不利影响，则不得采取衡平或禁令救济措施。但在任何情形下本款第（2）项约定不应被解释为对乙方在遵守本款第（1）项前提下向该等其他供应商要求赔偿经济性损失的禁止和约束。</w:t>
      </w:r>
    </w:p>
    <w:p>
      <w:pPr>
        <w:widowControl w:val="0"/>
        <w:numPr>
          <w:ilvl w:val="0"/>
          <w:numId w:val="24"/>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关于知识产权转让的特殊约定</w:t>
      </w:r>
    </w:p>
    <w:p>
      <w:pPr>
        <w:tabs>
          <w:tab w:val="left" w:pos="2520"/>
        </w:tabs>
        <w:snapToGrid w:val="0"/>
        <w:spacing w:line="300" w:lineRule="auto"/>
        <w:ind w:firstLine="420" w:firstLineChars="200"/>
        <w:rPr>
          <w:rFonts w:ascii="微软雅黑" w:hAnsi="微软雅黑" w:eastAsia="微软雅黑"/>
          <w:sz w:val="21"/>
          <w:szCs w:val="21"/>
        </w:rPr>
      </w:pPr>
      <w:r>
        <w:rPr>
          <w:rFonts w:hint="eastAsia" w:ascii="微软雅黑" w:hAnsi="微软雅黑" w:eastAsia="微软雅黑"/>
          <w:sz w:val="21"/>
          <w:szCs w:val="21"/>
        </w:rPr>
        <w:t>乙方承诺，如乙方及乙方关联方有向第三方就相关知识产权进行转让、出售、许可或其他处分之意向，应当在该处分行为生效之前向甲方完整披露该等知识产权的具体情况（包括但不限于知识产权的内容、法律登记信息、交易对象等信息），并承诺在该处分行为生效前后，甲方及甲方关联方就该相关知识产权享有与本知识产权协议第2.1款及第2.2款范围相同的使用权利。乙方及乙方关联方保证该受让相关知识产权的第三方依照本知识产权协议第3.4款对甲方及甲方关联方承担豁免义务，并保证不会对甲方或甲方关联方的采购和销售业务造成不利影响。</w:t>
      </w:r>
    </w:p>
    <w:p>
      <w:pPr>
        <w:widowControl w:val="0"/>
        <w:numPr>
          <w:ilvl w:val="0"/>
          <w:numId w:val="24"/>
        </w:numPr>
        <w:snapToGrid w:val="0"/>
        <w:spacing w:line="300" w:lineRule="auto"/>
        <w:jc w:val="both"/>
        <w:rPr>
          <w:rFonts w:ascii="微软雅黑" w:hAnsi="微软雅黑" w:eastAsia="微软雅黑"/>
          <w:b/>
          <w:sz w:val="21"/>
          <w:szCs w:val="21"/>
        </w:rPr>
      </w:pPr>
      <w:r>
        <w:rPr>
          <w:rFonts w:hint="eastAsia" w:ascii="微软雅黑" w:hAnsi="微软雅黑" w:eastAsia="微软雅黑"/>
          <w:b/>
          <w:sz w:val="21"/>
          <w:szCs w:val="21"/>
        </w:rPr>
        <w:t>其他条款</w:t>
      </w:r>
    </w:p>
    <w:p>
      <w:pPr>
        <w:rPr>
          <w:rFonts w:ascii="微软雅黑" w:hAnsi="微软雅黑" w:eastAsia="微软雅黑"/>
          <w:sz w:val="21"/>
          <w:szCs w:val="21"/>
        </w:rPr>
      </w:pPr>
      <w:r>
        <w:rPr>
          <w:rFonts w:hint="eastAsia" w:ascii="微软雅黑" w:hAnsi="微软雅黑" w:eastAsia="微软雅黑"/>
          <w:sz w:val="21"/>
          <w:szCs w:val="21"/>
        </w:rPr>
        <w:t>本知识产权协议就知识产权相关事项上具有优先效力。</w:t>
      </w:r>
    </w:p>
    <w:p>
      <w:pPr>
        <w:rPr>
          <w:rFonts w:ascii="Times New Roman" w:hAnsi="Times New Roman" w:eastAsia="宋体"/>
          <w:sz w:val="24"/>
          <w:szCs w:val="24"/>
        </w:rPr>
      </w:pPr>
    </w:p>
    <w:p>
      <w:pPr>
        <w:snapToGrid w:val="0"/>
        <w:spacing w:before="120" w:beforeLines="50" w:after="120" w:afterLines="50" w:line="320" w:lineRule="exact"/>
        <w:jc w:val="center"/>
        <w:outlineLvl w:val="0"/>
        <w:rPr>
          <w:rFonts w:ascii="微软雅黑" w:hAnsi="微软雅黑" w:eastAsia="微软雅黑"/>
          <w:b/>
          <w:sz w:val="28"/>
          <w:szCs w:val="21"/>
        </w:rPr>
      </w:pPr>
      <w:r>
        <w:rPr>
          <w:rFonts w:hint="eastAsia" w:ascii="微软雅黑" w:hAnsi="微软雅黑" w:eastAsia="微软雅黑"/>
          <w:b/>
          <w:sz w:val="28"/>
          <w:szCs w:val="21"/>
        </w:rPr>
        <w:t>TCL合作伙伴行为准则</w:t>
      </w:r>
    </w:p>
    <w:p/>
    <w:p>
      <w:pPr>
        <w:widowControl/>
        <w:tabs>
          <w:tab w:val="left" w:pos="1545"/>
        </w:tabs>
        <w:adjustRightInd w:val="0"/>
        <w:snapToGrid w:val="0"/>
        <w:spacing w:line="276" w:lineRule="auto"/>
        <w:rPr>
          <w:rFonts w:cs="Times New Roman" w:asciiTheme="minorEastAsia" w:hAnsiTheme="minorEastAsia"/>
          <w:b/>
          <w:bCs/>
          <w:kern w:val="0"/>
          <w:szCs w:val="21"/>
          <w:u w:val="single"/>
        </w:rPr>
      </w:pPr>
      <w:r>
        <w:rPr>
          <w:rFonts w:hint="eastAsia" w:cs="Times New Roman" w:asciiTheme="minorEastAsia" w:hAnsiTheme="minorEastAsia"/>
          <w:b/>
          <w:bCs/>
          <w:szCs w:val="21"/>
        </w:rPr>
        <w:t>1.</w:t>
      </w:r>
      <w:r>
        <w:rPr>
          <w:rFonts w:cs="Times New Roman" w:asciiTheme="minorEastAsia" w:hAnsiTheme="minorEastAsia"/>
          <w:b/>
          <w:bCs/>
          <w:szCs w:val="21"/>
        </w:rPr>
        <w:t>前言</w:t>
      </w:r>
      <w:r>
        <w:rPr>
          <w:rFonts w:hint="eastAsia" w:cs="宋体" w:asciiTheme="minorEastAsia" w:hAnsiTheme="minorEastAsia"/>
          <w:b/>
          <w:bCs/>
          <w:color w:val="000000"/>
          <w:kern w:val="0"/>
        </w:rPr>
        <w:t xml:space="preserve"> </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1.2</w:t>
      </w:r>
      <w:r>
        <w:rPr>
          <w:rFonts w:cs="Times New Roman" w:asciiTheme="minorEastAsia" w:hAnsiTheme="minorEastAsia"/>
          <w:b/>
          <w:bCs/>
          <w:szCs w:val="21"/>
        </w:rPr>
        <w:t>目的及适用范围</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1.2.1本《TCL合作伙伴行为准则》的甲方为TCL科技集团股份有限公司及下属企业，一般指在项目招标或合同中提出要实现具体目标的一方；乙方为甲方的合作伙伴，一般指完成甲方任务目标，并根据完成情况获取经济收益的一方，包括但不限于物料及设备供应商、服务提供商、施工方、承租方、经销商、代理商、分包商等。</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1.2.2为了保障甲方与合作伙伴的商业合作持续健康发展与良性循环，并建立与业务相适应的合规标准和道德要求，在信任、诚实、坦率与正直的基础上构筑相互之间的合作关系，经双方友好协商，特订立并签署本《TCL合作伙伴行为准则》（以下简称“《行为准则》”）。甲方期望合作伙伴能够：1）熟悉并遵守相关法律；2）保持高标准的商业道德；3）与甲方共同成长。</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2.行为准则</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2.1</w:t>
      </w:r>
      <w:r>
        <w:rPr>
          <w:rFonts w:cs="Times New Roman" w:asciiTheme="minorEastAsia" w:hAnsiTheme="minorEastAsia"/>
          <w:b/>
          <w:bCs/>
          <w:szCs w:val="21"/>
        </w:rPr>
        <w:t>一般法律遵从</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合作伙伴应守法经营，遵从注册地、业务所在地适用的法律、法规，遵从适用的国际法律和规则，确保不会因法律遵从问题而影响双方的合作。</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2.2</w:t>
      </w:r>
      <w:r>
        <w:rPr>
          <w:rFonts w:cs="Times New Roman" w:asciiTheme="minorEastAsia" w:hAnsiTheme="minorEastAsia"/>
          <w:b/>
          <w:bCs/>
          <w:szCs w:val="21"/>
        </w:rPr>
        <w:t>政府客户</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合作伙伴应注意，在与政府、公共机构或国有企业进行交易时，需遵从所适用的政府采购及招投标法律法规。</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2.3员工权益</w:t>
      </w:r>
    </w:p>
    <w:p>
      <w:pPr>
        <w:pStyle w:val="111"/>
        <w:widowControl/>
        <w:tabs>
          <w:tab w:val="left" w:pos="1545"/>
        </w:tabs>
        <w:adjustRightInd w:val="0"/>
        <w:snapToGrid w:val="0"/>
        <w:spacing w:line="276" w:lineRule="auto"/>
        <w:ind w:left="426" w:firstLine="0" w:firstLineChars="0"/>
        <w:rPr>
          <w:rFonts w:cs="Times New Roman" w:asciiTheme="minorEastAsia" w:hAnsiTheme="minorEastAsia"/>
          <w:kern w:val="0"/>
          <w:szCs w:val="21"/>
        </w:rPr>
      </w:pPr>
      <w:r>
        <w:rPr>
          <w:rFonts w:hint="eastAsia" w:ascii="微软雅黑" w:hAnsi="微软雅黑" w:eastAsia="微软雅黑" w:cstheme="minorBidi"/>
          <w:sz w:val="21"/>
          <w:szCs w:val="21"/>
          <w:lang w:val="en-GB" w:eastAsia="zh-CN" w:bidi="ar-SA"/>
        </w:rPr>
        <w:t>合作伙伴应按照国际社会公认准则维护员工权益，为员工营造健康、有尊严、公平的工作生活环境，同时确保员工不会因肤色、种族、性别、宗教、政治派别等因素而受到任何歧视或威胁。</w:t>
      </w:r>
    </w:p>
    <w:p>
      <w:pPr>
        <w:pStyle w:val="186"/>
        <w:spacing w:line="276" w:lineRule="auto"/>
        <w:rPr>
          <w:rFonts w:cs="Times New Roman" w:asciiTheme="minorEastAsia" w:hAnsiTheme="minorEastAsia" w:eastAsiaTheme="minorEastAsia"/>
          <w:b/>
          <w:bCs/>
          <w:color w:val="auto"/>
          <w:kern w:val="2"/>
          <w:sz w:val="21"/>
          <w:szCs w:val="21"/>
        </w:rPr>
      </w:pPr>
      <w:r>
        <w:rPr>
          <w:rFonts w:hint="eastAsia" w:cs="Times New Roman" w:asciiTheme="minorEastAsia" w:hAnsiTheme="minorEastAsia" w:eastAsiaTheme="minorEastAsia"/>
          <w:b/>
          <w:bCs/>
          <w:color w:val="auto"/>
          <w:kern w:val="2"/>
          <w:sz w:val="21"/>
          <w:szCs w:val="21"/>
        </w:rPr>
        <w:t>2.4健康安全与</w:t>
      </w:r>
      <w:r>
        <w:rPr>
          <w:rFonts w:cs="Times New Roman" w:asciiTheme="minorEastAsia" w:hAnsiTheme="minorEastAsia" w:eastAsiaTheme="minorEastAsia"/>
          <w:b/>
          <w:bCs/>
          <w:color w:val="auto"/>
          <w:kern w:val="2"/>
          <w:sz w:val="21"/>
          <w:szCs w:val="21"/>
        </w:rPr>
        <w:t>环境责任</w:t>
      </w:r>
    </w:p>
    <w:p>
      <w:pPr>
        <w:pStyle w:val="111"/>
        <w:spacing w:line="276" w:lineRule="auto"/>
        <w:ind w:left="420" w:right="-1" w:firstLine="0" w:firstLineChars="0"/>
        <w:jc w:val="left"/>
        <w:rPr>
          <w:rFonts w:cs="Times New Roman" w:asciiTheme="minorEastAsia" w:hAnsiTheme="minorEastAsia"/>
          <w:kern w:val="0"/>
          <w:szCs w:val="21"/>
        </w:rPr>
      </w:pPr>
      <w:r>
        <w:rPr>
          <w:rFonts w:hint="eastAsia" w:ascii="微软雅黑" w:hAnsi="微软雅黑" w:eastAsia="微软雅黑" w:cstheme="minorBidi"/>
          <w:sz w:val="21"/>
          <w:szCs w:val="21"/>
          <w:lang w:val="en-GB" w:eastAsia="zh-CN" w:bidi="ar-SA"/>
        </w:rPr>
        <w:t>合作伙伴应采取必要的措施防止工作场所危害。合作伙伴应遵守任何国家及地方的环保法规，包括与大气排放、水体排放、有毒有害物质管理等相关适用的所有法律法规，致力于预防污染和节约资源。</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2.5</w:t>
      </w:r>
      <w:r>
        <w:rPr>
          <w:rFonts w:cs="Times New Roman" w:asciiTheme="minorEastAsia" w:hAnsiTheme="minorEastAsia"/>
          <w:b/>
          <w:bCs/>
          <w:szCs w:val="21"/>
        </w:rPr>
        <w:t>反垄断及反不正当竞争</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2.5.1合作伙伴不得独自或伙同其他合作伙伴进行垄断市场或不正当竞争的行为，禁止行为包括但不限于通过协议或共谋分割市场、固定转售价格、串通投标、捆绑销售、滥用市场支配地位等侵害最终用户权益的行为。</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2.5.2营销宣传：合作伙伴在进行营销宣传过程中，不得进行虚假陈述、夸大某产品功能，合作伙伴在对外的业务交往中，不得向任何人作错误说明或不实陈述。</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2.5.3合法获取和使用竞争信息：合作伙伴不应以任何非法或违反商业道德的手段获取和使用他人的商业秘密或其他保密信息，包括但不限于以不恰当的方式从客户、竞争对手的雇员或者其他方收集或接收他们自有的或第三方的保密信息等。</w:t>
      </w:r>
    </w:p>
    <w:p>
      <w:pPr>
        <w:widowControl/>
        <w:tabs>
          <w:tab w:val="left" w:pos="1545"/>
        </w:tabs>
        <w:adjustRightInd w:val="0"/>
        <w:snapToGrid w:val="0"/>
        <w:spacing w:line="276" w:lineRule="auto"/>
        <w:rPr>
          <w:rFonts w:cs="Times New Roman" w:asciiTheme="minorEastAsia" w:hAnsiTheme="minorEastAsia"/>
          <w:b/>
          <w:bCs/>
          <w:szCs w:val="21"/>
        </w:rPr>
      </w:pPr>
      <w:r>
        <w:rPr>
          <w:rFonts w:cs="Times New Roman" w:asciiTheme="minorEastAsia" w:hAnsiTheme="minorEastAsia"/>
          <w:b/>
          <w:bCs/>
          <w:szCs w:val="21"/>
        </w:rPr>
        <w:t>2.6反商业贿赂</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2.6.1本准则所指的贿赂是指为获取或保持与甲方的合作及合作的利益，合作伙伴或其公司员工给予甲方人员及其关联人员的一切物质及精神上的直接或间接的不正当利益。</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2.6.2合作伙伴不得为获取、保留业务或者影响决策人的决策等目的对政府公职人员、政党团体、其他商业主体等直接或间接给予、承诺给予贿赂，或者收受贿赂，包括不得为获取不当或非法利益而提供任何超标准、不恰当的礼品馈赠、商务招待、雇佣机会等。</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2.6.3合作伙伴不得以任何形式向甲方人员及其关联人员直接或间接行贿或输送不当利益，包括但不限于馈赠礼金、物品、有价证券及支付凭证、支票、信用卡礼品、样品、娱乐票券、会员卡、货币或货物形式的回扣、回佣、手续费、就业或置业、通讯器材、交通工具、高值文化用品以及其他贵重物品或旅游、高规格接待及以娱乐旅游为目的在风景区召开的会议等。合作伙伴不得通过甲方员工或第三方进行贿赂。</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2.6.4合作伙伴及其人员，在任何时候都不得向甲方人员及其关联人员提供任何形式的借款。若甲方公司员工及其关联人员在日常业务过程中向合作伙伴提出借款请求，合作伙伴应向甲方实名报告。</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2.6.5合作伙伴须支持甲方的诚信廉洁建设，若甲方人员在业务往来中有索贿行为，合作伙伴必须拒绝，并及时向甲方审计监察机构投诉或举报。有关贿赂行为的信息一经查实，甲方将根据事件的影响程度给予信息提供者2,000元至100,000元人民币的现金奖励（最低2,000元）。甲方承诺对所有信息提供者及所提供的全部资料严格保密。若合作伙伴对甲方人员的索贿行为不拒绝、不报告，并满足其要求的，则视同合作伙伴的贿赂行为，合作伙伴应根据本《行为准则》的规定承担相应责任。</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2.7</w:t>
      </w:r>
      <w:r>
        <w:rPr>
          <w:rFonts w:cs="Times New Roman" w:asciiTheme="minorEastAsia" w:hAnsiTheme="minorEastAsia"/>
          <w:b/>
          <w:bCs/>
          <w:szCs w:val="21"/>
        </w:rPr>
        <w:t>禁止</w:t>
      </w:r>
      <w:r>
        <w:rPr>
          <w:rFonts w:hint="eastAsia" w:cs="Times New Roman" w:asciiTheme="minorEastAsia" w:hAnsiTheme="minorEastAsia"/>
          <w:b/>
          <w:bCs/>
          <w:szCs w:val="21"/>
        </w:rPr>
        <w:t>利益冲突</w:t>
      </w:r>
      <w:r>
        <w:rPr>
          <w:rFonts w:cs="Times New Roman" w:asciiTheme="minorEastAsia" w:hAnsiTheme="minorEastAsia"/>
          <w:b/>
          <w:bCs/>
          <w:szCs w:val="21"/>
        </w:rPr>
        <w:t>关系</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2.7.1合作伙伴须避免与甲方的利益冲突关系，同时应主动申报及合理处置利益冲突员工。</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2.7.2合作伙伴不得让甲方在职员工及其关联人参股。如果甲方在职员工或其关联人正在为合作伙伴工作，或担任其雇员、顾问、董事、高管或者股东等，合作伙伴应当及时向甲方申报。</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2.7.3合作期间，合作伙伴不得聘用甲方在职员工（包括但不限于建立正式劳动关系、劳务派遣、外包服务、兼职、咨询顾问等方式）。合作伙伴如有聘用甲方员工或其关联人任职的，其应在知晓信息起三日内以书面方式如实、全面告知甲方。</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2.7.4合作期间，合作伙伴不得与甲方在职员工或其关联人共同成立公司或允许甲方员工及其关联人持有或由第三方代持有合作伙伴的股权（但通过公开的证券交易市场且低于发行在外5%的权益、通过直接或间接持有无实际控制权的基金、或通过受益人非本人或关联人员的信托方式持有的股份除外），不得使甲方员工或其关联人从合作伙伴处获取不正当利益。</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2.7.5若合作伙伴与甲方某客户的股东、董事、总经理、其他关键决策人员或上述人员的关联人等存在法律上的关联关系，则在甲方涉及该客户的项目中合作伙伴应予以回避。</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2.7.6本条款所指的关联人一般指员工的家庭成员和近亲属，如夫妻关系、直系血亲关系、三代以内旁系血亲关系以及近姻亲关系的亲属等；员工及其近亲属的一致行动人（即与员工存在合伙、合作或联营的自然人或法人）、其他有共同利益关系的特定关系人也是员工的关联人。</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2.8</w:t>
      </w:r>
      <w:r>
        <w:rPr>
          <w:rFonts w:cs="Times New Roman" w:asciiTheme="minorEastAsia" w:hAnsiTheme="minorEastAsia"/>
          <w:b/>
          <w:bCs/>
          <w:szCs w:val="21"/>
        </w:rPr>
        <w:t>禁止越权承诺</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2.8.1合作伙伴不得越权向最终用户、任何第三方承诺未经授权的事项，同时，如果合作伙伴发现有任何甲方人员私自对其做出越权承诺时，应当直接拒绝并向甲方审计监察部门举报。</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2.8.2因合作伙伴越权承诺或未拒绝甲方人员私自越权承诺而造成的任何损失，应由该合作伙伴独立承担；给甲方造成损失的，越权承诺的合作伙伴及甲方人员应向甲方公司进行赔偿。</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 xml:space="preserve">2.8.3为了有效杜绝越权承诺，合作伙伴应知晓并接受：甲方将不会履行双方所签署的协议/订单内容以外的任何条款。   </w:t>
      </w:r>
    </w:p>
    <w:p>
      <w:pPr>
        <w:widowControl/>
        <w:tabs>
          <w:tab w:val="left" w:pos="1545"/>
        </w:tabs>
        <w:adjustRightInd w:val="0"/>
        <w:snapToGrid w:val="0"/>
        <w:spacing w:line="276" w:lineRule="auto"/>
        <w:rPr>
          <w:rFonts w:cs="Times New Roman" w:asciiTheme="minorEastAsia" w:hAnsiTheme="minorEastAsia"/>
          <w:b/>
          <w:bCs/>
          <w:szCs w:val="21"/>
        </w:rPr>
      </w:pPr>
      <w:r>
        <w:rPr>
          <w:rFonts w:cs="Times New Roman" w:asciiTheme="minorEastAsia" w:hAnsiTheme="minorEastAsia"/>
          <w:b/>
          <w:bCs/>
          <w:szCs w:val="21"/>
        </w:rPr>
        <w:t>2.9禁止</w:t>
      </w:r>
      <w:r>
        <w:rPr>
          <w:rFonts w:hint="eastAsia" w:cs="Times New Roman" w:asciiTheme="minorEastAsia" w:hAnsiTheme="minorEastAsia"/>
          <w:b/>
          <w:bCs/>
          <w:szCs w:val="21"/>
        </w:rPr>
        <w:t>诽谤</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合作伙伴应坚持诚信经营原则，不得诽谤、诋毁甲方的声誉。禁止合作伙伴对竞争对手或其产品、服务进行错误或误导性陈述。</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2.10</w:t>
      </w:r>
      <w:r>
        <w:rPr>
          <w:rFonts w:cs="Times New Roman" w:asciiTheme="minorEastAsia" w:hAnsiTheme="minorEastAsia"/>
          <w:b/>
          <w:bCs/>
          <w:szCs w:val="21"/>
        </w:rPr>
        <w:t>如实提供资料</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2.10.1合作伙伴必须保证向甲方所提供的一切材料和所有信息，包括但不限于业绩、资质、经营状况、订单、销售报告、付款申请、公司重要事项变更等，都是真实、准确、完整、合法、有效的。如材料中涉及第三方保密信息，合作伙伴保证已经获得第三方授权。</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2.10.2禁止合作伙伴通过虚假项目、虚增客户需求、阴阳合同以及提供虚假签收单、虚假验收单等方式协助甲方员工确认虚假收入、提前确认收入、故意延迟确认收入等。禁止合作伙伴通过任何形式伪造或违规使用甲方公司印章和公文函件。</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kern w:val="0"/>
          <w:szCs w:val="21"/>
        </w:rPr>
        <w:t>2.11</w:t>
      </w:r>
      <w:r>
        <w:rPr>
          <w:rFonts w:cs="Times New Roman" w:asciiTheme="minorEastAsia" w:hAnsiTheme="minorEastAsia"/>
          <w:b/>
          <w:bCs/>
          <w:szCs w:val="21"/>
        </w:rPr>
        <w:t>网络</w:t>
      </w:r>
      <w:r>
        <w:rPr>
          <w:rFonts w:hint="eastAsia" w:cs="Times New Roman" w:asciiTheme="minorEastAsia" w:hAnsiTheme="minorEastAsia"/>
          <w:b/>
          <w:bCs/>
          <w:szCs w:val="21"/>
        </w:rPr>
        <w:t>与</w:t>
      </w:r>
      <w:r>
        <w:rPr>
          <w:rFonts w:cs="Times New Roman" w:asciiTheme="minorEastAsia" w:hAnsiTheme="minorEastAsia"/>
          <w:b/>
          <w:bCs/>
          <w:szCs w:val="21"/>
        </w:rPr>
        <w:t>信息安全</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合作伙伴应严格遵守可适用国家关于网络安全和个人数据保护的法律规定，不得侵害最终用户的通信自由和隐私权。</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2.12</w:t>
      </w:r>
      <w:r>
        <w:rPr>
          <w:rFonts w:cs="Times New Roman" w:asciiTheme="minorEastAsia" w:hAnsiTheme="minorEastAsia"/>
          <w:b/>
          <w:bCs/>
          <w:szCs w:val="21"/>
        </w:rPr>
        <w:t>知识产权及保密信息</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合作伙伴应当尊重甲方的知识产权，同时，未经允许不得披露在与甲方正常交易过程中获得的保密信息。未经甲方事先同意，不得对媒体擅自披露与甲方的合作项目情况。</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2.13</w:t>
      </w:r>
      <w:r>
        <w:rPr>
          <w:rFonts w:cs="Times New Roman" w:asciiTheme="minorEastAsia" w:hAnsiTheme="minorEastAsia"/>
          <w:b/>
          <w:bCs/>
          <w:szCs w:val="21"/>
        </w:rPr>
        <w:t>出口管制</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合作伙伴应严格遵守可适用国家的出口管制相关的适用法律、法规或政策，并严格遵守甲方要求的出口管制义务。</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2.14</w:t>
      </w:r>
      <w:r>
        <w:rPr>
          <w:rFonts w:cs="Times New Roman" w:asciiTheme="minorEastAsia" w:hAnsiTheme="minorEastAsia"/>
          <w:b/>
          <w:bCs/>
          <w:szCs w:val="21"/>
        </w:rPr>
        <w:t>合规管理</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2.14.1建立合规体系：甲方鼓励合作伙伴建立自己的合规管理体系，以确保合作伙伴更好地遵从可适用的法律、履行正当商业行为以及遵守甲方的政策。</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2.14.2传递甲方准则：合作伙伴应当将本《行为准则》传递给下一级合作伙伴，或者制定不低于本行为准则标准的类似规范文件。</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2.14.3严格约束员工：合作伙伴应当严格约束自己的员工，遵守合作伙伴内部制定的商业行为准则，并督促员工同时遵守本《行为准则》。</w:t>
      </w:r>
    </w:p>
    <w:p>
      <w:pPr>
        <w:widowControl/>
        <w:tabs>
          <w:tab w:val="left" w:pos="1545"/>
        </w:tabs>
        <w:adjustRightInd w:val="0"/>
        <w:snapToGrid w:val="0"/>
        <w:spacing w:line="276" w:lineRule="auto"/>
        <w:rPr>
          <w:rFonts w:cs="Times New Roman" w:asciiTheme="minorEastAsia" w:hAnsiTheme="minorEastAsia"/>
          <w:b/>
          <w:bCs/>
          <w:szCs w:val="21"/>
        </w:rPr>
      </w:pPr>
      <w:r>
        <w:rPr>
          <w:rFonts w:cs="Times New Roman" w:asciiTheme="minorEastAsia" w:hAnsiTheme="minorEastAsia"/>
          <w:b/>
          <w:bCs/>
          <w:szCs w:val="21"/>
        </w:rPr>
        <w:t>2.15配合甲方审计监察</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合作伙伴不得隐瞒任何可能对甲方利益造成影响的信息，合作伙伴需要配合甲方的审计监察。</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3.违约</w:t>
      </w:r>
      <w:r>
        <w:rPr>
          <w:rFonts w:cs="Times New Roman" w:asciiTheme="minorEastAsia" w:hAnsiTheme="minorEastAsia"/>
          <w:b/>
          <w:bCs/>
          <w:szCs w:val="21"/>
        </w:rPr>
        <w:t>及沟通</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3.1违反准则后果</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 xml:space="preserve">3.1.1任何合作伙伴违反任何上述行为准则，都将会影响其可能享受的激励计划，或者被甲方单方直接终止或逐步终止合作而无须承担任何违约责任, 将合作伙伴列入甲方诚信黑名单，并就涉嫌违法犯罪线索向有关行政执法或司法机关报告。同时，甲方保留向合作伙伴追究其因违反本《行为准则》而给甲方造成的全部损失的权利，包括但不限于因更换合作伙伴而造成的成本增加、政府部门罚款等。 </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3.1.2若合作伙伴及其人员违反本《行为准则》进行商业贿赂或向甲方人员或其关联人提供不正当利益的，则其应向甲方返还因贿赂行为而取得的不当利益，并一次性向甲方支付10万元或违约所涉及订单（合同）金额的30%至50%作为违约金，视情节轻重而定，两者以高者为准。合作伙伴应于甲方发现违约行为之日起5个工作日内支付违约金，对于供应商，如未及时支付，甲方有权从任何应付款项中直接扣除。如果合作伙伴主动向甲方提供有效信息，甲方将根据实际情形考量，给予合作伙伴继续合作的机会和/或减免上述违约责任，对于上述情形的处理甲方有完全的判断权和自主权。</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3.1.3双方业务关系的变更或解除，不影响甲方按本《行为准则》规定向合作伙伴追究法律责任及要求赔偿损失的权利。</w:t>
      </w:r>
    </w:p>
    <w:p>
      <w:pPr>
        <w:widowControl/>
        <w:adjustRightInd w:val="0"/>
        <w:snapToGrid w:val="0"/>
        <w:spacing w:line="276" w:lineRule="auto"/>
        <w:rPr>
          <w:rFonts w:cs="Times New Roman" w:asciiTheme="minorEastAsia" w:hAnsiTheme="minorEastAsia"/>
          <w:b/>
          <w:bCs/>
          <w:szCs w:val="21"/>
        </w:rPr>
      </w:pPr>
      <w:r>
        <w:rPr>
          <w:rFonts w:cs="Times New Roman" w:asciiTheme="minorEastAsia" w:hAnsiTheme="minorEastAsia"/>
          <w:b/>
          <w:bCs/>
          <w:szCs w:val="21"/>
        </w:rPr>
        <w:t>3.2版本更新</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为了使合作伙伴以及更多潜在的合作伙伴了解本《行为准则》，甲方将在官方网站中公布（网站：</w:t>
      </w:r>
      <w:r>
        <w:rPr>
          <w:rFonts w:hint="eastAsia" w:ascii="微软雅黑" w:hAnsi="微软雅黑" w:eastAsia="微软雅黑" w:cstheme="minorBidi"/>
          <w:sz w:val="21"/>
          <w:szCs w:val="21"/>
          <w:lang w:val="en-GB" w:eastAsia="zh-CN" w:bidi="ar-SA"/>
        </w:rPr>
        <w:fldChar w:fldCharType="begin"/>
      </w:r>
      <w:r>
        <w:rPr>
          <w:rFonts w:hint="eastAsia" w:ascii="微软雅黑" w:hAnsi="微软雅黑" w:eastAsia="微软雅黑" w:cstheme="minorBidi"/>
          <w:sz w:val="21"/>
          <w:szCs w:val="21"/>
          <w:lang w:val="en-GB" w:eastAsia="zh-CN" w:bidi="ar-SA"/>
        </w:rPr>
        <w:instrText xml:space="preserve"> HYPERLINK "http://www.tcl.com" </w:instrText>
      </w:r>
      <w:r>
        <w:rPr>
          <w:rFonts w:hint="eastAsia" w:ascii="微软雅黑" w:hAnsi="微软雅黑" w:eastAsia="微软雅黑" w:cstheme="minorBidi"/>
          <w:sz w:val="21"/>
          <w:szCs w:val="21"/>
          <w:lang w:val="en-GB" w:eastAsia="zh-CN" w:bidi="ar-SA"/>
        </w:rPr>
        <w:fldChar w:fldCharType="separate"/>
      </w:r>
      <w:r>
        <w:rPr>
          <w:rFonts w:hint="eastAsia" w:ascii="微软雅黑" w:hAnsi="微软雅黑" w:eastAsia="微软雅黑" w:cstheme="minorBidi"/>
          <w:sz w:val="21"/>
          <w:szCs w:val="21"/>
          <w:lang w:val="en-GB" w:eastAsia="zh-CN" w:bidi="ar-SA"/>
        </w:rPr>
        <w:t>www.tcl.com</w:t>
      </w:r>
      <w:r>
        <w:rPr>
          <w:rFonts w:hint="eastAsia" w:ascii="微软雅黑" w:hAnsi="微软雅黑" w:eastAsia="微软雅黑" w:cstheme="minorBidi"/>
          <w:sz w:val="21"/>
          <w:szCs w:val="21"/>
          <w:lang w:val="en-GB" w:eastAsia="zh-CN" w:bidi="ar-SA"/>
        </w:rPr>
        <w:fldChar w:fldCharType="end"/>
      </w:r>
      <w:r>
        <w:rPr>
          <w:rFonts w:hint="eastAsia" w:ascii="微软雅黑" w:hAnsi="微软雅黑" w:eastAsia="微软雅黑" w:cstheme="minorBidi"/>
          <w:sz w:val="21"/>
          <w:szCs w:val="21"/>
          <w:lang w:val="en-GB" w:eastAsia="zh-CN" w:bidi="ar-SA"/>
        </w:rPr>
        <w:t>）。与此同时，甲方保留随时进行进一步补充、修订的权利。除非以书面形式对本《行为准则》进行变更或修改，且由双方签署（如仅有签字，则应当由双方法定代表人或其授权代表签署），否则此类变更或修改对双方均无约束力。</w:t>
      </w:r>
    </w:p>
    <w:p>
      <w:pPr>
        <w:widowControl/>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3.3</w:t>
      </w:r>
      <w:r>
        <w:rPr>
          <w:rFonts w:cs="Times New Roman" w:asciiTheme="minorEastAsia" w:hAnsiTheme="minorEastAsia"/>
          <w:b/>
          <w:bCs/>
          <w:szCs w:val="21"/>
        </w:rPr>
        <w:t>投诉路径</w:t>
      </w:r>
    </w:p>
    <w:p>
      <w:pPr>
        <w:pStyle w:val="111"/>
        <w:widowControl/>
        <w:tabs>
          <w:tab w:val="left" w:pos="1545"/>
        </w:tabs>
        <w:adjustRightInd w:val="0"/>
        <w:snapToGrid w:val="0"/>
        <w:spacing w:line="276" w:lineRule="auto"/>
        <w:ind w:left="420"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如果合作伙伴对本《行为准则》有任何疑问，或者基于善意及合理怀疑发现任何违反本行为准则的行为，欢迎随时通过以下投诉渠道进行反馈。</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甲方接受投诉举报渠道：</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邮件：jubao@tcl.com</w:t>
      </w:r>
    </w:p>
    <w:p>
      <w:pPr>
        <w:pStyle w:val="111"/>
        <w:widowControl/>
        <w:tabs>
          <w:tab w:val="left" w:pos="1545"/>
        </w:tabs>
        <w:adjustRightInd w:val="0"/>
        <w:snapToGrid w:val="0"/>
        <w:spacing w:line="276" w:lineRule="auto"/>
        <w:ind w:left="426" w:firstLine="0" w:firstLineChars="0"/>
        <w:rPr>
          <w:rFonts w:hint="eastAsia" w:ascii="微软雅黑" w:hAnsi="微软雅黑" w:eastAsia="微软雅黑" w:cstheme="minorBidi"/>
          <w:sz w:val="21"/>
          <w:szCs w:val="21"/>
          <w:lang w:val="en-GB" w:eastAsia="zh-CN" w:bidi="ar-SA"/>
        </w:rPr>
      </w:pPr>
      <w:r>
        <w:rPr>
          <w:rFonts w:hint="eastAsia" w:ascii="微软雅黑" w:hAnsi="微软雅黑" w:eastAsia="微软雅黑" w:cstheme="minorBidi"/>
          <w:sz w:val="21"/>
          <w:szCs w:val="21"/>
          <w:lang w:val="en-GB" w:eastAsia="zh-CN" w:bidi="ar-SA"/>
        </w:rPr>
        <w:t>电话：+86-0752-2288 846</w:t>
      </w:r>
    </w:p>
    <w:p>
      <w:pPr>
        <w:widowControl/>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3.4</w:t>
      </w:r>
      <w:r>
        <w:rPr>
          <w:rFonts w:cs="Times New Roman" w:asciiTheme="minorEastAsia" w:hAnsiTheme="minorEastAsia"/>
          <w:b/>
          <w:bCs/>
          <w:szCs w:val="21"/>
        </w:rPr>
        <w:t>甲方承诺及提醒</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3.4.1甲方郑重承诺，甲方将对实名举报人的个人信息严格保密，切实保障实名举报人的合法权利，严禁甲方人员对实名举报人进行任何直接或间接的歧视、刁难、压制或打击报复等行为。</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3.4.2甲方提醒实名举报人员，请保证反馈信息的真实性和准确性，如有必要，请举报人员协助甲方针对所反馈的信息进行内部调查与核实。如果反馈信息属于明显的误导性恶意诽谤，可能会导致甲方立即终止与举报人员合作。</w:t>
      </w:r>
    </w:p>
    <w:p>
      <w:pPr>
        <w:widowControl/>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3.5适用</w:t>
      </w:r>
      <w:r>
        <w:rPr>
          <w:rFonts w:cs="Times New Roman" w:asciiTheme="minorEastAsia" w:hAnsiTheme="minorEastAsia"/>
          <w:b/>
          <w:bCs/>
          <w:szCs w:val="21"/>
        </w:rPr>
        <w:t>法律及争议解决</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3.5.1本协议应受【中华人民共和国法律】约束并按其解释，并排除其他冲突法规范。</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3.5.2争议解决。如双方此前已签订有反商业贿赂、反腐败或廉洁承诺书等，且内容与本《行为准则》内容有不一致之处的，以本《行为准则》为准。因本《行为准则》引起的或与本《行为准则》有关的任何争议，均应通过友好协商解决。如协商不成，则应提请甲方所在地有管辖权的法院裁决。</w:t>
      </w:r>
    </w:p>
    <w:p>
      <w:pPr>
        <w:widowControl/>
        <w:tabs>
          <w:tab w:val="left" w:pos="1545"/>
        </w:tabs>
        <w:adjustRightInd w:val="0"/>
        <w:snapToGrid w:val="0"/>
        <w:spacing w:line="276" w:lineRule="auto"/>
        <w:rPr>
          <w:rFonts w:cs="Times New Roman" w:asciiTheme="minorEastAsia" w:hAnsiTheme="minorEastAsia"/>
          <w:b/>
          <w:bCs/>
          <w:szCs w:val="21"/>
        </w:rPr>
      </w:pPr>
      <w:r>
        <w:rPr>
          <w:rFonts w:hint="eastAsia" w:cs="Times New Roman" w:asciiTheme="minorEastAsia" w:hAnsiTheme="minorEastAsia"/>
          <w:b/>
          <w:bCs/>
          <w:szCs w:val="21"/>
        </w:rPr>
        <w:t>4.其他条款</w:t>
      </w:r>
    </w:p>
    <w:p>
      <w:pPr>
        <w:tabs>
          <w:tab w:val="left" w:pos="2520"/>
        </w:tabs>
        <w:snapToGrid w:val="0"/>
        <w:spacing w:line="30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本《行为准则》长期有效。如合作伙伴后续有任何分立或与其他公司兼并等情形，则本承诺书应继续对权利义务承继人有效。</w:t>
      </w:r>
    </w:p>
    <w:p>
      <w:pPr>
        <w:spacing w:after="160" w:line="259" w:lineRule="auto"/>
        <w:rPr>
          <w:rFonts w:ascii="Times New Roman" w:hAnsi="Times New Roman" w:eastAsia="宋体" w:cs="Times New Roman"/>
          <w:kern w:val="2"/>
          <w:sz w:val="24"/>
          <w:szCs w:val="24"/>
        </w:rPr>
      </w:pPr>
    </w:p>
    <w:p>
      <w:pPr>
        <w:snapToGrid w:val="0"/>
        <w:spacing w:before="120" w:beforeLines="50" w:after="120" w:afterLines="50" w:line="320" w:lineRule="exact"/>
        <w:jc w:val="center"/>
        <w:outlineLvl w:val="0"/>
        <w:rPr>
          <w:rFonts w:ascii="微软雅黑" w:hAnsi="微软雅黑" w:eastAsia="微软雅黑"/>
          <w:b/>
          <w:sz w:val="28"/>
          <w:szCs w:val="21"/>
        </w:rPr>
      </w:pPr>
      <w:r>
        <w:rPr>
          <w:rFonts w:hint="eastAsia" w:ascii="微软雅黑" w:hAnsi="微软雅黑" w:eastAsia="微软雅黑"/>
          <w:b/>
          <w:sz w:val="28"/>
          <w:szCs w:val="21"/>
        </w:rPr>
        <w:t>安全环保协议</w:t>
      </w:r>
    </w:p>
    <w:p>
      <w:pPr>
        <w:snapToGrid w:val="0"/>
        <w:spacing w:before="120" w:beforeLines="50" w:after="120" w:afterLines="50" w:line="320" w:lineRule="exact"/>
        <w:ind w:firstLine="420" w:firstLineChars="200"/>
        <w:rPr>
          <w:rFonts w:ascii="微软雅黑" w:hAnsi="微软雅黑" w:eastAsia="微软雅黑" w:cs="Arial"/>
        </w:rPr>
      </w:pPr>
      <w:r>
        <w:rPr>
          <w:rFonts w:hint="eastAsia" w:ascii="微软雅黑" w:hAnsi="微软雅黑" w:eastAsia="微软雅黑" w:cs="Arial"/>
        </w:rPr>
        <w:t>甲方已推行</w:t>
      </w:r>
      <w:r>
        <w:rPr>
          <w:rFonts w:ascii="微软雅黑" w:hAnsi="微软雅黑" w:eastAsia="微软雅黑" w:cs="Arial"/>
        </w:rPr>
        <w:t xml:space="preserve">ISO14001 </w:t>
      </w:r>
      <w:r>
        <w:rPr>
          <w:rFonts w:hint="eastAsia" w:ascii="微软雅黑" w:hAnsi="微软雅黑" w:eastAsia="微软雅黑" w:cs="Arial"/>
        </w:rPr>
        <w:t>环境标准</w:t>
      </w:r>
      <w:r>
        <w:rPr>
          <w:rFonts w:ascii="微软雅黑" w:hAnsi="微软雅黑" w:eastAsia="微软雅黑" w:cs="Arial"/>
        </w:rPr>
        <w:t xml:space="preserve">/ISO45001 </w:t>
      </w:r>
      <w:r>
        <w:rPr>
          <w:rFonts w:hint="eastAsia" w:ascii="微软雅黑" w:hAnsi="微软雅黑" w:eastAsia="微软雅黑" w:cs="Arial"/>
        </w:rPr>
        <w:t>职业健康安全标准、安全标准化、</w:t>
      </w:r>
      <w:r>
        <w:rPr>
          <w:rFonts w:ascii="微软雅黑" w:hAnsi="微软雅黑" w:eastAsia="微软雅黑" w:cs="Arial"/>
        </w:rPr>
        <w:t xml:space="preserve">QC080000 </w:t>
      </w:r>
      <w:r>
        <w:rPr>
          <w:rFonts w:hint="eastAsia" w:ascii="微软雅黑" w:hAnsi="微软雅黑" w:eastAsia="微软雅黑" w:cs="Arial"/>
        </w:rPr>
        <w:t>有害物质控制标准，以实现企业的绿色经营，最大限度地减少能源与资源的消耗和浪费，预防和治理污染，预防职业危害和事故的发生，树立起甲方良好的社会形象。</w:t>
      </w:r>
    </w:p>
    <w:p>
      <w:pPr>
        <w:snapToGrid w:val="0"/>
        <w:spacing w:before="120" w:beforeLines="50" w:after="120" w:afterLines="50" w:line="320" w:lineRule="exact"/>
        <w:ind w:firstLine="420" w:firstLineChars="200"/>
        <w:rPr>
          <w:rFonts w:ascii="微软雅黑" w:hAnsi="微软雅黑" w:eastAsia="微软雅黑" w:cs="Arial"/>
        </w:rPr>
      </w:pPr>
      <w:r>
        <w:rPr>
          <w:rFonts w:hint="eastAsia" w:ascii="微软雅黑" w:hAnsi="微软雅黑" w:eastAsia="微软雅黑" w:cs="Arial"/>
        </w:rPr>
        <w:t>为确保双方利益，维护正常合作，并配合甲方</w:t>
      </w:r>
      <w:r>
        <w:rPr>
          <w:rFonts w:ascii="微软雅黑" w:hAnsi="微软雅黑" w:eastAsia="微软雅黑" w:cs="Arial"/>
        </w:rPr>
        <w:t xml:space="preserve">ISO14001 </w:t>
      </w:r>
      <w:r>
        <w:rPr>
          <w:rFonts w:hint="eastAsia" w:ascii="微软雅黑" w:hAnsi="微软雅黑" w:eastAsia="微软雅黑" w:cs="Arial"/>
        </w:rPr>
        <w:t>环境管理体系、安全标准化、</w:t>
      </w:r>
      <w:r>
        <w:rPr>
          <w:rFonts w:ascii="微软雅黑" w:hAnsi="微软雅黑" w:eastAsia="微软雅黑" w:cs="Arial"/>
        </w:rPr>
        <w:t xml:space="preserve">ISO45001 </w:t>
      </w:r>
      <w:r>
        <w:rPr>
          <w:rFonts w:hint="eastAsia" w:ascii="微软雅黑" w:hAnsi="微软雅黑" w:eastAsia="微软雅黑" w:cs="Arial"/>
        </w:rPr>
        <w:t>职业健康安全管理体系及现场</w:t>
      </w:r>
      <w:r>
        <w:rPr>
          <w:rFonts w:ascii="微软雅黑" w:hAnsi="微软雅黑" w:eastAsia="微软雅黑" w:cs="Arial"/>
        </w:rPr>
        <w:t xml:space="preserve">6S </w:t>
      </w:r>
      <w:r>
        <w:rPr>
          <w:rFonts w:hint="eastAsia" w:ascii="微软雅黑" w:hAnsi="微软雅黑" w:eastAsia="微软雅黑" w:cs="Arial"/>
        </w:rPr>
        <w:t>管理的有效运行，双方一致同意签订本安全</w:t>
      </w:r>
      <w:r>
        <w:rPr>
          <w:rFonts w:ascii="微软雅黑" w:hAnsi="微软雅黑" w:eastAsia="微软雅黑" w:cs="Arial"/>
        </w:rPr>
        <w:t>环保</w:t>
      </w:r>
      <w:r>
        <w:rPr>
          <w:rFonts w:hint="eastAsia" w:ascii="微软雅黑" w:hAnsi="微软雅黑" w:eastAsia="微软雅黑" w:cs="Arial"/>
        </w:rPr>
        <w:t>协议，乙方完全遵守甲方以下之所有规定。</w:t>
      </w:r>
    </w:p>
    <w:p>
      <w:pPr>
        <w:pStyle w:val="166"/>
        <w:spacing w:line="320" w:lineRule="exact"/>
        <w:ind w:left="-1" w:leftChars="-1" w:hanging="1"/>
        <w:rPr>
          <w:rFonts w:ascii="微软雅黑" w:hAnsi="微软雅黑" w:eastAsia="微软雅黑"/>
          <w:sz w:val="21"/>
        </w:rPr>
      </w:pPr>
      <w:r>
        <w:rPr>
          <w:rFonts w:ascii="微软雅黑" w:hAnsi="微软雅黑" w:eastAsia="微软雅黑"/>
          <w:sz w:val="21"/>
        </w:rPr>
        <w:t>目的</w:t>
      </w:r>
    </w:p>
    <w:p>
      <w:pPr>
        <w:spacing w:line="320" w:lineRule="exact"/>
        <w:ind w:left="-1" w:leftChars="-1" w:hanging="1"/>
        <w:rPr>
          <w:rFonts w:ascii="微软雅黑" w:hAnsi="微软雅黑" w:eastAsia="微软雅黑" w:cs="Arial"/>
        </w:rPr>
      </w:pPr>
      <w:r>
        <w:rPr>
          <w:rFonts w:ascii="微软雅黑" w:hAnsi="微软雅黑" w:eastAsia="微软雅黑" w:cs="Arial"/>
        </w:rPr>
        <w:t>为遵守安全生产法令法规防止职业灾害，并保障</w:t>
      </w:r>
      <w:r>
        <w:rPr>
          <w:rFonts w:hint="eastAsia" w:ascii="微软雅黑" w:hAnsi="微软雅黑" w:eastAsia="微软雅黑" w:cs="Arial"/>
        </w:rPr>
        <w:t>乙方</w:t>
      </w:r>
      <w:r>
        <w:rPr>
          <w:rFonts w:ascii="微软雅黑" w:hAnsi="微软雅黑" w:eastAsia="微软雅黑" w:cs="Arial"/>
        </w:rPr>
        <w:t>人员和</w:t>
      </w:r>
      <w:r>
        <w:rPr>
          <w:rFonts w:hint="eastAsia" w:ascii="微软雅黑" w:hAnsi="微软雅黑" w:eastAsia="微软雅黑" w:cs="Arial"/>
        </w:rPr>
        <w:t>甲方</w:t>
      </w:r>
      <w:r>
        <w:rPr>
          <w:rFonts w:ascii="微软雅黑" w:hAnsi="微软雅黑" w:eastAsia="微软雅黑" w:cs="Arial"/>
        </w:rPr>
        <w:t>人员安全健康及维护设施安全，特定本</w:t>
      </w:r>
      <w:r>
        <w:rPr>
          <w:rFonts w:hint="eastAsia" w:ascii="微软雅黑" w:hAnsi="微软雅黑" w:eastAsia="微软雅黑" w:cs="Arial"/>
        </w:rPr>
        <w:t>安全环保</w:t>
      </w:r>
      <w:r>
        <w:rPr>
          <w:rFonts w:ascii="微软雅黑" w:hAnsi="微软雅黑" w:eastAsia="微软雅黑" w:cs="Arial"/>
        </w:rPr>
        <w:t>协议来确定</w:t>
      </w:r>
      <w:r>
        <w:rPr>
          <w:rFonts w:hint="eastAsia" w:ascii="微软雅黑" w:hAnsi="微软雅黑" w:eastAsia="微软雅黑" w:cs="Arial"/>
        </w:rPr>
        <w:t>乙方</w:t>
      </w:r>
      <w:r>
        <w:rPr>
          <w:rFonts w:ascii="微软雅黑" w:hAnsi="微软雅黑" w:eastAsia="微软雅黑" w:cs="Arial"/>
        </w:rPr>
        <w:t>有关安全卫生及环保事项责任</w:t>
      </w:r>
      <w:r>
        <w:rPr>
          <w:rFonts w:hint="eastAsia" w:ascii="微软雅黑" w:hAnsi="微软雅黑" w:eastAsia="微软雅黑" w:cs="Arial"/>
        </w:rPr>
        <w:t>及</w:t>
      </w:r>
      <w:r>
        <w:rPr>
          <w:rFonts w:ascii="微软雅黑" w:hAnsi="微软雅黑" w:eastAsia="微软雅黑" w:cs="Arial"/>
        </w:rPr>
        <w:t>义务。</w:t>
      </w:r>
    </w:p>
    <w:p>
      <w:pPr>
        <w:pStyle w:val="166"/>
        <w:spacing w:line="320" w:lineRule="exact"/>
        <w:ind w:left="-1" w:leftChars="-1" w:hanging="1"/>
        <w:rPr>
          <w:rFonts w:ascii="微软雅黑" w:hAnsi="微软雅黑" w:eastAsia="微软雅黑"/>
          <w:sz w:val="21"/>
        </w:rPr>
      </w:pPr>
      <w:r>
        <w:rPr>
          <w:rFonts w:ascii="微软雅黑" w:hAnsi="微软雅黑" w:eastAsia="微软雅黑"/>
          <w:sz w:val="21"/>
        </w:rPr>
        <w:t>范围</w:t>
      </w:r>
    </w:p>
    <w:p>
      <w:pPr>
        <w:spacing w:line="320" w:lineRule="exact"/>
        <w:ind w:left="-1" w:leftChars="-1" w:hanging="1"/>
        <w:rPr>
          <w:rFonts w:ascii="微软雅黑" w:hAnsi="微软雅黑" w:eastAsia="微软雅黑" w:cs="Arial"/>
        </w:rPr>
      </w:pPr>
      <w:r>
        <w:rPr>
          <w:rFonts w:hint="eastAsia" w:ascii="微软雅黑" w:hAnsi="微软雅黑" w:eastAsia="微软雅黑" w:cs="Arial"/>
        </w:rPr>
        <w:t>所有</w:t>
      </w:r>
      <w:r>
        <w:rPr>
          <w:rFonts w:ascii="微软雅黑" w:hAnsi="微软雅黑" w:eastAsia="微软雅黑" w:cs="Arial"/>
        </w:rPr>
        <w:t>外来厂商</w:t>
      </w:r>
      <w:r>
        <w:rPr>
          <w:rFonts w:hint="eastAsia" w:ascii="微软雅黑" w:hAnsi="微软雅黑" w:eastAsia="微软雅黑" w:cs="Arial"/>
        </w:rPr>
        <w:t>和</w:t>
      </w:r>
      <w:r>
        <w:rPr>
          <w:rFonts w:ascii="微软雅黑" w:hAnsi="微软雅黑" w:eastAsia="微软雅黑" w:cs="Arial"/>
        </w:rPr>
        <w:t>承包</w:t>
      </w:r>
      <w:r>
        <w:rPr>
          <w:rFonts w:hint="eastAsia" w:ascii="微软雅黑" w:hAnsi="微软雅黑" w:eastAsia="微软雅黑" w:cs="Arial"/>
        </w:rPr>
        <w:t>甲方</w:t>
      </w:r>
      <w:r>
        <w:rPr>
          <w:rFonts w:ascii="微软雅黑" w:hAnsi="微软雅黑" w:eastAsia="微软雅黑" w:cs="Arial"/>
        </w:rPr>
        <w:t>工程承包商或再承包商。</w:t>
      </w:r>
      <w:r>
        <w:rPr>
          <w:rFonts w:hint="eastAsia" w:ascii="微软雅黑" w:hAnsi="微软雅黑" w:eastAsia="微软雅黑" w:cs="Arial"/>
        </w:rPr>
        <w:t>包含</w:t>
      </w:r>
      <w:r>
        <w:rPr>
          <w:rFonts w:ascii="微软雅黑" w:hAnsi="微软雅黑" w:eastAsia="微软雅黑" w:cs="Arial"/>
        </w:rPr>
        <w:t>但不限于因销售设备而需进厂进行</w:t>
      </w:r>
      <w:r>
        <w:rPr>
          <w:rFonts w:ascii="微软雅黑" w:hAnsi="微软雅黑" w:eastAsia="微软雅黑"/>
        </w:rPr>
        <w:t>move-in</w:t>
      </w:r>
      <w:r>
        <w:rPr>
          <w:rFonts w:ascii="微软雅黑" w:hAnsi="微软雅黑" w:eastAsia="微软雅黑" w:cs="Arial"/>
        </w:rPr>
        <w:t>安装、调</w:t>
      </w:r>
      <w:r>
        <w:rPr>
          <w:rFonts w:hint="eastAsia" w:ascii="微软雅黑" w:hAnsi="微软雅黑" w:eastAsia="微软雅黑" w:cs="Arial"/>
        </w:rPr>
        <w:t>试</w:t>
      </w:r>
      <w:r>
        <w:rPr>
          <w:rFonts w:ascii="微软雅黑" w:hAnsi="微软雅黑" w:eastAsia="微软雅黑" w:cs="Arial"/>
        </w:rPr>
        <w:t>、维修、保养、配管、配电等工作</w:t>
      </w:r>
      <w:r>
        <w:rPr>
          <w:rFonts w:hint="eastAsia" w:ascii="微软雅黑" w:hAnsi="微软雅黑" w:eastAsia="微软雅黑" w:cs="Arial"/>
        </w:rPr>
        <w:t>的</w:t>
      </w:r>
      <w:r>
        <w:rPr>
          <w:rFonts w:ascii="微软雅黑" w:hAnsi="微软雅黑" w:eastAsia="微软雅黑" w:cs="Arial"/>
        </w:rPr>
        <w:t>设备供货商或代理商</w:t>
      </w:r>
      <w:r>
        <w:rPr>
          <w:rFonts w:hint="eastAsia" w:ascii="微软雅黑" w:hAnsi="微软雅黑" w:eastAsia="微软雅黑" w:cs="Arial"/>
        </w:rPr>
        <w:t>、</w:t>
      </w:r>
      <w:r>
        <w:rPr>
          <w:rFonts w:ascii="微软雅黑" w:hAnsi="微软雅黑" w:eastAsia="微软雅黑" w:cs="Arial"/>
        </w:rPr>
        <w:t>配套服务类餐饮服务商、清洁服务商、物流服务商、咨询服务商、安保服务商等，以及需进厂</w:t>
      </w:r>
      <w:r>
        <w:rPr>
          <w:rFonts w:hint="eastAsia" w:ascii="微软雅黑" w:hAnsi="微软雅黑" w:eastAsia="微软雅黑" w:cs="Arial"/>
        </w:rPr>
        <w:t>的</w:t>
      </w:r>
      <w:r>
        <w:rPr>
          <w:rFonts w:ascii="微软雅黑" w:hAnsi="微软雅黑" w:eastAsia="微软雅黑" w:cs="Arial"/>
        </w:rPr>
        <w:t>材料供货商或代理商。</w:t>
      </w:r>
    </w:p>
    <w:p>
      <w:pPr>
        <w:pStyle w:val="166"/>
        <w:spacing w:line="320" w:lineRule="exact"/>
        <w:ind w:left="-1" w:leftChars="-1" w:hanging="1"/>
        <w:rPr>
          <w:rFonts w:ascii="微软雅黑" w:hAnsi="微软雅黑" w:eastAsia="微软雅黑"/>
        </w:rPr>
      </w:pPr>
      <w:r>
        <w:rPr>
          <w:rFonts w:ascii="微软雅黑" w:hAnsi="微软雅黑" w:eastAsia="微软雅黑"/>
          <w:sz w:val="21"/>
        </w:rPr>
        <w:t>名词定义</w:t>
      </w:r>
      <w:r>
        <w:rPr>
          <w:rFonts w:ascii="微软雅黑" w:hAnsi="微软雅黑" w:eastAsia="微软雅黑"/>
        </w:rPr>
        <w:t xml:space="preserve"> </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施工作业</w:t>
      </w:r>
    </w:p>
    <w:p>
      <w:pPr>
        <w:pStyle w:val="163"/>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凡是在甲方范围内进行设备</w:t>
      </w:r>
      <w:r>
        <w:rPr>
          <w:rFonts w:ascii="微软雅黑" w:hAnsi="微软雅黑" w:eastAsia="微软雅黑"/>
          <w:color w:val="auto"/>
        </w:rPr>
        <w:t>安装、调</w:t>
      </w:r>
      <w:r>
        <w:rPr>
          <w:rFonts w:hint="eastAsia" w:ascii="微软雅黑" w:hAnsi="微软雅黑" w:eastAsia="微软雅黑"/>
          <w:color w:val="auto"/>
        </w:rPr>
        <w:t>试</w:t>
      </w:r>
      <w:r>
        <w:rPr>
          <w:rFonts w:ascii="微软雅黑" w:hAnsi="微软雅黑" w:eastAsia="微软雅黑"/>
          <w:color w:val="auto"/>
        </w:rPr>
        <w:t>、维修、保养、配管、配电</w:t>
      </w:r>
      <w:r>
        <w:rPr>
          <w:rFonts w:hint="eastAsia" w:ascii="微软雅黑" w:hAnsi="微软雅黑" w:eastAsia="微软雅黑"/>
          <w:color w:val="auto"/>
        </w:rPr>
        <w:t>，房屋新建、改建、扩建、维修、</w:t>
      </w:r>
    </w:p>
    <w:p>
      <w:pPr>
        <w:pStyle w:val="163"/>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食堂餐饮设备维修等作业均为施工作业。</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 xml:space="preserve"> 临时用电</w:t>
      </w:r>
    </w:p>
    <w:p>
      <w:pPr>
        <w:pStyle w:val="163"/>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凡是在甲方施工作业临时性用电均为临时用电，必须要向甲方电力部申请。</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 xml:space="preserve"> 重大安全隐患、严重违章</w:t>
      </w:r>
    </w:p>
    <w:p>
      <w:pPr>
        <w:pStyle w:val="163"/>
        <w:numPr>
          <w:ilvl w:val="0"/>
          <w:numId w:val="0"/>
        </w:numPr>
        <w:ind w:left="-2"/>
        <w:rPr>
          <w:rFonts w:ascii="微软雅黑" w:hAnsi="微软雅黑" w:eastAsia="微软雅黑"/>
          <w:color w:val="auto"/>
        </w:rPr>
      </w:pPr>
      <w:r>
        <w:rPr>
          <w:rFonts w:hint="eastAsia" w:ascii="微软雅黑" w:hAnsi="微软雅黑" w:eastAsia="微软雅黑"/>
          <w:color w:val="auto"/>
        </w:rPr>
        <w:t>凡是有可能涉及到作业人员生命、身体健康危害或伤害，可能造成财产或产品（成品）重大损失，</w:t>
      </w:r>
    </w:p>
    <w:p>
      <w:pPr>
        <w:pStyle w:val="163"/>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造成社会影响恶劣，人员严重违反国家或甲方安全、环保管理规定。</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违规排放三废及噪声</w:t>
      </w:r>
    </w:p>
    <w:p>
      <w:pPr>
        <w:pStyle w:val="163"/>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可能造成三废及噪声超标、偷排、雨污混排、泥水排放违排等污染环境的作业。</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化学品泄漏</w:t>
      </w:r>
    </w:p>
    <w:p>
      <w:pPr>
        <w:pStyle w:val="163"/>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可能导致有毒有害化学品厂内泄漏的作业。</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重大环保隐患</w:t>
      </w:r>
    </w:p>
    <w:p>
      <w:pPr>
        <w:pStyle w:val="163"/>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凡是可能导致厂区外部污染，违法污染物外排，而遭到投诉和处罚的作业。</w:t>
      </w:r>
    </w:p>
    <w:p>
      <w:pPr>
        <w:pStyle w:val="166"/>
        <w:spacing w:line="320" w:lineRule="exact"/>
        <w:ind w:left="-1" w:leftChars="-1" w:hanging="1"/>
        <w:rPr>
          <w:rFonts w:ascii="微软雅黑" w:hAnsi="微软雅黑" w:eastAsia="微软雅黑"/>
          <w:sz w:val="21"/>
        </w:rPr>
      </w:pPr>
      <w:r>
        <w:rPr>
          <w:rFonts w:ascii="微软雅黑" w:hAnsi="微软雅黑" w:eastAsia="微软雅黑"/>
          <w:sz w:val="21"/>
        </w:rPr>
        <w:t>权责</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甲方</w:t>
      </w:r>
      <w:r>
        <w:rPr>
          <w:rFonts w:ascii="微软雅黑" w:hAnsi="微软雅黑" w:eastAsia="微软雅黑"/>
          <w:color w:val="auto"/>
        </w:rPr>
        <w:t>的权利</w:t>
      </w:r>
      <w:r>
        <w:rPr>
          <w:rFonts w:hint="eastAsia" w:ascii="微软雅黑" w:hAnsi="微软雅黑" w:eastAsia="微软雅黑"/>
          <w:color w:val="auto"/>
        </w:rPr>
        <w:t>：</w:t>
      </w:r>
    </w:p>
    <w:p>
      <w:pPr>
        <w:pStyle w:val="164"/>
        <w:ind w:left="-1" w:leftChars="-1" w:hanging="1"/>
        <w:rPr>
          <w:rFonts w:ascii="微软雅黑" w:hAnsi="微软雅黑" w:eastAsia="微软雅黑"/>
          <w:color w:val="auto"/>
        </w:rPr>
      </w:pPr>
      <w:r>
        <w:rPr>
          <w:rFonts w:ascii="微软雅黑" w:hAnsi="微软雅黑" w:eastAsia="微软雅黑"/>
          <w:color w:val="auto"/>
        </w:rPr>
        <w:t>执行甲方安全管理程序的情况，并要求乙方接受甲方人员的管理，还有权检查乙方各项</w:t>
      </w:r>
    </w:p>
    <w:p>
      <w:pPr>
        <w:pStyle w:val="163"/>
        <w:numPr>
          <w:ilvl w:val="0"/>
          <w:numId w:val="0"/>
        </w:numPr>
        <w:ind w:left="-1" w:leftChars="-1" w:hanging="1"/>
        <w:rPr>
          <w:rFonts w:ascii="微软雅黑" w:hAnsi="微软雅黑" w:eastAsia="微软雅黑"/>
          <w:color w:val="auto"/>
        </w:rPr>
      </w:pPr>
      <w:r>
        <w:rPr>
          <w:rFonts w:ascii="微软雅黑" w:hAnsi="微软雅黑" w:eastAsia="微软雅黑"/>
          <w:color w:val="auto"/>
        </w:rPr>
        <w:t>安全管理工作，制止违章作业，遇有危险紧急情况可令其停止作业施工。</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在处置甲方业务相关废弃物时（从甲方建设运营过程产生），须遵守国家及地方相关环保法律法规要求，进行合规处置，并接受甲方人员的检查，甲方有权停止</w:t>
      </w:r>
      <w:r>
        <w:rPr>
          <w:rFonts w:hint="eastAsia" w:ascii="微软雅黑" w:hAnsi="微软雅黑" w:eastAsia="微软雅黑"/>
          <w:color w:val="auto"/>
        </w:rPr>
        <w:t>乙方</w:t>
      </w:r>
      <w:r>
        <w:rPr>
          <w:rFonts w:ascii="微软雅黑" w:hAnsi="微软雅黑" w:eastAsia="微软雅黑"/>
          <w:color w:val="auto"/>
        </w:rPr>
        <w:t>违规行为，如存违法乱纪行为，</w:t>
      </w:r>
      <w:r>
        <w:rPr>
          <w:rFonts w:hint="eastAsia" w:ascii="微软雅黑" w:hAnsi="微软雅黑" w:eastAsia="微软雅黑"/>
          <w:color w:val="auto"/>
        </w:rPr>
        <w:t>乙方</w:t>
      </w:r>
      <w:r>
        <w:rPr>
          <w:rFonts w:ascii="微软雅黑" w:hAnsi="微软雅黑" w:eastAsia="微软雅黑"/>
          <w:color w:val="auto"/>
        </w:rPr>
        <w:t>自行负责，同时甲方</w:t>
      </w:r>
      <w:r>
        <w:rPr>
          <w:rFonts w:hint="eastAsia" w:ascii="微软雅黑" w:hAnsi="微软雅黑" w:eastAsia="微软雅黑"/>
          <w:color w:val="auto"/>
        </w:rPr>
        <w:t>有权对</w:t>
      </w:r>
      <w:r>
        <w:rPr>
          <w:rFonts w:ascii="微软雅黑" w:hAnsi="微软雅黑" w:eastAsia="微软雅黑"/>
          <w:color w:val="auto"/>
        </w:rPr>
        <w:t>乙方</w:t>
      </w:r>
      <w:r>
        <w:rPr>
          <w:rFonts w:hint="eastAsia" w:ascii="微软雅黑" w:hAnsi="微软雅黑" w:eastAsia="微软雅黑"/>
          <w:color w:val="auto"/>
        </w:rPr>
        <w:t>进行</w:t>
      </w:r>
      <w:r>
        <w:rPr>
          <w:rFonts w:ascii="微软雅黑" w:hAnsi="微软雅黑" w:eastAsia="微软雅黑"/>
          <w:color w:val="auto"/>
        </w:rPr>
        <w:t>处罚。</w:t>
      </w:r>
    </w:p>
    <w:p>
      <w:pPr>
        <w:pStyle w:val="164"/>
        <w:ind w:left="-1" w:leftChars="-1" w:hanging="1"/>
        <w:rPr>
          <w:rFonts w:ascii="微软雅黑" w:hAnsi="微软雅黑" w:eastAsia="微软雅黑"/>
          <w:color w:val="auto"/>
        </w:rPr>
      </w:pPr>
      <w:r>
        <w:rPr>
          <w:rFonts w:ascii="微软雅黑" w:hAnsi="微软雅黑" w:eastAsia="微软雅黑"/>
          <w:color w:val="auto"/>
        </w:rPr>
        <w:t>检查乙方作业人员持证情况，</w:t>
      </w:r>
      <w:r>
        <w:rPr>
          <w:rFonts w:hint="eastAsia" w:ascii="微软雅黑" w:hAnsi="微软雅黑" w:eastAsia="微软雅黑"/>
          <w:color w:val="auto"/>
        </w:rPr>
        <w:t>有</w:t>
      </w:r>
      <w:r>
        <w:rPr>
          <w:rFonts w:ascii="微软雅黑" w:hAnsi="微软雅黑" w:eastAsia="微软雅黑"/>
          <w:color w:val="auto"/>
        </w:rPr>
        <w:t>权制止无证操作、违章操作。</w:t>
      </w:r>
    </w:p>
    <w:p>
      <w:pPr>
        <w:pStyle w:val="164"/>
        <w:ind w:left="-1" w:leftChars="-1" w:hanging="1"/>
        <w:rPr>
          <w:rFonts w:ascii="微软雅黑" w:hAnsi="微软雅黑" w:eastAsia="微软雅黑"/>
          <w:color w:val="auto"/>
        </w:rPr>
      </w:pPr>
      <w:r>
        <w:rPr>
          <w:rFonts w:hint="eastAsia" w:ascii="微软雅黑" w:hAnsi="微软雅黑" w:eastAsia="微软雅黑"/>
          <w:color w:val="auto"/>
        </w:rPr>
        <w:t>定期对乙方的作业状况进行检查，并向乙方书面通报甲方对其安全检查的情况，督促乙方及时做好隐患整改工作；对隐患整改工作拖诿的乙方应开具书面整改通知书或停工</w:t>
      </w:r>
      <w:r>
        <w:rPr>
          <w:rFonts w:ascii="微软雅黑" w:hAnsi="微软雅黑" w:eastAsia="微软雅黑"/>
          <w:color w:val="auto"/>
        </w:rPr>
        <w:t>通知书</w:t>
      </w:r>
      <w:r>
        <w:rPr>
          <w:rFonts w:hint="eastAsia" w:ascii="微软雅黑" w:hAnsi="微软雅黑" w:eastAsia="微软雅黑"/>
          <w:color w:val="auto"/>
        </w:rPr>
        <w:t>，责令并限期乙方立即整改；发现乙方有安全生产违法行为的，甲方应当及时劝阻并向所在地区的安全生产监管部门和专项监管部门报告。</w:t>
      </w:r>
    </w:p>
    <w:p>
      <w:pPr>
        <w:pStyle w:val="164"/>
        <w:ind w:left="-1" w:leftChars="-1" w:hanging="1"/>
        <w:rPr>
          <w:rFonts w:ascii="微软雅黑" w:hAnsi="微软雅黑" w:eastAsia="微软雅黑"/>
          <w:color w:val="auto"/>
        </w:rPr>
      </w:pPr>
      <w:r>
        <w:rPr>
          <w:rFonts w:ascii="微软雅黑" w:hAnsi="微软雅黑" w:eastAsia="微软雅黑"/>
          <w:color w:val="auto"/>
        </w:rPr>
        <w:t>甲方根据有关规定，对违章违纪人员进行经济处罚。甲方有权审查乙方的施工组织设计或施工方案中的安全环保技术措施和安全专项方案，并督促乙方落实</w:t>
      </w:r>
    </w:p>
    <w:p>
      <w:pPr>
        <w:pStyle w:val="164"/>
        <w:ind w:left="-1" w:leftChars="-1" w:hanging="1"/>
        <w:rPr>
          <w:rFonts w:ascii="微软雅黑" w:hAnsi="微软雅黑" w:eastAsia="微软雅黑"/>
          <w:color w:val="auto"/>
        </w:rPr>
      </w:pPr>
      <w:r>
        <w:rPr>
          <w:rFonts w:ascii="微软雅黑" w:hAnsi="微软雅黑" w:eastAsia="微软雅黑"/>
          <w:color w:val="auto"/>
        </w:rPr>
        <w:t>甲方有权要求乙方告知其作业过程中存在的各类风险，以及针对风险制定的防范与保证措施。</w:t>
      </w:r>
    </w:p>
    <w:p>
      <w:pPr>
        <w:pStyle w:val="164"/>
        <w:ind w:left="-1" w:leftChars="-1" w:hanging="1"/>
        <w:rPr>
          <w:rFonts w:ascii="微软雅黑" w:hAnsi="微软雅黑" w:eastAsia="微软雅黑"/>
          <w:color w:val="auto"/>
        </w:rPr>
      </w:pPr>
      <w:r>
        <w:rPr>
          <w:rFonts w:ascii="微软雅黑" w:hAnsi="微软雅黑" w:eastAsia="微软雅黑"/>
          <w:color w:val="auto"/>
        </w:rPr>
        <w:t>甲方有权将乙方重大安全隐患责任人及严重违章人员清退出厂</w:t>
      </w:r>
      <w:r>
        <w:rPr>
          <w:rFonts w:hint="eastAsia" w:ascii="微软雅黑" w:hAnsi="微软雅黑" w:eastAsia="微软雅黑"/>
          <w:color w:val="auto"/>
        </w:rPr>
        <w:t>，</w:t>
      </w:r>
      <w:r>
        <w:rPr>
          <w:rFonts w:hint="eastAsia" w:ascii="微软雅黑" w:hAnsi="微软雅黑" w:eastAsia="微软雅黑"/>
          <w:color w:val="auto"/>
          <w:szCs w:val="20"/>
        </w:rPr>
        <w:t>有权将乙方重大环保隐患责任人</w:t>
      </w:r>
      <w:r>
        <w:rPr>
          <w:rFonts w:hint="eastAsia" w:ascii="微软雅黑" w:hAnsi="微软雅黑" w:eastAsia="微软雅黑"/>
          <w:color w:val="auto"/>
        </w:rPr>
        <w:t>清退</w:t>
      </w:r>
      <w:r>
        <w:rPr>
          <w:rFonts w:hint="eastAsia" w:ascii="微软雅黑" w:hAnsi="微软雅黑" w:eastAsia="微软雅黑"/>
          <w:color w:val="auto"/>
          <w:szCs w:val="20"/>
        </w:rPr>
        <w:t>出厂</w:t>
      </w:r>
      <w:r>
        <w:rPr>
          <w:rFonts w:ascii="微软雅黑" w:hAnsi="微软雅黑" w:eastAsia="微软雅黑"/>
          <w:color w:val="auto"/>
        </w:rPr>
        <w:t>。</w:t>
      </w:r>
    </w:p>
    <w:p>
      <w:pPr>
        <w:pStyle w:val="164"/>
        <w:ind w:left="-1" w:leftChars="-1" w:hanging="1"/>
        <w:rPr>
          <w:rFonts w:ascii="微软雅黑" w:hAnsi="微软雅黑" w:eastAsia="微软雅黑"/>
          <w:color w:val="auto"/>
        </w:rPr>
      </w:pPr>
      <w:r>
        <w:rPr>
          <w:rFonts w:ascii="微软雅黑" w:hAnsi="微软雅黑" w:eastAsia="微软雅黑"/>
          <w:color w:val="auto"/>
        </w:rPr>
        <w:t>工程结算前如甲乙双方存在劳动安全纠纷，乙方重大安全隐患未整改，以往罚款未交，甲方有权不进行结算。</w:t>
      </w:r>
    </w:p>
    <w:p>
      <w:pPr>
        <w:pStyle w:val="164"/>
        <w:ind w:left="-1" w:leftChars="-1" w:hanging="1"/>
        <w:rPr>
          <w:rFonts w:ascii="微软雅黑" w:hAnsi="微软雅黑" w:eastAsia="微软雅黑"/>
          <w:color w:val="auto"/>
        </w:rPr>
      </w:pPr>
      <w:r>
        <w:rPr>
          <w:rFonts w:ascii="微软雅黑" w:hAnsi="微软雅黑" w:eastAsia="微软雅黑"/>
          <w:color w:val="auto"/>
        </w:rPr>
        <w:t>乙方管理人员拒不配合甲方组织会议、巡查等安全管理工作或乙方工人现场作业违反十大保命条例存在重大隐患，甲方有权将人员列入黑名单清理出场，要求乙方更换安全总监/经理等项目管理人员。</w:t>
      </w:r>
    </w:p>
    <w:p>
      <w:pPr>
        <w:pStyle w:val="164"/>
        <w:ind w:left="-1" w:leftChars="-1" w:hanging="1"/>
        <w:rPr>
          <w:rFonts w:ascii="微软雅黑" w:hAnsi="微软雅黑" w:eastAsia="微软雅黑"/>
          <w:color w:val="auto"/>
        </w:rPr>
      </w:pPr>
      <w:r>
        <w:rPr>
          <w:rFonts w:ascii="微软雅黑" w:hAnsi="微软雅黑" w:eastAsia="微软雅黑"/>
          <w:color w:val="auto"/>
        </w:rPr>
        <w:t>工程结算前应确认双方无遗留劳动安全纠纷，方可进行财务结算。</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甲方</w:t>
      </w:r>
      <w:r>
        <w:rPr>
          <w:rFonts w:ascii="微软雅黑" w:hAnsi="微软雅黑" w:eastAsia="微软雅黑"/>
          <w:color w:val="auto"/>
        </w:rPr>
        <w:t>的</w:t>
      </w:r>
      <w:r>
        <w:rPr>
          <w:rFonts w:hint="eastAsia" w:ascii="微软雅黑" w:hAnsi="微软雅黑" w:eastAsia="微软雅黑"/>
          <w:color w:val="auto"/>
        </w:rPr>
        <w:t>义务</w:t>
      </w:r>
    </w:p>
    <w:p>
      <w:pPr>
        <w:pStyle w:val="164"/>
        <w:ind w:left="-1" w:leftChars="-1" w:hanging="1"/>
        <w:rPr>
          <w:rFonts w:ascii="微软雅黑" w:hAnsi="微软雅黑" w:eastAsia="微软雅黑"/>
          <w:color w:val="auto"/>
        </w:rPr>
      </w:pPr>
      <w:r>
        <w:rPr>
          <w:rFonts w:ascii="微软雅黑" w:hAnsi="微软雅黑" w:eastAsia="微软雅黑"/>
          <w:color w:val="auto"/>
        </w:rPr>
        <w:t>贯彻国家安全生产政策、方针、法规，建立安全管理组织，配备安全管理人员，不定期对施工区域进行巡检，监督乙方作业和施工现场安全技术措施的落实</w:t>
      </w:r>
      <w:r>
        <w:rPr>
          <w:rFonts w:hint="eastAsia" w:ascii="微软雅黑" w:hAnsi="微软雅黑" w:eastAsia="微软雅黑"/>
          <w:color w:val="auto"/>
        </w:rPr>
        <w:t>，督促乙方依法从事生产经营活动，督导</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乙方</w:t>
      </w:r>
      <w:r>
        <w:rPr>
          <w:rFonts w:hint="eastAsia" w:ascii="微软雅黑" w:hAnsi="微软雅黑" w:eastAsia="微软雅黑"/>
          <w:color w:val="auto"/>
        </w:rPr>
        <w:t>服从甲方对其安全生产的统一协调、监督管理。</w:t>
      </w:r>
    </w:p>
    <w:p>
      <w:pPr>
        <w:pStyle w:val="164"/>
        <w:ind w:left="-1" w:leftChars="-1" w:hanging="1"/>
        <w:rPr>
          <w:rFonts w:ascii="微软雅黑" w:hAnsi="微软雅黑" w:eastAsia="微软雅黑"/>
          <w:color w:val="auto"/>
        </w:rPr>
      </w:pPr>
      <w:r>
        <w:rPr>
          <w:rFonts w:ascii="微软雅黑" w:hAnsi="微软雅黑" w:eastAsia="微软雅黑"/>
          <w:color w:val="auto"/>
        </w:rPr>
        <w:t>制定相关安全管理制度，并要求乙方落实。</w:t>
      </w:r>
    </w:p>
    <w:p>
      <w:pPr>
        <w:pStyle w:val="164"/>
        <w:ind w:left="-1" w:leftChars="-1" w:hanging="1"/>
        <w:rPr>
          <w:rFonts w:ascii="微软雅黑" w:hAnsi="微软雅黑" w:eastAsia="微软雅黑"/>
          <w:color w:val="auto"/>
        </w:rPr>
      </w:pPr>
      <w:r>
        <w:rPr>
          <w:rFonts w:ascii="微软雅黑" w:hAnsi="微软雅黑" w:eastAsia="微软雅黑"/>
          <w:color w:val="auto"/>
        </w:rPr>
        <w:t>厂区相关危险因素告知乙方知悉。场地规划及相应布线要在乙方入厂前进行交底。</w:t>
      </w:r>
    </w:p>
    <w:p>
      <w:pPr>
        <w:pStyle w:val="164"/>
        <w:ind w:left="-1" w:leftChars="-1" w:hanging="1"/>
        <w:rPr>
          <w:rFonts w:ascii="微软雅黑" w:hAnsi="微软雅黑" w:eastAsia="微软雅黑"/>
          <w:color w:val="auto"/>
        </w:rPr>
      </w:pPr>
      <w:r>
        <w:rPr>
          <w:rFonts w:ascii="微软雅黑" w:hAnsi="微软雅黑" w:eastAsia="微软雅黑"/>
          <w:color w:val="auto"/>
        </w:rPr>
        <w:t>配备安全巡检人员，协助乙方监督检查作业和施工现场安全技术措施的落实。</w:t>
      </w:r>
    </w:p>
    <w:p>
      <w:pPr>
        <w:pStyle w:val="164"/>
        <w:ind w:left="-1" w:leftChars="-1" w:hanging="1"/>
        <w:rPr>
          <w:rFonts w:ascii="微软雅黑" w:hAnsi="微软雅黑" w:eastAsia="微软雅黑"/>
          <w:color w:val="auto"/>
        </w:rPr>
      </w:pPr>
      <w:r>
        <w:rPr>
          <w:rFonts w:ascii="微软雅黑" w:hAnsi="微软雅黑" w:eastAsia="微软雅黑"/>
          <w:color w:val="auto"/>
        </w:rPr>
        <w:t>介绍施工作业环境，提供必要的安全作业条件，按照规定的程序及时办理施工有关安全手续。</w:t>
      </w:r>
    </w:p>
    <w:p>
      <w:pPr>
        <w:pStyle w:val="164"/>
        <w:ind w:left="-1" w:leftChars="-1" w:hanging="1"/>
        <w:rPr>
          <w:rFonts w:ascii="微软雅黑" w:hAnsi="微软雅黑" w:eastAsia="微软雅黑"/>
          <w:color w:val="auto"/>
        </w:rPr>
      </w:pPr>
      <w:r>
        <w:rPr>
          <w:rFonts w:ascii="微软雅黑" w:hAnsi="微软雅黑" w:eastAsia="微软雅黑"/>
          <w:color w:val="auto"/>
        </w:rPr>
        <w:t>定期召开安全工作会议。协调各方安全事项。</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乙方因正常的作业需要，向甲方提出安全生产、环保、消防等方面的业务咨询和其他需求时，甲方有义务在符合国家有关法律法规的前提下，给予乙方提供便利和业务咨询或指导，积极协助解决。</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的权利</w:t>
      </w:r>
      <w:r>
        <w:rPr>
          <w:rFonts w:hint="eastAsia" w:ascii="微软雅黑" w:hAnsi="微软雅黑" w:eastAsia="微软雅黑"/>
          <w:color w:val="auto"/>
        </w:rPr>
        <w:t>：</w:t>
      </w:r>
    </w:p>
    <w:p>
      <w:pPr>
        <w:pStyle w:val="164"/>
        <w:ind w:left="-1" w:leftChars="-1" w:hanging="1"/>
        <w:rPr>
          <w:rFonts w:ascii="微软雅黑" w:hAnsi="微软雅黑" w:eastAsia="微软雅黑"/>
          <w:color w:val="auto"/>
        </w:rPr>
      </w:pPr>
      <w:r>
        <w:rPr>
          <w:rFonts w:ascii="微软雅黑" w:hAnsi="微软雅黑" w:eastAsia="微软雅黑"/>
          <w:color w:val="auto"/>
        </w:rPr>
        <w:t>乙方有权要求甲方提供与施工作业有关的安全环保、技术资料与信息。</w:t>
      </w:r>
    </w:p>
    <w:p>
      <w:pPr>
        <w:pStyle w:val="164"/>
        <w:ind w:left="-1" w:leftChars="-1" w:hanging="1"/>
        <w:rPr>
          <w:rFonts w:ascii="微软雅黑" w:hAnsi="微软雅黑" w:eastAsia="微软雅黑"/>
          <w:color w:val="auto"/>
        </w:rPr>
      </w:pPr>
      <w:r>
        <w:rPr>
          <w:rFonts w:ascii="微软雅黑" w:hAnsi="微软雅黑" w:eastAsia="微软雅黑"/>
          <w:color w:val="auto"/>
        </w:rPr>
        <w:t>乙方有权要求甲方告知施工现场存在的危险源及其风险消减控制措施与应急措施、警示标识及相关规定等内容。</w:t>
      </w:r>
    </w:p>
    <w:p>
      <w:pPr>
        <w:pStyle w:val="164"/>
        <w:ind w:left="-1" w:leftChars="-1" w:hanging="1"/>
        <w:rPr>
          <w:rFonts w:ascii="微软雅黑" w:hAnsi="微软雅黑" w:eastAsia="微软雅黑"/>
          <w:color w:val="auto"/>
        </w:rPr>
      </w:pPr>
      <w:r>
        <w:rPr>
          <w:rFonts w:ascii="微软雅黑" w:hAnsi="微软雅黑" w:eastAsia="微软雅黑"/>
          <w:color w:val="auto"/>
        </w:rPr>
        <w:t>乙方有权要求甲方遵守其现场的安全环保管理规定。</w:t>
      </w:r>
    </w:p>
    <w:p>
      <w:pPr>
        <w:pStyle w:val="164"/>
        <w:ind w:left="-1" w:leftChars="-1" w:hanging="1"/>
        <w:rPr>
          <w:rFonts w:ascii="微软雅黑" w:hAnsi="微软雅黑" w:eastAsia="微软雅黑"/>
          <w:color w:val="auto"/>
        </w:rPr>
      </w:pPr>
      <w:r>
        <w:rPr>
          <w:rFonts w:ascii="微软雅黑" w:hAnsi="微软雅黑" w:eastAsia="微软雅黑"/>
          <w:color w:val="auto"/>
        </w:rPr>
        <w:t>乙方有权拒绝甲方的违章指挥和强令冒险作业。</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的</w:t>
      </w:r>
      <w:r>
        <w:rPr>
          <w:rFonts w:hint="eastAsia" w:ascii="微软雅黑" w:hAnsi="微软雅黑" w:eastAsia="微软雅黑"/>
          <w:color w:val="auto"/>
        </w:rPr>
        <w:t>义务：</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应认真执行《中华人民共和国安全生产法》、《中华人民共和国消防法》、《中华人民共和国环境保护法》及其他政府部门的有关规定，依法从事生产经营活动。具备相应作业安全资质和条件，并遵守甲方公司的各项规定及信息管理规定。</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乙方在我司设立负责工作所需的项目人员，进行组织人员任命，明确项目负责人、安全管理人员等人员职责，承接甲方安全管理分解目标，建立安全管理组织、制度、体系，开展自主安全管理。</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乙方入厂</w:t>
      </w:r>
      <w:r>
        <w:rPr>
          <w:rFonts w:ascii="微软雅黑" w:hAnsi="微软雅黑" w:eastAsia="微软雅黑"/>
          <w:color w:val="auto"/>
        </w:rPr>
        <w:t>作业</w:t>
      </w:r>
      <w:r>
        <w:rPr>
          <w:rFonts w:hint="eastAsia" w:ascii="微软雅黑" w:hAnsi="微软雅黑" w:eastAsia="微软雅黑"/>
          <w:color w:val="auto"/>
        </w:rPr>
        <w:t>前要对工作环境及相关设施进行检查和确定，如有问题及时与甲方联系。乙方在项目作业</w:t>
      </w:r>
      <w:r>
        <w:rPr>
          <w:rFonts w:ascii="微软雅黑" w:hAnsi="微软雅黑" w:eastAsia="微软雅黑"/>
          <w:color w:val="auto"/>
        </w:rPr>
        <w:t>期间</w:t>
      </w:r>
      <w:r>
        <w:rPr>
          <w:rFonts w:hint="eastAsia" w:ascii="微软雅黑" w:hAnsi="微软雅黑" w:eastAsia="微软雅黑"/>
          <w:color w:val="auto"/>
        </w:rPr>
        <w:t>需遵守</w:t>
      </w:r>
      <w:r>
        <w:rPr>
          <w:rFonts w:ascii="微软雅黑" w:hAnsi="微软雅黑" w:eastAsia="微软雅黑"/>
          <w:color w:val="auto"/>
        </w:rPr>
        <w:t>国家</w:t>
      </w:r>
      <w:r>
        <w:rPr>
          <w:rFonts w:hint="eastAsia" w:ascii="微软雅黑" w:hAnsi="微软雅黑" w:eastAsia="微软雅黑"/>
          <w:color w:val="auto"/>
        </w:rPr>
        <w:t>安全、环保、消防管理的有关要求，在作业</w:t>
      </w:r>
      <w:r>
        <w:rPr>
          <w:rFonts w:ascii="微软雅黑" w:hAnsi="微软雅黑" w:eastAsia="微软雅黑"/>
          <w:color w:val="auto"/>
        </w:rPr>
        <w:t>过程中</w:t>
      </w:r>
      <w:r>
        <w:rPr>
          <w:rFonts w:hint="eastAsia" w:ascii="微软雅黑" w:hAnsi="微软雅黑" w:eastAsia="微软雅黑"/>
          <w:color w:val="auto"/>
        </w:rPr>
        <w:t>发生的</w:t>
      </w:r>
      <w:r>
        <w:rPr>
          <w:rFonts w:ascii="微软雅黑" w:hAnsi="微软雅黑" w:eastAsia="微软雅黑"/>
          <w:color w:val="auto"/>
        </w:rPr>
        <w:t>人员和财产等</w:t>
      </w:r>
      <w:r>
        <w:rPr>
          <w:rFonts w:hint="eastAsia" w:ascii="微软雅黑" w:hAnsi="微软雅黑" w:eastAsia="微软雅黑"/>
          <w:color w:val="auto"/>
        </w:rPr>
        <w:t>事故事件，应</w:t>
      </w:r>
      <w:r>
        <w:rPr>
          <w:rFonts w:ascii="微软雅黑" w:hAnsi="微软雅黑" w:eastAsia="微软雅黑"/>
          <w:color w:val="auto"/>
        </w:rPr>
        <w:t>立即通知甲方相关人员，</w:t>
      </w:r>
      <w:r>
        <w:rPr>
          <w:rFonts w:hint="eastAsia" w:ascii="微软雅黑" w:hAnsi="微软雅黑" w:eastAsia="微软雅黑"/>
          <w:color w:val="auto"/>
        </w:rPr>
        <w:t>乙方须</w:t>
      </w:r>
      <w:r>
        <w:rPr>
          <w:rFonts w:ascii="微软雅黑" w:hAnsi="微软雅黑" w:eastAsia="微软雅黑"/>
          <w:color w:val="auto"/>
        </w:rPr>
        <w:t>承担</w:t>
      </w:r>
      <w:r>
        <w:rPr>
          <w:rFonts w:hint="eastAsia" w:ascii="微软雅黑" w:hAnsi="微软雅黑" w:eastAsia="微软雅黑"/>
          <w:color w:val="auto"/>
        </w:rPr>
        <w:t>相关</w:t>
      </w:r>
      <w:r>
        <w:rPr>
          <w:rFonts w:ascii="微软雅黑" w:hAnsi="微软雅黑" w:eastAsia="微软雅黑"/>
          <w:color w:val="auto"/>
        </w:rPr>
        <w:t>责任</w:t>
      </w:r>
      <w:r>
        <w:rPr>
          <w:rFonts w:hint="eastAsia" w:ascii="微软雅黑" w:hAnsi="微软雅黑" w:eastAsia="微软雅黑"/>
          <w:color w:val="auto"/>
        </w:rPr>
        <w:t>。</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乙方人员不准私自动用、拆卸甲方的设施，由于未执行此项规定，造成乙方人员或甲方人员伤害， 一切后果和经济损失由乙方负责。乙方若</w:t>
      </w:r>
      <w:r>
        <w:rPr>
          <w:rFonts w:ascii="微软雅黑" w:hAnsi="微软雅黑" w:eastAsia="微软雅黑"/>
          <w:color w:val="auto"/>
        </w:rPr>
        <w:t>发生意外事故对甲方造成损失及影响</w:t>
      </w:r>
      <w:r>
        <w:rPr>
          <w:rFonts w:hint="eastAsia" w:ascii="微软雅黑" w:hAnsi="微软雅黑" w:eastAsia="微软雅黑"/>
          <w:color w:val="auto"/>
        </w:rPr>
        <w:t>的，相应后果和经济损失由乙方负责</w:t>
      </w:r>
      <w:r>
        <w:rPr>
          <w:rFonts w:ascii="微软雅黑" w:hAnsi="微软雅黑" w:eastAsia="微软雅黑"/>
          <w:color w:val="auto"/>
        </w:rPr>
        <w:t>。</w:t>
      </w:r>
    </w:p>
    <w:p>
      <w:pPr>
        <w:pStyle w:val="164"/>
        <w:ind w:left="-1" w:leftChars="-1" w:hanging="1"/>
        <w:rPr>
          <w:rFonts w:ascii="微软雅黑" w:hAnsi="微软雅黑" w:eastAsia="微软雅黑"/>
          <w:color w:val="auto"/>
        </w:rPr>
      </w:pPr>
      <w:r>
        <w:rPr>
          <w:rFonts w:ascii="微软雅黑" w:hAnsi="微软雅黑" w:eastAsia="微软雅黑"/>
          <w:color w:val="auto"/>
        </w:rPr>
        <w:t>根据工程项目制定安全施工方案，并征得甲方安全管理部门同意。同时对进入施工现场的所有乙方工作人员要做好安全教育，安全技术交底，同时填写书面记录；特殊作业人员必须持证上岗。</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乙方在甲方所有从业人员必须</w:t>
      </w:r>
      <w:r>
        <w:rPr>
          <w:rFonts w:ascii="微软雅黑" w:hAnsi="微软雅黑" w:eastAsia="微软雅黑"/>
          <w:color w:val="auto"/>
        </w:rPr>
        <w:t>接受</w:t>
      </w:r>
      <w:r>
        <w:rPr>
          <w:rFonts w:hint="eastAsia" w:ascii="微软雅黑" w:hAnsi="微软雅黑" w:eastAsia="微软雅黑"/>
          <w:color w:val="auto"/>
        </w:rPr>
        <w:t>安全教育和培训，培训</w:t>
      </w:r>
      <w:r>
        <w:rPr>
          <w:rFonts w:ascii="微软雅黑" w:hAnsi="微软雅黑" w:eastAsia="微软雅黑"/>
          <w:color w:val="auto"/>
        </w:rPr>
        <w:t>合格后</w:t>
      </w:r>
      <w:r>
        <w:rPr>
          <w:rFonts w:hint="eastAsia" w:ascii="微软雅黑" w:hAnsi="微软雅黑" w:eastAsia="微软雅黑"/>
          <w:color w:val="auto"/>
        </w:rPr>
        <w:t>方可</w:t>
      </w:r>
      <w:r>
        <w:rPr>
          <w:rFonts w:ascii="微软雅黑" w:hAnsi="微软雅黑" w:eastAsia="微软雅黑"/>
          <w:color w:val="auto"/>
        </w:rPr>
        <w:t>上岗作业。</w:t>
      </w:r>
      <w:r>
        <w:rPr>
          <w:rFonts w:hint="eastAsia" w:ascii="微软雅黑" w:hAnsi="微软雅黑" w:eastAsia="微软雅黑"/>
          <w:color w:val="auto"/>
        </w:rPr>
        <w:t>主要负责人和安全管理人员，须具备与所从事的生产经营活动相适应的安全生产知识和管理能力，接受法定培训，并依法自行管理与检查。</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乙方配备安全管理人员，建立健全安全生产管理规章制度和操作规程，落实安全生产责任，加强对从业人员的安全生产培训、教育，制订事故应急救援预案。</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乙方在甲方区域内进行物料运输、装卸车辆，遵守甲方的有关安全规定。乙方</w:t>
      </w:r>
      <w:r>
        <w:rPr>
          <w:rFonts w:ascii="微软雅黑" w:hAnsi="微软雅黑" w:eastAsia="微软雅黑"/>
          <w:color w:val="auto"/>
        </w:rPr>
        <w:t>人员</w:t>
      </w:r>
      <w:r>
        <w:rPr>
          <w:rFonts w:hint="eastAsia" w:ascii="微软雅黑" w:hAnsi="微软雅黑" w:eastAsia="微软雅黑"/>
          <w:color w:val="auto"/>
        </w:rPr>
        <w:t>进入甲方</w:t>
      </w:r>
      <w:r>
        <w:rPr>
          <w:rFonts w:ascii="微软雅黑" w:hAnsi="微软雅黑" w:eastAsia="微软雅黑"/>
          <w:color w:val="auto"/>
        </w:rPr>
        <w:t>区域</w:t>
      </w:r>
      <w:r>
        <w:rPr>
          <w:rFonts w:hint="eastAsia" w:ascii="微软雅黑" w:hAnsi="微软雅黑" w:eastAsia="微软雅黑"/>
          <w:color w:val="auto"/>
        </w:rPr>
        <w:t>，</w:t>
      </w:r>
      <w:r>
        <w:rPr>
          <w:rFonts w:ascii="微软雅黑" w:hAnsi="微软雅黑" w:eastAsia="微软雅黑"/>
          <w:color w:val="auto"/>
        </w:rPr>
        <w:t>需严格执行甲方的</w:t>
      </w:r>
      <w:r>
        <w:rPr>
          <w:rFonts w:hint="eastAsia" w:ascii="微软雅黑" w:hAnsi="微软雅黑" w:eastAsia="微软雅黑"/>
          <w:color w:val="auto"/>
        </w:rPr>
        <w:t>相关</w:t>
      </w:r>
      <w:r>
        <w:rPr>
          <w:rFonts w:ascii="微软雅黑" w:hAnsi="微软雅黑" w:eastAsia="微软雅黑"/>
          <w:color w:val="auto"/>
        </w:rPr>
        <w:t>管理</w:t>
      </w:r>
      <w:r>
        <w:rPr>
          <w:rFonts w:hint="eastAsia" w:ascii="微软雅黑" w:hAnsi="微软雅黑" w:eastAsia="微软雅黑"/>
          <w:color w:val="auto"/>
        </w:rPr>
        <w:t>制度</w:t>
      </w:r>
      <w:r>
        <w:rPr>
          <w:rFonts w:ascii="微软雅黑" w:hAnsi="微软雅黑" w:eastAsia="微软雅黑"/>
          <w:color w:val="auto"/>
        </w:rPr>
        <w:t>；</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的</w:t>
      </w:r>
      <w:r>
        <w:rPr>
          <w:rFonts w:hint="eastAsia" w:ascii="微软雅黑" w:hAnsi="微软雅黑" w:eastAsia="微软雅黑"/>
          <w:color w:val="auto"/>
        </w:rPr>
        <w:t>易燃易爆化学物品入厂</w:t>
      </w:r>
      <w:r>
        <w:rPr>
          <w:rFonts w:ascii="微软雅黑" w:hAnsi="微软雅黑" w:eastAsia="微软雅黑"/>
          <w:color w:val="auto"/>
        </w:rPr>
        <w:t>使用</w:t>
      </w:r>
      <w:r>
        <w:rPr>
          <w:rFonts w:hint="eastAsia" w:ascii="微软雅黑" w:hAnsi="微软雅黑" w:eastAsia="微软雅黑"/>
          <w:color w:val="auto"/>
        </w:rPr>
        <w:t>必</w:t>
      </w:r>
      <w:r>
        <w:rPr>
          <w:rFonts w:ascii="微软雅黑" w:hAnsi="微软雅黑" w:eastAsia="微软雅黑"/>
          <w:color w:val="auto"/>
        </w:rPr>
        <w:t>须</w:t>
      </w:r>
      <w:r>
        <w:rPr>
          <w:rFonts w:hint="eastAsia" w:ascii="微软雅黑" w:hAnsi="微软雅黑" w:eastAsia="微软雅黑"/>
          <w:color w:val="auto"/>
        </w:rPr>
        <w:t>向</w:t>
      </w:r>
      <w:r>
        <w:rPr>
          <w:rFonts w:ascii="微软雅黑" w:hAnsi="微软雅黑" w:eastAsia="微软雅黑"/>
          <w:color w:val="auto"/>
        </w:rPr>
        <w:t>甲方申请，并严</w:t>
      </w:r>
      <w:r>
        <w:rPr>
          <w:rFonts w:hint="eastAsia" w:ascii="微软雅黑" w:hAnsi="微软雅黑" w:eastAsia="微软雅黑"/>
          <w:color w:val="auto"/>
        </w:rPr>
        <w:t>格按照</w:t>
      </w:r>
      <w:r>
        <w:rPr>
          <w:rFonts w:ascii="微软雅黑" w:hAnsi="微软雅黑" w:eastAsia="微软雅黑"/>
          <w:color w:val="auto"/>
        </w:rPr>
        <w:t>规划使用及储存，严禁</w:t>
      </w:r>
      <w:r>
        <w:rPr>
          <w:rFonts w:hint="eastAsia" w:ascii="微软雅黑" w:hAnsi="微软雅黑" w:eastAsia="微软雅黑"/>
          <w:color w:val="auto"/>
        </w:rPr>
        <w:t>改</w:t>
      </w:r>
      <w:r>
        <w:rPr>
          <w:rFonts w:ascii="微软雅黑" w:hAnsi="微软雅黑" w:eastAsia="微软雅黑"/>
          <w:color w:val="auto"/>
        </w:rPr>
        <w:t>变化学物品使用和储存区域</w:t>
      </w:r>
      <w:r>
        <w:rPr>
          <w:rFonts w:hint="eastAsia" w:ascii="微软雅黑" w:hAnsi="微软雅黑" w:eastAsia="微软雅黑"/>
          <w:color w:val="auto"/>
        </w:rPr>
        <w:t>。</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乙方作业场所和消防通道必须保持畅通，不得堵塞、封闭、占用疏散通道和安全出口。乙方负责在作业区域配置相应规定数量的消防器材，并定期对消防器材进行检查、维护、保养和更换，未经甲方允许</w:t>
      </w:r>
      <w:r>
        <w:rPr>
          <w:rFonts w:ascii="微软雅黑" w:hAnsi="微软雅黑" w:eastAsia="微软雅黑"/>
          <w:color w:val="auto"/>
        </w:rPr>
        <w:t>不得擅自动用甲方的消防设施及器材</w:t>
      </w:r>
      <w:r>
        <w:rPr>
          <w:rFonts w:hint="eastAsia" w:ascii="微软雅黑" w:hAnsi="微软雅黑" w:eastAsia="微软雅黑"/>
          <w:color w:val="auto"/>
        </w:rPr>
        <w:t>。</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需</w:t>
      </w:r>
      <w:r>
        <w:rPr>
          <w:rFonts w:hint="eastAsia" w:ascii="微软雅黑" w:hAnsi="微软雅黑" w:eastAsia="微软雅黑"/>
          <w:color w:val="auto"/>
        </w:rPr>
        <w:t>严格遵照</w:t>
      </w:r>
      <w:r>
        <w:rPr>
          <w:rFonts w:ascii="微软雅黑" w:hAnsi="微软雅黑" w:eastAsia="微软雅黑"/>
          <w:color w:val="auto"/>
        </w:rPr>
        <w:t>国家三同时</w:t>
      </w:r>
      <w:r>
        <w:rPr>
          <w:rFonts w:hint="eastAsia" w:ascii="微软雅黑" w:hAnsi="微软雅黑" w:eastAsia="微软雅黑"/>
          <w:color w:val="auto"/>
        </w:rPr>
        <w:t>安全</w:t>
      </w:r>
      <w:r>
        <w:rPr>
          <w:rFonts w:ascii="微软雅黑" w:hAnsi="微软雅黑" w:eastAsia="微软雅黑"/>
          <w:color w:val="auto"/>
        </w:rPr>
        <w:t>法规</w:t>
      </w:r>
      <w:r>
        <w:rPr>
          <w:rFonts w:hint="eastAsia" w:ascii="微软雅黑" w:hAnsi="微软雅黑" w:eastAsia="微软雅黑"/>
          <w:color w:val="auto"/>
        </w:rPr>
        <w:t>要求</w:t>
      </w:r>
      <w:r>
        <w:rPr>
          <w:rFonts w:ascii="微软雅黑" w:hAnsi="微软雅黑" w:eastAsia="微软雅黑"/>
          <w:color w:val="auto"/>
        </w:rPr>
        <w:t>，</w:t>
      </w:r>
      <w:r>
        <w:rPr>
          <w:rFonts w:hint="eastAsia" w:ascii="微软雅黑" w:hAnsi="微软雅黑" w:eastAsia="微软雅黑"/>
          <w:color w:val="auto"/>
        </w:rPr>
        <w:t>采用新工艺、新技术、新材料、新设备，必须了解、</w:t>
      </w:r>
    </w:p>
    <w:p>
      <w:pPr>
        <w:pStyle w:val="164"/>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掌握其安全技术特性，采取有效的安全防护措施，并对从业人员进行专门的安全生产教育和培训。</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应</w:t>
      </w:r>
      <w:r>
        <w:rPr>
          <w:rFonts w:hint="eastAsia" w:ascii="微软雅黑" w:hAnsi="微软雅黑" w:eastAsia="微软雅黑"/>
          <w:color w:val="auto"/>
        </w:rPr>
        <w:t>监测作业过程中的粉尘、有毒、有害物质，超过国家规定标准的，按照国家规定，为职工配备符合工种需要和安全要求的防护用品。</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乙方施工过程中使用的化学物质不得含有《污水综合排放标准》中规定的</w:t>
      </w:r>
      <w:r>
        <w:rPr>
          <w:rFonts w:ascii="微软雅黑" w:hAnsi="微软雅黑" w:eastAsia="微软雅黑"/>
          <w:color w:val="auto"/>
        </w:rPr>
        <w:t>13</w:t>
      </w:r>
      <w:r>
        <w:rPr>
          <w:rFonts w:hint="eastAsia" w:ascii="微软雅黑" w:hAnsi="微软雅黑" w:eastAsia="微软雅黑"/>
          <w:color w:val="auto"/>
        </w:rPr>
        <w:t>种第一类水污染物：总汞、烷基汞、总镉、总铬、六价铬、总砷、总铅、总镍、苯并（</w:t>
      </w:r>
      <w:r>
        <w:rPr>
          <w:rFonts w:ascii="微软雅黑" w:hAnsi="微软雅黑" w:eastAsia="微软雅黑"/>
          <w:color w:val="auto"/>
        </w:rPr>
        <w:t>a</w:t>
      </w:r>
      <w:r>
        <w:rPr>
          <w:rFonts w:hint="eastAsia" w:ascii="微软雅黑" w:hAnsi="微软雅黑" w:eastAsia="微软雅黑"/>
          <w:color w:val="auto"/>
        </w:rPr>
        <w:t>）芘、总铍、总银、总α放射性、总β放射性；不得含有《有毒有害大气污染物名录（</w:t>
      </w:r>
      <w:r>
        <w:rPr>
          <w:rFonts w:ascii="微软雅黑" w:hAnsi="微软雅黑" w:eastAsia="微软雅黑"/>
          <w:color w:val="auto"/>
        </w:rPr>
        <w:t>2018</w:t>
      </w:r>
      <w:r>
        <w:rPr>
          <w:rFonts w:hint="eastAsia" w:ascii="微软雅黑" w:hAnsi="微软雅黑" w:eastAsia="微软雅黑"/>
          <w:color w:val="auto"/>
        </w:rPr>
        <w:t>年）》中规定的</w:t>
      </w:r>
      <w:r>
        <w:rPr>
          <w:rFonts w:ascii="微软雅黑" w:hAnsi="微软雅黑" w:eastAsia="微软雅黑"/>
          <w:color w:val="auto"/>
        </w:rPr>
        <w:t>11</w:t>
      </w:r>
      <w:r>
        <w:rPr>
          <w:rFonts w:hint="eastAsia" w:ascii="微软雅黑" w:hAnsi="微软雅黑" w:eastAsia="微软雅黑"/>
          <w:color w:val="auto"/>
        </w:rPr>
        <w:t>种有毒有害大气污染物：二氯甲烷、甲醛、三氯甲烷、三氯乙烯、四氯乙烯、乙醛、镉及其化合物、铬及其化合物、汞及其化合物、铅及其化合物、砷及其化合物。</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乙方施工过程中使用的化学物质建议优先选用低磷、低氮、低</w:t>
      </w:r>
      <w:r>
        <w:rPr>
          <w:rFonts w:ascii="微软雅黑" w:hAnsi="微软雅黑" w:eastAsia="微软雅黑"/>
          <w:color w:val="auto"/>
        </w:rPr>
        <w:t>COD</w:t>
      </w:r>
      <w:r>
        <w:rPr>
          <w:rFonts w:hint="eastAsia" w:ascii="微软雅黑" w:hAnsi="微软雅黑" w:eastAsia="微软雅黑"/>
          <w:color w:val="auto"/>
        </w:rPr>
        <w:t>值及低生物毒性物质。施工完成后产生的废水、废气、废渣和危险废物由乙方自行收集并依法合规处置，若因违规处置而产生的法律责任由乙方自行承担；若产生的废水、废气、废渣及危险废物需要进入甲方原有废气、废水或固废系统进行处理后排放或进行统一收集的，需求单位需提前向环境部申请报备，由环境部、机电空调部、水气化部进行专业评估并审批通过后方可导入使用。</w:t>
      </w:r>
    </w:p>
    <w:p>
      <w:pPr>
        <w:pStyle w:val="164"/>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乙方需按要求进行扬尘控制、噪音控制要求，根据项目情况落实在线监控，必须达到相关排放标准及要求。</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乙方如有违反</w:t>
      </w:r>
      <w:r>
        <w:rPr>
          <w:rFonts w:ascii="微软雅黑" w:hAnsi="微软雅黑" w:eastAsia="微软雅黑"/>
          <w:color w:val="auto"/>
        </w:rPr>
        <w:t>相关管理规定依据管理规定进行处罚。</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乙方在甲方场所内发生异常事件需及时、如实上报甲方，严禁瞒报谎报迟报，发生异常事件时，乙方应服从甲方按照应急预案进行疏散、救援。</w:t>
      </w:r>
    </w:p>
    <w:p>
      <w:pPr>
        <w:pStyle w:val="164"/>
        <w:ind w:left="-1" w:leftChars="-1" w:hanging="1"/>
        <w:rPr>
          <w:rFonts w:ascii="微软雅黑" w:hAnsi="微软雅黑" w:eastAsia="微软雅黑"/>
          <w:color w:val="auto"/>
        </w:rPr>
      </w:pPr>
      <w:r>
        <w:rPr>
          <w:rFonts w:ascii="微软雅黑" w:hAnsi="微软雅黑" w:eastAsia="微软雅黑"/>
          <w:color w:val="auto"/>
        </w:rPr>
        <w:t>乙方涉及到</w:t>
      </w:r>
      <w:r>
        <w:rPr>
          <w:rFonts w:hint="eastAsia" w:ascii="微软雅黑" w:hAnsi="微软雅黑" w:eastAsia="微软雅黑"/>
          <w:color w:val="auto"/>
        </w:rPr>
        <w:t>车辆</w:t>
      </w:r>
      <w:r>
        <w:rPr>
          <w:rFonts w:ascii="微软雅黑" w:hAnsi="微软雅黑" w:eastAsia="微软雅黑"/>
          <w:color w:val="auto"/>
        </w:rPr>
        <w:t>、班车服务的，必须遵守国家的法律、法规</w:t>
      </w:r>
      <w:r>
        <w:rPr>
          <w:rFonts w:hint="eastAsia" w:ascii="微软雅黑" w:hAnsi="微软雅黑" w:eastAsia="微软雅黑"/>
          <w:color w:val="auto"/>
        </w:rPr>
        <w:t>、</w:t>
      </w:r>
      <w:r>
        <w:rPr>
          <w:rFonts w:ascii="微软雅黑" w:hAnsi="微软雅黑" w:eastAsia="微软雅黑"/>
          <w:color w:val="auto"/>
        </w:rPr>
        <w:t>地方政策</w:t>
      </w:r>
      <w:r>
        <w:rPr>
          <w:rFonts w:hint="eastAsia" w:ascii="微软雅黑" w:hAnsi="微软雅黑" w:eastAsia="微软雅黑"/>
          <w:color w:val="auto"/>
        </w:rPr>
        <w:t>、甲方公司</w:t>
      </w:r>
      <w:r>
        <w:rPr>
          <w:rFonts w:ascii="微软雅黑" w:hAnsi="微软雅黑" w:eastAsia="微软雅黑"/>
          <w:color w:val="auto"/>
        </w:rPr>
        <w:t>规定等相关要求。</w:t>
      </w:r>
    </w:p>
    <w:p>
      <w:pPr>
        <w:pStyle w:val="164"/>
        <w:ind w:left="-1" w:leftChars="-1" w:hanging="1"/>
        <w:rPr>
          <w:rFonts w:ascii="微软雅黑" w:hAnsi="微软雅黑" w:eastAsia="微软雅黑"/>
          <w:color w:val="auto"/>
          <w:szCs w:val="20"/>
        </w:rPr>
      </w:pPr>
      <w:r>
        <w:rPr>
          <w:rFonts w:hint="eastAsia" w:ascii="微软雅黑" w:hAnsi="微软雅黑" w:eastAsia="微软雅黑"/>
          <w:color w:val="auto"/>
        </w:rPr>
        <w:t>乙方</w:t>
      </w:r>
      <w:r>
        <w:rPr>
          <w:rFonts w:ascii="微软雅黑" w:hAnsi="微软雅黑" w:eastAsia="微软雅黑"/>
          <w:color w:val="auto"/>
        </w:rPr>
        <w:t>严格履行甲方特种作业工作审批制度，根据各个施工阶段，将对断路、动土、动火、动气、动水、临时用电和进入容器内作业必须报批，并指派专人负责现场监护。</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对特殊的工程或采用特种作业方法的工程要制定应急救援预案，采取严格防范措施，配备抢险救援的有关器材。</w:t>
      </w:r>
    </w:p>
    <w:p>
      <w:pPr>
        <w:pStyle w:val="164"/>
        <w:ind w:left="-1" w:leftChars="-1" w:hanging="1"/>
        <w:rPr>
          <w:rFonts w:ascii="微软雅黑" w:hAnsi="微软雅黑" w:eastAsia="微软雅黑"/>
          <w:color w:val="auto"/>
        </w:rPr>
      </w:pPr>
      <w:r>
        <w:rPr>
          <w:rFonts w:ascii="微软雅黑" w:hAnsi="微软雅黑" w:eastAsia="微软雅黑"/>
          <w:color w:val="auto"/>
        </w:rPr>
        <w:t>乙方现场作业人员应配戴符合安全要求的防护用品。</w:t>
      </w:r>
    </w:p>
    <w:p>
      <w:pPr>
        <w:pStyle w:val="164"/>
        <w:ind w:left="-1" w:leftChars="-1" w:hanging="1"/>
        <w:rPr>
          <w:rFonts w:ascii="微软雅黑" w:hAnsi="微软雅黑" w:eastAsia="微软雅黑"/>
          <w:color w:val="auto"/>
        </w:rPr>
      </w:pPr>
      <w:r>
        <w:rPr>
          <w:rFonts w:ascii="微软雅黑" w:hAnsi="微软雅黑" w:eastAsia="微软雅黑"/>
          <w:color w:val="auto"/>
        </w:rPr>
        <w:t>乙方进入施工现场车辆、机具设备要符合安全要求，附件齐全可靠。</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要坚持文明施工，危险作业区域应设警示标志，并配备专职安全检查人员负责现场施工作业。</w:t>
      </w:r>
    </w:p>
    <w:p>
      <w:pPr>
        <w:pStyle w:val="164"/>
        <w:ind w:left="-1" w:leftChars="-1" w:hanging="1"/>
        <w:rPr>
          <w:rFonts w:ascii="微软雅黑" w:hAnsi="微软雅黑" w:eastAsia="微软雅黑"/>
          <w:color w:val="auto"/>
        </w:rPr>
      </w:pPr>
      <w:r>
        <w:rPr>
          <w:rFonts w:ascii="微软雅黑" w:hAnsi="微软雅黑" w:eastAsia="微软雅黑"/>
          <w:color w:val="auto"/>
        </w:rPr>
        <w:t>遇有风力在4级以上、大雾天、雷暴雨、冰雪天等恶劣气候影响施工安全时，限止露天作业。</w:t>
      </w:r>
    </w:p>
    <w:p>
      <w:pPr>
        <w:pStyle w:val="164"/>
        <w:ind w:left="-1" w:leftChars="-1" w:hanging="1"/>
        <w:rPr>
          <w:rFonts w:ascii="微软雅黑" w:hAnsi="微软雅黑" w:eastAsia="微软雅黑"/>
          <w:color w:val="auto"/>
        </w:rPr>
      </w:pPr>
      <w:r>
        <w:rPr>
          <w:rFonts w:ascii="微软雅黑" w:hAnsi="微软雅黑" w:eastAsia="微软雅黑"/>
          <w:color w:val="auto"/>
        </w:rPr>
        <w:t>施工作业中发生人身伤亡，要按国家规定程序报告有关部门的同时，及时报告甲方安全管理人员，并要求乙方负责保护好现场。</w:t>
      </w:r>
    </w:p>
    <w:p>
      <w:pPr>
        <w:pStyle w:val="164"/>
        <w:ind w:left="-1" w:leftChars="-1" w:hanging="1"/>
        <w:rPr>
          <w:rFonts w:ascii="微软雅黑" w:hAnsi="微软雅黑" w:eastAsia="微软雅黑"/>
          <w:color w:val="auto"/>
        </w:rPr>
      </w:pPr>
      <w:r>
        <w:rPr>
          <w:rFonts w:ascii="微软雅黑" w:hAnsi="微软雅黑" w:eastAsia="微软雅黑"/>
          <w:color w:val="auto"/>
        </w:rPr>
        <w:t xml:space="preserve">乙方对施工工地的安全负有全面的责任，任何第三人在施工场地发生伤亡事故的，除依法由第三人承担责任的外，均由乙方承担相应的责任。 </w:t>
      </w:r>
    </w:p>
    <w:p>
      <w:pPr>
        <w:pStyle w:val="164"/>
        <w:ind w:left="-1" w:leftChars="-1" w:hanging="1"/>
        <w:rPr>
          <w:rFonts w:ascii="微软雅黑" w:hAnsi="微软雅黑" w:eastAsia="微软雅黑"/>
          <w:color w:val="auto"/>
        </w:rPr>
      </w:pPr>
      <w:r>
        <w:rPr>
          <w:rFonts w:ascii="微软雅黑" w:hAnsi="微软雅黑" w:eastAsia="微软雅黑"/>
          <w:color w:val="auto"/>
        </w:rPr>
        <w:t>乙方应严格遵守国家有关劳动保护法规及甲方各项安全管理规定。</w:t>
      </w:r>
    </w:p>
    <w:p>
      <w:pPr>
        <w:pStyle w:val="164"/>
        <w:ind w:left="-1" w:leftChars="-1" w:hanging="1"/>
        <w:rPr>
          <w:rFonts w:ascii="微软雅黑" w:hAnsi="微软雅黑" w:eastAsia="微软雅黑"/>
          <w:color w:val="auto"/>
        </w:rPr>
      </w:pPr>
      <w:r>
        <w:rPr>
          <w:rFonts w:ascii="微软雅黑" w:hAnsi="微软雅黑" w:eastAsia="微软雅黑"/>
          <w:color w:val="auto"/>
        </w:rPr>
        <w:t>乙方开工前应向甲方提供其所有入</w:t>
      </w:r>
      <w:r>
        <w:rPr>
          <w:rFonts w:hint="eastAsia" w:ascii="微软雅黑" w:hAnsi="微软雅黑" w:eastAsia="微软雅黑"/>
          <w:color w:val="auto"/>
        </w:rPr>
        <w:t>厂</w:t>
      </w:r>
      <w:r>
        <w:rPr>
          <w:rFonts w:ascii="微软雅黑" w:hAnsi="微软雅黑" w:eastAsia="微软雅黑"/>
          <w:color w:val="auto"/>
        </w:rPr>
        <w:t>工作人员的健康证明材料，必须按法规要求为其所有进场施工人员购买安全意外保险，保额不得低于30万RMB，投保证明材料复印件交甲方备案存单。</w:t>
      </w:r>
    </w:p>
    <w:p>
      <w:pPr>
        <w:pStyle w:val="164"/>
        <w:ind w:left="-1" w:leftChars="-1" w:hanging="1"/>
        <w:rPr>
          <w:rFonts w:ascii="微软雅黑" w:hAnsi="微软雅黑" w:eastAsia="微软雅黑"/>
          <w:color w:val="auto"/>
        </w:rPr>
      </w:pPr>
      <w:r>
        <w:rPr>
          <w:rFonts w:ascii="微软雅黑" w:hAnsi="微软雅黑" w:eastAsia="微软雅黑"/>
          <w:color w:val="auto"/>
        </w:rPr>
        <w:t>乙方应按要求做好现场文明施工6S管理工作，施工过程中产生的废弃物，其清运、处理必须符合政府环保法令，乙方所委托清运、处理公司，必须为环保主管机关认可具备处理该项废弃物资格且</w:t>
      </w:r>
      <w:r>
        <w:rPr>
          <w:rFonts w:hint="eastAsia" w:ascii="微软雅黑" w:hAnsi="微软雅黑" w:eastAsia="微软雅黑"/>
          <w:color w:val="auto"/>
        </w:rPr>
        <w:t>依废弃物相关清除法令有相关证照者</w:t>
      </w:r>
      <w:r>
        <w:rPr>
          <w:rFonts w:ascii="微软雅黑" w:hAnsi="微软雅黑" w:eastAsia="微软雅黑"/>
          <w:color w:val="auto"/>
        </w:rPr>
        <w:t xml:space="preserve">, </w:t>
      </w:r>
      <w:r>
        <w:rPr>
          <w:rFonts w:hint="eastAsia" w:ascii="微软雅黑" w:hAnsi="微软雅黑" w:eastAsia="微软雅黑"/>
          <w:color w:val="auto"/>
        </w:rPr>
        <w:t>若未依法执行，因而造成任何事故及损失的，由乙方赔偿一切损失及承担一切法律责任。</w:t>
      </w:r>
    </w:p>
    <w:p>
      <w:pPr>
        <w:pStyle w:val="164"/>
        <w:ind w:left="-1" w:leftChars="-1" w:hanging="1"/>
        <w:rPr>
          <w:rFonts w:ascii="微软雅黑" w:hAnsi="微软雅黑" w:eastAsia="微软雅黑"/>
          <w:color w:val="auto"/>
        </w:rPr>
      </w:pPr>
      <w:r>
        <w:rPr>
          <w:rFonts w:ascii="微软雅黑" w:hAnsi="微软雅黑" w:eastAsia="微软雅黑"/>
          <w:color w:val="auto"/>
        </w:rPr>
        <w:t>乙方有义务核对甲方提供施工作业有关的安全环保、技术资料与信息的准确性，识别甲方提供施工场地可能存在的危险危害因素，以及拒绝甲方违章指挥与强令冒险作业。</w:t>
      </w:r>
    </w:p>
    <w:p>
      <w:pPr>
        <w:pStyle w:val="164"/>
        <w:ind w:left="-1" w:leftChars="-1" w:hanging="1"/>
        <w:rPr>
          <w:rFonts w:ascii="微软雅黑" w:hAnsi="微软雅黑" w:eastAsia="微软雅黑"/>
          <w:color w:val="auto"/>
        </w:rPr>
      </w:pPr>
      <w:r>
        <w:rPr>
          <w:rFonts w:ascii="微软雅黑" w:hAnsi="微软雅黑" w:eastAsia="微软雅黑"/>
          <w:color w:val="auto"/>
        </w:rPr>
        <w:t>施工作业中发生人身伤亡或有紧急意外事故，除按国家规定程序报告有关部门外，应立即通知甲方紧急应变中心或值班工安人员，并在允许范围内，第一时间进行现场救护和抢险，发生火灾时应迅速使用附近灭火器进行扑灭，并尽可能配合甲方人员做必要可行抢救。</w:t>
      </w:r>
    </w:p>
    <w:p>
      <w:pPr>
        <w:pStyle w:val="164"/>
        <w:ind w:left="-1" w:leftChars="-1" w:hanging="1"/>
        <w:rPr>
          <w:rFonts w:ascii="微软雅黑" w:hAnsi="微软雅黑" w:eastAsia="微软雅黑"/>
          <w:color w:val="auto"/>
        </w:rPr>
      </w:pPr>
      <w:r>
        <w:rPr>
          <w:rFonts w:ascii="微软雅黑" w:hAnsi="微软雅黑" w:eastAsia="微软雅黑"/>
          <w:color w:val="auto"/>
        </w:rPr>
        <w:t>乙方对施工工地的安全负有全面的责任，因施工致发生任何事故，概由乙方负责抚恤、赔偿及法律上责任。任何第三人在施工场地发生伤亡事故的，除依法由第三人承担责任的外，均由乙方承担相应的责任。</w:t>
      </w:r>
    </w:p>
    <w:p>
      <w:pPr>
        <w:pStyle w:val="164"/>
        <w:ind w:left="-1" w:leftChars="-1" w:hanging="1"/>
        <w:rPr>
          <w:rFonts w:ascii="微软雅黑" w:hAnsi="微软雅黑" w:eastAsia="微软雅黑"/>
          <w:color w:val="auto"/>
        </w:rPr>
      </w:pPr>
      <w:r>
        <w:rPr>
          <w:rFonts w:ascii="微软雅黑" w:hAnsi="微软雅黑" w:eastAsia="微软雅黑"/>
          <w:color w:val="auto"/>
        </w:rPr>
        <w:t>乙方必须服从甲方有关部门及安全管理部门的安全监督管理，遵守甲方相关安全管理规定。</w:t>
      </w:r>
    </w:p>
    <w:p>
      <w:pPr>
        <w:pStyle w:val="164"/>
        <w:ind w:left="-1" w:leftChars="-1" w:hanging="1"/>
        <w:rPr>
          <w:rFonts w:ascii="微软雅黑" w:hAnsi="微软雅黑" w:eastAsia="微软雅黑"/>
          <w:color w:val="auto"/>
        </w:rPr>
      </w:pPr>
      <w:r>
        <w:rPr>
          <w:rFonts w:ascii="微软雅黑" w:hAnsi="微软雅黑" w:eastAsia="微软雅黑"/>
          <w:color w:val="auto"/>
        </w:rPr>
        <w:t>新、改、扩建项目要制定施工安全专项方案、应急救援预案，采取严格防范措施，配备抢险救援的相关器材。</w:t>
      </w:r>
    </w:p>
    <w:p>
      <w:pPr>
        <w:pStyle w:val="166"/>
        <w:spacing w:line="320" w:lineRule="exact"/>
        <w:ind w:left="-1" w:leftChars="-1" w:hanging="1"/>
        <w:rPr>
          <w:rFonts w:ascii="微软雅黑" w:hAnsi="微软雅黑" w:eastAsia="微软雅黑"/>
          <w:sz w:val="21"/>
        </w:rPr>
      </w:pPr>
      <w:r>
        <w:rPr>
          <w:rFonts w:hint="eastAsia" w:ascii="微软雅黑" w:hAnsi="微软雅黑" w:eastAsia="微软雅黑"/>
          <w:sz w:val="21"/>
        </w:rPr>
        <w:t xml:space="preserve">内容 </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人员管理</w:t>
      </w:r>
    </w:p>
    <w:p>
      <w:pPr>
        <w:pStyle w:val="164"/>
        <w:ind w:left="-1" w:leftChars="-1" w:hanging="1"/>
        <w:rPr>
          <w:rFonts w:ascii="微软雅黑" w:hAnsi="微软雅黑" w:eastAsia="微软雅黑"/>
          <w:color w:val="auto"/>
        </w:rPr>
      </w:pPr>
      <w:r>
        <w:rPr>
          <w:rFonts w:ascii="微软雅黑" w:hAnsi="微软雅黑" w:eastAsia="微软雅黑"/>
          <w:color w:val="auto"/>
        </w:rPr>
        <w:t>乙方必须贯彻执行国家和</w:t>
      </w:r>
      <w:r>
        <w:rPr>
          <w:rFonts w:hint="eastAsia" w:ascii="微软雅黑" w:hAnsi="微软雅黑" w:eastAsia="微软雅黑"/>
          <w:color w:val="auto"/>
        </w:rPr>
        <w:t>所在</w:t>
      </w:r>
      <w:r>
        <w:rPr>
          <w:rFonts w:ascii="微软雅黑" w:hAnsi="微软雅黑" w:eastAsia="微软雅黑"/>
          <w:color w:val="auto"/>
        </w:rPr>
        <w:t>省份、市区环保、职业健康安全法律法规的相关规定。</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必须严格执行</w:t>
      </w:r>
      <w:r>
        <w:rPr>
          <w:rFonts w:hint="eastAsia" w:ascii="微软雅黑" w:hAnsi="微软雅黑" w:eastAsia="微软雅黑"/>
          <w:color w:val="auto"/>
        </w:rPr>
        <w:t>甲方</w:t>
      </w:r>
      <w:r>
        <w:rPr>
          <w:rFonts w:ascii="微软雅黑" w:hAnsi="微软雅黑" w:eastAsia="微软雅黑"/>
          <w:color w:val="auto"/>
        </w:rPr>
        <w:t>所有安全及环保管理规定。</w:t>
      </w:r>
    </w:p>
    <w:p>
      <w:pPr>
        <w:pStyle w:val="164"/>
        <w:ind w:left="-1" w:leftChars="-1" w:hanging="1"/>
        <w:rPr>
          <w:rFonts w:ascii="微软雅黑" w:hAnsi="微软雅黑" w:eastAsia="微软雅黑"/>
          <w:color w:val="auto"/>
        </w:rPr>
      </w:pPr>
      <w:r>
        <w:rPr>
          <w:rFonts w:ascii="微软雅黑" w:hAnsi="微软雅黑" w:eastAsia="微软雅黑"/>
          <w:color w:val="auto"/>
        </w:rPr>
        <w:t>乙方的工程管理人员、现场作业人员经甲方安全环保部门线上或线下培训考核通过后，统一</w:t>
      </w:r>
      <w:r>
        <w:rPr>
          <w:rFonts w:hint="eastAsia" w:ascii="微软雅黑" w:hAnsi="微软雅黑" w:eastAsia="微软雅黑"/>
          <w:color w:val="auto"/>
        </w:rPr>
        <w:t>开通入</w:t>
      </w:r>
      <w:r>
        <w:rPr>
          <w:rFonts w:ascii="微软雅黑" w:hAnsi="微软雅黑" w:eastAsia="微软雅黑"/>
          <w:color w:val="auto"/>
        </w:rPr>
        <w:t>厂权限（施工出入证/</w:t>
      </w:r>
      <w:r>
        <w:rPr>
          <w:rFonts w:hint="eastAsia" w:ascii="微软雅黑" w:hAnsi="微软雅黑" w:eastAsia="微软雅黑"/>
          <w:color w:val="auto"/>
        </w:rPr>
        <w:t>人脸</w:t>
      </w:r>
      <w:r>
        <w:rPr>
          <w:rFonts w:ascii="微软雅黑" w:hAnsi="微软雅黑" w:eastAsia="微软雅黑"/>
          <w:color w:val="auto"/>
        </w:rPr>
        <w:t>识别权限），否则不予进厂作业。</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及时提交甲方所要求的安全管理文件，积极配合</w:t>
      </w:r>
      <w:r>
        <w:rPr>
          <w:rFonts w:hint="eastAsia" w:ascii="微软雅黑" w:hAnsi="微软雅黑" w:eastAsia="微软雅黑"/>
          <w:color w:val="auto"/>
        </w:rPr>
        <w:t>甲方</w:t>
      </w:r>
      <w:r>
        <w:rPr>
          <w:rFonts w:ascii="微软雅黑" w:hAnsi="微软雅黑" w:eastAsia="微软雅黑"/>
          <w:color w:val="auto"/>
        </w:rPr>
        <w:t>环安人员安全检查。</w:t>
      </w:r>
    </w:p>
    <w:p>
      <w:pPr>
        <w:pStyle w:val="164"/>
        <w:ind w:left="-1" w:leftChars="-1" w:hanging="1"/>
        <w:rPr>
          <w:rFonts w:ascii="微软雅黑" w:hAnsi="微软雅黑" w:eastAsia="微软雅黑"/>
          <w:color w:val="auto"/>
        </w:rPr>
      </w:pPr>
      <w:r>
        <w:rPr>
          <w:rFonts w:ascii="微软雅黑" w:hAnsi="微软雅黑" w:eastAsia="微软雅黑"/>
          <w:color w:val="auto"/>
        </w:rPr>
        <w:t>所有人员及车辆必须办理入厂手续，无证或借用、冒用他人证件者，按照</w:t>
      </w:r>
      <w:r>
        <w:rPr>
          <w:rFonts w:hint="eastAsia" w:ascii="微软雅黑" w:hAnsi="微软雅黑" w:eastAsia="微软雅黑"/>
          <w:color w:val="auto"/>
        </w:rPr>
        <w:t>甲方</w:t>
      </w:r>
      <w:r>
        <w:rPr>
          <w:rFonts w:ascii="微软雅黑" w:hAnsi="微软雅黑" w:eastAsia="微软雅黑"/>
          <w:color w:val="auto"/>
        </w:rPr>
        <w:t>《相关方管理制度》等相关规定的文件进行处罚。</w:t>
      </w:r>
    </w:p>
    <w:p>
      <w:pPr>
        <w:pStyle w:val="164"/>
        <w:ind w:left="-1" w:leftChars="-1" w:hanging="1"/>
        <w:rPr>
          <w:rFonts w:ascii="微软雅黑" w:hAnsi="微软雅黑" w:eastAsia="微软雅黑"/>
          <w:color w:val="auto"/>
        </w:rPr>
      </w:pPr>
      <w:r>
        <w:rPr>
          <w:rFonts w:ascii="微软雅黑" w:hAnsi="微软雅黑" w:eastAsia="微软雅黑"/>
          <w:color w:val="auto"/>
        </w:rPr>
        <w:t>所有相关方单位故意或隐瞒提供虚假资料办证或从事其他违规违法事项，举报或查处核实后取消权限并按规定进行处罚，情节严重追究法律责任</w:t>
      </w:r>
    </w:p>
    <w:p>
      <w:pPr>
        <w:pStyle w:val="164"/>
        <w:ind w:left="-1" w:leftChars="-1" w:hanging="1"/>
        <w:rPr>
          <w:rFonts w:ascii="微软雅黑" w:hAnsi="微软雅黑" w:eastAsia="微软雅黑"/>
          <w:color w:val="auto"/>
        </w:rPr>
      </w:pPr>
      <w:r>
        <w:rPr>
          <w:rFonts w:ascii="微软雅黑" w:hAnsi="微软雅黑" w:eastAsia="微软雅黑"/>
          <w:color w:val="auto"/>
        </w:rPr>
        <w:t>乙方人员进入厂区必须严格遵守以下条款：</w:t>
      </w:r>
    </w:p>
    <w:p>
      <w:pPr>
        <w:pStyle w:val="168"/>
        <w:ind w:left="-1" w:leftChars="-1" w:hanging="1"/>
        <w:rPr>
          <w:rFonts w:ascii="微软雅黑" w:hAnsi="微软雅黑" w:eastAsia="微软雅黑"/>
          <w:color w:val="auto"/>
        </w:rPr>
      </w:pPr>
      <w:r>
        <w:rPr>
          <w:rFonts w:ascii="微软雅黑" w:hAnsi="微软雅黑" w:eastAsia="微软雅黑"/>
          <w:color w:val="auto"/>
        </w:rPr>
        <w:t>乙方人员应遵守甲方安全生产及其他相关规定，厂区内禁止吸烟（吸烟区除外，但走出吸烟棚外）。</w:t>
      </w:r>
    </w:p>
    <w:p>
      <w:pPr>
        <w:pStyle w:val="168"/>
        <w:ind w:left="-1" w:leftChars="-1" w:hanging="1"/>
        <w:rPr>
          <w:rFonts w:ascii="微软雅黑" w:hAnsi="微软雅黑" w:eastAsia="微软雅黑"/>
          <w:color w:val="auto"/>
        </w:rPr>
      </w:pPr>
      <w:r>
        <w:rPr>
          <w:rFonts w:ascii="微软雅黑" w:hAnsi="微软雅黑" w:eastAsia="微软雅黑"/>
          <w:color w:val="auto"/>
        </w:rPr>
        <w:t>禁止将烟、火带进洁净室，施工现场人员必须戴好安全帽，佩戴好识别卡。</w:t>
      </w:r>
    </w:p>
    <w:p>
      <w:pPr>
        <w:pStyle w:val="168"/>
        <w:ind w:left="-1" w:leftChars="-1" w:hanging="1"/>
        <w:rPr>
          <w:rFonts w:ascii="微软雅黑" w:hAnsi="微软雅黑" w:eastAsia="微软雅黑"/>
          <w:color w:val="auto"/>
        </w:rPr>
      </w:pPr>
      <w:r>
        <w:rPr>
          <w:rFonts w:ascii="微软雅黑" w:hAnsi="微软雅黑" w:eastAsia="微软雅黑"/>
          <w:color w:val="auto"/>
        </w:rPr>
        <w:t>禁止在厂房内用餐、睡觉，不得随意丢弃、处置或沿路抛洒垃圾。</w:t>
      </w:r>
    </w:p>
    <w:p>
      <w:pPr>
        <w:pStyle w:val="168"/>
        <w:ind w:left="-1" w:leftChars="-1" w:hanging="1"/>
        <w:rPr>
          <w:rFonts w:ascii="微软雅黑" w:hAnsi="微软雅黑" w:eastAsia="微软雅黑"/>
          <w:color w:val="auto"/>
        </w:rPr>
      </w:pPr>
      <w:r>
        <w:rPr>
          <w:rFonts w:ascii="微软雅黑" w:hAnsi="微软雅黑" w:eastAsia="微软雅黑"/>
          <w:color w:val="auto"/>
        </w:rPr>
        <w:t>食堂工作人员必须持健康证、保洁、绿化年龄按照</w:t>
      </w:r>
      <w:r>
        <w:rPr>
          <w:rFonts w:hint="eastAsia" w:ascii="微软雅黑" w:hAnsi="微软雅黑" w:eastAsia="微软雅黑"/>
          <w:color w:val="auto"/>
        </w:rPr>
        <w:t>双方签订</w:t>
      </w:r>
      <w:r>
        <w:rPr>
          <w:rFonts w:ascii="微软雅黑" w:hAnsi="微软雅黑" w:eastAsia="微软雅黑"/>
          <w:color w:val="auto"/>
        </w:rPr>
        <w:t>的合同为准；</w:t>
      </w:r>
    </w:p>
    <w:p>
      <w:pPr>
        <w:pStyle w:val="168"/>
        <w:ind w:left="-1" w:leftChars="-1" w:hanging="1"/>
        <w:rPr>
          <w:rFonts w:ascii="微软雅黑" w:hAnsi="微软雅黑" w:eastAsia="微软雅黑"/>
          <w:color w:val="auto"/>
        </w:rPr>
      </w:pPr>
      <w:r>
        <w:rPr>
          <w:rFonts w:ascii="微软雅黑" w:hAnsi="微软雅黑" w:eastAsia="微软雅黑"/>
          <w:color w:val="auto"/>
        </w:rPr>
        <w:t>工程类、设备类、基建等非高危人员年龄优先以发包合同为准但不得超过法定退休年龄；</w:t>
      </w:r>
    </w:p>
    <w:p>
      <w:pPr>
        <w:pStyle w:val="168"/>
        <w:ind w:left="-1" w:leftChars="-1" w:hanging="1"/>
        <w:rPr>
          <w:rFonts w:ascii="微软雅黑" w:hAnsi="微软雅黑" w:eastAsia="微软雅黑"/>
          <w:color w:val="auto"/>
        </w:rPr>
      </w:pPr>
      <w:r>
        <w:rPr>
          <w:rFonts w:ascii="微软雅黑" w:hAnsi="微软雅黑" w:eastAsia="微软雅黑"/>
          <w:color w:val="auto"/>
        </w:rPr>
        <w:t>从事高空、高温、特别繁重的体力劳动年龄不得超过45周岁，施工方案中必须包含对高风险作业人员年龄的管控说明。</w:t>
      </w:r>
    </w:p>
    <w:p>
      <w:pPr>
        <w:pStyle w:val="168"/>
        <w:ind w:left="-1" w:leftChars="-1" w:hanging="1"/>
        <w:rPr>
          <w:rFonts w:ascii="微软雅黑" w:hAnsi="微软雅黑" w:eastAsia="微软雅黑"/>
          <w:color w:val="auto"/>
          <w:szCs w:val="44"/>
        </w:rPr>
      </w:pPr>
      <w:r>
        <w:rPr>
          <w:rFonts w:ascii="微软雅黑" w:hAnsi="微软雅黑" w:eastAsia="微软雅黑"/>
          <w:color w:val="auto"/>
        </w:rPr>
        <w:t xml:space="preserve"> 对入厂年龄已超过规定的经</w:t>
      </w:r>
      <w:r>
        <w:rPr>
          <w:rFonts w:hint="eastAsia" w:ascii="微软雅黑" w:hAnsi="微软雅黑" w:eastAsia="微软雅黑"/>
          <w:color w:val="auto"/>
        </w:rPr>
        <w:t>甲方</w:t>
      </w:r>
      <w:r>
        <w:rPr>
          <w:rFonts w:ascii="微软雅黑" w:hAnsi="微软雅黑" w:eastAsia="微软雅黑"/>
          <w:color w:val="auto"/>
        </w:rPr>
        <w:t>综合评估，出具综合评估报告后申办延期权限且每年需重新提交体检报告。</w:t>
      </w:r>
    </w:p>
    <w:p>
      <w:pPr>
        <w:pStyle w:val="168"/>
        <w:ind w:left="-1" w:leftChars="-1" w:hanging="1"/>
        <w:rPr>
          <w:rFonts w:ascii="微软雅黑" w:hAnsi="微软雅黑" w:eastAsia="微软雅黑"/>
          <w:color w:val="auto"/>
        </w:rPr>
      </w:pPr>
      <w:r>
        <w:rPr>
          <w:rFonts w:ascii="微软雅黑" w:hAnsi="微软雅黑" w:eastAsia="微软雅黑"/>
          <w:color w:val="auto"/>
        </w:rPr>
        <w:t>乙方安全卫生管理人员务必常驻工地，不可擅离，并依法负责工作现场安全卫生工作，包括但不限于下列工作项目：</w:t>
      </w:r>
    </w:p>
    <w:p>
      <w:pPr>
        <w:pStyle w:val="171"/>
        <w:ind w:left="-1" w:leftChars="-1" w:hanging="1"/>
        <w:rPr>
          <w:rFonts w:ascii="微软雅黑" w:hAnsi="微软雅黑" w:eastAsia="微软雅黑"/>
          <w:color w:val="auto"/>
        </w:rPr>
      </w:pPr>
      <w:r>
        <w:rPr>
          <w:rFonts w:ascii="微软雅黑" w:hAnsi="微软雅黑" w:eastAsia="微软雅黑"/>
          <w:color w:val="auto"/>
        </w:rPr>
        <w:t>规划督导各工作现场施工人员安全卫生管理。</w:t>
      </w:r>
    </w:p>
    <w:p>
      <w:pPr>
        <w:pStyle w:val="171"/>
        <w:ind w:left="-1" w:leftChars="-1" w:hanging="1"/>
        <w:rPr>
          <w:rFonts w:ascii="微软雅黑" w:hAnsi="微软雅黑" w:eastAsia="微软雅黑"/>
          <w:color w:val="auto"/>
        </w:rPr>
      </w:pPr>
      <w:r>
        <w:rPr>
          <w:rFonts w:ascii="微软雅黑" w:hAnsi="微软雅黑" w:eastAsia="微软雅黑"/>
          <w:color w:val="auto"/>
        </w:rPr>
        <w:t>规划督导实施安全卫生检查及检点，并记录备查。</w:t>
      </w:r>
    </w:p>
    <w:p>
      <w:pPr>
        <w:pStyle w:val="171"/>
        <w:ind w:left="-1" w:leftChars="-1" w:hanging="1"/>
        <w:rPr>
          <w:rFonts w:ascii="微软雅黑" w:hAnsi="微软雅黑" w:eastAsia="微软雅黑"/>
          <w:color w:val="auto"/>
        </w:rPr>
      </w:pPr>
      <w:r>
        <w:rPr>
          <w:rFonts w:ascii="微软雅黑" w:hAnsi="微软雅黑" w:eastAsia="微软雅黑"/>
          <w:color w:val="auto"/>
        </w:rPr>
        <w:t>规划督导工作人员安全卫生教育训练。</w:t>
      </w:r>
    </w:p>
    <w:p>
      <w:pPr>
        <w:pStyle w:val="171"/>
        <w:ind w:left="-1" w:leftChars="-1" w:hanging="1"/>
        <w:rPr>
          <w:rFonts w:ascii="微软雅黑" w:hAnsi="微软雅黑" w:eastAsia="微软雅黑"/>
          <w:color w:val="auto"/>
        </w:rPr>
      </w:pPr>
      <w:r>
        <w:rPr>
          <w:rFonts w:ascii="微软雅黑" w:hAnsi="微软雅黑" w:eastAsia="微软雅黑"/>
          <w:color w:val="auto"/>
        </w:rPr>
        <w:t>其它有关安全生产卫生事项。</w:t>
      </w:r>
    </w:p>
    <w:p>
      <w:pPr>
        <w:pStyle w:val="164"/>
        <w:ind w:left="-1" w:leftChars="-1" w:hanging="1"/>
        <w:rPr>
          <w:rFonts w:ascii="微软雅黑" w:hAnsi="微软雅黑" w:eastAsia="微软雅黑"/>
          <w:color w:val="auto"/>
        </w:rPr>
      </w:pPr>
      <w:r>
        <w:rPr>
          <w:rFonts w:ascii="微软雅黑" w:hAnsi="微软雅黑" w:eastAsia="微软雅黑"/>
          <w:color w:val="auto"/>
        </w:rPr>
        <w:t>乙方不得雇用下列人员从事下列工作：</w:t>
      </w:r>
    </w:p>
    <w:p>
      <w:pPr>
        <w:pStyle w:val="168"/>
        <w:ind w:left="-2" w:leftChars="-1" w:firstLine="0"/>
        <w:rPr>
          <w:rFonts w:ascii="微软雅黑" w:hAnsi="微软雅黑" w:eastAsia="微软雅黑"/>
          <w:color w:val="auto"/>
        </w:rPr>
      </w:pPr>
      <w:r>
        <w:rPr>
          <w:rFonts w:ascii="微软雅黑" w:hAnsi="微软雅黑" w:eastAsia="微软雅黑"/>
          <w:color w:val="auto"/>
        </w:rPr>
        <w:t>不得雇用未具备法定代理人同意书及年龄未满十六岁人员，从事甲方工程。</w:t>
      </w:r>
    </w:p>
    <w:p>
      <w:pPr>
        <w:pStyle w:val="168"/>
        <w:ind w:left="-1" w:leftChars="-1" w:hanging="1"/>
        <w:rPr>
          <w:rFonts w:ascii="微软雅黑" w:hAnsi="微软雅黑" w:eastAsia="微软雅黑"/>
          <w:color w:val="auto"/>
        </w:rPr>
      </w:pPr>
      <w:r>
        <w:rPr>
          <w:rFonts w:ascii="微软雅黑" w:hAnsi="微软雅黑" w:eastAsia="微软雅黑"/>
          <w:color w:val="auto"/>
        </w:rPr>
        <w:t>不得雇用女工从事危险性或有害性工作及重体力劳动作业。</w:t>
      </w:r>
    </w:p>
    <w:p>
      <w:pPr>
        <w:pStyle w:val="168"/>
        <w:ind w:left="-1" w:leftChars="-1" w:hanging="1"/>
        <w:rPr>
          <w:rFonts w:ascii="微软雅黑" w:hAnsi="微软雅黑" w:eastAsia="微软雅黑"/>
          <w:color w:val="auto"/>
        </w:rPr>
      </w:pPr>
      <w:r>
        <w:rPr>
          <w:rFonts w:ascii="微软雅黑" w:hAnsi="微软雅黑" w:eastAsia="微软雅黑"/>
          <w:color w:val="auto"/>
        </w:rPr>
        <w:t>不得雇用未满十八岁或超过四十五岁男工从事高架作业。</w:t>
      </w:r>
    </w:p>
    <w:p>
      <w:pPr>
        <w:pStyle w:val="168"/>
        <w:ind w:left="-1" w:leftChars="-1" w:hanging="1"/>
        <w:rPr>
          <w:rFonts w:ascii="微软雅黑" w:hAnsi="微软雅黑" w:eastAsia="微软雅黑"/>
          <w:color w:val="auto"/>
        </w:rPr>
      </w:pPr>
      <w:r>
        <w:rPr>
          <w:rFonts w:ascii="微软雅黑" w:hAnsi="微软雅黑" w:eastAsia="微软雅黑"/>
          <w:color w:val="auto"/>
        </w:rPr>
        <w:t>不得雇用有酗酒、吸毒或罹患不适宜从事危险性或有害性人员从事相关作业。</w:t>
      </w:r>
    </w:p>
    <w:p>
      <w:pPr>
        <w:pStyle w:val="168"/>
        <w:ind w:left="-1" w:leftChars="-1" w:hanging="1"/>
        <w:rPr>
          <w:rFonts w:ascii="微软雅黑" w:hAnsi="微软雅黑" w:eastAsia="微软雅黑"/>
          <w:color w:val="auto"/>
        </w:rPr>
      </w:pPr>
      <w:r>
        <w:rPr>
          <w:rFonts w:ascii="微软雅黑" w:hAnsi="微软雅黑" w:eastAsia="微软雅黑"/>
          <w:color w:val="auto"/>
        </w:rPr>
        <w:t>不得雇用技能不足人员及非经主管机关核准外籍劳工。</w:t>
      </w:r>
    </w:p>
    <w:p>
      <w:pPr>
        <w:pStyle w:val="164"/>
        <w:ind w:left="-1" w:leftChars="-1" w:hanging="1"/>
        <w:rPr>
          <w:rFonts w:ascii="微软雅黑" w:hAnsi="微软雅黑" w:eastAsia="微软雅黑"/>
          <w:color w:val="auto"/>
        </w:rPr>
      </w:pPr>
      <w:r>
        <w:rPr>
          <w:rFonts w:ascii="微软雅黑" w:hAnsi="微软雅黑" w:eastAsia="微软雅黑"/>
          <w:color w:val="auto"/>
        </w:rPr>
        <w:t>乙方需依据法规要求核发并正确佩戴使用劳保用品，具体要求如下：</w:t>
      </w:r>
    </w:p>
    <w:p>
      <w:pPr>
        <w:pStyle w:val="168"/>
        <w:ind w:left="-1" w:leftChars="-1" w:hanging="1"/>
        <w:rPr>
          <w:rFonts w:ascii="微软雅黑" w:hAnsi="微软雅黑" w:eastAsia="微软雅黑"/>
          <w:color w:val="auto"/>
        </w:rPr>
      </w:pPr>
      <w:r>
        <w:rPr>
          <w:rFonts w:ascii="微软雅黑" w:hAnsi="微软雅黑" w:eastAsia="微软雅黑"/>
          <w:color w:val="auto"/>
        </w:rPr>
        <w:t>头部防护/安全帽：凡进入施工现场的人员均应使用。安全帽须符合相关法律法规规定，严禁超限期使用及使用劣质的安全帽。</w:t>
      </w:r>
    </w:p>
    <w:p>
      <w:pPr>
        <w:pStyle w:val="168"/>
        <w:ind w:left="-1" w:leftChars="-1" w:hanging="1"/>
        <w:rPr>
          <w:rFonts w:ascii="微软雅黑" w:hAnsi="微软雅黑" w:eastAsia="微软雅黑"/>
          <w:color w:val="auto"/>
        </w:rPr>
      </w:pPr>
      <w:r>
        <w:rPr>
          <w:rFonts w:ascii="微软雅黑" w:hAnsi="微软雅黑" w:eastAsia="微软雅黑"/>
          <w:color w:val="auto"/>
        </w:rPr>
        <w:t>耳部防护/耳塞或耳罩：于噪音音量超过90分贝以上之工作区域内，从事操作、维修时用。</w:t>
      </w:r>
    </w:p>
    <w:p>
      <w:pPr>
        <w:pStyle w:val="168"/>
        <w:ind w:left="-1" w:leftChars="-1" w:hanging="1"/>
        <w:rPr>
          <w:rFonts w:ascii="微软雅黑" w:hAnsi="微软雅黑" w:eastAsia="微软雅黑"/>
          <w:color w:val="auto"/>
        </w:rPr>
      </w:pPr>
      <w:r>
        <w:rPr>
          <w:rFonts w:ascii="微软雅黑" w:hAnsi="微软雅黑" w:eastAsia="微软雅黑"/>
          <w:color w:val="auto"/>
        </w:rPr>
        <w:t>眼部防护/安全眼镜或防护面具：为防止作业产生火花、微细粉尘、切屑、药液飞沫或热辐射、有害光线伤害，用以保护眼睛的防护具。</w:t>
      </w:r>
    </w:p>
    <w:p>
      <w:pPr>
        <w:pStyle w:val="168"/>
        <w:ind w:left="-1" w:leftChars="-1" w:hanging="1"/>
        <w:rPr>
          <w:rFonts w:ascii="微软雅黑" w:hAnsi="微软雅黑" w:eastAsia="微软雅黑"/>
          <w:color w:val="auto"/>
        </w:rPr>
      </w:pPr>
      <w:r>
        <w:rPr>
          <w:rFonts w:ascii="微软雅黑" w:hAnsi="微软雅黑" w:eastAsia="微软雅黑"/>
          <w:color w:val="auto"/>
        </w:rPr>
        <w:t>呼吸防护具/呼吸面具或防毒面具：于在有害粉尘、雾滴、有害气体或缺氧环境下应佩戴适当呼吸防护具。</w:t>
      </w:r>
    </w:p>
    <w:p>
      <w:pPr>
        <w:pStyle w:val="168"/>
        <w:ind w:left="-1" w:leftChars="-1" w:hanging="1"/>
        <w:rPr>
          <w:rFonts w:ascii="微软雅黑" w:hAnsi="微软雅黑" w:eastAsia="微软雅黑"/>
          <w:color w:val="auto"/>
        </w:rPr>
      </w:pPr>
      <w:r>
        <w:rPr>
          <w:rFonts w:ascii="微软雅黑" w:hAnsi="微软雅黑" w:eastAsia="微软雅黑"/>
          <w:color w:val="auto"/>
        </w:rPr>
        <w:t>手部防护具/棉织、防酸碱、耐电手套：从事搬运、具有侵蚀毒性化学药品及设备处理或可能接触供电中人员须佩戴适当防护手套。</w:t>
      </w:r>
    </w:p>
    <w:p>
      <w:pPr>
        <w:pStyle w:val="168"/>
        <w:ind w:left="-1" w:leftChars="-1" w:hanging="1"/>
        <w:rPr>
          <w:rFonts w:ascii="微软雅黑" w:hAnsi="微软雅黑" w:eastAsia="微软雅黑"/>
          <w:color w:val="auto"/>
        </w:rPr>
      </w:pPr>
      <w:r>
        <w:rPr>
          <w:rFonts w:ascii="微软雅黑" w:hAnsi="微软雅黑" w:eastAsia="微软雅黑"/>
          <w:color w:val="auto"/>
        </w:rPr>
        <w:t>足部防护：从事组立/载物的装卸作业、电气作业（电工、电焊工等）及处理有害物作业须</w:t>
      </w:r>
    </w:p>
    <w:p>
      <w:pPr>
        <w:pStyle w:val="168"/>
        <w:numPr>
          <w:ilvl w:val="0"/>
          <w:numId w:val="0"/>
        </w:numPr>
        <w:ind w:left="-1" w:leftChars="-1" w:hanging="1"/>
        <w:rPr>
          <w:rFonts w:ascii="微软雅黑" w:hAnsi="微软雅黑" w:eastAsia="微软雅黑"/>
          <w:color w:val="auto"/>
        </w:rPr>
      </w:pPr>
      <w:r>
        <w:rPr>
          <w:rFonts w:ascii="微软雅黑" w:hAnsi="微软雅黑" w:eastAsia="微软雅黑"/>
          <w:color w:val="auto"/>
        </w:rPr>
        <w:t>穿安全靴。</w:t>
      </w:r>
    </w:p>
    <w:p>
      <w:pPr>
        <w:pStyle w:val="168"/>
        <w:ind w:left="-1" w:leftChars="-1" w:hanging="1"/>
        <w:rPr>
          <w:rFonts w:ascii="微软雅黑" w:hAnsi="微软雅黑" w:eastAsia="微软雅黑"/>
          <w:color w:val="auto"/>
        </w:rPr>
      </w:pPr>
      <w:r>
        <w:rPr>
          <w:rFonts w:ascii="微软雅黑" w:hAnsi="微软雅黑" w:eastAsia="微软雅黑"/>
          <w:color w:val="auto"/>
        </w:rPr>
        <w:t>身体防护：从事有酸、碱、毒化学物品或设备处理须穿戴合适防护衣。</w:t>
      </w:r>
    </w:p>
    <w:p>
      <w:pPr>
        <w:pStyle w:val="168"/>
        <w:ind w:left="-1" w:leftChars="-1" w:hanging="1"/>
        <w:rPr>
          <w:rFonts w:ascii="微软雅黑" w:hAnsi="微软雅黑" w:eastAsia="微软雅黑"/>
          <w:color w:val="auto"/>
        </w:rPr>
      </w:pPr>
      <w:r>
        <w:rPr>
          <w:rFonts w:ascii="微软雅黑" w:hAnsi="微软雅黑" w:eastAsia="微软雅黑"/>
          <w:color w:val="auto"/>
        </w:rPr>
        <w:t>安全带：从事高架作业人员必须佩戴双大钩安全带，使用3m以上的长绳应加缓冲器（自锁钩用吊绳除外）。如无法系挂安全带，必须设置生命线。</w:t>
      </w:r>
    </w:p>
    <w:p>
      <w:pPr>
        <w:pStyle w:val="168"/>
        <w:ind w:left="-1" w:leftChars="-1" w:hanging="1"/>
        <w:rPr>
          <w:rFonts w:ascii="微软雅黑" w:hAnsi="微软雅黑" w:eastAsia="微软雅黑"/>
          <w:color w:val="auto"/>
        </w:rPr>
      </w:pPr>
      <w:r>
        <w:rPr>
          <w:rFonts w:ascii="微软雅黑" w:hAnsi="微软雅黑" w:eastAsia="微软雅黑"/>
          <w:color w:val="auto"/>
        </w:rPr>
        <w:t>安全鞋：乙方单位需为下属工人配备符合现场作业风险的防砸、防穿刺、防静电安全鞋；</w:t>
      </w:r>
    </w:p>
    <w:p>
      <w:pPr>
        <w:pStyle w:val="168"/>
        <w:ind w:left="-1" w:leftChars="-1" w:hanging="1"/>
        <w:rPr>
          <w:rFonts w:ascii="微软雅黑" w:hAnsi="微软雅黑" w:eastAsia="微软雅黑"/>
          <w:color w:val="auto"/>
        </w:rPr>
      </w:pPr>
      <w:r>
        <w:rPr>
          <w:rFonts w:ascii="微软雅黑" w:hAnsi="微软雅黑" w:eastAsia="微软雅黑"/>
          <w:color w:val="auto"/>
        </w:rPr>
        <w:t>安全背心：安全背心正面及背面需印有乙方单位名称或LOGO，安全背心背面须含有总包/分包信息，夜间外围道路作业或指挥人员需配备反光背心</w:t>
      </w:r>
    </w:p>
    <w:p>
      <w:pPr>
        <w:pStyle w:val="168"/>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人员</w:t>
      </w:r>
      <w:r>
        <w:rPr>
          <w:rFonts w:hint="eastAsia" w:ascii="微软雅黑" w:hAnsi="微软雅黑" w:eastAsia="微软雅黑"/>
          <w:color w:val="auto"/>
        </w:rPr>
        <w:t>（第三方</w:t>
      </w:r>
      <w:r>
        <w:rPr>
          <w:rFonts w:ascii="微软雅黑" w:hAnsi="微软雅黑" w:eastAsia="微软雅黑"/>
          <w:color w:val="auto"/>
        </w:rPr>
        <w:t>机构从事培训</w:t>
      </w:r>
      <w:r>
        <w:rPr>
          <w:rFonts w:hint="eastAsia" w:ascii="微软雅黑" w:hAnsi="微软雅黑" w:eastAsia="微软雅黑"/>
          <w:color w:val="auto"/>
        </w:rPr>
        <w:t>服务</w:t>
      </w:r>
      <w:r>
        <w:rPr>
          <w:rFonts w:ascii="微软雅黑" w:hAnsi="微软雅黑" w:eastAsia="微软雅黑"/>
          <w:color w:val="auto"/>
        </w:rPr>
        <w:t>、</w:t>
      </w:r>
      <w:r>
        <w:rPr>
          <w:rFonts w:hint="eastAsia" w:ascii="微软雅黑" w:hAnsi="微软雅黑" w:eastAsia="微软雅黑"/>
          <w:color w:val="auto"/>
        </w:rPr>
        <w:t>检测</w:t>
      </w:r>
      <w:r>
        <w:rPr>
          <w:rFonts w:ascii="微软雅黑" w:hAnsi="微软雅黑" w:eastAsia="微软雅黑"/>
          <w:color w:val="auto"/>
        </w:rPr>
        <w:t>机构等）进入厂区</w:t>
      </w:r>
      <w:r>
        <w:rPr>
          <w:rFonts w:hint="eastAsia" w:ascii="微软雅黑" w:hAnsi="微软雅黑" w:eastAsia="微软雅黑"/>
          <w:color w:val="auto"/>
        </w:rPr>
        <w:t>须</w:t>
      </w:r>
      <w:r>
        <w:rPr>
          <w:rFonts w:ascii="微软雅黑" w:hAnsi="微软雅黑" w:eastAsia="微软雅黑"/>
          <w:color w:val="auto"/>
        </w:rPr>
        <w:t>遵守厂区内门禁管理规定</w:t>
      </w:r>
    </w:p>
    <w:p>
      <w:pPr>
        <w:pStyle w:val="168"/>
        <w:numPr>
          <w:ilvl w:val="0"/>
          <w:numId w:val="0"/>
        </w:numPr>
        <w:ind w:left="-1" w:leftChars="-1" w:hanging="1"/>
        <w:rPr>
          <w:rFonts w:ascii="微软雅黑" w:hAnsi="微软雅黑" w:eastAsia="微软雅黑"/>
          <w:color w:val="auto"/>
        </w:rPr>
      </w:pPr>
      <w:r>
        <w:rPr>
          <w:rFonts w:ascii="微软雅黑" w:hAnsi="微软雅黑" w:eastAsia="微软雅黑"/>
          <w:color w:val="auto"/>
        </w:rPr>
        <w:t>及以上</w:t>
      </w:r>
      <w:r>
        <w:rPr>
          <w:rFonts w:hint="eastAsia" w:ascii="微软雅黑" w:hAnsi="微软雅黑" w:eastAsia="微软雅黑"/>
          <w:color w:val="auto"/>
        </w:rPr>
        <w:t>相</w:t>
      </w:r>
      <w:r>
        <w:rPr>
          <w:rFonts w:ascii="微软雅黑" w:hAnsi="微软雅黑" w:eastAsia="微软雅黑"/>
          <w:color w:val="auto"/>
        </w:rPr>
        <w:t>适用</w:t>
      </w:r>
      <w:r>
        <w:rPr>
          <w:rFonts w:hint="eastAsia" w:ascii="微软雅黑" w:hAnsi="微软雅黑" w:eastAsia="微软雅黑"/>
          <w:color w:val="auto"/>
        </w:rPr>
        <w:t>条款。</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进入</w:t>
      </w:r>
      <w:r>
        <w:rPr>
          <w:rFonts w:hint="eastAsia" w:ascii="微软雅黑" w:hAnsi="微软雅黑" w:eastAsia="微软雅黑"/>
          <w:color w:val="auto"/>
        </w:rPr>
        <w:t>甲方</w:t>
      </w:r>
      <w:r>
        <w:rPr>
          <w:rFonts w:ascii="微软雅黑" w:hAnsi="微软雅黑" w:eastAsia="微软雅黑"/>
          <w:color w:val="auto"/>
        </w:rPr>
        <w:t>厂区</w:t>
      </w:r>
      <w:r>
        <w:rPr>
          <w:rFonts w:hint="eastAsia" w:ascii="微软雅黑" w:hAnsi="微软雅黑" w:eastAsia="微软雅黑"/>
          <w:color w:val="auto"/>
        </w:rPr>
        <w:t>的</w:t>
      </w:r>
      <w:r>
        <w:rPr>
          <w:rFonts w:ascii="微软雅黑" w:hAnsi="微软雅黑" w:eastAsia="微软雅黑"/>
          <w:color w:val="auto"/>
        </w:rPr>
        <w:t>车辆管理</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车辆应车容整洁、车身端正，车辆的装备、安全防护装置及附件应齐全有效，办理</w:t>
      </w:r>
      <w:r>
        <w:rPr>
          <w:rFonts w:hint="eastAsia" w:ascii="微软雅黑" w:hAnsi="微软雅黑" w:eastAsia="微软雅黑"/>
          <w:color w:val="auto"/>
        </w:rPr>
        <w:t>甲方</w:t>
      </w:r>
      <w:r>
        <w:rPr>
          <w:rFonts w:ascii="微软雅黑" w:hAnsi="微软雅黑" w:eastAsia="微软雅黑"/>
          <w:color w:val="auto"/>
        </w:rPr>
        <w:t>车辆入厂手续。</w:t>
      </w:r>
    </w:p>
    <w:p>
      <w:pPr>
        <w:pStyle w:val="164"/>
        <w:ind w:left="-1" w:leftChars="-1" w:hanging="1"/>
        <w:rPr>
          <w:rFonts w:ascii="微软雅黑" w:hAnsi="微软雅黑" w:eastAsia="微软雅黑"/>
          <w:color w:val="auto"/>
        </w:rPr>
      </w:pPr>
      <w:r>
        <w:rPr>
          <w:rFonts w:ascii="微软雅黑" w:hAnsi="微软雅黑" w:eastAsia="微软雅黑"/>
          <w:color w:val="auto"/>
        </w:rPr>
        <w:t>车辆的整车技术状况、污染物排放、噪声应符合国家有关标准及规定。</w:t>
      </w:r>
    </w:p>
    <w:p>
      <w:pPr>
        <w:pStyle w:val="164"/>
        <w:ind w:left="-1" w:leftChars="-1" w:hanging="1"/>
        <w:rPr>
          <w:rFonts w:ascii="微软雅黑" w:hAnsi="微软雅黑" w:eastAsia="微软雅黑"/>
          <w:color w:val="auto"/>
        </w:rPr>
      </w:pPr>
      <w:r>
        <w:rPr>
          <w:rFonts w:ascii="微软雅黑" w:hAnsi="微软雅黑" w:eastAsia="微软雅黑"/>
          <w:color w:val="auto"/>
        </w:rPr>
        <w:t>全车各部位在发动机运转及停车时应无漏油、漏水、漏电、漏气</w:t>
      </w:r>
      <w:r>
        <w:rPr>
          <w:rFonts w:hint="eastAsia" w:ascii="微软雅黑" w:hAnsi="微软雅黑" w:eastAsia="微软雅黑"/>
          <w:color w:val="auto"/>
        </w:rPr>
        <w:t>、</w:t>
      </w:r>
      <w:r>
        <w:rPr>
          <w:rFonts w:ascii="微软雅黑" w:hAnsi="微软雅黑" w:eastAsia="微软雅黑"/>
          <w:color w:val="auto"/>
        </w:rPr>
        <w:t>冒黑烟等现象。在厂区内候车时，必须关停发动机。</w:t>
      </w:r>
    </w:p>
    <w:p>
      <w:pPr>
        <w:pStyle w:val="164"/>
        <w:ind w:left="-1" w:leftChars="-1" w:hanging="1"/>
        <w:rPr>
          <w:rFonts w:ascii="微软雅黑" w:hAnsi="微软雅黑" w:eastAsia="微软雅黑"/>
          <w:color w:val="auto"/>
        </w:rPr>
      </w:pPr>
      <w:r>
        <w:rPr>
          <w:rFonts w:ascii="微软雅黑" w:hAnsi="微软雅黑" w:eastAsia="微软雅黑"/>
          <w:color w:val="auto"/>
        </w:rPr>
        <w:t>车辆厂内限速15 公里/小时，并按指定的地点停车。</w:t>
      </w:r>
    </w:p>
    <w:p>
      <w:pPr>
        <w:pStyle w:val="164"/>
        <w:ind w:left="-1" w:leftChars="-1" w:hanging="1"/>
        <w:rPr>
          <w:rFonts w:ascii="微软雅黑" w:hAnsi="微软雅黑" w:eastAsia="微软雅黑"/>
          <w:color w:val="auto"/>
        </w:rPr>
      </w:pPr>
      <w:r>
        <w:rPr>
          <w:rFonts w:ascii="微软雅黑" w:hAnsi="微软雅黑" w:eastAsia="微软雅黑"/>
          <w:color w:val="auto"/>
        </w:rPr>
        <w:t>运送易燃、易爆物品的专用车，必须备有消防器材和相应的安全措施，排气管应安装在车前或安装星火熄灭器，尾部应安装接地链，车身应喷有“禁止烟火”或“危险品”的字样或标志。</w:t>
      </w:r>
    </w:p>
    <w:p>
      <w:pPr>
        <w:pStyle w:val="164"/>
        <w:ind w:left="-1" w:leftChars="-1" w:hanging="1"/>
        <w:rPr>
          <w:rFonts w:ascii="微软雅黑" w:hAnsi="微软雅黑" w:eastAsia="微软雅黑"/>
          <w:color w:val="auto"/>
        </w:rPr>
      </w:pPr>
      <w:r>
        <w:rPr>
          <w:rFonts w:ascii="微软雅黑" w:hAnsi="微软雅黑" w:eastAsia="微软雅黑"/>
          <w:color w:val="auto"/>
        </w:rPr>
        <w:t>进入易燃易爆场所作业的车辆必须有防爆措施。</w:t>
      </w:r>
    </w:p>
    <w:p>
      <w:pPr>
        <w:pStyle w:val="164"/>
        <w:ind w:left="-1" w:leftChars="-1" w:hanging="1"/>
        <w:rPr>
          <w:rFonts w:ascii="微软雅黑" w:hAnsi="微软雅黑" w:eastAsia="微软雅黑"/>
          <w:color w:val="auto"/>
        </w:rPr>
      </w:pPr>
      <w:r>
        <w:rPr>
          <w:rFonts w:ascii="微软雅黑" w:hAnsi="微软雅黑" w:eastAsia="微软雅黑"/>
          <w:color w:val="auto"/>
        </w:rPr>
        <w:t>特种设备车辆及操作人员应具备并出示相关资质证明。</w:t>
      </w:r>
    </w:p>
    <w:p>
      <w:pPr>
        <w:pStyle w:val="164"/>
        <w:ind w:left="-1" w:leftChars="-1" w:hanging="1"/>
        <w:rPr>
          <w:rFonts w:ascii="微软雅黑" w:hAnsi="微软雅黑" w:eastAsia="微软雅黑"/>
          <w:color w:val="auto"/>
        </w:rPr>
      </w:pPr>
      <w:r>
        <w:rPr>
          <w:rFonts w:ascii="微软雅黑" w:hAnsi="微软雅黑" w:eastAsia="微软雅黑"/>
          <w:color w:val="auto"/>
        </w:rPr>
        <w:t>厂区内严禁进行洗车,维护保养等作业。</w:t>
      </w:r>
    </w:p>
    <w:p>
      <w:pPr>
        <w:pStyle w:val="164"/>
        <w:ind w:left="-1" w:leftChars="-1" w:hanging="1"/>
        <w:rPr>
          <w:rFonts w:ascii="微软雅黑" w:hAnsi="微软雅黑" w:eastAsia="微软雅黑"/>
          <w:color w:val="auto"/>
        </w:rPr>
      </w:pPr>
      <w:r>
        <w:rPr>
          <w:rFonts w:ascii="微软雅黑" w:hAnsi="微软雅黑" w:eastAsia="微软雅黑"/>
          <w:color w:val="auto"/>
        </w:rPr>
        <w:t>施工车辆需要进入厂区必需提前申请，未经</w:t>
      </w:r>
      <w:r>
        <w:rPr>
          <w:rFonts w:hint="eastAsia" w:ascii="微软雅黑" w:hAnsi="微软雅黑" w:eastAsia="微软雅黑"/>
          <w:color w:val="auto"/>
        </w:rPr>
        <w:t>甲方</w:t>
      </w:r>
      <w:r>
        <w:rPr>
          <w:rFonts w:ascii="微软雅黑" w:hAnsi="微软雅黑" w:eastAsia="微软雅黑"/>
          <w:color w:val="auto"/>
        </w:rPr>
        <w:t>允许，任何车辆不得进入厂区。</w:t>
      </w:r>
    </w:p>
    <w:p>
      <w:pPr>
        <w:pStyle w:val="164"/>
        <w:ind w:left="-1" w:leftChars="-1" w:hanging="1"/>
        <w:rPr>
          <w:rFonts w:ascii="微软雅黑" w:hAnsi="微软雅黑" w:eastAsia="微软雅黑"/>
          <w:color w:val="auto"/>
        </w:rPr>
      </w:pPr>
      <w:r>
        <w:rPr>
          <w:rFonts w:ascii="微软雅黑" w:hAnsi="微软雅黑" w:eastAsia="微软雅黑"/>
          <w:color w:val="auto"/>
        </w:rPr>
        <w:t>车辆进入甲方厂区内需开启双闪灯，随车人员须严格遵守</w:t>
      </w:r>
      <w:r>
        <w:rPr>
          <w:rFonts w:hint="eastAsia" w:ascii="微软雅黑" w:hAnsi="微软雅黑" w:eastAsia="微软雅黑"/>
          <w:color w:val="auto"/>
        </w:rPr>
        <w:t>甲方</w:t>
      </w:r>
      <w:r>
        <w:rPr>
          <w:rFonts w:ascii="微软雅黑" w:hAnsi="微软雅黑" w:eastAsia="微软雅黑"/>
          <w:color w:val="auto"/>
        </w:rPr>
        <w:t>安全管理规定及要求，进场前签署承诺书，违</w:t>
      </w:r>
      <w:r>
        <w:rPr>
          <w:rFonts w:hint="eastAsia" w:ascii="微软雅黑" w:hAnsi="微软雅黑" w:eastAsia="微软雅黑"/>
          <w:color w:val="auto"/>
        </w:rPr>
        <w:t>反</w:t>
      </w:r>
      <w:r>
        <w:rPr>
          <w:rFonts w:ascii="微软雅黑" w:hAnsi="微软雅黑" w:eastAsia="微软雅黑"/>
          <w:color w:val="auto"/>
        </w:rPr>
        <w:t>相关规定将该车辆纳入黑名单管理。</w:t>
      </w:r>
    </w:p>
    <w:p>
      <w:pPr>
        <w:pStyle w:val="163"/>
        <w:ind w:left="-2" w:leftChars="-1" w:firstLine="480"/>
        <w:rPr>
          <w:rFonts w:ascii="微软雅黑" w:hAnsi="微软雅黑" w:eastAsia="微软雅黑"/>
          <w:color w:val="auto"/>
        </w:rPr>
      </w:pPr>
      <w:r>
        <w:rPr>
          <w:rFonts w:ascii="微软雅黑" w:hAnsi="微软雅黑" w:eastAsia="微软雅黑"/>
          <w:color w:val="auto"/>
        </w:rPr>
        <w:t>酸碱类、化学品类及易燃易爆危险品类对乙方要求。</w:t>
      </w:r>
    </w:p>
    <w:p>
      <w:pPr>
        <w:pStyle w:val="164"/>
        <w:ind w:left="-1" w:leftChars="-1" w:hanging="1"/>
        <w:rPr>
          <w:rFonts w:ascii="微软雅黑" w:hAnsi="微软雅黑" w:eastAsia="微软雅黑"/>
          <w:color w:val="auto"/>
        </w:rPr>
      </w:pPr>
      <w:r>
        <w:rPr>
          <w:rFonts w:ascii="微软雅黑" w:hAnsi="微软雅黑" w:eastAsia="微软雅黑"/>
          <w:color w:val="auto"/>
        </w:rPr>
        <w:t>乙方因现场作业使用的酸碱类、化学品类及易燃易爆危险品必须符合国家的相关规定，提供安全标签和安全技术说明书，进口危险化学品应有符合规定要求的中文安全技术说明书，并在包装上加贴中文安全标签。使用前应通知甲方并配备符合要求的安全防护用品。</w:t>
      </w:r>
    </w:p>
    <w:p>
      <w:pPr>
        <w:pStyle w:val="164"/>
        <w:ind w:left="-1" w:leftChars="-1" w:hanging="1"/>
        <w:rPr>
          <w:rFonts w:ascii="微软雅黑" w:hAnsi="微软雅黑" w:eastAsia="微软雅黑"/>
          <w:color w:val="auto"/>
        </w:rPr>
      </w:pPr>
      <w:r>
        <w:rPr>
          <w:rFonts w:ascii="微软雅黑" w:hAnsi="微软雅黑" w:eastAsia="微软雅黑"/>
          <w:color w:val="auto"/>
        </w:rPr>
        <w:t>使用易制毒化学品的必需符合《危险品安全管理指导书》的规定，提供相关的证明资料。</w:t>
      </w:r>
    </w:p>
    <w:p>
      <w:pPr>
        <w:pStyle w:val="164"/>
        <w:ind w:left="-1" w:leftChars="-1" w:hanging="1"/>
        <w:rPr>
          <w:rFonts w:ascii="微软雅黑" w:hAnsi="微软雅黑" w:eastAsia="微软雅黑"/>
          <w:color w:val="auto"/>
        </w:rPr>
      </w:pPr>
      <w:r>
        <w:rPr>
          <w:rFonts w:ascii="微软雅黑" w:hAnsi="微软雅黑" w:eastAsia="微软雅黑"/>
          <w:color w:val="auto"/>
        </w:rPr>
        <w:t>运输易燃易爆化学物品的车辆必须提供安全管理的相应资质证明。</w:t>
      </w:r>
    </w:p>
    <w:p>
      <w:pPr>
        <w:pStyle w:val="164"/>
        <w:ind w:left="-1" w:leftChars="-1" w:hanging="1"/>
        <w:rPr>
          <w:rFonts w:ascii="微软雅黑" w:hAnsi="微软雅黑" w:eastAsia="微软雅黑"/>
          <w:color w:val="auto"/>
        </w:rPr>
      </w:pPr>
      <w:r>
        <w:rPr>
          <w:rFonts w:ascii="微软雅黑" w:hAnsi="微软雅黑" w:eastAsia="微软雅黑"/>
          <w:color w:val="auto"/>
        </w:rPr>
        <w:t>装卸、搬运易燃易爆化学物品、气体时应按有关规定进行，做到轻装、轻卸，严禁摔、碰撞击、拖拉、倾倒和滚动等不安全行为。</w:t>
      </w:r>
    </w:p>
    <w:p>
      <w:pPr>
        <w:pStyle w:val="164"/>
        <w:ind w:left="-1" w:leftChars="-1" w:hanging="1"/>
        <w:rPr>
          <w:rFonts w:ascii="微软雅黑" w:hAnsi="微软雅黑" w:eastAsia="微软雅黑"/>
          <w:color w:val="auto"/>
        </w:rPr>
      </w:pPr>
      <w:r>
        <w:rPr>
          <w:rFonts w:ascii="微软雅黑" w:hAnsi="微软雅黑" w:eastAsia="微软雅黑"/>
          <w:color w:val="auto"/>
        </w:rPr>
        <w:t>对包装不牢、破损、品名标签、标志不清楚，货品数量不符，混运和不符合安全要求的罐体、没有瓶帽的气体钢瓶等严禁入厂。</w:t>
      </w:r>
    </w:p>
    <w:p>
      <w:pPr>
        <w:pStyle w:val="164"/>
        <w:ind w:left="-1" w:leftChars="-1" w:hanging="1"/>
        <w:rPr>
          <w:rFonts w:ascii="微软雅黑" w:hAnsi="微软雅黑" w:eastAsia="微软雅黑"/>
          <w:color w:val="auto"/>
        </w:rPr>
      </w:pPr>
      <w:r>
        <w:rPr>
          <w:rFonts w:ascii="微软雅黑" w:hAnsi="微软雅黑" w:eastAsia="微软雅黑"/>
          <w:color w:val="auto"/>
        </w:rPr>
        <w:t>无关人员不得搭乘装有易燃易爆化学物品的运输工具。</w:t>
      </w:r>
    </w:p>
    <w:p>
      <w:pPr>
        <w:pStyle w:val="163"/>
        <w:ind w:left="-2" w:leftChars="-1" w:firstLine="480"/>
        <w:rPr>
          <w:rFonts w:ascii="微软雅黑" w:hAnsi="微软雅黑" w:eastAsia="微软雅黑"/>
          <w:color w:val="auto"/>
        </w:rPr>
      </w:pPr>
      <w:r>
        <w:rPr>
          <w:rFonts w:ascii="微软雅黑" w:hAnsi="微软雅黑" w:eastAsia="微软雅黑"/>
          <w:color w:val="auto"/>
        </w:rPr>
        <w:t>施工安全管理要求</w:t>
      </w:r>
    </w:p>
    <w:p>
      <w:pPr>
        <w:pStyle w:val="164"/>
        <w:ind w:left="-1" w:leftChars="-1" w:hanging="1"/>
        <w:rPr>
          <w:rFonts w:ascii="微软雅黑" w:hAnsi="微软雅黑" w:eastAsia="微软雅黑"/>
          <w:color w:val="auto"/>
        </w:rPr>
      </w:pPr>
      <w:r>
        <w:rPr>
          <w:rFonts w:ascii="微软雅黑" w:hAnsi="微软雅黑" w:eastAsia="微软雅黑"/>
          <w:color w:val="auto"/>
        </w:rPr>
        <w:t>乙方承包工程施工前，向甲方</w:t>
      </w:r>
      <w:r>
        <w:rPr>
          <w:rFonts w:hint="eastAsia" w:ascii="微软雅黑" w:hAnsi="微软雅黑" w:eastAsia="微软雅黑"/>
          <w:color w:val="auto"/>
        </w:rPr>
        <w:t>安全/</w:t>
      </w:r>
      <w:r>
        <w:rPr>
          <w:rFonts w:ascii="微软雅黑" w:hAnsi="微软雅黑" w:eastAsia="微软雅黑"/>
          <w:color w:val="auto"/>
        </w:rPr>
        <w:t>工安环保部门提交《施工组织方案》(包括但不限于：安全管理控制目标、安全生产管理机构、主要安全生产管理制度、环境因素辨识与评价、危险源辨识与评价、安全保障措施、应急预案、安全生产费用管理等)、人员意外伤害保险证明(保额不低于30万)、上岗证复印件（包括但不限于：专职安全生产管理人员、施工特种作业人员及危险机械设备操作证等）、三级教育培训</w:t>
      </w:r>
      <w:r>
        <w:rPr>
          <w:rFonts w:hint="eastAsia" w:ascii="微软雅黑" w:hAnsi="微软雅黑" w:eastAsia="微软雅黑"/>
          <w:color w:val="auto"/>
        </w:rPr>
        <w:t>课件</w:t>
      </w:r>
      <w:r>
        <w:rPr>
          <w:rFonts w:ascii="微软雅黑" w:hAnsi="微软雅黑" w:eastAsia="微软雅黑"/>
          <w:color w:val="auto"/>
        </w:rPr>
        <w:t>、记录及安全交底记录等，并按要求对相关人员进行安全技术交底，交底内容符合方案及现场实际，交底记录完整、真实。</w:t>
      </w:r>
    </w:p>
    <w:p>
      <w:pPr>
        <w:pStyle w:val="164"/>
        <w:ind w:left="-1" w:leftChars="-1" w:hanging="1"/>
        <w:rPr>
          <w:rFonts w:ascii="微软雅黑" w:hAnsi="微软雅黑" w:eastAsia="微软雅黑"/>
          <w:color w:val="auto"/>
        </w:rPr>
      </w:pPr>
      <w:r>
        <w:rPr>
          <w:rFonts w:ascii="微软雅黑" w:hAnsi="微软雅黑" w:eastAsia="微软雅黑"/>
          <w:color w:val="auto"/>
        </w:rPr>
        <w:t>乙方项目部必须制定明确的安全生产管理目标（包括但不限于事故控制目标、隐患治理目标、安全生产和文明施工管理目标等），安全生产目标应进行逐级分解，上墙公示，并定期组织考核，实现全员、全方位、全过程参与，确保安全。</w:t>
      </w:r>
    </w:p>
    <w:p>
      <w:pPr>
        <w:pStyle w:val="164"/>
        <w:ind w:left="-1" w:leftChars="-1" w:hanging="1"/>
        <w:rPr>
          <w:rFonts w:ascii="微软雅黑" w:hAnsi="微软雅黑" w:eastAsia="微软雅黑"/>
          <w:color w:val="auto"/>
        </w:rPr>
      </w:pPr>
      <w:r>
        <w:rPr>
          <w:rFonts w:ascii="微软雅黑" w:hAnsi="微软雅黑" w:eastAsia="微软雅黑"/>
          <w:color w:val="auto"/>
        </w:rPr>
        <w:t>乙方项目部应成立安全生产领导小组与设立完善的安全管理组织架构，并上墙公示，人员配备要符合要求，且必须到岗履职。</w:t>
      </w:r>
    </w:p>
    <w:p>
      <w:pPr>
        <w:pStyle w:val="164"/>
        <w:ind w:left="-1" w:leftChars="-1" w:hanging="1"/>
        <w:rPr>
          <w:rFonts w:ascii="微软雅黑" w:hAnsi="微软雅黑" w:eastAsia="微软雅黑"/>
          <w:color w:val="auto"/>
        </w:rPr>
      </w:pPr>
      <w:r>
        <w:rPr>
          <w:rFonts w:ascii="微软雅黑" w:hAnsi="微软雅黑" w:eastAsia="微软雅黑"/>
          <w:color w:val="auto"/>
        </w:rPr>
        <w:t>乙方施工现场应按专业配备足够数量的专职安全生产管理人员，专职安全生产管理人员应取得安全生产考核合格证书且在有效期内。</w:t>
      </w:r>
    </w:p>
    <w:p>
      <w:pPr>
        <w:pStyle w:val="164"/>
        <w:ind w:left="-1" w:leftChars="-1" w:hanging="1"/>
        <w:rPr>
          <w:rFonts w:ascii="微软雅黑" w:hAnsi="微软雅黑" w:eastAsia="微软雅黑"/>
          <w:color w:val="auto"/>
        </w:rPr>
      </w:pPr>
      <w:r>
        <w:rPr>
          <w:rFonts w:ascii="微软雅黑" w:hAnsi="微软雅黑" w:eastAsia="微软雅黑"/>
          <w:color w:val="auto"/>
        </w:rPr>
        <w:t>甲方组织的施工安全</w:t>
      </w:r>
      <w:r>
        <w:rPr>
          <w:rFonts w:hint="eastAsia" w:ascii="微软雅黑" w:hAnsi="微软雅黑" w:eastAsia="微软雅黑"/>
          <w:color w:val="auto"/>
        </w:rPr>
        <w:t>每日</w:t>
      </w:r>
      <w:r>
        <w:rPr>
          <w:rFonts w:ascii="微软雅黑" w:hAnsi="微软雅黑" w:eastAsia="微软雅黑"/>
          <w:color w:val="auto"/>
        </w:rPr>
        <w:t>两会、周例会、厂商安委会月会等安全相关会议，乙方项目经理、安全经理必须参加，否则按规定进行处罚。乙方项目部安全经理连续两个月表现差的，甲方有权要求更换，</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乙方应无条件给予配合。</w:t>
      </w:r>
    </w:p>
    <w:p>
      <w:pPr>
        <w:pStyle w:val="164"/>
        <w:ind w:left="-1" w:leftChars="-1" w:hanging="1"/>
        <w:rPr>
          <w:rFonts w:ascii="微软雅黑" w:hAnsi="微软雅黑" w:eastAsia="微软雅黑"/>
          <w:color w:val="auto"/>
        </w:rPr>
      </w:pPr>
      <w:r>
        <w:rPr>
          <w:rFonts w:ascii="微软雅黑" w:hAnsi="微软雅黑" w:eastAsia="微软雅黑"/>
          <w:color w:val="auto"/>
        </w:rPr>
        <w:t>乙方项目部每个作业班组都至少设置1名兼职安全巡查员，对本班组的作业场所进行安全监督检</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查。对于涉及高风险作业的班组应根据施工危险程度增加兼职安全巡查人员，确保每个高风险作业都有人进行现场旁站监护。</w:t>
      </w:r>
    </w:p>
    <w:p>
      <w:pPr>
        <w:pStyle w:val="164"/>
        <w:ind w:left="-1" w:leftChars="-1" w:hanging="1"/>
        <w:rPr>
          <w:rFonts w:ascii="微软雅黑" w:hAnsi="微软雅黑" w:eastAsia="微软雅黑"/>
          <w:color w:val="auto"/>
        </w:rPr>
      </w:pPr>
      <w:r>
        <w:rPr>
          <w:rFonts w:ascii="微软雅黑" w:hAnsi="微软雅黑" w:eastAsia="微软雅黑"/>
          <w:color w:val="auto"/>
        </w:rPr>
        <w:t>乙方项目部建立健全安全生产责任制，项目负责人与各岗位人员签订安全生产责任书，并定期（每</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季度）对安全生产责任制的落实情况进行考核。</w:t>
      </w:r>
    </w:p>
    <w:p>
      <w:pPr>
        <w:pStyle w:val="164"/>
        <w:ind w:left="-1" w:leftChars="-1" w:hanging="1"/>
        <w:rPr>
          <w:rFonts w:ascii="微软雅黑" w:hAnsi="微软雅黑" w:eastAsia="微软雅黑"/>
          <w:color w:val="auto"/>
        </w:rPr>
      </w:pPr>
      <w:r>
        <w:rPr>
          <w:rFonts w:ascii="微软雅黑" w:hAnsi="微软雅黑" w:eastAsia="微软雅黑"/>
          <w:color w:val="auto"/>
        </w:rPr>
        <w:t>乙方承包的工程施工前，应对施工过程中可能存在的危险源进行辨识、分类、评价，提出针对性措施，并应根据不同的施工阶段动态公示施工过程中存在的危险危害因素。</w:t>
      </w:r>
    </w:p>
    <w:p>
      <w:pPr>
        <w:pStyle w:val="164"/>
        <w:ind w:left="-1" w:leftChars="-1" w:hanging="1"/>
        <w:rPr>
          <w:rFonts w:ascii="微软雅黑" w:hAnsi="微软雅黑" w:eastAsia="微软雅黑"/>
          <w:color w:val="auto"/>
        </w:rPr>
      </w:pPr>
      <w:r>
        <w:rPr>
          <w:rFonts w:ascii="微软雅黑" w:hAnsi="微软雅黑" w:eastAsia="微软雅黑"/>
          <w:color w:val="auto"/>
        </w:rPr>
        <w:t>乙方承包的工程涉及危险性较大的分部分项工程施工前应编制安全专项施工方案，对于超过一定规模的危险性较大的分部分项工程，乙方应当组织专家对安全专项施工方案进行论证，并按规定程序办理相关签批手续后实施。</w:t>
      </w:r>
    </w:p>
    <w:p>
      <w:pPr>
        <w:pStyle w:val="164"/>
        <w:ind w:left="-1" w:leftChars="-1" w:hanging="1"/>
        <w:rPr>
          <w:rFonts w:ascii="微软雅黑" w:hAnsi="微软雅黑" w:eastAsia="微软雅黑"/>
          <w:color w:val="auto"/>
        </w:rPr>
      </w:pPr>
      <w:r>
        <w:rPr>
          <w:rFonts w:ascii="微软雅黑" w:hAnsi="微软雅黑" w:eastAsia="微软雅黑"/>
          <w:color w:val="auto"/>
        </w:rPr>
        <w:t>专项方案实施前，应当由项目技术负责人向现场管理人员和全体作业人员进行安全技术交底。专项方案实施过程中，乙方项目部应指定专人对专项方案实施情况进行现场监督和按规定进行监测。</w:t>
      </w:r>
    </w:p>
    <w:p>
      <w:pPr>
        <w:pStyle w:val="164"/>
        <w:ind w:left="-1" w:leftChars="-1" w:hanging="1"/>
        <w:rPr>
          <w:rFonts w:ascii="微软雅黑" w:hAnsi="微软雅黑" w:eastAsia="微软雅黑"/>
          <w:color w:val="auto"/>
        </w:rPr>
      </w:pPr>
      <w:r>
        <w:rPr>
          <w:rFonts w:ascii="微软雅黑" w:hAnsi="微软雅黑" w:eastAsia="微软雅黑"/>
          <w:color w:val="auto"/>
        </w:rPr>
        <w:t>乙方对新进场施工人员应进行三级安全教育，教育学时符合规定要求，教育记录要完整、真实，</w:t>
      </w:r>
    </w:p>
    <w:p>
      <w:pPr>
        <w:pStyle w:val="164"/>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教育</w:t>
      </w:r>
      <w:r>
        <w:rPr>
          <w:rFonts w:ascii="微软雅黑" w:hAnsi="微软雅黑" w:eastAsia="微软雅黑"/>
          <w:color w:val="auto"/>
        </w:rPr>
        <w:t>内容</w:t>
      </w:r>
      <w:r>
        <w:rPr>
          <w:rFonts w:hint="eastAsia" w:ascii="微软雅黑" w:hAnsi="微软雅黑" w:eastAsia="微软雅黑"/>
          <w:color w:val="auto"/>
        </w:rPr>
        <w:t>需</w:t>
      </w:r>
      <w:r>
        <w:rPr>
          <w:rFonts w:ascii="微软雅黑" w:hAnsi="微软雅黑" w:eastAsia="微软雅黑"/>
          <w:color w:val="auto"/>
        </w:rPr>
        <w:t>根据甲方工作特点</w:t>
      </w:r>
      <w:r>
        <w:rPr>
          <w:rFonts w:hint="eastAsia" w:ascii="微软雅黑" w:hAnsi="微软雅黑" w:eastAsia="微软雅黑"/>
          <w:color w:val="auto"/>
        </w:rPr>
        <w:t>，</w:t>
      </w:r>
      <w:r>
        <w:rPr>
          <w:rFonts w:ascii="微软雅黑" w:hAnsi="微软雅黑" w:eastAsia="微软雅黑"/>
          <w:color w:val="auto"/>
        </w:rPr>
        <w:t>针对性</w:t>
      </w:r>
      <w:r>
        <w:rPr>
          <w:rFonts w:hint="eastAsia" w:ascii="微软雅黑" w:hAnsi="微软雅黑" w:eastAsia="微软雅黑"/>
          <w:color w:val="auto"/>
        </w:rPr>
        <w:t>进行</w:t>
      </w:r>
      <w:r>
        <w:rPr>
          <w:rFonts w:ascii="微软雅黑" w:hAnsi="微软雅黑" w:eastAsia="微软雅黑"/>
          <w:color w:val="auto"/>
        </w:rPr>
        <w:t>培训。</w:t>
      </w:r>
    </w:p>
    <w:p>
      <w:pPr>
        <w:pStyle w:val="164"/>
        <w:ind w:left="-1" w:leftChars="-1" w:hanging="1"/>
        <w:rPr>
          <w:rFonts w:ascii="微软雅黑" w:hAnsi="微软雅黑" w:eastAsia="微软雅黑"/>
          <w:color w:val="auto"/>
        </w:rPr>
      </w:pPr>
      <w:r>
        <w:rPr>
          <w:rFonts w:ascii="微软雅黑" w:hAnsi="微软雅黑" w:eastAsia="微软雅黑"/>
          <w:color w:val="auto"/>
        </w:rPr>
        <w:t>乙方建筑施工特种作业人员必须经建设主管部门考核合格，取得建筑施工特种作业人员操作资格证书</w:t>
      </w:r>
      <w:r>
        <w:rPr>
          <w:rFonts w:hint="eastAsia" w:ascii="微软雅黑" w:hAnsi="微软雅黑" w:eastAsia="微软雅黑"/>
          <w:color w:val="auto"/>
        </w:rPr>
        <w:t>。</w:t>
      </w:r>
    </w:p>
    <w:p>
      <w:pPr>
        <w:pStyle w:val="164"/>
        <w:ind w:left="-1" w:leftChars="-1" w:hanging="1"/>
        <w:rPr>
          <w:rFonts w:ascii="微软雅黑" w:hAnsi="微软雅黑" w:eastAsia="微软雅黑"/>
          <w:color w:val="auto"/>
        </w:rPr>
      </w:pPr>
      <w:r>
        <w:rPr>
          <w:rFonts w:ascii="微软雅黑" w:hAnsi="微软雅黑" w:eastAsia="微软雅黑"/>
          <w:color w:val="auto"/>
        </w:rPr>
        <w:t>乙方施工中必须操作危险性机械设备的，</w:t>
      </w:r>
      <w:r>
        <w:rPr>
          <w:rFonts w:hint="eastAsia" w:ascii="微软雅黑" w:hAnsi="微软雅黑" w:eastAsia="微软雅黑"/>
          <w:color w:val="auto"/>
        </w:rPr>
        <w:t>如</w:t>
      </w:r>
      <w:r>
        <w:rPr>
          <w:rFonts w:ascii="微软雅黑" w:hAnsi="微软雅黑" w:eastAsia="微软雅黑"/>
          <w:color w:val="auto"/>
        </w:rPr>
        <w:t>吊车、</w:t>
      </w:r>
      <w:r>
        <w:rPr>
          <w:rFonts w:hint="eastAsia" w:ascii="微软雅黑" w:hAnsi="微软雅黑" w:eastAsia="微软雅黑"/>
          <w:color w:val="auto"/>
        </w:rPr>
        <w:t>叉车</w:t>
      </w:r>
      <w:r>
        <w:rPr>
          <w:rFonts w:ascii="微软雅黑" w:hAnsi="微软雅黑" w:eastAsia="微软雅黑"/>
          <w:color w:val="auto"/>
        </w:rPr>
        <w:t>、</w:t>
      </w:r>
      <w:r>
        <w:rPr>
          <w:rFonts w:hint="eastAsia" w:ascii="微软雅黑" w:hAnsi="微软雅黑" w:eastAsia="微软雅黑"/>
          <w:color w:val="auto"/>
        </w:rPr>
        <w:t>吊</w:t>
      </w:r>
      <w:r>
        <w:rPr>
          <w:rFonts w:ascii="微软雅黑" w:hAnsi="微软雅黑" w:eastAsia="微软雅黑"/>
          <w:color w:val="auto"/>
        </w:rPr>
        <w:t>笼等</w:t>
      </w:r>
      <w:r>
        <w:rPr>
          <w:rFonts w:hint="eastAsia" w:ascii="微软雅黑" w:hAnsi="微软雅黑" w:eastAsia="微软雅黑"/>
          <w:color w:val="auto"/>
        </w:rPr>
        <w:t>，</w:t>
      </w:r>
      <w:r>
        <w:rPr>
          <w:rFonts w:ascii="微软雅黑" w:hAnsi="微软雅黑" w:eastAsia="微软雅黑"/>
          <w:color w:val="auto"/>
        </w:rPr>
        <w:t>须提供设备</w:t>
      </w:r>
      <w:r>
        <w:rPr>
          <w:rFonts w:hint="eastAsia" w:ascii="微软雅黑" w:hAnsi="微软雅黑" w:eastAsia="微软雅黑"/>
          <w:color w:val="auto"/>
        </w:rPr>
        <w:t>相关检验</w:t>
      </w:r>
      <w:r>
        <w:rPr>
          <w:rFonts w:ascii="微软雅黑" w:hAnsi="微软雅黑" w:eastAsia="微软雅黑"/>
          <w:color w:val="auto"/>
        </w:rPr>
        <w:t>证明材料及操作人员证照，提供甲方审查通过后方可进场作业。经国家颁布安全生产法令规定必须接受安</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全培训合格的作业人员或通过主管部门考核而颁发的相关证件</w:t>
      </w:r>
      <w:r>
        <w:rPr>
          <w:rFonts w:hint="eastAsia" w:ascii="微软雅黑" w:hAnsi="微软雅黑" w:eastAsia="微软雅黑"/>
          <w:color w:val="auto"/>
        </w:rPr>
        <w:t>。</w:t>
      </w:r>
    </w:p>
    <w:p>
      <w:pPr>
        <w:pStyle w:val="164"/>
        <w:ind w:left="-1" w:leftChars="-1" w:hanging="1"/>
        <w:rPr>
          <w:rFonts w:ascii="微软雅黑" w:hAnsi="微软雅黑" w:eastAsia="微软雅黑"/>
          <w:color w:val="auto"/>
        </w:rPr>
      </w:pPr>
      <w:r>
        <w:rPr>
          <w:rFonts w:ascii="微软雅黑" w:hAnsi="微软雅黑" w:eastAsia="微软雅黑"/>
          <w:color w:val="auto"/>
        </w:rPr>
        <w:t>乙方应定期对所承包工程进行安全检查。</w:t>
      </w:r>
    </w:p>
    <w:p>
      <w:pPr>
        <w:pStyle w:val="164"/>
        <w:ind w:left="-1" w:leftChars="-1" w:hanging="1"/>
        <w:rPr>
          <w:rFonts w:ascii="微软雅黑" w:hAnsi="微软雅黑" w:eastAsia="微软雅黑"/>
          <w:color w:val="auto"/>
        </w:rPr>
      </w:pPr>
      <w:r>
        <w:rPr>
          <w:rFonts w:ascii="微软雅黑" w:hAnsi="微软雅黑" w:eastAsia="微软雅黑"/>
          <w:color w:val="auto"/>
        </w:rPr>
        <w:t>乙方项目部应建立健全安全检查制度，开展各类检查。检查发现的问题和隐患，应定人、定时间、定措施及时组织整改，相关检查整改记录应完整、真实。</w:t>
      </w:r>
    </w:p>
    <w:p>
      <w:pPr>
        <w:pStyle w:val="164"/>
        <w:ind w:left="-1" w:leftChars="-1" w:hanging="1"/>
        <w:rPr>
          <w:rFonts w:ascii="微软雅黑" w:hAnsi="微软雅黑" w:eastAsia="微软雅黑"/>
          <w:color w:val="auto"/>
        </w:rPr>
      </w:pPr>
      <w:r>
        <w:rPr>
          <w:rFonts w:ascii="微软雅黑" w:hAnsi="微软雅黑" w:eastAsia="微软雅黑"/>
          <w:color w:val="auto"/>
        </w:rPr>
        <w:t>乙方项目部应按专款专用、及时足额拨付的要求，组织实施安全生产费用使用计划，不得挪用或挤占。</w:t>
      </w:r>
    </w:p>
    <w:p>
      <w:pPr>
        <w:pStyle w:val="164"/>
        <w:ind w:left="-1" w:leftChars="-1" w:hanging="1"/>
        <w:rPr>
          <w:rFonts w:ascii="微软雅黑" w:hAnsi="微软雅黑" w:eastAsia="微软雅黑"/>
          <w:color w:val="auto"/>
        </w:rPr>
      </w:pPr>
      <w:r>
        <w:rPr>
          <w:rFonts w:ascii="微软雅黑" w:hAnsi="微软雅黑" w:eastAsia="微软雅黑"/>
          <w:color w:val="auto"/>
        </w:rPr>
        <w:t>乙方项目部应建立应急管理制度，完善应急管理体系（包括但不限于：编制应急预案、建立组织机构、配置应急器材、组建应急救援队伍、开展应急演练等），建立应急物资保障体系，明确应急设备和器材的配备和储存，并定期进行检查、维护和保养。</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的安全管理人员需要遵守</w:t>
      </w:r>
      <w:r>
        <w:rPr>
          <w:rFonts w:hint="eastAsia" w:ascii="微软雅黑" w:hAnsi="微软雅黑" w:eastAsia="微软雅黑"/>
          <w:color w:val="auto"/>
        </w:rPr>
        <w:t>甲方</w:t>
      </w:r>
      <w:r>
        <w:rPr>
          <w:rFonts w:ascii="微软雅黑" w:hAnsi="微软雅黑" w:eastAsia="微软雅黑"/>
          <w:color w:val="auto"/>
        </w:rPr>
        <w:t>的相关会议、检查制度，积极参加。</w:t>
      </w:r>
    </w:p>
    <w:p>
      <w:pPr>
        <w:pStyle w:val="163"/>
        <w:ind w:left="-2" w:leftChars="-1" w:firstLine="480"/>
        <w:rPr>
          <w:rFonts w:ascii="微软雅黑" w:hAnsi="微软雅黑" w:eastAsia="微软雅黑"/>
          <w:color w:val="auto"/>
        </w:rPr>
      </w:pPr>
      <w:r>
        <w:rPr>
          <w:rFonts w:ascii="微软雅黑" w:hAnsi="微软雅黑" w:eastAsia="微软雅黑"/>
          <w:color w:val="auto"/>
        </w:rPr>
        <w:t>卫生文明施工要求</w:t>
      </w:r>
    </w:p>
    <w:p>
      <w:pPr>
        <w:pStyle w:val="164"/>
        <w:ind w:left="-1" w:leftChars="-1" w:hanging="1"/>
        <w:rPr>
          <w:rFonts w:ascii="微软雅黑" w:hAnsi="微软雅黑" w:eastAsia="微软雅黑"/>
          <w:color w:val="auto"/>
        </w:rPr>
      </w:pPr>
      <w:r>
        <w:rPr>
          <w:rFonts w:ascii="微软雅黑" w:hAnsi="微软雅黑" w:eastAsia="微软雅黑"/>
          <w:color w:val="auto"/>
        </w:rPr>
        <w:t>乙方施工人员进场施工必须戴好安全帽、安全鞋，并佩戴好识别卡，统一着装（反光背心或者乙方公司统一服装，反光背心或者乙方公司统一服装有明显的公司名称标识）。</w:t>
      </w:r>
    </w:p>
    <w:p>
      <w:pPr>
        <w:pStyle w:val="164"/>
        <w:ind w:left="-1" w:leftChars="-1" w:hanging="1"/>
        <w:rPr>
          <w:rFonts w:ascii="微软雅黑" w:hAnsi="微软雅黑" w:eastAsia="微软雅黑"/>
          <w:color w:val="auto"/>
        </w:rPr>
      </w:pPr>
      <w:r>
        <w:rPr>
          <w:rFonts w:ascii="微软雅黑" w:hAnsi="微软雅黑" w:eastAsia="微软雅黑"/>
          <w:color w:val="auto"/>
        </w:rPr>
        <w:t>乙方应根据不同岗位对安全帽进行分色管理，安全监督管理人员佩戴红色安全帽，甲方/监理/总包单位管理人员和</w:t>
      </w:r>
      <w:r>
        <w:rPr>
          <w:rFonts w:hint="eastAsia" w:ascii="微软雅黑" w:hAnsi="微软雅黑" w:eastAsia="微软雅黑"/>
          <w:color w:val="auto"/>
        </w:rPr>
        <w:t>乙方</w:t>
      </w:r>
      <w:r>
        <w:rPr>
          <w:rFonts w:ascii="微软雅黑" w:hAnsi="微软雅黑" w:eastAsia="微软雅黑"/>
          <w:color w:val="auto"/>
        </w:rPr>
        <w:t>高层主管佩戴白色安全帽，特种作业人员蓝色安全帽，一般施工工人佩戴黄色安全帽，各作业班组兼职安全巡查员及高风作业现场监护人应佩戴相应的安全袖标。</w:t>
      </w:r>
    </w:p>
    <w:p>
      <w:pPr>
        <w:pStyle w:val="164"/>
        <w:ind w:left="-1" w:leftChars="-1" w:hanging="1"/>
        <w:rPr>
          <w:rFonts w:ascii="微软雅黑" w:hAnsi="微软雅黑" w:eastAsia="微软雅黑"/>
          <w:color w:val="auto"/>
        </w:rPr>
      </w:pPr>
      <w:r>
        <w:rPr>
          <w:rFonts w:hint="eastAsia" w:ascii="微软雅黑" w:hAnsi="微软雅黑" w:eastAsia="微软雅黑"/>
          <w:color w:val="auto"/>
        </w:rPr>
        <w:t>甲方综合</w:t>
      </w:r>
      <w:r>
        <w:rPr>
          <w:rFonts w:ascii="微软雅黑" w:hAnsi="微软雅黑" w:eastAsia="微软雅黑"/>
          <w:color w:val="auto"/>
        </w:rPr>
        <w:t>评估大型土</w:t>
      </w:r>
      <w:r>
        <w:rPr>
          <w:rFonts w:hint="eastAsia" w:ascii="微软雅黑" w:hAnsi="微软雅黑" w:eastAsia="微软雅黑"/>
          <w:color w:val="auto"/>
        </w:rPr>
        <w:t>建</w:t>
      </w:r>
      <w:r>
        <w:rPr>
          <w:rFonts w:ascii="微软雅黑" w:hAnsi="微软雅黑" w:eastAsia="微软雅黑"/>
          <w:color w:val="auto"/>
        </w:rPr>
        <w:t>项目乙方应设置农名工夜校及安全体验设施，组织开展新进人员入场培训及定期安全专项培训等，不断提升农民工安全技能、安全意识及事故应急处置水平。</w:t>
      </w:r>
    </w:p>
    <w:p>
      <w:pPr>
        <w:pStyle w:val="164"/>
        <w:ind w:left="-1" w:leftChars="-1" w:hanging="1"/>
        <w:rPr>
          <w:rFonts w:ascii="微软雅黑" w:hAnsi="微软雅黑" w:eastAsia="微软雅黑"/>
          <w:color w:val="auto"/>
        </w:rPr>
      </w:pPr>
      <w:r>
        <w:rPr>
          <w:rFonts w:ascii="微软雅黑" w:hAnsi="微软雅黑" w:eastAsia="微软雅黑"/>
          <w:color w:val="auto"/>
        </w:rPr>
        <w:t>施工现场（包括但不限于：在建工程的通道口、预留洞口、电梯井口、楼梯口、楼面临边、屋面临边、阳台临边、升降口临边、基坑临边、加工区、起重装置、临时用电设施、脚手架、爆破物及有害危险气体和液体存放处等危险部位）安全标志应符合《安全标志及其使用导则》GB2894-2008的要求，安全警示标志应有采用坚固耐用的材料制成，有触电危险的作业场所应使用绝缘材料。安全警示标志应图案清楚，表面无任何使用的疵病。</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应在施工现场设置必要的宣传标语（如9牌2图等）、警示围篱、危险告知牌等，在施工人员主要进出口处及茶水吸烟处设置施工安全基本要求宣传栏。</w:t>
      </w:r>
    </w:p>
    <w:p>
      <w:pPr>
        <w:pStyle w:val="164"/>
        <w:ind w:left="-1" w:leftChars="-1" w:hanging="1"/>
        <w:rPr>
          <w:rFonts w:ascii="微软雅黑" w:hAnsi="微软雅黑" w:eastAsia="微软雅黑"/>
          <w:color w:val="auto"/>
        </w:rPr>
      </w:pPr>
      <w:r>
        <w:rPr>
          <w:rFonts w:ascii="微软雅黑" w:hAnsi="微软雅黑" w:eastAsia="微软雅黑"/>
          <w:color w:val="auto"/>
        </w:rPr>
        <w:t>乙方在施工过程中可能对环境造成污染（包括噪声、废渣、灰尘、废气或污水等）的，必须提前通知甲方安全环保部门，在没有落实防范措施之前，不得进行施工作业。</w:t>
      </w:r>
    </w:p>
    <w:p>
      <w:pPr>
        <w:pStyle w:val="164"/>
        <w:ind w:left="-1" w:leftChars="-1" w:hanging="1"/>
        <w:rPr>
          <w:rFonts w:ascii="微软雅黑" w:hAnsi="微软雅黑" w:eastAsia="微软雅黑"/>
          <w:color w:val="auto"/>
        </w:rPr>
      </w:pPr>
      <w:r>
        <w:rPr>
          <w:rFonts w:ascii="微软雅黑" w:hAnsi="微软雅黑" w:eastAsia="微软雅黑"/>
          <w:color w:val="auto"/>
        </w:rPr>
        <w:t>乙方加工区、材料暂存区及主要通道等应作硬化处理，乙方产尘施工现场必要时应设置喷雾防尘系统，易扬尘堆料应覆盖，防止扬尘等环境污染。</w:t>
      </w:r>
    </w:p>
    <w:p>
      <w:pPr>
        <w:pStyle w:val="164"/>
        <w:ind w:left="-1" w:leftChars="-1" w:hanging="1"/>
        <w:rPr>
          <w:rFonts w:ascii="微软雅黑" w:hAnsi="微软雅黑" w:eastAsia="微软雅黑"/>
          <w:color w:val="auto"/>
        </w:rPr>
      </w:pPr>
      <w:r>
        <w:rPr>
          <w:rFonts w:ascii="微软雅黑" w:hAnsi="微软雅黑" w:eastAsia="微软雅黑"/>
          <w:color w:val="auto"/>
        </w:rPr>
        <w:t>乙方材料或设备需要在甲方厂内存放的，必须向甲方工安环保部门申请《物料存放申请单》，审批通过后，在指定的存放区域存放，并做好围篱挂牌。乙方不可私自放置现场，未经审批通过或暂存申请过期的存放材料，甲方有权直接清理出厂，相关费用甲方有权直接从</w:t>
      </w:r>
      <w:r>
        <w:rPr>
          <w:rFonts w:hint="eastAsia" w:ascii="微软雅黑" w:hAnsi="微软雅黑" w:eastAsia="微软雅黑"/>
          <w:color w:val="auto"/>
        </w:rPr>
        <w:t>应付</w:t>
      </w:r>
      <w:r>
        <w:rPr>
          <w:rFonts w:ascii="微软雅黑" w:hAnsi="微软雅黑" w:eastAsia="微软雅黑"/>
          <w:color w:val="auto"/>
        </w:rPr>
        <w:t>乙方款</w:t>
      </w:r>
      <w:r>
        <w:rPr>
          <w:rFonts w:hint="eastAsia" w:ascii="微软雅黑" w:hAnsi="微软雅黑" w:eastAsia="微软雅黑"/>
          <w:color w:val="auto"/>
        </w:rPr>
        <w:t>项</w:t>
      </w:r>
      <w:r>
        <w:rPr>
          <w:rFonts w:ascii="微软雅黑" w:hAnsi="微软雅黑" w:eastAsia="微软雅黑"/>
          <w:color w:val="auto"/>
        </w:rPr>
        <w:t>中扣除。</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保证施工现场保持干净、整洁，现场工器具定置管理。施工现场做好物品可视化标识，名称标识、数量标识、控板标识、安全警示等。</w:t>
      </w:r>
    </w:p>
    <w:p>
      <w:pPr>
        <w:pStyle w:val="164"/>
        <w:ind w:left="-1" w:leftChars="-1" w:hanging="1"/>
        <w:rPr>
          <w:rFonts w:ascii="微软雅黑" w:hAnsi="微软雅黑" w:eastAsia="微软雅黑"/>
          <w:color w:val="auto"/>
        </w:rPr>
      </w:pPr>
      <w:r>
        <w:rPr>
          <w:rFonts w:ascii="微软雅黑" w:hAnsi="微软雅黑" w:eastAsia="微软雅黑"/>
          <w:color w:val="auto"/>
        </w:rPr>
        <w:t>当日施工完毕必须进行整理、整顿、清扫、清洁作业。由乙方自行清理施工区域并将当日垃圾清出厂外，禁止存放厂区，否则甲方有权直接清理出厂，相关费用从</w:t>
      </w:r>
      <w:r>
        <w:rPr>
          <w:rFonts w:hint="eastAsia" w:ascii="微软雅黑" w:hAnsi="微软雅黑" w:eastAsia="微软雅黑"/>
          <w:color w:val="auto"/>
        </w:rPr>
        <w:t>应付</w:t>
      </w:r>
      <w:r>
        <w:rPr>
          <w:rFonts w:ascii="微软雅黑" w:hAnsi="微软雅黑" w:eastAsia="微软雅黑"/>
          <w:color w:val="auto"/>
        </w:rPr>
        <w:t>乙方款</w:t>
      </w:r>
      <w:r>
        <w:rPr>
          <w:rFonts w:hint="eastAsia" w:ascii="微软雅黑" w:hAnsi="微软雅黑" w:eastAsia="微软雅黑"/>
          <w:color w:val="auto"/>
        </w:rPr>
        <w:t>项</w:t>
      </w:r>
      <w:r>
        <w:rPr>
          <w:rFonts w:ascii="微软雅黑" w:hAnsi="微软雅黑" w:eastAsia="微软雅黑"/>
          <w:color w:val="auto"/>
        </w:rPr>
        <w:t>中扣除。如有缴纳清洁费或总包管理费的情况，根据合同要求，由相应的责任包商清理，如总包负责统一外运的，则施</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工厂商需清理至指定位置。</w:t>
      </w:r>
    </w:p>
    <w:p>
      <w:pPr>
        <w:pStyle w:val="164"/>
        <w:ind w:left="-1" w:leftChars="-1" w:hanging="1"/>
        <w:rPr>
          <w:rFonts w:ascii="微软雅黑" w:hAnsi="微软雅黑" w:eastAsia="微软雅黑"/>
          <w:color w:val="auto"/>
        </w:rPr>
      </w:pPr>
      <w:r>
        <w:rPr>
          <w:rFonts w:ascii="微软雅黑" w:hAnsi="微软雅黑" w:eastAsia="微软雅黑"/>
          <w:color w:val="auto"/>
        </w:rPr>
        <w:t>施工场所不可存放与施工无关之东西，不用器具物料应尽早于施工完毕后清运出厂。可回收废弃物，需清理至厂内制定回收站内，不可现场随意丢弃或存放。</w:t>
      </w:r>
    </w:p>
    <w:p>
      <w:pPr>
        <w:pStyle w:val="164"/>
        <w:ind w:left="-1" w:leftChars="-1" w:hanging="1"/>
        <w:rPr>
          <w:rFonts w:ascii="微软雅黑" w:hAnsi="微软雅黑" w:eastAsia="微软雅黑"/>
          <w:color w:val="auto"/>
        </w:rPr>
      </w:pPr>
      <w:r>
        <w:rPr>
          <w:rFonts w:ascii="微软雅黑" w:hAnsi="微软雅黑" w:eastAsia="微软雅黑"/>
          <w:color w:val="auto"/>
        </w:rPr>
        <w:t>施工需倡导文明施工，施工场所禁止喝酒、抽烟（除特定吸烟区之外）、饮食、赤膊、穿拖鞋、睡觉等现象。禁止打架斗殴、盗窃、威胁、赌博等违法行为。</w:t>
      </w:r>
    </w:p>
    <w:p>
      <w:pPr>
        <w:pStyle w:val="164"/>
        <w:ind w:left="-1" w:leftChars="-1" w:hanging="1"/>
        <w:rPr>
          <w:rFonts w:ascii="微软雅黑" w:hAnsi="微软雅黑" w:eastAsia="微软雅黑"/>
          <w:color w:val="auto"/>
        </w:rPr>
      </w:pPr>
      <w:r>
        <w:rPr>
          <w:rFonts w:ascii="微软雅黑" w:hAnsi="微软雅黑" w:eastAsia="微软雅黑"/>
          <w:color w:val="auto"/>
        </w:rPr>
        <w:t>洗车槽、茶水吸烟室、流动或固定厕所、开工前（工具箱）会议地点及临时消防设施等，</w:t>
      </w:r>
      <w:r>
        <w:rPr>
          <w:rFonts w:hint="eastAsia" w:ascii="微软雅黑" w:hAnsi="微软雅黑" w:eastAsia="微软雅黑"/>
          <w:color w:val="auto"/>
        </w:rPr>
        <w:t>乙方应</w:t>
      </w:r>
      <w:r>
        <w:rPr>
          <w:rFonts w:ascii="微软雅黑" w:hAnsi="微软雅黑" w:eastAsia="微软雅黑"/>
          <w:color w:val="auto"/>
        </w:rPr>
        <w:t>自</w:t>
      </w:r>
      <w:r>
        <w:rPr>
          <w:rFonts w:hint="eastAsia" w:ascii="微软雅黑" w:hAnsi="微软雅黑" w:eastAsia="微软雅黑"/>
          <w:color w:val="auto"/>
        </w:rPr>
        <w:t>费</w:t>
      </w:r>
      <w:r>
        <w:rPr>
          <w:rFonts w:ascii="微软雅黑" w:hAnsi="微软雅黑" w:eastAsia="微软雅黑"/>
          <w:color w:val="auto"/>
        </w:rPr>
        <w:t>按照相应法律法规要求配置。</w:t>
      </w:r>
    </w:p>
    <w:p>
      <w:pPr>
        <w:pStyle w:val="164"/>
        <w:ind w:left="-1" w:leftChars="-1" w:hanging="1"/>
        <w:rPr>
          <w:rFonts w:ascii="微软雅黑" w:hAnsi="微软雅黑" w:eastAsia="微软雅黑"/>
          <w:color w:val="auto"/>
        </w:rPr>
      </w:pPr>
      <w:r>
        <w:rPr>
          <w:rFonts w:ascii="微软雅黑" w:hAnsi="微软雅黑" w:eastAsia="微软雅黑"/>
          <w:color w:val="auto"/>
        </w:rPr>
        <w:t>乙方在施工过程中对环境造成污染而受周围居民或厂端投诉，在接到甲方要求整改后未按规定时间整改到位的，甲方有权中止其施工作业，因此造成的误工损失由乙方自行承担。</w:t>
      </w:r>
    </w:p>
    <w:p>
      <w:pPr>
        <w:pStyle w:val="164"/>
        <w:ind w:left="-1" w:leftChars="-1" w:hanging="1"/>
        <w:rPr>
          <w:rFonts w:ascii="微软雅黑" w:hAnsi="微软雅黑" w:eastAsia="微软雅黑"/>
          <w:color w:val="auto"/>
        </w:rPr>
      </w:pPr>
      <w:r>
        <w:rPr>
          <w:rFonts w:ascii="微软雅黑" w:hAnsi="微软雅黑" w:eastAsia="微软雅黑"/>
          <w:color w:val="auto"/>
        </w:rPr>
        <w:t>因乙方在施工过程中对环境造成污染而受环保单位处罚的，处罚金额由乙方自行承担，受到停工处罚的、造成工期延误的后果由乙方承担。乙方向甲方</w:t>
      </w:r>
      <w:r>
        <w:rPr>
          <w:rFonts w:hint="eastAsia" w:ascii="微软雅黑" w:hAnsi="微软雅黑" w:eastAsia="微软雅黑"/>
          <w:color w:val="auto"/>
        </w:rPr>
        <w:t>提供</w:t>
      </w:r>
      <w:r>
        <w:rPr>
          <w:rFonts w:ascii="微软雅黑" w:hAnsi="微软雅黑" w:eastAsia="微软雅黑"/>
          <w:color w:val="auto"/>
        </w:rPr>
        <w:t>的</w:t>
      </w:r>
      <w:r>
        <w:rPr>
          <w:rFonts w:hint="eastAsia" w:ascii="微软雅黑" w:hAnsi="微软雅黑" w:eastAsia="微软雅黑"/>
          <w:color w:val="auto"/>
        </w:rPr>
        <w:t>化学品</w:t>
      </w:r>
      <w:r>
        <w:rPr>
          <w:rFonts w:ascii="微软雅黑" w:hAnsi="微软雅黑" w:eastAsia="微软雅黑"/>
          <w:color w:val="auto"/>
        </w:rPr>
        <w:t>或</w:t>
      </w:r>
      <w:r>
        <w:rPr>
          <w:rFonts w:hint="eastAsia" w:ascii="微软雅黑" w:hAnsi="微软雅黑" w:eastAsia="微软雅黑"/>
          <w:color w:val="auto"/>
        </w:rPr>
        <w:t>服务及</w:t>
      </w:r>
      <w:r>
        <w:rPr>
          <w:rFonts w:ascii="微软雅黑" w:hAnsi="微软雅黑" w:eastAsia="微软雅黑"/>
          <w:color w:val="auto"/>
        </w:rPr>
        <w:t>施工</w:t>
      </w:r>
      <w:r>
        <w:rPr>
          <w:rFonts w:hint="eastAsia" w:ascii="微软雅黑" w:hAnsi="微软雅黑" w:eastAsia="微软雅黑"/>
          <w:color w:val="auto"/>
        </w:rPr>
        <w:t>过程</w:t>
      </w:r>
      <w:r>
        <w:rPr>
          <w:rFonts w:ascii="微软雅黑" w:hAnsi="微软雅黑" w:eastAsia="微软雅黑"/>
          <w:color w:val="auto"/>
        </w:rPr>
        <w:t>中使用的</w:t>
      </w:r>
      <w:r>
        <w:rPr>
          <w:rFonts w:hint="eastAsia" w:ascii="微软雅黑" w:hAnsi="微软雅黑" w:eastAsia="微软雅黑"/>
          <w:color w:val="auto"/>
        </w:rPr>
        <w:t>化学物质</w:t>
      </w:r>
      <w:r>
        <w:rPr>
          <w:rFonts w:ascii="微软雅黑" w:hAnsi="微软雅黑" w:eastAsia="微软雅黑"/>
          <w:color w:val="auto"/>
        </w:rPr>
        <w:t>不得含有《</w:t>
      </w:r>
      <w:r>
        <w:rPr>
          <w:rFonts w:hint="eastAsia" w:ascii="微软雅黑" w:hAnsi="微软雅黑" w:eastAsia="微软雅黑"/>
          <w:color w:val="auto"/>
        </w:rPr>
        <w:t>污水</w:t>
      </w:r>
      <w:r>
        <w:rPr>
          <w:rFonts w:ascii="微软雅黑" w:hAnsi="微软雅黑" w:eastAsia="微软雅黑"/>
          <w:color w:val="auto"/>
        </w:rPr>
        <w:t>综合排放标准》</w:t>
      </w:r>
      <w:r>
        <w:rPr>
          <w:rFonts w:hint="eastAsia" w:ascii="微软雅黑" w:hAnsi="微软雅黑" w:eastAsia="微软雅黑"/>
          <w:color w:val="auto"/>
        </w:rPr>
        <w:t>中</w:t>
      </w:r>
      <w:r>
        <w:rPr>
          <w:rFonts w:ascii="微软雅黑" w:hAnsi="微软雅黑" w:eastAsia="微软雅黑"/>
          <w:color w:val="auto"/>
        </w:rPr>
        <w:t>规定的13种第一类</w:t>
      </w:r>
      <w:r>
        <w:rPr>
          <w:rFonts w:hint="eastAsia" w:ascii="微软雅黑" w:hAnsi="微软雅黑" w:eastAsia="微软雅黑"/>
          <w:color w:val="auto"/>
        </w:rPr>
        <w:t>水</w:t>
      </w:r>
      <w:r>
        <w:rPr>
          <w:rFonts w:ascii="微软雅黑" w:hAnsi="微软雅黑" w:eastAsia="微软雅黑"/>
          <w:color w:val="auto"/>
        </w:rPr>
        <w:t>污染物</w:t>
      </w:r>
      <w:r>
        <w:rPr>
          <w:rFonts w:hint="eastAsia" w:ascii="微软雅黑" w:hAnsi="微软雅黑" w:eastAsia="微软雅黑"/>
          <w:color w:val="auto"/>
        </w:rPr>
        <w:t>(总汞</w:t>
      </w:r>
      <w:r>
        <w:rPr>
          <w:rFonts w:ascii="微软雅黑" w:hAnsi="微软雅黑" w:eastAsia="微软雅黑"/>
          <w:color w:val="auto"/>
        </w:rPr>
        <w:t>、</w:t>
      </w:r>
      <w:r>
        <w:rPr>
          <w:rFonts w:hint="eastAsia" w:ascii="微软雅黑" w:hAnsi="微软雅黑" w:eastAsia="微软雅黑"/>
          <w:color w:val="auto"/>
        </w:rPr>
        <w:t>烷基汞</w:t>
      </w:r>
      <w:r>
        <w:rPr>
          <w:rFonts w:ascii="微软雅黑" w:hAnsi="微软雅黑" w:eastAsia="微软雅黑"/>
          <w:color w:val="auto"/>
        </w:rPr>
        <w:t>、</w:t>
      </w:r>
      <w:r>
        <w:rPr>
          <w:rFonts w:hint="eastAsia" w:ascii="微软雅黑" w:hAnsi="微软雅黑" w:eastAsia="微软雅黑"/>
          <w:color w:val="auto"/>
        </w:rPr>
        <w:t>总</w:t>
      </w:r>
      <w:r>
        <w:rPr>
          <w:rFonts w:ascii="微软雅黑" w:hAnsi="微软雅黑" w:eastAsia="微软雅黑"/>
          <w:color w:val="auto"/>
        </w:rPr>
        <w:t>镉、</w:t>
      </w:r>
      <w:r>
        <w:rPr>
          <w:rFonts w:hint="eastAsia" w:ascii="微软雅黑" w:hAnsi="微软雅黑" w:eastAsia="微软雅黑"/>
          <w:color w:val="auto"/>
        </w:rPr>
        <w:t>总</w:t>
      </w:r>
      <w:r>
        <w:rPr>
          <w:rFonts w:ascii="微软雅黑" w:hAnsi="微软雅黑" w:eastAsia="微软雅黑"/>
          <w:color w:val="auto"/>
        </w:rPr>
        <w:t>铬</w:t>
      </w:r>
      <w:r>
        <w:rPr>
          <w:rFonts w:hint="eastAsia" w:ascii="微软雅黑" w:hAnsi="微软雅黑" w:eastAsia="微软雅黑"/>
          <w:color w:val="auto"/>
        </w:rPr>
        <w:t>、</w:t>
      </w:r>
      <w:r>
        <w:rPr>
          <w:rFonts w:ascii="微软雅黑" w:hAnsi="微软雅黑" w:eastAsia="微软雅黑"/>
          <w:color w:val="auto"/>
        </w:rPr>
        <w:t>六价铬、</w:t>
      </w:r>
      <w:r>
        <w:rPr>
          <w:rFonts w:hint="eastAsia" w:ascii="微软雅黑" w:hAnsi="微软雅黑" w:eastAsia="微软雅黑"/>
          <w:color w:val="auto"/>
        </w:rPr>
        <w:t>总砷</w:t>
      </w:r>
      <w:r>
        <w:rPr>
          <w:rFonts w:ascii="微软雅黑" w:hAnsi="微软雅黑" w:eastAsia="微软雅黑"/>
          <w:color w:val="auto"/>
        </w:rPr>
        <w:t>、</w:t>
      </w:r>
      <w:r>
        <w:rPr>
          <w:rFonts w:hint="eastAsia" w:ascii="微软雅黑" w:hAnsi="微软雅黑" w:eastAsia="微软雅黑"/>
          <w:color w:val="auto"/>
        </w:rPr>
        <w:t>总</w:t>
      </w:r>
      <w:r>
        <w:rPr>
          <w:rFonts w:ascii="微软雅黑" w:hAnsi="微软雅黑" w:eastAsia="微软雅黑"/>
          <w:color w:val="auto"/>
        </w:rPr>
        <w:t>铅、</w:t>
      </w:r>
      <w:r>
        <w:rPr>
          <w:rFonts w:hint="eastAsia" w:ascii="微软雅黑" w:hAnsi="微软雅黑" w:eastAsia="微软雅黑"/>
          <w:color w:val="auto"/>
        </w:rPr>
        <w:t>总</w:t>
      </w:r>
      <w:r>
        <w:rPr>
          <w:rFonts w:ascii="微软雅黑" w:hAnsi="微软雅黑" w:eastAsia="微软雅黑"/>
          <w:color w:val="auto"/>
        </w:rPr>
        <w:t>镍、</w:t>
      </w:r>
      <w:r>
        <w:rPr>
          <w:rFonts w:hint="eastAsia" w:ascii="微软雅黑" w:hAnsi="微软雅黑" w:eastAsia="微软雅黑"/>
          <w:color w:val="auto"/>
        </w:rPr>
        <w:t>苯并（</w:t>
      </w:r>
      <w:r>
        <w:rPr>
          <w:rFonts w:ascii="微软雅黑" w:hAnsi="微软雅黑" w:eastAsia="微软雅黑"/>
          <w:color w:val="auto"/>
        </w:rPr>
        <w:t>a）</w:t>
      </w:r>
      <w:r>
        <w:rPr>
          <w:rFonts w:hint="eastAsia" w:ascii="微软雅黑" w:hAnsi="微软雅黑" w:eastAsia="微软雅黑"/>
          <w:color w:val="auto"/>
        </w:rPr>
        <w:t>芘、总铍</w:t>
      </w:r>
      <w:r>
        <w:rPr>
          <w:rFonts w:ascii="微软雅黑" w:hAnsi="微软雅黑" w:eastAsia="微软雅黑"/>
          <w:color w:val="auto"/>
        </w:rPr>
        <w:t>、</w:t>
      </w:r>
      <w:r>
        <w:rPr>
          <w:rFonts w:hint="eastAsia" w:ascii="微软雅黑" w:hAnsi="微软雅黑" w:eastAsia="微软雅黑"/>
          <w:color w:val="auto"/>
        </w:rPr>
        <w:t>总银</w:t>
      </w:r>
      <w:r>
        <w:rPr>
          <w:rFonts w:ascii="微软雅黑" w:hAnsi="微软雅黑" w:eastAsia="微软雅黑"/>
          <w:color w:val="auto"/>
        </w:rPr>
        <w:t>、</w:t>
      </w:r>
      <w:r>
        <w:rPr>
          <w:rFonts w:hint="eastAsia" w:ascii="微软雅黑" w:hAnsi="微软雅黑" w:eastAsia="微软雅黑"/>
          <w:color w:val="auto"/>
        </w:rPr>
        <w:t>总α放射性</w:t>
      </w:r>
      <w:r>
        <w:rPr>
          <w:rFonts w:ascii="微软雅黑" w:hAnsi="微软雅黑" w:eastAsia="微软雅黑"/>
          <w:color w:val="auto"/>
        </w:rPr>
        <w:t>、</w:t>
      </w:r>
      <w:r>
        <w:rPr>
          <w:rFonts w:hint="eastAsia" w:ascii="微软雅黑" w:hAnsi="微软雅黑" w:eastAsia="微软雅黑"/>
          <w:color w:val="auto"/>
        </w:rPr>
        <w:t>总</w:t>
      </w:r>
      <w:r>
        <w:rPr>
          <w:rFonts w:ascii="微软雅黑" w:hAnsi="微软雅黑" w:eastAsia="微软雅黑"/>
          <w:color w:val="auto"/>
        </w:rPr>
        <w:t>β放射性</w:t>
      </w:r>
      <w:r>
        <w:rPr>
          <w:rFonts w:hint="eastAsia" w:ascii="微软雅黑" w:hAnsi="微软雅黑" w:eastAsia="微软雅黑"/>
          <w:color w:val="auto"/>
        </w:rPr>
        <w:t>)和</w:t>
      </w:r>
      <w:r>
        <w:rPr>
          <w:rFonts w:ascii="微软雅黑" w:hAnsi="微软雅黑" w:eastAsia="微软雅黑"/>
          <w:color w:val="auto"/>
        </w:rPr>
        <w:t>不得含有</w:t>
      </w:r>
      <w:r>
        <w:rPr>
          <w:rFonts w:hint="eastAsia" w:ascii="微软雅黑" w:hAnsi="微软雅黑" w:eastAsia="微软雅黑"/>
          <w:color w:val="auto"/>
        </w:rPr>
        <w:t>《有毒有害大气污染物名录（</w:t>
      </w:r>
      <w:r>
        <w:rPr>
          <w:rFonts w:ascii="微软雅黑" w:hAnsi="微软雅黑" w:eastAsia="微软雅黑"/>
          <w:color w:val="auto"/>
        </w:rPr>
        <w:t>2018年）》中规定的11种有毒有害</w:t>
      </w:r>
      <w:r>
        <w:rPr>
          <w:rFonts w:hint="eastAsia" w:ascii="微软雅黑" w:hAnsi="微软雅黑" w:eastAsia="微软雅黑"/>
          <w:color w:val="auto"/>
        </w:rPr>
        <w:t>大气污染物</w:t>
      </w:r>
      <w:r>
        <w:rPr>
          <w:rFonts w:ascii="微软雅黑" w:hAnsi="微软雅黑" w:eastAsia="微软雅黑"/>
          <w:color w:val="auto"/>
        </w:rPr>
        <w:t>：</w:t>
      </w:r>
      <w:r>
        <w:rPr>
          <w:rFonts w:hint="eastAsia" w:ascii="微软雅黑" w:hAnsi="微软雅黑" w:eastAsia="微软雅黑"/>
          <w:color w:val="auto"/>
        </w:rPr>
        <w:t>二氯甲烷、甲醛</w:t>
      </w:r>
      <w:r>
        <w:rPr>
          <w:rFonts w:ascii="微软雅黑" w:hAnsi="微软雅黑" w:eastAsia="微软雅黑"/>
          <w:color w:val="auto"/>
        </w:rPr>
        <w:t>、</w:t>
      </w:r>
      <w:r>
        <w:rPr>
          <w:rFonts w:hint="eastAsia" w:ascii="微软雅黑" w:hAnsi="微软雅黑" w:eastAsia="微软雅黑"/>
          <w:color w:val="auto"/>
        </w:rPr>
        <w:t>三氯甲烷</w:t>
      </w:r>
      <w:r>
        <w:rPr>
          <w:rFonts w:ascii="微软雅黑" w:hAnsi="微软雅黑" w:eastAsia="微软雅黑"/>
          <w:color w:val="auto"/>
        </w:rPr>
        <w:t>、</w:t>
      </w:r>
      <w:r>
        <w:rPr>
          <w:rFonts w:hint="eastAsia" w:ascii="微软雅黑" w:hAnsi="微软雅黑" w:eastAsia="微软雅黑"/>
          <w:color w:val="auto"/>
        </w:rPr>
        <w:t>三氯乙烯</w:t>
      </w:r>
      <w:r>
        <w:rPr>
          <w:rFonts w:ascii="微软雅黑" w:hAnsi="微软雅黑" w:eastAsia="微软雅黑"/>
          <w:color w:val="auto"/>
        </w:rPr>
        <w:t>、</w:t>
      </w:r>
      <w:r>
        <w:rPr>
          <w:rFonts w:hint="eastAsia" w:ascii="微软雅黑" w:hAnsi="微软雅黑" w:eastAsia="微软雅黑"/>
          <w:color w:val="auto"/>
        </w:rPr>
        <w:t>四氯乙烯</w:t>
      </w:r>
      <w:r>
        <w:rPr>
          <w:rFonts w:ascii="微软雅黑" w:hAnsi="微软雅黑" w:eastAsia="微软雅黑"/>
          <w:color w:val="auto"/>
        </w:rPr>
        <w:t>、</w:t>
      </w:r>
      <w:r>
        <w:rPr>
          <w:rFonts w:hint="eastAsia" w:ascii="微软雅黑" w:hAnsi="微软雅黑" w:eastAsia="微软雅黑"/>
          <w:color w:val="auto"/>
        </w:rPr>
        <w:t>乙醛、镉</w:t>
      </w:r>
      <w:r>
        <w:rPr>
          <w:rFonts w:ascii="微软雅黑" w:hAnsi="微软雅黑" w:eastAsia="微软雅黑"/>
          <w:color w:val="auto"/>
        </w:rPr>
        <w:t>及其化合物、</w:t>
      </w:r>
      <w:r>
        <w:rPr>
          <w:rFonts w:hint="eastAsia" w:ascii="微软雅黑" w:hAnsi="微软雅黑" w:eastAsia="微软雅黑"/>
          <w:color w:val="auto"/>
        </w:rPr>
        <w:t>铬</w:t>
      </w:r>
      <w:r>
        <w:rPr>
          <w:rFonts w:ascii="微软雅黑" w:hAnsi="微软雅黑" w:eastAsia="微软雅黑"/>
          <w:color w:val="auto"/>
        </w:rPr>
        <w:t>及其</w:t>
      </w:r>
      <w:r>
        <w:rPr>
          <w:rFonts w:hint="eastAsia" w:ascii="微软雅黑" w:hAnsi="微软雅黑" w:eastAsia="微软雅黑"/>
          <w:color w:val="auto"/>
        </w:rPr>
        <w:t>化合物</w:t>
      </w:r>
      <w:r>
        <w:rPr>
          <w:rFonts w:ascii="微软雅黑" w:hAnsi="微软雅黑" w:eastAsia="微软雅黑"/>
          <w:color w:val="auto"/>
        </w:rPr>
        <w:t>、</w:t>
      </w:r>
      <w:r>
        <w:rPr>
          <w:rFonts w:hint="eastAsia" w:ascii="微软雅黑" w:hAnsi="微软雅黑" w:eastAsia="微软雅黑"/>
          <w:color w:val="auto"/>
        </w:rPr>
        <w:t>汞及其化合物、铅及其化合物、砷及其化合物。</w:t>
      </w:r>
    </w:p>
    <w:p>
      <w:pPr>
        <w:pStyle w:val="163"/>
        <w:ind w:left="-2" w:leftChars="-1" w:firstLine="480"/>
        <w:rPr>
          <w:rFonts w:ascii="微软雅黑" w:hAnsi="微软雅黑" w:eastAsia="微软雅黑"/>
          <w:color w:val="auto"/>
        </w:rPr>
      </w:pPr>
      <w:r>
        <w:rPr>
          <w:rFonts w:ascii="微软雅黑" w:hAnsi="微软雅黑" w:eastAsia="微软雅黑"/>
          <w:color w:val="auto"/>
        </w:rPr>
        <w:t>作业安全要求</w:t>
      </w:r>
    </w:p>
    <w:p>
      <w:pPr>
        <w:pStyle w:val="164"/>
        <w:ind w:left="-1" w:leftChars="-1" w:hanging="1"/>
        <w:rPr>
          <w:rFonts w:ascii="微软雅黑" w:hAnsi="微软雅黑" w:eastAsia="微软雅黑"/>
          <w:color w:val="auto"/>
        </w:rPr>
      </w:pPr>
      <w:r>
        <w:rPr>
          <w:rFonts w:ascii="微软雅黑" w:hAnsi="微软雅黑" w:eastAsia="微软雅黑"/>
          <w:color w:val="auto"/>
        </w:rPr>
        <w:t>乙方所有施工人员每天必须参加甲方工安环保部门每天早晨组织的入厂前施工安全宣导，并在每天施工作业前组织召开现场作业前安全工具箱会议并形成书面记录。</w:t>
      </w:r>
    </w:p>
    <w:p>
      <w:pPr>
        <w:pStyle w:val="164"/>
        <w:ind w:left="-1" w:leftChars="-1" w:hanging="1"/>
        <w:rPr>
          <w:rFonts w:ascii="微软雅黑" w:hAnsi="微软雅黑" w:eastAsia="微软雅黑"/>
          <w:color w:val="auto"/>
        </w:rPr>
      </w:pPr>
      <w:r>
        <w:rPr>
          <w:rFonts w:ascii="微软雅黑" w:hAnsi="微软雅黑" w:eastAsia="微软雅黑"/>
          <w:color w:val="auto"/>
        </w:rPr>
        <w:t>乙方进入工作场所时，应先了解工作环境中有无不安全环境，并注意甲方所告知一切安全注意事项，并确实执行相关安全措施。</w:t>
      </w:r>
    </w:p>
    <w:p>
      <w:pPr>
        <w:pStyle w:val="164"/>
        <w:ind w:left="-1" w:leftChars="-1" w:hanging="1"/>
        <w:rPr>
          <w:rFonts w:ascii="微软雅黑" w:hAnsi="微软雅黑" w:eastAsia="微软雅黑"/>
          <w:color w:val="auto"/>
        </w:rPr>
      </w:pPr>
      <w:r>
        <w:rPr>
          <w:rFonts w:ascii="微软雅黑" w:hAnsi="微软雅黑" w:eastAsia="微软雅黑"/>
          <w:color w:val="auto"/>
        </w:rPr>
        <w:t>乙方安全人员应执行工作场所安全措施并于明显区域设置施工安全管理看板、围篱告示及材料存放告示，每日施工中及施工后实施工地安全巡检。</w:t>
      </w:r>
    </w:p>
    <w:p>
      <w:pPr>
        <w:pStyle w:val="164"/>
        <w:ind w:left="-1" w:leftChars="-1" w:hanging="1"/>
        <w:rPr>
          <w:rFonts w:ascii="微软雅黑" w:hAnsi="微软雅黑" w:eastAsia="微软雅黑"/>
          <w:color w:val="auto"/>
        </w:rPr>
      </w:pPr>
      <w:r>
        <w:rPr>
          <w:rFonts w:ascii="微软雅黑" w:hAnsi="微软雅黑" w:eastAsia="微软雅黑"/>
          <w:color w:val="auto"/>
        </w:rPr>
        <w:t>乙方特种设备/车辆及特种岗位操作人员应具备并相关资质证明，禁止违章操作，违章指挥。</w:t>
      </w:r>
    </w:p>
    <w:p>
      <w:pPr>
        <w:pStyle w:val="164"/>
        <w:ind w:left="-1" w:leftChars="-1" w:hanging="1"/>
        <w:rPr>
          <w:rFonts w:ascii="微软雅黑" w:hAnsi="微软雅黑" w:eastAsia="微软雅黑"/>
          <w:color w:val="auto"/>
        </w:rPr>
      </w:pPr>
      <w:r>
        <w:rPr>
          <w:rFonts w:ascii="微软雅黑" w:hAnsi="微软雅黑" w:eastAsia="微软雅黑"/>
          <w:color w:val="auto"/>
        </w:rPr>
        <w:t>乙方高风险作业需至少提前1天向甲方安全环保部门申请办理高风险作业许可证，现场公示及按规定执行相关安全防护措施后方可作业，未经批准禁止私自作业。</w:t>
      </w:r>
    </w:p>
    <w:p>
      <w:pPr>
        <w:pStyle w:val="164"/>
        <w:ind w:left="-1" w:leftChars="-1" w:hanging="1"/>
        <w:rPr>
          <w:rFonts w:ascii="微软雅黑" w:hAnsi="微软雅黑" w:eastAsia="微软雅黑"/>
          <w:color w:val="auto"/>
        </w:rPr>
      </w:pPr>
      <w:r>
        <w:rPr>
          <w:rFonts w:ascii="微软雅黑" w:hAnsi="微软雅黑" w:eastAsia="微软雅黑"/>
          <w:color w:val="auto"/>
        </w:rPr>
        <w:t>如乙方进行火警系统维修或施工会产生烟雾或高热易使火警系统报警作业，应事先提请甲方办理相关审批手续，并按规定流程签核完成及现场公示后方可作业。</w:t>
      </w:r>
    </w:p>
    <w:p>
      <w:pPr>
        <w:pStyle w:val="164"/>
        <w:ind w:left="-1" w:leftChars="-1" w:hanging="1"/>
        <w:rPr>
          <w:rFonts w:ascii="微软雅黑" w:hAnsi="微软雅黑" w:eastAsia="微软雅黑"/>
          <w:color w:val="auto"/>
        </w:rPr>
      </w:pPr>
      <w:r>
        <w:rPr>
          <w:rFonts w:ascii="微软雅黑" w:hAnsi="微软雅黑" w:eastAsia="微软雅黑"/>
          <w:color w:val="auto"/>
        </w:rPr>
        <w:t>乙方高风险作业现场必须配备专人监护（一处一人原则），确保现场需做好相应防护。乙方动火作业必须按施工要求配备相对应灭火器材，不得随意动用甲方灭火器材，其中高空动火作业还需要做</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区域隔离措施(如防火毯、接火盆、隔离分区等有效安全措施)。</w:t>
      </w:r>
    </w:p>
    <w:p>
      <w:pPr>
        <w:pStyle w:val="164"/>
        <w:ind w:left="-1" w:leftChars="-1" w:hanging="1"/>
        <w:rPr>
          <w:rFonts w:ascii="微软雅黑" w:hAnsi="微软雅黑" w:eastAsia="微软雅黑"/>
          <w:color w:val="auto"/>
        </w:rPr>
      </w:pPr>
      <w:r>
        <w:rPr>
          <w:rFonts w:ascii="微软雅黑" w:hAnsi="微软雅黑" w:eastAsia="微软雅黑"/>
          <w:color w:val="auto"/>
        </w:rPr>
        <w:t>乙方施工现场必须要有安全管理人员，并进行施工监护，甲方环安人员不定时稽核，如有发现违规现象，甲方环安人员有权现场要求停工，并按相关规定对乙方进行处罚，由此造成一切损失均由乙</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方自行承担。</w:t>
      </w:r>
    </w:p>
    <w:p>
      <w:pPr>
        <w:pStyle w:val="164"/>
        <w:ind w:left="-1" w:leftChars="-1" w:hanging="1"/>
        <w:rPr>
          <w:rFonts w:ascii="微软雅黑" w:hAnsi="微软雅黑" w:eastAsia="微软雅黑"/>
          <w:color w:val="auto"/>
        </w:rPr>
      </w:pPr>
      <w:r>
        <w:rPr>
          <w:rFonts w:ascii="微软雅黑" w:hAnsi="微软雅黑" w:eastAsia="微软雅黑"/>
          <w:color w:val="auto"/>
        </w:rPr>
        <w:t>乙方对现场存在安全隐患要立即组织整改，对整改不到位、逾期未整改或拒不整改者，甲方环安人员有权要求停工，并按相关规定对乙方进行处罚，由此造成一切损失均由乙方自行承担。</w:t>
      </w:r>
    </w:p>
    <w:p>
      <w:pPr>
        <w:pStyle w:val="164"/>
        <w:ind w:left="-1" w:leftChars="-1" w:hanging="1"/>
        <w:rPr>
          <w:rFonts w:ascii="微软雅黑" w:hAnsi="微软雅黑" w:eastAsia="微软雅黑"/>
          <w:color w:val="auto"/>
        </w:rPr>
      </w:pPr>
      <w:r>
        <w:rPr>
          <w:rFonts w:ascii="微软雅黑" w:hAnsi="微软雅黑" w:eastAsia="微软雅黑"/>
          <w:color w:val="auto"/>
        </w:rPr>
        <w:t>超过2米的高处作业平台必须设置防护栏或配戴双钩安全带，乙方不得利用甲方生产系统管路、</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设备作为脚手架进行施工作业。</w:t>
      </w:r>
    </w:p>
    <w:p>
      <w:pPr>
        <w:pStyle w:val="164"/>
        <w:ind w:left="-1" w:leftChars="-1" w:hanging="1"/>
        <w:rPr>
          <w:rFonts w:ascii="微软雅黑" w:hAnsi="微软雅黑" w:eastAsia="微软雅黑"/>
          <w:color w:val="auto"/>
        </w:rPr>
      </w:pPr>
      <w:r>
        <w:rPr>
          <w:rFonts w:ascii="微软雅黑" w:hAnsi="微软雅黑" w:eastAsia="微软雅黑"/>
          <w:color w:val="auto"/>
        </w:rPr>
        <w:t>乙方在进行交叉作业时，由甲方工程项目施工管理部门统筹安排，避免发生互相干扰或安全事故。</w:t>
      </w:r>
    </w:p>
    <w:p>
      <w:pPr>
        <w:pStyle w:val="164"/>
        <w:ind w:left="-1" w:leftChars="-1" w:hanging="1"/>
        <w:rPr>
          <w:rFonts w:ascii="微软雅黑" w:hAnsi="微软雅黑" w:eastAsia="微软雅黑"/>
          <w:color w:val="auto"/>
        </w:rPr>
      </w:pPr>
      <w:r>
        <w:rPr>
          <w:rFonts w:ascii="微软雅黑" w:hAnsi="微软雅黑" w:eastAsia="微软雅黑"/>
          <w:color w:val="auto"/>
        </w:rPr>
        <w:t>乙方施工中对有可能损坏甲方设备设施的作业或影响其他乙方作业时，应事先征的甲方工程项目施工管理部门许可并做好防护措施后方可施工。</w:t>
      </w:r>
    </w:p>
    <w:p>
      <w:pPr>
        <w:pStyle w:val="164"/>
        <w:ind w:left="-1" w:leftChars="-1" w:hanging="1"/>
        <w:rPr>
          <w:rFonts w:ascii="微软雅黑" w:hAnsi="微软雅黑" w:eastAsia="微软雅黑"/>
          <w:color w:val="auto"/>
        </w:rPr>
      </w:pPr>
      <w:r>
        <w:rPr>
          <w:rFonts w:ascii="微软雅黑" w:hAnsi="微软雅黑" w:eastAsia="微软雅黑"/>
          <w:color w:val="auto"/>
        </w:rPr>
        <w:t>现场施工禁止高空乱抛扔物资、材料、工具等不安全行为。</w:t>
      </w:r>
    </w:p>
    <w:p>
      <w:pPr>
        <w:pStyle w:val="164"/>
        <w:ind w:left="-1" w:leftChars="-1" w:hanging="1"/>
        <w:rPr>
          <w:rFonts w:ascii="微软雅黑" w:hAnsi="微软雅黑" w:eastAsia="微软雅黑"/>
          <w:color w:val="auto"/>
        </w:rPr>
      </w:pPr>
      <w:r>
        <w:rPr>
          <w:rFonts w:ascii="微软雅黑" w:hAnsi="微软雅黑" w:eastAsia="微软雅黑"/>
          <w:color w:val="auto"/>
        </w:rPr>
        <w:t>做好成品保护，禁止任何人员践踏所有管线，如有施工需要进行管线穿插作业，必须经过甲方主管部门工程师签字确认方可作业，如有违反，严肃处理。</w:t>
      </w:r>
    </w:p>
    <w:p>
      <w:pPr>
        <w:pStyle w:val="164"/>
        <w:ind w:left="-1" w:leftChars="-1" w:hanging="1"/>
        <w:rPr>
          <w:rFonts w:ascii="微软雅黑" w:hAnsi="微软雅黑" w:eastAsia="微软雅黑"/>
          <w:color w:val="auto"/>
        </w:rPr>
      </w:pPr>
      <w:r>
        <w:rPr>
          <w:rFonts w:ascii="微软雅黑" w:hAnsi="微软雅黑" w:eastAsia="微软雅黑"/>
          <w:color w:val="auto"/>
        </w:rPr>
        <w:t>乙方电气工具或设备必须符合国家安全相关规定方可使用，严禁使用不安全的工具及机械设备。</w:t>
      </w:r>
    </w:p>
    <w:p>
      <w:pPr>
        <w:pStyle w:val="164"/>
        <w:ind w:left="-1" w:leftChars="-1" w:hanging="1"/>
        <w:rPr>
          <w:rFonts w:ascii="微软雅黑" w:hAnsi="微软雅黑" w:eastAsia="微软雅黑"/>
          <w:color w:val="auto"/>
        </w:rPr>
      </w:pPr>
      <w:r>
        <w:rPr>
          <w:rFonts w:ascii="微软雅黑" w:hAnsi="微软雅黑" w:eastAsia="微软雅黑"/>
          <w:color w:val="auto"/>
        </w:rPr>
        <w:t>乙方机械设备应实施定期检查或重点检查。</w:t>
      </w:r>
    </w:p>
    <w:p>
      <w:pPr>
        <w:pStyle w:val="164"/>
        <w:ind w:left="-1" w:leftChars="-1" w:hanging="1"/>
        <w:rPr>
          <w:rFonts w:ascii="微软雅黑" w:hAnsi="微软雅黑" w:eastAsia="微软雅黑"/>
          <w:color w:val="auto"/>
        </w:rPr>
      </w:pPr>
      <w:r>
        <w:rPr>
          <w:rFonts w:ascii="微软雅黑" w:hAnsi="微软雅黑" w:eastAsia="微软雅黑"/>
          <w:color w:val="auto"/>
        </w:rPr>
        <w:t>乙方在高处作业时要提防工具货物掉下，工作后不要遗留工具于高处。</w:t>
      </w:r>
    </w:p>
    <w:p>
      <w:pPr>
        <w:pStyle w:val="164"/>
        <w:ind w:left="-1" w:leftChars="-1" w:hanging="1"/>
        <w:rPr>
          <w:rFonts w:ascii="微软雅黑" w:hAnsi="微软雅黑" w:eastAsia="微软雅黑"/>
          <w:color w:val="auto"/>
        </w:rPr>
      </w:pPr>
      <w:r>
        <w:rPr>
          <w:rFonts w:ascii="微软雅黑" w:hAnsi="微软雅黑" w:eastAsia="微软雅黑"/>
          <w:color w:val="auto"/>
        </w:rPr>
        <w:t>禁止使用木质、无拉杆、无防滑垫梯子，搭设鹰架（门子架、钢管架作业平台）必须符合安全要求，四周安装支撑管，梯台满铺跳板，有滚轮的制动器必须完整有效。</w:t>
      </w:r>
    </w:p>
    <w:p>
      <w:pPr>
        <w:pStyle w:val="164"/>
        <w:ind w:left="-1" w:leftChars="-1" w:hanging="1"/>
        <w:rPr>
          <w:rFonts w:ascii="微软雅黑" w:hAnsi="微软雅黑" w:eastAsia="微软雅黑"/>
          <w:color w:val="auto"/>
        </w:rPr>
      </w:pPr>
      <w:r>
        <w:rPr>
          <w:rFonts w:ascii="微软雅黑" w:hAnsi="微软雅黑" w:eastAsia="微软雅黑"/>
          <w:color w:val="auto"/>
        </w:rPr>
        <w:t>从事机械清扫、上油、调整检修时应先停机，重新开机前需确认人、机均安全。</w:t>
      </w:r>
    </w:p>
    <w:p>
      <w:pPr>
        <w:pStyle w:val="164"/>
        <w:ind w:left="-1" w:leftChars="-1" w:hanging="1"/>
        <w:rPr>
          <w:rFonts w:ascii="微软雅黑" w:hAnsi="微软雅黑" w:eastAsia="微软雅黑"/>
          <w:color w:val="auto"/>
        </w:rPr>
      </w:pPr>
      <w:r>
        <w:rPr>
          <w:rFonts w:ascii="微软雅黑" w:hAnsi="微软雅黑" w:eastAsia="微软雅黑"/>
          <w:color w:val="auto"/>
        </w:rPr>
        <w:t>严禁人员站立或通过悬吊物下方。</w:t>
      </w:r>
    </w:p>
    <w:p>
      <w:pPr>
        <w:pStyle w:val="164"/>
        <w:ind w:left="-1" w:leftChars="-1" w:hanging="1"/>
        <w:rPr>
          <w:rFonts w:ascii="微软雅黑" w:hAnsi="微软雅黑" w:eastAsia="微软雅黑"/>
          <w:color w:val="auto"/>
        </w:rPr>
      </w:pPr>
      <w:r>
        <w:rPr>
          <w:rFonts w:ascii="微软雅黑" w:hAnsi="微软雅黑" w:eastAsia="微软雅黑"/>
          <w:color w:val="auto"/>
        </w:rPr>
        <w:t>工作场所应穿适当服装，禁止赤足或穿拖鞋工作。</w:t>
      </w:r>
    </w:p>
    <w:p>
      <w:pPr>
        <w:pStyle w:val="164"/>
        <w:ind w:left="-1" w:leftChars="-1" w:hanging="1"/>
        <w:rPr>
          <w:rFonts w:ascii="微软雅黑" w:hAnsi="微软雅黑" w:eastAsia="微软雅黑"/>
          <w:color w:val="auto"/>
        </w:rPr>
      </w:pPr>
      <w:r>
        <w:rPr>
          <w:rFonts w:ascii="微软雅黑" w:hAnsi="微软雅黑" w:eastAsia="微软雅黑"/>
          <w:color w:val="auto"/>
        </w:rPr>
        <w:t>于高架管路施工时，禁止踏在管路上施工。</w:t>
      </w:r>
    </w:p>
    <w:p>
      <w:pPr>
        <w:pStyle w:val="164"/>
        <w:ind w:left="-1" w:leftChars="-1" w:hanging="1"/>
        <w:rPr>
          <w:rFonts w:ascii="微软雅黑" w:hAnsi="微软雅黑" w:eastAsia="微软雅黑"/>
          <w:color w:val="auto"/>
        </w:rPr>
      </w:pPr>
      <w:r>
        <w:rPr>
          <w:rFonts w:ascii="微软雅黑" w:hAnsi="微软雅黑" w:eastAsia="微软雅黑"/>
          <w:color w:val="auto"/>
        </w:rPr>
        <w:t>乙方应了解施工作业区域紧急避难路线与安全信道情况，以及工作区四周消防器材/急救箱的放置地点与使用方法。</w:t>
      </w:r>
    </w:p>
    <w:p>
      <w:pPr>
        <w:pStyle w:val="164"/>
        <w:ind w:left="-1" w:leftChars="-1" w:hanging="1"/>
        <w:rPr>
          <w:rFonts w:ascii="微软雅黑" w:hAnsi="微软雅黑" w:eastAsia="微软雅黑"/>
          <w:color w:val="auto"/>
        </w:rPr>
      </w:pPr>
      <w:r>
        <w:rPr>
          <w:rFonts w:ascii="微软雅黑" w:hAnsi="微软雅黑" w:eastAsia="微软雅黑"/>
          <w:color w:val="auto"/>
        </w:rPr>
        <w:t>工作场所闻有异味或有紧急意外事故，乙方应立即通知甲方紧急应变中心或值班工安人员，并在允许范围内，第一时间进行现场救护和抢险。</w:t>
      </w:r>
    </w:p>
    <w:p>
      <w:pPr>
        <w:pStyle w:val="164"/>
        <w:ind w:left="-1" w:leftChars="-1" w:hanging="1"/>
        <w:rPr>
          <w:rFonts w:ascii="微软雅黑" w:hAnsi="微软雅黑" w:eastAsia="微软雅黑"/>
          <w:color w:val="auto"/>
        </w:rPr>
      </w:pPr>
      <w:r>
        <w:rPr>
          <w:rFonts w:ascii="微软雅黑" w:hAnsi="微软雅黑" w:eastAsia="微软雅黑"/>
          <w:color w:val="auto"/>
        </w:rPr>
        <w:t>乙方应于事故发生后24小时内将书面意外事故调查报告提交给甲方工安环保部门，意外事故调查期间乙方有义务配合执行调查，不得隐瞒，以便采取有效对策防止再发。</w:t>
      </w:r>
    </w:p>
    <w:p>
      <w:pPr>
        <w:pStyle w:val="164"/>
        <w:ind w:left="-1" w:leftChars="-1" w:hanging="1"/>
        <w:rPr>
          <w:rFonts w:ascii="微软雅黑" w:hAnsi="微软雅黑" w:eastAsia="微软雅黑"/>
          <w:color w:val="auto"/>
        </w:rPr>
      </w:pPr>
      <w:r>
        <w:rPr>
          <w:rFonts w:ascii="微软雅黑" w:hAnsi="微软雅黑" w:eastAsia="微软雅黑"/>
          <w:color w:val="auto"/>
        </w:rPr>
        <w:t>施工期间如有职业灾害或意外事故发生，乙方除负责一切事故刑责与民事赔偿外，甲方有权要求乙方赔偿。</w:t>
      </w:r>
    </w:p>
    <w:p>
      <w:pPr>
        <w:pStyle w:val="163"/>
        <w:ind w:left="-2" w:leftChars="-1" w:firstLine="480"/>
        <w:rPr>
          <w:rFonts w:ascii="微软雅黑" w:hAnsi="微软雅黑" w:eastAsia="微软雅黑"/>
          <w:color w:val="auto"/>
        </w:rPr>
      </w:pPr>
      <w:r>
        <w:rPr>
          <w:rFonts w:ascii="微软雅黑" w:hAnsi="微软雅黑" w:eastAsia="微软雅黑"/>
          <w:color w:val="auto"/>
        </w:rPr>
        <w:t>电气安全要求</w:t>
      </w:r>
    </w:p>
    <w:p>
      <w:pPr>
        <w:pStyle w:val="164"/>
        <w:ind w:left="-1" w:leftChars="-1" w:hanging="1"/>
        <w:rPr>
          <w:rFonts w:ascii="微软雅黑" w:hAnsi="微软雅黑" w:eastAsia="微软雅黑"/>
          <w:color w:val="auto"/>
        </w:rPr>
      </w:pPr>
      <w:r>
        <w:rPr>
          <w:rFonts w:ascii="微软雅黑" w:hAnsi="微软雅黑" w:eastAsia="微软雅黑"/>
          <w:color w:val="auto"/>
        </w:rPr>
        <w:t>乙方需遵守用电安全管理制度，接用甲方临时电源必须向甲方电力部门办理审批手续。若临时用电设备在5台以上或设备总容量在50KW以上者，应编制临时用电施工组织设计。</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作业人员必须持有电工证件上岗作业，</w:t>
      </w:r>
      <w:r>
        <w:rPr>
          <w:rFonts w:hint="eastAsia" w:ascii="微软雅黑" w:hAnsi="微软雅黑" w:eastAsia="微软雅黑"/>
          <w:color w:val="auto"/>
        </w:rPr>
        <w:t>涉及</w:t>
      </w:r>
      <w:r>
        <w:rPr>
          <w:rFonts w:ascii="微软雅黑" w:hAnsi="微软雅黑" w:eastAsia="微软雅黑"/>
          <w:color w:val="auto"/>
        </w:rPr>
        <w:t>用电</w:t>
      </w:r>
      <w:r>
        <w:rPr>
          <w:rFonts w:hint="eastAsia" w:ascii="微软雅黑" w:hAnsi="微软雅黑" w:eastAsia="微软雅黑"/>
          <w:color w:val="auto"/>
        </w:rPr>
        <w:t>作业</w:t>
      </w:r>
      <w:r>
        <w:rPr>
          <w:rFonts w:ascii="微软雅黑" w:hAnsi="微软雅黑" w:eastAsia="微软雅黑"/>
          <w:color w:val="auto"/>
        </w:rPr>
        <w:t>需甲方电力部门确认</w:t>
      </w:r>
      <w:r>
        <w:rPr>
          <w:rFonts w:hint="eastAsia" w:ascii="微软雅黑" w:hAnsi="微软雅黑" w:eastAsia="微软雅黑"/>
          <w:color w:val="auto"/>
        </w:rPr>
        <w:t>合格后</w:t>
      </w:r>
      <w:r>
        <w:rPr>
          <w:rFonts w:ascii="微软雅黑" w:hAnsi="微软雅黑" w:eastAsia="微软雅黑"/>
          <w:color w:val="auto"/>
        </w:rPr>
        <w:t>再作业。</w:t>
      </w:r>
    </w:p>
    <w:p>
      <w:pPr>
        <w:pStyle w:val="164"/>
        <w:ind w:left="-1" w:leftChars="-1" w:hanging="1"/>
        <w:rPr>
          <w:rFonts w:ascii="微软雅黑" w:hAnsi="微软雅黑" w:eastAsia="微软雅黑"/>
          <w:color w:val="auto"/>
        </w:rPr>
      </w:pPr>
      <w:r>
        <w:rPr>
          <w:rFonts w:hint="eastAsia" w:ascii="微软雅黑" w:hAnsi="微软雅黑" w:eastAsia="微软雅黑"/>
          <w:color w:val="auto"/>
        </w:rPr>
        <w:t>其他</w:t>
      </w:r>
      <w:r>
        <w:rPr>
          <w:rFonts w:ascii="微软雅黑" w:hAnsi="微软雅黑" w:eastAsia="微软雅黑"/>
          <w:color w:val="auto"/>
        </w:rPr>
        <w:t>电气安全要求需</w:t>
      </w:r>
      <w:r>
        <w:rPr>
          <w:rFonts w:hint="eastAsia" w:ascii="微软雅黑" w:hAnsi="微软雅黑" w:eastAsia="微软雅黑"/>
          <w:color w:val="auto"/>
        </w:rPr>
        <w:t>参照</w:t>
      </w:r>
      <w:r>
        <w:rPr>
          <w:rFonts w:ascii="微软雅黑" w:hAnsi="微软雅黑" w:eastAsia="微软雅黑"/>
          <w:color w:val="auto"/>
        </w:rPr>
        <w:t>相关</w:t>
      </w:r>
      <w:r>
        <w:rPr>
          <w:rFonts w:hint="eastAsia" w:ascii="微软雅黑" w:hAnsi="微软雅黑" w:eastAsia="微软雅黑"/>
          <w:color w:val="auto"/>
        </w:rPr>
        <w:t>国家</w:t>
      </w:r>
      <w:r>
        <w:rPr>
          <w:rFonts w:ascii="微软雅黑" w:hAnsi="微软雅黑" w:eastAsia="微软雅黑"/>
          <w:color w:val="auto"/>
        </w:rPr>
        <w:t>法律法规及</w:t>
      </w:r>
      <w:r>
        <w:rPr>
          <w:rFonts w:hint="eastAsia" w:ascii="微软雅黑" w:hAnsi="微软雅黑" w:eastAsia="微软雅黑"/>
          <w:color w:val="auto"/>
        </w:rPr>
        <w:t>甲方公司</w:t>
      </w:r>
      <w:r>
        <w:rPr>
          <w:rFonts w:ascii="微软雅黑" w:hAnsi="微软雅黑" w:eastAsia="微软雅黑"/>
          <w:color w:val="auto"/>
        </w:rPr>
        <w:t>管理规定执行。</w:t>
      </w:r>
    </w:p>
    <w:p>
      <w:pPr>
        <w:pStyle w:val="163"/>
        <w:ind w:left="-2" w:leftChars="-1" w:firstLine="480"/>
        <w:rPr>
          <w:rFonts w:ascii="微软雅黑" w:hAnsi="微软雅黑" w:eastAsia="微软雅黑"/>
          <w:color w:val="auto"/>
        </w:rPr>
      </w:pPr>
      <w:r>
        <w:rPr>
          <w:rFonts w:ascii="微软雅黑" w:hAnsi="微软雅黑" w:eastAsia="微软雅黑"/>
          <w:color w:val="auto"/>
        </w:rPr>
        <w:t>其他（门禁、消防、机具）安全要求</w:t>
      </w:r>
    </w:p>
    <w:p>
      <w:pPr>
        <w:pStyle w:val="164"/>
        <w:ind w:left="-1" w:leftChars="-1" w:hanging="1"/>
        <w:rPr>
          <w:rFonts w:ascii="微软雅黑" w:hAnsi="微软雅黑" w:eastAsia="微软雅黑"/>
          <w:color w:val="auto"/>
        </w:rPr>
      </w:pPr>
      <w:r>
        <w:rPr>
          <w:rFonts w:hint="eastAsia" w:ascii="微软雅黑" w:hAnsi="微软雅黑" w:eastAsia="微软雅黑"/>
          <w:color w:val="auto"/>
        </w:rPr>
        <w:t>大</w:t>
      </w:r>
      <w:r>
        <w:rPr>
          <w:rFonts w:ascii="微软雅黑" w:hAnsi="微软雅黑" w:eastAsia="微软雅黑"/>
          <w:color w:val="auto"/>
        </w:rPr>
        <w:t>型的施工项目乙方</w:t>
      </w:r>
      <w:r>
        <w:rPr>
          <w:rFonts w:hint="eastAsia" w:ascii="微软雅黑" w:hAnsi="微软雅黑" w:eastAsia="微软雅黑"/>
          <w:color w:val="auto"/>
        </w:rPr>
        <w:t>应</w:t>
      </w:r>
      <w:r>
        <w:rPr>
          <w:rFonts w:ascii="微软雅黑" w:hAnsi="微软雅黑" w:eastAsia="微软雅黑"/>
          <w:color w:val="auto"/>
        </w:rPr>
        <w:t>按甲方的要求成立义务消防队，按总人数的10%配置，义务消防队需掌握消防灭火常识，并定期（每月）</w:t>
      </w:r>
      <w:r>
        <w:rPr>
          <w:rFonts w:hint="eastAsia" w:ascii="微软雅黑" w:hAnsi="微软雅黑" w:eastAsia="微软雅黑"/>
          <w:color w:val="auto"/>
        </w:rPr>
        <w:t>组织演练，验证应急方案可行性。</w:t>
      </w:r>
    </w:p>
    <w:p>
      <w:pPr>
        <w:pStyle w:val="164"/>
        <w:ind w:left="-1" w:leftChars="-1" w:hanging="1"/>
        <w:rPr>
          <w:rFonts w:ascii="微软雅黑" w:hAnsi="微软雅黑" w:eastAsia="微软雅黑"/>
          <w:color w:val="auto"/>
        </w:rPr>
      </w:pPr>
      <w:r>
        <w:rPr>
          <w:rFonts w:ascii="微软雅黑" w:hAnsi="微软雅黑" w:eastAsia="微软雅黑"/>
          <w:color w:val="auto"/>
        </w:rPr>
        <w:t>乙方需配置1辆应急车辆，并长期驻厂作为应急使用，专车专用，严禁挪作他用。</w:t>
      </w:r>
    </w:p>
    <w:p>
      <w:pPr>
        <w:pStyle w:val="164"/>
        <w:ind w:left="-1" w:leftChars="-1" w:hanging="1"/>
        <w:rPr>
          <w:rFonts w:ascii="微软雅黑" w:hAnsi="微软雅黑" w:eastAsia="微软雅黑"/>
          <w:color w:val="auto"/>
        </w:rPr>
      </w:pPr>
      <w:r>
        <w:rPr>
          <w:rFonts w:ascii="微软雅黑" w:hAnsi="微软雅黑" w:eastAsia="微软雅黑"/>
          <w:color w:val="auto"/>
        </w:rPr>
        <w:t>乙方在施工场所之门岗要配置保安管控施工区域之人员物品出入，并建立相关人员、物品出入制度。</w:t>
      </w:r>
    </w:p>
    <w:p>
      <w:pPr>
        <w:pStyle w:val="164"/>
        <w:ind w:left="-1" w:leftChars="-1" w:hanging="1"/>
        <w:rPr>
          <w:rFonts w:ascii="微软雅黑" w:hAnsi="微软雅黑" w:eastAsia="微软雅黑"/>
          <w:color w:val="auto"/>
        </w:rPr>
      </w:pPr>
      <w:r>
        <w:rPr>
          <w:rFonts w:ascii="微软雅黑" w:hAnsi="微软雅黑" w:eastAsia="微软雅黑"/>
          <w:color w:val="auto"/>
        </w:rPr>
        <w:t>乙方要防护好业主物品，不得损坏，且做好自身施工物料防盗管理，施工人员、车辆进出需提前申请，按甲方管理要求配合办理好相关出入证件，并从规定出入口出入，且配合门卫检查。</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人员不得擅自进入非</w:t>
      </w:r>
      <w:r>
        <w:rPr>
          <w:rFonts w:hint="eastAsia" w:ascii="微软雅黑" w:hAnsi="微软雅黑" w:eastAsia="微软雅黑"/>
          <w:color w:val="auto"/>
        </w:rPr>
        <w:t>甲</w:t>
      </w:r>
      <w:r>
        <w:rPr>
          <w:rFonts w:ascii="微软雅黑" w:hAnsi="微软雅黑" w:eastAsia="微软雅黑"/>
          <w:color w:val="auto"/>
        </w:rPr>
        <w:t>方指定区域，严禁破坏门及附属设施，如有违犯，</w:t>
      </w:r>
      <w:r>
        <w:rPr>
          <w:rFonts w:hint="eastAsia" w:ascii="微软雅黑" w:hAnsi="微软雅黑" w:eastAsia="微软雅黑"/>
          <w:color w:val="auto"/>
        </w:rPr>
        <w:t>乙方</w:t>
      </w:r>
      <w:r>
        <w:rPr>
          <w:rFonts w:ascii="微软雅黑" w:hAnsi="微软雅黑" w:eastAsia="微软雅黑"/>
          <w:color w:val="auto"/>
        </w:rPr>
        <w:t>须照价赔偿，并依照甲方相关规定予以处罚。</w:t>
      </w:r>
    </w:p>
    <w:p>
      <w:pPr>
        <w:pStyle w:val="164"/>
        <w:ind w:left="-1" w:leftChars="-1" w:hanging="1"/>
        <w:rPr>
          <w:rFonts w:ascii="微软雅黑" w:hAnsi="微软雅黑" w:eastAsia="微软雅黑"/>
          <w:color w:val="auto"/>
        </w:rPr>
      </w:pPr>
      <w:r>
        <w:rPr>
          <w:rFonts w:ascii="微软雅黑" w:hAnsi="微软雅黑" w:eastAsia="微软雅黑"/>
          <w:color w:val="auto"/>
        </w:rPr>
        <w:t>乙方施工机具及材料禁止放堆置于消防栓、灭火器、电气盘、安全梯及逃生动线上，以免延误紧急抢救时效。</w:t>
      </w:r>
    </w:p>
    <w:p>
      <w:pPr>
        <w:pStyle w:val="164"/>
        <w:ind w:left="-1" w:leftChars="-1" w:hanging="1"/>
        <w:rPr>
          <w:rFonts w:ascii="微软雅黑" w:hAnsi="微软雅黑" w:eastAsia="微软雅黑"/>
          <w:color w:val="auto"/>
        </w:rPr>
      </w:pPr>
      <w:r>
        <w:rPr>
          <w:rFonts w:ascii="微软雅黑" w:hAnsi="微软雅黑" w:eastAsia="微软雅黑"/>
          <w:color w:val="auto"/>
        </w:rPr>
        <w:t>严禁施工人员在厂区或施工现场有不文明行为，如：打赤膊，坐、趟在草地，未将入场证佩戴好，</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未着统一服装（马甲）等。</w:t>
      </w:r>
    </w:p>
    <w:p>
      <w:pPr>
        <w:pStyle w:val="163"/>
        <w:ind w:left="-2" w:leftChars="-1" w:firstLine="480"/>
        <w:rPr>
          <w:rFonts w:ascii="微软雅黑" w:hAnsi="微软雅黑" w:eastAsia="微软雅黑"/>
          <w:color w:val="auto"/>
        </w:rPr>
      </w:pPr>
      <w:r>
        <w:rPr>
          <w:rFonts w:ascii="微软雅黑" w:hAnsi="微软雅黑" w:eastAsia="微软雅黑"/>
          <w:color w:val="auto"/>
        </w:rPr>
        <w:t>洁净区施工管理守则</w:t>
      </w:r>
    </w:p>
    <w:p>
      <w:pPr>
        <w:pStyle w:val="164"/>
        <w:ind w:left="-1" w:leftChars="-1" w:hanging="1"/>
        <w:rPr>
          <w:rFonts w:ascii="微软雅黑" w:hAnsi="微软雅黑" w:eastAsia="微软雅黑"/>
          <w:color w:val="auto"/>
        </w:rPr>
      </w:pPr>
      <w:r>
        <w:rPr>
          <w:rFonts w:ascii="微软雅黑" w:hAnsi="微软雅黑" w:eastAsia="微软雅黑"/>
          <w:color w:val="auto"/>
        </w:rPr>
        <w:t>施工前准备</w:t>
      </w:r>
    </w:p>
    <w:p>
      <w:pPr>
        <w:pStyle w:val="168"/>
        <w:ind w:left="-1" w:leftChars="-1" w:hanging="1"/>
        <w:rPr>
          <w:rFonts w:ascii="微软雅黑" w:hAnsi="微软雅黑" w:eastAsia="微软雅黑"/>
          <w:color w:val="auto"/>
        </w:rPr>
      </w:pPr>
      <w:r>
        <w:rPr>
          <w:rFonts w:ascii="微软雅黑" w:hAnsi="微软雅黑" w:eastAsia="微软雅黑"/>
          <w:color w:val="auto"/>
        </w:rPr>
        <w:t>进入洁净区人员须依规定着无尘衣，并配戴发罩、口罩、PVC手套。无尘衣型式应依甲方型式为准，不得使用自行带来</w:t>
      </w:r>
      <w:r>
        <w:rPr>
          <w:rFonts w:hint="eastAsia" w:ascii="微软雅黑" w:hAnsi="微软雅黑" w:eastAsia="微软雅黑"/>
          <w:color w:val="auto"/>
        </w:rPr>
        <w:t>的</w:t>
      </w:r>
      <w:r>
        <w:rPr>
          <w:rFonts w:ascii="微软雅黑" w:hAnsi="微软雅黑" w:eastAsia="微软雅黑"/>
          <w:color w:val="auto"/>
        </w:rPr>
        <w:t>无尘衣(经甲方认定核可型式者除外)。</w:t>
      </w:r>
    </w:p>
    <w:p>
      <w:pPr>
        <w:pStyle w:val="168"/>
        <w:ind w:left="-1" w:leftChars="-1" w:hanging="1"/>
        <w:rPr>
          <w:rFonts w:ascii="微软雅黑" w:hAnsi="微软雅黑" w:eastAsia="微软雅黑"/>
          <w:color w:val="auto"/>
        </w:rPr>
      </w:pPr>
      <w:r>
        <w:rPr>
          <w:rFonts w:ascii="微软雅黑" w:hAnsi="微软雅黑" w:eastAsia="微软雅黑"/>
          <w:color w:val="auto"/>
        </w:rPr>
        <w:t>依工作需要准备塑料布、不锈钢板(保护地面用)，洁净室专用真空吸尘器，无纺纤维抹布等用具，并不得使用扫把。</w:t>
      </w:r>
    </w:p>
    <w:p>
      <w:pPr>
        <w:pStyle w:val="168"/>
        <w:ind w:left="-1" w:leftChars="-1" w:hanging="1"/>
        <w:rPr>
          <w:rFonts w:ascii="微软雅黑" w:hAnsi="微软雅黑" w:eastAsia="微软雅黑"/>
          <w:color w:val="auto"/>
        </w:rPr>
      </w:pPr>
      <w:r>
        <w:rPr>
          <w:rFonts w:ascii="微软雅黑" w:hAnsi="微软雅黑" w:eastAsia="微软雅黑"/>
          <w:color w:val="auto"/>
        </w:rPr>
        <w:t>进入无尘室必须配戴干净的安全帽。</w:t>
      </w:r>
    </w:p>
    <w:p>
      <w:pPr>
        <w:pStyle w:val="168"/>
        <w:ind w:left="-1" w:leftChars="-1" w:hanging="1"/>
        <w:rPr>
          <w:rFonts w:ascii="微软雅黑" w:hAnsi="微软雅黑" w:eastAsia="微软雅黑"/>
          <w:color w:val="auto"/>
        </w:rPr>
      </w:pPr>
      <w:r>
        <w:rPr>
          <w:rFonts w:ascii="微软雅黑" w:hAnsi="微软雅黑" w:eastAsia="微软雅黑"/>
          <w:color w:val="auto"/>
        </w:rPr>
        <w:t>携入洁净区之工具、材料和附件等必须在室外以无纺纤维布擦拭干净；不能有油、锈及灰尘等，钢瓶须包覆保鲜膜。</w:t>
      </w:r>
    </w:p>
    <w:p>
      <w:pPr>
        <w:pStyle w:val="168"/>
        <w:ind w:left="-1" w:leftChars="-1" w:hanging="1"/>
        <w:rPr>
          <w:rFonts w:ascii="微软雅黑" w:hAnsi="微软雅黑" w:eastAsia="微软雅黑"/>
          <w:color w:val="auto"/>
        </w:rPr>
      </w:pPr>
      <w:r>
        <w:rPr>
          <w:rFonts w:ascii="微软雅黑" w:hAnsi="微软雅黑" w:eastAsia="微软雅黑"/>
          <w:color w:val="auto"/>
        </w:rPr>
        <w:t>非工程需要之物品如食物、饮料等，禁止携入洁净区。</w:t>
      </w:r>
    </w:p>
    <w:p>
      <w:pPr>
        <w:pStyle w:val="168"/>
        <w:ind w:left="-1" w:leftChars="-1" w:hanging="1"/>
        <w:rPr>
          <w:rFonts w:ascii="微软雅黑" w:hAnsi="微软雅黑" w:eastAsia="微软雅黑"/>
          <w:color w:val="auto"/>
        </w:rPr>
      </w:pPr>
      <w:r>
        <w:rPr>
          <w:rFonts w:ascii="微软雅黑" w:hAnsi="微软雅黑" w:eastAsia="微软雅黑"/>
          <w:color w:val="auto"/>
        </w:rPr>
        <w:t>打孔、切割等产生粉尘作业不得在洁净区内进行，特殊情形而无法携出洁净区外加工者须填写作业申请单经准许才可施工。水泥钻孔须使用附吸尘嘴之工具。</w:t>
      </w:r>
    </w:p>
    <w:p>
      <w:pPr>
        <w:pStyle w:val="168"/>
        <w:ind w:left="-1" w:leftChars="-1" w:hanging="1"/>
        <w:rPr>
          <w:rFonts w:ascii="微软雅黑" w:hAnsi="微软雅黑" w:eastAsia="微软雅黑"/>
          <w:color w:val="auto"/>
        </w:rPr>
      </w:pPr>
      <w:r>
        <w:rPr>
          <w:rFonts w:ascii="微软雅黑" w:hAnsi="微软雅黑" w:eastAsia="微软雅黑"/>
          <w:color w:val="auto"/>
        </w:rPr>
        <w:t>应由规定出入口进出。</w:t>
      </w:r>
    </w:p>
    <w:p>
      <w:pPr>
        <w:pStyle w:val="168"/>
        <w:ind w:left="-1" w:leftChars="-1" w:hanging="1"/>
        <w:rPr>
          <w:rFonts w:ascii="微软雅黑" w:hAnsi="微软雅黑" w:eastAsia="微软雅黑"/>
          <w:color w:val="auto"/>
        </w:rPr>
      </w:pPr>
      <w:r>
        <w:rPr>
          <w:rFonts w:ascii="微软雅黑" w:hAnsi="微软雅黑" w:eastAsia="微软雅黑"/>
          <w:color w:val="auto"/>
        </w:rPr>
        <w:t>应了解并遵守</w:t>
      </w:r>
      <w:r>
        <w:rPr>
          <w:rFonts w:hint="eastAsia" w:ascii="微软雅黑" w:hAnsi="微软雅黑" w:eastAsia="微软雅黑"/>
          <w:color w:val="auto"/>
        </w:rPr>
        <w:t>甲方</w:t>
      </w:r>
      <w:r>
        <w:rPr>
          <w:rFonts w:ascii="微软雅黑" w:hAnsi="微软雅黑" w:eastAsia="微软雅黑"/>
          <w:color w:val="auto"/>
        </w:rPr>
        <w:t>洁净室规定。</w:t>
      </w:r>
    </w:p>
    <w:p>
      <w:pPr>
        <w:pStyle w:val="164"/>
        <w:ind w:left="-1" w:leftChars="-1" w:hanging="1"/>
        <w:rPr>
          <w:rFonts w:ascii="微软雅黑" w:hAnsi="微软雅黑" w:eastAsia="微软雅黑"/>
          <w:color w:val="auto"/>
        </w:rPr>
      </w:pPr>
      <w:r>
        <w:rPr>
          <w:rFonts w:ascii="微软雅黑" w:hAnsi="微软雅黑" w:eastAsia="微软雅黑"/>
          <w:color w:val="auto"/>
        </w:rPr>
        <w:t>施工中注意事项</w:t>
      </w:r>
    </w:p>
    <w:p>
      <w:pPr>
        <w:pStyle w:val="164"/>
        <w:numPr>
          <w:ilvl w:val="0"/>
          <w:numId w:val="0"/>
        </w:numPr>
        <w:ind w:left="-1" w:leftChars="-1" w:hanging="1"/>
        <w:rPr>
          <w:rFonts w:ascii="微软雅黑" w:hAnsi="微软雅黑" w:eastAsia="微软雅黑"/>
          <w:color w:val="auto"/>
        </w:rPr>
      </w:pPr>
      <w:r>
        <w:rPr>
          <w:rFonts w:hint="eastAsia" w:ascii="微软雅黑" w:hAnsi="微软雅黑" w:eastAsia="微软雅黑"/>
          <w:color w:val="auto"/>
        </w:rPr>
        <w:t>施工作业前</w:t>
      </w:r>
      <w:r>
        <w:rPr>
          <w:rFonts w:ascii="微软雅黑" w:hAnsi="微软雅黑" w:eastAsia="微软雅黑"/>
          <w:color w:val="auto"/>
        </w:rPr>
        <w:t>、</w:t>
      </w:r>
      <w:r>
        <w:rPr>
          <w:rFonts w:hint="eastAsia" w:ascii="微软雅黑" w:hAnsi="微软雅黑" w:eastAsia="微软雅黑"/>
          <w:color w:val="auto"/>
        </w:rPr>
        <w:t>中</w:t>
      </w:r>
      <w:r>
        <w:rPr>
          <w:rFonts w:ascii="微软雅黑" w:hAnsi="微软雅黑" w:eastAsia="微软雅黑"/>
          <w:color w:val="auto"/>
        </w:rPr>
        <w:t>、</w:t>
      </w:r>
      <w:r>
        <w:rPr>
          <w:rFonts w:hint="eastAsia" w:ascii="微软雅黑" w:hAnsi="微软雅黑" w:eastAsia="微软雅黑"/>
          <w:color w:val="auto"/>
        </w:rPr>
        <w:t>后，</w:t>
      </w:r>
      <w:r>
        <w:rPr>
          <w:rFonts w:ascii="微软雅黑" w:hAnsi="微软雅黑" w:eastAsia="微软雅黑"/>
          <w:color w:val="auto"/>
        </w:rPr>
        <w:t>洁净室内</w:t>
      </w:r>
      <w:r>
        <w:rPr>
          <w:rFonts w:hint="eastAsia" w:ascii="微软雅黑" w:hAnsi="微软雅黑" w:eastAsia="微软雅黑"/>
          <w:color w:val="auto"/>
        </w:rPr>
        <w:t>作业、外墙</w:t>
      </w:r>
      <w:r>
        <w:rPr>
          <w:rFonts w:ascii="微软雅黑" w:hAnsi="微软雅黑" w:eastAsia="微软雅黑"/>
          <w:color w:val="auto"/>
        </w:rPr>
        <w:t>清洗作业、</w:t>
      </w:r>
      <w:r>
        <w:rPr>
          <w:rFonts w:hint="eastAsia" w:ascii="微软雅黑" w:hAnsi="微软雅黑" w:eastAsia="微软雅黑"/>
          <w:color w:val="auto"/>
        </w:rPr>
        <w:t>吊挂</w:t>
      </w:r>
      <w:r>
        <w:rPr>
          <w:rFonts w:ascii="微软雅黑" w:hAnsi="微软雅黑" w:eastAsia="微软雅黑"/>
          <w:color w:val="auto"/>
        </w:rPr>
        <w:t>作业、拆箱、搬机作业</w:t>
      </w:r>
      <w:r>
        <w:rPr>
          <w:rFonts w:hint="eastAsia" w:ascii="微软雅黑" w:hAnsi="微软雅黑" w:eastAsia="微软雅黑"/>
          <w:color w:val="auto"/>
        </w:rPr>
        <w:t>等</w:t>
      </w:r>
      <w:r>
        <w:rPr>
          <w:rFonts w:ascii="微软雅黑" w:hAnsi="微软雅黑" w:eastAsia="微软雅黑"/>
          <w:color w:val="auto"/>
        </w:rPr>
        <w:t>需</w:t>
      </w:r>
      <w:r>
        <w:rPr>
          <w:rFonts w:hint="eastAsia" w:ascii="微软雅黑" w:hAnsi="微软雅黑" w:eastAsia="微软雅黑"/>
          <w:color w:val="auto"/>
        </w:rPr>
        <w:t>根据国家</w:t>
      </w:r>
      <w:r>
        <w:rPr>
          <w:rFonts w:ascii="微软雅黑" w:hAnsi="微软雅黑" w:eastAsia="微软雅黑"/>
          <w:color w:val="auto"/>
        </w:rPr>
        <w:t>法</w:t>
      </w:r>
    </w:p>
    <w:p>
      <w:pPr>
        <w:pStyle w:val="164"/>
        <w:numPr>
          <w:ilvl w:val="0"/>
          <w:numId w:val="0"/>
        </w:numPr>
        <w:ind w:left="-1" w:leftChars="-1" w:hanging="1"/>
        <w:rPr>
          <w:rFonts w:ascii="微软雅黑" w:hAnsi="微软雅黑" w:eastAsia="微软雅黑"/>
          <w:color w:val="auto"/>
        </w:rPr>
      </w:pPr>
      <w:r>
        <w:rPr>
          <w:rFonts w:ascii="微软雅黑" w:hAnsi="微软雅黑" w:eastAsia="微软雅黑"/>
          <w:color w:val="auto"/>
        </w:rPr>
        <w:t>律法规及</w:t>
      </w:r>
      <w:r>
        <w:rPr>
          <w:rFonts w:hint="eastAsia" w:ascii="微软雅黑" w:hAnsi="微软雅黑" w:eastAsia="微软雅黑"/>
          <w:color w:val="auto"/>
        </w:rPr>
        <w:t>甲方</w:t>
      </w:r>
      <w:r>
        <w:rPr>
          <w:rFonts w:ascii="微软雅黑" w:hAnsi="微软雅黑" w:eastAsia="微软雅黑"/>
          <w:color w:val="auto"/>
        </w:rPr>
        <w:t>公司内相关管理规定</w:t>
      </w:r>
      <w:r>
        <w:rPr>
          <w:rFonts w:hint="eastAsia" w:ascii="微软雅黑" w:hAnsi="微软雅黑" w:eastAsia="微软雅黑"/>
          <w:color w:val="auto"/>
        </w:rPr>
        <w:t>执行。</w:t>
      </w:r>
    </w:p>
    <w:p>
      <w:pPr>
        <w:pStyle w:val="163"/>
        <w:ind w:left="-2" w:leftChars="-1" w:firstLine="480"/>
        <w:rPr>
          <w:rFonts w:ascii="微软雅黑" w:hAnsi="微软雅黑" w:eastAsia="微软雅黑"/>
          <w:color w:val="auto"/>
        </w:rPr>
      </w:pPr>
      <w:r>
        <w:rPr>
          <w:rFonts w:ascii="微软雅黑" w:hAnsi="微软雅黑" w:eastAsia="微软雅黑"/>
          <w:color w:val="auto"/>
        </w:rPr>
        <w:t>设备装机/维修/检验作业安全守则</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装机安全要求</w:t>
      </w:r>
    </w:p>
    <w:p>
      <w:pPr>
        <w:pStyle w:val="168"/>
        <w:ind w:left="-1" w:leftChars="-1" w:hanging="1"/>
        <w:rPr>
          <w:rFonts w:ascii="微软雅黑" w:hAnsi="微软雅黑" w:eastAsia="微软雅黑"/>
          <w:color w:val="auto"/>
        </w:rPr>
      </w:pPr>
      <w:r>
        <w:rPr>
          <w:rFonts w:ascii="微软雅黑" w:hAnsi="微软雅黑" w:eastAsia="微软雅黑"/>
          <w:color w:val="auto"/>
        </w:rPr>
        <w:t>所有装机作业前需申请施工申请单，涉及高架、动火、密闭空间的作业需提</w:t>
      </w:r>
      <w:r>
        <w:rPr>
          <w:rFonts w:hint="eastAsia" w:ascii="微软雅黑" w:hAnsi="微软雅黑" w:eastAsia="微软雅黑"/>
          <w:color w:val="auto"/>
        </w:rPr>
        <w:t>交</w:t>
      </w:r>
      <w:r>
        <w:rPr>
          <w:rFonts w:ascii="微软雅黑" w:hAnsi="微软雅黑" w:eastAsia="微软雅黑"/>
          <w:color w:val="auto"/>
        </w:rPr>
        <w:t>风险作业申请单。</w:t>
      </w:r>
    </w:p>
    <w:p>
      <w:pPr>
        <w:pStyle w:val="168"/>
        <w:ind w:left="-1" w:leftChars="-1" w:hanging="1"/>
        <w:rPr>
          <w:rFonts w:ascii="微软雅黑" w:hAnsi="微软雅黑" w:eastAsia="微软雅黑"/>
          <w:color w:val="auto"/>
        </w:rPr>
      </w:pPr>
      <w:r>
        <w:rPr>
          <w:rFonts w:ascii="微软雅黑" w:hAnsi="微软雅黑" w:eastAsia="微软雅黑"/>
          <w:color w:val="auto"/>
        </w:rPr>
        <w:t>装机作业前，需组织施工人员召开作业前工具箱安全宣导会议，针对当日作业风险进行告知及预防，宣导结束后所有作业人员需签字，宣导记录放置现场，以备检查。</w:t>
      </w:r>
    </w:p>
    <w:p>
      <w:pPr>
        <w:pStyle w:val="168"/>
        <w:ind w:left="-1" w:leftChars="-1" w:hanging="1"/>
        <w:rPr>
          <w:rFonts w:ascii="微软雅黑" w:hAnsi="微软雅黑" w:eastAsia="微软雅黑"/>
          <w:color w:val="auto"/>
        </w:rPr>
      </w:pPr>
      <w:r>
        <w:rPr>
          <w:rFonts w:ascii="微软雅黑" w:hAnsi="微软雅黑" w:eastAsia="微软雅黑"/>
          <w:color w:val="auto"/>
        </w:rPr>
        <w:t>装机作业现场必须做好围篱挂牌，在设备作业进出口设置围篱，隔离风险，并设置作业挂牌警示。需进入设备内部的作业，必须在进入维护门处，对设备门开关进行上锁管制，悬挂六孔锁，放置他人重启设备。</w:t>
      </w:r>
    </w:p>
    <w:p>
      <w:pPr>
        <w:pStyle w:val="168"/>
        <w:ind w:left="-1" w:leftChars="-1" w:hanging="1"/>
        <w:rPr>
          <w:rFonts w:ascii="微软雅黑" w:hAnsi="微软雅黑" w:eastAsia="微软雅黑"/>
          <w:color w:val="auto"/>
        </w:rPr>
      </w:pPr>
      <w:r>
        <w:rPr>
          <w:rFonts w:ascii="微软雅黑" w:hAnsi="微软雅黑" w:eastAsia="微软雅黑"/>
          <w:color w:val="auto"/>
        </w:rPr>
        <w:t>施工人员不可在设备内部休息聊天、打瞌睡、玩手机等进行与装机作业无关行为。</w:t>
      </w:r>
    </w:p>
    <w:p>
      <w:pPr>
        <w:pStyle w:val="168"/>
        <w:ind w:left="-1" w:leftChars="-1" w:hanging="1"/>
        <w:rPr>
          <w:rFonts w:ascii="微软雅黑" w:hAnsi="微软雅黑" w:eastAsia="微软雅黑"/>
          <w:color w:val="auto"/>
        </w:rPr>
      </w:pPr>
      <w:r>
        <w:rPr>
          <w:rFonts w:ascii="微软雅黑" w:hAnsi="微软雅黑" w:eastAsia="微软雅黑"/>
          <w:color w:val="auto"/>
        </w:rPr>
        <w:t>装机作业产生的废弃物需及时清理，沾有酒精的无尘布需当天清理，不可存放现场。</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设备调试安全要求</w:t>
      </w:r>
    </w:p>
    <w:p>
      <w:pPr>
        <w:pStyle w:val="168"/>
        <w:ind w:left="-1" w:leftChars="-1" w:hanging="1"/>
        <w:rPr>
          <w:rFonts w:ascii="微软雅黑" w:hAnsi="微软雅黑" w:eastAsia="微软雅黑"/>
          <w:color w:val="auto"/>
        </w:rPr>
      </w:pPr>
      <w:r>
        <w:rPr>
          <w:rFonts w:ascii="微软雅黑" w:hAnsi="微软雅黑" w:eastAsia="微软雅黑"/>
          <w:color w:val="auto"/>
        </w:rPr>
        <w:t>调试作业前需申请施工申请单，涉及高架、动火、密闭空间的作业需提</w:t>
      </w:r>
      <w:r>
        <w:rPr>
          <w:rFonts w:hint="eastAsia" w:ascii="微软雅黑" w:hAnsi="微软雅黑" w:eastAsia="微软雅黑"/>
          <w:color w:val="auto"/>
        </w:rPr>
        <w:t>交</w:t>
      </w:r>
      <w:r>
        <w:rPr>
          <w:rFonts w:ascii="微软雅黑" w:hAnsi="微软雅黑" w:eastAsia="微软雅黑"/>
          <w:color w:val="auto"/>
        </w:rPr>
        <w:t>风险作业申请单。</w:t>
      </w:r>
    </w:p>
    <w:p>
      <w:pPr>
        <w:pStyle w:val="168"/>
        <w:ind w:left="-1" w:leftChars="-1" w:hanging="1"/>
        <w:rPr>
          <w:rFonts w:ascii="微软雅黑" w:hAnsi="微软雅黑" w:eastAsia="微软雅黑"/>
          <w:color w:val="auto"/>
        </w:rPr>
      </w:pPr>
      <w:r>
        <w:rPr>
          <w:rFonts w:ascii="微软雅黑" w:hAnsi="微软雅黑" w:eastAsia="微软雅黑"/>
          <w:color w:val="auto"/>
        </w:rPr>
        <w:t>调试作业前，需组织施工人员召开作业前工具箱安全宣导会议，针对当日作业风险进行告知及预防，宣导结束后所有作业人员需签字，宣导记录放置现场，以备检查。</w:t>
      </w:r>
    </w:p>
    <w:p>
      <w:pPr>
        <w:pStyle w:val="168"/>
        <w:ind w:left="-1" w:leftChars="-1" w:hanging="1"/>
        <w:rPr>
          <w:rFonts w:ascii="微软雅黑" w:hAnsi="微软雅黑" w:eastAsia="微软雅黑"/>
          <w:color w:val="auto"/>
        </w:rPr>
      </w:pPr>
      <w:r>
        <w:rPr>
          <w:rFonts w:ascii="微软雅黑" w:hAnsi="微软雅黑" w:eastAsia="微软雅黑"/>
          <w:color w:val="auto"/>
        </w:rPr>
        <w:t>设备化学品及特气turn on前，必须进行自查，做好管路保压、安全联锁测试等功能测试后，报甲方环安审批方可进行，具体要求参照化学品及特气turn on作业指导书。</w:t>
      </w:r>
    </w:p>
    <w:p>
      <w:pPr>
        <w:pStyle w:val="168"/>
        <w:ind w:left="-1" w:leftChars="-1" w:hanging="1"/>
        <w:rPr>
          <w:rFonts w:ascii="微软雅黑" w:hAnsi="微软雅黑" w:eastAsia="微软雅黑"/>
          <w:color w:val="auto"/>
        </w:rPr>
      </w:pPr>
      <w:r>
        <w:rPr>
          <w:rFonts w:ascii="微软雅黑" w:hAnsi="微软雅黑" w:eastAsia="微软雅黑"/>
          <w:color w:val="auto"/>
        </w:rPr>
        <w:t>装机调试过程中，如因制程功能调试需暂时无效化安全联锁装置，需向甲方设备主管中心进行申请，厂长/总监审批通过后，方可无效化，未经允许不可私自by pass。</w:t>
      </w:r>
    </w:p>
    <w:p>
      <w:pPr>
        <w:pStyle w:val="168"/>
        <w:ind w:left="-1" w:leftChars="-1" w:hanging="1"/>
        <w:rPr>
          <w:rFonts w:ascii="微软雅黑" w:hAnsi="微软雅黑" w:eastAsia="微软雅黑"/>
          <w:color w:val="auto"/>
        </w:rPr>
      </w:pPr>
      <w:r>
        <w:rPr>
          <w:rFonts w:ascii="微软雅黑" w:hAnsi="微软雅黑" w:eastAsia="微软雅黑"/>
          <w:color w:val="auto"/>
        </w:rPr>
        <w:t>已turn on化学品及特气的管路，如需拆卸维护，需填写危险管路拆卸作业申请，甲方批准后方可作业。</w:t>
      </w:r>
    </w:p>
    <w:p>
      <w:pPr>
        <w:pStyle w:val="168"/>
        <w:ind w:left="-1" w:leftChars="-1" w:hanging="1"/>
        <w:rPr>
          <w:rFonts w:ascii="微软雅黑" w:hAnsi="微软雅黑" w:eastAsia="微软雅黑"/>
          <w:color w:val="auto"/>
        </w:rPr>
      </w:pPr>
      <w:r>
        <w:rPr>
          <w:rFonts w:ascii="微软雅黑" w:hAnsi="微软雅黑" w:eastAsia="微软雅黑"/>
          <w:color w:val="auto"/>
        </w:rPr>
        <w:t>设备调试期间，若安全功能未完善情况下，不可进行无人测试，如设备高温加热、化学品供应等。</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设备维修作业要求</w:t>
      </w:r>
    </w:p>
    <w:p>
      <w:pPr>
        <w:pStyle w:val="168"/>
        <w:ind w:left="-1" w:leftChars="-1" w:hanging="1"/>
        <w:rPr>
          <w:rFonts w:ascii="微软雅黑" w:hAnsi="微软雅黑" w:eastAsia="微软雅黑"/>
          <w:color w:val="auto"/>
        </w:rPr>
      </w:pPr>
      <w:r>
        <w:rPr>
          <w:rFonts w:hint="eastAsia" w:ascii="微软雅黑" w:hAnsi="微软雅黑" w:eastAsia="微软雅黑"/>
          <w:color w:val="auto"/>
        </w:rPr>
        <w:t>维修</w:t>
      </w:r>
      <w:r>
        <w:rPr>
          <w:rFonts w:ascii="微软雅黑" w:hAnsi="微软雅黑" w:eastAsia="微软雅黑"/>
          <w:color w:val="auto"/>
        </w:rPr>
        <w:t>作业前需根据此规范申请施工申请单，涉及高架、动火、密闭空间的作业需提高风险作业申请单。</w:t>
      </w:r>
    </w:p>
    <w:p>
      <w:pPr>
        <w:pStyle w:val="168"/>
        <w:ind w:left="-1" w:leftChars="-1" w:hanging="1"/>
        <w:rPr>
          <w:rFonts w:ascii="微软雅黑" w:hAnsi="微软雅黑" w:eastAsia="微软雅黑"/>
          <w:color w:val="auto"/>
        </w:rPr>
      </w:pPr>
      <w:r>
        <w:rPr>
          <w:rFonts w:ascii="微软雅黑" w:hAnsi="微软雅黑" w:eastAsia="微软雅黑"/>
          <w:color w:val="auto"/>
        </w:rPr>
        <w:t>调试作业前，需组织施工人员召开作业前工具箱安全宣导会议，针对当日作业风险进行告知及预防，宣导结束后所有作业人员需签字，宣导记录放置现场，以备检查。</w:t>
      </w:r>
    </w:p>
    <w:p>
      <w:pPr>
        <w:pStyle w:val="168"/>
        <w:ind w:left="-1" w:leftChars="-1" w:hanging="1"/>
        <w:rPr>
          <w:rFonts w:ascii="微软雅黑" w:hAnsi="微软雅黑" w:eastAsia="微软雅黑"/>
          <w:color w:val="auto"/>
        </w:rPr>
      </w:pPr>
      <w:r>
        <w:rPr>
          <w:rFonts w:ascii="微软雅黑" w:hAnsi="微软雅黑" w:eastAsia="微软雅黑"/>
          <w:color w:val="auto"/>
        </w:rPr>
        <w:t>设备维修作业人员，必须经过设备维护SOP作业要求培训通过后，方可作业。</w:t>
      </w:r>
    </w:p>
    <w:p>
      <w:pPr>
        <w:pStyle w:val="168"/>
        <w:ind w:left="-1" w:leftChars="-1" w:hanging="1"/>
        <w:rPr>
          <w:rFonts w:ascii="微软雅黑" w:hAnsi="微软雅黑" w:eastAsia="微软雅黑"/>
          <w:color w:val="auto"/>
        </w:rPr>
      </w:pPr>
      <w:r>
        <w:rPr>
          <w:rFonts w:ascii="微软雅黑" w:hAnsi="微软雅黑" w:eastAsia="微软雅黑"/>
          <w:color w:val="auto"/>
        </w:rPr>
        <w:t>设备维护作业时，必须将设备电柜挂牌上锁，带电部分必须设置保护盖，防止触电风险。</w:t>
      </w:r>
    </w:p>
    <w:p>
      <w:pPr>
        <w:pStyle w:val="163"/>
        <w:ind w:left="-2" w:leftChars="-1" w:firstLine="480"/>
        <w:rPr>
          <w:rFonts w:ascii="微软雅黑" w:hAnsi="微软雅黑" w:eastAsia="微软雅黑"/>
          <w:color w:val="auto"/>
        </w:rPr>
      </w:pPr>
      <w:r>
        <w:rPr>
          <w:rFonts w:ascii="微软雅黑" w:hAnsi="微软雅黑" w:eastAsia="微软雅黑"/>
          <w:color w:val="auto"/>
        </w:rPr>
        <w:t>入厂前安全承诺要求</w:t>
      </w:r>
    </w:p>
    <w:p>
      <w:pPr>
        <w:pStyle w:val="164"/>
        <w:ind w:left="-1" w:leftChars="-1" w:hanging="1"/>
        <w:rPr>
          <w:rFonts w:ascii="微软雅黑" w:hAnsi="微软雅黑" w:eastAsia="微软雅黑"/>
          <w:color w:val="auto"/>
        </w:rPr>
      </w:pPr>
      <w:r>
        <w:rPr>
          <w:rFonts w:ascii="微软雅黑" w:hAnsi="微软雅黑" w:eastAsia="微软雅黑"/>
          <w:color w:val="auto"/>
        </w:rPr>
        <w:t>进入门岗所有外来人员，请阅读并严格遵守；入厂安全纪律视频内容</w:t>
      </w:r>
    </w:p>
    <w:p>
      <w:pPr>
        <w:pStyle w:val="164"/>
        <w:ind w:left="-1" w:leftChars="-1" w:hanging="1"/>
        <w:rPr>
          <w:rFonts w:ascii="微软雅黑" w:hAnsi="微软雅黑" w:eastAsia="微软雅黑"/>
          <w:color w:val="auto"/>
        </w:rPr>
      </w:pPr>
      <w:r>
        <w:rPr>
          <w:rFonts w:ascii="微软雅黑" w:hAnsi="微软雅黑" w:eastAsia="微软雅黑"/>
          <w:color w:val="auto"/>
        </w:rPr>
        <w:t>请全程佩戴好我们发放给您的访客证，并不得借用或冒用他人的访客证</w:t>
      </w:r>
    </w:p>
    <w:p>
      <w:pPr>
        <w:pStyle w:val="164"/>
        <w:ind w:left="-1" w:leftChars="-1" w:hanging="1"/>
        <w:rPr>
          <w:rFonts w:ascii="微软雅黑" w:hAnsi="微软雅黑" w:eastAsia="微软雅黑"/>
          <w:color w:val="auto"/>
        </w:rPr>
      </w:pPr>
      <w:r>
        <w:rPr>
          <w:rFonts w:ascii="微软雅黑" w:hAnsi="微软雅黑" w:eastAsia="微软雅黑"/>
          <w:color w:val="auto"/>
        </w:rPr>
        <w:t>未经审批严禁携带管制物品或危险化学品入厂</w:t>
      </w:r>
    </w:p>
    <w:p>
      <w:pPr>
        <w:pStyle w:val="164"/>
        <w:ind w:left="-1" w:leftChars="-1" w:hanging="1"/>
        <w:rPr>
          <w:rFonts w:ascii="微软雅黑" w:hAnsi="微软雅黑" w:eastAsia="微软雅黑"/>
          <w:color w:val="auto"/>
        </w:rPr>
      </w:pPr>
      <w:r>
        <w:rPr>
          <w:rFonts w:ascii="微软雅黑" w:hAnsi="微软雅黑" w:eastAsia="微软雅黑"/>
          <w:color w:val="auto"/>
        </w:rPr>
        <w:t>请服从接待人员及保安的指挥，遵守我司现场安全管理规定</w:t>
      </w:r>
    </w:p>
    <w:p>
      <w:pPr>
        <w:pStyle w:val="164"/>
        <w:ind w:left="-1" w:leftChars="-1" w:hanging="1"/>
        <w:rPr>
          <w:rFonts w:ascii="微软雅黑" w:hAnsi="微软雅黑" w:eastAsia="微软雅黑"/>
          <w:color w:val="auto"/>
        </w:rPr>
      </w:pPr>
      <w:r>
        <w:rPr>
          <w:rFonts w:ascii="微软雅黑" w:hAnsi="微软雅黑" w:eastAsia="微软雅黑"/>
          <w:color w:val="auto"/>
        </w:rPr>
        <w:t>禁止进入与您来访无关的场所，未经我司书面许可，请勿录像和拍照</w:t>
      </w:r>
    </w:p>
    <w:p>
      <w:pPr>
        <w:pStyle w:val="164"/>
        <w:ind w:left="-1" w:leftChars="-1" w:hanging="1"/>
        <w:rPr>
          <w:rFonts w:ascii="微软雅黑" w:hAnsi="微软雅黑" w:eastAsia="微软雅黑"/>
          <w:color w:val="auto"/>
        </w:rPr>
      </w:pPr>
      <w:r>
        <w:rPr>
          <w:rFonts w:ascii="微软雅黑" w:hAnsi="微软雅黑" w:eastAsia="微软雅黑"/>
          <w:color w:val="auto"/>
        </w:rPr>
        <w:t xml:space="preserve">未经我司书面许可，请不要触摸物料、查看文件、搬运或操作设备 </w:t>
      </w:r>
    </w:p>
    <w:p>
      <w:pPr>
        <w:pStyle w:val="164"/>
        <w:ind w:left="-1" w:leftChars="-1" w:hanging="1"/>
        <w:rPr>
          <w:rFonts w:ascii="微软雅黑" w:hAnsi="微软雅黑" w:eastAsia="微软雅黑"/>
          <w:color w:val="auto"/>
        </w:rPr>
      </w:pPr>
      <w:r>
        <w:rPr>
          <w:rFonts w:ascii="微软雅黑" w:hAnsi="微软雅黑" w:eastAsia="微软雅黑"/>
          <w:color w:val="auto"/>
        </w:rPr>
        <w:t>请行走在专门的安全通道上并靠右行走，注意行驶过往的车辆</w:t>
      </w:r>
    </w:p>
    <w:p>
      <w:pPr>
        <w:pStyle w:val="164"/>
        <w:ind w:left="-1" w:leftChars="-1" w:hanging="1"/>
        <w:rPr>
          <w:rFonts w:ascii="微软雅黑" w:hAnsi="微软雅黑" w:eastAsia="微软雅黑"/>
          <w:color w:val="auto"/>
        </w:rPr>
      </w:pPr>
      <w:r>
        <w:rPr>
          <w:rFonts w:ascii="微软雅黑" w:hAnsi="微软雅黑" w:eastAsia="微软雅黑"/>
          <w:color w:val="auto"/>
        </w:rPr>
        <w:t>如您驾驶车辆请遵守厂区交通管理规定，按厂区限速标牌和指向标识的要求行驶</w:t>
      </w:r>
    </w:p>
    <w:p>
      <w:pPr>
        <w:pStyle w:val="164"/>
        <w:ind w:left="-1" w:leftChars="-1" w:hanging="1"/>
        <w:rPr>
          <w:rFonts w:ascii="微软雅黑" w:hAnsi="微软雅黑" w:eastAsia="微软雅黑"/>
          <w:color w:val="auto"/>
        </w:rPr>
      </w:pPr>
      <w:r>
        <w:rPr>
          <w:rFonts w:ascii="微软雅黑" w:hAnsi="微软雅黑" w:eastAsia="微软雅黑"/>
          <w:color w:val="auto"/>
        </w:rPr>
        <w:t>请保管好您携带的贵重物品，禁止短裤、凉鞋进入厂区</w:t>
      </w:r>
    </w:p>
    <w:p>
      <w:pPr>
        <w:pStyle w:val="164"/>
        <w:ind w:left="-1" w:leftChars="-1" w:hanging="1"/>
        <w:rPr>
          <w:rFonts w:ascii="微软雅黑" w:hAnsi="微软雅黑" w:eastAsia="微软雅黑"/>
          <w:color w:val="auto"/>
        </w:rPr>
      </w:pPr>
      <w:r>
        <w:rPr>
          <w:rFonts w:ascii="微软雅黑" w:hAnsi="微软雅黑" w:eastAsia="微软雅黑"/>
          <w:color w:val="auto"/>
        </w:rPr>
        <w:t>进入厂区前请注意个人形象，严禁大声喧哗、饮酒或酒后入厂</w:t>
      </w:r>
    </w:p>
    <w:p>
      <w:pPr>
        <w:pStyle w:val="164"/>
        <w:ind w:left="-1" w:leftChars="-1" w:hanging="1"/>
        <w:rPr>
          <w:rFonts w:ascii="微软雅黑" w:hAnsi="微软雅黑" w:eastAsia="微软雅黑"/>
          <w:color w:val="auto"/>
        </w:rPr>
      </w:pPr>
      <w:r>
        <w:rPr>
          <w:rFonts w:ascii="微软雅黑" w:hAnsi="微软雅黑" w:eastAsia="微软雅黑"/>
          <w:color w:val="auto"/>
        </w:rPr>
        <w:t>来访人员进入厂区内，禁止施工作业</w:t>
      </w:r>
    </w:p>
    <w:p>
      <w:pPr>
        <w:pStyle w:val="164"/>
        <w:ind w:left="-1" w:leftChars="-1" w:hanging="1"/>
        <w:rPr>
          <w:rFonts w:ascii="微软雅黑" w:hAnsi="微软雅黑" w:eastAsia="微软雅黑"/>
          <w:color w:val="auto"/>
        </w:rPr>
      </w:pPr>
      <w:r>
        <w:rPr>
          <w:rFonts w:ascii="微软雅黑" w:hAnsi="微软雅黑" w:eastAsia="微软雅黑"/>
          <w:color w:val="auto"/>
        </w:rPr>
        <w:t>来访人员患有传染或其它疾病者需提前告知</w:t>
      </w:r>
    </w:p>
    <w:p>
      <w:pPr>
        <w:pStyle w:val="164"/>
        <w:ind w:left="-1" w:leftChars="-1" w:hanging="1"/>
        <w:rPr>
          <w:rFonts w:ascii="微软雅黑" w:hAnsi="微软雅黑" w:eastAsia="微软雅黑"/>
          <w:color w:val="auto"/>
        </w:rPr>
      </w:pPr>
      <w:r>
        <w:rPr>
          <w:rFonts w:ascii="微软雅黑" w:hAnsi="微软雅黑" w:eastAsia="微软雅黑"/>
          <w:color w:val="auto"/>
        </w:rPr>
        <w:t>外出管制口或工厂大门，请配合保安安检</w:t>
      </w:r>
    </w:p>
    <w:p>
      <w:pPr>
        <w:pStyle w:val="164"/>
        <w:ind w:left="-1" w:leftChars="-1" w:hanging="1"/>
        <w:rPr>
          <w:rFonts w:ascii="微软雅黑" w:hAnsi="微软雅黑" w:eastAsia="微软雅黑"/>
          <w:color w:val="auto"/>
        </w:rPr>
      </w:pPr>
      <w:r>
        <w:rPr>
          <w:rFonts w:ascii="微软雅黑" w:hAnsi="微软雅黑" w:eastAsia="微软雅黑"/>
          <w:color w:val="auto"/>
        </w:rPr>
        <w:t>如您发现异常事件，请保护好自身安全，并拨打我司应急电话027-6550-2119</w:t>
      </w:r>
    </w:p>
    <w:p>
      <w:pPr>
        <w:pStyle w:val="164"/>
        <w:ind w:left="-1" w:leftChars="-1" w:hanging="1"/>
        <w:rPr>
          <w:rFonts w:ascii="微软雅黑" w:hAnsi="微软雅黑" w:eastAsia="微软雅黑"/>
          <w:color w:val="auto"/>
        </w:rPr>
      </w:pPr>
      <w:r>
        <w:rPr>
          <w:rFonts w:ascii="微软雅黑" w:hAnsi="微软雅黑" w:eastAsia="微软雅黑"/>
          <w:color w:val="auto"/>
        </w:rPr>
        <w:t>若听到广播疏散，请您按照广播疏散的要求从就近的安全通道疏散至集合点</w:t>
      </w:r>
    </w:p>
    <w:p>
      <w:pPr>
        <w:pStyle w:val="164"/>
        <w:ind w:left="-1" w:leftChars="-1" w:hanging="1"/>
        <w:rPr>
          <w:rFonts w:ascii="微软雅黑" w:hAnsi="微软雅黑" w:eastAsia="微软雅黑"/>
          <w:color w:val="auto"/>
        </w:rPr>
      </w:pPr>
      <w:r>
        <w:rPr>
          <w:rFonts w:ascii="微软雅黑" w:hAnsi="微软雅黑" w:eastAsia="微软雅黑"/>
          <w:color w:val="auto"/>
        </w:rPr>
        <w:t>进入生产作业场所应按该区域的劳动防护用品配置要求穿戴好劳动防护用品</w:t>
      </w:r>
    </w:p>
    <w:p>
      <w:pPr>
        <w:pStyle w:val="164"/>
        <w:ind w:left="-1" w:leftChars="-1" w:hanging="1"/>
        <w:rPr>
          <w:rFonts w:ascii="微软雅黑" w:hAnsi="微软雅黑" w:eastAsia="微软雅黑"/>
          <w:color w:val="auto"/>
        </w:rPr>
      </w:pPr>
      <w:r>
        <w:rPr>
          <w:rFonts w:ascii="微软雅黑" w:hAnsi="微软雅黑" w:eastAsia="微软雅黑"/>
          <w:color w:val="auto"/>
        </w:rPr>
        <w:t>进入管制区如洁净室、特化区域必须经过批准，遵守管制区的管理规定</w:t>
      </w:r>
    </w:p>
    <w:p>
      <w:pPr>
        <w:pStyle w:val="164"/>
        <w:ind w:left="-1" w:leftChars="-1" w:hanging="1"/>
        <w:rPr>
          <w:rFonts w:ascii="微软雅黑" w:hAnsi="微软雅黑" w:eastAsia="微软雅黑"/>
          <w:color w:val="auto"/>
        </w:rPr>
      </w:pPr>
      <w:r>
        <w:rPr>
          <w:rFonts w:ascii="微软雅黑" w:hAnsi="微软雅黑" w:eastAsia="微软雅黑"/>
          <w:color w:val="auto"/>
        </w:rPr>
        <w:t>乙方年龄</w:t>
      </w:r>
      <w:r>
        <w:rPr>
          <w:rFonts w:hint="eastAsia" w:ascii="微软雅黑" w:hAnsi="微软雅黑" w:eastAsia="微软雅黑"/>
          <w:color w:val="auto"/>
        </w:rPr>
        <w:t>应</w:t>
      </w:r>
      <w:r>
        <w:rPr>
          <w:rFonts w:ascii="微软雅黑" w:hAnsi="微软雅黑" w:eastAsia="微软雅黑"/>
          <w:color w:val="auto"/>
        </w:rPr>
        <w:t>符合发包合同规定的年龄不</w:t>
      </w:r>
      <w:r>
        <w:rPr>
          <w:rFonts w:hint="eastAsia" w:ascii="微软雅黑" w:hAnsi="微软雅黑" w:eastAsia="微软雅黑"/>
          <w:color w:val="auto"/>
        </w:rPr>
        <w:t>得</w:t>
      </w:r>
      <w:r>
        <w:rPr>
          <w:rFonts w:ascii="微软雅黑" w:hAnsi="微软雅黑" w:eastAsia="微软雅黑"/>
          <w:color w:val="auto"/>
        </w:rPr>
        <w:t>超过</w:t>
      </w:r>
      <w:r>
        <w:rPr>
          <w:rFonts w:hint="eastAsia" w:ascii="微软雅黑" w:hAnsi="微软雅黑" w:eastAsia="微软雅黑"/>
          <w:color w:val="auto"/>
        </w:rPr>
        <w:t>法律</w:t>
      </w:r>
      <w:r>
        <w:rPr>
          <w:rFonts w:ascii="微软雅黑" w:hAnsi="微软雅黑" w:eastAsia="微软雅黑"/>
          <w:color w:val="auto"/>
        </w:rPr>
        <w:t>限</w:t>
      </w:r>
      <w:r>
        <w:rPr>
          <w:rFonts w:hint="eastAsia" w:ascii="微软雅黑" w:hAnsi="微软雅黑" w:eastAsia="微软雅黑"/>
          <w:color w:val="auto"/>
        </w:rPr>
        <w:t>定</w:t>
      </w:r>
      <w:r>
        <w:rPr>
          <w:rFonts w:ascii="微软雅黑" w:hAnsi="微软雅黑" w:eastAsia="微软雅黑"/>
          <w:color w:val="auto"/>
        </w:rPr>
        <w:t>的</w:t>
      </w:r>
      <w:r>
        <w:rPr>
          <w:rFonts w:hint="eastAsia" w:ascii="微软雅黑" w:hAnsi="微软雅黑" w:eastAsia="微软雅黑"/>
          <w:color w:val="auto"/>
        </w:rPr>
        <w:t>年龄</w:t>
      </w:r>
      <w:r>
        <w:rPr>
          <w:rFonts w:ascii="微软雅黑" w:hAnsi="微软雅黑" w:eastAsia="微软雅黑"/>
          <w:color w:val="auto"/>
        </w:rPr>
        <w:t>入厂作业。</w:t>
      </w:r>
    </w:p>
    <w:p>
      <w:pPr>
        <w:pStyle w:val="163"/>
        <w:ind w:left="-2" w:leftChars="-1" w:firstLine="480"/>
        <w:rPr>
          <w:rFonts w:ascii="微软雅黑" w:hAnsi="微软雅黑" w:eastAsia="微软雅黑"/>
          <w:color w:val="auto"/>
        </w:rPr>
      </w:pPr>
      <w:r>
        <w:rPr>
          <w:rFonts w:ascii="微软雅黑" w:hAnsi="微软雅黑" w:eastAsia="微软雅黑"/>
          <w:color w:val="auto"/>
        </w:rPr>
        <w:t>信息安全承诺要求</w:t>
      </w:r>
    </w:p>
    <w:p>
      <w:pPr>
        <w:pStyle w:val="164"/>
        <w:ind w:left="-1" w:leftChars="-1" w:hanging="1"/>
        <w:rPr>
          <w:rFonts w:ascii="微软雅黑" w:hAnsi="微软雅黑" w:eastAsia="微软雅黑"/>
          <w:color w:val="auto"/>
        </w:rPr>
      </w:pPr>
      <w:r>
        <w:rPr>
          <w:rFonts w:ascii="微软雅黑" w:hAnsi="微软雅黑" w:eastAsia="微软雅黑"/>
          <w:color w:val="auto"/>
        </w:rPr>
        <w:t>进出接受安保人员对门禁权限和物品（如手机、笔记本电脑、移动存储设备等）进行检</w:t>
      </w:r>
      <w:r>
        <w:rPr>
          <w:rFonts w:hint="eastAsia" w:ascii="微软雅黑" w:hAnsi="微软雅黑" w:eastAsia="微软雅黑"/>
          <w:color w:val="auto"/>
        </w:rPr>
        <w:t>查</w:t>
      </w:r>
    </w:p>
    <w:p>
      <w:pPr>
        <w:pStyle w:val="164"/>
        <w:ind w:left="-1" w:leftChars="-1" w:hanging="1"/>
        <w:rPr>
          <w:rFonts w:ascii="微软雅黑" w:hAnsi="微软雅黑" w:eastAsia="微软雅黑"/>
          <w:color w:val="auto"/>
        </w:rPr>
      </w:pPr>
      <w:r>
        <w:rPr>
          <w:rFonts w:ascii="微软雅黑" w:hAnsi="微软雅黑" w:eastAsia="微软雅黑"/>
          <w:color w:val="auto"/>
        </w:rPr>
        <w:t>进入管制区域佩戴人员识别牌</w:t>
      </w:r>
      <w:r>
        <w:rPr>
          <w:rFonts w:hint="eastAsia" w:ascii="微软雅黑" w:hAnsi="微软雅黑" w:eastAsia="微软雅黑"/>
          <w:color w:val="auto"/>
        </w:rPr>
        <w:t>，</w:t>
      </w:r>
      <w:r>
        <w:rPr>
          <w:rFonts w:ascii="微软雅黑" w:hAnsi="微软雅黑" w:eastAsia="微软雅黑"/>
          <w:color w:val="auto"/>
        </w:rPr>
        <w:t>未经授权不私自进入管制区域</w:t>
      </w:r>
    </w:p>
    <w:p>
      <w:pPr>
        <w:pStyle w:val="164"/>
        <w:ind w:left="-1" w:leftChars="-1" w:hanging="1"/>
        <w:rPr>
          <w:rFonts w:ascii="微软雅黑" w:hAnsi="微软雅黑" w:eastAsia="微软雅黑"/>
          <w:color w:val="auto"/>
        </w:rPr>
      </w:pPr>
      <w:r>
        <w:rPr>
          <w:rFonts w:ascii="微软雅黑" w:hAnsi="微软雅黑" w:eastAsia="微软雅黑"/>
          <w:color w:val="auto"/>
        </w:rPr>
        <w:t>不携带U盘、硬盘等存储设备进出管制区域</w:t>
      </w:r>
    </w:p>
    <w:p>
      <w:pPr>
        <w:pStyle w:val="164"/>
        <w:ind w:left="-1" w:leftChars="-1" w:hanging="1"/>
        <w:rPr>
          <w:rFonts w:ascii="微软雅黑" w:hAnsi="微软雅黑" w:eastAsia="微软雅黑"/>
          <w:color w:val="auto"/>
        </w:rPr>
      </w:pPr>
      <w:r>
        <w:rPr>
          <w:rFonts w:ascii="微软雅黑" w:hAnsi="微软雅黑" w:eastAsia="微软雅黑"/>
          <w:color w:val="auto"/>
        </w:rPr>
        <w:t>手机进入管制区域须由保安岗使用贴纸遮盖摄像头，禁止在管制区域拍摄</w:t>
      </w:r>
    </w:p>
    <w:p>
      <w:pPr>
        <w:pStyle w:val="164"/>
        <w:ind w:left="-1" w:leftChars="-1" w:hanging="1"/>
        <w:rPr>
          <w:rFonts w:ascii="微软雅黑" w:hAnsi="微软雅黑" w:eastAsia="微软雅黑"/>
          <w:color w:val="auto"/>
        </w:rPr>
      </w:pPr>
      <w:r>
        <w:rPr>
          <w:rFonts w:ascii="微软雅黑" w:hAnsi="微软雅黑" w:eastAsia="微软雅黑"/>
          <w:color w:val="auto"/>
        </w:rPr>
        <w:t>电脑携入</w:t>
      </w:r>
      <w:r>
        <w:rPr>
          <w:rFonts w:hint="eastAsia" w:ascii="微软雅黑" w:hAnsi="微软雅黑" w:eastAsia="微软雅黑"/>
          <w:color w:val="auto"/>
        </w:rPr>
        <w:t>甲方</w:t>
      </w:r>
      <w:r>
        <w:rPr>
          <w:rFonts w:ascii="微软雅黑" w:hAnsi="微软雅黑" w:eastAsia="微软雅黑"/>
          <w:color w:val="auto"/>
        </w:rPr>
        <w:t>前须安装防病毒软件和最新操作系统安全补丁，确保没有病毒</w:t>
      </w:r>
    </w:p>
    <w:p>
      <w:pPr>
        <w:pStyle w:val="164"/>
        <w:ind w:left="-1" w:leftChars="-1" w:hanging="1"/>
        <w:rPr>
          <w:rFonts w:ascii="微软雅黑" w:hAnsi="微软雅黑" w:eastAsia="微软雅黑"/>
          <w:color w:val="auto"/>
        </w:rPr>
      </w:pPr>
      <w:r>
        <w:rPr>
          <w:rFonts w:ascii="微软雅黑" w:hAnsi="微软雅黑" w:eastAsia="微软雅黑"/>
          <w:color w:val="auto"/>
        </w:rPr>
        <w:t>未经授权不私自携带电脑进出FAB，电脑携入须经</w:t>
      </w:r>
      <w:r>
        <w:rPr>
          <w:rFonts w:hint="eastAsia" w:ascii="微软雅黑" w:hAnsi="微软雅黑" w:eastAsia="微软雅黑"/>
          <w:color w:val="auto"/>
        </w:rPr>
        <w:t>甲方</w:t>
      </w:r>
      <w:r>
        <w:rPr>
          <w:rFonts w:ascii="微软雅黑" w:hAnsi="微软雅黑" w:eastAsia="微软雅黑"/>
          <w:color w:val="auto"/>
        </w:rPr>
        <w:t>IT检测病毒并张贴标</w:t>
      </w:r>
      <w:r>
        <w:rPr>
          <w:rFonts w:hint="eastAsia" w:ascii="微软雅黑" w:hAnsi="微软雅黑" w:eastAsia="微软雅黑"/>
          <w:color w:val="auto"/>
        </w:rPr>
        <w:t>识</w:t>
      </w:r>
    </w:p>
    <w:p>
      <w:pPr>
        <w:pStyle w:val="164"/>
        <w:ind w:left="-1" w:leftChars="-1" w:hanging="1"/>
        <w:rPr>
          <w:rFonts w:ascii="微软雅黑" w:hAnsi="微软雅黑" w:eastAsia="微软雅黑"/>
          <w:color w:val="auto"/>
        </w:rPr>
      </w:pPr>
      <w:r>
        <w:rPr>
          <w:rFonts w:ascii="微软雅黑" w:hAnsi="微软雅黑" w:eastAsia="微软雅黑"/>
          <w:color w:val="auto"/>
        </w:rPr>
        <w:t>未经授权不私自携出</w:t>
      </w:r>
      <w:r>
        <w:rPr>
          <w:rFonts w:hint="eastAsia" w:ascii="微软雅黑" w:hAnsi="微软雅黑" w:eastAsia="微软雅黑"/>
          <w:color w:val="auto"/>
        </w:rPr>
        <w:t>甲方</w:t>
      </w:r>
      <w:r>
        <w:rPr>
          <w:rFonts w:ascii="微软雅黑" w:hAnsi="微软雅黑" w:eastAsia="微软雅黑"/>
          <w:color w:val="auto"/>
        </w:rPr>
        <w:t>文件</w:t>
      </w:r>
      <w:r>
        <w:rPr>
          <w:rFonts w:hint="eastAsia" w:ascii="微软雅黑" w:hAnsi="微软雅黑" w:eastAsia="微软雅黑"/>
          <w:color w:val="auto"/>
        </w:rPr>
        <w:t>包含</w:t>
      </w:r>
      <w:r>
        <w:rPr>
          <w:rFonts w:ascii="微软雅黑" w:hAnsi="微软雅黑" w:eastAsia="微软雅黑"/>
          <w:color w:val="auto"/>
        </w:rPr>
        <w:t>但不限于电子版及纸档版</w:t>
      </w:r>
    </w:p>
    <w:p>
      <w:pPr>
        <w:pStyle w:val="164"/>
        <w:ind w:left="-1" w:leftChars="-1" w:hanging="1"/>
        <w:rPr>
          <w:rFonts w:ascii="微软雅黑" w:hAnsi="微软雅黑" w:eastAsia="微软雅黑"/>
          <w:color w:val="auto"/>
        </w:rPr>
      </w:pPr>
      <w:r>
        <w:rPr>
          <w:rFonts w:ascii="微软雅黑" w:hAnsi="微软雅黑" w:eastAsia="微软雅黑"/>
          <w:color w:val="auto"/>
        </w:rPr>
        <w:t>在</w:t>
      </w:r>
      <w:r>
        <w:rPr>
          <w:rFonts w:hint="eastAsia" w:ascii="微软雅黑" w:hAnsi="微软雅黑" w:eastAsia="微软雅黑"/>
          <w:color w:val="auto"/>
        </w:rPr>
        <w:t>甲方</w:t>
      </w:r>
      <w:r>
        <w:rPr>
          <w:rFonts w:ascii="微软雅黑" w:hAnsi="微软雅黑" w:eastAsia="微软雅黑"/>
          <w:color w:val="auto"/>
        </w:rPr>
        <w:t>施工期间及保密协议规定的保密期内（如承诺人尚未签订保密协议，自本</w:t>
      </w:r>
      <w:r>
        <w:rPr>
          <w:rFonts w:hint="eastAsia" w:ascii="微软雅黑" w:hAnsi="微软雅黑" w:eastAsia="微软雅黑"/>
          <w:color w:val="auto"/>
        </w:rPr>
        <w:t>安全环保</w:t>
      </w:r>
      <w:r>
        <w:rPr>
          <w:rFonts w:ascii="微软雅黑" w:hAnsi="微软雅黑" w:eastAsia="微软雅黑"/>
          <w:color w:val="auto"/>
        </w:rPr>
        <w:t>协议签订之日起五年内），除法律法规要求外，未经</w:t>
      </w:r>
      <w:r>
        <w:rPr>
          <w:rFonts w:hint="eastAsia" w:ascii="微软雅黑" w:hAnsi="微软雅黑" w:eastAsia="微软雅黑"/>
          <w:color w:val="auto"/>
        </w:rPr>
        <w:t>甲方</w:t>
      </w:r>
      <w:r>
        <w:rPr>
          <w:rFonts w:ascii="微软雅黑" w:hAnsi="微软雅黑" w:eastAsia="微软雅黑"/>
          <w:color w:val="auto"/>
        </w:rPr>
        <w:t>书面许可，不得向任何第三方泄露</w:t>
      </w:r>
      <w:r>
        <w:rPr>
          <w:rFonts w:hint="eastAsia" w:ascii="微软雅黑" w:hAnsi="微软雅黑" w:eastAsia="微软雅黑"/>
          <w:color w:val="auto"/>
        </w:rPr>
        <w:t>甲方</w:t>
      </w:r>
      <w:r>
        <w:rPr>
          <w:rFonts w:ascii="微软雅黑" w:hAnsi="微软雅黑" w:eastAsia="微软雅黑"/>
          <w:color w:val="auto"/>
        </w:rPr>
        <w:t>电及其关联公司的商业秘密，</w:t>
      </w:r>
      <w:r>
        <w:rPr>
          <w:rFonts w:hint="eastAsia" w:ascii="微软雅黑" w:hAnsi="微软雅黑" w:eastAsia="微软雅黑"/>
          <w:color w:val="auto"/>
        </w:rPr>
        <w:t>甲方</w:t>
      </w:r>
      <w:r>
        <w:rPr>
          <w:rFonts w:ascii="微软雅黑" w:hAnsi="微软雅黑" w:eastAsia="微软雅黑"/>
          <w:color w:val="auto"/>
        </w:rPr>
        <w:t>的商业秘密包括但不限于研发信息、客户信息、信息系统和信息设备配置信息/口令信息、源代码等。</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w:t>
      </w:r>
      <w:r>
        <w:rPr>
          <w:rFonts w:ascii="微软雅黑" w:hAnsi="微软雅黑" w:eastAsia="微软雅黑"/>
          <w:color w:val="auto"/>
        </w:rPr>
        <w:t>人员在</w:t>
      </w:r>
      <w:r>
        <w:rPr>
          <w:rFonts w:hint="eastAsia" w:ascii="微软雅黑" w:hAnsi="微软雅黑" w:eastAsia="微软雅黑"/>
          <w:color w:val="auto"/>
        </w:rPr>
        <w:t>甲方</w:t>
      </w:r>
      <w:r>
        <w:rPr>
          <w:rFonts w:ascii="微软雅黑" w:hAnsi="微软雅黑" w:eastAsia="微软雅黑"/>
          <w:color w:val="auto"/>
        </w:rPr>
        <w:t>工作期间内，因工作需要使用</w:t>
      </w:r>
      <w:r>
        <w:rPr>
          <w:rFonts w:hint="eastAsia" w:ascii="微软雅黑" w:hAnsi="微软雅黑" w:eastAsia="微软雅黑"/>
          <w:color w:val="auto"/>
        </w:rPr>
        <w:t>甲方</w:t>
      </w:r>
      <w:r>
        <w:rPr>
          <w:rFonts w:ascii="微软雅黑" w:hAnsi="微软雅黑" w:eastAsia="微软雅黑"/>
          <w:color w:val="auto"/>
        </w:rPr>
        <w:t>的信息系统和网络访问权限，</w:t>
      </w:r>
      <w:r>
        <w:rPr>
          <w:rFonts w:hint="eastAsia" w:ascii="微软雅黑" w:hAnsi="微软雅黑" w:eastAsia="微软雅黑"/>
          <w:color w:val="auto"/>
        </w:rPr>
        <w:t>乙方人员应</w:t>
      </w:r>
      <w:r>
        <w:rPr>
          <w:rFonts w:ascii="微软雅黑" w:hAnsi="微软雅黑" w:eastAsia="微软雅黑"/>
          <w:color w:val="auto"/>
        </w:rPr>
        <w:t>谨慎使用；不利用获得的系统或网络访问权限进行危害国家、社会、</w:t>
      </w:r>
      <w:r>
        <w:rPr>
          <w:rFonts w:hint="eastAsia" w:ascii="微软雅黑" w:hAnsi="微软雅黑" w:eastAsia="微软雅黑"/>
          <w:color w:val="auto"/>
        </w:rPr>
        <w:t>甲方</w:t>
      </w:r>
      <w:r>
        <w:rPr>
          <w:rFonts w:ascii="微软雅黑" w:hAnsi="微软雅黑" w:eastAsia="微软雅黑"/>
          <w:color w:val="auto"/>
        </w:rPr>
        <w:t>以及其它组织或个人的信息安全的行为，如因上述活动等而产生的问题，</w:t>
      </w:r>
      <w:r>
        <w:rPr>
          <w:rFonts w:hint="eastAsia" w:ascii="微软雅黑" w:hAnsi="微软雅黑" w:eastAsia="微软雅黑"/>
          <w:color w:val="auto"/>
        </w:rPr>
        <w:t>乙方</w:t>
      </w:r>
      <w:r>
        <w:rPr>
          <w:rFonts w:ascii="微软雅黑" w:hAnsi="微软雅黑" w:eastAsia="微软雅黑"/>
          <w:color w:val="auto"/>
        </w:rPr>
        <w:t>承担相关责任。</w:t>
      </w:r>
    </w:p>
    <w:p>
      <w:pPr>
        <w:pStyle w:val="164"/>
        <w:ind w:left="-1" w:leftChars="-1" w:hanging="1"/>
        <w:rPr>
          <w:rFonts w:ascii="微软雅黑" w:hAnsi="微软雅黑" w:eastAsia="微软雅黑"/>
          <w:color w:val="auto"/>
        </w:rPr>
      </w:pPr>
      <w:r>
        <w:rPr>
          <w:rFonts w:hint="eastAsia" w:ascii="微软雅黑" w:hAnsi="微软雅黑" w:eastAsia="微软雅黑"/>
          <w:color w:val="auto"/>
        </w:rPr>
        <w:t>乙方人员</w:t>
      </w:r>
      <w:r>
        <w:rPr>
          <w:rFonts w:ascii="微软雅黑" w:hAnsi="微软雅黑" w:eastAsia="微软雅黑"/>
          <w:color w:val="auto"/>
        </w:rPr>
        <w:t>因工作需要获得</w:t>
      </w:r>
      <w:r>
        <w:rPr>
          <w:rFonts w:hint="eastAsia" w:ascii="微软雅黑" w:hAnsi="微软雅黑" w:eastAsia="微软雅黑"/>
          <w:color w:val="auto"/>
        </w:rPr>
        <w:t>甲方</w:t>
      </w:r>
      <w:r>
        <w:rPr>
          <w:rFonts w:ascii="微软雅黑" w:hAnsi="微软雅黑" w:eastAsia="微软雅黑"/>
          <w:color w:val="auto"/>
        </w:rPr>
        <w:t>物理和/或逻辑访问权限授权的文档、数据、个人办公电脑、信息系统、网络设备等信息资产，以及通过以上信息资产获得、产生、传递、接收的和存储的所有信息，</w:t>
      </w:r>
      <w:r>
        <w:rPr>
          <w:rFonts w:hint="eastAsia" w:ascii="微软雅黑" w:hAnsi="微软雅黑" w:eastAsia="微软雅黑"/>
          <w:color w:val="auto"/>
        </w:rPr>
        <w:t>乙方人员应</w:t>
      </w:r>
      <w:r>
        <w:rPr>
          <w:rFonts w:ascii="微软雅黑" w:hAnsi="微软雅黑" w:eastAsia="微软雅黑"/>
          <w:color w:val="auto"/>
        </w:rPr>
        <w:t>谨慎使用，这些信息的知识产权为</w:t>
      </w:r>
      <w:r>
        <w:rPr>
          <w:rFonts w:hint="eastAsia" w:ascii="微软雅黑" w:hAnsi="微软雅黑" w:eastAsia="微软雅黑"/>
          <w:color w:val="auto"/>
        </w:rPr>
        <w:t>甲方</w:t>
      </w:r>
      <w:r>
        <w:rPr>
          <w:rFonts w:ascii="微软雅黑" w:hAnsi="微软雅黑" w:eastAsia="微软雅黑"/>
          <w:color w:val="auto"/>
        </w:rPr>
        <w:t>所有，未经</w:t>
      </w:r>
      <w:r>
        <w:rPr>
          <w:rFonts w:hint="eastAsia" w:ascii="微软雅黑" w:hAnsi="微软雅黑" w:eastAsia="微软雅黑"/>
          <w:color w:val="auto"/>
        </w:rPr>
        <w:t>甲方</w:t>
      </w:r>
      <w:r>
        <w:rPr>
          <w:rFonts w:ascii="微软雅黑" w:hAnsi="微软雅黑" w:eastAsia="微软雅黑"/>
          <w:color w:val="auto"/>
        </w:rPr>
        <w:t>书面许可，不得通过个人私有信息设备（包括但不限于个人私有的移动硬盘、U盘、拍照手机、录音笔、录相机、摄相机、磁带、闪存盘/卡等）获取。</w:t>
      </w:r>
    </w:p>
    <w:p>
      <w:pPr>
        <w:pStyle w:val="163"/>
        <w:ind w:left="-2" w:leftChars="-1" w:firstLine="480"/>
        <w:rPr>
          <w:rFonts w:ascii="微软雅黑" w:hAnsi="微软雅黑" w:eastAsia="微软雅黑"/>
          <w:color w:val="auto"/>
        </w:rPr>
      </w:pPr>
      <w:r>
        <w:rPr>
          <w:rFonts w:ascii="微软雅黑" w:hAnsi="微软雅黑" w:eastAsia="微软雅黑"/>
          <w:color w:val="auto"/>
        </w:rPr>
        <w:t>乙方进入甲方防疫安全要求</w:t>
      </w:r>
    </w:p>
    <w:p>
      <w:pPr>
        <w:pStyle w:val="164"/>
        <w:ind w:left="-1" w:leftChars="-1" w:hanging="1"/>
        <w:rPr>
          <w:rFonts w:ascii="微软雅黑" w:hAnsi="微软雅黑" w:eastAsia="微软雅黑"/>
          <w:color w:val="auto"/>
        </w:rPr>
      </w:pPr>
      <w:r>
        <w:rPr>
          <w:rFonts w:ascii="微软雅黑" w:hAnsi="微软雅黑" w:eastAsia="微软雅黑"/>
          <w:color w:val="auto"/>
        </w:rPr>
        <w:t>乙方人员及与</w:t>
      </w:r>
      <w:r>
        <w:rPr>
          <w:rFonts w:hint="eastAsia" w:ascii="微软雅黑" w:hAnsi="微软雅黑" w:eastAsia="微软雅黑"/>
          <w:color w:val="auto"/>
        </w:rPr>
        <w:t>乙方</w:t>
      </w:r>
      <w:r>
        <w:rPr>
          <w:rFonts w:ascii="微软雅黑" w:hAnsi="微软雅黑" w:eastAsia="微软雅黑"/>
          <w:color w:val="auto"/>
        </w:rPr>
        <w:t>人员同住（包括但不限于同居室合租等）的其他人员（包括但不限于与</w:t>
      </w:r>
      <w:r>
        <w:rPr>
          <w:rFonts w:hint="eastAsia" w:ascii="微软雅黑" w:hAnsi="微软雅黑" w:eastAsia="微软雅黑"/>
          <w:color w:val="auto"/>
        </w:rPr>
        <w:t>乙方</w:t>
      </w:r>
      <w:r>
        <w:rPr>
          <w:rFonts w:ascii="微软雅黑" w:hAnsi="微软雅黑" w:eastAsia="微软雅黑"/>
          <w:color w:val="auto"/>
        </w:rPr>
        <w:t>人员同住的家属、亲戚、朋友或其他人员）未出现确诊或疑似新型冠状病毒肺炎病例（以下简称“病例”），且身体健康，未出现发烧、咳嗽、感冒、角膜炎、胸闷、喘憋、腹痛等任何不适症状。</w:t>
      </w:r>
    </w:p>
    <w:p>
      <w:pPr>
        <w:pStyle w:val="164"/>
        <w:ind w:left="-1" w:leftChars="-1" w:hanging="1"/>
        <w:rPr>
          <w:rFonts w:ascii="微软雅黑" w:hAnsi="微软雅黑" w:eastAsia="微软雅黑"/>
          <w:color w:val="auto"/>
        </w:rPr>
      </w:pPr>
      <w:r>
        <w:rPr>
          <w:rFonts w:ascii="微软雅黑" w:hAnsi="微软雅黑" w:eastAsia="微软雅黑"/>
          <w:color w:val="auto"/>
        </w:rPr>
        <w:t>乙方承诺并保证完全遵守国家及所在地区政府防疫管理规定及甲方防疫管理方案的要求并采取了一系列防疫措施，承诺并保证向甲方提报的防疫健康信息无隐瞒、无不实、无遗漏等情形并对排查结果真实性承担责任。</w:t>
      </w:r>
    </w:p>
    <w:p>
      <w:pPr>
        <w:pStyle w:val="164"/>
        <w:ind w:left="-1" w:leftChars="-1" w:hanging="1"/>
        <w:rPr>
          <w:rFonts w:ascii="微软雅黑" w:hAnsi="微软雅黑" w:eastAsia="微软雅黑"/>
          <w:color w:val="auto"/>
        </w:rPr>
      </w:pPr>
      <w:r>
        <w:rPr>
          <w:rFonts w:ascii="微软雅黑" w:hAnsi="微软雅黑" w:eastAsia="微软雅黑"/>
          <w:color w:val="auto"/>
        </w:rPr>
        <w:t>乙方任何人员有身体异常，</w:t>
      </w:r>
      <w:r>
        <w:rPr>
          <w:rFonts w:hint="eastAsia" w:ascii="微软雅黑" w:hAnsi="微软雅黑" w:eastAsia="微软雅黑"/>
          <w:color w:val="auto"/>
        </w:rPr>
        <w:t>应在</w:t>
      </w:r>
      <w:r>
        <w:rPr>
          <w:rFonts w:ascii="微软雅黑" w:hAnsi="微软雅黑" w:eastAsia="微软雅黑"/>
          <w:color w:val="auto"/>
        </w:rPr>
        <w:t>第一时间汇报</w:t>
      </w:r>
      <w:r>
        <w:rPr>
          <w:rFonts w:hint="eastAsia" w:ascii="微软雅黑" w:hAnsi="微软雅黑" w:eastAsia="微软雅黑"/>
          <w:color w:val="auto"/>
        </w:rPr>
        <w:t>甲方安全部/</w:t>
      </w:r>
      <w:r>
        <w:rPr>
          <w:rFonts w:ascii="微软雅黑" w:hAnsi="微软雅黑" w:eastAsia="微软雅黑"/>
          <w:color w:val="auto"/>
        </w:rPr>
        <w:t>工安环保部门，立即停止相关人员的进厂并替换为符合主合同约定资格及防疫管理规定要求的人员，以确保</w:t>
      </w:r>
      <w:r>
        <w:rPr>
          <w:rFonts w:hint="eastAsia" w:ascii="微软雅黑" w:hAnsi="微软雅黑" w:eastAsia="微软雅黑"/>
          <w:color w:val="auto"/>
        </w:rPr>
        <w:t>甲方</w:t>
      </w:r>
      <w:r>
        <w:rPr>
          <w:rFonts w:ascii="微软雅黑" w:hAnsi="微软雅黑" w:eastAsia="微软雅黑"/>
          <w:color w:val="auto"/>
        </w:rPr>
        <w:t>相关项目和工作不间断的顺利开展。</w:t>
      </w:r>
    </w:p>
    <w:p>
      <w:pPr>
        <w:pStyle w:val="164"/>
        <w:ind w:left="-1" w:leftChars="-1" w:hanging="1"/>
        <w:rPr>
          <w:rFonts w:ascii="微软雅黑" w:hAnsi="微软雅黑" w:eastAsia="微软雅黑"/>
          <w:color w:val="auto"/>
        </w:rPr>
      </w:pPr>
      <w:r>
        <w:rPr>
          <w:rFonts w:ascii="微软雅黑" w:hAnsi="微软雅黑" w:eastAsia="微软雅黑"/>
          <w:color w:val="auto"/>
        </w:rPr>
        <w:t>乙方应规划人员的行动轨迹，保证入厂后不私自往返中高风险区域</w:t>
      </w:r>
      <w:r>
        <w:rPr>
          <w:rFonts w:hint="eastAsia" w:ascii="微软雅黑" w:hAnsi="微软雅黑" w:eastAsia="微软雅黑"/>
          <w:color w:val="auto"/>
        </w:rPr>
        <w:t>以</w:t>
      </w:r>
      <w:r>
        <w:rPr>
          <w:rFonts w:ascii="微软雅黑" w:hAnsi="微软雅黑" w:eastAsia="微软雅黑"/>
          <w:color w:val="auto"/>
        </w:rPr>
        <w:t>及与报备地址变</w:t>
      </w:r>
      <w:r>
        <w:rPr>
          <w:rFonts w:hint="eastAsia" w:ascii="微软雅黑" w:hAnsi="微软雅黑" w:eastAsia="微软雅黑"/>
          <w:color w:val="auto"/>
        </w:rPr>
        <w:t>更</w:t>
      </w:r>
      <w:r>
        <w:rPr>
          <w:rFonts w:ascii="微软雅黑" w:hAnsi="微软雅黑" w:eastAsia="微软雅黑"/>
          <w:color w:val="auto"/>
        </w:rPr>
        <w:t>的，如有则提前报</w:t>
      </w:r>
      <w:r>
        <w:rPr>
          <w:rFonts w:hint="eastAsia" w:ascii="微软雅黑" w:hAnsi="微软雅黑" w:eastAsia="微软雅黑"/>
          <w:color w:val="auto"/>
        </w:rPr>
        <w:t>备甲方安全部</w:t>
      </w:r>
      <w:r>
        <w:rPr>
          <w:rFonts w:ascii="微软雅黑" w:hAnsi="微软雅黑" w:eastAsia="微软雅黑"/>
          <w:color w:val="auto"/>
        </w:rPr>
        <w:t>/</w:t>
      </w:r>
      <w:r>
        <w:rPr>
          <w:rFonts w:hint="eastAsia" w:ascii="微软雅黑" w:hAnsi="微软雅黑" w:eastAsia="微软雅黑"/>
          <w:color w:val="auto"/>
        </w:rPr>
        <w:t>工安环保部门进</w:t>
      </w:r>
      <w:r>
        <w:rPr>
          <w:rFonts w:ascii="微软雅黑" w:hAnsi="微软雅黑" w:eastAsia="微软雅黑"/>
          <w:color w:val="auto"/>
        </w:rPr>
        <w:t>行</w:t>
      </w:r>
      <w:r>
        <w:rPr>
          <w:rFonts w:hint="eastAsia" w:ascii="微软雅黑" w:hAnsi="微软雅黑" w:eastAsia="微软雅黑"/>
          <w:color w:val="auto"/>
        </w:rPr>
        <w:t>更新</w:t>
      </w:r>
      <w:r>
        <w:rPr>
          <w:rFonts w:ascii="微软雅黑" w:hAnsi="微软雅黑" w:eastAsia="微软雅黑"/>
          <w:color w:val="auto"/>
        </w:rPr>
        <w:t>或</w:t>
      </w:r>
      <w:r>
        <w:rPr>
          <w:rFonts w:hint="eastAsia" w:ascii="微软雅黑" w:hAnsi="微软雅黑" w:eastAsia="微软雅黑"/>
          <w:color w:val="auto"/>
        </w:rPr>
        <w:t>申请取消相关人员入厂权限。</w:t>
      </w:r>
    </w:p>
    <w:p>
      <w:pPr>
        <w:pStyle w:val="164"/>
        <w:ind w:left="-1" w:leftChars="-1" w:hanging="1"/>
        <w:rPr>
          <w:rFonts w:ascii="微软雅黑" w:hAnsi="微软雅黑" w:eastAsia="微软雅黑"/>
          <w:color w:val="auto"/>
        </w:rPr>
      </w:pPr>
      <w:r>
        <w:rPr>
          <w:rFonts w:ascii="微软雅黑" w:hAnsi="微软雅黑" w:eastAsia="微软雅黑"/>
          <w:color w:val="auto"/>
        </w:rPr>
        <w:t>境外厂商含香港、澳门、台湾入境前或是返回</w:t>
      </w:r>
      <w:r>
        <w:rPr>
          <w:rFonts w:hint="eastAsia" w:ascii="微软雅黑" w:hAnsi="微软雅黑" w:eastAsia="微软雅黑"/>
          <w:color w:val="auto"/>
        </w:rPr>
        <w:t>甲方</w:t>
      </w:r>
      <w:r>
        <w:rPr>
          <w:rFonts w:ascii="微软雅黑" w:hAnsi="微软雅黑" w:eastAsia="微软雅黑"/>
          <w:color w:val="auto"/>
        </w:rPr>
        <w:t>前严格按照</w:t>
      </w:r>
      <w:r>
        <w:rPr>
          <w:rFonts w:hint="eastAsia" w:ascii="微软雅黑" w:hAnsi="微软雅黑" w:eastAsia="微软雅黑"/>
          <w:color w:val="auto"/>
        </w:rPr>
        <w:t>甲方</w:t>
      </w:r>
      <w:r>
        <w:rPr>
          <w:rFonts w:ascii="微软雅黑" w:hAnsi="微软雅黑" w:eastAsia="微软雅黑"/>
          <w:color w:val="auto"/>
        </w:rPr>
        <w:t>及政府的管控要求，提前完成入境或返回</w:t>
      </w:r>
      <w:r>
        <w:rPr>
          <w:rFonts w:hint="eastAsia" w:ascii="微软雅黑" w:hAnsi="微软雅黑" w:eastAsia="微软雅黑"/>
          <w:color w:val="auto"/>
        </w:rPr>
        <w:t>深圳/</w:t>
      </w:r>
      <w:r>
        <w:rPr>
          <w:rFonts w:ascii="微软雅黑" w:hAnsi="微软雅黑" w:eastAsia="微软雅黑"/>
          <w:color w:val="auto"/>
        </w:rPr>
        <w:t>武汉前的信息报备工作，若出现漏报、瞒报、迟报、信息虚假不实等自愿承担全部的法律责任。</w:t>
      </w:r>
    </w:p>
    <w:p>
      <w:pPr>
        <w:pStyle w:val="164"/>
        <w:ind w:left="-1" w:leftChars="-1" w:hanging="1"/>
        <w:rPr>
          <w:rFonts w:ascii="微软雅黑" w:hAnsi="微软雅黑" w:eastAsia="微软雅黑"/>
          <w:color w:val="auto"/>
        </w:rPr>
      </w:pPr>
      <w:r>
        <w:rPr>
          <w:rFonts w:ascii="微软雅黑" w:hAnsi="微软雅黑" w:eastAsia="微软雅黑"/>
          <w:color w:val="auto"/>
        </w:rPr>
        <w:t>甲方有权依据疫情发展政策等修订防疫管理方案乙方完全接受并按照</w:t>
      </w:r>
      <w:r>
        <w:rPr>
          <w:rFonts w:hint="eastAsia" w:ascii="微软雅黑" w:hAnsi="微软雅黑" w:eastAsia="微软雅黑"/>
          <w:color w:val="auto"/>
        </w:rPr>
        <w:t>甲方</w:t>
      </w:r>
      <w:r>
        <w:rPr>
          <w:rFonts w:ascii="微软雅黑" w:hAnsi="微软雅黑" w:eastAsia="微软雅黑"/>
          <w:color w:val="auto"/>
        </w:rPr>
        <w:t>最新的规定执</w:t>
      </w:r>
      <w:r>
        <w:rPr>
          <w:rFonts w:hint="eastAsia" w:ascii="微软雅黑" w:hAnsi="微软雅黑" w:eastAsia="微软雅黑"/>
          <w:color w:val="auto"/>
        </w:rPr>
        <w:t>行</w:t>
      </w:r>
    </w:p>
    <w:p>
      <w:pPr>
        <w:pStyle w:val="163"/>
        <w:ind w:left="-2" w:leftChars="-1" w:firstLine="480"/>
        <w:rPr>
          <w:rFonts w:ascii="微软雅黑" w:hAnsi="微软雅黑" w:eastAsia="微软雅黑"/>
          <w:color w:val="auto"/>
        </w:rPr>
      </w:pPr>
      <w:r>
        <w:rPr>
          <w:rFonts w:ascii="微软雅黑" w:hAnsi="微软雅黑" w:eastAsia="微软雅黑"/>
          <w:color w:val="auto"/>
        </w:rPr>
        <w:t>因乙方违反上述规定使甲方蒙受任何损失，乙方应承担</w:t>
      </w:r>
      <w:r>
        <w:rPr>
          <w:rFonts w:hint="eastAsia" w:ascii="微软雅黑" w:hAnsi="微软雅黑" w:eastAsia="微软雅黑"/>
          <w:color w:val="auto"/>
        </w:rPr>
        <w:t>相</w:t>
      </w:r>
      <w:r>
        <w:rPr>
          <w:rFonts w:ascii="微软雅黑" w:hAnsi="微软雅黑" w:eastAsia="微软雅黑"/>
          <w:color w:val="auto"/>
        </w:rPr>
        <w:t>应赔偿责任（包括但不限于直接、间接之损害、因处理相关争议之支出、诉讼费用、赔偿金额、和解费用、律师费用）。</w:t>
      </w:r>
    </w:p>
    <w:p>
      <w:pPr>
        <w:pStyle w:val="163"/>
        <w:ind w:left="-2" w:leftChars="-1" w:firstLine="480"/>
        <w:rPr>
          <w:rFonts w:ascii="微软雅黑" w:hAnsi="微软雅黑" w:eastAsia="微软雅黑"/>
          <w:color w:val="auto"/>
        </w:rPr>
      </w:pPr>
      <w:r>
        <w:rPr>
          <w:rFonts w:ascii="微软雅黑" w:hAnsi="微软雅黑" w:eastAsia="微软雅黑"/>
          <w:color w:val="auto"/>
        </w:rPr>
        <w:t>对其他类型乙方，要求在签订合同时按上述要求另行签订</w:t>
      </w:r>
      <w:r>
        <w:rPr>
          <w:rFonts w:hint="eastAsia" w:ascii="微软雅黑" w:hAnsi="微软雅黑" w:eastAsia="微软雅黑"/>
          <w:color w:val="auto"/>
        </w:rPr>
        <w:t>安全环保</w:t>
      </w:r>
      <w:r>
        <w:rPr>
          <w:rFonts w:ascii="微软雅黑" w:hAnsi="微软雅黑" w:eastAsia="微软雅黑"/>
          <w:color w:val="auto"/>
        </w:rPr>
        <w:t>协议。</w:t>
      </w:r>
    </w:p>
    <w:p>
      <w:pPr>
        <w:pStyle w:val="163"/>
        <w:ind w:left="-2" w:leftChars="-1" w:firstLine="480"/>
        <w:rPr>
          <w:rFonts w:ascii="微软雅黑" w:hAnsi="微软雅黑" w:eastAsia="微软雅黑"/>
          <w:color w:val="auto"/>
        </w:rPr>
      </w:pPr>
      <w:r>
        <w:rPr>
          <w:rFonts w:ascii="微软雅黑" w:hAnsi="微软雅黑" w:eastAsia="微软雅黑"/>
          <w:color w:val="auto"/>
        </w:rPr>
        <w:t>协议中未列入的要求，在相关的合同书有效文件中，予以列出说明，做为补充性协议。</w:t>
      </w:r>
    </w:p>
    <w:p>
      <w:pPr>
        <w:pStyle w:val="163"/>
        <w:ind w:left="-2" w:leftChars="-1" w:firstLine="480"/>
        <w:rPr>
          <w:rFonts w:ascii="微软雅黑" w:hAnsi="微软雅黑" w:eastAsia="微软雅黑"/>
          <w:color w:val="auto"/>
        </w:rPr>
      </w:pPr>
      <w:r>
        <w:rPr>
          <w:rFonts w:hint="eastAsia" w:ascii="微软雅黑" w:hAnsi="微软雅黑" w:eastAsia="微软雅黑"/>
          <w:color w:val="auto"/>
        </w:rPr>
        <w:t>乙方违反《</w:t>
      </w:r>
      <w:r>
        <w:rPr>
          <w:rFonts w:ascii="微软雅黑" w:hAnsi="微软雅黑" w:eastAsia="微软雅黑"/>
          <w:color w:val="auto"/>
        </w:rPr>
        <w:t>违规处罚细则</w:t>
      </w:r>
      <w:r>
        <w:rPr>
          <w:rFonts w:hint="eastAsia" w:ascii="微软雅黑" w:hAnsi="微软雅黑" w:eastAsia="微软雅黑"/>
          <w:color w:val="auto"/>
        </w:rPr>
        <w:t>》</w:t>
      </w:r>
      <w:r>
        <w:rPr>
          <w:rFonts w:ascii="微软雅黑" w:hAnsi="微软雅黑" w:eastAsia="微软雅黑"/>
          <w:color w:val="auto"/>
        </w:rPr>
        <w:t>约定的，甲方有权对乙方进行罚款</w:t>
      </w:r>
      <w:r>
        <w:rPr>
          <w:rFonts w:hint="eastAsia" w:ascii="微软雅黑" w:hAnsi="微软雅黑" w:eastAsia="微软雅黑"/>
          <w:color w:val="auto"/>
        </w:rPr>
        <w:t>。</w:t>
      </w:r>
    </w:p>
    <w:p>
      <w:pPr>
        <w:pStyle w:val="163"/>
        <w:ind w:left="-2" w:leftChars="-1" w:firstLine="480"/>
        <w:rPr>
          <w:rFonts w:ascii="微软雅黑" w:hAnsi="微软雅黑" w:eastAsia="微软雅黑"/>
          <w:color w:val="auto"/>
        </w:rPr>
      </w:pPr>
      <w:r>
        <w:rPr>
          <w:rFonts w:ascii="微软雅黑" w:hAnsi="微软雅黑" w:eastAsia="微软雅黑"/>
          <w:color w:val="auto"/>
        </w:rPr>
        <w:t>甲方在相关标准、法规条款调整情况下，有权依据相关标准、法规修订此协议</w:t>
      </w:r>
      <w:r>
        <w:rPr>
          <w:rFonts w:hint="eastAsia" w:ascii="微软雅黑" w:hAnsi="微软雅黑" w:eastAsia="微软雅黑"/>
          <w:color w:val="auto"/>
        </w:rPr>
        <w:t>。</w:t>
      </w:r>
    </w:p>
    <w:p>
      <w:pPr>
        <w:pStyle w:val="166"/>
        <w:numPr>
          <w:ilvl w:val="0"/>
          <w:numId w:val="0"/>
        </w:numPr>
        <w:ind w:left="-1" w:leftChars="-1" w:hanging="1"/>
        <w:rPr>
          <w:rFonts w:ascii="微软雅黑" w:hAnsi="微软雅黑" w:eastAsia="微软雅黑"/>
          <w:sz w:val="22"/>
          <w:szCs w:val="22"/>
          <w:lang w:eastAsia="zh-CN"/>
        </w:rPr>
      </w:pPr>
      <w:r>
        <w:rPr>
          <w:rFonts w:hint="eastAsia" w:ascii="微软雅黑" w:hAnsi="微软雅黑" w:eastAsia="微软雅黑"/>
          <w:sz w:val="22"/>
          <w:szCs w:val="22"/>
          <w:lang w:eastAsia="zh-CN"/>
        </w:rPr>
        <w:t>附：违规处罚细则</w:t>
      </w:r>
    </w:p>
    <w:p>
      <w:pPr>
        <w:pStyle w:val="111"/>
        <w:numPr>
          <w:ilvl w:val="0"/>
          <w:numId w:val="29"/>
        </w:numPr>
        <w:ind w:firstLineChars="0"/>
        <w:rPr>
          <w:rFonts w:ascii="微软雅黑" w:hAnsi="微软雅黑" w:eastAsia="微软雅黑" w:cs="Arial"/>
          <w:sz w:val="20"/>
          <w:szCs w:val="22"/>
        </w:rPr>
      </w:pPr>
      <w:r>
        <w:rPr>
          <w:rFonts w:hint="eastAsia" w:ascii="微软雅黑" w:hAnsi="微软雅黑" w:eastAsia="微软雅黑" w:cs="Arial"/>
          <w:sz w:val="20"/>
          <w:szCs w:val="22"/>
        </w:rPr>
        <w:t>通用</w:t>
      </w:r>
      <w:r>
        <w:rPr>
          <w:rFonts w:ascii="微软雅黑" w:hAnsi="微软雅黑" w:eastAsia="微软雅黑" w:cs="Arial"/>
          <w:sz w:val="20"/>
          <w:szCs w:val="22"/>
        </w:rPr>
        <w:t>类</w:t>
      </w:r>
    </w:p>
    <w:tbl>
      <w:tblPr>
        <w:tblStyle w:val="45"/>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23"/>
        <w:gridCol w:w="7790"/>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项次</w:t>
            </w: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违规事由</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施工现场未指定监管及安管人员或监管、安管人员未在现场督导者</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操作危险性机械或设备,没有国家正式操作证者</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人员入厂资格不符规定者，如人员未满16岁、女工从事高</w:t>
            </w:r>
            <w:r>
              <w:rPr>
                <w:rFonts w:hint="eastAsia" w:ascii="微软雅黑" w:hAnsi="微软雅黑" w:eastAsia="微软雅黑" w:cs="Arial"/>
                <w:sz w:val="20"/>
                <w:lang w:eastAsia="zh-CN"/>
              </w:rPr>
              <w:t>风</w:t>
            </w:r>
            <w:r>
              <w:rPr>
                <w:rFonts w:ascii="微软雅黑" w:hAnsi="微软雅黑" w:eastAsia="微软雅黑" w:cs="Arial"/>
                <w:sz w:val="20"/>
                <w:lang w:eastAsia="zh-CN"/>
              </w:rPr>
              <w:t>险作业等</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人员未接受安全生产教育培训且未签订安全协议书</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工作场所发生职业灾害未通知</w:t>
            </w:r>
            <w:r>
              <w:rPr>
                <w:rFonts w:hint="eastAsia" w:ascii="微软雅黑" w:hAnsi="微软雅黑" w:eastAsia="微软雅黑" w:cs="Arial"/>
                <w:sz w:val="20"/>
                <w:lang w:eastAsia="zh-CN"/>
              </w:rPr>
              <w:t>甲方</w:t>
            </w:r>
            <w:r>
              <w:rPr>
                <w:rFonts w:ascii="微软雅黑" w:hAnsi="微软雅黑" w:eastAsia="微软雅黑" w:cs="Arial"/>
                <w:sz w:val="20"/>
                <w:lang w:eastAsia="zh-CN"/>
              </w:rPr>
              <w:t>(发包单位和工安部门)且未依照相关规定办理者</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乙方</w:t>
            </w:r>
            <w:r>
              <w:rPr>
                <w:rFonts w:ascii="微软雅黑" w:hAnsi="微软雅黑" w:eastAsia="微软雅黑" w:cs="Arial"/>
                <w:sz w:val="20"/>
                <w:lang w:eastAsia="zh-CN"/>
              </w:rPr>
              <w:t>及现场工作人员拒绝</w:t>
            </w:r>
            <w:r>
              <w:rPr>
                <w:rFonts w:hint="eastAsia" w:ascii="微软雅黑" w:hAnsi="微软雅黑" w:eastAsia="微软雅黑" w:cs="Arial"/>
                <w:sz w:val="20"/>
                <w:lang w:eastAsia="zh-CN"/>
              </w:rPr>
              <w:t>甲方</w:t>
            </w:r>
            <w:r>
              <w:rPr>
                <w:rFonts w:ascii="微软雅黑" w:hAnsi="微软雅黑" w:eastAsia="微软雅黑" w:cs="Arial"/>
                <w:sz w:val="20"/>
                <w:lang w:eastAsia="zh-CN"/>
              </w:rPr>
              <w:t>有关人员检查者</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有关缺失,经通知改善而未改善者,罚款1000元/次，屡教不改</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乙方</w:t>
            </w:r>
            <w:r>
              <w:rPr>
                <w:rFonts w:ascii="微软雅黑" w:hAnsi="微软雅黑" w:eastAsia="微软雅黑" w:cs="Arial"/>
                <w:sz w:val="20"/>
                <w:lang w:eastAsia="zh-CN"/>
              </w:rPr>
              <w:t>未执行自</w:t>
            </w:r>
            <w:r>
              <w:rPr>
                <w:rFonts w:hint="eastAsia" w:ascii="微软雅黑" w:hAnsi="微软雅黑" w:eastAsia="微软雅黑" w:cs="Arial"/>
                <w:sz w:val="20"/>
                <w:lang w:eastAsia="zh-CN"/>
              </w:rPr>
              <w:t>主</w:t>
            </w:r>
            <w:r>
              <w:rPr>
                <w:rFonts w:ascii="微软雅黑" w:hAnsi="微软雅黑" w:eastAsia="微软雅黑" w:cs="Arial"/>
                <w:sz w:val="20"/>
                <w:lang w:eastAsia="zh-CN"/>
              </w:rPr>
              <w:t>检查者</w:t>
            </w:r>
            <w:r>
              <w:rPr>
                <w:rFonts w:hint="eastAsia" w:ascii="微软雅黑" w:hAnsi="微软雅黑" w:eastAsia="微软雅黑" w:cs="Arial"/>
                <w:sz w:val="20"/>
                <w:lang w:eastAsia="zh-CN"/>
              </w:rPr>
              <w:t>或现场垃圾清理不及时的</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乙方</w:t>
            </w:r>
            <w:r>
              <w:rPr>
                <w:rFonts w:ascii="微软雅黑" w:hAnsi="微软雅黑" w:eastAsia="微软雅黑" w:cs="Arial"/>
                <w:sz w:val="20"/>
                <w:lang w:eastAsia="zh-CN"/>
              </w:rPr>
              <w:t>工地负责人或安全人员未参加</w:t>
            </w:r>
            <w:r>
              <w:rPr>
                <w:rFonts w:hint="eastAsia" w:ascii="微软雅黑" w:hAnsi="微软雅黑" w:eastAsia="微软雅黑" w:cs="Arial"/>
                <w:sz w:val="20"/>
                <w:lang w:eastAsia="zh-CN"/>
              </w:rPr>
              <w:t>甲方</w:t>
            </w:r>
            <w:r>
              <w:rPr>
                <w:rFonts w:ascii="微软雅黑" w:hAnsi="微软雅黑" w:eastAsia="微软雅黑" w:cs="Arial"/>
                <w:sz w:val="20"/>
                <w:lang w:eastAsia="zh-CN"/>
              </w:rPr>
              <w:t>定期召开"安全生产相关会议"者/1次</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施工时未依规定配戴安全防护具(如安全帽/安全带/电焊时用之手套及护罩等)者</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配戴安全帽未扣上帽带者</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废水﹑废弃液等未经处理任意排放的﹐施工临设生活点的生活污水不按规定排至规定的沟渠内</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生活垃圾﹑施工建筑垃圾不按规定倾倒在指定地点</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随意在厂房内睡觉人或在厂区内穿拖鞋行走/次</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在厂区内未正确佩戴入场证、统一服装（马甲）/次</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未在规定时间内提交《安全生产协议》且未作正式解释</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开工前未通知工安环保部进行危险源识别的</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未按规定提交危险源防范措施或措施落实不到位</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在厂区内或甲方范围内有偷盗行为送派出所处理并罚金</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未作物料暂存申请，道路上私自存放材料的情况</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厂内私设仓库，未进行申请情况，现场未标示信息且存在安全隐患的加重处罚</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不配合甲方施工安全管理部门检查、纠正</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私自动用其他乙方材料或设备被投诉的</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未按照规定参加甲方施工安全会议或工具箱会议</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其它违反安全卫生规定者，根据违章情节及态度，最高可罚</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1000-10000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施工场所吃槟榔/喝酒/酒醉工作/进食/喝饮料/厂区醉酒者</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其它违反生活管理者</w:t>
            </w:r>
            <w:r>
              <w:rPr>
                <w:rFonts w:hint="eastAsia" w:ascii="微软雅黑" w:hAnsi="微软雅黑" w:eastAsia="微软雅黑" w:cs="Arial"/>
                <w:sz w:val="20"/>
                <w:lang w:eastAsia="zh-CN"/>
              </w:rPr>
              <w:t>或</w:t>
            </w:r>
            <w:r>
              <w:rPr>
                <w:rFonts w:ascii="微软雅黑" w:hAnsi="微软雅黑" w:eastAsia="微软雅黑" w:cs="Arial"/>
                <w:sz w:val="20"/>
                <w:lang w:eastAsia="zh-CN"/>
              </w:rPr>
              <w:t>违规停车</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未经许可在本公司任何地方使用”无线电对讲设备”者</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在洁净室内使用行动电话或未经许可使用无线电对讲机者</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未经同意，在甲方私自使用多媒体</w:t>
            </w:r>
            <w:r>
              <w:rPr>
                <w:rFonts w:ascii="微软雅黑" w:hAnsi="微软雅黑" w:eastAsia="微软雅黑" w:cs="Arial"/>
                <w:sz w:val="20"/>
                <w:lang w:eastAsia="zh-CN"/>
              </w:rPr>
              <w:t>设备，造成甲方公司网络中毒者</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其它未明列但违反甲方</w:t>
            </w:r>
            <w:r>
              <w:rPr>
                <w:rFonts w:hint="eastAsia" w:ascii="微软雅黑" w:hAnsi="微软雅黑" w:eastAsia="微软雅黑" w:cs="Arial"/>
                <w:sz w:val="20"/>
                <w:lang w:eastAsia="zh-CN"/>
              </w:rPr>
              <w:t>其他管理</w:t>
            </w:r>
            <w:r>
              <w:rPr>
                <w:rFonts w:ascii="微软雅黑" w:hAnsi="微软雅黑" w:eastAsia="微软雅黑" w:cs="Arial"/>
                <w:sz w:val="20"/>
                <w:lang w:eastAsia="zh-CN"/>
              </w:rPr>
              <w:t>者</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10000-50000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办证、培训、安全会议类</w:t>
      </w:r>
    </w:p>
    <w:tbl>
      <w:tblPr>
        <w:tblStyle w:val="4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7"/>
        <w:gridCol w:w="779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项次</w:t>
            </w: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违规事由</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numPr>
                <w:ilvl w:val="0"/>
                <w:numId w:val="31"/>
              </w:numPr>
              <w:tabs>
                <w:tab w:val="left" w:pos="840"/>
                <w:tab w:val="left" w:pos="1440"/>
              </w:tabs>
              <w:overflowPunct w:val="0"/>
              <w:autoSpaceDE w:val="0"/>
              <w:autoSpaceDN w:val="0"/>
              <w:adjustRightInd w:val="0"/>
              <w:ind w:left="-1" w:leftChars="-1" w:hanging="1"/>
              <w:jc w:val="both"/>
              <w:rPr>
                <w:rFonts w:ascii="微软雅黑" w:hAnsi="微软雅黑" w:eastAsia="微软雅黑" w:cs="Arial"/>
              </w:rPr>
            </w:pP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未向工安部门办理相关方施工识别证手续者（每次）</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numPr>
                <w:ilvl w:val="0"/>
                <w:numId w:val="31"/>
              </w:numPr>
              <w:tabs>
                <w:tab w:val="left" w:pos="840"/>
                <w:tab w:val="left" w:pos="1440"/>
              </w:tabs>
              <w:overflowPunct w:val="0"/>
              <w:autoSpaceDE w:val="0"/>
              <w:autoSpaceDN w:val="0"/>
              <w:adjustRightInd w:val="0"/>
              <w:ind w:left="-1" w:leftChars="-1" w:hanging="1"/>
              <w:jc w:val="both"/>
              <w:rPr>
                <w:rFonts w:ascii="微软雅黑" w:hAnsi="微软雅黑" w:eastAsia="微软雅黑" w:cs="Arial"/>
              </w:rPr>
            </w:pP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hint="eastAsia" w:ascii="微软雅黑" w:hAnsi="微软雅黑" w:eastAsia="微软雅黑" w:cs="Arial"/>
              </w:rPr>
              <w:t>入</w:t>
            </w:r>
            <w:r>
              <w:rPr>
                <w:rFonts w:ascii="微软雅黑" w:hAnsi="微软雅黑" w:eastAsia="微软雅黑" w:cs="Arial"/>
              </w:rPr>
              <w:t>厂</w:t>
            </w:r>
            <w:r>
              <w:rPr>
                <w:rFonts w:hint="eastAsia" w:ascii="微软雅黑" w:hAnsi="微软雅黑" w:eastAsia="微软雅黑" w:cs="Arial"/>
              </w:rPr>
              <w:t>安全</w:t>
            </w:r>
            <w:r>
              <w:rPr>
                <w:rFonts w:ascii="微软雅黑" w:hAnsi="微软雅黑" w:eastAsia="微软雅黑" w:cs="Arial"/>
              </w:rPr>
              <w:t>培训</w:t>
            </w:r>
            <w:r>
              <w:rPr>
                <w:rFonts w:hint="eastAsia" w:ascii="微软雅黑" w:hAnsi="微软雅黑" w:eastAsia="微软雅黑" w:cs="Arial"/>
              </w:rPr>
              <w:t>以</w:t>
            </w:r>
            <w:r>
              <w:rPr>
                <w:rFonts w:ascii="微软雅黑" w:hAnsi="微软雅黑" w:eastAsia="微软雅黑" w:cs="Arial"/>
              </w:rPr>
              <w:t>他人替代者（</w:t>
            </w:r>
            <w:r>
              <w:rPr>
                <w:rFonts w:hint="eastAsia" w:ascii="微软雅黑" w:hAnsi="微软雅黑" w:eastAsia="微软雅黑" w:cs="Arial"/>
              </w:rPr>
              <w:t>每人</w:t>
            </w:r>
            <w:r>
              <w:rPr>
                <w:rFonts w:ascii="微软雅黑" w:hAnsi="微软雅黑" w:eastAsia="微软雅黑" w:cs="Arial"/>
              </w:rPr>
              <w:t>每次）</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numPr>
                <w:ilvl w:val="0"/>
                <w:numId w:val="31"/>
              </w:numPr>
              <w:tabs>
                <w:tab w:val="left" w:pos="840"/>
                <w:tab w:val="left" w:pos="1440"/>
              </w:tabs>
              <w:overflowPunct w:val="0"/>
              <w:autoSpaceDE w:val="0"/>
              <w:autoSpaceDN w:val="0"/>
              <w:adjustRightInd w:val="0"/>
              <w:ind w:left="-1" w:leftChars="-1" w:hanging="1"/>
              <w:jc w:val="both"/>
              <w:rPr>
                <w:rFonts w:ascii="微软雅黑" w:hAnsi="微软雅黑" w:eastAsia="微软雅黑" w:cs="Arial"/>
              </w:rPr>
            </w:pP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提交虚假资料者（每次）</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numPr>
                <w:ilvl w:val="0"/>
                <w:numId w:val="31"/>
              </w:numPr>
              <w:tabs>
                <w:tab w:val="left" w:pos="840"/>
                <w:tab w:val="left" w:pos="1440"/>
              </w:tabs>
              <w:overflowPunct w:val="0"/>
              <w:autoSpaceDE w:val="0"/>
              <w:autoSpaceDN w:val="0"/>
              <w:adjustRightInd w:val="0"/>
              <w:ind w:left="-1" w:leftChars="-1" w:hanging="1"/>
              <w:jc w:val="both"/>
              <w:rPr>
                <w:rFonts w:ascii="微软雅黑" w:hAnsi="微软雅黑" w:eastAsia="微软雅黑" w:cs="Arial"/>
              </w:rPr>
            </w:pP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现场负责人或安全人员未参加</w:t>
            </w:r>
            <w:r>
              <w:rPr>
                <w:rFonts w:hint="eastAsia" w:ascii="微软雅黑" w:hAnsi="微软雅黑" w:eastAsia="微软雅黑" w:cs="Arial"/>
              </w:rPr>
              <w:t>甲方</w:t>
            </w:r>
            <w:r>
              <w:rPr>
                <w:rFonts w:ascii="微软雅黑" w:hAnsi="微软雅黑" w:eastAsia="微软雅黑" w:cs="Arial"/>
              </w:rPr>
              <w:t>定期召开"安全生产相关会议"者（每次每人）</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numPr>
                <w:ilvl w:val="0"/>
                <w:numId w:val="31"/>
              </w:numPr>
              <w:tabs>
                <w:tab w:val="left" w:pos="840"/>
                <w:tab w:val="left" w:pos="1440"/>
              </w:tabs>
              <w:overflowPunct w:val="0"/>
              <w:autoSpaceDE w:val="0"/>
              <w:autoSpaceDN w:val="0"/>
              <w:adjustRightInd w:val="0"/>
              <w:ind w:left="-1" w:leftChars="-1" w:hanging="1"/>
              <w:jc w:val="both"/>
              <w:rPr>
                <w:rFonts w:ascii="微软雅黑" w:hAnsi="微软雅黑" w:eastAsia="微软雅黑" w:cs="Arial"/>
              </w:rPr>
            </w:pP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相关方未自行组织或未参加工安环保部早工具箱会议者（每次）</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numPr>
                <w:ilvl w:val="0"/>
                <w:numId w:val="31"/>
              </w:numPr>
              <w:tabs>
                <w:tab w:val="left" w:pos="840"/>
                <w:tab w:val="left" w:pos="1440"/>
              </w:tabs>
              <w:overflowPunct w:val="0"/>
              <w:autoSpaceDE w:val="0"/>
              <w:autoSpaceDN w:val="0"/>
              <w:adjustRightInd w:val="0"/>
              <w:ind w:left="-1" w:leftChars="-1" w:hanging="1"/>
              <w:jc w:val="both"/>
              <w:rPr>
                <w:rFonts w:ascii="微软雅黑" w:hAnsi="微软雅黑" w:eastAsia="微软雅黑" w:cs="Arial"/>
              </w:rPr>
            </w:pP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未自行组织或未参加工安环保部组织安全培训的单位（每次）</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numPr>
                <w:ilvl w:val="0"/>
                <w:numId w:val="31"/>
              </w:numPr>
              <w:tabs>
                <w:tab w:val="left" w:pos="840"/>
                <w:tab w:val="left" w:pos="1440"/>
              </w:tabs>
              <w:overflowPunct w:val="0"/>
              <w:autoSpaceDE w:val="0"/>
              <w:autoSpaceDN w:val="0"/>
              <w:adjustRightInd w:val="0"/>
              <w:ind w:left="-1" w:leftChars="-1" w:hanging="1"/>
              <w:jc w:val="both"/>
              <w:rPr>
                <w:rFonts w:ascii="微软雅黑" w:hAnsi="微软雅黑" w:eastAsia="微软雅黑" w:cs="Arial"/>
              </w:rPr>
            </w:pP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未按规定缴纳相关文件及未签订安全协议书，及时签订和缴纳外（每次）</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numPr>
                <w:ilvl w:val="0"/>
                <w:numId w:val="31"/>
              </w:numPr>
              <w:tabs>
                <w:tab w:val="left" w:pos="840"/>
                <w:tab w:val="left" w:pos="1440"/>
              </w:tabs>
              <w:overflowPunct w:val="0"/>
              <w:autoSpaceDE w:val="0"/>
              <w:autoSpaceDN w:val="0"/>
              <w:adjustRightInd w:val="0"/>
              <w:ind w:left="-1" w:leftChars="-1" w:hanging="1"/>
              <w:jc w:val="both"/>
              <w:rPr>
                <w:rFonts w:ascii="微软雅黑" w:hAnsi="微软雅黑" w:eastAsia="微软雅黑" w:cs="Arial"/>
              </w:rPr>
            </w:pP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施工人员入厂资格不符规定者，如年龄未满16周岁或超过65周岁（每次）</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numPr>
                <w:ilvl w:val="0"/>
                <w:numId w:val="31"/>
              </w:numPr>
              <w:tabs>
                <w:tab w:val="left" w:pos="840"/>
                <w:tab w:val="left" w:pos="1440"/>
              </w:tabs>
              <w:overflowPunct w:val="0"/>
              <w:autoSpaceDE w:val="0"/>
              <w:autoSpaceDN w:val="0"/>
              <w:adjustRightInd w:val="0"/>
              <w:ind w:left="-1" w:leftChars="-1" w:hanging="1"/>
              <w:jc w:val="both"/>
              <w:rPr>
                <w:rFonts w:ascii="微软雅黑" w:hAnsi="微软雅黑" w:eastAsia="微软雅黑" w:cs="Arial"/>
              </w:rPr>
            </w:pP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未召开施工安全启动会私自施工者（含划线、吊装）（每次）</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827" w:type="dxa"/>
            <w:shd w:val="clear" w:color="auto" w:fill="auto"/>
            <w:vAlign w:val="bottom"/>
          </w:tcPr>
          <w:p>
            <w:pPr>
              <w:numPr>
                <w:ilvl w:val="0"/>
                <w:numId w:val="31"/>
              </w:numPr>
              <w:tabs>
                <w:tab w:val="left" w:pos="840"/>
                <w:tab w:val="left" w:pos="1440"/>
              </w:tabs>
              <w:overflowPunct w:val="0"/>
              <w:autoSpaceDE w:val="0"/>
              <w:autoSpaceDN w:val="0"/>
              <w:adjustRightInd w:val="0"/>
              <w:ind w:left="-1" w:leftChars="-1" w:hanging="1"/>
              <w:jc w:val="both"/>
              <w:rPr>
                <w:rFonts w:ascii="微软雅黑" w:hAnsi="微软雅黑" w:eastAsia="微软雅黑" w:cs="Arial"/>
              </w:rPr>
            </w:pPr>
          </w:p>
        </w:tc>
        <w:tc>
          <w:tcPr>
            <w:tcW w:w="7796"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以访客名义进行施工（未办理相关证件）者（每次）</w:t>
            </w:r>
          </w:p>
        </w:tc>
        <w:tc>
          <w:tcPr>
            <w:tcW w:w="1232" w:type="dxa"/>
            <w:shd w:val="clear" w:color="auto" w:fill="auto"/>
            <w:vAlign w:val="bottom"/>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施工作业许可类</w:t>
      </w:r>
    </w:p>
    <w:tbl>
      <w:tblPr>
        <w:tblStyle w:val="45"/>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4"/>
        <w:gridCol w:w="7787"/>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项次</w:t>
            </w:r>
          </w:p>
        </w:tc>
        <w:tc>
          <w:tcPr>
            <w:tcW w:w="7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违规事由</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施工、高风险作业申请未经申请或未经核即擅自进行施工者（每次）</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施工现场</w:t>
            </w:r>
            <w:r>
              <w:rPr>
                <w:rFonts w:hint="eastAsia" w:ascii="微软雅黑" w:hAnsi="微软雅黑" w:eastAsia="微软雅黑" w:cs="Arial"/>
                <w:sz w:val="20"/>
                <w:lang w:eastAsia="zh-CN"/>
              </w:rPr>
              <w:t>无</w:t>
            </w:r>
            <w:r>
              <w:rPr>
                <w:rFonts w:ascii="微软雅黑" w:hAnsi="微软雅黑" w:eastAsia="微软雅黑" w:cs="Arial"/>
                <w:sz w:val="20"/>
                <w:lang w:eastAsia="zh-CN"/>
              </w:rPr>
              <w:t>施工</w:t>
            </w:r>
            <w:r>
              <w:rPr>
                <w:rFonts w:hint="eastAsia" w:ascii="微软雅黑" w:hAnsi="微软雅黑" w:eastAsia="微软雅黑" w:cs="Arial"/>
                <w:sz w:val="20"/>
                <w:lang w:eastAsia="zh-CN"/>
              </w:rPr>
              <w:t>看板</w:t>
            </w:r>
            <w:r>
              <w:rPr>
                <w:rFonts w:ascii="微软雅黑" w:hAnsi="微软雅黑" w:eastAsia="微软雅黑" w:cs="Arial"/>
                <w:sz w:val="20"/>
                <w:lang w:eastAsia="zh-CN"/>
              </w:rPr>
              <w:t>或相关作业许可或施工</w:t>
            </w:r>
            <w:r>
              <w:rPr>
                <w:rFonts w:hint="eastAsia" w:ascii="微软雅黑" w:hAnsi="微软雅黑" w:eastAsia="微软雅黑" w:cs="Arial"/>
                <w:sz w:val="20"/>
                <w:lang w:eastAsia="zh-CN"/>
              </w:rPr>
              <w:t>看板</w:t>
            </w:r>
            <w:r>
              <w:rPr>
                <w:rFonts w:ascii="微软雅黑" w:hAnsi="微软雅黑" w:eastAsia="微软雅黑" w:cs="Arial"/>
                <w:sz w:val="20"/>
                <w:lang w:eastAsia="zh-CN"/>
              </w:rPr>
              <w:t>未依规定标示必要内容者（每次）</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未</w:t>
            </w:r>
            <w:r>
              <w:rPr>
                <w:rFonts w:ascii="微软雅黑" w:hAnsi="微软雅黑" w:eastAsia="微软雅黑" w:cs="Arial"/>
                <w:sz w:val="20"/>
                <w:lang w:eastAsia="zh-CN"/>
              </w:rPr>
              <w:t>经许可，私自修改施工许可各种许可证者</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特殊作业人员无证上岗</w:t>
            </w:r>
            <w:r>
              <w:rPr>
                <w:rFonts w:hint="eastAsia" w:ascii="微软雅黑" w:hAnsi="微软雅黑" w:eastAsia="微软雅黑" w:cs="Arial"/>
                <w:sz w:val="20"/>
                <w:lang w:eastAsia="zh-CN"/>
              </w:rPr>
              <w:t>或</w:t>
            </w:r>
            <w:r>
              <w:rPr>
                <w:rFonts w:ascii="微软雅黑" w:hAnsi="微软雅黑" w:eastAsia="微软雅黑" w:cs="Arial"/>
                <w:sz w:val="20"/>
                <w:lang w:eastAsia="zh-CN"/>
              </w:rPr>
              <w:t>证件不齐</w:t>
            </w:r>
            <w:r>
              <w:rPr>
                <w:rFonts w:hint="eastAsia" w:ascii="微软雅黑" w:hAnsi="微软雅黑" w:eastAsia="微软雅黑" w:cs="Arial"/>
                <w:sz w:val="20"/>
                <w:lang w:eastAsia="zh-CN"/>
              </w:rPr>
              <w:t>者</w:t>
            </w:r>
            <w:r>
              <w:rPr>
                <w:rFonts w:ascii="微软雅黑" w:hAnsi="微软雅黑" w:eastAsia="微软雅黑" w:cs="Arial"/>
                <w:sz w:val="20"/>
                <w:lang w:eastAsia="zh-CN"/>
              </w:rPr>
              <w:t>（每次每人）</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特种作业人员使用过期证件或冒用识别证（每次每人）</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私自修改特种作业（高风险作业）许可证时间</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施工地点与施工许可证上地点不符</w:t>
            </w:r>
            <w:r>
              <w:rPr>
                <w:rFonts w:ascii="微软雅黑" w:hAnsi="微软雅黑" w:eastAsia="微软雅黑" w:cs="Arial"/>
                <w:sz w:val="20"/>
                <w:lang w:eastAsia="zh-CN"/>
              </w:rPr>
              <w:t>（每次）</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无施工申请单</w:t>
            </w:r>
            <w:r>
              <w:rPr>
                <w:rFonts w:ascii="微软雅黑" w:hAnsi="微软雅黑" w:eastAsia="微软雅黑" w:cs="Arial"/>
                <w:sz w:val="20"/>
                <w:lang w:eastAsia="zh-CN"/>
              </w:rPr>
              <w:t>或施工申请单不在现场</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未先告知工程主管人员同意擅自入厂施工者（每次）</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开挖作业前未进行现场勘查和作业环境确认者（每次）</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无加班/夜间施工</w:t>
            </w:r>
            <w:r>
              <w:rPr>
                <w:rFonts w:hint="eastAsia" w:ascii="微软雅黑" w:hAnsi="微软雅黑" w:eastAsia="微软雅黑" w:cs="Arial"/>
              </w:rPr>
              <w:t>申请及</w:t>
            </w:r>
            <w:r>
              <w:rPr>
                <w:rFonts w:ascii="微软雅黑" w:hAnsi="微软雅黑" w:eastAsia="微软雅黑" w:cs="Arial"/>
              </w:rPr>
              <w:t>许可证（每次）</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无钢格栅安装/拆除许可者（每次）</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带电作业等危险作业未取得许可者（每次）</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有限空间作业前未进行专案讨论和制定作业方案得到作业许可擅自作业者（每次）</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掀起华星桶、盲板未经申请者（每次）</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高风险作业导致发生意外事件者，造成经济损失照价赔偿（每次每人）</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特种车辆未经验收或申请擅自进行作业者（驱逐出厂）（每次）</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搭设架体未提前申报方案，经过审批同意，擅自搭设使用者（每次）</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4"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8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其他未列明违章视情节或根据会议决议处理</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bl>
    <w:p>
      <w:pPr>
        <w:pStyle w:val="111"/>
        <w:numPr>
          <w:ilvl w:val="0"/>
          <w:numId w:val="29"/>
        </w:numPr>
        <w:ind w:firstLineChars="0"/>
        <w:rPr>
          <w:rFonts w:ascii="微软雅黑" w:hAnsi="微软雅黑" w:eastAsia="微软雅黑" w:cs="Arial"/>
          <w:sz w:val="20"/>
          <w:szCs w:val="22"/>
        </w:rPr>
      </w:pPr>
      <w:r>
        <w:rPr>
          <w:rFonts w:hint="eastAsia" w:ascii="微软雅黑" w:hAnsi="微软雅黑" w:eastAsia="微软雅黑" w:cs="Arial"/>
          <w:sz w:val="20"/>
          <w:szCs w:val="22"/>
        </w:rPr>
        <w:t>施工</w:t>
      </w:r>
      <w:r>
        <w:rPr>
          <w:rFonts w:ascii="微软雅黑" w:hAnsi="微软雅黑" w:eastAsia="微软雅黑" w:cs="Arial"/>
          <w:sz w:val="20"/>
          <w:szCs w:val="22"/>
        </w:rPr>
        <w:t>现场管理</w:t>
      </w:r>
    </w:p>
    <w:tbl>
      <w:tblPr>
        <w:tblStyle w:val="45"/>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2"/>
        <w:gridCol w:w="13"/>
        <w:gridCol w:w="76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项次</w:t>
            </w: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违规事由</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33"/>
              </w:numPr>
              <w:ind w:left="-1" w:leftChars="-1" w:hanging="1"/>
              <w:jc w:val="both"/>
              <w:rPr>
                <w:rFonts w:ascii="微软雅黑" w:hAnsi="微软雅黑" w:eastAsia="微软雅黑" w:cs="Arial"/>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施工现场未指定监工及安全员或在现场未能有效履行职责，未及时发现和纠正问题或无监工私自作业或随意脱岗者（每次）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乙方未向全部现场作业人员进行安全技术交底或不详细者（每次）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施工现场安排女工或残疾人士从事高危作业者，如高空、有限空间内部、有毒有害等</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相关方及现场工作人员拒绝</w:t>
            </w:r>
            <w:r>
              <w:rPr>
                <w:rFonts w:hint="eastAsia" w:ascii="微软雅黑" w:hAnsi="微软雅黑" w:eastAsia="微软雅黑" w:cs="Arial"/>
              </w:rPr>
              <w:t>甲方</w:t>
            </w:r>
            <w:r>
              <w:rPr>
                <w:rFonts w:ascii="微软雅黑" w:hAnsi="微软雅黑" w:eastAsia="微软雅黑" w:cs="Arial"/>
              </w:rPr>
              <w:t>有关人员检查并顶撞、出言不逊者（每次每人）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施工看板上紧急联系方式无华星人员及ERC者（每次）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厂商人员在厂区内未按照华星光电管理要求执行者（每次每人）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开挖作业造成管道、线路挖断者，造成经济损失，照价赔偿外（每次）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现场缺失,经通知限期改善而未改善或屡教不改，重复性发生者（每次每处）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现场发现重大缺失未及时整改者（每次）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因重大缺失未及时整改而造成事故或经济损失者，照价赔偿外（每次）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在安全检查过程中敷衍了事，不认真履行责任或发现问题未及时上报或通报者者（每次）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安全检查发现缺失隐瞒不报发生意外事故者（每次）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施工现场产生带锐角边角材料未及时清除（每次）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架体搭设完毕未经安全检验擅自使用者（每次）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夜间施工现场照明未达到施工安全要求或夜间作业超过申请时间者（每次）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脚踏管廊桥架未铺设踏板者（每次）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掀起华星桶、盲板、高架地板数量超过限制或未依规定设置防护措施者（每次每处）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脚踏一般管道作业在其上行走者（每次）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现场安全防护用品质量问题造成意外事故发生者（每次）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现场使用不安全设备 (如电焊机漏电或未接地/损坏)者（每次每处）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现场使用不安全或不合格工具(如损坏或不稳固铝梯或木质梯子等)者（每次每处）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地面铣孔作业完成前、中、后,未设置安全围篱者（每次每处）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工作场所凌乱未整理，影响现场生产或其他单位施工者（每次每处）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工作场所地上污垢未清除者（每次每处）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施工现场没有施工管理看板或看板规格不同或资料不全或或未按要求张贴者（每次）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现场防护措施落实不到位造成意外事件者（损坏物品照价赔偿或恢复原状）（每次）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施工现场无华星人员监工要求暂停作业不停劝告者（每次）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擅自走在屋面女儿墙上未做好安全防护措施者（每次）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被区域主管部门或巡检人员检查出违章现象要求暂停作业未执行者（每次）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现场施工用具、临时用电不符合安全要求且不服从管理者（每次）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对安全管理人员存在挑衅、威胁、辱骂、动手等行为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施工现场未设置安全围篱或不全者（每次）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施工现场与生产区域未做有效隔离的，施工人员可以随意进入生产区者（每次）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现场违章屡教不改者（每次每人）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下班后工具未归位、临电未关闭者（每次每处）</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随意穿行吊装管制区域内且不听劝阻（每次每人）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未按要求做到工完场清、垃圾随意丢弃（每次）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下班收工未将危险气体钢瓶关闭者（每次）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因作业中个人失误及工件上脏污造成异常或事件，除照价赔偿外（每次）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施工作业违章导致发生未遂事故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人为破坏临电设施（包括损坏变压器、配电箱、电线电缆、照明灯具等）情节严重的将交由公安机关处理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发生打架、斗殴等事件，将予以经济处罚并清退出现场，情节严重者将交由公安等机关处理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未通知相关负责人员,自行任意转动任一管路阀类开关或电气开关者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任意拆除或挪用或隔离机电设备/安全装置/消防设施/警告标志者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掀起华星桶、盲板未依规定设置安全防护措施者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脚踏管路/托网工作者或在其上行走者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未先告知工程主管人员径自入厂施工者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违反洁净纪律者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未经允许擅自操作</w:t>
            </w:r>
            <w:r>
              <w:rPr>
                <w:rFonts w:hint="eastAsia" w:ascii="微软雅黑" w:hAnsi="微软雅黑" w:eastAsia="微软雅黑" w:cs="Arial"/>
                <w:sz w:val="20"/>
                <w:lang w:eastAsia="zh-CN"/>
              </w:rPr>
              <w:t>甲方</w:t>
            </w:r>
            <w:r>
              <w:rPr>
                <w:rFonts w:ascii="微软雅黑" w:hAnsi="微软雅黑" w:eastAsia="微软雅黑" w:cs="Arial"/>
                <w:sz w:val="20"/>
                <w:lang w:eastAsia="zh-CN"/>
              </w:rPr>
              <w:t>机器设备者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擅自拿取</w:t>
            </w:r>
            <w:r>
              <w:rPr>
                <w:rFonts w:hint="eastAsia" w:ascii="微软雅黑" w:hAnsi="微软雅黑" w:eastAsia="微软雅黑" w:cs="Arial"/>
                <w:sz w:val="20"/>
                <w:lang w:eastAsia="zh-CN"/>
              </w:rPr>
              <w:t>甲方</w:t>
            </w:r>
            <w:r>
              <w:rPr>
                <w:rFonts w:ascii="微软雅黑" w:hAnsi="微软雅黑" w:eastAsia="微软雅黑" w:cs="Arial"/>
                <w:sz w:val="20"/>
                <w:lang w:eastAsia="zh-CN"/>
              </w:rPr>
              <w:t>化学品桶(箱)当垫脚或打开使用者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使用不安全或不合格设备或工具(如电焊机漏电或未接地/损坏或不稳固铝梯等)者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地面铣孔作业完成后,未设置安全围篱者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掀起华星桶、盲板数量超过限制者</w:t>
            </w:r>
            <w:r>
              <w:rPr>
                <w:rFonts w:hint="eastAsia" w:ascii="微软雅黑" w:hAnsi="微软雅黑" w:eastAsia="微软雅黑" w:cs="Arial"/>
                <w:sz w:val="20"/>
                <w:lang w:eastAsia="zh-CN"/>
              </w:rPr>
              <w:t>（一般不超过三块原则）</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未依承包须知规定缴交相关文件及未签订安全协议书者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施工暂存区未作隔离标示者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施工器材及机具挡住消防设备或逃生路线者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工作场所凌乱未清理或地上污垢未清除者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未向工安部门办理承包商施工识别证手续者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氧气﹑乙炔等带压的气体瓶运输过程混装或</w:t>
            </w:r>
            <w:r>
              <w:rPr>
                <w:rFonts w:hint="eastAsia" w:ascii="微软雅黑" w:hAnsi="微软雅黑" w:eastAsia="微软雅黑" w:cs="Arial"/>
                <w:sz w:val="20"/>
                <w:lang w:eastAsia="zh-CN"/>
              </w:rPr>
              <w:t>装</w:t>
            </w:r>
            <w:r>
              <w:rPr>
                <w:rFonts w:ascii="微软雅黑" w:hAnsi="微软雅黑" w:eastAsia="微软雅黑" w:cs="Arial"/>
                <w:sz w:val="20"/>
                <w:lang w:eastAsia="zh-CN"/>
              </w:rPr>
              <w:t>车</w:t>
            </w:r>
            <w:r>
              <w:rPr>
                <w:rFonts w:hint="eastAsia" w:ascii="微软雅黑" w:hAnsi="微软雅黑" w:eastAsia="微软雅黑" w:cs="Arial"/>
                <w:sz w:val="20"/>
                <w:lang w:eastAsia="zh-CN"/>
              </w:rPr>
              <w:t>违规</w:t>
            </w:r>
            <w:r>
              <w:rPr>
                <w:rFonts w:ascii="微软雅黑" w:hAnsi="微软雅黑" w:eastAsia="微软雅黑" w:cs="Arial"/>
                <w:sz w:val="20"/>
                <w:lang w:eastAsia="zh-CN"/>
              </w:rPr>
              <w:t>搬运</w:t>
            </w:r>
            <w:r>
              <w:rPr>
                <w:rFonts w:hint="eastAsia" w:ascii="微软雅黑" w:hAnsi="微软雅黑" w:eastAsia="微软雅黑" w:cs="Arial"/>
                <w:sz w:val="20"/>
                <w:lang w:eastAsia="zh-CN"/>
              </w:rPr>
              <w:t>或</w:t>
            </w:r>
            <w:r>
              <w:rPr>
                <w:rFonts w:ascii="微软雅黑" w:hAnsi="微软雅黑" w:eastAsia="微软雅黑" w:cs="Arial"/>
                <w:sz w:val="20"/>
                <w:lang w:eastAsia="zh-CN"/>
              </w:rPr>
              <w:t>存</w:t>
            </w:r>
            <w:r>
              <w:rPr>
                <w:rFonts w:hint="eastAsia" w:ascii="微软雅黑" w:hAnsi="微软雅黑" w:eastAsia="微软雅黑" w:cs="Arial"/>
                <w:sz w:val="20"/>
                <w:lang w:eastAsia="zh-CN"/>
              </w:rPr>
              <w:t>放或违规</w:t>
            </w:r>
            <w:r>
              <w:rPr>
                <w:rFonts w:ascii="微软雅黑" w:hAnsi="微软雅黑" w:eastAsia="微软雅黑" w:cs="Arial"/>
                <w:sz w:val="20"/>
                <w:lang w:eastAsia="zh-CN"/>
              </w:rPr>
              <w:t>作业</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高处施工动火作业﹑未采取任何防火渣溅落措施</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在施工作业中﹐不听从安全监管人员劝阻或无理取闹行为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动火区域无灭火器材﹐无监火人员、无动火许可证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施工现场未做安全隔离，张贴施工告示牌</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高风险作业施工现场无甲方监工人员擅自作业</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施工现场安全隐患未做整改或整改不到位或拒不整改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施工人员不听从监工人员、检查人员纠正</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施工现场人员未对作业区域设备、管路采取保护措施的，造成损坏的按实际价格赔偿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施工人员未按要求统一着装，佩戴入厂识别证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3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其它违反规定者</w:t>
            </w:r>
            <w:r>
              <w:rPr>
                <w:rFonts w:hint="eastAsia" w:ascii="微软雅黑" w:hAnsi="微软雅黑" w:eastAsia="微软雅黑" w:cs="Arial"/>
                <w:sz w:val="20"/>
                <w:lang w:eastAsia="zh-CN"/>
              </w:rPr>
              <w:t>，</w:t>
            </w:r>
            <w:r>
              <w:rPr>
                <w:rFonts w:ascii="微软雅黑" w:hAnsi="微软雅黑" w:eastAsia="微软雅黑" w:cs="Arial"/>
                <w:sz w:val="20"/>
                <w:lang w:eastAsia="zh-CN"/>
              </w:rPr>
              <w:t>根据违章情节及态度，最高可罚</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r>
              <w:rPr>
                <w:rFonts w:ascii="微软雅黑" w:hAnsi="微软雅黑" w:eastAsia="微软雅黑" w:cs="Arial"/>
                <w:sz w:val="20"/>
                <w:lang w:eastAsia="zh-CN"/>
              </w:rPr>
              <w:t>10</w:t>
            </w:r>
            <w:r>
              <w:rPr>
                <w:rFonts w:hint="eastAsia" w:ascii="微软雅黑" w:hAnsi="微软雅黑" w:eastAsia="微软雅黑" w:cs="Arial"/>
                <w:sz w:val="20"/>
                <w:lang w:eastAsia="zh-CN"/>
              </w:rPr>
              <w:t>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用电安全类</w:t>
      </w:r>
    </w:p>
    <w:tbl>
      <w:tblPr>
        <w:tblStyle w:val="45"/>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1"/>
        <w:gridCol w:w="7798"/>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项次</w:t>
            </w: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违规事由</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下班收工未将电气设备(如电焊机等)关闭者</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未经申请许可而私自取电</w:t>
            </w:r>
            <w:r>
              <w:rPr>
                <w:rFonts w:hint="eastAsia" w:ascii="微软雅黑" w:hAnsi="微软雅黑" w:eastAsia="微软雅黑" w:cs="Arial"/>
                <w:sz w:val="20"/>
                <w:lang w:eastAsia="zh-CN"/>
              </w:rPr>
              <w:t>或</w:t>
            </w:r>
            <w:r>
              <w:rPr>
                <w:rFonts w:ascii="微软雅黑" w:hAnsi="微软雅黑" w:eastAsia="微软雅黑" w:cs="Arial"/>
                <w:sz w:val="20"/>
                <w:lang w:eastAsia="zh-CN"/>
              </w:rPr>
              <w:t>进行"带电作业"者</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未经申请用电/不按规定接电/使用破损电缆者（每次）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使用不符合安全的电器(含电源线)或延长线者（每次）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施工用电未经"施工专用电盘</w:t>
            </w:r>
            <w:r>
              <w:rPr>
                <w:rFonts w:hint="eastAsia" w:ascii="微软雅黑" w:hAnsi="微软雅黑" w:eastAsia="微软雅黑" w:cs="Arial"/>
                <w:sz w:val="20"/>
                <w:lang w:eastAsia="zh-CN"/>
              </w:rPr>
              <w:t>或</w:t>
            </w:r>
            <w:r>
              <w:rPr>
                <w:rFonts w:ascii="微软雅黑" w:hAnsi="微软雅黑" w:eastAsia="微软雅黑" w:cs="Arial"/>
                <w:sz w:val="20"/>
                <w:lang w:eastAsia="zh-CN"/>
              </w:rPr>
              <w:t>电箱或插座"接电者（每次每处）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电气设备及电动工具接线使用未采用”一机﹑一闸﹑一漏﹑一箱”方式（每次每处）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使用不符合用电安全标准的插座及插头</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三极插头未按规定接线，每处处罚</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施工电器未进行接地接零（每处）</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施工电盘</w:t>
            </w:r>
            <w:r>
              <w:rPr>
                <w:rFonts w:ascii="微软雅黑" w:hAnsi="微软雅黑" w:eastAsia="微软雅黑" w:cs="Arial"/>
                <w:sz w:val="20"/>
                <w:lang w:eastAsia="zh-CN"/>
              </w:rPr>
              <w:t>、电动工具、配电箱未经过安全验证（未张贴验证标签）者（每次每件）</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因电气设备未关闭而导致引发其它事故事件者，造成损失照价赔偿外（每次）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不按规定接电者，因此造成事故事件者承担全部损失赔偿外（每次）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使用破损电缆者，造成短路或其他重大安全事故事件，承担全部责任外（每次）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串联使用排插，电气未按照要求做好工作接地接零安全防护措施者（每次每处）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破损、不符合安全要求电器工具未自行清理被检查出来者，（每次每件）</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未按要求接电导致闸箱损坏或造成华星生产停电者（除赔偿实际损失外）（每次）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根据会议决议处理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当日下班后未将电焊机送至指定管控地点（每次）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使用与开关不匹配电气或违规使用造成设备或电动工具烧毁者（每次）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电气设备操作不当引起报警者（除赔偿实际损失外）（每次）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每日未对所属配电盘进行点检（每次每处）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配电盘上、插座处未标示所属厂商名称及管理者（每次每处）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电气设备的电线打结或放置于尖锐物体及高温处者（每次每处）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电气设备放置于造成人员绊跌、被碾压、割破与烧坏绝缘的场所（每次每处）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作业现场电气设备、电箱无保护措施或未做好接地者者（每次每处）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临时配电箱未按正规接地线(绿/黄双色线)标识清晰（每次每处）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电气设备总开关或分路开关所装设的保险丝超过规定标准，或用铁线、铜丝等其它物代替（每次每处）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电气设备的电路开关未采用封闭式安全开关或开关盖损坏或任意可取下者（每次每处）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电气设备无保险丝及自动断电装置（每次每处）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使用破皮、绝缘不良以及其它不符合安全要求的电线电缆（每次）</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电气设备其电源线直接搭、勾挂于开关或插座上（每次每处）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高压电气设施未设围篱者（每次每处）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高压电气设施无安全防护设施或无危险标志者（每次每处）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高压电气设施未按照规定进行点检或点检敷衍了事者（每次每处）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作业中能任意接触或接近的电气设备，未设置护篱或绝缘屏蔽者（每次每处）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人为破坏临电设施（损坏或偷盗变压器、配电柜、配电箱、开关箱、电缆及电线、违规或超负荷用电烧毁开关等），照价赔偿并追究法律责任外（每次）</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盗用他人临电设施，偷电（包括错接到他人用电线路上）（每次）</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未经管理方同意，私自变动临电设施者（每次每处）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私自移除“禁止标志”、“ 危险标志”等安全标示者（每次每处）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私自撬开(或撬坏)配电柜、箱的保险锁者，照价赔偿外（每次每处）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从事电力作业无证上岗（包括无证、使用假证、借用他人证件、证件与所从事的岗位不符等）（每次）</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违规用电造成“三级配电箱”以上开关跳闸者（每次）</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脚踏电缆桥架工作或在其上行走者（每次）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脚踏已送电电缆桥架或母线者（每次）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脚踏已送电电配电柜或在其上行走者（每次）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非专职电工私自打开配电箱私自接电者 （每次）</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室外配电箱没有设置防雨、防砸棚措施者（每次每处）</w:t>
            </w:r>
          </w:p>
        </w:tc>
        <w:tc>
          <w:tcPr>
            <w:tcW w:w="10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其它违反用电者，视违章情节轻重适当调整处罚金额（每次）</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5000-10000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厂内香烟火种、文明行为、食品安全管理类</w:t>
      </w:r>
    </w:p>
    <w:tbl>
      <w:tblPr>
        <w:tblStyle w:val="45"/>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21"/>
        <w:gridCol w:w="7781"/>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项次</w:t>
            </w:r>
          </w:p>
        </w:tc>
        <w:tc>
          <w:tcPr>
            <w:tcW w:w="77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违规事由</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离开吸烟区且在离吸烟区3</w:t>
            </w:r>
            <w:r>
              <w:rPr>
                <w:rFonts w:hint="eastAsia" w:ascii="微软雅黑" w:hAnsi="微软雅黑" w:eastAsia="微软雅黑" w:cs="Arial"/>
                <w:sz w:val="20"/>
                <w:lang w:eastAsia="zh-CN"/>
              </w:rPr>
              <w:t>米</w:t>
            </w:r>
            <w:r>
              <w:rPr>
                <w:rFonts w:ascii="微软雅黑" w:hAnsi="微软雅黑" w:eastAsia="微软雅黑" w:cs="Arial"/>
                <w:sz w:val="20"/>
                <w:lang w:eastAsia="zh-CN"/>
              </w:rPr>
              <w:t>范围以外吸烟者</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违规吸烟不听劝告或烟蒂任意丢弃者（每次每人）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将香烟、火机带入洁净室内或管制口者（每次每人）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在办公室及洗手间内吸烟者（每次每人）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违章吸烟拒不认错者（每次每人）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在走廊内吸烟或将打火机（火柴）带入厂区者（每次每人）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在厂区内打闹、喝酒、酒醉工作、厂区醉酒者（驱赶出厂）（每次每人）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在厂区内随意躺在公共区域者，态度恶劣且不听劝阻者加倍处罚（每次每人）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生活区临时板房因卫生情况被检举投诉或垃圾未清理者（每次）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随意在厂房内或各食堂内沙发上或研发楼一、二楼公共区域睡觉，再次发现加倍处罚</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在厂区内穿拖鞋行走者，屡教不改或衣冠不整，袒胸露背者（每次每人）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在华星光电区域内草地上践踏或睡觉者（每次每人）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在华星光电区域内随地大、小便或卫生间内洗澡者（每次每人）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针对食堂同一个问题的缺失事项，累计发生三次的给予罚款</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发现有霉变、腐烂、变质、变味的食品（每次）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食物中不允许含物理性危害异物：如金属、玻璃、烟头、创口贴、头发、绳子等（每次）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食物中不允许含严重生物性危害异物：如老鼠、蟑螂、蚂蝗、虫子等；（每次）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5"/>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81"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在饭堂中就餐插队被提醒不整改或未按华星规定时间就餐者（每次）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7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其它违反未列明管理者，视情节严重性适当调整处罚力度，最高加十倍（每次）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危险</w:t>
      </w:r>
      <w:r>
        <w:rPr>
          <w:rFonts w:hint="eastAsia" w:ascii="微软雅黑" w:hAnsi="微软雅黑" w:eastAsia="微软雅黑" w:cs="Arial"/>
          <w:sz w:val="20"/>
          <w:szCs w:val="22"/>
        </w:rPr>
        <w:t>及</w:t>
      </w:r>
      <w:r>
        <w:rPr>
          <w:rFonts w:ascii="微软雅黑" w:hAnsi="微软雅黑" w:eastAsia="微软雅黑" w:cs="Arial"/>
          <w:sz w:val="20"/>
          <w:szCs w:val="22"/>
        </w:rPr>
        <w:t>有害</w:t>
      </w:r>
      <w:r>
        <w:rPr>
          <w:rFonts w:hint="eastAsia" w:ascii="微软雅黑" w:hAnsi="微软雅黑" w:eastAsia="微软雅黑" w:cs="Arial"/>
          <w:sz w:val="20"/>
          <w:szCs w:val="22"/>
        </w:rPr>
        <w:t>化学品/</w:t>
      </w:r>
      <w:r>
        <w:rPr>
          <w:rFonts w:ascii="微软雅黑" w:hAnsi="微软雅黑" w:eastAsia="微软雅黑" w:cs="Arial"/>
          <w:sz w:val="20"/>
          <w:szCs w:val="22"/>
        </w:rPr>
        <w:t>易燃易爆物品管理类</w:t>
      </w:r>
    </w:p>
    <w:tbl>
      <w:tblPr>
        <w:tblStyle w:val="45"/>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21"/>
        <w:gridCol w:w="789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项次</w:t>
            </w: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违规事由</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违反易燃物品管理规定者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易燃易爆物品随意放置、暴漏室外或不按规定存放</w:t>
            </w:r>
            <w:r>
              <w:rPr>
                <w:rFonts w:ascii="微软雅黑" w:hAnsi="微软雅黑" w:eastAsia="微软雅黑" w:cs="Arial"/>
                <w:sz w:val="20"/>
                <w:lang w:eastAsia="zh-CN"/>
              </w:rPr>
              <w:t>（每次）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易燃易爆废弃物随意处置或丢弃的</w:t>
            </w:r>
            <w:r>
              <w:rPr>
                <w:rFonts w:ascii="微软雅黑" w:hAnsi="微软雅黑" w:eastAsia="微软雅黑" w:cs="Arial"/>
                <w:sz w:val="20"/>
                <w:lang w:eastAsia="zh-CN"/>
              </w:rPr>
              <w:t>（每次）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5</w:t>
            </w:r>
            <w:r>
              <w:rPr>
                <w:rFonts w:hint="eastAsia" w:ascii="微软雅黑" w:hAnsi="微软雅黑" w:eastAsia="微软雅黑" w:cs="Arial"/>
                <w:sz w:val="20"/>
                <w:lang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易燃易爆物品安全防护措施落实不到位</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易燃易爆物品放置区周围物品未清理</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下班收工未将危险气体钢瓶关闭</w:t>
            </w:r>
            <w:r>
              <w:rPr>
                <w:rFonts w:hint="eastAsia" w:ascii="微软雅黑" w:hAnsi="微软雅黑" w:eastAsia="微软雅黑" w:cs="Arial"/>
                <w:sz w:val="20"/>
                <w:lang w:eastAsia="zh-CN"/>
              </w:rPr>
              <w:t>/移到指定</w:t>
            </w:r>
            <w:r>
              <w:rPr>
                <w:rFonts w:ascii="微软雅黑" w:hAnsi="微软雅黑" w:eastAsia="微软雅黑" w:cs="Arial"/>
                <w:sz w:val="20"/>
                <w:lang w:eastAsia="zh-CN"/>
              </w:rPr>
              <w:t>区域存放者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高压钢瓶未集中保管或直立未用双铁链固定或任其横置滚动或管线阻碍走道者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使用危险及有害化学品未告知</w:t>
            </w:r>
            <w:r>
              <w:rPr>
                <w:rFonts w:hint="eastAsia" w:ascii="微软雅黑" w:hAnsi="微软雅黑" w:eastAsia="微软雅黑" w:cs="Arial"/>
                <w:sz w:val="20"/>
                <w:lang w:eastAsia="zh-CN"/>
              </w:rPr>
              <w:t>责任</w:t>
            </w:r>
            <w:r>
              <w:rPr>
                <w:rFonts w:ascii="微软雅黑" w:hAnsi="微软雅黑" w:eastAsia="微软雅黑" w:cs="Arial"/>
                <w:sz w:val="20"/>
                <w:lang w:eastAsia="zh-CN"/>
              </w:rPr>
              <w:t>单位者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危险及有害化学品容器未予正确标示者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气体钢瓶运送未使用钢瓶推车或未固定者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使用氧气或乙炔进行切割时未加装”火焰捕捉器”及逆止阀者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高压钢瓶漏气未予检修/压力表损坏/未加装逆止阀者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其它违反危险及有害化学品者视情况可加10倍处理</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气瓶未装防震圈和瓶帽</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危险废弃物未按国家及甲方管理规定处理</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1000-10000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施工危化品存量与申请数量不相符者（每次）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现场施工危险化学品未按照安全要求管制者（每次每处）</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因操作失误导致化学品系统发生意外事件者，造成经济损失承担全部赔偿外（每次）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气体</w:t>
            </w:r>
            <w:r>
              <w:rPr>
                <w:rFonts w:hint="eastAsia" w:ascii="微软雅黑" w:hAnsi="微软雅黑" w:eastAsia="微软雅黑" w:cs="Arial"/>
              </w:rPr>
              <w:t>违规</w:t>
            </w:r>
            <w:r>
              <w:rPr>
                <w:rFonts w:ascii="微软雅黑" w:hAnsi="微软雅黑" w:eastAsia="微软雅黑" w:cs="Arial"/>
              </w:rPr>
              <w:t>运输</w:t>
            </w:r>
            <w:r>
              <w:rPr>
                <w:rFonts w:hint="eastAsia" w:ascii="微软雅黑" w:hAnsi="微软雅黑" w:eastAsia="微软雅黑" w:cs="Arial"/>
              </w:rPr>
              <w:t>或</w:t>
            </w:r>
            <w:r>
              <w:rPr>
                <w:rFonts w:ascii="微软雅黑" w:hAnsi="微软雅黑" w:eastAsia="微软雅黑" w:cs="Arial"/>
              </w:rPr>
              <w:t>撞击无固定储放间或无防倾倒措施者（每次）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氧气﹑乙炔等气瓶使用的橡胶管断裂﹑腐蚀或接头未以专用的管箍束紧者（每次）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氧气﹑乙炔等气瓶使用的橡胶管横跨通道﹑放置在有锐角﹑油污的物体或地面上（每次）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乙炔气体使用时，出气口处未装防回火安全阀者（逆止阀）（每次）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乙炔气体使用时将乙炔气瓶倒置使用者（每次）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使用氧气﹑乙炔等气瓶瓶体受损者（每次）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使用氧气﹑乙炔等气瓶使用时未装压力表或压力表损坏（每次）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未经申请审批擅自使用危险及有害化学品者（每次）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危险及有害化学品容器未予正确标示者，清理出厂外（每次）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气体钢瓶运送未使用钢瓶推车运送者（每次）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高压钢瓶漏气未予检修/压力表损坏者（每次）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以石油液化气代替乙炔者（每次）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氧气、乙炔等易燃易爆、有毒气管严重老化（大量龟裂）（每次）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现场易燃气体存放超过3瓶或长时间不使用闲置的（每次）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化学品填充时未按要求进行点检、车辆无防溜坡措施、现场无围篱和警示者（每次）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化学品填充或废液抽取时未做好防护泄漏地面者（每次）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危化品供应商，未按要求提供合格MSDS及产品包装上无安全标签者，</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违法购买、运输的危化品车辆，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 xml:space="preserve">货物与运单不符或包装破损、包装/容器/标签破损，容器压力异常/变形者，禁止入厂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车况异常，阀门存滴漏，钢瓶超过年检期限</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瓶阀微漏或其它经查不符合安全收货规定违规入厂操作的者，禁止入厂</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远离押运危化车辆，于公司内随意游荡（司机、押运员未经允许违规进入管制区域的）者</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无运输资质车挂/车辆及无从业资质人员/司机/押运员者，</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不具备所运危化品操作及应急处置能力的者，</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危化车辆无交通运输安全标识，无危险头灯车辆者，</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进入易燃易爆危化区域车辆，无阻火器、静电接地等安全措施者，</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晚间照明不良时段，橙色以上预警异常天气期间违规入厂充填危化品车辆，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禁忌物混存运或夹带剧毒品等法定管制物质的，如（SiH4与O2、Cl2、PH3等混存送货）</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违规大量夹带其它工厂危化品经华星光电气化、工安判断存在重大安全隐患的，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货物排放混乱，固定措施不良，多层堆码时，层间未采取合适衬垫，捆扎牢固的，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卸货/充填过程，不遵守武汉华星规定，未进行停车熄火，设置胎垫，警界隔离等安全措施及配戴防护服装、手套、防毒口罩、防毒面具和护目镜等合适防护具的，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发生滴漏事故或经工安1次警告，未按约定改善日期进行整改车辆及隐患的，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卸货作业过程存在高风险隐患，或中风险隐患无法立即改善不按要求退厂的，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装卸作业时，违反轻装、轻卸，防止容器受损规定的，禁止入厂，书面警告并做书面检讨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违反液体腐蚀品肩扛、背负；忌震动、摩擦；易碎容器包装货物卸货的行为者，</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拖拉、翻滚、撞击；外包装没有封盖的组合包装件堆码装运的，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夏季压缩/液化气瓶高温、日晒天气运送，无瓶体遮阳、及其它有效降温设施的（每次）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充填/卸货过程发生事故，未及时正确处置造成财产损失或重大影响的，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使用板车搬运气瓶横卧者（每次）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因操作失误造成宕机、化学品泄漏、溢出、返罐者，照价赔偿外（每次）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化学品填充完毕后未经确认的，或因此造成滴漏（每次）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未通知相关负责人员,自行任意转动任一管路阀类开关或电气开关者（每次）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任意拆除或挪用或隔离机电设备/安全装置/消防设施/警告标志者（每次）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未经允许擅自操作甲方危险化学品供应机器设备者，造成经济损失承担全部责任外</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在危险化学品存放、卸货区域使用不防爆电动工具者（每次）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危险废弃物没有按照国家及华星光电环保管理规定处理（每次）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使用危险及有毒化学品没有做好安全防护（每次）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使用危险及有毒化学品造成环境污染或其他形式伤害的（根据实际损失赔偿）（每次）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油漆使用后未及时盖盖子（每次）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作业现场存放易燃物品过多且未做安全防护（每次）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暂存区有易燃废料未及时清理者（每次每处）</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机台区域有易燃废料未及时清理者（每次每处）</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危险化学品私自放置在暂存区无防爆管控者（每次每处）</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危险化学品私自放置在工具柜内者（每次每处）</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擅自拿取甲方化学品桶(箱)当垫脚或打开使用者（每次）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作业时坐在或踩踏危化品管线作业者（每次每人）</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特种气体区域施工未做防护者（造成损失负全部责任）（每次）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92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6"/>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96"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非特殊情况未经批准私自在厂内为车辆加油者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洁净室内管理类</w:t>
      </w:r>
    </w:p>
    <w:tbl>
      <w:tblPr>
        <w:tblStyle w:val="45"/>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1"/>
        <w:gridCol w:w="793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项次</w:t>
            </w:r>
          </w:p>
        </w:tc>
        <w:tc>
          <w:tcPr>
            <w:tcW w:w="793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违规事由</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7"/>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搬运动线不做防护措施或不规范者（每次）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7"/>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人员携带饮用水进入无尘室内者（每次每人）</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7"/>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人员在无尘室内随地大、小便者（每次每人）</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7"/>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不按要求作业破坏公共设施者，照价赔偿外（每次）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7"/>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在非紧急情况下打开逃生门或进出非人员动线管制门者（每次）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7"/>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93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未提出申请而于clean up第一阶段管制区实施落尘作业或未清除残留垃圾及粉尘者（每次）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7"/>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938"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未经申请开启防尘区管制门或未穿无尘服进入擦拭区者（每次）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7"/>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违规按EMO或违规进入临时封闭区域，打开封闭通道或私自撬开吊口门扇进出物料者</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7"/>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表面有明显泥土、蜘蛛网等直接影响到无尘室环境（每次）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7"/>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hint="eastAsia" w:ascii="微软雅黑" w:hAnsi="微软雅黑" w:eastAsia="微软雅黑" w:cs="Arial"/>
              </w:rPr>
              <w:t>违反</w:t>
            </w:r>
            <w:r>
              <w:rPr>
                <w:rFonts w:ascii="微软雅黑" w:hAnsi="微软雅黑" w:eastAsia="微软雅黑" w:cs="Arial"/>
              </w:rPr>
              <w:t>洁净室</w:t>
            </w:r>
            <w:r>
              <w:rPr>
                <w:rFonts w:hint="eastAsia" w:ascii="微软雅黑" w:hAnsi="微软雅黑" w:eastAsia="微软雅黑" w:cs="Arial"/>
              </w:rPr>
              <w:t>管控公告</w:t>
            </w:r>
            <w:r>
              <w:rPr>
                <w:rFonts w:ascii="微软雅黑" w:hAnsi="微软雅黑" w:eastAsia="微软雅黑" w:cs="Arial"/>
              </w:rPr>
              <w:t>的条款要求</w:t>
            </w:r>
            <w:r>
              <w:rPr>
                <w:rFonts w:hint="eastAsia" w:ascii="微软雅黑" w:hAnsi="微软雅黑" w:eastAsia="微软雅黑" w:cs="Arial"/>
              </w:rPr>
              <w:t>屡次</w:t>
            </w:r>
            <w:r>
              <w:rPr>
                <w:rFonts w:ascii="微软雅黑" w:hAnsi="微软雅黑" w:eastAsia="微软雅黑" w:cs="Arial"/>
              </w:rPr>
              <w:t>不改</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bl>
    <w:p>
      <w:pPr>
        <w:pStyle w:val="111"/>
        <w:numPr>
          <w:ilvl w:val="0"/>
          <w:numId w:val="29"/>
        </w:numPr>
        <w:ind w:firstLineChars="0"/>
        <w:rPr>
          <w:rFonts w:ascii="微软雅黑" w:hAnsi="微软雅黑" w:eastAsia="微软雅黑" w:cs="Arial"/>
          <w:sz w:val="20"/>
          <w:szCs w:val="22"/>
        </w:rPr>
      </w:pPr>
      <w:r>
        <w:rPr>
          <w:rFonts w:hint="eastAsia" w:ascii="微软雅黑" w:hAnsi="微软雅黑" w:eastAsia="微软雅黑" w:cs="Arial"/>
          <w:sz w:val="20"/>
          <w:szCs w:val="22"/>
        </w:rPr>
        <w:t>门</w:t>
      </w:r>
      <w:r>
        <w:rPr>
          <w:rFonts w:ascii="微软雅黑" w:hAnsi="微软雅黑" w:eastAsia="微软雅黑" w:cs="Arial"/>
          <w:sz w:val="20"/>
          <w:szCs w:val="22"/>
        </w:rPr>
        <w:t>禁类</w:t>
      </w:r>
    </w:p>
    <w:tbl>
      <w:tblPr>
        <w:tblStyle w:val="45"/>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2"/>
        <w:gridCol w:w="7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项次</w:t>
            </w:r>
          </w:p>
        </w:tc>
        <w:tc>
          <w:tcPr>
            <w:tcW w:w="79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违规事由</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8"/>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985"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未遵守规定擅自经由安全门或被管制口或不经保安室大门进出</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8"/>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985"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破坏门以及附属设施</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8"/>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985"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进入厂区未配戴识别证者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8"/>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985"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将管制门以物品挡住使门无法关闭者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8"/>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985"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私自将香烟、打火机带入洁净室内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10</w:t>
            </w:r>
            <w:r>
              <w:rPr>
                <w:rFonts w:hint="eastAsia" w:ascii="微软雅黑" w:hAnsi="微软雅黑" w:eastAsia="微软雅黑" w:cs="Arial"/>
                <w:sz w:val="20"/>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8"/>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985"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私自将食品、饮料带入洁净室内</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8"/>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985"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带入洁净室的设备、工具未按照洁净室管理要求执行的</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8"/>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985"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进出厂未按照物品进出规定申请放行条的，若经查处确为偷盗及夹带的重罚</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5000-10000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8"/>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985"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其它违反门禁管理者</w:t>
            </w:r>
            <w:r>
              <w:rPr>
                <w:rFonts w:hint="eastAsia" w:ascii="微软雅黑" w:hAnsi="微软雅黑" w:eastAsia="微软雅黑" w:cs="Arial"/>
                <w:sz w:val="20"/>
                <w:lang w:eastAsia="zh-CN"/>
              </w:rPr>
              <w:t>，</w:t>
            </w:r>
            <w:r>
              <w:rPr>
                <w:rFonts w:ascii="微软雅黑" w:hAnsi="微软雅黑" w:eastAsia="微软雅黑" w:cs="Arial"/>
                <w:sz w:val="20"/>
                <w:lang w:eastAsia="zh-CN"/>
              </w:rPr>
              <w:t>根据违章情节及态度，最高可罚</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hint="eastAsia" w:ascii="微软雅黑" w:hAnsi="微软雅黑" w:eastAsia="微软雅黑" w:cs="Arial"/>
                <w:sz w:val="20"/>
                <w:lang w:eastAsia="zh-CN"/>
              </w:rPr>
              <w:t>1000-10000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特殊/高风险作业类</w:t>
      </w:r>
    </w:p>
    <w:tbl>
      <w:tblPr>
        <w:tblStyle w:val="45"/>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3"/>
        <w:gridCol w:w="787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项次</w:t>
            </w: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违规事由</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吊车利用吊索及钩头直接当作人员上/下者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吊车使用吊篮未事先申请核准者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未按规定使用旗﹑口哨指挥吊装作业</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未依规定提出高风险作业申请者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从事动火/密闭空间/危险管路拆除/高架作业/吊挂作业等高风险作业尚未核准者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高架作业未加防范致使对象掉落或使人员有坠落之虞而未加防护者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高风险作业场所未设置警告标志(如禁止进入/注意头部等)及安全防护措施(如SCBA)者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高空作业中﹐相关工具及材料未采取防坠落设施</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在强风﹑大雨等恶劣气候环境下进行</w:t>
            </w:r>
            <w:r>
              <w:rPr>
                <w:rFonts w:hint="eastAsia" w:ascii="微软雅黑" w:hAnsi="微软雅黑" w:eastAsia="微软雅黑" w:cs="Arial"/>
                <w:sz w:val="20"/>
                <w:lang w:eastAsia="zh-CN"/>
              </w:rPr>
              <w:t>高风险作业</w:t>
            </w:r>
            <w:r>
              <w:rPr>
                <w:rFonts w:ascii="微软雅黑" w:hAnsi="微软雅黑" w:eastAsia="微软雅黑" w:cs="Arial"/>
                <w:sz w:val="20"/>
                <w:lang w:eastAsia="zh-CN"/>
              </w:rPr>
              <w:t>不听劝告者（每次）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施工脚手架未经安全人员检查﹑验收合格擅自使用</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作业人员未沿安全通道梯子上下﹐利用绳索或立杆﹑栏杆上下攀登</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作业人员乘坐非载人电梯﹑罐笼上下</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高处作业下方区域﹐未设置安全警戒线﹑安全警告标志﹑无隔离措施和监护人员</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高处作业人员未佩戴或未使用安全帽或未正确佩带或未正确使用安全带（每次每人）</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高空作业佩戴安全带未挂稳固点二次提醒未整改者（每次每人）</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使用手动</w:t>
            </w:r>
            <w:r>
              <w:rPr>
                <w:rFonts w:ascii="微软雅黑" w:hAnsi="微软雅黑" w:eastAsia="微软雅黑" w:cs="Arial"/>
                <w:sz w:val="20"/>
                <w:lang w:eastAsia="zh-CN"/>
              </w:rPr>
              <w:t>叉车</w:t>
            </w:r>
            <w:r>
              <w:rPr>
                <w:rFonts w:hint="eastAsia" w:ascii="微软雅黑" w:hAnsi="微软雅黑" w:eastAsia="微软雅黑" w:cs="Arial"/>
                <w:sz w:val="20"/>
                <w:lang w:eastAsia="zh-CN"/>
              </w:rPr>
              <w:t>/搬运</w:t>
            </w:r>
            <w:r>
              <w:rPr>
                <w:rFonts w:ascii="微软雅黑" w:hAnsi="微软雅黑" w:eastAsia="微软雅黑" w:cs="Arial"/>
                <w:sz w:val="20"/>
                <w:lang w:eastAsia="zh-CN"/>
              </w:rPr>
              <w:t>物料时，人员未穿劳保鞋</w:t>
            </w:r>
            <w:r>
              <w:rPr>
                <w:rFonts w:hint="eastAsia" w:ascii="微软雅黑" w:hAnsi="微软雅黑" w:eastAsia="微软雅黑" w:cs="Arial"/>
                <w:sz w:val="20"/>
                <w:lang w:eastAsia="zh-CN"/>
              </w:rPr>
              <w:t>（</w:t>
            </w:r>
            <w:r>
              <w:rPr>
                <w:rFonts w:ascii="微软雅黑" w:hAnsi="微软雅黑" w:eastAsia="微软雅黑" w:cs="Arial"/>
                <w:sz w:val="20"/>
                <w:lang w:eastAsia="zh-CN"/>
              </w:rPr>
              <w:t>防砸钢板）防护者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违反</w:t>
            </w:r>
            <w:r>
              <w:rPr>
                <w:rFonts w:hint="eastAsia" w:ascii="微软雅黑" w:hAnsi="微软雅黑" w:eastAsia="微软雅黑" w:cs="Arial"/>
                <w:sz w:val="20"/>
                <w:lang w:eastAsia="zh-CN"/>
              </w:rPr>
              <w:t>高空</w:t>
            </w:r>
            <w:r>
              <w:rPr>
                <w:rFonts w:ascii="微软雅黑" w:hAnsi="微软雅黑" w:eastAsia="微软雅黑" w:cs="Arial"/>
                <w:sz w:val="20"/>
                <w:lang w:eastAsia="zh-CN"/>
              </w:rPr>
              <w:t>、动火、天花、密闭等</w:t>
            </w:r>
            <w:r>
              <w:rPr>
                <w:rFonts w:hint="eastAsia" w:ascii="微软雅黑" w:hAnsi="微软雅黑" w:eastAsia="微软雅黑" w:cs="Arial"/>
                <w:sz w:val="20"/>
                <w:lang w:eastAsia="zh-CN"/>
              </w:rPr>
              <w:t>高风险</w:t>
            </w:r>
            <w:r>
              <w:rPr>
                <w:rFonts w:ascii="微软雅黑" w:hAnsi="微软雅黑" w:eastAsia="微软雅黑" w:cs="Arial"/>
                <w:sz w:val="20"/>
                <w:lang w:eastAsia="zh-CN"/>
              </w:rPr>
              <w:t>作业</w:t>
            </w:r>
            <w:r>
              <w:rPr>
                <w:rFonts w:hint="eastAsia" w:ascii="微软雅黑" w:hAnsi="微软雅黑" w:eastAsia="微软雅黑" w:cs="Arial"/>
                <w:sz w:val="20"/>
                <w:lang w:eastAsia="zh-CN"/>
              </w:rPr>
              <w:t>管理规范</w:t>
            </w:r>
            <w:r>
              <w:rPr>
                <w:rFonts w:ascii="微软雅黑" w:hAnsi="微软雅黑" w:eastAsia="微软雅黑" w:cs="Arial"/>
                <w:sz w:val="20"/>
                <w:lang w:eastAsia="zh-CN"/>
              </w:rPr>
              <w:t>或</w:t>
            </w:r>
            <w:r>
              <w:rPr>
                <w:rFonts w:hint="eastAsia" w:ascii="微软雅黑" w:hAnsi="微软雅黑" w:eastAsia="微软雅黑" w:cs="Arial"/>
                <w:sz w:val="20"/>
                <w:lang w:eastAsia="zh-CN"/>
              </w:rPr>
              <w:t>施工</w:t>
            </w:r>
            <w:r>
              <w:rPr>
                <w:rFonts w:ascii="微软雅黑" w:hAnsi="微软雅黑" w:eastAsia="微软雅黑" w:cs="Arial"/>
                <w:sz w:val="20"/>
                <w:lang w:eastAsia="zh-CN"/>
              </w:rPr>
              <w:t>安全管理规范者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特种车辆未申请擅自进入甲方作业</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站在叉车上进行高空作业</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5</w:t>
            </w:r>
            <w:r>
              <w:rPr>
                <w:rFonts w:hint="eastAsia" w:ascii="微软雅黑" w:hAnsi="微软雅黑" w:eastAsia="微软雅黑" w:cs="Arial"/>
                <w:sz w:val="20"/>
                <w:lang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高空作业搭设管架、梯台不符合安全要求</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吊装作业现场未佩戴安全帽者，提醒后不整改加倍处罚（每次每人）</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吊装作业现场管制不到位或不接受管制的，不停劝阻加倍处罚（每次）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吊装作业现场完工后未清扫或清扫不彻底者，造成损失照价赔偿外（每次）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吊装作业时道路未设警示标识，作业区域范围内围篱，现场无指挥警戒人（每次）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违反“十不吊”及其他规范等要求进行吊装作业</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使用不合格的吊索、吊具、吊车吊臂没有限位措施、吊钩没有设置防脱落装置者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吊装时吊索/吊具未采取有效防护措施</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吊装时没有或未按要求配备专职监护人、吊装指挥/信号工，信号指挥人员未持证上岗的</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大型吊装现场，</w:t>
            </w:r>
            <w:r>
              <w:rPr>
                <w:rFonts w:hint="eastAsia" w:ascii="微软雅黑" w:hAnsi="微软雅黑" w:eastAsia="微软雅黑" w:cs="Arial"/>
              </w:rPr>
              <w:t>厂商</w:t>
            </w:r>
            <w:r>
              <w:rPr>
                <w:rFonts w:ascii="微软雅黑" w:hAnsi="微软雅黑" w:eastAsia="微软雅黑" w:cs="Arial"/>
              </w:rPr>
              <w:t>技术负责人和安全负责人未旁站监督</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挂钩及接应人员在有坠落危险位置未系挂安全带</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未经批准违规使用吊篮/吊具载人</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使用的吊篮、吊框没有对底部进行加固措施的</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生命线、安全绳等在棱角处未做保护或保护不符合要求</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吊装物上方放置散装施工材料没有加固措施的</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使用吊篮、吊框吊装作业，吊装的材料超过吊篮高度的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吊装的施工材料长短不一，混搭吊运的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动火作业无监火人、灭火器、防护措施不当（每次每人）</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动火作业现场易燃垃圾未清理，无法清理的易燃物未作有效硬质防护的（每次）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氧气、乙炔、液化</w:t>
            </w:r>
            <w:r>
              <w:rPr>
                <w:rFonts w:hint="eastAsia" w:ascii="微软雅黑" w:hAnsi="微软雅黑" w:eastAsia="微软雅黑" w:cs="Arial"/>
              </w:rPr>
              <w:t>等</w:t>
            </w:r>
            <w:r>
              <w:rPr>
                <w:rFonts w:ascii="微软雅黑" w:hAnsi="微软雅黑" w:eastAsia="微软雅黑" w:cs="Arial"/>
              </w:rPr>
              <w:t>气瓶没有合格证、没有减震圈和防护帽，没有使用回火器和测漏液</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将气瓶放入地下室等受限空间</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使用有泄漏/损坏/老化的供气皮管，气瓶软管接头处未用专用卡箍或退火金属丝卡紧</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气瓶没有直立固定或无防晒措施</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气割橡胶软管未按标准使用(氧气管为蓝色，乙炔管为红色)</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建筑物内跨楼层使用氧气、乙炔或丙烷进行焊割作业</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氧气和乙炔气瓶/丙烷气瓶距离不足5m，动火点距离氧气和乙炔气瓶距离不足10m</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电焊时没有按要求使用劳防用品，如焊工面罩、焊工手套、安全鞋等</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焊机一次侧电源接线柱上没有防护罩</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使用金属物搭接作为导线</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动火区域5米范围内有易燃物品（包括垂直方向）或未使用防火毯/防火布有效覆盖</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使用不合格电焊机进行焊接作业</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高处动火作业未采取有效安全措施（如安全警示、接火盆等）</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在危险环境中进行电、气焊等动火作业（如：空调进风口、可燃/易燃气体涵盖区域等）</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使用明火或其他不安全的高温速热方法解冻气瓶、危险气体管道等易燃、易爆容器</w:t>
            </w:r>
            <w:r>
              <w:rPr>
                <w:rFonts w:hint="eastAsia" w:ascii="微软雅黑" w:hAnsi="微软雅黑" w:eastAsia="微软雅黑" w:cs="Arial"/>
              </w:rPr>
              <w:t>等</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人员离开作业现场时未关闭气瓶总阀门或未将焊条摘除并对焊机断电</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未依作业规定流程作业或作业现场不符合动火条件（每次）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动火作业危险范围内存在消防隐患未进行妥善处理（每次）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违反工地明火作业现场管理、配备管理、电源管理各项或一周之内同类错误重犯者（每次）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产尘作业未发放防尘口罩或未佩戴防尘口罩（每次每人）</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高架地板掀开无警示及防护措施的（每次）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升降车（自走车）违章使用，顶送物料或升起后未能限制前、后行走的（每次）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升降车没有按要求进行验收私自进入施工现场施工者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升降车作业没有按要求张贴相关安全资料者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升降车违规顶管、钢梁或输送材料等作业者（每次）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施工人员没有经过培训持证操作升降车者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升降车作业区域没有进行围篱措施、设置监护人的</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施工人员踩踏升降车护栏施工者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超过2个人以上站在升降车内施工者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违规翻越升降车进入管道等上方施工者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升降车上作业没有按要求系挂安全带者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升降车没有按要求集中充电、设置专人监护者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高处临边堆放物料</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高空作业区域未用警示带、安全锥等进行围护和警示，未悬挂警告标识</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各类架体、平台、梯子、升降设备等超载使用</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夜间及黑暗场所施工未设有足够之照明及警戒设施（每次）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地面、墙面开口处未设有防止坠落标识，导致人员受伤赔付所有费用外（每次）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脚手架明显处未经验收者（每次）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使用脚手架施工时未做好脚架及支撑点包扎保护者</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脚手架上工作台未加以固定及架下轮子未设置刹车件者（每次）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高空作业未加以防范，导致物体坠落，导致人员受伤赔付所有费用外</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高空作业时未在周边明显处悬挂警告标识（每次）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施工作业前未做好安全防范工作(如安全带可用性，是否系好安全带等)，以及设置好担任警卫与接应人员（每次）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从高空抛落工具、物品等，导致人员受伤赔付所有费用外（每次）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违章搭设或使用导致脚手架(鹰架)倒塌的，造成重大事故追究法律责任（每次）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搭设脚手架(鹰架)时未申报搭设（每次）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高处施工动火作业﹑未采取任何防火渣溅落措施（每次）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在施工作业中﹐不听从安全监管人员劝阻或无理取闹行为（每次）</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有限空间作业现场无管制或登记制度未落实者（每次）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有限空间作业作业前未经过氧气、有害气体检测者（每次）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有限空间作业前未经过空气置换或置换时间不符合规定要求者（每次）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FRP施工设置的专用库房安全设施不齐的，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FRP库房堆放其它施工材料的或不同材质的危化品材料混合堆放的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FRP库房温度过高，没有相关降温措施的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FRP库房没有设置专人监管、照明、通风措施不足的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FRP乙方没有相关施工资质的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FRP施工人员没有经过专项安全培训的、没有通过体检合格就开始施工的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FRP施工区域没有按要求提前进行通风或通风措施不足的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FRP施工区域没有设置管控措施、设置专职监护人的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FRP施工急救措施设备不齐全就开始施工的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FRP施工没有按要求每天进行检查、登记的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FRP施工区域没有按要求安排施工人员定时休息的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洁净室天花作业没有经过验收合格就进入施工者（每人每次）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洁净室天花作业人员没有经过专项安全培训者（每人每次）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洁净室天花作业人员没有经过体检合格者（每人每次）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进入洁净室天花上作业没有系挂安全带者（每人每次）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临时天花管制口没有放置相关急救设施的（担架、药品等）</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临时天花管制口相关操作规程、安全管理资料不齐的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临时天花管制口设置的上下安全通道不符合安全要求的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洁净室天花上非标盲板区域没有设置围篱警戒的（每处）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洁净室天花上盲板夹缺失的（每处）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天花上临边没有设置临边防护措施的（每处）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天花上高低差没有设置临边防护措或破坏者（每处）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天花上掀开盲板没有设置临边防护措施的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在天花上双C龙刚上方作业没有铺设踏板的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天花上施工人员踩踏风机的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包商天花上没有设置专职安全员现场监管的</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天花上施工违反一块盲板只能站立一人规定者（每人每次）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3"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39"/>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4"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其他未列明违章条款的，按照此条处理</w:t>
            </w:r>
          </w:p>
        </w:tc>
        <w:tc>
          <w:tcPr>
            <w:tcW w:w="1102"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环境管理类</w:t>
      </w:r>
    </w:p>
    <w:tbl>
      <w:tblPr>
        <w:tblStyle w:val="45"/>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2"/>
        <w:gridCol w:w="7870"/>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项次</w:t>
            </w: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违规事由</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施工扬尘未经处理，且污染厂区周边环境</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施工厂商未按要求申办环保手续，如夜间施工排噪音申请，施工期的排污许可等</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雨水、生活污水、生产废水、施工期废水未经处理或未排入指定管网</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设备验收前产生的废水、废气未经处理或超标排放</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废水﹑废液、化学品、油污等未收集处理任意排放</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违规排放三废及噪音，处罚后再犯，且拒不整改</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厂商环保违规行为对我司造成负面影响</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未通知业主，私接或错接管路排放废气、废水、化学品等污染物</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废弃物未按规定分类或未倾倒在指定地点，随意丢弃</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危险废物未按法律法规要求交有资质的厂商处理处置</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废弃物未依法规处理者（每次）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不当施工或行为造成空气/土壤/水污染者（每次）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施工废水未经许可任意倒至水沟或厂区者（每次）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任意堆置易燃性垃圾/有机溶剂或在厂区内燃烧任何物体者（每次）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未设置通风设备或未确实使用通风系统致使空气污浊者（每次）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未经允许而使用列管毒性化学物质者（每次）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在施工现场就餐未清理垃圾杂物者（每次每人）</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玻璃类一般固废未单独包装报废，混入生活垃圾或一般固废的垃圾袋中（尤其是工艺生产用玻璃，须按公司规定流程报废，含调机/实验用）（每次）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将危险废弃物或化学品物质混入一般固废/生活垃圾中倾倒（每次）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在厂区外随意处置废弃物被政府查获被投诉的（影响华星声誉加倍处罚）同时追究相关法律权责（每次）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施工作业中产生的废水未妥善处理，致使废水流进雨水沟及四处流溢，污染环境或者污染水源保护区（每次）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施工作业中产生粉尘超过防尘管制或官方要求（每次）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由于施工不慎或未按要求施工，造成环境严重污染者(被政府机关相关罚责或警告承担全部责任外) （每次）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乙方随意将带有华星信息报废品进行沿路抛洒、掩埋或是违规堆存、处置者（每次）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废水﹑废弃液等未经处理任意排放的﹐临设生活点的生活污水不按规定排至规定的管道内，造成经济损失承担全部责任外（每次）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生活垃圾﹑施工建筑垃圾不按规定倾倒在指定地点（每次）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施工现场产生的垃圾未及时清理或违规倾倒生活垃圾﹑施工建筑垃圾（每次）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施工过程使用的油类物质或其他危险化学品泄漏到土壤，面积1平方米以上（每次）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未经甲方许可，将施工废水或化学品排入华星排水管网的（每次）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施工过程会影响甲方废水废气处理设施正常运行而未向甲方申请的（每次）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施工产生的废弃物未按甲方要求分类的（每次）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一般垃圾及危废垃圾未丢在指定垃圾桶内或玻璃及化学品未按规定报废者（每次）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装机垃圾及废弃物未用袋子装好并未每天一次运出现场妥善处理者（每次）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作业现场产生垃圾未按照法规及华星光电管理要求处理者（每次）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作业现场产生垃圾随意丢弃被政府主管部门处罚者（每次）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作业现场产生垃圾随意丢弃被华星人员检查出者（每次）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施工大型钢材或材料及垃圾随意丢弃在机台内或垃圾桶者（每次）</w:t>
            </w:r>
          </w:p>
        </w:tc>
        <w:tc>
          <w:tcPr>
            <w:tcW w:w="110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因相关方人员随意丢弃垃圾被政府部门处罚给华星光电带来不好影响者（每次）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装机区每日施工完后，未将工地打扫清洁，剩余废料未整齐排列于指定地点（每次）</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0"/>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87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违反其他环境安全法规行为视违章情节情况处理</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根据会议决议处理</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治安管理类</w:t>
      </w:r>
    </w:p>
    <w:tbl>
      <w:tblPr>
        <w:tblStyle w:val="45"/>
        <w:tblW w:w="98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4"/>
        <w:gridCol w:w="7685"/>
        <w:gridCol w:w="1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项次</w:t>
            </w:r>
          </w:p>
        </w:tc>
        <w:tc>
          <w:tcPr>
            <w:tcW w:w="7796"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违规事由</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罚金（元）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在施工现场、厂区内偷盗物品，照价赔偿者（价值较高的送公安机关处理）（每次）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使用语言威胁他人，特别是威胁华星人员者（每次）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在华星范围内与人发生口角、肢体碰撞、打架斗殴者（视情节轻重处理）（每次）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模仿相关审批人员在放行条上签名者（每次）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未申请随意打开围墙档，必须恢复原状（每次）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厂商如未申请或申请开放围档时未做好管制及完工后未复原（每次）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私自在围墙档上开设门洞或违规翻越、破坏工地临时围档（每次）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违规翻越或破坏厂区内及周边外马路遮栏的（轻节严重上报公安处理）（每次）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故意破坏或限制通行区管制门的正常运行功能的或导致他人可尾随进出的（每次）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厂商离职或服务终止未及时提报删除门禁权限导致离职人员再次进入厂区（每人）</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私人物品、工具入场时未填写“机具登记表＂者，不予放行外（每次）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设备、材料出厂时未依规定填写物料放行单者，不予放行（每次）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物料及各项物品出厂时未经保安确认强行冲关者，盗窃行为追究法律责任（每次）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出厂物品中与实物不符，且明显夹带私藏者（价值较高的送公安机关处理）（每次）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未遵守门禁管理规定，擅自避开安全门或管制口或不经保安安检进出（每次）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进入厂区未配戴识别证或违规停车者（每次每人）</w:t>
            </w:r>
          </w:p>
        </w:tc>
        <w:tc>
          <w:tcPr>
            <w:tcW w:w="117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冒用他人识别证进入管制口者或华星各门岗（双方处罚）（每次每人）</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进入厂区未按照管理要求佩戴识别证、安全帽、马甲者（每次每人）</w:t>
            </w:r>
          </w:p>
        </w:tc>
        <w:tc>
          <w:tcPr>
            <w:tcW w:w="117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未按照门岗要求检查包裹或不配合门卫检查或厂区内随意停放车辆者（每次每人）</w:t>
            </w:r>
          </w:p>
        </w:tc>
        <w:tc>
          <w:tcPr>
            <w:tcW w:w="117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未经同意，私自进入华星重点管控区域者（每次每人）</w:t>
            </w:r>
          </w:p>
        </w:tc>
        <w:tc>
          <w:tcPr>
            <w:tcW w:w="117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确认违章事实后拒绝在违章处罚通知书签名确认者（每次）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进厂车辆不按指定路线行驶，厂内行驶超速(20Km/h)，违反厂内交通规范者，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厂区内酒后驾驶机动车并上报交通部门（每次）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违规将专用通行证借予他人使用，没收专用通行证件并罚款（每次）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违章占用专用车位或一车占两位或在非指定位置停放影响他人行车的（每次）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Pr>
          <w:p>
            <w:pPr>
              <w:pStyle w:val="106"/>
              <w:numPr>
                <w:ilvl w:val="0"/>
                <w:numId w:val="41"/>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其它违反治安管理规定者，根据违章情节轻重，适当调整处罚力度（违反法规者送交公安机关处理）</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1000-5000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消防系统类</w:t>
      </w:r>
    </w:p>
    <w:tbl>
      <w:tblPr>
        <w:tblStyle w:val="45"/>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2"/>
        <w:gridCol w:w="7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项次</w:t>
            </w:r>
          </w:p>
        </w:tc>
        <w:tc>
          <w:tcPr>
            <w:tcW w:w="75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违规事由</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56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消防系统中断作业,未经业主同意（每次）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60"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火警隔离作业未申请或作业后未将隔离恢复（每次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6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私自动用消防设备设施者（每次）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6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私自动用消防水或消防电源者（每次）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6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违章作业导致发生消防事件者（漏水、火险等）</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6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产尘作业未向中央控制室ERC报备私自作业者（每次）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6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系统故障24小时未修复、消防系统典型问题持续重复发生未有效管控者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6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因违章作业造成火灾事故的厂商(除赔偿实际损失外) （每次）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6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违反建筑施工现场消防安全技术规范的其它情形，造成事故事件者加倍处理（每次）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6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因施工不慎或违规作业引发火灾者（除赔偿实际损失外，违反法律将追究责任）（每次）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60"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现场防护措施不到位引起火灾报警、较早期报警、漏液侦测报警等系统报警者（每次）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60"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施工地区物料未整齐排列，并阻碍出口、消防通道、消防器材、妨碍交通者（每次）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6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任意拆除或挪用或隔离机电设备安全装置、消防设施、安全防护措施、警告标志者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56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施工材料及机具挡住消防设备或逃生路线者（造成伤害后果者负全部责任）（每次每处）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32"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2"/>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560"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其它违反消防安全规定者，视违章情节轻重适当调整处罚力度（每次）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5000-20000</w:t>
            </w:r>
          </w:p>
        </w:tc>
      </w:tr>
    </w:tbl>
    <w:p>
      <w:pPr>
        <w:pStyle w:val="111"/>
        <w:numPr>
          <w:ilvl w:val="0"/>
          <w:numId w:val="29"/>
        </w:numPr>
        <w:ind w:firstLineChars="0"/>
        <w:rPr>
          <w:rFonts w:ascii="微软雅黑" w:hAnsi="微软雅黑" w:eastAsia="微软雅黑" w:cs="Arial"/>
          <w:sz w:val="20"/>
          <w:szCs w:val="22"/>
        </w:rPr>
      </w:pPr>
      <w:r>
        <w:rPr>
          <w:rFonts w:hint="eastAsia" w:ascii="微软雅黑" w:hAnsi="微软雅黑" w:eastAsia="微软雅黑" w:cs="Arial"/>
          <w:sz w:val="20"/>
          <w:szCs w:val="22"/>
        </w:rPr>
        <w:t>设备装机安全类</w:t>
      </w:r>
    </w:p>
    <w:tbl>
      <w:tblPr>
        <w:tblStyle w:val="45"/>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1"/>
        <w:gridCol w:w="747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项次</w:t>
            </w:r>
          </w:p>
        </w:tc>
        <w:tc>
          <w:tcPr>
            <w:tcW w:w="74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违规事由</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罚金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设备装机调试等作业无围篱或挂牌的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设备装机调试等作业前未进行安全宣导</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人员进入设备内未上锁或未佩戴安全帽</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设备作业私自无效化安全联锁装置者</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hint="eastAsia" w:ascii="微软雅黑" w:hAnsi="微软雅黑" w:eastAsia="微软雅黑" w:cs="Arial"/>
                <w:sz w:val="20"/>
                <w:lang w:eastAsia="zh-CN"/>
              </w:rPr>
              <w:t>5</w:t>
            </w:r>
            <w:r>
              <w:rPr>
                <w:rFonts w:ascii="微软雅黑" w:hAnsi="微软雅黑" w:eastAsia="微软雅黑" w:cs="Arial"/>
                <w:sz w:val="20"/>
                <w:lang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设备作业产生人员伤害或漏水、化学品泄露的，视情节严重处罚</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hint="eastAsia" w:ascii="微软雅黑" w:hAnsi="微软雅黑" w:eastAsia="微软雅黑" w:cs="Arial"/>
                <w:sz w:val="20"/>
                <w:lang w:eastAsia="zh-CN"/>
              </w:rPr>
              <w:t>20</w:t>
            </w:r>
            <w:r>
              <w:rPr>
                <w:rFonts w:ascii="微软雅黑" w:hAnsi="微软雅黑" w:eastAsia="微软雅黑" w:cs="Arial"/>
                <w:sz w:val="20"/>
                <w:lang w:eastAsia="zh-CN"/>
              </w:rPr>
              <w:t>00</w:t>
            </w:r>
            <w:r>
              <w:rPr>
                <w:rFonts w:hint="eastAsia" w:ascii="微软雅黑" w:hAnsi="微软雅黑" w:eastAsia="微软雅黑" w:cs="Arial"/>
                <w:sz w:val="20"/>
                <w:lang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lang w:eastAsia="zh-CN"/>
              </w:rPr>
            </w:pPr>
            <w:r>
              <w:rPr>
                <w:rFonts w:hint="eastAsia" w:ascii="微软雅黑" w:hAnsi="微软雅黑" w:eastAsia="微软雅黑" w:cs="Arial"/>
                <w:sz w:val="20"/>
                <w:lang w:eastAsia="zh-CN"/>
              </w:rPr>
              <w:t>设备作业使用酒精等危化品不符合要求的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pStyle w:val="106"/>
              <w:tabs>
                <w:tab w:val="left" w:pos="840"/>
                <w:tab w:val="left" w:pos="1080"/>
                <w:tab w:val="left" w:pos="1440"/>
              </w:tabs>
              <w:ind w:left="-1" w:leftChars="-1" w:hanging="1"/>
              <w:jc w:val="both"/>
              <w:rPr>
                <w:rFonts w:ascii="微软雅黑" w:hAnsi="微软雅黑" w:eastAsia="微软雅黑" w:cs="Arial"/>
                <w:sz w:val="20"/>
              </w:rPr>
            </w:pPr>
            <w:r>
              <w:rPr>
                <w:rFonts w:ascii="微软雅黑" w:hAnsi="微软雅黑" w:eastAsia="微软雅黑" w:cs="Arial"/>
                <w:sz w:val="20"/>
                <w:lang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进入设备内维修、保养、调试未经审批同意者（每次）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进入设备内维修、保养、调试未按照规定挂牌上锁者（每次）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未经同意私自调试设备造成损失者，照价赔偿外，责任者驱逐出厂（每次）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私自拆除紧急按钮或屏蔽紧急按钮、装置或关闭设备安全防护措施者（每次）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ind w:left="-1" w:leftChars="-1" w:hanging="1"/>
              <w:rPr>
                <w:rFonts w:ascii="微软雅黑" w:hAnsi="微软雅黑" w:eastAsia="微软雅黑" w:cs="Arial"/>
              </w:rPr>
            </w:pPr>
            <w:r>
              <w:rPr>
                <w:rFonts w:ascii="微软雅黑" w:hAnsi="微软雅黑" w:eastAsia="微软雅黑" w:cs="Arial"/>
              </w:rPr>
              <w:t>未经授权许可擅自改动设备控制逻辑程序、安全联动保护程序、安全装置者（每次）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ind w:left="-1" w:leftChars="-1" w:hanging="1"/>
              <w:rPr>
                <w:rFonts w:ascii="微软雅黑" w:hAnsi="微软雅黑" w:eastAsia="微软雅黑" w:cs="Arial"/>
              </w:rPr>
            </w:pPr>
            <w:r>
              <w:rPr>
                <w:rFonts w:ascii="微软雅黑" w:hAnsi="微软雅黑" w:eastAsia="微软雅黑" w:cs="Arial"/>
              </w:rPr>
              <w:t>违规操作设备（含检修、保养、调试、安装）造成事件者（造成损失照价赔偿）</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违反设备安全管理规定或安全操作未及时整改者（每次）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40"/>
              </w:tabs>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进入设备内部作业人数和锁具挂牌数不对应（每次）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ind w:left="-1" w:leftChars="-1" w:hanging="1"/>
              <w:rPr>
                <w:rFonts w:ascii="微软雅黑" w:hAnsi="微软雅黑" w:eastAsia="微软雅黑" w:cs="Arial"/>
              </w:rPr>
            </w:pPr>
            <w:r>
              <w:rPr>
                <w:rFonts w:ascii="微软雅黑" w:hAnsi="微软雅黑" w:eastAsia="微软雅黑" w:cs="Arial"/>
              </w:rPr>
              <w:t>作业违反公司设备安全管理规定（维护、保养等）者（每次）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未经授权操作危险性机械或设备（每次）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现场危险设备操作没有合法操作证者（每次）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危险设备使用完毕未关闭动力者（每次）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未经允许擅自操作本公司机器设备者，造成损失承担全部责任外（每次）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进入机台内未做好个人安全防护者（每次每人）</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新设备导入、设备拆改、拆除报废装机施工未报备工安装机检查确认（每次）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未经设备管理人员同意进入机台内者（每次每人）</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未按规定对机台进行调试、检修，造成设备安全防护措施失效者（每次）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操作不当引发意外事故发生者，造成经济损失或设备损坏照价赔偿外（每次）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未经华星相关人员许可,擅自操作任一管路阀类开关或电气开关者，造成损失承担全部责任外（每次每处）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1" w:type="dxa"/>
            <w:tcBorders>
              <w:top w:val="single" w:color="auto" w:sz="4" w:space="0"/>
              <w:left w:val="single" w:color="auto" w:sz="4" w:space="0"/>
              <w:bottom w:val="single" w:color="auto" w:sz="4" w:space="0"/>
              <w:right w:val="single" w:color="auto" w:sz="4" w:space="0"/>
            </w:tcBorders>
            <w:shd w:val="clear" w:color="auto" w:fill="auto"/>
          </w:tcPr>
          <w:p>
            <w:pPr>
              <w:pStyle w:val="106"/>
              <w:numPr>
                <w:ilvl w:val="0"/>
                <w:numId w:val="43"/>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473"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其它违反设备安全规定者，视违章情节轻重适当调整处罚力度（每次）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5000-20000</w:t>
            </w:r>
          </w:p>
        </w:tc>
      </w:tr>
    </w:tbl>
    <w:p>
      <w:pPr>
        <w:pStyle w:val="111"/>
        <w:numPr>
          <w:ilvl w:val="0"/>
          <w:numId w:val="29"/>
        </w:numPr>
        <w:ind w:firstLineChars="0"/>
        <w:rPr>
          <w:rFonts w:ascii="微软雅黑" w:hAnsi="微软雅黑" w:eastAsia="微软雅黑" w:cs="Arial"/>
          <w:sz w:val="20"/>
          <w:szCs w:val="22"/>
        </w:rPr>
      </w:pPr>
      <w:r>
        <w:rPr>
          <w:rFonts w:hint="eastAsia" w:ascii="微软雅黑" w:hAnsi="微软雅黑" w:eastAsia="微软雅黑" w:cs="Arial"/>
          <w:sz w:val="20"/>
          <w:szCs w:val="22"/>
        </w:rPr>
        <w:t>土建</w:t>
      </w:r>
      <w:r>
        <w:rPr>
          <w:rFonts w:ascii="微软雅黑" w:hAnsi="微软雅黑" w:eastAsia="微软雅黑" w:cs="Arial"/>
          <w:sz w:val="20"/>
          <w:szCs w:val="22"/>
        </w:rPr>
        <w:t>安全类</w:t>
      </w:r>
    </w:p>
    <w:tbl>
      <w:tblPr>
        <w:tblStyle w:val="45"/>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1"/>
        <w:gridCol w:w="751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项次</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违规事由</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工地内拍照未事先申请，申请后无现场监工陪同者（每次）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厂商（施工班组）如对管理人员进行恐吓、威胁(视情节轻重) （每次）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其它严重违反安全及环保事宜者(招政府机关相关罚则警告或人员伤亡者) （每次）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不按时参加HSE协议组织会议，安全例会（每次）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强行通过已经设置好的警戒区域（每次）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消防设施设置不够或未达消防要求（每次）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专职安全管理人员配备不足，或必须具备安全管理资格证书的人员无证上岗（每次）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未按相关规定编制安全技术资料，未按照相关规定提交安全技术方案（每次）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开挖等作业未做好安全措施破坏地下管线及电缆（每次）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每日未能按时将“工地每日安全检查表＂送达安卫组者、未参加安全检查及安全会议等安全活动者（每次）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未能按时上交安全周报和工时工作报者（每次）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未能按照整改通知书进行整改者（每次）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拒绝在事实处罚单上签字者（每次）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使用不合格机具者（每次）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未能按照规定对施工机具进行检查验收者（每次）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施工机具动力传动部位无合格防护罩（每次）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施工机具不按规定进行接地者（每次）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木工机具及钢筋机具未按时搭设操作棚（每次）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对焊机无防火星措施（每次）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圆盘踞、砂轮机等机具无防物体打击措施（每次）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其它违规机械使用安全技术规范和操作规程（每次）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各厂商在工地的各自工棚里未配备急救物资，或急救物资出现短缺（每次）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塔吊未进行接地检测和检查者（每次）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塔吊操作人员无证操作塔吊的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塔吊未经当地监管机构验收颁发使用登记</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没有按要求对塔吊定期检查、维修保养的或没有相关记录的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拆安装塔吊没有对施工区域警戒的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塔吊没有按要求设置附措施的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塔吊没有设置专用安全通道的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塔吊底部没有设置封闭措施的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塔吊基础没有经过验收合格施工的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塔吊基础积水没有及时抽排的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桩机施工没有上报桩机施工专项施工方案私自施工的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桩机没有经过验收合格私自施工的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桩机操作人员无证操作机械的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桩机没有施工区域没有围篱措施、设置监护人的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施工完成的桩基口没有覆盖措施的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桩机缆绳破损没有及时更换的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桩机设备、临电措施没有防雨措施的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桩机设备直接放置在地面没有垫枕木的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桩机临电设施不合格的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高空随意抛物（包含垃圾）者，造成伤害或成品损失的，承担全部赔偿外（每次）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脚手架基础未能达到国家标准或不牢固（每次）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脚手架搭设没有提交专项安全施工方案违规施工者（每次）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高大脚手架没有按要求进行专家论证者（每次）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架子工没有操作证搭设脚手架者（每次）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搭设脚手架前基础没有夯实或地面硬化者（每次）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违规使用弯曲、损坏、锈蚀、破洞的钢管者（每次）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违规使用损坏、锈蚀的钢卡扣件者（每次）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没有按要求设置扫地杆者或设置的扫地杆不符合安全要求者（每次）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大横杆、小横杆没有按要求搭设者（每次）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没有设置连续剪刀撑或剪刀撑设置不符合安全要求者（每次）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连墙件没有设置前没有对脚手架设置抛撑者（每次）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脚手架立杆接头连续在同一水平位置者（每次）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没有按要求设置连墙件者或设置的连墙件距离超过两跨者（每次）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施工人员违规拆除连墙件者（每次）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搭设脚手架施工人员高处作业没有系挂安全带者（每次）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840"/>
                <w:tab w:val="left" w:pos="1080"/>
                <w:tab w:val="left" w:pos="1440"/>
              </w:tabs>
              <w:ind w:left="-1" w:leftChars="-1" w:hanging="1"/>
              <w:jc w:val="both"/>
              <w:textAlignment w:val="auto"/>
              <w:rPr>
                <w:rFonts w:ascii="微软雅黑" w:hAnsi="微软雅黑" w:eastAsia="微软雅黑" w:cs="Arial"/>
                <w:sz w:val="20"/>
                <w:lang w:eastAsia="zh-CN"/>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没有按要求设置上下人安全通道者或安全通道不符合安全要求者（每次）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脚手架外侧没有按要求铺设密目网或密目网破损没有及时更换者（每次）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悬挑脚手架没有按要求设置预埋件或设置的预埋件没有经过验收者（每次）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使用的悬挑梁材质、型号达不到安全要求，违规使用锈蚀、破损的悬挑梁者（每次）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悬挑梁没有按要求焊接防滑直立固定钢筋者（每次）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没有按要求及时设置卸荷措施或设置用材质、型号达不到安全要求者不符合者（每次）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悬挑钢梁的长度设置达不到1：1.25安全要求设置者（每次）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悬挑层没有按要求进行全面封闭者，底部没有设置水平兜网者（每次）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脚手架剪刀撑或隔离或拉结设置不及时（每次）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施工脚手架未设制预防落体伤人措施(如防护网、斜伸篱等) （每次）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脚手架未能跟上施工进度或与模板排架相连接（每次）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脚手架上安全通道或踢脚板设置不及时或不合格或堆放过多材料，防碍行走（每次）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脚手板未按规定满铺或出入通道未搭设合格的护头棚（每次）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未验收的脚手架就投入使用或使用不合格脚手架或使用挂红牌脚手架（每次）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移动脚手架无刹车装置和支腿装置或未不定期对脚手架进行检查和维护（每次）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移动式脚手架高宽比大于3倍时未按要求采取有效安全措施</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卸料平台无护栏、未满铺脚手板、顶端无防护网、无最大允许载荷标识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卸料平台没有经过验收私自使用的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卸料平台没有按要求设置预埋件，临时设置固定措施的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卸料平台没有按要求设置四道卸荷措施或卸荷措施没有起到作用的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卸料平台下方没有设置围篱措施形成交叉作业的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施工材料长期放置在卸料平台的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移动式脚手架高宽比大于3倍时未按要求采取有效安全措施</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未办理脚手架拆除许可证就开始拆除或拆除脚手架时，未能设置足够警戒的区域，无监护人到场（每次）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吊篮没有上报专项安全施工方案私自作业的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吊篮未经当地监管机构验收颁发使用登记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吊篮操作人员未经培训和安全技术交底</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吊篮上超过2人或只有1人操作</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吊篮支架、钢丝绳、安全绳、配重等各构件未按规范加以固定</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吊篮限位装置、安全绳、自锁器等安全设施缺失和失效</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作业人员未系安全带，或作业人员共用一条安全绳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吊篮作业同一垂直区域未做安全确认和过程监护，吊篮下方区域未做警戒</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非紧急情况由高处阳台、窗口等处上下吊篮，或向相邻吊篮翻越，进出吊篮过程未系安全带</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高处临边、临窗等位置补充物料时未将吊篮加以固定</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下班后吊篮未落地，并将上级电箱断电的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吊篮使用单位未派专职维保人员，未履行每日检查维保职责</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6"/>
              <w:numPr>
                <w:ilvl w:val="0"/>
                <w:numId w:val="44"/>
              </w:numPr>
              <w:tabs>
                <w:tab w:val="left" w:pos="720"/>
                <w:tab w:val="left" w:pos="1080"/>
                <w:tab w:val="left" w:pos="1440"/>
              </w:tabs>
              <w:ind w:left="-1" w:leftChars="-1" w:hanging="1"/>
              <w:jc w:val="both"/>
              <w:textAlignment w:val="auto"/>
              <w:rPr>
                <w:rFonts w:ascii="微软雅黑" w:hAnsi="微软雅黑" w:eastAsia="微软雅黑" w:cs="Arial"/>
                <w:sz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吊篮没有悬挂安全操作规程的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私自在吊篮边增加作业平台的</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私自拆除脚手架连墙件或者规定不得拆除杆件或乱丢乱抛钢管、扣件等物件（每次）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4"/>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其它违反相关安全卫生环保事项，但非于本罚则内列出者，但通过相关会议约定的相关情形（每次）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约定处罚金额</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文明施工、劳保用品类</w:t>
      </w:r>
    </w:p>
    <w:tbl>
      <w:tblPr>
        <w:tblStyle w:val="45"/>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5"/>
        <w:gridCol w:w="746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项次</w:t>
            </w:r>
          </w:p>
        </w:tc>
        <w:tc>
          <w:tcPr>
            <w:tcW w:w="746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违规事由</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各厂商雇佣活动不便、视力差、神经异常的临时人员（每次每人）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现场人员配戴安全帽未扣好下颌带者（每次）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施工时未依规定配戴安全防护具(如安全帽/安全带/电焊时用等)者（每次每人）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暂存区或加工区未按规定申请或未按标准整理者（每次每处）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现场人员安全防护用品破损、脏污未及时更换者（每次每人）</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物料置放区未标示所属厂商名称、联络人、物料名称、暂放时间等（每次）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现场临时材料加工区及所属工棚区6S未按时清理者（每次）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现场人员使用劳保用品不符合安全要求者（每件）</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施工暂存区未作隔离标示者（每次每处）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暂存区、加工区未申请批准或为按规定张贴申请单者（每次每处）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现场文明施工不到位，纠正整改不及时或拒不整改者（每次）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施工完后现场脏污或物料、工具不清理者（每次每处）</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5"/>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其它违反文明施工、劳保安全规定者，视违章情节轻重适当调整处罚力度（每次）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1000-5000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事故应急类</w:t>
      </w:r>
    </w:p>
    <w:tbl>
      <w:tblPr>
        <w:tblStyle w:val="45"/>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5"/>
        <w:gridCol w:w="746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项次</w:t>
            </w:r>
          </w:p>
        </w:tc>
        <w:tc>
          <w:tcPr>
            <w:tcW w:w="746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违规事由</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tcPr>
          <w:p>
            <w:pPr>
              <w:numPr>
                <w:ilvl w:val="0"/>
                <w:numId w:val="46"/>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瞒报、延保、谎报事故（每次）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tcPr>
          <w:p>
            <w:pPr>
              <w:numPr>
                <w:ilvl w:val="0"/>
                <w:numId w:val="46"/>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工作场所发生突发事件未通知甲方紧急应变中心私自离开现场者（每次）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tcPr>
          <w:p>
            <w:pPr>
              <w:numPr>
                <w:ilvl w:val="0"/>
                <w:numId w:val="46"/>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发生事故后未能配合华星光电调查或隐瞒事实者（每次）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tcPr>
          <w:p>
            <w:pPr>
              <w:numPr>
                <w:ilvl w:val="0"/>
                <w:numId w:val="46"/>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发生事故时，未能有效控制发展或未作紧急处理者（每次）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840"/>
                <w:tab w:val="left" w:pos="1080"/>
                <w:tab w:val="left" w:pos="1440"/>
              </w:tabs>
              <w:overflowPunct w:val="0"/>
              <w:autoSpaceDE w:val="0"/>
              <w:autoSpaceDN w:val="0"/>
              <w:adjustRightInd w:val="0"/>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895" w:type="dxa"/>
            <w:tcBorders>
              <w:top w:val="single" w:color="auto" w:sz="4" w:space="0"/>
              <w:left w:val="single" w:color="auto" w:sz="4" w:space="0"/>
              <w:bottom w:val="single" w:color="auto" w:sz="4" w:space="0"/>
              <w:right w:val="single" w:color="auto" w:sz="4" w:space="0"/>
            </w:tcBorders>
            <w:shd w:val="clear" w:color="auto" w:fill="auto"/>
          </w:tcPr>
          <w:p>
            <w:pPr>
              <w:numPr>
                <w:ilvl w:val="0"/>
                <w:numId w:val="46"/>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469"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其它违反事故应急救援安全规定者，视违章情节轻重适当调整处罚力度（每次）</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tabs>
                <w:tab w:val="left" w:pos="1440"/>
              </w:tabs>
              <w:ind w:left="-1" w:leftChars="-1" w:hanging="1"/>
              <w:rPr>
                <w:rFonts w:ascii="微软雅黑" w:hAnsi="微软雅黑" w:eastAsia="微软雅黑" w:cs="Arial"/>
              </w:rPr>
            </w:pPr>
            <w:r>
              <w:rPr>
                <w:rFonts w:ascii="微软雅黑" w:hAnsi="微软雅黑" w:eastAsia="微软雅黑" w:cs="Arial"/>
              </w:rPr>
              <w:t>5000-20000</w:t>
            </w:r>
          </w:p>
        </w:tc>
      </w:tr>
    </w:tbl>
    <w:p>
      <w:pPr>
        <w:pStyle w:val="111"/>
        <w:numPr>
          <w:ilvl w:val="0"/>
          <w:numId w:val="29"/>
        </w:numPr>
        <w:ind w:firstLineChars="0"/>
        <w:rPr>
          <w:rFonts w:ascii="微软雅黑" w:hAnsi="微软雅黑" w:eastAsia="微软雅黑" w:cs="Arial"/>
          <w:sz w:val="20"/>
          <w:szCs w:val="22"/>
        </w:rPr>
      </w:pPr>
      <w:r>
        <w:rPr>
          <w:rFonts w:ascii="微软雅黑" w:hAnsi="微软雅黑" w:eastAsia="微软雅黑" w:cs="Arial"/>
          <w:sz w:val="20"/>
          <w:szCs w:val="22"/>
        </w:rPr>
        <w:t>防疫管理类</w:t>
      </w:r>
    </w:p>
    <w:tbl>
      <w:tblPr>
        <w:tblStyle w:val="45"/>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7513"/>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编号</w:t>
            </w:r>
          </w:p>
        </w:tc>
        <w:tc>
          <w:tcPr>
            <w:tcW w:w="75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宋体"/>
                <w:bCs/>
              </w:rPr>
            </w:pPr>
            <w:r>
              <w:rPr>
                <w:rFonts w:hint="eastAsia" w:ascii="微软雅黑" w:hAnsi="微软雅黑" w:eastAsia="微软雅黑" w:cs="宋体"/>
                <w:bCs/>
              </w:rPr>
              <w:t>违规内容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违规场景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7"/>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513" w:type="dxa"/>
            <w:tcBorders>
              <w:top w:val="single" w:color="000000" w:sz="4" w:space="0"/>
              <w:left w:val="single" w:color="000000" w:sz="4" w:space="0"/>
              <w:bottom w:val="single" w:color="000000" w:sz="4" w:space="0"/>
              <w:right w:val="single" w:color="000000" w:sz="4" w:space="0"/>
            </w:tcBorders>
            <w:shd w:val="clear" w:color="auto" w:fill="auto"/>
          </w:tcPr>
          <w:p>
            <w:pPr>
              <w:ind w:left="-1" w:leftChars="-1" w:hanging="1"/>
              <w:rPr>
                <w:rFonts w:ascii="微软雅黑" w:hAnsi="微软雅黑" w:eastAsia="微软雅黑" w:cs="Arial"/>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7"/>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513" w:type="dxa"/>
            <w:tcBorders>
              <w:top w:val="single" w:color="000000" w:sz="4" w:space="0"/>
              <w:left w:val="single" w:color="000000" w:sz="4" w:space="0"/>
              <w:bottom w:val="single" w:color="000000" w:sz="4" w:space="0"/>
              <w:right w:val="single" w:color="000000"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疫情期间未按要求佩戴带口罩或是未按要求消毒、测温（每次每人）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7"/>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513" w:type="dxa"/>
            <w:tcBorders>
              <w:top w:val="single" w:color="000000" w:sz="4" w:space="0"/>
              <w:left w:val="single" w:color="000000" w:sz="4" w:space="0"/>
              <w:bottom w:val="single" w:color="000000" w:sz="4" w:space="0"/>
              <w:right w:val="single" w:color="000000"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疫情期间未提前报备私自往返中高风险区域（每次每人）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7"/>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513" w:type="dxa"/>
            <w:tcBorders>
              <w:top w:val="single" w:color="000000" w:sz="4" w:space="0"/>
              <w:left w:val="single" w:color="000000" w:sz="4" w:space="0"/>
              <w:bottom w:val="single" w:color="000000" w:sz="4" w:space="0"/>
              <w:right w:val="single" w:color="000000"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防疫审查资料或是电子信息故意提供不实虚假入厂者（每次每人）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7"/>
              </w:numPr>
              <w:tabs>
                <w:tab w:val="left" w:pos="840"/>
                <w:tab w:val="left" w:pos="1080"/>
                <w:tab w:val="left" w:pos="1440"/>
              </w:tabs>
              <w:overflowPunct w:val="0"/>
              <w:autoSpaceDE w:val="0"/>
              <w:autoSpaceDN w:val="0"/>
              <w:adjustRightInd w:val="0"/>
              <w:ind w:left="-1" w:leftChars="-1" w:hanging="1"/>
              <w:jc w:val="both"/>
              <w:rPr>
                <w:rFonts w:ascii="微软雅黑" w:hAnsi="微软雅黑" w:eastAsia="微软雅黑" w:cs="Arial"/>
              </w:rPr>
            </w:pPr>
          </w:p>
        </w:tc>
        <w:tc>
          <w:tcPr>
            <w:tcW w:w="7513" w:type="dxa"/>
            <w:tcBorders>
              <w:top w:val="single" w:color="000000" w:sz="4" w:space="0"/>
              <w:left w:val="single" w:color="000000" w:sz="4" w:space="0"/>
              <w:bottom w:val="single" w:color="000000" w:sz="4" w:space="0"/>
              <w:right w:val="single" w:color="000000" w:sz="4" w:space="0"/>
            </w:tcBorders>
            <w:shd w:val="clear" w:color="auto" w:fill="auto"/>
          </w:tcPr>
          <w:p>
            <w:pPr>
              <w:ind w:left="-1" w:leftChars="-1" w:hanging="1"/>
              <w:rPr>
                <w:rFonts w:ascii="微软雅黑" w:hAnsi="微软雅黑" w:eastAsia="微软雅黑" w:cs="Arial"/>
              </w:rPr>
            </w:pPr>
            <w:r>
              <w:rPr>
                <w:rFonts w:ascii="微软雅黑" w:hAnsi="微软雅黑" w:eastAsia="微软雅黑" w:cs="Arial"/>
              </w:rPr>
              <w:t>防疫期间个人出现异常症状如发烧、咳嗽、乏力、腹痛、腹泻不主动上报坚持入厂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 w:leftChars="-1" w:hanging="1"/>
              <w:rPr>
                <w:rFonts w:ascii="微软雅黑" w:hAnsi="微软雅黑" w:eastAsia="微软雅黑" w:cs="Arial"/>
              </w:rPr>
            </w:pPr>
            <w:r>
              <w:rPr>
                <w:rFonts w:ascii="微软雅黑" w:hAnsi="微软雅黑" w:eastAsia="微软雅黑" w:cs="Arial"/>
              </w:rPr>
              <w:t>2000</w:t>
            </w:r>
          </w:p>
        </w:tc>
      </w:tr>
    </w:tbl>
    <w:p>
      <w:pPr>
        <w:pStyle w:val="111"/>
        <w:numPr>
          <w:ilvl w:val="0"/>
          <w:numId w:val="29"/>
        </w:numPr>
        <w:ind w:firstLineChars="0"/>
        <w:rPr>
          <w:rFonts w:ascii="微软雅黑" w:hAnsi="微软雅黑" w:eastAsia="微软雅黑" w:cs="Arial"/>
          <w:sz w:val="20"/>
          <w:szCs w:val="22"/>
        </w:rPr>
      </w:pPr>
      <w:r>
        <w:rPr>
          <w:rFonts w:hint="eastAsia" w:ascii="微软雅黑" w:hAnsi="微软雅黑" w:eastAsia="微软雅黑" w:cs="Arial"/>
          <w:sz w:val="20"/>
          <w:szCs w:val="22"/>
        </w:rPr>
        <w:t>厂商、访客信息安全违规行为处罚规定</w:t>
      </w:r>
    </w:p>
    <w:tbl>
      <w:tblPr>
        <w:tblStyle w:val="45"/>
        <w:tblW w:w="8918" w:type="dxa"/>
        <w:tblInd w:w="108" w:type="dxa"/>
        <w:tblLayout w:type="autofit"/>
        <w:tblCellMar>
          <w:top w:w="0" w:type="dxa"/>
          <w:left w:w="108" w:type="dxa"/>
          <w:bottom w:w="0" w:type="dxa"/>
          <w:right w:w="108" w:type="dxa"/>
        </w:tblCellMar>
      </w:tblPr>
      <w:tblGrid>
        <w:gridCol w:w="776"/>
        <w:gridCol w:w="2326"/>
        <w:gridCol w:w="1163"/>
        <w:gridCol w:w="4653"/>
      </w:tblGrid>
      <w:tr>
        <w:tblPrEx>
          <w:tblCellMar>
            <w:top w:w="0" w:type="dxa"/>
            <w:left w:w="108" w:type="dxa"/>
            <w:bottom w:w="0" w:type="dxa"/>
            <w:right w:w="108" w:type="dxa"/>
          </w:tblCellMar>
        </w:tblPrEx>
        <w:trPr>
          <w:trHeight w:val="633"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编号</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bCs/>
              </w:rPr>
            </w:pPr>
            <w:r>
              <w:rPr>
                <w:rFonts w:hint="eastAsia" w:ascii="微软雅黑" w:hAnsi="微软雅黑" w:eastAsia="微软雅黑" w:cs="宋体"/>
                <w:bCs/>
              </w:rPr>
              <w:t>违规内容</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违规场景</w:t>
            </w:r>
          </w:p>
        </w:tc>
        <w:tc>
          <w:tcPr>
            <w:tcW w:w="4653" w:type="dxa"/>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处罚措施</w:t>
            </w:r>
          </w:p>
        </w:tc>
      </w:tr>
      <w:tr>
        <w:tblPrEx>
          <w:tblCellMar>
            <w:top w:w="0" w:type="dxa"/>
            <w:left w:w="108" w:type="dxa"/>
            <w:bottom w:w="0" w:type="dxa"/>
            <w:right w:w="108" w:type="dxa"/>
          </w:tblCellMar>
        </w:tblPrEx>
        <w:trPr>
          <w:trHeight w:val="1256"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tcBorders>
              <w:top w:val="single" w:color="auto" w:sz="4" w:space="0"/>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恶意毁坏甲方系统、数据、网络等信息资产的行为</w:t>
            </w:r>
          </w:p>
        </w:tc>
        <w:tc>
          <w:tcPr>
            <w:tcW w:w="1163" w:type="dxa"/>
            <w:tcBorders>
              <w:top w:val="single" w:color="auto" w:sz="4" w:space="0"/>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w:t>
            </w:r>
          </w:p>
        </w:tc>
        <w:tc>
          <w:tcPr>
            <w:tcW w:w="4653" w:type="dxa"/>
            <w:tcBorders>
              <w:top w:val="single" w:color="auto" w:sz="4" w:space="0"/>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100000元/人/次，赔偿损失，取消进入甲方长、短名单或合作资格，依法追究法律责任</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恶意传播病毒的行为</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100000元/人/次，赔偿损失，取消进入甲方长、短名单或合作资格，依法追究法律责任</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盗用甲方信息系统账号及密码的行为</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100000元/人/次，赔偿损失，取消进入甲方长、短名单或合作资格，依法追究法律责任</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restart"/>
            <w:tcBorders>
              <w:top w:val="nil"/>
              <w:left w:val="single" w:color="auto" w:sz="4" w:space="0"/>
              <w:bottom w:val="nil"/>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因过失，传播病毒的行为</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影响人数在10人以下</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20000元/人/次，赔偿损失，取消进入甲方长、短名单或合作资格</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nil"/>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影响人数在10人以上</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50000元/人/次，赔偿损失，取消进入甲方长、短名单或合作资格，依法追究法律责任</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未经授权携出甲方文件</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一般资料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20000元/人/次，取消进入甲方长、短名单或合作资格</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秘密或以上资料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50000元/人/次，赔偿损失，取消进入甲方长、短名单或合作资格，依法追究法律责任</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restart"/>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强行/恶意躲避监管进入未授权区域的行为</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进入三级区域</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20000元/人/次，取消进入甲方长、短名单或合作资格</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进入二级区域或以上</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100000元/人/次，赔偿损失，取消进入甲方长、短名单或合作资格，依法追究法律责任</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restart"/>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违规进入未授权区域</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进入三级区域</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1000元/人/次</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进入二级区域</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5000元/人/次,一年内不得进入公司</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进入一级区域</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10000元/人/次，一年内不得进入公司，取消进入公司长、短名单或合作资格</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restart"/>
            <w:tcBorders>
              <w:top w:val="nil"/>
              <w:left w:val="single" w:color="auto" w:sz="4" w:space="0"/>
              <w:bottom w:val="single" w:color="000000"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携带电脑进入管制口前未经过IT服务台检测并张贴标识</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电脑未发现有害程序</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5000元/人/次</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000000"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电脑发现有害程序</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10000元/人/次</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000000"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有害程序造成影响</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50000元/人/次，赔偿损失，取消进入甲方长、短名单或合作资格，依法追究法律责任</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restart"/>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违规携带</w:t>
            </w:r>
            <w:r>
              <w:rPr>
                <w:rFonts w:ascii="微软雅黑" w:hAnsi="微软雅黑" w:eastAsia="微软雅黑" w:cs="宋体"/>
              </w:rPr>
              <w:t>U</w:t>
            </w:r>
            <w:r>
              <w:rPr>
                <w:rFonts w:hint="eastAsia" w:ascii="微软雅黑" w:hAnsi="微软雅黑" w:eastAsia="微软雅黑" w:cs="宋体"/>
              </w:rPr>
              <w:t>盘、硬盘等存储设备进入管制区域</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设备未包含有害程序</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5000元/人/次</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设备包含有害程序</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10000元/人/次</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有害程序造成影响</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50000元/人/次，赔偿损失，取消进入甲方长、短名单或合作资格，依法追究法律责任</w:t>
            </w:r>
          </w:p>
        </w:tc>
      </w:tr>
      <w:tr>
        <w:tblPrEx>
          <w:tblCellMar>
            <w:top w:w="0" w:type="dxa"/>
            <w:left w:w="108" w:type="dxa"/>
            <w:bottom w:w="0" w:type="dxa"/>
            <w:right w:w="108" w:type="dxa"/>
          </w:tblCellMar>
        </w:tblPrEx>
        <w:trPr>
          <w:trHeight w:val="633"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restart"/>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违规携带U盘、硬盘等存储设备出管制区域</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无资料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1000元/人/次</w:t>
            </w:r>
          </w:p>
        </w:tc>
      </w:tr>
      <w:tr>
        <w:tblPrEx>
          <w:tblCellMar>
            <w:top w:w="0" w:type="dxa"/>
            <w:left w:w="108" w:type="dxa"/>
            <w:bottom w:w="0" w:type="dxa"/>
            <w:right w:w="108" w:type="dxa"/>
          </w:tblCellMar>
        </w:tblPrEx>
        <w:trPr>
          <w:trHeight w:val="633"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一般资料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2000元/人/次</w:t>
            </w:r>
          </w:p>
        </w:tc>
      </w:tr>
      <w:tr>
        <w:tblPrEx>
          <w:tblCellMar>
            <w:top w:w="0" w:type="dxa"/>
            <w:left w:w="108" w:type="dxa"/>
            <w:bottom w:w="0" w:type="dxa"/>
            <w:right w:w="108" w:type="dxa"/>
          </w:tblCellMar>
        </w:tblPrEx>
        <w:trPr>
          <w:trHeight w:val="633"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秘密资料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5000元/人/次</w:t>
            </w:r>
          </w:p>
        </w:tc>
      </w:tr>
      <w:tr>
        <w:tblPrEx>
          <w:tblCellMar>
            <w:top w:w="0" w:type="dxa"/>
            <w:left w:w="108" w:type="dxa"/>
            <w:bottom w:w="0" w:type="dxa"/>
            <w:right w:w="108" w:type="dxa"/>
          </w:tblCellMar>
        </w:tblPrEx>
        <w:trPr>
          <w:trHeight w:val="633"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机密资料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20000元/人/次，一年内不得进入甲方</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nil"/>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绝密资料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50000元/人/次，取消进入甲方长、短名单或合作资格</w:t>
            </w:r>
          </w:p>
        </w:tc>
      </w:tr>
      <w:tr>
        <w:tblPrEx>
          <w:tblCellMar>
            <w:top w:w="0" w:type="dxa"/>
            <w:left w:w="108" w:type="dxa"/>
            <w:bottom w:w="0" w:type="dxa"/>
            <w:right w:w="108" w:type="dxa"/>
          </w:tblCellMar>
        </w:tblPrEx>
        <w:trPr>
          <w:trHeight w:val="633"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tcBorders>
              <w:top w:val="nil"/>
              <w:left w:val="nil"/>
              <w:bottom w:val="nil"/>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撕毁摄像头贴纸</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2000元/人/次</w:t>
            </w:r>
          </w:p>
        </w:tc>
      </w:tr>
      <w:tr>
        <w:tblPrEx>
          <w:tblCellMar>
            <w:top w:w="0" w:type="dxa"/>
            <w:left w:w="108" w:type="dxa"/>
            <w:bottom w:w="0" w:type="dxa"/>
            <w:right w:w="108" w:type="dxa"/>
          </w:tblCellMar>
        </w:tblPrEx>
        <w:trPr>
          <w:trHeight w:val="633"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违规拍照或录像</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一般资料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2000元/人/次</w:t>
            </w:r>
          </w:p>
        </w:tc>
      </w:tr>
      <w:tr>
        <w:tblPrEx>
          <w:tblCellMar>
            <w:top w:w="0" w:type="dxa"/>
            <w:left w:w="108" w:type="dxa"/>
            <w:bottom w:w="0" w:type="dxa"/>
            <w:right w:w="108" w:type="dxa"/>
          </w:tblCellMar>
        </w:tblPrEx>
        <w:trPr>
          <w:trHeight w:val="633"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秘密资料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5000元/人/次</w:t>
            </w:r>
          </w:p>
        </w:tc>
      </w:tr>
      <w:tr>
        <w:tblPrEx>
          <w:tblCellMar>
            <w:top w:w="0" w:type="dxa"/>
            <w:left w:w="108" w:type="dxa"/>
            <w:bottom w:w="0" w:type="dxa"/>
            <w:right w:w="108" w:type="dxa"/>
          </w:tblCellMar>
        </w:tblPrEx>
        <w:trPr>
          <w:trHeight w:val="633"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机密资料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20000元/人/次，一年内不得进入甲方</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绝密资料</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50000元/人/次，取消进入甲方长、短名单或合作资格</w:t>
            </w:r>
          </w:p>
        </w:tc>
      </w:tr>
      <w:tr>
        <w:tblPrEx>
          <w:tblCellMar>
            <w:top w:w="0" w:type="dxa"/>
            <w:left w:w="108" w:type="dxa"/>
            <w:bottom w:w="0" w:type="dxa"/>
            <w:right w:w="108" w:type="dxa"/>
          </w:tblCellMar>
        </w:tblPrEx>
        <w:trPr>
          <w:trHeight w:val="633"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tcBorders>
              <w:top w:val="nil"/>
              <w:left w:val="nil"/>
              <w:bottom w:val="nil"/>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未正确佩戴人员识别牌</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1000元/人/次</w:t>
            </w:r>
          </w:p>
        </w:tc>
      </w:tr>
      <w:tr>
        <w:tblPrEx>
          <w:tblCellMar>
            <w:top w:w="0" w:type="dxa"/>
            <w:left w:w="108" w:type="dxa"/>
            <w:bottom w:w="0" w:type="dxa"/>
            <w:right w:w="108" w:type="dxa"/>
          </w:tblCellMar>
        </w:tblPrEx>
        <w:trPr>
          <w:trHeight w:val="633"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未经授权，使用特权更改系统配置、数据或流程的行为</w:t>
            </w: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未产生影响</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5000元/人/次</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影响人数在10人以下</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10000元/人/次</w:t>
            </w:r>
          </w:p>
        </w:tc>
      </w:tr>
      <w:tr>
        <w:tblPrEx>
          <w:tblCellMar>
            <w:top w:w="0" w:type="dxa"/>
            <w:left w:w="108" w:type="dxa"/>
            <w:bottom w:w="0" w:type="dxa"/>
            <w:right w:w="108" w:type="dxa"/>
          </w:tblCellMar>
        </w:tblPrEx>
        <w:trPr>
          <w:trHeight w:val="1256"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影响人数在10人以上</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20000元/人/次，取消进入甲方长、短名单或合作资格</w:t>
            </w:r>
          </w:p>
        </w:tc>
      </w:tr>
      <w:tr>
        <w:tblPrEx>
          <w:tblCellMar>
            <w:top w:w="0" w:type="dxa"/>
            <w:left w:w="108" w:type="dxa"/>
            <w:bottom w:w="0" w:type="dxa"/>
            <w:right w:w="108" w:type="dxa"/>
          </w:tblCellMar>
        </w:tblPrEx>
        <w:trPr>
          <w:trHeight w:val="1265" w:hRule="atLeast"/>
        </w:trPr>
        <w:tc>
          <w:tcPr>
            <w:tcW w:w="776" w:type="dxa"/>
            <w:tcBorders>
              <w:top w:val="nil"/>
              <w:left w:val="single" w:color="auto" w:sz="4" w:space="0"/>
              <w:bottom w:val="single" w:color="auto" w:sz="4" w:space="0"/>
              <w:right w:val="single" w:color="auto" w:sz="4" w:space="0"/>
            </w:tcBorders>
            <w:shd w:val="clear" w:color="auto" w:fill="auto"/>
            <w:vAlign w:val="center"/>
          </w:tcPr>
          <w:p>
            <w:pPr>
              <w:numPr>
                <w:ilvl w:val="0"/>
                <w:numId w:val="48"/>
              </w:numPr>
              <w:ind w:left="-1" w:leftChars="-1" w:hanging="1"/>
              <w:jc w:val="both"/>
              <w:rPr>
                <w:rFonts w:ascii="微软雅黑" w:hAnsi="微软雅黑" w:eastAsia="微软雅黑" w:cs="宋体"/>
              </w:rPr>
            </w:pPr>
          </w:p>
        </w:tc>
        <w:tc>
          <w:tcPr>
            <w:tcW w:w="232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ind w:left="-1" w:leftChars="-1" w:hanging="1"/>
              <w:rPr>
                <w:rFonts w:ascii="微软雅黑" w:hAnsi="微软雅黑" w:eastAsia="微软雅黑" w:cs="宋体"/>
              </w:rPr>
            </w:pPr>
          </w:p>
        </w:tc>
        <w:tc>
          <w:tcPr>
            <w:tcW w:w="116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影响生产</w:t>
            </w:r>
          </w:p>
        </w:tc>
        <w:tc>
          <w:tcPr>
            <w:tcW w:w="4653" w:type="dxa"/>
            <w:tcBorders>
              <w:top w:val="nil"/>
              <w:left w:val="nil"/>
              <w:bottom w:val="single" w:color="auto" w:sz="4" w:space="0"/>
              <w:right w:val="single" w:color="auto" w:sz="4" w:space="0"/>
            </w:tcBorders>
            <w:shd w:val="clear" w:color="auto" w:fill="auto"/>
            <w:vAlign w:val="center"/>
          </w:tcPr>
          <w:p>
            <w:pPr>
              <w:ind w:left="-1" w:leftChars="-1" w:hanging="1"/>
              <w:rPr>
                <w:rFonts w:ascii="微软雅黑" w:hAnsi="微软雅黑" w:eastAsia="微软雅黑" w:cs="宋体"/>
              </w:rPr>
            </w:pPr>
            <w:r>
              <w:rPr>
                <w:rFonts w:hint="eastAsia" w:ascii="微软雅黑" w:hAnsi="微软雅黑" w:eastAsia="微软雅黑" w:cs="宋体"/>
              </w:rPr>
              <w:t>罚款 RMB 50000元/人/次，赔偿损失，取消进入甲方长、短名单或合作资格，依法追究法律责任</w:t>
            </w:r>
          </w:p>
        </w:tc>
      </w:tr>
    </w:tbl>
    <w:p/>
    <w:p>
      <w:pPr>
        <w:spacing w:after="160" w:line="259" w:lineRule="auto"/>
        <w:rPr>
          <w:rFonts w:ascii="微软雅黑" w:hAnsi="微软雅黑" w:eastAsia="微软雅黑" w:cs="Times New Roman"/>
          <w:b/>
          <w:kern w:val="2"/>
          <w:sz w:val="28"/>
          <w:szCs w:val="21"/>
        </w:rPr>
      </w:pPr>
    </w:p>
    <w:p>
      <w:pPr>
        <w:rPr>
          <w:b/>
          <w:sz w:val="32"/>
          <w:szCs w:val="28"/>
        </w:rPr>
      </w:pPr>
      <w:r>
        <w:rPr>
          <w:b/>
          <w:sz w:val="32"/>
          <w:szCs w:val="28"/>
        </w:rPr>
        <w:br w:type="page"/>
      </w:r>
    </w:p>
    <w:p>
      <w:pPr>
        <w:rPr>
          <w:b/>
          <w:sz w:val="32"/>
          <w:szCs w:val="28"/>
        </w:rPr>
      </w:pPr>
    </w:p>
    <w:p>
      <w:pPr>
        <w:jc w:val="center"/>
        <w:rPr>
          <w:b/>
          <w:sz w:val="36"/>
          <w:szCs w:val="32"/>
        </w:rPr>
      </w:pPr>
      <w:r>
        <w:rPr>
          <w:b/>
          <w:sz w:val="32"/>
          <w:szCs w:val="28"/>
        </w:rPr>
        <w:t>不可撤销履约保函</w:t>
      </w:r>
    </w:p>
    <w:p>
      <w:pPr>
        <w:snapToGrid w:val="0"/>
        <w:spacing w:line="400" w:lineRule="atLeast"/>
        <w:ind w:firstLine="5880"/>
        <w:rPr>
          <w:b/>
          <w:sz w:val="24"/>
          <w:u w:val="single"/>
        </w:rPr>
      </w:pPr>
      <w:r>
        <w:rPr>
          <w:b/>
          <w:sz w:val="24"/>
        </w:rPr>
        <w:t>保函编号：</w:t>
      </w:r>
      <w:r>
        <w:rPr>
          <w:b/>
          <w:sz w:val="24"/>
          <w:u w:val="single"/>
        </w:rPr>
        <w:t xml:space="preserve">          </w:t>
      </w:r>
    </w:p>
    <w:p>
      <w:pPr>
        <w:snapToGrid w:val="0"/>
        <w:spacing w:line="400" w:lineRule="atLeast"/>
        <w:rPr>
          <w:b/>
          <w:sz w:val="24"/>
        </w:rPr>
      </w:pPr>
    </w:p>
    <w:p>
      <w:pPr>
        <w:snapToGrid w:val="0"/>
        <w:spacing w:line="400" w:lineRule="atLeast"/>
        <w:rPr>
          <w:b/>
          <w:sz w:val="24"/>
          <w:u w:val="single"/>
        </w:rPr>
      </w:pPr>
      <w:r>
        <w:rPr>
          <w:b/>
          <w:sz w:val="24"/>
        </w:rPr>
        <w:t>致：</w:t>
      </w:r>
      <w:r>
        <w:rPr>
          <w:b/>
          <w:sz w:val="24"/>
          <w:u w:val="single"/>
        </w:rPr>
        <w:t xml:space="preserve">                               </w:t>
      </w:r>
      <w:r>
        <w:rPr>
          <w:b/>
          <w:sz w:val="24"/>
        </w:rPr>
        <w:t>（“受益人”）</w:t>
      </w:r>
    </w:p>
    <w:p>
      <w:pPr>
        <w:snapToGrid w:val="0"/>
        <w:spacing w:line="400" w:lineRule="atLeast"/>
        <w:ind w:firstLine="420"/>
        <w:rPr>
          <w:b/>
          <w:sz w:val="24"/>
        </w:rPr>
      </w:pPr>
      <w:r>
        <w:rPr>
          <w:b/>
          <w:sz w:val="24"/>
          <w:u w:val="single"/>
        </w:rPr>
        <w:t xml:space="preserve">                                  </w:t>
      </w:r>
      <w:r>
        <w:rPr>
          <w:b/>
          <w:sz w:val="24"/>
        </w:rPr>
        <w:t>(受益人地址)</w:t>
      </w:r>
    </w:p>
    <w:p>
      <w:pPr>
        <w:snapToGrid w:val="0"/>
        <w:spacing w:line="400" w:lineRule="atLeast"/>
        <w:ind w:firstLine="420"/>
        <w:rPr>
          <w:szCs w:val="21"/>
          <w:u w:val="single"/>
        </w:rPr>
      </w:pPr>
      <w:r>
        <w:rPr>
          <w:szCs w:val="21"/>
        </w:rPr>
        <w:t>鉴于，受益人与</w:t>
      </w:r>
      <w:r>
        <w:rPr>
          <w:i/>
          <w:szCs w:val="21"/>
          <w:u w:val="single"/>
        </w:rPr>
        <w:t xml:space="preserve">    （</w:t>
      </w:r>
      <w:r>
        <w:rPr>
          <w:rFonts w:hint="eastAsia"/>
          <w:i/>
          <w:szCs w:val="21"/>
          <w:u w:val="single"/>
        </w:rPr>
        <w:t>被保证人</w:t>
      </w:r>
      <w:r>
        <w:rPr>
          <w:i/>
          <w:szCs w:val="21"/>
          <w:u w:val="single"/>
        </w:rPr>
        <w:t xml:space="preserve">名称）     </w:t>
      </w:r>
      <w:r>
        <w:rPr>
          <w:szCs w:val="21"/>
        </w:rPr>
        <w:t>（“</w:t>
      </w:r>
      <w:r>
        <w:rPr>
          <w:rFonts w:hint="eastAsia"/>
          <w:szCs w:val="21"/>
        </w:rPr>
        <w:t>被保证人</w:t>
      </w:r>
      <w:r>
        <w:rPr>
          <w:szCs w:val="21"/>
        </w:rPr>
        <w:t>”）就受益人的</w:t>
      </w:r>
      <w:r>
        <w:rPr>
          <w:szCs w:val="21"/>
          <w:u w:val="single"/>
        </w:rPr>
        <w:t xml:space="preserve"> </w:t>
      </w:r>
      <w:r>
        <w:rPr>
          <w:i/>
          <w:szCs w:val="21"/>
          <w:u w:val="single"/>
        </w:rPr>
        <w:t xml:space="preserve">  （工程项目名称）     </w:t>
      </w:r>
      <w:r>
        <w:rPr>
          <w:szCs w:val="21"/>
        </w:rPr>
        <w:t>（“本工程”）已于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日签订了</w:t>
      </w:r>
      <w:r>
        <w:rPr>
          <w:szCs w:val="21"/>
          <w:u w:val="single"/>
        </w:rPr>
        <w:t xml:space="preserve">         </w:t>
      </w:r>
      <w:r>
        <w:rPr>
          <w:szCs w:val="21"/>
        </w:rPr>
        <w:t>合同（“合同”）。</w:t>
      </w:r>
    </w:p>
    <w:p>
      <w:pPr>
        <w:snapToGrid w:val="0"/>
        <w:spacing w:line="400" w:lineRule="atLeast"/>
        <w:ind w:firstLine="420"/>
        <w:rPr>
          <w:szCs w:val="21"/>
        </w:rPr>
      </w:pPr>
      <w:r>
        <w:rPr>
          <w:szCs w:val="21"/>
        </w:rPr>
        <w:t>保证人，</w:t>
      </w:r>
      <w:r>
        <w:rPr>
          <w:szCs w:val="21"/>
          <w:u w:val="single"/>
        </w:rPr>
        <w:t xml:space="preserve"> </w:t>
      </w:r>
      <w:r>
        <w:rPr>
          <w:i/>
          <w:szCs w:val="21"/>
          <w:u w:val="single"/>
        </w:rPr>
        <w:t xml:space="preserve">   （保证人名称）    </w:t>
      </w:r>
      <w:r>
        <w:rPr>
          <w:szCs w:val="21"/>
        </w:rPr>
        <w:t>，是一家根据</w:t>
      </w:r>
      <w:r>
        <w:rPr>
          <w:szCs w:val="21"/>
          <w:u w:val="single"/>
        </w:rPr>
        <w:t>中华人民共和国</w:t>
      </w:r>
      <w:r>
        <w:rPr>
          <w:szCs w:val="21"/>
        </w:rPr>
        <w:t>法律成立的注册地位于</w:t>
      </w:r>
      <w:r>
        <w:rPr>
          <w:szCs w:val="21"/>
          <w:u w:val="single"/>
        </w:rPr>
        <w:t xml:space="preserve">     </w:t>
      </w:r>
      <w:r>
        <w:rPr>
          <w:i/>
          <w:szCs w:val="21"/>
          <w:u w:val="single"/>
        </w:rPr>
        <w:t>（保证人地址）</w:t>
      </w:r>
      <w:r>
        <w:rPr>
          <w:szCs w:val="21"/>
          <w:u w:val="single"/>
        </w:rPr>
        <w:t xml:space="preserve">  </w:t>
      </w:r>
      <w:r>
        <w:rPr>
          <w:rFonts w:hint="eastAsia"/>
          <w:szCs w:val="21"/>
        </w:rPr>
        <w:t>银行</w:t>
      </w:r>
      <w:r>
        <w:rPr>
          <w:szCs w:val="21"/>
        </w:rPr>
        <w:t>，保证人受</w:t>
      </w:r>
      <w:r>
        <w:rPr>
          <w:rFonts w:hint="eastAsia"/>
          <w:szCs w:val="21"/>
        </w:rPr>
        <w:t>被保证人</w:t>
      </w:r>
      <w:r>
        <w:rPr>
          <w:szCs w:val="21"/>
        </w:rPr>
        <w:t>的委托，为</w:t>
      </w:r>
      <w:r>
        <w:rPr>
          <w:rFonts w:hint="eastAsia"/>
          <w:szCs w:val="21"/>
        </w:rPr>
        <w:t>被保证人</w:t>
      </w:r>
      <w:r>
        <w:rPr>
          <w:szCs w:val="21"/>
        </w:rPr>
        <w:t>履行上述合同规定的义务</w:t>
      </w:r>
      <w:r>
        <w:rPr>
          <w:rFonts w:hint="eastAsia"/>
          <w:szCs w:val="21"/>
        </w:rPr>
        <w:t>或执行本工程</w:t>
      </w:r>
      <w:r>
        <w:rPr>
          <w:szCs w:val="21"/>
        </w:rPr>
        <w:t>作出如下独立不可撤销</w:t>
      </w:r>
      <w:r>
        <w:rPr>
          <w:rFonts w:hint="eastAsia"/>
          <w:szCs w:val="21"/>
        </w:rPr>
        <w:t>见索</w:t>
      </w:r>
      <w:r>
        <w:rPr>
          <w:szCs w:val="21"/>
        </w:rPr>
        <w:t>即付</w:t>
      </w:r>
      <w:r>
        <w:rPr>
          <w:rFonts w:hint="eastAsia"/>
          <w:szCs w:val="21"/>
        </w:rPr>
        <w:t>的</w:t>
      </w:r>
      <w:r>
        <w:rPr>
          <w:szCs w:val="21"/>
        </w:rPr>
        <w:t>保证：</w:t>
      </w:r>
    </w:p>
    <w:p>
      <w:pPr>
        <w:snapToGrid w:val="0"/>
        <w:spacing w:line="400" w:lineRule="atLeast"/>
        <w:ind w:firstLine="420"/>
        <w:rPr>
          <w:szCs w:val="21"/>
        </w:rPr>
      </w:pPr>
      <w:r>
        <w:rPr>
          <w:spacing w:val="-2"/>
          <w:szCs w:val="21"/>
        </w:rPr>
        <w:t>保证人将在收到受益人提出索赔要求或执行本保函的通知时，无需受益人提出任何证明或证据，将于收到上述通知的五个工作日内，不争辩不挑剔、不可撤销、无条件地向受益人支付不超过人民币</w:t>
      </w:r>
      <w:r>
        <w:rPr>
          <w:spacing w:val="-2"/>
          <w:szCs w:val="21"/>
          <w:u w:val="single"/>
        </w:rPr>
        <w:t xml:space="preserve">     </w:t>
      </w:r>
      <w:r>
        <w:rPr>
          <w:szCs w:val="21"/>
          <w:u w:val="single"/>
        </w:rPr>
        <w:t xml:space="preserve">   </w:t>
      </w:r>
      <w:r>
        <w:rPr>
          <w:szCs w:val="21"/>
        </w:rPr>
        <w:t xml:space="preserve"> 元（大写：</w:t>
      </w:r>
      <w:r>
        <w:rPr>
          <w:szCs w:val="21"/>
          <w:u w:val="single"/>
        </w:rPr>
        <w:t xml:space="preserve">      </w:t>
      </w:r>
      <w:r>
        <w:rPr>
          <w:szCs w:val="21"/>
        </w:rPr>
        <w:t xml:space="preserve"> 元）的担保金额，并放弃向受益人提出异议和追索的权利。</w:t>
      </w:r>
    </w:p>
    <w:p>
      <w:pPr>
        <w:snapToGrid w:val="0"/>
        <w:spacing w:line="400" w:lineRule="atLeast"/>
        <w:ind w:firstLine="420"/>
        <w:rPr>
          <w:szCs w:val="21"/>
        </w:rPr>
      </w:pPr>
      <w:r>
        <w:rPr>
          <w:szCs w:val="21"/>
        </w:rPr>
        <w:t>保证人确认</w:t>
      </w:r>
      <w:r>
        <w:rPr>
          <w:rFonts w:hint="eastAsia"/>
          <w:szCs w:val="21"/>
        </w:rPr>
        <w:t>，</w:t>
      </w:r>
      <w:r>
        <w:rPr>
          <w:szCs w:val="21"/>
        </w:rPr>
        <w:t>保证人已获得充分授权签署本保函并具备履行本保函之所有许可或者资格。保证人在本保函项下的责任是连续的，上述合同的修改、变更、解除、终止无效或失效都不能削弱或影响保证人的责任。</w:t>
      </w:r>
    </w:p>
    <w:p>
      <w:pPr>
        <w:snapToGrid w:val="0"/>
        <w:spacing w:line="400" w:lineRule="atLeast"/>
        <w:ind w:firstLine="420"/>
        <w:rPr>
          <w:spacing w:val="2"/>
          <w:szCs w:val="21"/>
        </w:rPr>
      </w:pPr>
      <w:r>
        <w:rPr>
          <w:rFonts w:hint="eastAsia"/>
          <w:spacing w:val="2"/>
          <w:szCs w:val="21"/>
        </w:rPr>
        <w:t>在不超过本保函的担保金额，受益人可以多次提出索赔或执行本保函。</w:t>
      </w:r>
    </w:p>
    <w:p>
      <w:pPr>
        <w:snapToGrid w:val="0"/>
        <w:spacing w:line="400" w:lineRule="atLeast"/>
        <w:ind w:firstLine="420"/>
        <w:rPr>
          <w:szCs w:val="21"/>
        </w:rPr>
      </w:pPr>
      <w:r>
        <w:rPr>
          <w:spacing w:val="2"/>
          <w:szCs w:val="21"/>
        </w:rPr>
        <w:t>本保函受益人可以转让本保函项下的付款请求权。</w:t>
      </w:r>
    </w:p>
    <w:p>
      <w:pPr>
        <w:snapToGrid w:val="0"/>
        <w:spacing w:line="400" w:lineRule="atLeast"/>
        <w:ind w:firstLine="420"/>
        <w:rPr>
          <w:spacing w:val="2"/>
          <w:szCs w:val="21"/>
        </w:rPr>
      </w:pPr>
      <w:r>
        <w:rPr>
          <w:spacing w:val="2"/>
          <w:szCs w:val="21"/>
        </w:rPr>
        <w:t>本保函任何条款不合法</w:t>
      </w:r>
      <w:r>
        <w:rPr>
          <w:rFonts w:hint="eastAsia"/>
          <w:spacing w:val="2"/>
          <w:szCs w:val="21"/>
        </w:rPr>
        <w:t>或</w:t>
      </w:r>
      <w:r>
        <w:rPr>
          <w:spacing w:val="2"/>
          <w:szCs w:val="21"/>
        </w:rPr>
        <w:t>无效不影响其他条款的效力，保证人仍应</w:t>
      </w:r>
      <w:r>
        <w:rPr>
          <w:rFonts w:hint="eastAsia"/>
          <w:spacing w:val="2"/>
          <w:szCs w:val="21"/>
        </w:rPr>
        <w:t>信守并履行</w:t>
      </w:r>
      <w:r>
        <w:rPr>
          <w:spacing w:val="2"/>
          <w:szCs w:val="21"/>
        </w:rPr>
        <w:t>承诺。</w:t>
      </w:r>
    </w:p>
    <w:p>
      <w:pPr>
        <w:snapToGrid w:val="0"/>
        <w:spacing w:line="400" w:lineRule="atLeast"/>
        <w:ind w:firstLine="420"/>
        <w:rPr>
          <w:szCs w:val="21"/>
        </w:rPr>
      </w:pPr>
      <w:r>
        <w:rPr>
          <w:szCs w:val="21"/>
        </w:rPr>
        <w:t>本保函独立于上述合同。保证人的付款义务不受上述合同法律关系的影响。保证人不得以上述合同规定为由对抗受益人的执行本保函的要求。</w:t>
      </w:r>
    </w:p>
    <w:p>
      <w:pPr>
        <w:snapToGrid w:val="0"/>
        <w:spacing w:line="400" w:lineRule="atLeast"/>
        <w:ind w:firstLine="420"/>
        <w:rPr>
          <w:spacing w:val="2"/>
          <w:szCs w:val="21"/>
        </w:rPr>
      </w:pPr>
      <w:r>
        <w:rPr>
          <w:spacing w:val="2"/>
          <w:szCs w:val="21"/>
        </w:rPr>
        <w:t>本保函适用中华人民共和国法律，同时本保函受国际商会《见索即付保函统一规则2010年修订本》（URDG758）的管辖。如果中华人民共和国法律与URDG758不同规定，优先适用后者的规定。</w:t>
      </w:r>
    </w:p>
    <w:p>
      <w:pPr>
        <w:snapToGrid w:val="0"/>
        <w:spacing w:line="400" w:lineRule="atLeast"/>
        <w:ind w:firstLine="420"/>
        <w:rPr>
          <w:sz w:val="24"/>
        </w:rPr>
      </w:pPr>
      <w:r>
        <w:rPr>
          <w:spacing w:val="2"/>
          <w:szCs w:val="21"/>
        </w:rPr>
        <w:t>本保函自出具之日起生效，至</w:t>
      </w:r>
      <w:r>
        <w:rPr>
          <w:rFonts w:hint="eastAsia"/>
          <w:spacing w:val="2"/>
          <w:szCs w:val="21"/>
        </w:rPr>
        <w:t xml:space="preserve">  年  月  日</w:t>
      </w:r>
      <w:r>
        <w:rPr>
          <w:spacing w:val="2"/>
          <w:szCs w:val="21"/>
        </w:rPr>
        <w:t>失效，除非</w:t>
      </w:r>
      <w:r>
        <w:rPr>
          <w:szCs w:val="21"/>
        </w:rPr>
        <w:t>受益人</w:t>
      </w:r>
      <w:r>
        <w:rPr>
          <w:spacing w:val="2"/>
          <w:szCs w:val="21"/>
        </w:rPr>
        <w:t>提前终止或</w:t>
      </w:r>
      <w:r>
        <w:rPr>
          <w:szCs w:val="21"/>
        </w:rPr>
        <w:t>解除本保函。</w:t>
      </w:r>
      <w:r>
        <w:rPr>
          <w:spacing w:val="2"/>
          <w:szCs w:val="21"/>
        </w:rPr>
        <w:t>本</w:t>
      </w:r>
      <w:r>
        <w:rPr>
          <w:szCs w:val="21"/>
        </w:rPr>
        <w:t>保函</w:t>
      </w:r>
      <w:r>
        <w:rPr>
          <w:rFonts w:hint="eastAsia"/>
          <w:szCs w:val="21"/>
        </w:rPr>
        <w:t>到期后自动</w:t>
      </w:r>
      <w:r>
        <w:rPr>
          <w:szCs w:val="21"/>
        </w:rPr>
        <w:t>失效</w:t>
      </w:r>
      <w:r>
        <w:rPr>
          <w:rFonts w:hint="eastAsia"/>
          <w:szCs w:val="21"/>
        </w:rPr>
        <w:t>或受益人</w:t>
      </w:r>
      <w:r>
        <w:rPr>
          <w:szCs w:val="21"/>
        </w:rPr>
        <w:t>将本保函</w:t>
      </w:r>
      <w:r>
        <w:rPr>
          <w:rFonts w:hint="eastAsia"/>
          <w:szCs w:val="21"/>
        </w:rPr>
        <w:t>原件</w:t>
      </w:r>
      <w:r>
        <w:rPr>
          <w:szCs w:val="21"/>
        </w:rPr>
        <w:t>退回保证人处注销。</w:t>
      </w:r>
    </w:p>
    <w:p>
      <w:pPr>
        <w:spacing w:line="440" w:lineRule="exact"/>
        <w:rPr>
          <w:b/>
          <w:kern w:val="0"/>
          <w:sz w:val="24"/>
        </w:rPr>
      </w:pPr>
      <w:r>
        <w:rPr>
          <w:b/>
          <w:sz w:val="24"/>
        </w:rPr>
        <w:t xml:space="preserve">保  证 </w:t>
      </w:r>
      <w:r>
        <w:rPr>
          <w:b/>
          <w:spacing w:val="7"/>
          <w:kern w:val="0"/>
          <w:sz w:val="24"/>
        </w:rPr>
        <w:t>人</w:t>
      </w:r>
      <w:r>
        <w:rPr>
          <w:b/>
          <w:sz w:val="24"/>
        </w:rPr>
        <w:t>：</w:t>
      </w:r>
      <w:r>
        <w:rPr>
          <w:b/>
          <w:sz w:val="24"/>
          <w:u w:val="single"/>
        </w:rPr>
        <w:t xml:space="preserve">            </w:t>
      </w:r>
      <w:r>
        <w:rPr>
          <w:b/>
          <w:kern w:val="0"/>
          <w:sz w:val="24"/>
          <w:u w:val="single"/>
        </w:rPr>
        <w:t>（全称）（盖章</w:t>
      </w:r>
      <w:r>
        <w:rPr>
          <w:b/>
          <w:sz w:val="24"/>
          <w:u w:val="single"/>
        </w:rPr>
        <w:t xml:space="preserve"> ）               </w:t>
      </w:r>
    </w:p>
    <w:p>
      <w:pPr>
        <w:spacing w:line="440" w:lineRule="exact"/>
        <w:rPr>
          <w:b/>
          <w:kern w:val="0"/>
          <w:sz w:val="24"/>
          <w:u w:val="single"/>
        </w:rPr>
      </w:pPr>
      <w:r>
        <w:rPr>
          <w:b/>
          <w:spacing w:val="23"/>
          <w:kern w:val="0"/>
          <w:sz w:val="24"/>
        </w:rPr>
        <w:t xml:space="preserve">地   </w:t>
      </w:r>
      <w:r>
        <w:rPr>
          <w:b/>
          <w:spacing w:val="1"/>
          <w:kern w:val="0"/>
          <w:sz w:val="24"/>
        </w:rPr>
        <w:t>址</w:t>
      </w:r>
      <w:r>
        <w:rPr>
          <w:b/>
          <w:sz w:val="24"/>
        </w:rPr>
        <w:t>：</w:t>
      </w:r>
      <w:r>
        <w:rPr>
          <w:b/>
          <w:kern w:val="0"/>
          <w:sz w:val="24"/>
          <w:u w:val="single"/>
        </w:rPr>
        <w:t xml:space="preserve">                               </w:t>
      </w:r>
      <w:r>
        <w:rPr>
          <w:b/>
          <w:sz w:val="24"/>
          <w:u w:val="single"/>
        </w:rPr>
        <w:t xml:space="preserve">     </w:t>
      </w:r>
      <w:r>
        <w:rPr>
          <w:b/>
          <w:kern w:val="0"/>
          <w:sz w:val="24"/>
          <w:u w:val="single"/>
        </w:rPr>
        <w:t xml:space="preserve">        </w:t>
      </w:r>
    </w:p>
    <w:p>
      <w:pPr>
        <w:spacing w:line="440" w:lineRule="exact"/>
        <w:rPr>
          <w:b/>
          <w:kern w:val="0"/>
          <w:sz w:val="24"/>
          <w:u w:val="single"/>
        </w:rPr>
      </w:pPr>
      <w:r>
        <w:rPr>
          <w:b/>
          <w:w w:val="91"/>
          <w:kern w:val="0"/>
          <w:sz w:val="24"/>
        </w:rPr>
        <w:t>法定代表</w:t>
      </w:r>
      <w:r>
        <w:rPr>
          <w:b/>
          <w:spacing w:val="6"/>
          <w:w w:val="91"/>
          <w:kern w:val="0"/>
          <w:sz w:val="24"/>
        </w:rPr>
        <w:t>人（或授权代理人）</w:t>
      </w:r>
      <w:r>
        <w:rPr>
          <w:b/>
          <w:sz w:val="24"/>
        </w:rPr>
        <w:t>：</w:t>
      </w:r>
      <w:r>
        <w:rPr>
          <w:b/>
          <w:kern w:val="0"/>
          <w:sz w:val="24"/>
          <w:u w:val="single"/>
        </w:rPr>
        <w:t xml:space="preserve">  （姓名）（职务）  （签字）</w:t>
      </w:r>
    </w:p>
    <w:p>
      <w:pPr>
        <w:spacing w:line="440" w:lineRule="exact"/>
        <w:rPr>
          <w:b/>
          <w:spacing w:val="6"/>
          <w:w w:val="91"/>
          <w:kern w:val="0"/>
          <w:sz w:val="24"/>
        </w:rPr>
      </w:pPr>
      <w:r>
        <w:rPr>
          <w:b/>
          <w:spacing w:val="23"/>
          <w:sz w:val="24"/>
        </w:rPr>
        <w:t xml:space="preserve">日   </w:t>
      </w:r>
      <w:r>
        <w:rPr>
          <w:b/>
          <w:spacing w:val="1"/>
          <w:sz w:val="24"/>
        </w:rPr>
        <w:t>期</w:t>
      </w:r>
      <w:r>
        <w:rPr>
          <w:b/>
          <w:sz w:val="24"/>
        </w:rPr>
        <w:t>：</w:t>
      </w:r>
      <w:r>
        <w:rPr>
          <w:b/>
          <w:sz w:val="24"/>
          <w:u w:val="single"/>
        </w:rPr>
        <w:t xml:space="preserve">     </w:t>
      </w:r>
      <w:r>
        <w:rPr>
          <w:b/>
          <w:sz w:val="24"/>
        </w:rPr>
        <w:t>年</w:t>
      </w:r>
      <w:r>
        <w:rPr>
          <w:b/>
          <w:sz w:val="24"/>
          <w:u w:val="single"/>
        </w:rPr>
        <w:t xml:space="preserve">    </w:t>
      </w:r>
      <w:r>
        <w:rPr>
          <w:b/>
          <w:sz w:val="24"/>
        </w:rPr>
        <w:t>月</w:t>
      </w:r>
      <w:r>
        <w:rPr>
          <w:b/>
          <w:sz w:val="24"/>
          <w:u w:val="single"/>
        </w:rPr>
        <w:t xml:space="preserve">    </w:t>
      </w:r>
      <w:r>
        <w:rPr>
          <w:b/>
          <w:sz w:val="24"/>
        </w:rPr>
        <w:t>日</w:t>
      </w:r>
    </w:p>
    <w:sectPr>
      <w:headerReference r:id="rId3" w:type="default"/>
      <w:footerReference r:id="rId4" w:type="default"/>
      <w:type w:val="continuous"/>
      <w:pgSz w:w="11906" w:h="16838"/>
      <w:pgMar w:top="1418" w:right="1474" w:bottom="1418" w:left="1588" w:header="851" w:footer="567"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ngLiU">
    <w:panose1 w:val="02020509000000000000"/>
    <w:charset w:val="88"/>
    <w:family w:val="modern"/>
    <w:pitch w:val="default"/>
    <w:sig w:usb0="A00002FF" w:usb1="2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Arial Black">
    <w:panose1 w:val="020B0A04020102020204"/>
    <w:charset w:val="00"/>
    <w:family w:val="swiss"/>
    <w:pitch w:val="default"/>
    <w:sig w:usb0="A00002AF" w:usb1="400078FB" w:usb2="00000000" w:usb3="00000000" w:csb0="6000009F" w:csb1="DFD7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447129"/>
    </w:sdtPr>
    <w:sdtContent>
      <w:p>
        <w:pPr>
          <w:pStyle w:val="29"/>
          <w:jc w:val="center"/>
        </w:pPr>
        <w:r>
          <w:fldChar w:fldCharType="begin"/>
        </w:r>
        <w:r>
          <w:instrText xml:space="preserve">PAGE   \* MERGEFORMAT</w:instrText>
        </w:r>
        <w:r>
          <w:fldChar w:fldCharType="separate"/>
        </w:r>
        <w:r>
          <w:rPr>
            <w:lang w:val="zh-CN"/>
          </w:rPr>
          <w:t>82</w:t>
        </w:r>
        <w:r>
          <w:fldChar w:fldCharType="end"/>
        </w:r>
      </w:p>
    </w:sdtContent>
  </w:sdt>
  <w:p>
    <w:pPr>
      <w:pStyle w:val="29"/>
      <w:ind w:firstLine="48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eastAsia"/>
      </w:rPr>
    </w:pPr>
    <w:r>
      <w:rPr>
        <w:rFonts w:hint="eastAsia"/>
      </w:rPr>
      <w:t>广州华星第8.6代氧化物半导体新型显示器件生产线项目（ph2）</w:t>
    </w:r>
  </w:p>
  <w:p>
    <w:pPr>
      <w:pStyle w:val="30"/>
    </w:pPr>
    <w:r>
      <w:rPr>
        <w:rFonts w:hint="eastAsia"/>
      </w:rPr>
      <w:t>洁净机电工程施工总承包</w:t>
    </w:r>
    <w:r>
      <w:rPr>
        <w:sz w:val="16"/>
        <w:szCs w:val="16"/>
      </w:rPr>
      <mc:AlternateContent>
        <mc:Choice Requires="wps">
          <w:drawing>
            <wp:anchor distT="0" distB="0" distL="114300" distR="114300" simplePos="0" relativeHeight="251782144" behindDoc="0" locked="0" layoutInCell="1" allowOverlap="1">
              <wp:simplePos x="0" y="0"/>
              <wp:positionH relativeFrom="column">
                <wp:posOffset>47625</wp:posOffset>
              </wp:positionH>
              <wp:positionV relativeFrom="paragraph">
                <wp:posOffset>-123825</wp:posOffset>
              </wp:positionV>
              <wp:extent cx="1095375" cy="266700"/>
              <wp:effectExtent l="0" t="0" r="9525" b="0"/>
              <wp:wrapNone/>
              <wp:docPr id="240" name="文本框 240"/>
              <wp:cNvGraphicFramePr/>
              <a:graphic xmlns:a="http://schemas.openxmlformats.org/drawingml/2006/main">
                <a:graphicData uri="http://schemas.microsoft.com/office/word/2010/wordprocessingShape">
                  <wps:wsp>
                    <wps:cNvSpPr txBox="1"/>
                    <wps:spPr>
                      <a:xfrm>
                        <a:off x="0" y="0"/>
                        <a:ext cx="10953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保密</w:t>
                          </w:r>
                          <w: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pt;margin-top:-9.75pt;height:21pt;width:86.25pt;z-index:251782144;mso-width-relative:page;mso-height-relative:page;" fillcolor="#FFFFFF [3201]" filled="t" stroked="f" coordsize="21600,21600" o:gfxdata="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RcQ9QAAAAI&#10;AQAADwAAAAAAAAABACAAAAAiAAAAZHJzL2Rvd25yZXYueG1sUEsBAhQAFAAAAAgAh07iQLtlRlZZ&#10;AgAAoQQAAA4AAAAAAAAAAQAgAAAAIwEAAGRycy9lMm9Eb2MueG1sUEsFBgAAAAAGAAYAWQEAAO4F&#10;AAAAAA==&#10;">
              <v:fill on="t" focussize="0,0"/>
              <v:stroke on="f" weight="0.5pt"/>
              <v:imagedata o:title=""/>
              <o:lock v:ext="edit" aspectratio="f"/>
              <v:textbox>
                <w:txbxContent>
                  <w:p>
                    <w:r>
                      <w:rPr>
                        <w:rFonts w:hint="eastAsia"/>
                      </w:rPr>
                      <w:t>保密</w:t>
                    </w:r>
                    <w:r>
                      <w:t>文件</w:t>
                    </w:r>
                  </w:p>
                </w:txbxContent>
              </v:textbox>
            </v:shape>
          </w:pict>
        </mc:Fallback>
      </mc:AlternateContent>
    </w:r>
    <w:r>
      <w:t>合同文件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D3096"/>
    <w:multiLevelType w:val="singleLevel"/>
    <w:tmpl w:val="82DD3096"/>
    <w:lvl w:ilvl="0" w:tentative="0">
      <w:start w:val="22"/>
      <w:numFmt w:val="decimal"/>
      <w:suff w:val="nothing"/>
      <w:lvlText w:val="%1、"/>
      <w:lvlJc w:val="left"/>
    </w:lvl>
  </w:abstractNum>
  <w:abstractNum w:abstractNumId="1">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2">
    <w:nsid w:val="006B30FA"/>
    <w:multiLevelType w:val="multilevel"/>
    <w:tmpl w:val="006B30FA"/>
    <w:lvl w:ilvl="0" w:tentative="0">
      <w:start w:val="1"/>
      <w:numFmt w:val="decimal"/>
      <w:suff w:val="space"/>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1F302C2"/>
    <w:multiLevelType w:val="multilevel"/>
    <w:tmpl w:val="01F302C2"/>
    <w:lvl w:ilvl="0" w:tentative="0">
      <w:start w:val="1"/>
      <w:numFmt w:val="decimal"/>
      <w:suff w:val="space"/>
      <w:lvlText w:val="第%1条"/>
      <w:lvlJc w:val="left"/>
      <w:pPr>
        <w:ind w:left="855" w:hanging="85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E07DCB"/>
    <w:multiLevelType w:val="multilevel"/>
    <w:tmpl w:val="02E07DCB"/>
    <w:lvl w:ilvl="0" w:tentative="0">
      <w:start w:val="1"/>
      <w:numFmt w:val="decimal"/>
      <w:lvlText w:val="2-%1."/>
      <w:lvlJc w:val="left"/>
      <w:pPr>
        <w:ind w:left="676" w:hanging="420"/>
      </w:pPr>
      <w:rPr>
        <w:rFonts w:hint="eastAsia"/>
      </w:rPr>
    </w:lvl>
    <w:lvl w:ilvl="1" w:tentative="0">
      <w:start w:val="1"/>
      <w:numFmt w:val="lowerLetter"/>
      <w:lvlText w:val="%2)"/>
      <w:lvlJc w:val="left"/>
      <w:pPr>
        <w:ind w:left="1096" w:hanging="420"/>
      </w:pPr>
    </w:lvl>
    <w:lvl w:ilvl="2" w:tentative="0">
      <w:start w:val="1"/>
      <w:numFmt w:val="lowerRoman"/>
      <w:lvlText w:val="%3."/>
      <w:lvlJc w:val="right"/>
      <w:pPr>
        <w:ind w:left="1516" w:hanging="420"/>
      </w:pPr>
    </w:lvl>
    <w:lvl w:ilvl="3" w:tentative="0">
      <w:start w:val="1"/>
      <w:numFmt w:val="decimal"/>
      <w:lvlText w:val="%4."/>
      <w:lvlJc w:val="left"/>
      <w:pPr>
        <w:ind w:left="1936" w:hanging="420"/>
      </w:pPr>
    </w:lvl>
    <w:lvl w:ilvl="4" w:tentative="0">
      <w:start w:val="1"/>
      <w:numFmt w:val="lowerLetter"/>
      <w:lvlText w:val="%5)"/>
      <w:lvlJc w:val="left"/>
      <w:pPr>
        <w:ind w:left="2356" w:hanging="420"/>
      </w:pPr>
    </w:lvl>
    <w:lvl w:ilvl="5" w:tentative="0">
      <w:start w:val="1"/>
      <w:numFmt w:val="lowerRoman"/>
      <w:lvlText w:val="%6."/>
      <w:lvlJc w:val="right"/>
      <w:pPr>
        <w:ind w:left="2776" w:hanging="420"/>
      </w:pPr>
    </w:lvl>
    <w:lvl w:ilvl="6" w:tentative="0">
      <w:start w:val="1"/>
      <w:numFmt w:val="decimal"/>
      <w:lvlText w:val="%7."/>
      <w:lvlJc w:val="left"/>
      <w:pPr>
        <w:ind w:left="3196" w:hanging="420"/>
      </w:pPr>
    </w:lvl>
    <w:lvl w:ilvl="7" w:tentative="0">
      <w:start w:val="1"/>
      <w:numFmt w:val="lowerLetter"/>
      <w:lvlText w:val="%8)"/>
      <w:lvlJc w:val="left"/>
      <w:pPr>
        <w:ind w:left="3616" w:hanging="420"/>
      </w:pPr>
    </w:lvl>
    <w:lvl w:ilvl="8" w:tentative="0">
      <w:start w:val="1"/>
      <w:numFmt w:val="lowerRoman"/>
      <w:lvlText w:val="%9."/>
      <w:lvlJc w:val="right"/>
      <w:pPr>
        <w:ind w:left="4036" w:hanging="420"/>
      </w:pPr>
    </w:lvl>
  </w:abstractNum>
  <w:abstractNum w:abstractNumId="5">
    <w:nsid w:val="045E3C7E"/>
    <w:multiLevelType w:val="multilevel"/>
    <w:tmpl w:val="045E3C7E"/>
    <w:lvl w:ilvl="0" w:tentative="0">
      <w:start w:val="1"/>
      <w:numFmt w:val="decimal"/>
      <w:lvlText w:val="1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9A318F"/>
    <w:multiLevelType w:val="multilevel"/>
    <w:tmpl w:val="089A318F"/>
    <w:lvl w:ilvl="0" w:tentative="0">
      <w:start w:val="1"/>
      <w:numFmt w:val="decimal"/>
      <w:suff w:val="space"/>
      <w:lvlText w:val="1-%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8C1731A"/>
    <w:multiLevelType w:val="multilevel"/>
    <w:tmpl w:val="08C1731A"/>
    <w:lvl w:ilvl="0" w:tentative="0">
      <w:start w:val="1"/>
      <w:numFmt w:val="chineseCountingThousand"/>
      <w:suff w:val="space"/>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EA1D2C"/>
    <w:multiLevelType w:val="multilevel"/>
    <w:tmpl w:val="0CEA1D2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50A599A"/>
    <w:multiLevelType w:val="multilevel"/>
    <w:tmpl w:val="150A599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C3F41B6"/>
    <w:multiLevelType w:val="multilevel"/>
    <w:tmpl w:val="1C3F41B6"/>
    <w:lvl w:ilvl="0" w:tentative="0">
      <w:start w:val="1"/>
      <w:numFmt w:val="decimal"/>
      <w:suff w:val="space"/>
      <w:lvlText w:val="2.%1"/>
      <w:lvlJc w:val="left"/>
      <w:pPr>
        <w:ind w:left="420" w:hanging="420"/>
      </w:pPr>
      <w:rPr>
        <w:color w:val="auto"/>
        <w:sz w:val="22"/>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CB50136"/>
    <w:multiLevelType w:val="multilevel"/>
    <w:tmpl w:val="1CB50136"/>
    <w:lvl w:ilvl="0" w:tentative="0">
      <w:start w:val="1"/>
      <w:numFmt w:val="decimal"/>
      <w:lvlText w:val="%1"/>
      <w:lvlJc w:val="left"/>
      <w:pPr>
        <w:ind w:left="425" w:hanging="425"/>
      </w:pPr>
    </w:lvl>
    <w:lvl w:ilvl="1" w:tentative="0">
      <w:start w:val="1"/>
      <w:numFmt w:val="decimal"/>
      <w:pStyle w:val="174"/>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1D020AC4"/>
    <w:multiLevelType w:val="multilevel"/>
    <w:tmpl w:val="1D020AC4"/>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1DEC138C"/>
    <w:multiLevelType w:val="multilevel"/>
    <w:tmpl w:val="1DEC138C"/>
    <w:lvl w:ilvl="0" w:tentative="0">
      <w:start w:val="1"/>
      <w:numFmt w:val="decimal"/>
      <w:lvlText w:val="%1、"/>
      <w:lvlJc w:val="left"/>
      <w:pPr>
        <w:ind w:left="780" w:hanging="360"/>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1F1F2BD2"/>
    <w:multiLevelType w:val="multilevel"/>
    <w:tmpl w:val="1F1F2B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F577288"/>
    <w:multiLevelType w:val="multilevel"/>
    <w:tmpl w:val="1F577288"/>
    <w:lvl w:ilvl="0" w:tentative="0">
      <w:start w:val="1"/>
      <w:numFmt w:val="decimal"/>
      <w:suff w:val="space"/>
      <w:lvlText w:val="4-%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209A74E7"/>
    <w:multiLevelType w:val="multilevel"/>
    <w:tmpl w:val="209A74E7"/>
    <w:lvl w:ilvl="0" w:tentative="0">
      <w:start w:val="1"/>
      <w:numFmt w:val="upperLetter"/>
      <w:pStyle w:val="172"/>
      <w:lvlText w:val="%1."/>
      <w:lvlJc w:val="left"/>
      <w:pPr>
        <w:ind w:left="1414" w:hanging="420"/>
      </w:pPr>
      <w:rPr>
        <w:rFonts w:hint="eastAsia"/>
        <w:lang w:eastAsia="zh-CN"/>
      </w:rPr>
    </w:lvl>
    <w:lvl w:ilvl="1" w:tentative="0">
      <w:start w:val="1"/>
      <w:numFmt w:val="lowerLetter"/>
      <w:lvlText w:val="%2)"/>
      <w:lvlJc w:val="left"/>
      <w:pPr>
        <w:ind w:left="1834" w:hanging="420"/>
      </w:pPr>
    </w:lvl>
    <w:lvl w:ilvl="2" w:tentative="0">
      <w:start w:val="1"/>
      <w:numFmt w:val="lowerRoman"/>
      <w:lvlText w:val="%3."/>
      <w:lvlJc w:val="right"/>
      <w:pPr>
        <w:ind w:left="2254" w:hanging="420"/>
      </w:pPr>
    </w:lvl>
    <w:lvl w:ilvl="3" w:tentative="0">
      <w:start w:val="1"/>
      <w:numFmt w:val="decimal"/>
      <w:lvlText w:val="%4."/>
      <w:lvlJc w:val="left"/>
      <w:pPr>
        <w:ind w:left="2674" w:hanging="420"/>
      </w:pPr>
    </w:lvl>
    <w:lvl w:ilvl="4" w:tentative="0">
      <w:start w:val="1"/>
      <w:numFmt w:val="lowerLetter"/>
      <w:lvlText w:val="%5)"/>
      <w:lvlJc w:val="left"/>
      <w:pPr>
        <w:ind w:left="3094" w:hanging="420"/>
      </w:pPr>
    </w:lvl>
    <w:lvl w:ilvl="5" w:tentative="0">
      <w:start w:val="1"/>
      <w:numFmt w:val="lowerRoman"/>
      <w:lvlText w:val="%6."/>
      <w:lvlJc w:val="right"/>
      <w:pPr>
        <w:ind w:left="3514" w:hanging="420"/>
      </w:pPr>
    </w:lvl>
    <w:lvl w:ilvl="6" w:tentative="0">
      <w:start w:val="1"/>
      <w:numFmt w:val="decimal"/>
      <w:lvlText w:val="%7."/>
      <w:lvlJc w:val="left"/>
      <w:pPr>
        <w:ind w:left="3934" w:hanging="420"/>
      </w:pPr>
    </w:lvl>
    <w:lvl w:ilvl="7" w:tentative="0">
      <w:start w:val="1"/>
      <w:numFmt w:val="lowerLetter"/>
      <w:lvlText w:val="%8)"/>
      <w:lvlJc w:val="left"/>
      <w:pPr>
        <w:ind w:left="4354" w:hanging="420"/>
      </w:pPr>
    </w:lvl>
    <w:lvl w:ilvl="8" w:tentative="0">
      <w:start w:val="1"/>
      <w:numFmt w:val="lowerRoman"/>
      <w:lvlText w:val="%9."/>
      <w:lvlJc w:val="right"/>
      <w:pPr>
        <w:ind w:left="4774" w:hanging="420"/>
      </w:pPr>
    </w:lvl>
  </w:abstractNum>
  <w:abstractNum w:abstractNumId="17">
    <w:nsid w:val="252C4C00"/>
    <w:multiLevelType w:val="multilevel"/>
    <w:tmpl w:val="252C4C00"/>
    <w:lvl w:ilvl="0" w:tentative="0">
      <w:start w:val="1"/>
      <w:numFmt w:val="decimal"/>
      <w:suff w:val="space"/>
      <w:lvlText w:val="6-%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25956FBA"/>
    <w:multiLevelType w:val="multilevel"/>
    <w:tmpl w:val="25956FB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pStyle w:val="176"/>
      <w:lvlText w:val="%1.%2.%3"/>
      <w:lvlJc w:val="left"/>
      <w:pPr>
        <w:ind w:left="1418" w:hanging="567"/>
      </w:pPr>
    </w:lvl>
    <w:lvl w:ilvl="3" w:tentative="0">
      <w:start w:val="1"/>
      <w:numFmt w:val="decimal"/>
      <w:pStyle w:val="177"/>
      <w:lvlText w:val="%1.%2.%3.%4"/>
      <w:lvlJc w:val="left"/>
      <w:pPr>
        <w:ind w:left="1984" w:hanging="708"/>
      </w:pPr>
      <w:rPr>
        <w:b w:val="0"/>
      </w:rPr>
    </w:lvl>
    <w:lvl w:ilvl="4" w:tentative="0">
      <w:start w:val="1"/>
      <w:numFmt w:val="decimal"/>
      <w:lvlText w:val="%1.%2.%3.%4.%5"/>
      <w:lvlJc w:val="left"/>
      <w:pPr>
        <w:ind w:left="2551" w:hanging="850"/>
      </w:pPr>
    </w:lvl>
    <w:lvl w:ilvl="5" w:tentative="0">
      <w:start w:val="1"/>
      <w:numFmt w:val="decimal"/>
      <w:lvlText w:val="%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9">
    <w:nsid w:val="2945786D"/>
    <w:multiLevelType w:val="multilevel"/>
    <w:tmpl w:val="2945786D"/>
    <w:lvl w:ilvl="0" w:tentative="0">
      <w:start w:val="1"/>
      <w:numFmt w:val="decimal"/>
      <w:suff w:val="space"/>
      <w:lvlText w:val="13-%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30FD10AD"/>
    <w:multiLevelType w:val="multilevel"/>
    <w:tmpl w:val="30FD10AD"/>
    <w:lvl w:ilvl="0" w:tentative="0">
      <w:start w:val="1"/>
      <w:numFmt w:val="decimal"/>
      <w:suff w:val="space"/>
      <w:lvlText w:val="3.5.%1"/>
      <w:lvlJc w:val="left"/>
      <w:pPr>
        <w:ind w:left="42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312D422E"/>
    <w:multiLevelType w:val="multilevel"/>
    <w:tmpl w:val="312D422E"/>
    <w:lvl w:ilvl="0" w:tentative="0">
      <w:start w:val="1"/>
      <w:numFmt w:val="decimal"/>
      <w:suff w:val="space"/>
      <w:lvlText w:val="11-%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3A6B6C4A"/>
    <w:multiLevelType w:val="multilevel"/>
    <w:tmpl w:val="3A6B6C4A"/>
    <w:lvl w:ilvl="0" w:tentative="0">
      <w:start w:val="1"/>
      <w:numFmt w:val="decimal"/>
      <w:suff w:val="space"/>
      <w:lvlText w:val="3-%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3B4757B5"/>
    <w:multiLevelType w:val="multilevel"/>
    <w:tmpl w:val="3B4757B5"/>
    <w:lvl w:ilvl="0" w:tentative="0">
      <w:start w:val="1"/>
      <w:numFmt w:val="decimal"/>
      <w:suff w:val="space"/>
      <w:lvlText w:val="12-%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3B4C1962"/>
    <w:multiLevelType w:val="multilevel"/>
    <w:tmpl w:val="3B4C1962"/>
    <w:lvl w:ilvl="0" w:tentative="0">
      <w:start w:val="1"/>
      <w:numFmt w:val="decimal"/>
      <w:lvlText w:val="17-%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5">
    <w:nsid w:val="3FDD47CC"/>
    <w:multiLevelType w:val="multilevel"/>
    <w:tmpl w:val="3FDD47CC"/>
    <w:lvl w:ilvl="0" w:tentative="0">
      <w:start w:val="1"/>
      <w:numFmt w:val="decimal"/>
      <w:pStyle w:val="43"/>
      <w:lvlText w:val="%1"/>
      <w:lvlJc w:val="center"/>
      <w:pPr>
        <w:tabs>
          <w:tab w:val="left" w:pos="360"/>
        </w:tabs>
        <w:ind w:left="0" w:firstLine="0"/>
      </w:pPr>
      <w:rPr>
        <w:rFonts w:hint="default" w:ascii="Times New Roman" w:hAnsi="Times New Roman" w:eastAsia="宋体"/>
        <w:b/>
        <w:i w:val="0"/>
        <w:sz w:val="24"/>
        <w:szCs w:val="44"/>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40274AE3"/>
    <w:multiLevelType w:val="multilevel"/>
    <w:tmpl w:val="40274AE3"/>
    <w:lvl w:ilvl="0" w:tentative="0">
      <w:start w:val="1"/>
      <w:numFmt w:val="decimal"/>
      <w:suff w:val="space"/>
      <w:lvlText w:val="3.%1"/>
      <w:lvlJc w:val="left"/>
      <w:pPr>
        <w:ind w:left="420" w:hanging="420"/>
      </w:pPr>
      <w:rPr>
        <w:color w:val="auto"/>
        <w:sz w:val="22"/>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414D593D"/>
    <w:multiLevelType w:val="multilevel"/>
    <w:tmpl w:val="414D593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45C42C9A"/>
    <w:multiLevelType w:val="multilevel"/>
    <w:tmpl w:val="45C42C9A"/>
    <w:lvl w:ilvl="0" w:tentative="0">
      <w:start w:val="1"/>
      <w:numFmt w:val="decimal"/>
      <w:pStyle w:val="2"/>
      <w:lvlText w:val="%1"/>
      <w:lvlJc w:val="left"/>
      <w:pPr>
        <w:tabs>
          <w:tab w:val="left" w:pos="432"/>
        </w:tabs>
        <w:ind w:left="432" w:hanging="432"/>
      </w:pPr>
      <w:rPr>
        <w:sz w:val="28"/>
      </w:rPr>
    </w:lvl>
    <w:lvl w:ilvl="1" w:tentative="0">
      <w:start w:val="1"/>
      <w:numFmt w:val="decimal"/>
      <w:lvlText w:val="%1.%2"/>
      <w:lvlJc w:val="left"/>
      <w:pPr>
        <w:tabs>
          <w:tab w:val="left" w:pos="1711"/>
        </w:tabs>
        <w:ind w:left="1711" w:hanging="576"/>
      </w:pPr>
      <w:rPr>
        <w:strike w:val="0"/>
      </w:r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9">
    <w:nsid w:val="47A973DD"/>
    <w:multiLevelType w:val="multilevel"/>
    <w:tmpl w:val="47A973DD"/>
    <w:lvl w:ilvl="0" w:tentative="0">
      <w:start w:val="1"/>
      <w:numFmt w:val="decimal"/>
      <w:suff w:val="space"/>
      <w:lvlText w:val="5-%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499C1754"/>
    <w:multiLevelType w:val="multilevel"/>
    <w:tmpl w:val="499C1754"/>
    <w:lvl w:ilvl="0" w:tentative="0">
      <w:start w:val="1"/>
      <w:numFmt w:val="decimal"/>
      <w:lvlText w:val="18-%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1">
    <w:nsid w:val="49E63504"/>
    <w:multiLevelType w:val="multilevel"/>
    <w:tmpl w:val="49E63504"/>
    <w:lvl w:ilvl="0" w:tentative="0">
      <w:start w:val="1"/>
      <w:numFmt w:val="japaneseCounting"/>
      <w:pStyle w:val="13"/>
      <w:lvlText w:val="第%1节"/>
      <w:lvlJc w:val="left"/>
      <w:pPr>
        <w:tabs>
          <w:tab w:val="left" w:pos="851"/>
        </w:tabs>
        <w:ind w:left="851" w:hanging="851"/>
      </w:pPr>
      <w:rPr>
        <w:rFonts w:ascii="宋体" w:hAnsi="宋体" w:eastAsia="宋体" w:cs="Arial"/>
        <w:sz w:val="22"/>
        <w:szCs w:val="22"/>
        <w:lang w:val="en-US"/>
      </w:rPr>
    </w:lvl>
    <w:lvl w:ilvl="1" w:tentative="0">
      <w:start w:val="17"/>
      <w:numFmt w:val="decimal"/>
      <w:lvlText w:val="%2."/>
      <w:lvlJc w:val="left"/>
      <w:pPr>
        <w:tabs>
          <w:tab w:val="left" w:pos="1080"/>
        </w:tabs>
        <w:ind w:left="1080" w:hanging="6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4"/>
      <w:numFmt w:val="upperLetter"/>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4E0272BC"/>
    <w:multiLevelType w:val="multilevel"/>
    <w:tmpl w:val="4E0272BC"/>
    <w:lvl w:ilvl="0" w:tentative="0">
      <w:start w:val="1"/>
      <w:numFmt w:val="decimal"/>
      <w:suff w:val="space"/>
      <w:lvlText w:val="15-%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3">
    <w:nsid w:val="517C52FE"/>
    <w:multiLevelType w:val="multilevel"/>
    <w:tmpl w:val="517C52FE"/>
    <w:lvl w:ilvl="0" w:tentative="0">
      <w:start w:val="1"/>
      <w:numFmt w:val="decimal"/>
      <w:suff w:val="space"/>
      <w:lvlText w:val="7-%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4">
    <w:nsid w:val="52ED0D32"/>
    <w:multiLevelType w:val="multilevel"/>
    <w:tmpl w:val="52ED0D3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4D53E88"/>
    <w:multiLevelType w:val="multilevel"/>
    <w:tmpl w:val="54D53E88"/>
    <w:lvl w:ilvl="0" w:tentative="0">
      <w:start w:val="1"/>
      <w:numFmt w:val="decimal"/>
      <w:suff w:val="space"/>
      <w:lvlText w:val="10-%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6">
    <w:nsid w:val="558E6445"/>
    <w:multiLevelType w:val="multilevel"/>
    <w:tmpl w:val="558E6445"/>
    <w:lvl w:ilvl="0" w:tentative="0">
      <w:start w:val="1"/>
      <w:numFmt w:val="decimal"/>
      <w:lvlText w:val="第%1条"/>
      <w:lvlJc w:val="left"/>
      <w:pPr>
        <w:tabs>
          <w:tab w:val="left" w:pos="855"/>
        </w:tabs>
        <w:ind w:left="855" w:hanging="85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6776597"/>
    <w:multiLevelType w:val="multilevel"/>
    <w:tmpl w:val="56776597"/>
    <w:lvl w:ilvl="0" w:tentative="0">
      <w:start w:val="1"/>
      <w:numFmt w:val="decimal"/>
      <w:suff w:val="space"/>
      <w:lvlText w:val="9-%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8">
    <w:nsid w:val="583B179A"/>
    <w:multiLevelType w:val="multilevel"/>
    <w:tmpl w:val="583B179A"/>
    <w:lvl w:ilvl="0" w:tentative="0">
      <w:start w:val="1"/>
      <w:numFmt w:val="decimal"/>
      <w:suff w:val="space"/>
      <w:lvlText w:val="14-%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9">
    <w:nsid w:val="5C9C1687"/>
    <w:multiLevelType w:val="multilevel"/>
    <w:tmpl w:val="5C9C1687"/>
    <w:lvl w:ilvl="0" w:tentative="0">
      <w:start w:val="1"/>
      <w:numFmt w:val="decimal"/>
      <w:suff w:val="space"/>
      <w:lvlText w:val="3.%1"/>
      <w:lvlJc w:val="left"/>
      <w:pPr>
        <w:ind w:left="987" w:hanging="420"/>
      </w:pPr>
      <w:rPr>
        <w:color w:val="auto"/>
        <w:sz w:val="22"/>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5CBA0A03"/>
    <w:multiLevelType w:val="multilevel"/>
    <w:tmpl w:val="5CBA0A03"/>
    <w:lvl w:ilvl="0" w:tentative="0">
      <w:start w:val="1"/>
      <w:numFmt w:val="decimal"/>
      <w:lvlText w:val="%1、"/>
      <w:lvlJc w:val="left"/>
      <w:pPr>
        <w:ind w:left="780" w:hanging="360"/>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5EBF22BA"/>
    <w:multiLevelType w:val="multilevel"/>
    <w:tmpl w:val="5EBF22BA"/>
    <w:lvl w:ilvl="0" w:tentative="0">
      <w:start w:val="1"/>
      <w:numFmt w:val="decimal"/>
      <w:suff w:val="space"/>
      <w:lvlText w:val="1.%1"/>
      <w:lvlJc w:val="left"/>
      <w:pPr>
        <w:ind w:left="420" w:hanging="420"/>
      </w:pPr>
      <w:rPr>
        <w:color w:val="auto"/>
        <w:sz w:val="22"/>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2">
    <w:nsid w:val="60F02113"/>
    <w:multiLevelType w:val="multilevel"/>
    <w:tmpl w:val="60F02113"/>
    <w:lvl w:ilvl="0" w:tentative="0">
      <w:start w:val="1"/>
      <w:numFmt w:val="decimal"/>
      <w:suff w:val="space"/>
      <w:lvlText w:val="16-%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3">
    <w:nsid w:val="6F55594E"/>
    <w:multiLevelType w:val="multilevel"/>
    <w:tmpl w:val="6F55594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74301D66"/>
    <w:multiLevelType w:val="multilevel"/>
    <w:tmpl w:val="74301D66"/>
    <w:lvl w:ilvl="0" w:tentative="0">
      <w:start w:val="1"/>
      <w:numFmt w:val="decimal"/>
      <w:suff w:val="space"/>
      <w:lvlText w:val="2.%1"/>
      <w:lvlJc w:val="left"/>
      <w:pPr>
        <w:ind w:left="420" w:hanging="420"/>
      </w:pPr>
      <w:rPr>
        <w:color w:val="auto"/>
        <w:sz w:val="22"/>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747A3866"/>
    <w:multiLevelType w:val="multilevel"/>
    <w:tmpl w:val="747A3866"/>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CC737EF"/>
    <w:multiLevelType w:val="multilevel"/>
    <w:tmpl w:val="7CC737EF"/>
    <w:lvl w:ilvl="0" w:tentative="0">
      <w:start w:val="1"/>
      <w:numFmt w:val="decimal"/>
      <w:suff w:val="space"/>
      <w:lvlText w:val="8.%1"/>
      <w:lvlJc w:val="left"/>
      <w:pPr>
        <w:ind w:left="420" w:hanging="420"/>
      </w:pPr>
      <w:rPr>
        <w:color w:val="auto"/>
        <w:sz w:val="22"/>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7">
    <w:nsid w:val="7E16569F"/>
    <w:multiLevelType w:val="multilevel"/>
    <w:tmpl w:val="7E16569F"/>
    <w:lvl w:ilvl="0" w:tentative="0">
      <w:start w:val="1"/>
      <w:numFmt w:val="decimal"/>
      <w:suff w:val="space"/>
      <w:lvlText w:val="8-%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8"/>
  </w:num>
  <w:num w:numId="2">
    <w:abstractNumId w:val="1"/>
  </w:num>
  <w:num w:numId="3">
    <w:abstractNumId w:val="31"/>
  </w:num>
  <w:num w:numId="4">
    <w:abstractNumId w:val="25"/>
  </w:num>
  <w:num w:numId="5">
    <w:abstractNumId w:val="16"/>
  </w:num>
  <w:num w:numId="6">
    <w:abstractNumId w:val="11"/>
  </w:num>
  <w:num w:numId="7">
    <w:abstractNumId w:val="18"/>
  </w:num>
  <w:num w:numId="8">
    <w:abstractNumId w:val="14"/>
  </w:num>
  <w:num w:numId="9">
    <w:abstractNumId w:val="0"/>
  </w:num>
  <w:num w:numId="10">
    <w:abstractNumId w:val="45"/>
  </w:num>
  <w:num w:numId="11">
    <w:abstractNumId w:val="13"/>
  </w:num>
  <w:num w:numId="12">
    <w:abstractNumId w:val="8"/>
  </w:num>
  <w:num w:numId="13">
    <w:abstractNumId w:val="27"/>
  </w:num>
  <w:num w:numId="14">
    <w:abstractNumId w:val="40"/>
  </w:num>
  <w:num w:numId="15">
    <w:abstractNumId w:val="43"/>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6"/>
  </w:num>
  <w:num w:numId="31">
    <w:abstractNumId w:val="4"/>
  </w:num>
  <w:num w:numId="32">
    <w:abstractNumId w:val="22"/>
  </w:num>
  <w:num w:numId="33">
    <w:abstractNumId w:val="15"/>
  </w:num>
  <w:num w:numId="34">
    <w:abstractNumId w:val="29"/>
  </w:num>
  <w:num w:numId="35">
    <w:abstractNumId w:val="17"/>
  </w:num>
  <w:num w:numId="36">
    <w:abstractNumId w:val="33"/>
  </w:num>
  <w:num w:numId="37">
    <w:abstractNumId w:val="47"/>
  </w:num>
  <w:num w:numId="38">
    <w:abstractNumId w:val="37"/>
  </w:num>
  <w:num w:numId="39">
    <w:abstractNumId w:val="35"/>
  </w:num>
  <w:num w:numId="40">
    <w:abstractNumId w:val="21"/>
  </w:num>
  <w:num w:numId="41">
    <w:abstractNumId w:val="23"/>
  </w:num>
  <w:num w:numId="42">
    <w:abstractNumId w:val="19"/>
  </w:num>
  <w:num w:numId="43">
    <w:abstractNumId w:val="38"/>
  </w:num>
  <w:num w:numId="44">
    <w:abstractNumId w:val="32"/>
  </w:num>
  <w:num w:numId="45">
    <w:abstractNumId w:val="42"/>
  </w:num>
  <w:num w:numId="46">
    <w:abstractNumId w:val="24"/>
  </w:num>
  <w:num w:numId="47">
    <w:abstractNumId w:val="30"/>
  </w:num>
  <w:num w:numId="4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土豆炒马铃薯">
    <w15:presenceInfo w15:providerId="WPS Office" w15:userId="137910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WRmYTJkZmJhOThjNmRmNWQwMDRlNWU1MTBlYjcifQ=="/>
  </w:docVars>
  <w:rsids>
    <w:rsidRoot w:val="00172A27"/>
    <w:rsid w:val="00001575"/>
    <w:rsid w:val="00002302"/>
    <w:rsid w:val="00003451"/>
    <w:rsid w:val="00005102"/>
    <w:rsid w:val="00005B92"/>
    <w:rsid w:val="000066AC"/>
    <w:rsid w:val="0000708D"/>
    <w:rsid w:val="00010064"/>
    <w:rsid w:val="0001220C"/>
    <w:rsid w:val="000233A0"/>
    <w:rsid w:val="00026834"/>
    <w:rsid w:val="00030083"/>
    <w:rsid w:val="000303E4"/>
    <w:rsid w:val="00034768"/>
    <w:rsid w:val="0005305B"/>
    <w:rsid w:val="000568CD"/>
    <w:rsid w:val="00056AA9"/>
    <w:rsid w:val="0005740F"/>
    <w:rsid w:val="000576F2"/>
    <w:rsid w:val="000620BE"/>
    <w:rsid w:val="00063192"/>
    <w:rsid w:val="00067485"/>
    <w:rsid w:val="000679B3"/>
    <w:rsid w:val="000704A2"/>
    <w:rsid w:val="00070C24"/>
    <w:rsid w:val="0007203D"/>
    <w:rsid w:val="00073B2C"/>
    <w:rsid w:val="00074C1B"/>
    <w:rsid w:val="000763E7"/>
    <w:rsid w:val="00076A64"/>
    <w:rsid w:val="00076BB9"/>
    <w:rsid w:val="00076DD1"/>
    <w:rsid w:val="000806BE"/>
    <w:rsid w:val="00081C30"/>
    <w:rsid w:val="000833B1"/>
    <w:rsid w:val="000838E7"/>
    <w:rsid w:val="0008596E"/>
    <w:rsid w:val="00087A31"/>
    <w:rsid w:val="00090118"/>
    <w:rsid w:val="00090465"/>
    <w:rsid w:val="00090B8B"/>
    <w:rsid w:val="00091915"/>
    <w:rsid w:val="00093081"/>
    <w:rsid w:val="000936DF"/>
    <w:rsid w:val="000937EF"/>
    <w:rsid w:val="00094907"/>
    <w:rsid w:val="000969ED"/>
    <w:rsid w:val="0009745C"/>
    <w:rsid w:val="00097D9C"/>
    <w:rsid w:val="000A039F"/>
    <w:rsid w:val="000A27BB"/>
    <w:rsid w:val="000A3A81"/>
    <w:rsid w:val="000A73C2"/>
    <w:rsid w:val="000B4015"/>
    <w:rsid w:val="000B795F"/>
    <w:rsid w:val="000C168B"/>
    <w:rsid w:val="000C4290"/>
    <w:rsid w:val="000C49F4"/>
    <w:rsid w:val="000C5663"/>
    <w:rsid w:val="000C5BAB"/>
    <w:rsid w:val="000C7C8C"/>
    <w:rsid w:val="000D1876"/>
    <w:rsid w:val="000D2D78"/>
    <w:rsid w:val="000D716F"/>
    <w:rsid w:val="000E24E7"/>
    <w:rsid w:val="000E4178"/>
    <w:rsid w:val="000E52EB"/>
    <w:rsid w:val="000E54C5"/>
    <w:rsid w:val="000F09F4"/>
    <w:rsid w:val="000F5073"/>
    <w:rsid w:val="000F6465"/>
    <w:rsid w:val="00100F02"/>
    <w:rsid w:val="001013A1"/>
    <w:rsid w:val="00103285"/>
    <w:rsid w:val="00106A59"/>
    <w:rsid w:val="0010711B"/>
    <w:rsid w:val="00112EA7"/>
    <w:rsid w:val="00114A6B"/>
    <w:rsid w:val="001175BD"/>
    <w:rsid w:val="001206CA"/>
    <w:rsid w:val="001224C0"/>
    <w:rsid w:val="00124364"/>
    <w:rsid w:val="00125FA3"/>
    <w:rsid w:val="0013111A"/>
    <w:rsid w:val="00131591"/>
    <w:rsid w:val="00131BDD"/>
    <w:rsid w:val="00136B6F"/>
    <w:rsid w:val="0013734F"/>
    <w:rsid w:val="001375C3"/>
    <w:rsid w:val="001404D1"/>
    <w:rsid w:val="001409B7"/>
    <w:rsid w:val="00140E2C"/>
    <w:rsid w:val="00142051"/>
    <w:rsid w:val="00143291"/>
    <w:rsid w:val="00143ABA"/>
    <w:rsid w:val="00144040"/>
    <w:rsid w:val="00146171"/>
    <w:rsid w:val="00146AB9"/>
    <w:rsid w:val="001538B7"/>
    <w:rsid w:val="001542E5"/>
    <w:rsid w:val="00155FD5"/>
    <w:rsid w:val="00156890"/>
    <w:rsid w:val="00161FF6"/>
    <w:rsid w:val="001633C5"/>
    <w:rsid w:val="00165B57"/>
    <w:rsid w:val="00165EBF"/>
    <w:rsid w:val="00166AB8"/>
    <w:rsid w:val="001673E7"/>
    <w:rsid w:val="00170650"/>
    <w:rsid w:val="00172A27"/>
    <w:rsid w:val="001762EC"/>
    <w:rsid w:val="00176300"/>
    <w:rsid w:val="00176407"/>
    <w:rsid w:val="00177329"/>
    <w:rsid w:val="00181320"/>
    <w:rsid w:val="00182A05"/>
    <w:rsid w:val="001846B7"/>
    <w:rsid w:val="00185426"/>
    <w:rsid w:val="001905B0"/>
    <w:rsid w:val="001911EA"/>
    <w:rsid w:val="00193011"/>
    <w:rsid w:val="00194B8F"/>
    <w:rsid w:val="00197C8E"/>
    <w:rsid w:val="001A012B"/>
    <w:rsid w:val="001A333B"/>
    <w:rsid w:val="001A3CAD"/>
    <w:rsid w:val="001A5E3B"/>
    <w:rsid w:val="001A6076"/>
    <w:rsid w:val="001A621E"/>
    <w:rsid w:val="001B2EAF"/>
    <w:rsid w:val="001B5914"/>
    <w:rsid w:val="001B78A6"/>
    <w:rsid w:val="001C06F4"/>
    <w:rsid w:val="001C293C"/>
    <w:rsid w:val="001C33FA"/>
    <w:rsid w:val="001C589E"/>
    <w:rsid w:val="001C6185"/>
    <w:rsid w:val="001C721B"/>
    <w:rsid w:val="001C77DA"/>
    <w:rsid w:val="001C7F13"/>
    <w:rsid w:val="001D1757"/>
    <w:rsid w:val="001D6A0E"/>
    <w:rsid w:val="001E106D"/>
    <w:rsid w:val="001E14DC"/>
    <w:rsid w:val="001E2655"/>
    <w:rsid w:val="001E54E9"/>
    <w:rsid w:val="001E58FA"/>
    <w:rsid w:val="001E5E1E"/>
    <w:rsid w:val="001E7B44"/>
    <w:rsid w:val="001E7D6B"/>
    <w:rsid w:val="001F0BF6"/>
    <w:rsid w:val="001F17AD"/>
    <w:rsid w:val="001F19A0"/>
    <w:rsid w:val="001F2574"/>
    <w:rsid w:val="001F2CE9"/>
    <w:rsid w:val="001F2FD7"/>
    <w:rsid w:val="001F423B"/>
    <w:rsid w:val="001F5BEB"/>
    <w:rsid w:val="001F6EC5"/>
    <w:rsid w:val="002013CF"/>
    <w:rsid w:val="00201466"/>
    <w:rsid w:val="00202135"/>
    <w:rsid w:val="0020314C"/>
    <w:rsid w:val="0020351C"/>
    <w:rsid w:val="002039EA"/>
    <w:rsid w:val="00205DBB"/>
    <w:rsid w:val="00206912"/>
    <w:rsid w:val="00207648"/>
    <w:rsid w:val="0021017F"/>
    <w:rsid w:val="002126B0"/>
    <w:rsid w:val="002133FE"/>
    <w:rsid w:val="002154C3"/>
    <w:rsid w:val="002210EB"/>
    <w:rsid w:val="00221635"/>
    <w:rsid w:val="002222C1"/>
    <w:rsid w:val="002228F1"/>
    <w:rsid w:val="00222ED1"/>
    <w:rsid w:val="00225ABE"/>
    <w:rsid w:val="00226F85"/>
    <w:rsid w:val="00227FA6"/>
    <w:rsid w:val="00232DF8"/>
    <w:rsid w:val="00233E5A"/>
    <w:rsid w:val="00236632"/>
    <w:rsid w:val="0024526B"/>
    <w:rsid w:val="002468C0"/>
    <w:rsid w:val="0025100A"/>
    <w:rsid w:val="00251204"/>
    <w:rsid w:val="00254524"/>
    <w:rsid w:val="00254CC1"/>
    <w:rsid w:val="002566D0"/>
    <w:rsid w:val="00261B92"/>
    <w:rsid w:val="00262638"/>
    <w:rsid w:val="00266789"/>
    <w:rsid w:val="00272FD9"/>
    <w:rsid w:val="0027431B"/>
    <w:rsid w:val="002753EB"/>
    <w:rsid w:val="00282112"/>
    <w:rsid w:val="00282870"/>
    <w:rsid w:val="00284742"/>
    <w:rsid w:val="00286285"/>
    <w:rsid w:val="00286546"/>
    <w:rsid w:val="00286CD0"/>
    <w:rsid w:val="00286FB1"/>
    <w:rsid w:val="00290607"/>
    <w:rsid w:val="002930F2"/>
    <w:rsid w:val="002933E4"/>
    <w:rsid w:val="002935E0"/>
    <w:rsid w:val="002A01E1"/>
    <w:rsid w:val="002A5CC8"/>
    <w:rsid w:val="002A5E9A"/>
    <w:rsid w:val="002A6A33"/>
    <w:rsid w:val="002A6C98"/>
    <w:rsid w:val="002A7718"/>
    <w:rsid w:val="002B11DB"/>
    <w:rsid w:val="002B13D9"/>
    <w:rsid w:val="002B7381"/>
    <w:rsid w:val="002C05DC"/>
    <w:rsid w:val="002C494D"/>
    <w:rsid w:val="002C5178"/>
    <w:rsid w:val="002D1143"/>
    <w:rsid w:val="002D1319"/>
    <w:rsid w:val="002D1D9E"/>
    <w:rsid w:val="002D3366"/>
    <w:rsid w:val="002D3EF9"/>
    <w:rsid w:val="002D529B"/>
    <w:rsid w:val="002D615C"/>
    <w:rsid w:val="002D6281"/>
    <w:rsid w:val="002E0A5C"/>
    <w:rsid w:val="002E22BD"/>
    <w:rsid w:val="002E2580"/>
    <w:rsid w:val="002E38CF"/>
    <w:rsid w:val="002E5D6B"/>
    <w:rsid w:val="002F122F"/>
    <w:rsid w:val="002F1613"/>
    <w:rsid w:val="002F5E5A"/>
    <w:rsid w:val="002F6792"/>
    <w:rsid w:val="002F6D15"/>
    <w:rsid w:val="00301A1E"/>
    <w:rsid w:val="00302149"/>
    <w:rsid w:val="0031091C"/>
    <w:rsid w:val="003127DC"/>
    <w:rsid w:val="00317C3C"/>
    <w:rsid w:val="003219D4"/>
    <w:rsid w:val="0032317C"/>
    <w:rsid w:val="0032348F"/>
    <w:rsid w:val="0032594E"/>
    <w:rsid w:val="00325DFE"/>
    <w:rsid w:val="00326E3E"/>
    <w:rsid w:val="00332935"/>
    <w:rsid w:val="00332B47"/>
    <w:rsid w:val="00334722"/>
    <w:rsid w:val="00336EA9"/>
    <w:rsid w:val="00341599"/>
    <w:rsid w:val="00343DBC"/>
    <w:rsid w:val="003444BE"/>
    <w:rsid w:val="00344BC0"/>
    <w:rsid w:val="00346520"/>
    <w:rsid w:val="00346898"/>
    <w:rsid w:val="0035226E"/>
    <w:rsid w:val="00354382"/>
    <w:rsid w:val="003555BA"/>
    <w:rsid w:val="00357213"/>
    <w:rsid w:val="00357E35"/>
    <w:rsid w:val="00363B5D"/>
    <w:rsid w:val="0036487A"/>
    <w:rsid w:val="00365119"/>
    <w:rsid w:val="0037332B"/>
    <w:rsid w:val="00373495"/>
    <w:rsid w:val="00373AD0"/>
    <w:rsid w:val="00373FAD"/>
    <w:rsid w:val="003770F4"/>
    <w:rsid w:val="00381303"/>
    <w:rsid w:val="0038427B"/>
    <w:rsid w:val="00392522"/>
    <w:rsid w:val="00393EFF"/>
    <w:rsid w:val="003A0730"/>
    <w:rsid w:val="003A42C1"/>
    <w:rsid w:val="003A4D0C"/>
    <w:rsid w:val="003A548D"/>
    <w:rsid w:val="003A5FDA"/>
    <w:rsid w:val="003A600E"/>
    <w:rsid w:val="003A6670"/>
    <w:rsid w:val="003B11D4"/>
    <w:rsid w:val="003B2112"/>
    <w:rsid w:val="003B24A9"/>
    <w:rsid w:val="003B4BAE"/>
    <w:rsid w:val="003B7986"/>
    <w:rsid w:val="003C06D8"/>
    <w:rsid w:val="003C1DA6"/>
    <w:rsid w:val="003C3E0F"/>
    <w:rsid w:val="003C637E"/>
    <w:rsid w:val="003C6482"/>
    <w:rsid w:val="003C6D36"/>
    <w:rsid w:val="003D23E2"/>
    <w:rsid w:val="003D5457"/>
    <w:rsid w:val="003D76D6"/>
    <w:rsid w:val="003E0B0C"/>
    <w:rsid w:val="003E1E05"/>
    <w:rsid w:val="003E4C78"/>
    <w:rsid w:val="003E5E00"/>
    <w:rsid w:val="003E5F9C"/>
    <w:rsid w:val="003F1A85"/>
    <w:rsid w:val="003F1FAC"/>
    <w:rsid w:val="003F3B99"/>
    <w:rsid w:val="003F4A27"/>
    <w:rsid w:val="003F6B09"/>
    <w:rsid w:val="003F6FCE"/>
    <w:rsid w:val="004011B7"/>
    <w:rsid w:val="00402CB5"/>
    <w:rsid w:val="00402F7D"/>
    <w:rsid w:val="00403CDB"/>
    <w:rsid w:val="00403F8D"/>
    <w:rsid w:val="00404A59"/>
    <w:rsid w:val="004136C2"/>
    <w:rsid w:val="0041505D"/>
    <w:rsid w:val="00415454"/>
    <w:rsid w:val="00415743"/>
    <w:rsid w:val="0041583A"/>
    <w:rsid w:val="0041727F"/>
    <w:rsid w:val="004201D3"/>
    <w:rsid w:val="00422A6A"/>
    <w:rsid w:val="00422BFB"/>
    <w:rsid w:val="00422DA1"/>
    <w:rsid w:val="004259CD"/>
    <w:rsid w:val="00432153"/>
    <w:rsid w:val="00432FAC"/>
    <w:rsid w:val="00436F39"/>
    <w:rsid w:val="00437702"/>
    <w:rsid w:val="00441040"/>
    <w:rsid w:val="00441533"/>
    <w:rsid w:val="0044481D"/>
    <w:rsid w:val="00444EB0"/>
    <w:rsid w:val="00445C82"/>
    <w:rsid w:val="004470D6"/>
    <w:rsid w:val="00447105"/>
    <w:rsid w:val="00447588"/>
    <w:rsid w:val="0044759A"/>
    <w:rsid w:val="004478C3"/>
    <w:rsid w:val="004505D2"/>
    <w:rsid w:val="00451389"/>
    <w:rsid w:val="00456237"/>
    <w:rsid w:val="00456D65"/>
    <w:rsid w:val="004607F6"/>
    <w:rsid w:val="004643E8"/>
    <w:rsid w:val="00473021"/>
    <w:rsid w:val="004741CB"/>
    <w:rsid w:val="00476DE0"/>
    <w:rsid w:val="00477F98"/>
    <w:rsid w:val="004826CD"/>
    <w:rsid w:val="0048287C"/>
    <w:rsid w:val="0048296A"/>
    <w:rsid w:val="00484185"/>
    <w:rsid w:val="0048534D"/>
    <w:rsid w:val="00486778"/>
    <w:rsid w:val="00487A0E"/>
    <w:rsid w:val="00493D42"/>
    <w:rsid w:val="0049513A"/>
    <w:rsid w:val="004A06DC"/>
    <w:rsid w:val="004A154E"/>
    <w:rsid w:val="004A15C0"/>
    <w:rsid w:val="004A1E2D"/>
    <w:rsid w:val="004A494F"/>
    <w:rsid w:val="004A64BB"/>
    <w:rsid w:val="004A70E1"/>
    <w:rsid w:val="004B0106"/>
    <w:rsid w:val="004B1B3D"/>
    <w:rsid w:val="004B2050"/>
    <w:rsid w:val="004B221C"/>
    <w:rsid w:val="004B32C7"/>
    <w:rsid w:val="004B3753"/>
    <w:rsid w:val="004B3933"/>
    <w:rsid w:val="004B3A42"/>
    <w:rsid w:val="004B3FBF"/>
    <w:rsid w:val="004B44D5"/>
    <w:rsid w:val="004B6A71"/>
    <w:rsid w:val="004B79AC"/>
    <w:rsid w:val="004C0699"/>
    <w:rsid w:val="004C4703"/>
    <w:rsid w:val="004D6B93"/>
    <w:rsid w:val="004E34BB"/>
    <w:rsid w:val="004E6730"/>
    <w:rsid w:val="004F1835"/>
    <w:rsid w:val="004F1987"/>
    <w:rsid w:val="004F1B10"/>
    <w:rsid w:val="004F211B"/>
    <w:rsid w:val="004F3C63"/>
    <w:rsid w:val="004F6431"/>
    <w:rsid w:val="004F7F8E"/>
    <w:rsid w:val="00501860"/>
    <w:rsid w:val="00501A8F"/>
    <w:rsid w:val="00501DD6"/>
    <w:rsid w:val="00504290"/>
    <w:rsid w:val="005075B1"/>
    <w:rsid w:val="00512750"/>
    <w:rsid w:val="005131B3"/>
    <w:rsid w:val="00514E43"/>
    <w:rsid w:val="00517CFF"/>
    <w:rsid w:val="0052377F"/>
    <w:rsid w:val="00524087"/>
    <w:rsid w:val="005242ED"/>
    <w:rsid w:val="00524B5D"/>
    <w:rsid w:val="00524BEB"/>
    <w:rsid w:val="00525535"/>
    <w:rsid w:val="00526F63"/>
    <w:rsid w:val="00527BC4"/>
    <w:rsid w:val="00533E8C"/>
    <w:rsid w:val="00533FF4"/>
    <w:rsid w:val="00537205"/>
    <w:rsid w:val="00540B61"/>
    <w:rsid w:val="00541218"/>
    <w:rsid w:val="0054272C"/>
    <w:rsid w:val="005446CD"/>
    <w:rsid w:val="00545FDB"/>
    <w:rsid w:val="00546DE3"/>
    <w:rsid w:val="0054744B"/>
    <w:rsid w:val="00553359"/>
    <w:rsid w:val="005550EA"/>
    <w:rsid w:val="00555F7C"/>
    <w:rsid w:val="005563E8"/>
    <w:rsid w:val="00560191"/>
    <w:rsid w:val="00563052"/>
    <w:rsid w:val="0056353D"/>
    <w:rsid w:val="00563B52"/>
    <w:rsid w:val="0056458A"/>
    <w:rsid w:val="0056726D"/>
    <w:rsid w:val="00573600"/>
    <w:rsid w:val="0057368C"/>
    <w:rsid w:val="005756D9"/>
    <w:rsid w:val="00577606"/>
    <w:rsid w:val="00580403"/>
    <w:rsid w:val="0058400E"/>
    <w:rsid w:val="0058571F"/>
    <w:rsid w:val="005862EE"/>
    <w:rsid w:val="005908F6"/>
    <w:rsid w:val="00594A95"/>
    <w:rsid w:val="00595F0F"/>
    <w:rsid w:val="005A04BF"/>
    <w:rsid w:val="005A1D3F"/>
    <w:rsid w:val="005A230E"/>
    <w:rsid w:val="005A39CC"/>
    <w:rsid w:val="005A608F"/>
    <w:rsid w:val="005A6608"/>
    <w:rsid w:val="005B09B7"/>
    <w:rsid w:val="005B3A81"/>
    <w:rsid w:val="005B43EA"/>
    <w:rsid w:val="005C02D8"/>
    <w:rsid w:val="005C0AA1"/>
    <w:rsid w:val="005C60DC"/>
    <w:rsid w:val="005C7DCB"/>
    <w:rsid w:val="005D0130"/>
    <w:rsid w:val="005D2342"/>
    <w:rsid w:val="005D6EC5"/>
    <w:rsid w:val="005D7350"/>
    <w:rsid w:val="005D76AD"/>
    <w:rsid w:val="005E1689"/>
    <w:rsid w:val="005E2D44"/>
    <w:rsid w:val="005E5C3B"/>
    <w:rsid w:val="005E6A50"/>
    <w:rsid w:val="005E704F"/>
    <w:rsid w:val="005E7455"/>
    <w:rsid w:val="005F1DE6"/>
    <w:rsid w:val="005F48E4"/>
    <w:rsid w:val="005F5663"/>
    <w:rsid w:val="005F67F5"/>
    <w:rsid w:val="0060105C"/>
    <w:rsid w:val="00606A85"/>
    <w:rsid w:val="00606BC7"/>
    <w:rsid w:val="006076CB"/>
    <w:rsid w:val="00610DAE"/>
    <w:rsid w:val="006154E2"/>
    <w:rsid w:val="006155A3"/>
    <w:rsid w:val="00617552"/>
    <w:rsid w:val="0062162F"/>
    <w:rsid w:val="00622A35"/>
    <w:rsid w:val="006300B2"/>
    <w:rsid w:val="00632CEF"/>
    <w:rsid w:val="00633342"/>
    <w:rsid w:val="00636691"/>
    <w:rsid w:val="00636B36"/>
    <w:rsid w:val="006378D4"/>
    <w:rsid w:val="00640827"/>
    <w:rsid w:val="00643878"/>
    <w:rsid w:val="00644B03"/>
    <w:rsid w:val="00647361"/>
    <w:rsid w:val="00650D5C"/>
    <w:rsid w:val="00650D8C"/>
    <w:rsid w:val="00654E3C"/>
    <w:rsid w:val="006568F9"/>
    <w:rsid w:val="00657539"/>
    <w:rsid w:val="00657660"/>
    <w:rsid w:val="006611D5"/>
    <w:rsid w:val="006626E9"/>
    <w:rsid w:val="00662722"/>
    <w:rsid w:val="00663ACE"/>
    <w:rsid w:val="006646AA"/>
    <w:rsid w:val="00667A42"/>
    <w:rsid w:val="00671FC8"/>
    <w:rsid w:val="00674337"/>
    <w:rsid w:val="00674C5E"/>
    <w:rsid w:val="006752AE"/>
    <w:rsid w:val="00675977"/>
    <w:rsid w:val="00675EC8"/>
    <w:rsid w:val="00680166"/>
    <w:rsid w:val="00680338"/>
    <w:rsid w:val="00682E8F"/>
    <w:rsid w:val="00683566"/>
    <w:rsid w:val="00684759"/>
    <w:rsid w:val="00685F43"/>
    <w:rsid w:val="00695ABB"/>
    <w:rsid w:val="00696132"/>
    <w:rsid w:val="00697777"/>
    <w:rsid w:val="006A1359"/>
    <w:rsid w:val="006A31E7"/>
    <w:rsid w:val="006A45E6"/>
    <w:rsid w:val="006A764E"/>
    <w:rsid w:val="006B1E1C"/>
    <w:rsid w:val="006B2403"/>
    <w:rsid w:val="006B30E9"/>
    <w:rsid w:val="006B3A30"/>
    <w:rsid w:val="006B41A0"/>
    <w:rsid w:val="006B474A"/>
    <w:rsid w:val="006B4C98"/>
    <w:rsid w:val="006B7694"/>
    <w:rsid w:val="006C049F"/>
    <w:rsid w:val="006C20B6"/>
    <w:rsid w:val="006C2947"/>
    <w:rsid w:val="006C4F8E"/>
    <w:rsid w:val="006C7034"/>
    <w:rsid w:val="006D5E5F"/>
    <w:rsid w:val="006D728B"/>
    <w:rsid w:val="006E11B0"/>
    <w:rsid w:val="006E3168"/>
    <w:rsid w:val="006E6BAB"/>
    <w:rsid w:val="006F1EA3"/>
    <w:rsid w:val="006F22A2"/>
    <w:rsid w:val="006F3C43"/>
    <w:rsid w:val="006F4B7F"/>
    <w:rsid w:val="006F6EFB"/>
    <w:rsid w:val="006F6F01"/>
    <w:rsid w:val="00701151"/>
    <w:rsid w:val="00701ECD"/>
    <w:rsid w:val="0070362A"/>
    <w:rsid w:val="007042AA"/>
    <w:rsid w:val="00704D1A"/>
    <w:rsid w:val="00707317"/>
    <w:rsid w:val="00707A03"/>
    <w:rsid w:val="00710A9B"/>
    <w:rsid w:val="00711E3D"/>
    <w:rsid w:val="00711F17"/>
    <w:rsid w:val="00712EB9"/>
    <w:rsid w:val="007148D8"/>
    <w:rsid w:val="00714D32"/>
    <w:rsid w:val="0071724C"/>
    <w:rsid w:val="00717846"/>
    <w:rsid w:val="0072335B"/>
    <w:rsid w:val="007262FC"/>
    <w:rsid w:val="0072783D"/>
    <w:rsid w:val="00730D66"/>
    <w:rsid w:val="00743051"/>
    <w:rsid w:val="00745FC3"/>
    <w:rsid w:val="00746B4E"/>
    <w:rsid w:val="0074738D"/>
    <w:rsid w:val="00750BE9"/>
    <w:rsid w:val="00750E21"/>
    <w:rsid w:val="00756E85"/>
    <w:rsid w:val="00757BC5"/>
    <w:rsid w:val="0076485F"/>
    <w:rsid w:val="00765531"/>
    <w:rsid w:val="00765F25"/>
    <w:rsid w:val="00767819"/>
    <w:rsid w:val="00767D58"/>
    <w:rsid w:val="0077063F"/>
    <w:rsid w:val="00772CEA"/>
    <w:rsid w:val="00772EED"/>
    <w:rsid w:val="007775AE"/>
    <w:rsid w:val="007779F1"/>
    <w:rsid w:val="00785205"/>
    <w:rsid w:val="00785457"/>
    <w:rsid w:val="00795C5E"/>
    <w:rsid w:val="007978F3"/>
    <w:rsid w:val="007A2AE9"/>
    <w:rsid w:val="007A46B1"/>
    <w:rsid w:val="007A690D"/>
    <w:rsid w:val="007B0C8C"/>
    <w:rsid w:val="007B0E4D"/>
    <w:rsid w:val="007B2EF7"/>
    <w:rsid w:val="007B579C"/>
    <w:rsid w:val="007B5998"/>
    <w:rsid w:val="007B703C"/>
    <w:rsid w:val="007B7352"/>
    <w:rsid w:val="007B7468"/>
    <w:rsid w:val="007C1C32"/>
    <w:rsid w:val="007C24CE"/>
    <w:rsid w:val="007C35B8"/>
    <w:rsid w:val="007C721A"/>
    <w:rsid w:val="007D29A3"/>
    <w:rsid w:val="007D30D3"/>
    <w:rsid w:val="007D408B"/>
    <w:rsid w:val="007D598D"/>
    <w:rsid w:val="007E0102"/>
    <w:rsid w:val="007E01F0"/>
    <w:rsid w:val="007E0991"/>
    <w:rsid w:val="007E0FAB"/>
    <w:rsid w:val="007E4D48"/>
    <w:rsid w:val="007E5D56"/>
    <w:rsid w:val="007F061E"/>
    <w:rsid w:val="007F62B4"/>
    <w:rsid w:val="007F6D16"/>
    <w:rsid w:val="007F7832"/>
    <w:rsid w:val="00800F6E"/>
    <w:rsid w:val="0081117B"/>
    <w:rsid w:val="00811FEF"/>
    <w:rsid w:val="008146DF"/>
    <w:rsid w:val="00821F68"/>
    <w:rsid w:val="00822338"/>
    <w:rsid w:val="00827165"/>
    <w:rsid w:val="008323C4"/>
    <w:rsid w:val="00832404"/>
    <w:rsid w:val="00836625"/>
    <w:rsid w:val="00836C73"/>
    <w:rsid w:val="00836D65"/>
    <w:rsid w:val="008373C8"/>
    <w:rsid w:val="00840888"/>
    <w:rsid w:val="00841C6F"/>
    <w:rsid w:val="0084241D"/>
    <w:rsid w:val="00842C08"/>
    <w:rsid w:val="008436E2"/>
    <w:rsid w:val="00852460"/>
    <w:rsid w:val="00853202"/>
    <w:rsid w:val="00855EA2"/>
    <w:rsid w:val="0086044C"/>
    <w:rsid w:val="00861BC0"/>
    <w:rsid w:val="008634E8"/>
    <w:rsid w:val="00863F5E"/>
    <w:rsid w:val="008648DE"/>
    <w:rsid w:val="008658A2"/>
    <w:rsid w:val="00867AE8"/>
    <w:rsid w:val="008713BF"/>
    <w:rsid w:val="008722B1"/>
    <w:rsid w:val="00875B3A"/>
    <w:rsid w:val="00876E2A"/>
    <w:rsid w:val="0088034E"/>
    <w:rsid w:val="00885C86"/>
    <w:rsid w:val="00890CEB"/>
    <w:rsid w:val="0089566B"/>
    <w:rsid w:val="00896FBE"/>
    <w:rsid w:val="008A300D"/>
    <w:rsid w:val="008A73FB"/>
    <w:rsid w:val="008A74DD"/>
    <w:rsid w:val="008A799B"/>
    <w:rsid w:val="008B17F0"/>
    <w:rsid w:val="008B1E21"/>
    <w:rsid w:val="008B25EB"/>
    <w:rsid w:val="008B518B"/>
    <w:rsid w:val="008B5B73"/>
    <w:rsid w:val="008B5F25"/>
    <w:rsid w:val="008C012A"/>
    <w:rsid w:val="008C1FCD"/>
    <w:rsid w:val="008C26C3"/>
    <w:rsid w:val="008C2E6C"/>
    <w:rsid w:val="008C3351"/>
    <w:rsid w:val="008C4422"/>
    <w:rsid w:val="008C455D"/>
    <w:rsid w:val="008C5044"/>
    <w:rsid w:val="008C5F92"/>
    <w:rsid w:val="008D1178"/>
    <w:rsid w:val="008D1AFE"/>
    <w:rsid w:val="008D2740"/>
    <w:rsid w:val="008D50DF"/>
    <w:rsid w:val="008D5AD0"/>
    <w:rsid w:val="008D6473"/>
    <w:rsid w:val="008D6CB9"/>
    <w:rsid w:val="008D706B"/>
    <w:rsid w:val="008E138E"/>
    <w:rsid w:val="008E1940"/>
    <w:rsid w:val="008E6E54"/>
    <w:rsid w:val="008E7D63"/>
    <w:rsid w:val="008F0E81"/>
    <w:rsid w:val="008F2FAF"/>
    <w:rsid w:val="008F39E9"/>
    <w:rsid w:val="008F4EBA"/>
    <w:rsid w:val="008F6361"/>
    <w:rsid w:val="008F6DC8"/>
    <w:rsid w:val="008F7469"/>
    <w:rsid w:val="008F7F39"/>
    <w:rsid w:val="00901CE5"/>
    <w:rsid w:val="00902E0A"/>
    <w:rsid w:val="009040D3"/>
    <w:rsid w:val="00911230"/>
    <w:rsid w:val="00913FB4"/>
    <w:rsid w:val="00923394"/>
    <w:rsid w:val="009242C7"/>
    <w:rsid w:val="009270A5"/>
    <w:rsid w:val="0093059F"/>
    <w:rsid w:val="00931788"/>
    <w:rsid w:val="00936233"/>
    <w:rsid w:val="00937CD7"/>
    <w:rsid w:val="0094171C"/>
    <w:rsid w:val="0095018E"/>
    <w:rsid w:val="009517F5"/>
    <w:rsid w:val="0095494F"/>
    <w:rsid w:val="00962609"/>
    <w:rsid w:val="009641E5"/>
    <w:rsid w:val="00965BF1"/>
    <w:rsid w:val="00965EF5"/>
    <w:rsid w:val="00967A6F"/>
    <w:rsid w:val="00967D15"/>
    <w:rsid w:val="00973D1C"/>
    <w:rsid w:val="00981F20"/>
    <w:rsid w:val="00982222"/>
    <w:rsid w:val="00982B8A"/>
    <w:rsid w:val="00983215"/>
    <w:rsid w:val="00983F84"/>
    <w:rsid w:val="009840EB"/>
    <w:rsid w:val="00987337"/>
    <w:rsid w:val="0099503D"/>
    <w:rsid w:val="00996F07"/>
    <w:rsid w:val="0099764F"/>
    <w:rsid w:val="009A118D"/>
    <w:rsid w:val="009A308C"/>
    <w:rsid w:val="009A4315"/>
    <w:rsid w:val="009A577A"/>
    <w:rsid w:val="009A7B9B"/>
    <w:rsid w:val="009B28A8"/>
    <w:rsid w:val="009B2D36"/>
    <w:rsid w:val="009B7A8B"/>
    <w:rsid w:val="009C0DCF"/>
    <w:rsid w:val="009C2507"/>
    <w:rsid w:val="009C2F39"/>
    <w:rsid w:val="009C62F1"/>
    <w:rsid w:val="009C6709"/>
    <w:rsid w:val="009D1279"/>
    <w:rsid w:val="009D1985"/>
    <w:rsid w:val="009D2A9F"/>
    <w:rsid w:val="009D3584"/>
    <w:rsid w:val="009D51D3"/>
    <w:rsid w:val="009D5536"/>
    <w:rsid w:val="009D58B2"/>
    <w:rsid w:val="009E21F0"/>
    <w:rsid w:val="009E34A0"/>
    <w:rsid w:val="009E3EFA"/>
    <w:rsid w:val="009F4A67"/>
    <w:rsid w:val="009F6A07"/>
    <w:rsid w:val="00A000B2"/>
    <w:rsid w:val="00A0478F"/>
    <w:rsid w:val="00A06B51"/>
    <w:rsid w:val="00A10CBE"/>
    <w:rsid w:val="00A12060"/>
    <w:rsid w:val="00A137F5"/>
    <w:rsid w:val="00A13B7B"/>
    <w:rsid w:val="00A17E08"/>
    <w:rsid w:val="00A209B8"/>
    <w:rsid w:val="00A20A93"/>
    <w:rsid w:val="00A226BB"/>
    <w:rsid w:val="00A22CB8"/>
    <w:rsid w:val="00A2508E"/>
    <w:rsid w:val="00A25660"/>
    <w:rsid w:val="00A272D6"/>
    <w:rsid w:val="00A3093D"/>
    <w:rsid w:val="00A31F25"/>
    <w:rsid w:val="00A32CDC"/>
    <w:rsid w:val="00A332BC"/>
    <w:rsid w:val="00A34A31"/>
    <w:rsid w:val="00A355CC"/>
    <w:rsid w:val="00A36513"/>
    <w:rsid w:val="00A440D2"/>
    <w:rsid w:val="00A61125"/>
    <w:rsid w:val="00A6325C"/>
    <w:rsid w:val="00A663C8"/>
    <w:rsid w:val="00A66A28"/>
    <w:rsid w:val="00A67E3D"/>
    <w:rsid w:val="00A70014"/>
    <w:rsid w:val="00A71446"/>
    <w:rsid w:val="00A7309F"/>
    <w:rsid w:val="00A7758C"/>
    <w:rsid w:val="00A80FA4"/>
    <w:rsid w:val="00A82CED"/>
    <w:rsid w:val="00A849AF"/>
    <w:rsid w:val="00A86148"/>
    <w:rsid w:val="00A87B9D"/>
    <w:rsid w:val="00A91D88"/>
    <w:rsid w:val="00A94E6B"/>
    <w:rsid w:val="00A96AF5"/>
    <w:rsid w:val="00AA7011"/>
    <w:rsid w:val="00AA746D"/>
    <w:rsid w:val="00AA779F"/>
    <w:rsid w:val="00AA7DD5"/>
    <w:rsid w:val="00AB12B5"/>
    <w:rsid w:val="00AB1F00"/>
    <w:rsid w:val="00AB4EB6"/>
    <w:rsid w:val="00AB799A"/>
    <w:rsid w:val="00AD0624"/>
    <w:rsid w:val="00AD124D"/>
    <w:rsid w:val="00AD2F58"/>
    <w:rsid w:val="00AD6C78"/>
    <w:rsid w:val="00AE420A"/>
    <w:rsid w:val="00AE6263"/>
    <w:rsid w:val="00AE6545"/>
    <w:rsid w:val="00AE6576"/>
    <w:rsid w:val="00AF1277"/>
    <w:rsid w:val="00AF18D8"/>
    <w:rsid w:val="00AF252A"/>
    <w:rsid w:val="00AF2F76"/>
    <w:rsid w:val="00AF4EB9"/>
    <w:rsid w:val="00AF7E2F"/>
    <w:rsid w:val="00B00659"/>
    <w:rsid w:val="00B029B1"/>
    <w:rsid w:val="00B045B1"/>
    <w:rsid w:val="00B06083"/>
    <w:rsid w:val="00B10B9C"/>
    <w:rsid w:val="00B12EE4"/>
    <w:rsid w:val="00B131B0"/>
    <w:rsid w:val="00B13309"/>
    <w:rsid w:val="00B162F4"/>
    <w:rsid w:val="00B20A02"/>
    <w:rsid w:val="00B212A2"/>
    <w:rsid w:val="00B21967"/>
    <w:rsid w:val="00B23BFE"/>
    <w:rsid w:val="00B27C00"/>
    <w:rsid w:val="00B30473"/>
    <w:rsid w:val="00B310B7"/>
    <w:rsid w:val="00B34144"/>
    <w:rsid w:val="00B34318"/>
    <w:rsid w:val="00B355D7"/>
    <w:rsid w:val="00B37ADB"/>
    <w:rsid w:val="00B41E09"/>
    <w:rsid w:val="00B420F7"/>
    <w:rsid w:val="00B4312D"/>
    <w:rsid w:val="00B431C9"/>
    <w:rsid w:val="00B43C73"/>
    <w:rsid w:val="00B443CC"/>
    <w:rsid w:val="00B44FE5"/>
    <w:rsid w:val="00B46984"/>
    <w:rsid w:val="00B47867"/>
    <w:rsid w:val="00B5444D"/>
    <w:rsid w:val="00B56728"/>
    <w:rsid w:val="00B60135"/>
    <w:rsid w:val="00B64A9B"/>
    <w:rsid w:val="00B65E3D"/>
    <w:rsid w:val="00B7045B"/>
    <w:rsid w:val="00B711F2"/>
    <w:rsid w:val="00B71E91"/>
    <w:rsid w:val="00B7397B"/>
    <w:rsid w:val="00B73D51"/>
    <w:rsid w:val="00B76BFB"/>
    <w:rsid w:val="00B800CA"/>
    <w:rsid w:val="00B80AB1"/>
    <w:rsid w:val="00B80B38"/>
    <w:rsid w:val="00B82CFE"/>
    <w:rsid w:val="00B84681"/>
    <w:rsid w:val="00B859FB"/>
    <w:rsid w:val="00B879C7"/>
    <w:rsid w:val="00B91E1E"/>
    <w:rsid w:val="00B93A48"/>
    <w:rsid w:val="00B94EAF"/>
    <w:rsid w:val="00BA0FCC"/>
    <w:rsid w:val="00BA1359"/>
    <w:rsid w:val="00BA3308"/>
    <w:rsid w:val="00BA5DBE"/>
    <w:rsid w:val="00BA7629"/>
    <w:rsid w:val="00BA7F7D"/>
    <w:rsid w:val="00BB0BF6"/>
    <w:rsid w:val="00BB13D5"/>
    <w:rsid w:val="00BB49CC"/>
    <w:rsid w:val="00BB4FA8"/>
    <w:rsid w:val="00BC0150"/>
    <w:rsid w:val="00BC056F"/>
    <w:rsid w:val="00BC3E29"/>
    <w:rsid w:val="00BC4541"/>
    <w:rsid w:val="00BD2930"/>
    <w:rsid w:val="00BD4D03"/>
    <w:rsid w:val="00BE1F33"/>
    <w:rsid w:val="00BE2046"/>
    <w:rsid w:val="00BE32AC"/>
    <w:rsid w:val="00BE7579"/>
    <w:rsid w:val="00BF0201"/>
    <w:rsid w:val="00BF2BB9"/>
    <w:rsid w:val="00BF35C3"/>
    <w:rsid w:val="00BF4AE5"/>
    <w:rsid w:val="00BF5C87"/>
    <w:rsid w:val="00BF615E"/>
    <w:rsid w:val="00BF6FD6"/>
    <w:rsid w:val="00C048A9"/>
    <w:rsid w:val="00C053D1"/>
    <w:rsid w:val="00C077D3"/>
    <w:rsid w:val="00C07E36"/>
    <w:rsid w:val="00C120BD"/>
    <w:rsid w:val="00C1408F"/>
    <w:rsid w:val="00C17B81"/>
    <w:rsid w:val="00C21579"/>
    <w:rsid w:val="00C21AC6"/>
    <w:rsid w:val="00C22567"/>
    <w:rsid w:val="00C225A8"/>
    <w:rsid w:val="00C22941"/>
    <w:rsid w:val="00C22D35"/>
    <w:rsid w:val="00C23EE6"/>
    <w:rsid w:val="00C31086"/>
    <w:rsid w:val="00C40C46"/>
    <w:rsid w:val="00C40CD0"/>
    <w:rsid w:val="00C42F24"/>
    <w:rsid w:val="00C461EF"/>
    <w:rsid w:val="00C47197"/>
    <w:rsid w:val="00C50611"/>
    <w:rsid w:val="00C51D9E"/>
    <w:rsid w:val="00C527DC"/>
    <w:rsid w:val="00C53D6F"/>
    <w:rsid w:val="00C54726"/>
    <w:rsid w:val="00C552C1"/>
    <w:rsid w:val="00C6162E"/>
    <w:rsid w:val="00C7046C"/>
    <w:rsid w:val="00C704EC"/>
    <w:rsid w:val="00C7116B"/>
    <w:rsid w:val="00C71FD9"/>
    <w:rsid w:val="00C72557"/>
    <w:rsid w:val="00C73AFF"/>
    <w:rsid w:val="00C7644A"/>
    <w:rsid w:val="00C769F0"/>
    <w:rsid w:val="00C802D9"/>
    <w:rsid w:val="00C846FA"/>
    <w:rsid w:val="00C84DB1"/>
    <w:rsid w:val="00C87CDD"/>
    <w:rsid w:val="00C9063A"/>
    <w:rsid w:val="00C91BF9"/>
    <w:rsid w:val="00C91D67"/>
    <w:rsid w:val="00C95D10"/>
    <w:rsid w:val="00C96E79"/>
    <w:rsid w:val="00CA04A1"/>
    <w:rsid w:val="00CA4016"/>
    <w:rsid w:val="00CA46C2"/>
    <w:rsid w:val="00CA4C52"/>
    <w:rsid w:val="00CA507F"/>
    <w:rsid w:val="00CA65F5"/>
    <w:rsid w:val="00CA6C5D"/>
    <w:rsid w:val="00CB0629"/>
    <w:rsid w:val="00CB0D46"/>
    <w:rsid w:val="00CB18A8"/>
    <w:rsid w:val="00CB287E"/>
    <w:rsid w:val="00CB31A1"/>
    <w:rsid w:val="00CB3695"/>
    <w:rsid w:val="00CB4CF7"/>
    <w:rsid w:val="00CB5102"/>
    <w:rsid w:val="00CB53FB"/>
    <w:rsid w:val="00CB5588"/>
    <w:rsid w:val="00CB568A"/>
    <w:rsid w:val="00CB6034"/>
    <w:rsid w:val="00CB6ACE"/>
    <w:rsid w:val="00CB6B99"/>
    <w:rsid w:val="00CC2DBB"/>
    <w:rsid w:val="00CC4D9B"/>
    <w:rsid w:val="00CD3372"/>
    <w:rsid w:val="00CE090A"/>
    <w:rsid w:val="00CE1E47"/>
    <w:rsid w:val="00CE2EE9"/>
    <w:rsid w:val="00CE43FE"/>
    <w:rsid w:val="00CE4F39"/>
    <w:rsid w:val="00CE6853"/>
    <w:rsid w:val="00CF6710"/>
    <w:rsid w:val="00D006D4"/>
    <w:rsid w:val="00D0475B"/>
    <w:rsid w:val="00D05F55"/>
    <w:rsid w:val="00D062F0"/>
    <w:rsid w:val="00D06309"/>
    <w:rsid w:val="00D06FE5"/>
    <w:rsid w:val="00D106DE"/>
    <w:rsid w:val="00D10757"/>
    <w:rsid w:val="00D10D45"/>
    <w:rsid w:val="00D113EC"/>
    <w:rsid w:val="00D14AB7"/>
    <w:rsid w:val="00D15CE7"/>
    <w:rsid w:val="00D16F98"/>
    <w:rsid w:val="00D2137E"/>
    <w:rsid w:val="00D22340"/>
    <w:rsid w:val="00D23BD4"/>
    <w:rsid w:val="00D245C5"/>
    <w:rsid w:val="00D2461F"/>
    <w:rsid w:val="00D25AF9"/>
    <w:rsid w:val="00D3047E"/>
    <w:rsid w:val="00D30559"/>
    <w:rsid w:val="00D30D02"/>
    <w:rsid w:val="00D3218B"/>
    <w:rsid w:val="00D35DC5"/>
    <w:rsid w:val="00D3683A"/>
    <w:rsid w:val="00D40AC2"/>
    <w:rsid w:val="00D45F3E"/>
    <w:rsid w:val="00D4699E"/>
    <w:rsid w:val="00D47F00"/>
    <w:rsid w:val="00D506B8"/>
    <w:rsid w:val="00D548CB"/>
    <w:rsid w:val="00D556CF"/>
    <w:rsid w:val="00D57E09"/>
    <w:rsid w:val="00D65246"/>
    <w:rsid w:val="00D66411"/>
    <w:rsid w:val="00D70AB9"/>
    <w:rsid w:val="00D721AE"/>
    <w:rsid w:val="00D7253A"/>
    <w:rsid w:val="00D73054"/>
    <w:rsid w:val="00D73541"/>
    <w:rsid w:val="00D76402"/>
    <w:rsid w:val="00D76E16"/>
    <w:rsid w:val="00D8131B"/>
    <w:rsid w:val="00D83EB1"/>
    <w:rsid w:val="00D845EC"/>
    <w:rsid w:val="00D865AB"/>
    <w:rsid w:val="00D86EED"/>
    <w:rsid w:val="00D91DDC"/>
    <w:rsid w:val="00D921BD"/>
    <w:rsid w:val="00D9293B"/>
    <w:rsid w:val="00D92A32"/>
    <w:rsid w:val="00D9310F"/>
    <w:rsid w:val="00D94344"/>
    <w:rsid w:val="00D951B8"/>
    <w:rsid w:val="00D976F9"/>
    <w:rsid w:val="00DA3BD2"/>
    <w:rsid w:val="00DA6023"/>
    <w:rsid w:val="00DA6FD4"/>
    <w:rsid w:val="00DA7DD0"/>
    <w:rsid w:val="00DB6607"/>
    <w:rsid w:val="00DB739F"/>
    <w:rsid w:val="00DB7B59"/>
    <w:rsid w:val="00DC0293"/>
    <w:rsid w:val="00DC0387"/>
    <w:rsid w:val="00DC0531"/>
    <w:rsid w:val="00DC0C20"/>
    <w:rsid w:val="00DC0DFB"/>
    <w:rsid w:val="00DC1B9F"/>
    <w:rsid w:val="00DC1F73"/>
    <w:rsid w:val="00DC7D1C"/>
    <w:rsid w:val="00DD028B"/>
    <w:rsid w:val="00DD0882"/>
    <w:rsid w:val="00DD2F4F"/>
    <w:rsid w:val="00DD35F9"/>
    <w:rsid w:val="00DD7200"/>
    <w:rsid w:val="00DE359D"/>
    <w:rsid w:val="00DE37BC"/>
    <w:rsid w:val="00DE4EF3"/>
    <w:rsid w:val="00DF0866"/>
    <w:rsid w:val="00DF177A"/>
    <w:rsid w:val="00DF2868"/>
    <w:rsid w:val="00DF5231"/>
    <w:rsid w:val="00DF6394"/>
    <w:rsid w:val="00DF68E0"/>
    <w:rsid w:val="00E00047"/>
    <w:rsid w:val="00E03F2E"/>
    <w:rsid w:val="00E06811"/>
    <w:rsid w:val="00E07E0E"/>
    <w:rsid w:val="00E12F07"/>
    <w:rsid w:val="00E1361B"/>
    <w:rsid w:val="00E137C6"/>
    <w:rsid w:val="00E16AAC"/>
    <w:rsid w:val="00E1785C"/>
    <w:rsid w:val="00E207E2"/>
    <w:rsid w:val="00E21DD9"/>
    <w:rsid w:val="00E23104"/>
    <w:rsid w:val="00E25E09"/>
    <w:rsid w:val="00E300B3"/>
    <w:rsid w:val="00E35176"/>
    <w:rsid w:val="00E400C2"/>
    <w:rsid w:val="00E42030"/>
    <w:rsid w:val="00E47486"/>
    <w:rsid w:val="00E51123"/>
    <w:rsid w:val="00E54EB4"/>
    <w:rsid w:val="00E55683"/>
    <w:rsid w:val="00E57B1D"/>
    <w:rsid w:val="00E60001"/>
    <w:rsid w:val="00E60822"/>
    <w:rsid w:val="00E61C38"/>
    <w:rsid w:val="00E625D4"/>
    <w:rsid w:val="00E627F4"/>
    <w:rsid w:val="00E62C55"/>
    <w:rsid w:val="00E62E8A"/>
    <w:rsid w:val="00E635EF"/>
    <w:rsid w:val="00E63853"/>
    <w:rsid w:val="00E64D03"/>
    <w:rsid w:val="00E65716"/>
    <w:rsid w:val="00E7004D"/>
    <w:rsid w:val="00E74834"/>
    <w:rsid w:val="00E75BD3"/>
    <w:rsid w:val="00E768A7"/>
    <w:rsid w:val="00E83260"/>
    <w:rsid w:val="00E84257"/>
    <w:rsid w:val="00E9036E"/>
    <w:rsid w:val="00E90937"/>
    <w:rsid w:val="00E92082"/>
    <w:rsid w:val="00E93DCB"/>
    <w:rsid w:val="00EA096A"/>
    <w:rsid w:val="00EA2619"/>
    <w:rsid w:val="00EA4779"/>
    <w:rsid w:val="00EA4945"/>
    <w:rsid w:val="00EA4EEB"/>
    <w:rsid w:val="00EA5AC1"/>
    <w:rsid w:val="00EA7A52"/>
    <w:rsid w:val="00EB0311"/>
    <w:rsid w:val="00EB1D9F"/>
    <w:rsid w:val="00EB29D1"/>
    <w:rsid w:val="00EB421D"/>
    <w:rsid w:val="00EB5F91"/>
    <w:rsid w:val="00EB6035"/>
    <w:rsid w:val="00EB6242"/>
    <w:rsid w:val="00EC3032"/>
    <w:rsid w:val="00EC3D45"/>
    <w:rsid w:val="00EC7804"/>
    <w:rsid w:val="00EC7CF2"/>
    <w:rsid w:val="00EC7E7D"/>
    <w:rsid w:val="00ED2426"/>
    <w:rsid w:val="00ED3AD8"/>
    <w:rsid w:val="00ED5473"/>
    <w:rsid w:val="00ED6DF0"/>
    <w:rsid w:val="00EE3D7B"/>
    <w:rsid w:val="00EE3EC0"/>
    <w:rsid w:val="00EE42F5"/>
    <w:rsid w:val="00EE658B"/>
    <w:rsid w:val="00EE7237"/>
    <w:rsid w:val="00EE79C9"/>
    <w:rsid w:val="00EE7EB9"/>
    <w:rsid w:val="00EF7866"/>
    <w:rsid w:val="00F00758"/>
    <w:rsid w:val="00F06D85"/>
    <w:rsid w:val="00F13EF3"/>
    <w:rsid w:val="00F14C9E"/>
    <w:rsid w:val="00F15A58"/>
    <w:rsid w:val="00F203A4"/>
    <w:rsid w:val="00F21108"/>
    <w:rsid w:val="00F21A36"/>
    <w:rsid w:val="00F21E19"/>
    <w:rsid w:val="00F22C58"/>
    <w:rsid w:val="00F22EFB"/>
    <w:rsid w:val="00F24BAC"/>
    <w:rsid w:val="00F26698"/>
    <w:rsid w:val="00F27535"/>
    <w:rsid w:val="00F308C0"/>
    <w:rsid w:val="00F33328"/>
    <w:rsid w:val="00F354A7"/>
    <w:rsid w:val="00F36B24"/>
    <w:rsid w:val="00F42FAF"/>
    <w:rsid w:val="00F4391A"/>
    <w:rsid w:val="00F46675"/>
    <w:rsid w:val="00F46A77"/>
    <w:rsid w:val="00F47017"/>
    <w:rsid w:val="00F47019"/>
    <w:rsid w:val="00F4748A"/>
    <w:rsid w:val="00F500D3"/>
    <w:rsid w:val="00F50442"/>
    <w:rsid w:val="00F515A4"/>
    <w:rsid w:val="00F522C3"/>
    <w:rsid w:val="00F5237D"/>
    <w:rsid w:val="00F526C6"/>
    <w:rsid w:val="00F532F1"/>
    <w:rsid w:val="00F5424D"/>
    <w:rsid w:val="00F5507F"/>
    <w:rsid w:val="00F62A26"/>
    <w:rsid w:val="00F644C1"/>
    <w:rsid w:val="00F65540"/>
    <w:rsid w:val="00F70D3D"/>
    <w:rsid w:val="00F747CD"/>
    <w:rsid w:val="00F77362"/>
    <w:rsid w:val="00F77788"/>
    <w:rsid w:val="00F81858"/>
    <w:rsid w:val="00F90244"/>
    <w:rsid w:val="00FA499D"/>
    <w:rsid w:val="00FA4F33"/>
    <w:rsid w:val="00FA54B8"/>
    <w:rsid w:val="00FA5ED2"/>
    <w:rsid w:val="00FB1A3A"/>
    <w:rsid w:val="00FB2CC4"/>
    <w:rsid w:val="00FB2E1E"/>
    <w:rsid w:val="00FB3293"/>
    <w:rsid w:val="00FB5BA0"/>
    <w:rsid w:val="00FB72A9"/>
    <w:rsid w:val="00FC12DC"/>
    <w:rsid w:val="00FC33DC"/>
    <w:rsid w:val="00FC345A"/>
    <w:rsid w:val="00FC34DE"/>
    <w:rsid w:val="00FC418D"/>
    <w:rsid w:val="00FC44CB"/>
    <w:rsid w:val="00FC5795"/>
    <w:rsid w:val="00FC6B61"/>
    <w:rsid w:val="00FC7577"/>
    <w:rsid w:val="00FC7FF7"/>
    <w:rsid w:val="00FD1462"/>
    <w:rsid w:val="00FD403A"/>
    <w:rsid w:val="00FD5004"/>
    <w:rsid w:val="00FE16FF"/>
    <w:rsid w:val="00FE2B86"/>
    <w:rsid w:val="00FE6230"/>
    <w:rsid w:val="00FF099D"/>
    <w:rsid w:val="00FF2A4E"/>
    <w:rsid w:val="00FF4ABB"/>
    <w:rsid w:val="00FF4DE8"/>
    <w:rsid w:val="00FF7328"/>
    <w:rsid w:val="034369B3"/>
    <w:rsid w:val="04B45766"/>
    <w:rsid w:val="0F78519E"/>
    <w:rsid w:val="117D2F3D"/>
    <w:rsid w:val="125842F4"/>
    <w:rsid w:val="14D75A01"/>
    <w:rsid w:val="15BE5521"/>
    <w:rsid w:val="16DA5B45"/>
    <w:rsid w:val="175316BB"/>
    <w:rsid w:val="17637A19"/>
    <w:rsid w:val="1DD12460"/>
    <w:rsid w:val="22521058"/>
    <w:rsid w:val="23251065"/>
    <w:rsid w:val="23903BD8"/>
    <w:rsid w:val="24CC2724"/>
    <w:rsid w:val="2D6D5BFA"/>
    <w:rsid w:val="2D9B47A0"/>
    <w:rsid w:val="30DC72B8"/>
    <w:rsid w:val="34E556B0"/>
    <w:rsid w:val="3AA208A0"/>
    <w:rsid w:val="3B71377D"/>
    <w:rsid w:val="3BAA0114"/>
    <w:rsid w:val="3BE178BA"/>
    <w:rsid w:val="3BEF4DA9"/>
    <w:rsid w:val="42AF3E06"/>
    <w:rsid w:val="45174209"/>
    <w:rsid w:val="49C935D7"/>
    <w:rsid w:val="4B3E2D76"/>
    <w:rsid w:val="52D9784C"/>
    <w:rsid w:val="56507E7C"/>
    <w:rsid w:val="59781BFD"/>
    <w:rsid w:val="599C4B94"/>
    <w:rsid w:val="5B88343B"/>
    <w:rsid w:val="5D3D457F"/>
    <w:rsid w:val="5DE212FD"/>
    <w:rsid w:val="5DEB6F92"/>
    <w:rsid w:val="681B754A"/>
    <w:rsid w:val="69E3419E"/>
    <w:rsid w:val="6BF30558"/>
    <w:rsid w:val="73384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widowControl/>
      <w:numPr>
        <w:ilvl w:val="0"/>
        <w:numId w:val="1"/>
      </w:numPr>
      <w:spacing w:before="340" w:after="330"/>
      <w:jc w:val="left"/>
      <w:outlineLvl w:val="0"/>
    </w:pPr>
    <w:rPr>
      <w:rFonts w:ascii="华文细黑" w:hAnsi="华文细黑"/>
      <w:b/>
      <w:bCs/>
      <w:snapToGrid w:val="0"/>
      <w:kern w:val="0"/>
      <w:sz w:val="48"/>
      <w:szCs w:val="44"/>
    </w:rPr>
  </w:style>
  <w:style w:type="paragraph" w:styleId="3">
    <w:name w:val="heading 2"/>
    <w:basedOn w:val="1"/>
    <w:next w:val="1"/>
    <w:link w:val="68"/>
    <w:qFormat/>
    <w:uiPriority w:val="0"/>
    <w:pPr>
      <w:spacing w:before="260" w:after="260"/>
      <w:jc w:val="left"/>
      <w:outlineLvl w:val="1"/>
    </w:pPr>
    <w:rPr>
      <w:rFonts w:ascii="华文细黑" w:hAnsi="华文细黑"/>
      <w:b/>
      <w:bCs/>
      <w:kern w:val="0"/>
      <w:sz w:val="44"/>
      <w:szCs w:val="32"/>
    </w:rPr>
  </w:style>
  <w:style w:type="paragraph" w:styleId="4">
    <w:name w:val="heading 3"/>
    <w:basedOn w:val="1"/>
    <w:next w:val="1"/>
    <w:link w:val="98"/>
    <w:qFormat/>
    <w:uiPriority w:val="0"/>
    <w:pPr>
      <w:keepNext/>
      <w:keepLines/>
      <w:widowControl/>
      <w:numPr>
        <w:ilvl w:val="2"/>
        <w:numId w:val="1"/>
      </w:numPr>
      <w:spacing w:before="260" w:after="260" w:line="416" w:lineRule="auto"/>
      <w:jc w:val="left"/>
      <w:outlineLvl w:val="2"/>
    </w:pPr>
    <w:rPr>
      <w:rFonts w:eastAsia="华文细黑"/>
      <w:bCs/>
      <w:kern w:val="0"/>
      <w:sz w:val="36"/>
      <w:szCs w:val="32"/>
    </w:rPr>
  </w:style>
  <w:style w:type="paragraph" w:styleId="5">
    <w:name w:val="heading 4"/>
    <w:basedOn w:val="1"/>
    <w:next w:val="1"/>
    <w:link w:val="70"/>
    <w:qFormat/>
    <w:uiPriority w:val="0"/>
    <w:pPr>
      <w:keepNext/>
      <w:keepLines/>
      <w:widowControl/>
      <w:numPr>
        <w:ilvl w:val="3"/>
        <w:numId w:val="1"/>
      </w:numPr>
      <w:spacing w:before="280" w:after="290" w:line="376" w:lineRule="auto"/>
      <w:jc w:val="left"/>
      <w:outlineLvl w:val="3"/>
    </w:pPr>
    <w:rPr>
      <w:rFonts w:ascii="Arial" w:hAnsi="Arial" w:eastAsia="黑体"/>
      <w:b/>
      <w:bCs/>
      <w:kern w:val="0"/>
      <w:sz w:val="28"/>
      <w:szCs w:val="28"/>
    </w:rPr>
  </w:style>
  <w:style w:type="paragraph" w:styleId="6">
    <w:name w:val="heading 5"/>
    <w:basedOn w:val="1"/>
    <w:next w:val="1"/>
    <w:link w:val="82"/>
    <w:qFormat/>
    <w:uiPriority w:val="0"/>
    <w:pPr>
      <w:keepNext/>
      <w:keepLines/>
      <w:widowControl/>
      <w:numPr>
        <w:ilvl w:val="4"/>
        <w:numId w:val="1"/>
      </w:numPr>
      <w:spacing w:before="280" w:after="290" w:line="376" w:lineRule="auto"/>
      <w:jc w:val="left"/>
      <w:outlineLvl w:val="4"/>
    </w:pPr>
    <w:rPr>
      <w:b/>
      <w:bCs/>
      <w:kern w:val="0"/>
      <w:sz w:val="28"/>
      <w:szCs w:val="28"/>
    </w:rPr>
  </w:style>
  <w:style w:type="paragraph" w:styleId="7">
    <w:name w:val="heading 6"/>
    <w:basedOn w:val="1"/>
    <w:next w:val="1"/>
    <w:link w:val="72"/>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81"/>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6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7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style>
  <w:style w:type="paragraph" w:styleId="12">
    <w:name w:val="List Number 2"/>
    <w:basedOn w:val="1"/>
    <w:qFormat/>
    <w:uiPriority w:val="0"/>
    <w:pPr>
      <w:numPr>
        <w:ilvl w:val="0"/>
        <w:numId w:val="2"/>
      </w:numPr>
      <w:contextualSpacing/>
    </w:pPr>
  </w:style>
  <w:style w:type="paragraph" w:styleId="13">
    <w:name w:val="List Number"/>
    <w:basedOn w:val="1"/>
    <w:qFormat/>
    <w:uiPriority w:val="0"/>
    <w:pPr>
      <w:numPr>
        <w:ilvl w:val="0"/>
        <w:numId w:val="3"/>
      </w:numPr>
    </w:pPr>
    <w:rPr>
      <w:rFonts w:ascii="宋体"/>
      <w:bCs/>
      <w:sz w:val="28"/>
      <w:szCs w:val="20"/>
    </w:rPr>
  </w:style>
  <w:style w:type="paragraph" w:styleId="14">
    <w:name w:val="Normal Indent"/>
    <w:basedOn w:val="1"/>
    <w:qFormat/>
    <w:uiPriority w:val="0"/>
    <w:pPr>
      <w:ind w:firstLine="420"/>
    </w:pPr>
    <w:rPr>
      <w:szCs w:val="20"/>
    </w:rPr>
  </w:style>
  <w:style w:type="paragraph" w:styleId="15">
    <w:name w:val="Document Map"/>
    <w:basedOn w:val="1"/>
    <w:link w:val="74"/>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91"/>
    <w:qFormat/>
    <w:uiPriority w:val="0"/>
    <w:pPr>
      <w:jc w:val="left"/>
    </w:pPr>
  </w:style>
  <w:style w:type="paragraph" w:styleId="18">
    <w:name w:val="Salutation"/>
    <w:basedOn w:val="1"/>
    <w:next w:val="1"/>
    <w:link w:val="66"/>
    <w:qFormat/>
    <w:uiPriority w:val="0"/>
    <w:rPr>
      <w:rFonts w:ascii="宋体" w:eastAsia="仿宋_GB2312"/>
      <w:szCs w:val="20"/>
    </w:rPr>
  </w:style>
  <w:style w:type="paragraph" w:styleId="19">
    <w:name w:val="Body Text"/>
    <w:basedOn w:val="1"/>
    <w:link w:val="96"/>
    <w:qFormat/>
    <w:uiPriority w:val="0"/>
    <w:pPr>
      <w:spacing w:line="320" w:lineRule="exact"/>
    </w:pPr>
    <w:rPr>
      <w:b/>
      <w:bCs/>
    </w:rPr>
  </w:style>
  <w:style w:type="paragraph" w:styleId="20">
    <w:name w:val="Body Text Indent"/>
    <w:basedOn w:val="1"/>
    <w:link w:val="80"/>
    <w:qFormat/>
    <w:uiPriority w:val="0"/>
    <w:pPr>
      <w:spacing w:line="360" w:lineRule="auto"/>
      <w:ind w:firstLine="630"/>
    </w:pPr>
    <w:rPr>
      <w:rFonts w:ascii="宋体" w:hAnsi="宋体"/>
      <w:sz w:val="24"/>
      <w:szCs w:val="20"/>
    </w:rPr>
  </w:style>
  <w:style w:type="paragraph" w:styleId="21">
    <w:name w:val="Block Text"/>
    <w:basedOn w:val="1"/>
    <w:qFormat/>
    <w:uiPriority w:val="0"/>
    <w:pPr>
      <w:spacing w:line="600" w:lineRule="exact"/>
      <w:ind w:left="2698" w:leftChars="266" w:right="25" w:rightChars="12" w:hanging="2139" w:hangingChars="764"/>
    </w:pPr>
    <w:rPr>
      <w:sz w:val="28"/>
    </w:rPr>
  </w:style>
  <w:style w:type="paragraph" w:styleId="22">
    <w:name w:val="toc 5"/>
    <w:basedOn w:val="1"/>
    <w:next w:val="1"/>
    <w:unhideWhenUsed/>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63"/>
    <w:qFormat/>
    <w:uiPriority w:val="0"/>
    <w:rPr>
      <w:rFonts w:ascii="宋体" w:hAnsi="Courier New" w:cs="Courier New"/>
      <w:szCs w:val="21"/>
    </w:rPr>
  </w:style>
  <w:style w:type="paragraph" w:styleId="25">
    <w:name w:val="toc 8"/>
    <w:basedOn w:val="1"/>
    <w:next w:val="1"/>
    <w:unhideWhenUsed/>
    <w:qFormat/>
    <w:uiPriority w:val="0"/>
    <w:pPr>
      <w:ind w:left="2940" w:leftChars="1400"/>
    </w:pPr>
  </w:style>
  <w:style w:type="paragraph" w:styleId="26">
    <w:name w:val="Date"/>
    <w:basedOn w:val="1"/>
    <w:next w:val="1"/>
    <w:link w:val="64"/>
    <w:qFormat/>
    <w:uiPriority w:val="0"/>
    <w:pPr>
      <w:ind w:left="100" w:leftChars="2500"/>
    </w:pPr>
  </w:style>
  <w:style w:type="paragraph" w:styleId="27">
    <w:name w:val="Body Text Indent 2"/>
    <w:basedOn w:val="1"/>
    <w:qFormat/>
    <w:uiPriority w:val="0"/>
    <w:pPr>
      <w:ind w:firstLine="640" w:firstLineChars="200"/>
    </w:pPr>
    <w:rPr>
      <w:rFonts w:eastAsia="仿宋_GB2312"/>
      <w:sz w:val="32"/>
    </w:rPr>
  </w:style>
  <w:style w:type="paragraph" w:styleId="28">
    <w:name w:val="Balloon Text"/>
    <w:basedOn w:val="1"/>
    <w:link w:val="87"/>
    <w:semiHidden/>
    <w:qFormat/>
    <w:uiPriority w:val="0"/>
    <w:rPr>
      <w:sz w:val="18"/>
      <w:szCs w:val="18"/>
    </w:rPr>
  </w:style>
  <w:style w:type="paragraph" w:styleId="29">
    <w:name w:val="footer"/>
    <w:basedOn w:val="1"/>
    <w:link w:val="89"/>
    <w:qFormat/>
    <w:uiPriority w:val="99"/>
    <w:pPr>
      <w:tabs>
        <w:tab w:val="center" w:pos="4153"/>
        <w:tab w:val="right" w:pos="8306"/>
      </w:tabs>
      <w:snapToGrid w:val="0"/>
      <w:jc w:val="left"/>
    </w:pPr>
    <w:rPr>
      <w:sz w:val="18"/>
      <w:szCs w:val="18"/>
    </w:rPr>
  </w:style>
  <w:style w:type="paragraph" w:styleId="30">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style>
  <w:style w:type="paragraph" w:styleId="32">
    <w:name w:val="toc 4"/>
    <w:basedOn w:val="1"/>
    <w:next w:val="1"/>
    <w:unhideWhenUsed/>
    <w:qFormat/>
    <w:uiPriority w:val="0"/>
    <w:pPr>
      <w:ind w:left="1260" w:leftChars="600"/>
    </w:pPr>
  </w:style>
  <w:style w:type="paragraph" w:styleId="33">
    <w:name w:val="Subtitle"/>
    <w:basedOn w:val="1"/>
    <w:next w:val="1"/>
    <w:link w:val="181"/>
    <w:qFormat/>
    <w:uiPriority w:val="11"/>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ind w:left="200" w:hanging="200" w:hangingChars="200"/>
      <w:contextualSpacing/>
    </w:pPr>
  </w:style>
  <w:style w:type="paragraph" w:styleId="35">
    <w:name w:val="toc 6"/>
    <w:basedOn w:val="1"/>
    <w:next w:val="1"/>
    <w:unhideWhenUsed/>
    <w:qFormat/>
    <w:uiPriority w:val="0"/>
    <w:pPr>
      <w:ind w:left="2100" w:leftChars="1000"/>
    </w:pPr>
  </w:style>
  <w:style w:type="paragraph" w:styleId="36">
    <w:name w:val="Body Text Indent 3"/>
    <w:basedOn w:val="1"/>
    <w:link w:val="86"/>
    <w:qFormat/>
    <w:uiPriority w:val="0"/>
    <w:pPr>
      <w:spacing w:line="400" w:lineRule="exact"/>
      <w:ind w:firstLine="630"/>
    </w:pPr>
    <w:rPr>
      <w:rFonts w:ascii="宋体" w:hAnsi="宋体"/>
    </w:rPr>
  </w:style>
  <w:style w:type="paragraph" w:styleId="37">
    <w:name w:val="toc 2"/>
    <w:basedOn w:val="1"/>
    <w:next w:val="1"/>
    <w:qFormat/>
    <w:uiPriority w:val="0"/>
    <w:pPr>
      <w:ind w:left="420" w:leftChars="200"/>
    </w:pPr>
  </w:style>
  <w:style w:type="paragraph" w:styleId="38">
    <w:name w:val="toc 9"/>
    <w:basedOn w:val="1"/>
    <w:next w:val="1"/>
    <w:unhideWhenUsed/>
    <w:qFormat/>
    <w:uiPriority w:val="0"/>
    <w:pPr>
      <w:ind w:left="3360" w:leftChars="1600"/>
    </w:pPr>
  </w:style>
  <w:style w:type="paragraph" w:styleId="39">
    <w:name w:val="Body Text 2"/>
    <w:basedOn w:val="1"/>
    <w:link w:val="55"/>
    <w:qFormat/>
    <w:uiPriority w:val="0"/>
    <w:pPr>
      <w:spacing w:after="120" w:line="480" w:lineRule="auto"/>
    </w:pPr>
  </w:style>
  <w:style w:type="paragraph" w:styleId="40">
    <w:name w:val="HTML Preformatted"/>
    <w:basedOn w:val="1"/>
    <w:link w:val="7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ingLiU" w:hAnsi="MingLiU" w:eastAsia="MingLiU"/>
      <w:kern w:val="0"/>
      <w:sz w:val="20"/>
    </w:rPr>
  </w:style>
  <w:style w:type="paragraph" w:styleId="41">
    <w:name w:val="Normal (Web)"/>
    <w:basedOn w:val="1"/>
    <w:qFormat/>
    <w:uiPriority w:val="99"/>
    <w:pPr>
      <w:widowControl/>
      <w:spacing w:before="100" w:beforeAutospacing="1" w:after="100" w:afterAutospacing="1" w:line="283" w:lineRule="atLeast"/>
      <w:jc w:val="left"/>
    </w:pPr>
    <w:rPr>
      <w:rFonts w:ascii="宋体" w:hAnsi="宋体"/>
      <w:color w:val="000000"/>
      <w:kern w:val="0"/>
      <w:sz w:val="19"/>
      <w:szCs w:val="19"/>
    </w:rPr>
  </w:style>
  <w:style w:type="paragraph" w:styleId="42">
    <w:name w:val="index 1"/>
    <w:basedOn w:val="1"/>
    <w:next w:val="1"/>
    <w:qFormat/>
    <w:uiPriority w:val="0"/>
  </w:style>
  <w:style w:type="paragraph" w:styleId="43">
    <w:name w:val="Title"/>
    <w:next w:val="2"/>
    <w:link w:val="75"/>
    <w:qFormat/>
    <w:uiPriority w:val="0"/>
    <w:pPr>
      <w:widowControl w:val="0"/>
      <w:numPr>
        <w:ilvl w:val="0"/>
        <w:numId w:val="4"/>
      </w:numPr>
      <w:tabs>
        <w:tab w:val="left" w:pos="284"/>
        <w:tab w:val="clear" w:pos="360"/>
      </w:tabs>
      <w:spacing w:before="10" w:after="10" w:line="400" w:lineRule="atLeast"/>
      <w:outlineLvl w:val="0"/>
    </w:pPr>
    <w:rPr>
      <w:rFonts w:ascii="Times New Roman" w:hAnsi="Times New Roman" w:eastAsia="宋体" w:cs="Arial"/>
      <w:b/>
      <w:bCs/>
      <w:kern w:val="2"/>
      <w:sz w:val="24"/>
      <w:szCs w:val="44"/>
      <w:lang w:val="en-US" w:eastAsia="zh-CN" w:bidi="ar-SA"/>
    </w:rPr>
  </w:style>
  <w:style w:type="paragraph" w:styleId="44">
    <w:name w:val="annotation subject"/>
    <w:basedOn w:val="17"/>
    <w:next w:val="17"/>
    <w:link w:val="97"/>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99"/>
    <w:rPr>
      <w:color w:val="800080"/>
      <w:u w:val="single"/>
    </w:rPr>
  </w:style>
  <w:style w:type="character" w:styleId="51">
    <w:name w:val="Emphasis"/>
    <w:qFormat/>
    <w:uiPriority w:val="0"/>
    <w:rPr>
      <w:color w:val="CC0000"/>
    </w:rPr>
  </w:style>
  <w:style w:type="character" w:styleId="52">
    <w:name w:val="HTML Typewriter"/>
    <w:qFormat/>
    <w:uiPriority w:val="0"/>
    <w:rPr>
      <w:rFonts w:ascii="黑体" w:hAnsi="Courier New" w:eastAsia="黑体" w:cs="Courier New"/>
      <w:sz w:val="20"/>
      <w:szCs w:val="20"/>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customStyle="1" w:styleId="55">
    <w:name w:val="正文文本 2 字符"/>
    <w:link w:val="39"/>
    <w:qFormat/>
    <w:uiPriority w:val="0"/>
    <w:rPr>
      <w:kern w:val="2"/>
      <w:sz w:val="21"/>
      <w:szCs w:val="24"/>
    </w:rPr>
  </w:style>
  <w:style w:type="character" w:customStyle="1" w:styleId="56">
    <w:name w:val="正文文本缩进 2 Char"/>
    <w:qFormat/>
    <w:uiPriority w:val="0"/>
    <w:rPr>
      <w:rFonts w:ascii="宋体" w:hAnsi="宋体" w:eastAsia="宋体"/>
      <w:b/>
      <w:sz w:val="24"/>
      <w:lang w:val="en-US" w:eastAsia="zh-CN" w:bidi="ar-SA"/>
    </w:rPr>
  </w:style>
  <w:style w:type="character" w:customStyle="1" w:styleId="57">
    <w:name w:val="正文文本缩进 Char1"/>
    <w:semiHidden/>
    <w:qFormat/>
    <w:uiPriority w:val="99"/>
    <w:rPr>
      <w:rFonts w:ascii="Times New Roman" w:hAnsi="Times New Roman"/>
      <w:kern w:val="2"/>
      <w:sz w:val="24"/>
      <w:lang w:eastAsia="zh-TW"/>
    </w:rPr>
  </w:style>
  <w:style w:type="character" w:customStyle="1" w:styleId="58">
    <w:name w:val="批注文字 Char1"/>
    <w:semiHidden/>
    <w:qFormat/>
    <w:uiPriority w:val="0"/>
    <w:rPr>
      <w:rFonts w:ascii="Times New Roman" w:hAnsi="Times New Roman"/>
      <w:kern w:val="2"/>
      <w:sz w:val="24"/>
      <w:lang w:eastAsia="zh-TW"/>
    </w:rPr>
  </w:style>
  <w:style w:type="character" w:customStyle="1" w:styleId="59">
    <w:name w:val="标题 1 字符"/>
    <w:link w:val="2"/>
    <w:qFormat/>
    <w:uiPriority w:val="0"/>
    <w:rPr>
      <w:rFonts w:ascii="华文细黑" w:hAnsi="华文细黑"/>
      <w:b/>
      <w:bCs/>
      <w:snapToGrid w:val="0"/>
      <w:sz w:val="48"/>
      <w:szCs w:val="44"/>
    </w:rPr>
  </w:style>
  <w:style w:type="character" w:customStyle="1" w:styleId="60">
    <w:name w:val="标题 8 字符"/>
    <w:link w:val="9"/>
    <w:qFormat/>
    <w:uiPriority w:val="0"/>
    <w:rPr>
      <w:rFonts w:ascii="Arial" w:hAnsi="Arial" w:eastAsia="黑体"/>
      <w:sz w:val="24"/>
      <w:szCs w:val="24"/>
    </w:rPr>
  </w:style>
  <w:style w:type="character" w:customStyle="1" w:styleId="61">
    <w:name w:val="中标正文 Char Char"/>
    <w:link w:val="62"/>
    <w:qFormat/>
    <w:uiPriority w:val="0"/>
    <w:rPr>
      <w:rFonts w:ascii="宋体" w:hAnsi="宋体"/>
      <w:snapToGrid/>
      <w:sz w:val="24"/>
      <w:szCs w:val="29"/>
    </w:rPr>
  </w:style>
  <w:style w:type="paragraph" w:customStyle="1" w:styleId="62">
    <w:name w:val="中标正文"/>
    <w:basedOn w:val="1"/>
    <w:link w:val="61"/>
    <w:qFormat/>
    <w:uiPriority w:val="0"/>
    <w:pPr>
      <w:adjustRightInd w:val="0"/>
      <w:snapToGrid w:val="0"/>
      <w:spacing w:line="360" w:lineRule="auto"/>
      <w:ind w:left="482" w:firstLine="480" w:firstLineChars="200"/>
      <w:jc w:val="left"/>
    </w:pPr>
    <w:rPr>
      <w:rFonts w:ascii="宋体" w:hAnsi="宋体"/>
      <w:snapToGrid w:val="0"/>
      <w:kern w:val="0"/>
      <w:sz w:val="24"/>
      <w:szCs w:val="29"/>
    </w:rPr>
  </w:style>
  <w:style w:type="character" w:customStyle="1" w:styleId="63">
    <w:name w:val="纯文本 字符"/>
    <w:link w:val="24"/>
    <w:qFormat/>
    <w:uiPriority w:val="0"/>
    <w:rPr>
      <w:rFonts w:ascii="宋体" w:hAnsi="Courier New" w:eastAsia="宋体" w:cs="Courier New"/>
      <w:kern w:val="2"/>
      <w:sz w:val="21"/>
      <w:szCs w:val="21"/>
      <w:lang w:val="en-US" w:eastAsia="zh-CN" w:bidi="ar-SA"/>
    </w:rPr>
  </w:style>
  <w:style w:type="character" w:customStyle="1" w:styleId="64">
    <w:name w:val="日期 字符"/>
    <w:link w:val="26"/>
    <w:qFormat/>
    <w:uiPriority w:val="0"/>
    <w:rPr>
      <w:kern w:val="2"/>
      <w:sz w:val="21"/>
      <w:szCs w:val="24"/>
    </w:rPr>
  </w:style>
  <w:style w:type="character" w:customStyle="1" w:styleId="65">
    <w:name w:val="Char Char Char"/>
    <w:qFormat/>
    <w:uiPriority w:val="0"/>
    <w:rPr>
      <w:rFonts w:ascii="Arial" w:hAnsi="Arial" w:eastAsia="黑体"/>
      <w:b/>
      <w:bCs/>
      <w:kern w:val="2"/>
      <w:sz w:val="32"/>
      <w:szCs w:val="32"/>
      <w:lang w:val="en-US" w:eastAsia="zh-CN" w:bidi="ar-SA"/>
    </w:rPr>
  </w:style>
  <w:style w:type="character" w:customStyle="1" w:styleId="66">
    <w:name w:val="称呼 字符"/>
    <w:link w:val="18"/>
    <w:qFormat/>
    <w:uiPriority w:val="0"/>
    <w:rPr>
      <w:rFonts w:ascii="宋体" w:eastAsia="仿宋_GB2312"/>
      <w:kern w:val="2"/>
      <w:sz w:val="21"/>
    </w:rPr>
  </w:style>
  <w:style w:type="character" w:customStyle="1" w:styleId="67">
    <w:name w:val="普通文字 Char Char"/>
    <w:qFormat/>
    <w:uiPriority w:val="0"/>
    <w:rPr>
      <w:rFonts w:ascii="宋体" w:hAnsi="Courier New" w:eastAsia="宋体" w:cs="Courier New"/>
      <w:kern w:val="2"/>
      <w:sz w:val="21"/>
      <w:szCs w:val="21"/>
      <w:lang w:val="en-US" w:eastAsia="zh-CN" w:bidi="ar-SA"/>
    </w:rPr>
  </w:style>
  <w:style w:type="character" w:customStyle="1" w:styleId="68">
    <w:name w:val="标题 2 字符"/>
    <w:link w:val="3"/>
    <w:qFormat/>
    <w:uiPriority w:val="0"/>
    <w:rPr>
      <w:rFonts w:ascii="华文细黑" w:hAnsi="华文细黑" w:eastAsia="宋体"/>
      <w:b/>
      <w:bCs/>
      <w:sz w:val="44"/>
      <w:szCs w:val="32"/>
    </w:rPr>
  </w:style>
  <w:style w:type="character" w:customStyle="1" w:styleId="69">
    <w:name w:val="Style1"/>
    <w:qFormat/>
    <w:uiPriority w:val="1"/>
    <w:rPr>
      <w:rFonts w:ascii="Calibri" w:hAnsi="宋体" w:eastAsia="宋体" w:cs="Times New Roman"/>
      <w:sz w:val="22"/>
      <w:szCs w:val="22"/>
      <w:lang w:eastAsia="zh-CN"/>
    </w:rPr>
  </w:style>
  <w:style w:type="character" w:customStyle="1" w:styleId="70">
    <w:name w:val="标题 4 字符"/>
    <w:link w:val="5"/>
    <w:qFormat/>
    <w:uiPriority w:val="0"/>
    <w:rPr>
      <w:rFonts w:ascii="Arial" w:hAnsi="Arial" w:eastAsia="黑体"/>
      <w:b/>
      <w:bCs/>
      <w:sz w:val="28"/>
      <w:szCs w:val="28"/>
    </w:rPr>
  </w:style>
  <w:style w:type="character" w:customStyle="1" w:styleId="71">
    <w:name w:val="普通文字 Char Char1"/>
    <w:qFormat/>
    <w:uiPriority w:val="0"/>
    <w:rPr>
      <w:rFonts w:ascii="宋体" w:hAnsi="Courier New" w:eastAsia="宋体" w:cs="Courier New"/>
      <w:kern w:val="2"/>
      <w:sz w:val="21"/>
      <w:szCs w:val="21"/>
      <w:lang w:val="en-US" w:eastAsia="zh-CN" w:bidi="ar-SA"/>
    </w:rPr>
  </w:style>
  <w:style w:type="character" w:customStyle="1" w:styleId="72">
    <w:name w:val="标题 6 字符"/>
    <w:link w:val="7"/>
    <w:qFormat/>
    <w:uiPriority w:val="0"/>
    <w:rPr>
      <w:rFonts w:ascii="Arial" w:hAnsi="Arial" w:eastAsia="黑体"/>
      <w:b/>
      <w:bCs/>
      <w:sz w:val="24"/>
      <w:szCs w:val="24"/>
    </w:rPr>
  </w:style>
  <w:style w:type="character" w:customStyle="1" w:styleId="73">
    <w:name w:val="纯文本 Char1"/>
    <w:qFormat/>
    <w:uiPriority w:val="99"/>
    <w:rPr>
      <w:rFonts w:ascii="宋体" w:hAnsi="Courier New" w:eastAsia="宋体" w:cs="Courier New"/>
      <w:kern w:val="2"/>
      <w:sz w:val="21"/>
      <w:szCs w:val="21"/>
      <w:lang w:val="en-US" w:eastAsia="zh-CN" w:bidi="ar-SA"/>
    </w:rPr>
  </w:style>
  <w:style w:type="character" w:customStyle="1" w:styleId="74">
    <w:name w:val="文档结构图 字符"/>
    <w:link w:val="15"/>
    <w:qFormat/>
    <w:uiPriority w:val="0"/>
    <w:rPr>
      <w:kern w:val="2"/>
      <w:sz w:val="21"/>
      <w:szCs w:val="24"/>
      <w:shd w:val="clear" w:color="auto" w:fill="000080"/>
    </w:rPr>
  </w:style>
  <w:style w:type="character" w:customStyle="1" w:styleId="75">
    <w:name w:val="标题 字符"/>
    <w:link w:val="43"/>
    <w:qFormat/>
    <w:uiPriority w:val="0"/>
    <w:rPr>
      <w:rFonts w:cs="Arial"/>
      <w:b/>
      <w:bCs/>
      <w:kern w:val="2"/>
      <w:sz w:val="24"/>
      <w:szCs w:val="44"/>
    </w:rPr>
  </w:style>
  <w:style w:type="character" w:customStyle="1" w:styleId="76">
    <w:name w:val="Style2"/>
    <w:qFormat/>
    <w:uiPriority w:val="1"/>
    <w:rPr>
      <w:rFonts w:ascii="Calibri" w:hAnsi="宋体" w:eastAsia="宋体" w:cs="Times New Roman"/>
      <w:sz w:val="22"/>
      <w:szCs w:val="22"/>
      <w:lang w:eastAsia="zh-CN"/>
    </w:rPr>
  </w:style>
  <w:style w:type="character" w:customStyle="1" w:styleId="77">
    <w:name w:val="标题 9 字符"/>
    <w:link w:val="10"/>
    <w:qFormat/>
    <w:uiPriority w:val="0"/>
    <w:rPr>
      <w:rFonts w:ascii="Arial" w:hAnsi="Arial" w:eastAsia="黑体"/>
      <w:sz w:val="21"/>
      <w:szCs w:val="21"/>
    </w:rPr>
  </w:style>
  <w:style w:type="character" w:customStyle="1" w:styleId="78">
    <w:name w:val="HTML 预设格式 字符"/>
    <w:link w:val="40"/>
    <w:qFormat/>
    <w:uiPriority w:val="99"/>
    <w:rPr>
      <w:rFonts w:ascii="MingLiU" w:hAnsi="MingLiU" w:eastAsia="MingLiU"/>
      <w:szCs w:val="24"/>
    </w:rPr>
  </w:style>
  <w:style w:type="character" w:customStyle="1" w:styleId="79">
    <w:name w:val="apple-style-span"/>
    <w:qFormat/>
    <w:uiPriority w:val="0"/>
  </w:style>
  <w:style w:type="character" w:customStyle="1" w:styleId="80">
    <w:name w:val="正文文本缩进 字符"/>
    <w:link w:val="20"/>
    <w:qFormat/>
    <w:uiPriority w:val="0"/>
    <w:rPr>
      <w:rFonts w:ascii="宋体" w:hAnsi="宋体"/>
      <w:kern w:val="2"/>
      <w:sz w:val="24"/>
    </w:rPr>
  </w:style>
  <w:style w:type="character" w:customStyle="1" w:styleId="81">
    <w:name w:val="标题 7 字符"/>
    <w:link w:val="8"/>
    <w:qFormat/>
    <w:uiPriority w:val="0"/>
    <w:rPr>
      <w:b/>
      <w:bCs/>
      <w:sz w:val="24"/>
      <w:szCs w:val="24"/>
    </w:rPr>
  </w:style>
  <w:style w:type="character" w:customStyle="1" w:styleId="82">
    <w:name w:val="标题 5 字符"/>
    <w:link w:val="6"/>
    <w:qFormat/>
    <w:uiPriority w:val="0"/>
    <w:rPr>
      <w:b/>
      <w:bCs/>
      <w:sz w:val="28"/>
      <w:szCs w:val="28"/>
    </w:rPr>
  </w:style>
  <w:style w:type="character" w:customStyle="1" w:styleId="83">
    <w:name w:val="無間距 字元"/>
    <w:link w:val="84"/>
    <w:qFormat/>
    <w:uiPriority w:val="1"/>
    <w:rPr>
      <w:rFonts w:ascii="Calibri" w:hAnsi="Calibri" w:eastAsia="PMingLiU"/>
      <w:sz w:val="22"/>
      <w:szCs w:val="22"/>
      <w:lang w:eastAsia="zh-TW"/>
    </w:rPr>
  </w:style>
  <w:style w:type="paragraph" w:customStyle="1" w:styleId="84">
    <w:name w:val="無間距"/>
    <w:link w:val="83"/>
    <w:qFormat/>
    <w:uiPriority w:val="1"/>
    <w:rPr>
      <w:rFonts w:ascii="Calibri" w:hAnsi="Calibri" w:eastAsia="PMingLiU" w:cs="Times New Roman"/>
      <w:sz w:val="22"/>
      <w:szCs w:val="22"/>
      <w:lang w:val="en-US" w:eastAsia="zh-TW" w:bidi="ar-SA"/>
    </w:rPr>
  </w:style>
  <w:style w:type="character" w:customStyle="1" w:styleId="85">
    <w:name w:val="批注主题 Char1"/>
    <w:semiHidden/>
    <w:qFormat/>
    <w:uiPriority w:val="99"/>
    <w:rPr>
      <w:rFonts w:ascii="Times New Roman" w:hAnsi="Times New Roman"/>
      <w:b/>
      <w:bCs/>
      <w:kern w:val="2"/>
      <w:sz w:val="24"/>
      <w:lang w:eastAsia="zh-TW"/>
    </w:rPr>
  </w:style>
  <w:style w:type="character" w:customStyle="1" w:styleId="86">
    <w:name w:val="正文文本缩进 3 字符"/>
    <w:link w:val="36"/>
    <w:qFormat/>
    <w:uiPriority w:val="0"/>
    <w:rPr>
      <w:rFonts w:ascii="宋体" w:hAnsi="宋体"/>
      <w:kern w:val="2"/>
      <w:sz w:val="21"/>
      <w:szCs w:val="24"/>
    </w:rPr>
  </w:style>
  <w:style w:type="character" w:customStyle="1" w:styleId="87">
    <w:name w:val="批注框文本 字符"/>
    <w:link w:val="28"/>
    <w:qFormat/>
    <w:uiPriority w:val="0"/>
    <w:rPr>
      <w:kern w:val="2"/>
      <w:sz w:val="18"/>
      <w:szCs w:val="18"/>
    </w:rPr>
  </w:style>
  <w:style w:type="character" w:customStyle="1" w:styleId="88">
    <w:name w:val="称呼 Char1"/>
    <w:semiHidden/>
    <w:qFormat/>
    <w:uiPriority w:val="99"/>
    <w:rPr>
      <w:rFonts w:ascii="Times New Roman" w:hAnsi="Times New Roman"/>
      <w:kern w:val="2"/>
      <w:sz w:val="24"/>
      <w:lang w:eastAsia="zh-TW"/>
    </w:rPr>
  </w:style>
  <w:style w:type="character" w:customStyle="1" w:styleId="89">
    <w:name w:val="页脚 字符"/>
    <w:link w:val="29"/>
    <w:qFormat/>
    <w:uiPriority w:val="99"/>
    <w:rPr>
      <w:kern w:val="2"/>
      <w:sz w:val="18"/>
      <w:szCs w:val="18"/>
    </w:rPr>
  </w:style>
  <w:style w:type="character" w:customStyle="1" w:styleId="90">
    <w:name w:val="textcontents"/>
    <w:basedOn w:val="47"/>
    <w:qFormat/>
    <w:uiPriority w:val="0"/>
  </w:style>
  <w:style w:type="character" w:customStyle="1" w:styleId="91">
    <w:name w:val="批注文字 字符"/>
    <w:link w:val="17"/>
    <w:qFormat/>
    <w:uiPriority w:val="0"/>
    <w:rPr>
      <w:kern w:val="2"/>
      <w:sz w:val="21"/>
      <w:szCs w:val="24"/>
    </w:rPr>
  </w:style>
  <w:style w:type="character" w:customStyle="1" w:styleId="92">
    <w:name w:val="short_text"/>
    <w:qFormat/>
    <w:uiPriority w:val="0"/>
  </w:style>
  <w:style w:type="character" w:customStyle="1" w:styleId="93">
    <w:name w:val="页眉 字符"/>
    <w:link w:val="30"/>
    <w:qFormat/>
    <w:uiPriority w:val="0"/>
    <w:rPr>
      <w:kern w:val="2"/>
      <w:sz w:val="18"/>
      <w:szCs w:val="18"/>
    </w:rPr>
  </w:style>
  <w:style w:type="character" w:customStyle="1" w:styleId="94">
    <w:name w:val="无间隔 字符"/>
    <w:link w:val="95"/>
    <w:qFormat/>
    <w:uiPriority w:val="1"/>
    <w:rPr>
      <w:rFonts w:ascii="Calibri" w:hAnsi="Calibri"/>
      <w:sz w:val="22"/>
      <w:szCs w:val="22"/>
    </w:rPr>
  </w:style>
  <w:style w:type="paragraph" w:styleId="95">
    <w:name w:val="No Spacing"/>
    <w:link w:val="94"/>
    <w:qFormat/>
    <w:uiPriority w:val="99"/>
    <w:rPr>
      <w:rFonts w:ascii="Calibri" w:hAnsi="Calibri" w:eastAsia="宋体" w:cs="Times New Roman"/>
      <w:sz w:val="22"/>
      <w:szCs w:val="22"/>
      <w:lang w:val="en-US" w:eastAsia="zh-CN" w:bidi="ar-SA"/>
    </w:rPr>
  </w:style>
  <w:style w:type="character" w:customStyle="1" w:styleId="96">
    <w:name w:val="正文文本 字符"/>
    <w:link w:val="19"/>
    <w:qFormat/>
    <w:uiPriority w:val="0"/>
    <w:rPr>
      <w:b/>
      <w:bCs/>
      <w:kern w:val="2"/>
      <w:sz w:val="21"/>
      <w:szCs w:val="24"/>
    </w:rPr>
  </w:style>
  <w:style w:type="character" w:customStyle="1" w:styleId="97">
    <w:name w:val="批注主题 字符"/>
    <w:link w:val="44"/>
    <w:qFormat/>
    <w:uiPriority w:val="0"/>
    <w:rPr>
      <w:b/>
      <w:bCs/>
      <w:kern w:val="2"/>
      <w:sz w:val="21"/>
      <w:szCs w:val="24"/>
    </w:rPr>
  </w:style>
  <w:style w:type="character" w:customStyle="1" w:styleId="98">
    <w:name w:val="标题 3 字符"/>
    <w:link w:val="4"/>
    <w:qFormat/>
    <w:uiPriority w:val="0"/>
    <w:rPr>
      <w:rFonts w:eastAsia="华文细黑"/>
      <w:bCs/>
      <w:sz w:val="36"/>
      <w:szCs w:val="32"/>
    </w:rPr>
  </w:style>
  <w:style w:type="paragraph" w:customStyle="1" w:styleId="99">
    <w:name w:val="标题 21"/>
    <w:basedOn w:val="1"/>
    <w:qFormat/>
    <w:uiPriority w:val="0"/>
    <w:pPr>
      <w:widowControl/>
      <w:overflowPunct w:val="0"/>
      <w:autoSpaceDE w:val="0"/>
      <w:autoSpaceDN w:val="0"/>
      <w:adjustRightInd w:val="0"/>
      <w:spacing w:before="120" w:after="120"/>
      <w:jc w:val="left"/>
    </w:pPr>
    <w:rPr>
      <w:rFonts w:ascii="Arial" w:hAnsi="Arial" w:eastAsia="PMingLiU"/>
      <w:b/>
      <w:kern w:val="0"/>
      <w:sz w:val="24"/>
      <w:szCs w:val="20"/>
      <w:lang w:eastAsia="zh-TW"/>
    </w:rPr>
  </w:style>
  <w:style w:type="paragraph" w:customStyle="1" w:styleId="100">
    <w:name w:val="标题 11"/>
    <w:basedOn w:val="1"/>
    <w:qFormat/>
    <w:uiPriority w:val="0"/>
    <w:pPr>
      <w:widowControl/>
      <w:overflowPunct w:val="0"/>
      <w:autoSpaceDE w:val="0"/>
      <w:autoSpaceDN w:val="0"/>
      <w:adjustRightInd w:val="0"/>
      <w:spacing w:before="280" w:after="140"/>
      <w:jc w:val="left"/>
    </w:pPr>
    <w:rPr>
      <w:rFonts w:ascii="Arial Black" w:hAnsi="Arial Black" w:eastAsia="PMingLiU"/>
      <w:kern w:val="0"/>
      <w:sz w:val="28"/>
      <w:szCs w:val="20"/>
      <w:lang w:eastAsia="zh-TW"/>
    </w:rPr>
  </w:style>
  <w:style w:type="paragraph" w:customStyle="1" w:styleId="101">
    <w:name w:val="标题 31"/>
    <w:basedOn w:val="1"/>
    <w:qFormat/>
    <w:uiPriority w:val="0"/>
    <w:pPr>
      <w:widowControl/>
      <w:overflowPunct w:val="0"/>
      <w:autoSpaceDE w:val="0"/>
      <w:autoSpaceDN w:val="0"/>
      <w:adjustRightInd w:val="0"/>
      <w:spacing w:before="120" w:after="120"/>
      <w:jc w:val="left"/>
    </w:pPr>
    <w:rPr>
      <w:rFonts w:eastAsia="PMingLiU"/>
      <w:b/>
      <w:kern w:val="0"/>
      <w:sz w:val="24"/>
      <w:szCs w:val="20"/>
      <w:lang w:eastAsia="zh-TW"/>
    </w:rPr>
  </w:style>
  <w:style w:type="paragraph" w:customStyle="1" w:styleId="102">
    <w:name w:val="样式7"/>
    <w:basedOn w:val="1"/>
    <w:qFormat/>
    <w:uiPriority w:val="0"/>
    <w:pPr>
      <w:tabs>
        <w:tab w:val="left" w:pos="1134"/>
      </w:tabs>
      <w:ind w:left="1134" w:hanging="1134"/>
      <w:jc w:val="left"/>
    </w:pPr>
    <w:rPr>
      <w:rFonts w:eastAsia="PMingLiU"/>
      <w:sz w:val="24"/>
      <w:lang w:eastAsia="zh-TW"/>
    </w:rPr>
  </w:style>
  <w:style w:type="paragraph" w:customStyle="1" w:styleId="103">
    <w:name w:val="样式4"/>
    <w:basedOn w:val="1"/>
    <w:qFormat/>
    <w:uiPriority w:val="0"/>
    <w:pPr>
      <w:tabs>
        <w:tab w:val="left" w:pos="1134"/>
      </w:tabs>
      <w:ind w:left="1134" w:hanging="1134"/>
      <w:jc w:val="left"/>
    </w:pPr>
    <w:rPr>
      <w:rFonts w:eastAsia="PMingLiU"/>
      <w:sz w:val="24"/>
      <w:lang w:eastAsia="zh-TW"/>
    </w:rPr>
  </w:style>
  <w:style w:type="paragraph" w:customStyle="1" w:styleId="104">
    <w:name w:val="字元 字元"/>
    <w:basedOn w:val="1"/>
    <w:qFormat/>
    <w:uiPriority w:val="0"/>
    <w:rPr>
      <w:rFonts w:ascii="宋体"/>
      <w:sz w:val="28"/>
    </w:rPr>
  </w:style>
  <w:style w:type="paragraph" w:customStyle="1" w:styleId="105">
    <w:name w:val="IDC A-Head (2nd Line)"/>
    <w:basedOn w:val="1"/>
    <w:next w:val="1"/>
    <w:qFormat/>
    <w:uiPriority w:val="0"/>
    <w:pPr>
      <w:widowControl/>
      <w:jc w:val="center"/>
    </w:pPr>
    <w:rPr>
      <w:rFonts w:eastAsia="PMingLiU"/>
      <w:caps/>
      <w:kern w:val="0"/>
      <w:sz w:val="24"/>
      <w:lang w:eastAsia="en-US"/>
    </w:rPr>
  </w:style>
  <w:style w:type="paragraph" w:customStyle="1" w:styleId="106">
    <w:name w:val="Default Text"/>
    <w:basedOn w:val="1"/>
    <w:qFormat/>
    <w:uiPriority w:val="0"/>
    <w:pPr>
      <w:widowControl/>
      <w:overflowPunct w:val="0"/>
      <w:autoSpaceDE w:val="0"/>
      <w:autoSpaceDN w:val="0"/>
      <w:adjustRightInd w:val="0"/>
      <w:jc w:val="left"/>
    </w:pPr>
    <w:rPr>
      <w:rFonts w:eastAsia="PMingLiU"/>
      <w:kern w:val="0"/>
      <w:sz w:val="24"/>
      <w:szCs w:val="20"/>
      <w:lang w:eastAsia="zh-TW"/>
    </w:rPr>
  </w:style>
  <w:style w:type="paragraph" w:customStyle="1" w:styleId="107">
    <w:name w:val="样式2"/>
    <w:basedOn w:val="1"/>
    <w:qFormat/>
    <w:uiPriority w:val="0"/>
    <w:pPr>
      <w:tabs>
        <w:tab w:val="left" w:pos="1134"/>
      </w:tabs>
      <w:ind w:left="1134" w:hanging="1134"/>
      <w:jc w:val="left"/>
    </w:pPr>
    <w:rPr>
      <w:rFonts w:eastAsia="PMingLiU"/>
      <w:sz w:val="24"/>
      <w:lang w:eastAsia="zh-TW"/>
    </w:rPr>
  </w:style>
  <w:style w:type="paragraph" w:customStyle="1" w:styleId="10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09">
    <w:name w:val="Char Char Char1"/>
    <w:basedOn w:val="1"/>
    <w:qFormat/>
    <w:uiPriority w:val="0"/>
  </w:style>
  <w:style w:type="paragraph" w:customStyle="1" w:styleId="110">
    <w:name w:val="样式 (西文) Times New Roman (中文) 宋体 (符号) 宋体 行距: 固定值 20 磅 首行缩进:  ..."/>
    <w:basedOn w:val="1"/>
    <w:qFormat/>
    <w:uiPriority w:val="0"/>
    <w:pPr>
      <w:widowControl/>
      <w:spacing w:line="400" w:lineRule="exact"/>
      <w:ind w:firstLine="200" w:firstLineChars="200"/>
    </w:pPr>
    <w:rPr>
      <w:rFonts w:hAnsi="宋体" w:cs="宋体"/>
      <w:kern w:val="0"/>
      <w:sz w:val="24"/>
      <w:szCs w:val="20"/>
      <w:lang w:eastAsia="de-DE"/>
    </w:rPr>
  </w:style>
  <w:style w:type="paragraph" w:styleId="111">
    <w:name w:val="List Paragraph"/>
    <w:basedOn w:val="1"/>
    <w:link w:val="147"/>
    <w:qFormat/>
    <w:uiPriority w:val="34"/>
    <w:pPr>
      <w:spacing w:line="400" w:lineRule="atLeast"/>
      <w:ind w:firstLine="420" w:firstLineChars="200"/>
    </w:pPr>
    <w:rPr>
      <w:sz w:val="24"/>
    </w:rPr>
  </w:style>
  <w:style w:type="paragraph" w:customStyle="1" w:styleId="112">
    <w:name w:val="样式9"/>
    <w:basedOn w:val="1"/>
    <w:link w:val="180"/>
    <w:qFormat/>
    <w:uiPriority w:val="0"/>
    <w:pPr>
      <w:tabs>
        <w:tab w:val="left" w:pos="1584"/>
      </w:tabs>
      <w:ind w:left="1584" w:hanging="1584"/>
      <w:jc w:val="left"/>
    </w:pPr>
    <w:rPr>
      <w:rFonts w:eastAsia="PMingLiU"/>
      <w:sz w:val="24"/>
      <w:lang w:eastAsia="zh-TW"/>
    </w:rPr>
  </w:style>
  <w:style w:type="paragraph" w:customStyle="1" w:styleId="113">
    <w:name w:val="xl24"/>
    <w:basedOn w:val="1"/>
    <w:qFormat/>
    <w:uiPriority w:val="0"/>
    <w:pPr>
      <w:widowControl/>
      <w:spacing w:before="100" w:beforeAutospacing="1" w:after="100" w:afterAutospacing="1"/>
      <w:jc w:val="center"/>
    </w:pPr>
    <w:rPr>
      <w:rFonts w:ascii="PMingLiU" w:hAnsi="PMingLiU" w:eastAsia="PMingLiU"/>
      <w:kern w:val="0"/>
      <w:sz w:val="24"/>
      <w:lang w:eastAsia="zh-TW"/>
    </w:rPr>
  </w:style>
  <w:style w:type="paragraph" w:customStyle="1" w:styleId="114">
    <w:name w:val="Char"/>
    <w:basedOn w:val="1"/>
    <w:qFormat/>
    <w:uiPriority w:val="0"/>
    <w:pPr>
      <w:tabs>
        <w:tab w:val="left" w:pos="360"/>
      </w:tabs>
    </w:pPr>
    <w:rPr>
      <w:sz w:val="24"/>
    </w:rPr>
  </w:style>
  <w:style w:type="paragraph" w:customStyle="1" w:styleId="115">
    <w:name w:val="样式 标题 2 + (西文) Times New Roman (中文) 仿宋_GB2312 居中 段前: 6 磅 段后:..."/>
    <w:basedOn w:val="3"/>
    <w:qFormat/>
    <w:uiPriority w:val="0"/>
    <w:pPr>
      <w:keepNext/>
      <w:keepLines/>
      <w:spacing w:before="120" w:after="120" w:line="360" w:lineRule="auto"/>
      <w:ind w:firstLine="200" w:firstLineChars="200"/>
    </w:pPr>
    <w:rPr>
      <w:rFonts w:ascii="Times New Roman" w:hAnsi="Times New Roman" w:eastAsia="仿宋_GB2312" w:cs="宋体"/>
      <w:kern w:val="2"/>
      <w:sz w:val="32"/>
      <w:szCs w:val="20"/>
    </w:rPr>
  </w:style>
  <w:style w:type="paragraph" w:customStyle="1" w:styleId="116">
    <w:name w:val="ZD-主标题"/>
    <w:basedOn w:val="1"/>
    <w:qFormat/>
    <w:uiPriority w:val="0"/>
    <w:pPr>
      <w:pageBreakBefore/>
      <w:adjustRightInd w:val="0"/>
      <w:spacing w:before="156" w:line="360" w:lineRule="auto"/>
      <w:ind w:left="-180" w:leftChars="-75" w:firstLine="156" w:firstLineChars="44"/>
      <w:jc w:val="center"/>
      <w:textAlignment w:val="baseline"/>
    </w:pPr>
    <w:rPr>
      <w:rFonts w:ascii="宋体" w:hAnsi="宋体"/>
      <w:b/>
      <w:bCs/>
      <w:color w:val="000000"/>
      <w:kern w:val="0"/>
      <w:sz w:val="36"/>
      <w:szCs w:val="20"/>
    </w:rPr>
  </w:style>
  <w:style w:type="paragraph" w:customStyle="1" w:styleId="117">
    <w:name w:val="正文样式"/>
    <w:basedOn w:val="20"/>
    <w:qFormat/>
    <w:uiPriority w:val="0"/>
    <w:pPr>
      <w:ind w:firstLine="420" w:firstLineChars="200"/>
      <w:jc w:val="left"/>
    </w:pPr>
    <w:rPr>
      <w:rFonts w:hAnsi="Times New Roman" w:cs="宋体"/>
      <w:sz w:val="21"/>
    </w:rPr>
  </w:style>
  <w:style w:type="paragraph" w:customStyle="1" w:styleId="118">
    <w:name w:val="制表位"/>
    <w:basedOn w:val="1"/>
    <w:qFormat/>
    <w:uiPriority w:val="0"/>
    <w:pPr>
      <w:tabs>
        <w:tab w:val="left" w:pos="1135"/>
      </w:tabs>
      <w:spacing w:before="93" w:beforeLines="30" w:after="93" w:afterLines="30"/>
      <w:jc w:val="left"/>
    </w:pPr>
    <w:rPr>
      <w:rFonts w:ascii="Arial" w:hAnsi="Arial" w:eastAsia="PMingLiU" w:cs="Arial"/>
      <w:sz w:val="24"/>
    </w:rPr>
  </w:style>
  <w:style w:type="paragraph" w:customStyle="1" w:styleId="119">
    <w:name w:val="正文1"/>
    <w:basedOn w:val="1"/>
    <w:qFormat/>
    <w:uiPriority w:val="0"/>
    <w:pPr>
      <w:widowControl/>
      <w:overflowPunct w:val="0"/>
      <w:autoSpaceDE w:val="0"/>
      <w:autoSpaceDN w:val="0"/>
      <w:adjustRightInd w:val="0"/>
      <w:jc w:val="left"/>
    </w:pPr>
    <w:rPr>
      <w:rFonts w:ascii="PMingLiU" w:eastAsia="PMingLiU"/>
      <w:kern w:val="0"/>
      <w:sz w:val="24"/>
      <w:szCs w:val="20"/>
      <w:lang w:eastAsia="zh-TW"/>
    </w:rPr>
  </w:style>
  <w:style w:type="paragraph" w:customStyle="1" w:styleId="120">
    <w:name w:val="Bullet"/>
    <w:basedOn w:val="1"/>
    <w:qFormat/>
    <w:uiPriority w:val="0"/>
    <w:pPr>
      <w:widowControl/>
      <w:tabs>
        <w:tab w:val="left" w:pos="360"/>
      </w:tabs>
      <w:spacing w:after="120" w:line="320" w:lineRule="exact"/>
      <w:ind w:left="360" w:hanging="360"/>
    </w:pPr>
    <w:rPr>
      <w:rFonts w:ascii="Arial Narrow" w:hAnsi="Arial Narrow" w:eastAsia="PMingLiU"/>
      <w:kern w:val="0"/>
      <w:sz w:val="22"/>
      <w:szCs w:val="22"/>
      <w:lang w:eastAsia="en-US"/>
    </w:rPr>
  </w:style>
  <w:style w:type="paragraph" w:customStyle="1" w:styleId="121">
    <w:name w:val="样式3"/>
    <w:basedOn w:val="1"/>
    <w:qFormat/>
    <w:uiPriority w:val="0"/>
    <w:pPr>
      <w:tabs>
        <w:tab w:val="left" w:pos="1134"/>
      </w:tabs>
      <w:ind w:left="1134" w:hanging="1134"/>
      <w:jc w:val="left"/>
    </w:pPr>
    <w:rPr>
      <w:rFonts w:eastAsia="PMingLiU"/>
      <w:sz w:val="24"/>
      <w:lang w:eastAsia="zh-TW"/>
    </w:rPr>
  </w:style>
  <w:style w:type="paragraph" w:customStyle="1" w:styleId="122">
    <w:name w:val="Char Char1"/>
    <w:basedOn w:val="1"/>
    <w:qFormat/>
    <w:uiPriority w:val="0"/>
    <w:pPr>
      <w:widowControl/>
      <w:spacing w:before="100" w:beforeAutospacing="1" w:after="100" w:afterAutospacing="1"/>
      <w:ind w:firstLine="200" w:firstLineChars="200"/>
      <w:jc w:val="left"/>
    </w:pPr>
    <w:rPr>
      <w:rFonts w:ascii="Verdana" w:hAnsi="Verdana" w:eastAsia="仿宋_GB2312"/>
      <w:kern w:val="0"/>
      <w:sz w:val="20"/>
      <w:szCs w:val="21"/>
      <w:lang w:eastAsia="en-US"/>
    </w:rPr>
  </w:style>
  <w:style w:type="paragraph" w:customStyle="1" w:styleId="123">
    <w:name w:val="Char Char Char Char Char1 Char"/>
    <w:basedOn w:val="1"/>
    <w:qFormat/>
    <w:uiPriority w:val="0"/>
    <w:rPr>
      <w:rFonts w:ascii="仿宋_GB2312" w:eastAsia="仿宋_GB2312"/>
      <w:b/>
      <w:sz w:val="32"/>
      <w:szCs w:val="32"/>
    </w:rPr>
  </w:style>
  <w:style w:type="paragraph" w:customStyle="1" w:styleId="124">
    <w:name w:val="清單段落"/>
    <w:basedOn w:val="1"/>
    <w:qFormat/>
    <w:uiPriority w:val="34"/>
    <w:pPr>
      <w:ind w:left="480" w:leftChars="200"/>
      <w:jc w:val="left"/>
    </w:pPr>
    <w:rPr>
      <w:rFonts w:eastAsia="PMingLiU"/>
      <w:sz w:val="24"/>
      <w:szCs w:val="20"/>
      <w:lang w:eastAsia="zh-TW"/>
    </w:rPr>
  </w:style>
  <w:style w:type="paragraph" w:customStyle="1" w:styleId="125">
    <w:name w:val="xl44"/>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26">
    <w:name w:val="样式1"/>
    <w:basedOn w:val="1"/>
    <w:next w:val="39"/>
    <w:qFormat/>
    <w:uiPriority w:val="0"/>
    <w:pPr>
      <w:ind w:firstLine="480"/>
    </w:pPr>
    <w:rPr>
      <w:sz w:val="24"/>
    </w:rPr>
  </w:style>
  <w:style w:type="paragraph" w:customStyle="1" w:styleId="127">
    <w:name w:val="样式5"/>
    <w:basedOn w:val="1"/>
    <w:qFormat/>
    <w:uiPriority w:val="0"/>
    <w:pPr>
      <w:tabs>
        <w:tab w:val="left" w:pos="1134"/>
      </w:tabs>
      <w:ind w:left="1134" w:hanging="1134"/>
      <w:jc w:val="left"/>
    </w:pPr>
    <w:rPr>
      <w:rFonts w:eastAsia="PMingLiU"/>
      <w:sz w:val="24"/>
      <w:lang w:eastAsia="zh-TW"/>
    </w:rPr>
  </w:style>
  <w:style w:type="paragraph" w:customStyle="1" w:styleId="128">
    <w:name w:val="样式8"/>
    <w:basedOn w:val="1"/>
    <w:qFormat/>
    <w:uiPriority w:val="0"/>
    <w:pPr>
      <w:tabs>
        <w:tab w:val="left" w:pos="1134"/>
      </w:tabs>
      <w:ind w:left="1134" w:hanging="1134"/>
      <w:jc w:val="left"/>
    </w:pPr>
    <w:rPr>
      <w:rFonts w:eastAsia="PMingLiU"/>
      <w:sz w:val="24"/>
      <w:lang w:eastAsia="zh-TW"/>
    </w:rPr>
  </w:style>
  <w:style w:type="paragraph" w:customStyle="1" w:styleId="129">
    <w:name w:val="Footer Left"/>
    <w:basedOn w:val="29"/>
    <w:qFormat/>
    <w:uiPriority w:val="35"/>
    <w:pPr>
      <w:widowControl/>
      <w:pBdr>
        <w:top w:val="dashed" w:color="7F7F7F" w:sz="4" w:space="18"/>
      </w:pBdr>
      <w:tabs>
        <w:tab w:val="center" w:pos="4320"/>
        <w:tab w:val="right" w:pos="8640"/>
        <w:tab w:val="clear" w:pos="4153"/>
        <w:tab w:val="clear" w:pos="8306"/>
      </w:tabs>
      <w:snapToGrid/>
      <w:spacing w:after="200"/>
      <w:contextualSpacing/>
    </w:pPr>
    <w:rPr>
      <w:rFonts w:ascii="Calibri" w:hAnsi="Calibri"/>
      <w:color w:val="7F7F7F"/>
      <w:kern w:val="0"/>
      <w:sz w:val="20"/>
      <w:szCs w:val="20"/>
    </w:rPr>
  </w:style>
  <w:style w:type="paragraph" w:customStyle="1" w:styleId="130">
    <w:name w:val="Header Right"/>
    <w:basedOn w:val="30"/>
    <w:qFormat/>
    <w:uiPriority w:val="35"/>
    <w:pPr>
      <w:widowControl/>
      <w:pBdr>
        <w:bottom w:val="dashed" w:color="7F7F7F" w:sz="4" w:space="18"/>
      </w:pBdr>
      <w:tabs>
        <w:tab w:val="center" w:pos="4320"/>
        <w:tab w:val="right" w:pos="8640"/>
        <w:tab w:val="clear" w:pos="4153"/>
        <w:tab w:val="clear" w:pos="8306"/>
      </w:tabs>
      <w:snapToGrid/>
      <w:spacing w:after="200" w:line="276" w:lineRule="auto"/>
      <w:jc w:val="right"/>
    </w:pPr>
    <w:rPr>
      <w:rFonts w:ascii="Calibri" w:hAnsi="Calibri"/>
      <w:color w:val="7F7F7F"/>
      <w:kern w:val="0"/>
      <w:sz w:val="20"/>
      <w:szCs w:val="20"/>
    </w:rPr>
  </w:style>
  <w:style w:type="paragraph" w:customStyle="1" w:styleId="131">
    <w:name w:val="样式6"/>
    <w:basedOn w:val="1"/>
    <w:qFormat/>
    <w:uiPriority w:val="0"/>
    <w:pPr>
      <w:tabs>
        <w:tab w:val="left" w:pos="1134"/>
      </w:tabs>
      <w:ind w:left="1134" w:hanging="1134"/>
      <w:jc w:val="left"/>
    </w:pPr>
    <w:rPr>
      <w:rFonts w:eastAsia="PMingLiU"/>
      <w:sz w:val="24"/>
      <w:lang w:eastAsia="zh-TW"/>
    </w:rPr>
  </w:style>
  <w:style w:type="paragraph" w:customStyle="1" w:styleId="132">
    <w:name w:val="Char1"/>
    <w:basedOn w:val="1"/>
    <w:qFormat/>
    <w:uiPriority w:val="0"/>
    <w:pPr>
      <w:tabs>
        <w:tab w:val="left" w:pos="360"/>
      </w:tabs>
    </w:pPr>
    <w:rPr>
      <w:sz w:val="24"/>
    </w:rPr>
  </w:style>
  <w:style w:type="paragraph" w:customStyle="1" w:styleId="133">
    <w:name w:val="Header Left"/>
    <w:basedOn w:val="30"/>
    <w:qFormat/>
    <w:uiPriority w:val="35"/>
    <w:pPr>
      <w:widowControl/>
      <w:pBdr>
        <w:bottom w:val="dashed" w:color="7F7F7F" w:sz="4" w:space="18"/>
      </w:pBdr>
      <w:tabs>
        <w:tab w:val="center" w:pos="4320"/>
        <w:tab w:val="right" w:pos="8640"/>
        <w:tab w:val="clear" w:pos="4153"/>
        <w:tab w:val="clear" w:pos="8306"/>
      </w:tabs>
      <w:snapToGrid/>
      <w:spacing w:after="200" w:line="396" w:lineRule="auto"/>
      <w:jc w:val="left"/>
    </w:pPr>
    <w:rPr>
      <w:rFonts w:ascii="Calibri" w:hAnsi="Calibri"/>
      <w:color w:val="7F7F7F"/>
      <w:kern w:val="0"/>
      <w:sz w:val="20"/>
      <w:szCs w:val="20"/>
    </w:rPr>
  </w:style>
  <w:style w:type="paragraph" w:customStyle="1" w:styleId="134">
    <w:name w:val="xl4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7">
    <w:name w:val="xl65"/>
    <w:basedOn w:val="1"/>
    <w:qFormat/>
    <w:uiPriority w:val="0"/>
    <w:pPr>
      <w:widowControl/>
      <w:spacing w:before="100" w:beforeAutospacing="1" w:after="100" w:afterAutospacing="1"/>
      <w:jc w:val="left"/>
    </w:pPr>
    <w:rPr>
      <w:rFonts w:ascii="仿宋_GB2312" w:hAnsi="宋体" w:eastAsia="仿宋_GB2312" w:cs="宋体"/>
      <w:kern w:val="0"/>
      <w:sz w:val="20"/>
      <w:szCs w:val="20"/>
    </w:rPr>
  </w:style>
  <w:style w:type="paragraph" w:customStyle="1" w:styleId="138">
    <w:name w:val="xl66"/>
    <w:basedOn w:val="1"/>
    <w:qFormat/>
    <w:uiPriority w:val="0"/>
    <w:pPr>
      <w:widowControl/>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139">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140">
    <w:name w:val="xl6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1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43">
    <w:name w:val="xl71"/>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44">
    <w:name w:val="xl72"/>
    <w:basedOn w:val="1"/>
    <w:qFormat/>
    <w:uiPriority w:val="0"/>
    <w:pPr>
      <w:widowControl/>
      <w:shd w:val="clear" w:color="000000" w:fill="DAEEF3"/>
      <w:spacing w:before="100" w:beforeAutospacing="1" w:after="100" w:afterAutospacing="1"/>
      <w:jc w:val="left"/>
    </w:pPr>
    <w:rPr>
      <w:rFonts w:ascii="仿宋_GB2312" w:hAnsi="宋体" w:eastAsia="仿宋_GB2312" w:cs="宋体"/>
      <w:kern w:val="0"/>
      <w:sz w:val="20"/>
      <w:szCs w:val="20"/>
    </w:rPr>
  </w:style>
  <w:style w:type="character" w:customStyle="1" w:styleId="145">
    <w:name w:val="批注文字 Char2"/>
    <w:semiHidden/>
    <w:qFormat/>
    <w:uiPriority w:val="99"/>
  </w:style>
  <w:style w:type="paragraph" w:customStyle="1" w:styleId="146">
    <w:name w:val="标题 12"/>
    <w:basedOn w:val="1"/>
    <w:next w:val="1"/>
    <w:qFormat/>
    <w:uiPriority w:val="0"/>
    <w:pPr>
      <w:keepNext/>
      <w:keepLines/>
      <w:widowControl/>
      <w:spacing w:before="340" w:after="330"/>
      <w:jc w:val="left"/>
      <w:outlineLvl w:val="0"/>
    </w:pPr>
    <w:rPr>
      <w:rFonts w:ascii="华文细黑" w:eastAsia="华文细黑"/>
      <w:b/>
      <w:bCs/>
      <w:snapToGrid w:val="0"/>
      <w:kern w:val="0"/>
      <w:sz w:val="52"/>
      <w:szCs w:val="44"/>
    </w:rPr>
  </w:style>
  <w:style w:type="character" w:customStyle="1" w:styleId="147">
    <w:name w:val="列出段落 字符"/>
    <w:link w:val="111"/>
    <w:qFormat/>
    <w:uiPriority w:val="34"/>
    <w:rPr>
      <w:kern w:val="2"/>
      <w:sz w:val="24"/>
      <w:szCs w:val="24"/>
    </w:rPr>
  </w:style>
  <w:style w:type="character" w:customStyle="1" w:styleId="148">
    <w:name w:val="文档结构图 Char1"/>
    <w:semiHidden/>
    <w:qFormat/>
    <w:uiPriority w:val="99"/>
    <w:rPr>
      <w:rFonts w:ascii="宋体" w:hAnsi="Times New Roman" w:eastAsia="宋体" w:cs="Times New Roman"/>
      <w:sz w:val="18"/>
      <w:szCs w:val="18"/>
    </w:rPr>
  </w:style>
  <w:style w:type="character" w:customStyle="1" w:styleId="149">
    <w:name w:val="日期 Char1"/>
    <w:semiHidden/>
    <w:qFormat/>
    <w:uiPriority w:val="99"/>
    <w:rPr>
      <w:rFonts w:ascii="Times New Roman" w:hAnsi="Times New Roman" w:eastAsia="宋体" w:cs="Times New Roman"/>
      <w:szCs w:val="24"/>
    </w:rPr>
  </w:style>
  <w:style w:type="character" w:customStyle="1" w:styleId="150">
    <w:name w:val="页脚 Char1"/>
    <w:semiHidden/>
    <w:qFormat/>
    <w:uiPriority w:val="99"/>
    <w:rPr>
      <w:rFonts w:ascii="Times New Roman" w:hAnsi="Times New Roman" w:eastAsia="宋体" w:cs="Times New Roman"/>
      <w:sz w:val="18"/>
      <w:szCs w:val="18"/>
    </w:rPr>
  </w:style>
  <w:style w:type="character" w:customStyle="1" w:styleId="151">
    <w:name w:val="页眉 Char1"/>
    <w:semiHidden/>
    <w:qFormat/>
    <w:uiPriority w:val="99"/>
    <w:rPr>
      <w:rFonts w:ascii="Times New Roman" w:hAnsi="Times New Roman" w:eastAsia="宋体" w:cs="Times New Roman"/>
      <w:sz w:val="18"/>
      <w:szCs w:val="18"/>
    </w:rPr>
  </w:style>
  <w:style w:type="character" w:customStyle="1" w:styleId="152">
    <w:name w:val="批注框文本 Char1"/>
    <w:semiHidden/>
    <w:qFormat/>
    <w:uiPriority w:val="99"/>
    <w:rPr>
      <w:rFonts w:ascii="Times New Roman" w:hAnsi="Times New Roman" w:eastAsia="宋体" w:cs="Times New Roman"/>
      <w:sz w:val="18"/>
      <w:szCs w:val="18"/>
    </w:rPr>
  </w:style>
  <w:style w:type="character" w:customStyle="1" w:styleId="153">
    <w:name w:val="日期 Char2"/>
    <w:semiHidden/>
    <w:qFormat/>
    <w:uiPriority w:val="0"/>
    <w:rPr>
      <w:rFonts w:ascii="Times New Roman" w:hAnsi="Times New Roman" w:eastAsia="宋体" w:cs="Times New Roman"/>
      <w:szCs w:val="24"/>
    </w:rPr>
  </w:style>
  <w:style w:type="paragraph" w:customStyle="1" w:styleId="154">
    <w:name w:val="列出段落1"/>
    <w:basedOn w:val="1"/>
    <w:qFormat/>
    <w:uiPriority w:val="0"/>
    <w:pPr>
      <w:ind w:firstLine="420" w:firstLineChars="200"/>
    </w:pPr>
    <w:rPr>
      <w:rFonts w:ascii="Calibri" w:hAnsi="Calibri"/>
      <w:szCs w:val="22"/>
    </w:rPr>
  </w:style>
  <w:style w:type="paragraph" w:customStyle="1" w:styleId="155">
    <w:name w:val="p3"/>
    <w:basedOn w:val="1"/>
    <w:qFormat/>
    <w:uiPriority w:val="0"/>
    <w:pPr>
      <w:spacing w:line="30" w:lineRule="atLeast"/>
      <w:jc w:val="center"/>
    </w:pPr>
    <w:rPr>
      <w:rFonts w:hint="eastAsia" w:ascii="宋体" w:hAnsi="宋体" w:cs="宋体"/>
      <w:kern w:val="0"/>
      <w:sz w:val="36"/>
      <w:szCs w:val="36"/>
    </w:rPr>
  </w:style>
  <w:style w:type="paragraph" w:customStyle="1" w:styleId="156">
    <w:name w:val="p19"/>
    <w:basedOn w:val="1"/>
    <w:qFormat/>
    <w:uiPriority w:val="0"/>
    <w:pPr>
      <w:spacing w:line="30" w:lineRule="atLeast"/>
      <w:jc w:val="left"/>
    </w:pPr>
    <w:rPr>
      <w:rFonts w:ascii="黑体" w:hAnsi="宋体" w:eastAsia="黑体" w:cs="黑体"/>
      <w:kern w:val="0"/>
      <w:sz w:val="28"/>
      <w:szCs w:val="28"/>
    </w:rPr>
  </w:style>
  <w:style w:type="paragraph" w:customStyle="1" w:styleId="157">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158">
    <w:name w:val="列出段落2"/>
    <w:basedOn w:val="1"/>
    <w:unhideWhenUsed/>
    <w:qFormat/>
    <w:uiPriority w:val="99"/>
    <w:pPr>
      <w:ind w:firstLine="420" w:firstLineChars="200"/>
    </w:pPr>
  </w:style>
  <w:style w:type="paragraph" w:customStyle="1" w:styleId="159">
    <w:name w:val="z-窗体顶端1"/>
    <w:basedOn w:val="1"/>
    <w:link w:val="160"/>
    <w:qFormat/>
    <w:uiPriority w:val="0"/>
    <w:pPr>
      <w:ind w:firstLine="420" w:firstLineChars="200"/>
    </w:pPr>
  </w:style>
  <w:style w:type="character" w:customStyle="1" w:styleId="160">
    <w:name w:val="z-窗体顶端 Char"/>
    <w:link w:val="159"/>
    <w:qFormat/>
    <w:uiPriority w:val="0"/>
    <w:rPr>
      <w:kern w:val="2"/>
      <w:sz w:val="21"/>
      <w:szCs w:val="24"/>
    </w:rPr>
  </w:style>
  <w:style w:type="paragraph" w:customStyle="1" w:styleId="161">
    <w:name w:val="p8"/>
    <w:basedOn w:val="1"/>
    <w:qFormat/>
    <w:uiPriority w:val="0"/>
    <w:pPr>
      <w:spacing w:line="30" w:lineRule="atLeast"/>
      <w:jc w:val="left"/>
    </w:pPr>
    <w:rPr>
      <w:rFonts w:hint="eastAsia" w:ascii="宋体" w:hAnsi="宋体" w:cs="宋体"/>
      <w:kern w:val="0"/>
      <w:szCs w:val="21"/>
    </w:rPr>
  </w:style>
  <w:style w:type="character" w:customStyle="1" w:styleId="162">
    <w:name w:val="ggwenhao"/>
    <w:semiHidden/>
    <w:qFormat/>
    <w:uiPriority w:val="0"/>
  </w:style>
  <w:style w:type="paragraph" w:customStyle="1" w:styleId="163">
    <w:name w:val="标题二"/>
    <w:basedOn w:val="111"/>
    <w:link w:val="165"/>
    <w:qFormat/>
    <w:uiPriority w:val="0"/>
    <w:pPr>
      <w:spacing w:line="360" w:lineRule="exact"/>
      <w:ind w:left="709" w:firstLine="0" w:firstLineChars="0"/>
    </w:pPr>
    <w:rPr>
      <w:rFonts w:ascii="Arial" w:hAnsi="Arial"/>
      <w:color w:val="FF0000"/>
      <w:sz w:val="20"/>
      <w:szCs w:val="22"/>
    </w:rPr>
  </w:style>
  <w:style w:type="paragraph" w:customStyle="1" w:styleId="164">
    <w:name w:val="标题三"/>
    <w:basedOn w:val="111"/>
    <w:link w:val="167"/>
    <w:qFormat/>
    <w:uiPriority w:val="0"/>
    <w:pPr>
      <w:tabs>
        <w:tab w:val="left" w:pos="360"/>
      </w:tabs>
      <w:spacing w:line="360" w:lineRule="exact"/>
      <w:ind w:firstLine="0" w:firstLineChars="0"/>
    </w:pPr>
    <w:rPr>
      <w:rFonts w:ascii="Arial" w:hAnsi="Arial"/>
      <w:color w:val="FF0000"/>
      <w:sz w:val="20"/>
      <w:szCs w:val="22"/>
    </w:rPr>
  </w:style>
  <w:style w:type="character" w:customStyle="1" w:styleId="165">
    <w:name w:val="标题二 Char"/>
    <w:link w:val="163"/>
    <w:qFormat/>
    <w:uiPriority w:val="0"/>
    <w:rPr>
      <w:rFonts w:ascii="Arial" w:hAnsi="Arial"/>
      <w:color w:val="FF0000"/>
      <w:kern w:val="2"/>
      <w:szCs w:val="22"/>
    </w:rPr>
  </w:style>
  <w:style w:type="paragraph" w:customStyle="1" w:styleId="166">
    <w:name w:val="标题一"/>
    <w:basedOn w:val="111"/>
    <w:link w:val="169"/>
    <w:qFormat/>
    <w:uiPriority w:val="0"/>
    <w:pPr>
      <w:spacing w:line="360" w:lineRule="exact"/>
      <w:ind w:left="425" w:firstLine="0" w:firstLineChars="0"/>
    </w:pPr>
    <w:rPr>
      <w:rFonts w:ascii="Arial" w:hAnsi="Arial"/>
      <w:b/>
      <w:lang w:eastAsia="zh-TW"/>
    </w:rPr>
  </w:style>
  <w:style w:type="character" w:customStyle="1" w:styleId="167">
    <w:name w:val="标题三 Char"/>
    <w:link w:val="164"/>
    <w:qFormat/>
    <w:uiPriority w:val="0"/>
    <w:rPr>
      <w:rFonts w:ascii="Arial" w:hAnsi="Arial"/>
      <w:color w:val="FF0000"/>
      <w:kern w:val="2"/>
      <w:szCs w:val="22"/>
    </w:rPr>
  </w:style>
  <w:style w:type="paragraph" w:customStyle="1" w:styleId="168">
    <w:name w:val="标题四"/>
    <w:basedOn w:val="164"/>
    <w:link w:val="170"/>
    <w:qFormat/>
    <w:uiPriority w:val="0"/>
    <w:pPr>
      <w:tabs>
        <w:tab w:val="clear" w:pos="360"/>
      </w:tabs>
    </w:pPr>
  </w:style>
  <w:style w:type="character" w:customStyle="1" w:styleId="169">
    <w:name w:val="标题一 Char"/>
    <w:link w:val="166"/>
    <w:qFormat/>
    <w:uiPriority w:val="0"/>
    <w:rPr>
      <w:rFonts w:ascii="Arial" w:hAnsi="Arial"/>
      <w:b/>
      <w:kern w:val="2"/>
      <w:sz w:val="24"/>
      <w:szCs w:val="24"/>
      <w:lang w:eastAsia="zh-TW"/>
    </w:rPr>
  </w:style>
  <w:style w:type="character" w:customStyle="1" w:styleId="170">
    <w:name w:val="标题四 Char"/>
    <w:link w:val="168"/>
    <w:qFormat/>
    <w:uiPriority w:val="0"/>
    <w:rPr>
      <w:rFonts w:ascii="Arial" w:hAnsi="Arial"/>
      <w:color w:val="FF0000"/>
      <w:kern w:val="2"/>
      <w:szCs w:val="22"/>
    </w:rPr>
  </w:style>
  <w:style w:type="paragraph" w:customStyle="1" w:styleId="171">
    <w:name w:val="标题五2"/>
    <w:basedOn w:val="168"/>
    <w:qFormat/>
    <w:uiPriority w:val="0"/>
    <w:pPr>
      <w:ind w:left="1843" w:hanging="420"/>
    </w:pPr>
  </w:style>
  <w:style w:type="paragraph" w:customStyle="1" w:styleId="172">
    <w:name w:val="标题五"/>
    <w:basedOn w:val="1"/>
    <w:link w:val="173"/>
    <w:qFormat/>
    <w:uiPriority w:val="0"/>
    <w:pPr>
      <w:numPr>
        <w:ilvl w:val="0"/>
        <w:numId w:val="5"/>
      </w:numPr>
      <w:tabs>
        <w:tab w:val="left" w:pos="1080"/>
        <w:tab w:val="left" w:pos="1440"/>
      </w:tabs>
      <w:spacing w:line="360" w:lineRule="exact"/>
      <w:jc w:val="left"/>
    </w:pPr>
    <w:rPr>
      <w:rFonts w:ascii="Arial" w:hAnsi="Arial"/>
      <w:sz w:val="20"/>
      <w:szCs w:val="22"/>
    </w:rPr>
  </w:style>
  <w:style w:type="character" w:customStyle="1" w:styleId="173">
    <w:name w:val="标题五 Char"/>
    <w:link w:val="172"/>
    <w:qFormat/>
    <w:uiPriority w:val="0"/>
    <w:rPr>
      <w:rFonts w:ascii="Arial" w:hAnsi="Arial"/>
      <w:kern w:val="2"/>
      <w:szCs w:val="22"/>
    </w:rPr>
  </w:style>
  <w:style w:type="paragraph" w:customStyle="1" w:styleId="174">
    <w:name w:val="二级标题"/>
    <w:basedOn w:val="95"/>
    <w:link w:val="175"/>
    <w:qFormat/>
    <w:uiPriority w:val="0"/>
    <w:pPr>
      <w:widowControl w:val="0"/>
      <w:numPr>
        <w:ilvl w:val="1"/>
        <w:numId w:val="6"/>
      </w:numPr>
    </w:pPr>
    <w:rPr>
      <w:rFonts w:ascii="宋体" w:hAnsi="宋体"/>
      <w:b/>
      <w:kern w:val="2"/>
      <w:sz w:val="20"/>
      <w:szCs w:val="20"/>
    </w:rPr>
  </w:style>
  <w:style w:type="character" w:customStyle="1" w:styleId="175">
    <w:name w:val="二级标题 Char"/>
    <w:link w:val="174"/>
    <w:qFormat/>
    <w:uiPriority w:val="0"/>
    <w:rPr>
      <w:rFonts w:ascii="宋体" w:hAnsi="宋体"/>
      <w:b/>
      <w:kern w:val="2"/>
    </w:rPr>
  </w:style>
  <w:style w:type="paragraph" w:customStyle="1" w:styleId="176">
    <w:name w:val="三级 标题"/>
    <w:basedOn w:val="174"/>
    <w:link w:val="178"/>
    <w:qFormat/>
    <w:uiPriority w:val="0"/>
    <w:pPr>
      <w:numPr>
        <w:ilvl w:val="2"/>
        <w:numId w:val="7"/>
      </w:numPr>
    </w:pPr>
  </w:style>
  <w:style w:type="paragraph" w:customStyle="1" w:styleId="177">
    <w:name w:val="四级标题"/>
    <w:basedOn w:val="176"/>
    <w:link w:val="179"/>
    <w:qFormat/>
    <w:uiPriority w:val="0"/>
    <w:pPr>
      <w:numPr>
        <w:ilvl w:val="3"/>
      </w:numPr>
    </w:pPr>
    <w:rPr>
      <w:b w:val="0"/>
    </w:rPr>
  </w:style>
  <w:style w:type="character" w:customStyle="1" w:styleId="178">
    <w:name w:val="三级 标题 Char"/>
    <w:link w:val="176"/>
    <w:qFormat/>
    <w:uiPriority w:val="0"/>
    <w:rPr>
      <w:rFonts w:ascii="宋体" w:hAnsi="宋体"/>
      <w:b/>
      <w:kern w:val="2"/>
    </w:rPr>
  </w:style>
  <w:style w:type="character" w:customStyle="1" w:styleId="179">
    <w:name w:val="四级标题 Char"/>
    <w:link w:val="177"/>
    <w:qFormat/>
    <w:uiPriority w:val="0"/>
    <w:rPr>
      <w:rFonts w:ascii="宋体" w:hAnsi="宋体"/>
      <w:kern w:val="2"/>
    </w:rPr>
  </w:style>
  <w:style w:type="character" w:customStyle="1" w:styleId="180">
    <w:name w:val="样式9 Char"/>
    <w:link w:val="112"/>
    <w:qFormat/>
    <w:uiPriority w:val="0"/>
    <w:rPr>
      <w:rFonts w:eastAsia="PMingLiU"/>
      <w:kern w:val="2"/>
      <w:sz w:val="24"/>
      <w:szCs w:val="24"/>
      <w:lang w:eastAsia="zh-TW"/>
    </w:rPr>
  </w:style>
  <w:style w:type="character" w:customStyle="1" w:styleId="181">
    <w:name w:val="副标题 字符"/>
    <w:link w:val="33"/>
    <w:qFormat/>
    <w:uiPriority w:val="11"/>
    <w:rPr>
      <w:rFonts w:ascii="Cambria" w:hAnsi="Cambria"/>
      <w:b/>
      <w:bCs/>
      <w:kern w:val="28"/>
      <w:sz w:val="32"/>
      <w:szCs w:val="32"/>
    </w:rPr>
  </w:style>
  <w:style w:type="paragraph" w:customStyle="1" w:styleId="182">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Heading 2_1"/>
    <w:basedOn w:val="182"/>
    <w:link w:val="184"/>
    <w:qFormat/>
    <w:uiPriority w:val="0"/>
    <w:pPr>
      <w:spacing w:before="260" w:after="260"/>
      <w:jc w:val="center"/>
      <w:outlineLvl w:val="1"/>
    </w:pPr>
    <w:rPr>
      <w:rFonts w:ascii="华文细黑" w:hAnsi="Arial"/>
      <w:b/>
      <w:bCs/>
      <w:kern w:val="0"/>
      <w:sz w:val="44"/>
      <w:szCs w:val="32"/>
    </w:rPr>
  </w:style>
  <w:style w:type="character" w:customStyle="1" w:styleId="184">
    <w:name w:val="标题 2 Char_1"/>
    <w:link w:val="183"/>
    <w:qFormat/>
    <w:uiPriority w:val="0"/>
    <w:rPr>
      <w:rFonts w:ascii="华文细黑" w:hAnsi="Arial"/>
      <w:b/>
      <w:bCs/>
      <w:sz w:val="44"/>
      <w:szCs w:val="32"/>
    </w:rPr>
  </w:style>
  <w:style w:type="paragraph" w:customStyle="1" w:styleId="185">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Default"/>
    <w:qFormat/>
    <w:uiPriority w:val="0"/>
    <w:pPr>
      <w:widowControl w:val="0"/>
      <w:autoSpaceDE w:val="0"/>
      <w:autoSpaceDN w:val="0"/>
      <w:adjustRightInd w:val="0"/>
      <w:spacing w:after="0" w:line="240" w:lineRule="auto"/>
    </w:pPr>
    <w:rPr>
      <w:rFonts w:ascii="Arial" w:hAnsi="Arial" w:eastAsia="宋体" w:cs="Times New Roman"/>
      <w:color w:val="00000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ontrol" Target="activeX/activeX9.xml"/><Relationship Id="rId15" Type="http://schemas.openxmlformats.org/officeDocument/2006/relationships/image" Target="media/image2.wmf"/><Relationship Id="rId14" Type="http://schemas.openxmlformats.org/officeDocument/2006/relationships/control" Target="activeX/activeX8.xml"/><Relationship Id="rId13" Type="http://schemas.openxmlformats.org/officeDocument/2006/relationships/control" Target="activeX/activeX7.xml"/><Relationship Id="rId12" Type="http://schemas.openxmlformats.org/officeDocument/2006/relationships/control" Target="activeX/activeX6.xml"/><Relationship Id="rId11" Type="http://schemas.openxmlformats.org/officeDocument/2006/relationships/control" Target="activeX/activeX5.xml"/><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5.bin"/></Relationships>
</file>

<file path=word/activeX/_rels/activeX3.xml.rels><?xml version="1.0" encoding="UTF-8" standalone="yes"?>
<Relationships xmlns="http://schemas.openxmlformats.org/package/2006/relationships"><Relationship Id="rId1" Type="http://schemas.microsoft.com/office/2006/relationships/activeXControlBinary" Target="activeX9.bin"/></Relationships>
</file>

<file path=word/activeX/_rels/activeX4.xml.rels><?xml version="1.0" encoding="UTF-8" standalone="yes"?>
<Relationships xmlns="http://schemas.openxmlformats.org/package/2006/relationships"><Relationship Id="rId1" Type="http://schemas.microsoft.com/office/2006/relationships/activeXControlBinary" Target="activeX2.bin"/></Relationships>
</file>

<file path=word/activeX/_rels/activeX5.xml.rels><?xml version="1.0" encoding="UTF-8" standalone="yes"?>
<Relationships xmlns="http://schemas.openxmlformats.org/package/2006/relationships"><Relationship Id="rId1" Type="http://schemas.microsoft.com/office/2006/relationships/activeXControlBinary" Target="activeX8.bin"/></Relationships>
</file>

<file path=word/activeX/_rels/activeX6.xml.rels><?xml version="1.0" encoding="UTF-8" standalone="yes"?>
<Relationships xmlns="http://schemas.openxmlformats.org/package/2006/relationships"><Relationship Id="rId1" Type="http://schemas.microsoft.com/office/2006/relationships/activeXControlBinary" Target="activeX3.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4.bin"/></Relationships>
</file>

<file path=word/activeX/_rels/activeX9.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9C25F-CCEF-48DE-A72A-A3C76FC723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11482</Words>
  <Characters>65449</Characters>
  <Lines>545</Lines>
  <Paragraphs>153</Paragraphs>
  <TotalTime>1</TotalTime>
  <ScaleCrop>false</ScaleCrop>
  <LinksUpToDate>false</LinksUpToDate>
  <CharactersWithSpaces>76778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2021-03-09T07:38:00Z</dcterms:created>
  <dc:creator>csot@tcl.com</dc:creator>
  <cp:lastModifiedBy>土豆炒马铃薯</cp:lastModifiedBy>
  <cp:lastPrinted>2014-10-16T11:51:00Z</cp:lastPrinted>
  <dcterms:modified xsi:type="dcterms:W3CDTF">2023-08-08T07:35:48Z</dcterms:modified>
  <dc:title>固定总价工程包合同模板</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7E7FB9AF47604CB9B7A546E1D5CA4EA6</vt:lpwstr>
  </property>
</Properties>
</file>