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r>
        <w:rPr>
          <w:rFonts w:hint="eastAsia" w:ascii="宋体" w:hAnsi="宋体"/>
          <w:u w:val="single"/>
        </w:rPr>
        <w:t>202</w:t>
      </w:r>
      <w:r>
        <w:rPr>
          <w:rFonts w:hint="eastAsia" w:ascii="宋体" w:hAnsi="宋体"/>
          <w:u w:val="single"/>
          <w:lang w:val="en-US" w:eastAsia="zh-CN"/>
        </w:rPr>
        <w:t>3</w:t>
      </w:r>
      <w:r>
        <w:rPr>
          <w:rFonts w:hint="eastAsia" w:ascii="宋体" w:hAnsi="宋体"/>
          <w:u w:val="single"/>
        </w:rPr>
        <w:t>年</w:t>
      </w:r>
      <w:r>
        <w:rPr>
          <w:rFonts w:hint="eastAsia" w:ascii="宋体" w:hAnsi="宋体"/>
          <w:u w:val="single"/>
          <w:lang w:val="en-US" w:eastAsia="zh-CN"/>
        </w:rPr>
        <w:t>8</w:t>
      </w:r>
      <w:r>
        <w:rPr>
          <w:rFonts w:hint="eastAsia" w:ascii="宋体" w:hAnsi="宋体"/>
          <w:u w:val="single"/>
        </w:rPr>
        <w:t>月发布</w:t>
      </w:r>
    </w:p>
    <w:p>
      <w:pPr>
        <w:rPr>
          <w:rFonts w:ascii="宋体" w:hAnsi="宋体"/>
        </w:rPr>
      </w:pPr>
    </w:p>
    <w:p>
      <w:pPr>
        <w:rPr>
          <w:rFonts w:ascii="宋体" w:hAnsi="宋体"/>
        </w:rPr>
      </w:pPr>
    </w:p>
    <w:p>
      <w:pPr>
        <w:jc w:val="center"/>
        <w:rPr>
          <w:rFonts w:ascii="宋体" w:hAnsi="宋体"/>
          <w:b/>
          <w:kern w:val="0"/>
          <w:sz w:val="48"/>
          <w:szCs w:val="48"/>
        </w:rPr>
      </w:pPr>
    </w:p>
    <w:p>
      <w:pPr>
        <w:jc w:val="center"/>
        <w:rPr>
          <w:rFonts w:ascii="宋体" w:hAnsi="宋体"/>
          <w:b/>
          <w:sz w:val="52"/>
          <w:szCs w:val="52"/>
        </w:rPr>
      </w:pPr>
      <w:r>
        <w:rPr>
          <w:rFonts w:hint="eastAsia" w:ascii="宋体" w:hAnsi="宋体"/>
          <w:b/>
          <w:kern w:val="0"/>
          <w:sz w:val="52"/>
          <w:szCs w:val="52"/>
          <w:u w:val="single"/>
        </w:rPr>
        <w:t>花都区广花公路以东、雅瑶中路以南CA1207006、 CA1207019 地块超前钻服务</w:t>
      </w:r>
    </w:p>
    <w:p>
      <w:pPr>
        <w:pStyle w:val="2"/>
        <w:ind w:firstLine="420"/>
      </w:pPr>
    </w:p>
    <w:p>
      <w:pPr>
        <w:pStyle w:val="2"/>
        <w:ind w:firstLine="420"/>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jc w:val="center"/>
        <w:rPr>
          <w:rFonts w:ascii="宋体" w:hAnsi="宋体"/>
          <w:b/>
          <w:sz w:val="52"/>
          <w:szCs w:val="52"/>
        </w:rPr>
      </w:pPr>
      <w:r>
        <w:rPr>
          <w:rFonts w:hint="eastAsia" w:ascii="宋体" w:hAnsi="宋体"/>
          <w:b/>
          <w:sz w:val="52"/>
          <w:szCs w:val="52"/>
        </w:rPr>
        <w:t>招标文件</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sectPr>
          <w:headerReference r:id="rId3" w:type="default"/>
          <w:footerReference r:id="rId4" w:type="even"/>
          <w:pgSz w:w="11906" w:h="16838"/>
          <w:pgMar w:top="1440" w:right="1466" w:bottom="1440" w:left="1440" w:header="851" w:footer="992" w:gutter="0"/>
          <w:pgNumType w:start="0"/>
          <w:cols w:space="720" w:num="1"/>
          <w:docGrid w:type="linesAndChars" w:linePitch="312" w:charSpace="0"/>
        </w:sectPr>
      </w:pPr>
      <w:r>
        <w:rPr>
          <w:rFonts w:hint="eastAsia" w:ascii="宋体" w:hAnsi="宋体"/>
        </w:rPr>
        <w:t>-----------------------------------------------------------------------------------</w:t>
      </w:r>
    </w:p>
    <w:p>
      <w:pPr>
        <w:spacing w:line="440" w:lineRule="exact"/>
        <w:rPr>
          <w:rFonts w:ascii="宋体" w:hAnsi="宋体" w:cs="宋体"/>
        </w:rPr>
      </w:pPr>
      <w:r>
        <w:rPr>
          <w:rFonts w:hint="eastAsia" w:ascii="宋体" w:hAnsi="宋体" w:cs="宋体"/>
        </w:rPr>
        <w:t xml:space="preserve">招标人（章）：广州市广花房地产开发有限公司  </w:t>
      </w:r>
    </w:p>
    <w:p>
      <w:pPr>
        <w:spacing w:line="440" w:lineRule="exact"/>
        <w:rPr>
          <w:rFonts w:ascii="宋体" w:hAnsi="宋体" w:cs="宋体"/>
        </w:rPr>
      </w:pPr>
    </w:p>
    <w:p>
      <w:pPr>
        <w:spacing w:line="440" w:lineRule="exact"/>
        <w:rPr>
          <w:rFonts w:ascii="宋体" w:hAnsi="宋体" w:cs="宋体"/>
        </w:rPr>
      </w:pPr>
      <w:r>
        <w:rPr>
          <w:rFonts w:hint="eastAsia" w:ascii="宋体" w:hAnsi="宋体" w:cs="宋体"/>
        </w:rPr>
        <w:t>授权代表：雷工</w:t>
      </w:r>
    </w:p>
    <w:p>
      <w:pPr>
        <w:spacing w:line="440" w:lineRule="exact"/>
        <w:rPr>
          <w:rFonts w:ascii="宋体" w:hAnsi="宋体" w:cs="宋体"/>
        </w:rPr>
      </w:pPr>
      <w:r>
        <w:rPr>
          <w:rFonts w:hint="eastAsia" w:ascii="宋体" w:hAnsi="宋体" w:cs="宋体"/>
        </w:rPr>
        <w:t>地址：广州市越秀区流花路117号1</w:t>
      </w:r>
      <w:r>
        <w:rPr>
          <w:rFonts w:hint="eastAsia" w:ascii="宋体" w:hAnsi="宋体" w:cs="宋体"/>
          <w:lang w:val="en-US" w:eastAsia="zh-CN"/>
        </w:rPr>
        <w:t>3</w:t>
      </w:r>
      <w:r>
        <w:rPr>
          <w:rFonts w:hint="eastAsia" w:ascii="宋体" w:hAnsi="宋体" w:cs="宋体"/>
        </w:rPr>
        <w:t>号馆</w:t>
      </w:r>
    </w:p>
    <w:p>
      <w:pPr>
        <w:spacing w:line="440" w:lineRule="exact"/>
        <w:rPr>
          <w:rFonts w:ascii="宋体" w:hAnsi="宋体" w:cs="宋体"/>
        </w:rPr>
      </w:pPr>
    </w:p>
    <w:p>
      <w:pPr>
        <w:spacing w:line="440" w:lineRule="exact"/>
        <w:rPr>
          <w:rFonts w:ascii="宋体" w:hAnsi="宋体" w:cs="宋体"/>
        </w:rPr>
      </w:pPr>
      <w:r>
        <w:rPr>
          <w:rFonts w:hint="eastAsia" w:ascii="宋体" w:hAnsi="宋体" w:cs="宋体"/>
        </w:rPr>
        <w:t>邮政编码：</w:t>
      </w:r>
      <w:r>
        <w:rPr>
          <w:rFonts w:ascii="宋体" w:hAnsi="宋体" w:cs="宋体"/>
        </w:rPr>
        <w:t>51</w:t>
      </w:r>
      <w:r>
        <w:rPr>
          <w:rFonts w:hint="eastAsia" w:ascii="宋体" w:hAnsi="宋体" w:cs="宋体"/>
        </w:rPr>
        <w:t>0014</w:t>
      </w:r>
    </w:p>
    <w:p>
      <w:pPr>
        <w:spacing w:line="440" w:lineRule="exact"/>
        <w:rPr>
          <w:rFonts w:ascii="宋体" w:hAnsi="宋体" w:cs="宋体"/>
        </w:rPr>
      </w:pPr>
      <w:r>
        <w:rPr>
          <w:rFonts w:hint="eastAsia" w:ascii="宋体" w:hAnsi="宋体" w:cs="宋体"/>
        </w:rPr>
        <w:t>电话：</w:t>
      </w:r>
      <w:r>
        <w:rPr>
          <w:rFonts w:ascii="宋体" w:hAnsi="宋体" w:cs="宋体"/>
        </w:rPr>
        <w:t>13560383068</w:t>
      </w:r>
    </w:p>
    <w:p>
      <w:pPr>
        <w:spacing w:line="440" w:lineRule="exact"/>
        <w:rPr>
          <w:rFonts w:ascii="宋体" w:hAnsi="宋体" w:cs="宋体"/>
        </w:rPr>
      </w:pPr>
      <w:r>
        <w:rPr>
          <w:rFonts w:hint="eastAsia" w:ascii="宋体" w:hAnsi="宋体" w:cs="宋体"/>
        </w:rPr>
        <w:t>传真：/</w:t>
      </w:r>
    </w:p>
    <w:p>
      <w:pPr>
        <w:spacing w:line="440" w:lineRule="exact"/>
        <w:rPr>
          <w:rFonts w:ascii="宋体" w:hAnsi="宋体" w:cs="宋体"/>
          <w:szCs w:val="21"/>
        </w:rPr>
      </w:pPr>
      <w:r>
        <w:rPr>
          <w:rFonts w:hint="eastAsia" w:ascii="宋体" w:hAnsi="宋体" w:cs="宋体"/>
          <w:szCs w:val="21"/>
        </w:rPr>
        <w:t>电子邮箱：/</w:t>
      </w:r>
    </w:p>
    <w:p>
      <w:pPr>
        <w:pStyle w:val="2"/>
        <w:ind w:firstLine="420"/>
        <w:rPr>
          <w:rFonts w:ascii="宋体" w:hAnsi="宋体" w:cs="宋体"/>
          <w:szCs w:val="21"/>
        </w:rPr>
      </w:pPr>
    </w:p>
    <w:p>
      <w:pPr>
        <w:spacing w:line="440" w:lineRule="exact"/>
        <w:rPr>
          <w:rFonts w:ascii="宋体" w:hAnsi="宋体"/>
        </w:rPr>
      </w:pPr>
      <w:r>
        <w:rPr>
          <w:rFonts w:hint="eastAsia" w:ascii="宋体" w:hAnsi="宋体" w:cs="宋体"/>
        </w:rPr>
        <w:t>招标代理（章）：</w:t>
      </w:r>
      <w:r>
        <w:rPr>
          <w:rFonts w:hint="eastAsia" w:ascii="宋体" w:hAnsi="宋体"/>
        </w:rPr>
        <w:t>广东财贸建设工程顾问有限公司</w:t>
      </w:r>
    </w:p>
    <w:p>
      <w:pPr>
        <w:spacing w:line="440" w:lineRule="exact"/>
        <w:rPr>
          <w:rFonts w:ascii="宋体" w:hAnsi="宋体" w:cs="宋体"/>
        </w:rPr>
      </w:pPr>
      <w:r>
        <w:rPr>
          <w:rFonts w:hint="eastAsia" w:ascii="宋体" w:hAnsi="宋体" w:cs="宋体"/>
        </w:rPr>
        <w:t>授权代表：</w:t>
      </w:r>
      <w:r>
        <w:rPr>
          <w:rFonts w:hint="eastAsia" w:ascii="宋体" w:hAnsi="宋体"/>
        </w:rPr>
        <w:t>何工</w:t>
      </w:r>
    </w:p>
    <w:p>
      <w:pPr>
        <w:spacing w:line="440" w:lineRule="exact"/>
        <w:ind w:left="708" w:hanging="707" w:hangingChars="337"/>
        <w:rPr>
          <w:rFonts w:ascii="宋体" w:hAnsi="宋体" w:cs="宋体"/>
        </w:rPr>
      </w:pPr>
      <w:r>
        <w:rPr>
          <w:rFonts w:hint="eastAsia" w:ascii="宋体" w:hAnsi="宋体" w:cs="宋体"/>
        </w:rPr>
        <w:t>地址：</w:t>
      </w:r>
      <w:r>
        <w:rPr>
          <w:rFonts w:hint="eastAsia" w:ascii="宋体" w:hAnsi="宋体"/>
        </w:rPr>
        <w:t>广州市荔湾区桥中中路159号桥康汇南塔11楼</w:t>
      </w:r>
    </w:p>
    <w:p>
      <w:pPr>
        <w:spacing w:line="440" w:lineRule="exact"/>
        <w:rPr>
          <w:rFonts w:ascii="宋体" w:hAnsi="宋体" w:cs="宋体"/>
        </w:rPr>
      </w:pPr>
      <w:r>
        <w:rPr>
          <w:rFonts w:hint="eastAsia" w:ascii="宋体" w:hAnsi="宋体" w:cs="宋体"/>
        </w:rPr>
        <w:t>邮政编码：</w:t>
      </w:r>
      <w:r>
        <w:rPr>
          <w:rFonts w:hint="eastAsia" w:ascii="宋体" w:hAnsi="宋体"/>
        </w:rPr>
        <w:t>510163</w:t>
      </w:r>
    </w:p>
    <w:p>
      <w:pPr>
        <w:spacing w:line="440" w:lineRule="exact"/>
        <w:rPr>
          <w:rFonts w:ascii="宋体" w:hAnsi="宋体" w:cs="宋体"/>
        </w:rPr>
      </w:pPr>
      <w:r>
        <w:rPr>
          <w:rFonts w:hint="eastAsia" w:ascii="宋体" w:hAnsi="宋体" w:cs="宋体"/>
        </w:rPr>
        <w:t>电话：</w:t>
      </w:r>
      <w:r>
        <w:rPr>
          <w:rFonts w:hint="eastAsia" w:ascii="宋体" w:hAnsi="宋体"/>
        </w:rPr>
        <w:t>13560121758</w:t>
      </w:r>
    </w:p>
    <w:p>
      <w:pPr>
        <w:spacing w:line="440" w:lineRule="exact"/>
        <w:rPr>
          <w:rFonts w:ascii="宋体" w:hAnsi="宋体"/>
        </w:rPr>
      </w:pPr>
      <w:r>
        <w:rPr>
          <w:rFonts w:hint="eastAsia" w:ascii="宋体" w:hAnsi="宋体" w:cs="宋体"/>
        </w:rPr>
        <w:t>传真：</w:t>
      </w:r>
      <w:r>
        <w:rPr>
          <w:rFonts w:ascii="宋体" w:hAnsi="宋体" w:cs="宋体"/>
        </w:rPr>
        <w:t>020-81035818</w:t>
      </w:r>
    </w:p>
    <w:p>
      <w:pPr>
        <w:spacing w:line="440" w:lineRule="exact"/>
        <w:rPr>
          <w:rFonts w:ascii="宋体" w:hAnsi="宋体" w:cs="宋体"/>
        </w:rPr>
      </w:pPr>
      <w:r>
        <w:rPr>
          <w:rFonts w:hint="eastAsia" w:ascii="宋体" w:hAnsi="宋体" w:cs="宋体"/>
          <w:szCs w:val="21"/>
        </w:rPr>
        <w:t>电子邮箱：</w:t>
      </w:r>
      <w:r>
        <w:rPr>
          <w:rFonts w:hint="eastAsia" w:ascii="宋体" w:hAnsi="宋体"/>
          <w:szCs w:val="21"/>
        </w:rPr>
        <w:t>gdcmzb@126.com</w:t>
      </w:r>
    </w:p>
    <w:p>
      <w:pPr>
        <w:pStyle w:val="2"/>
        <w:ind w:firstLine="420"/>
      </w:pPr>
    </w:p>
    <w:p>
      <w:pPr>
        <w:pStyle w:val="2"/>
        <w:ind w:firstLine="420"/>
        <w:sectPr>
          <w:footerReference r:id="rId5" w:type="default"/>
          <w:type w:val="continuous"/>
          <w:pgSz w:w="11906" w:h="16838"/>
          <w:pgMar w:top="1440" w:right="1466" w:bottom="1440" w:left="1440" w:header="851" w:footer="992" w:gutter="0"/>
          <w:cols w:equalWidth="0" w:num="2">
            <w:col w:w="4443" w:space="425"/>
            <w:col w:w="4131"/>
          </w:cols>
          <w:docGrid w:type="linesAndChars" w:linePitch="312" w:charSpace="0"/>
        </w:sectPr>
      </w:pPr>
    </w:p>
    <w:p>
      <w:pPr>
        <w:jc w:val="center"/>
        <w:outlineLvl w:val="0"/>
        <w:rPr>
          <w:rFonts w:ascii="宋体" w:hAnsi="宋体"/>
          <w:b/>
          <w:sz w:val="32"/>
          <w:szCs w:val="32"/>
        </w:rPr>
      </w:pPr>
      <w:bookmarkStart w:id="0" w:name="_Toc29376"/>
      <w:r>
        <w:rPr>
          <w:rFonts w:hint="eastAsia" w:ascii="宋体" w:hAnsi="宋体"/>
          <w:b/>
          <w:sz w:val="32"/>
          <w:szCs w:val="32"/>
        </w:rPr>
        <w:t>招标文件修改表</w:t>
      </w:r>
      <w:bookmarkEnd w:id="0"/>
    </w:p>
    <w:p>
      <w:pPr>
        <w:ind w:firstLine="420"/>
        <w:rPr>
          <w:rFonts w:ascii="宋体" w:hAnsi="宋体"/>
          <w:szCs w:val="21"/>
        </w:rPr>
      </w:pPr>
      <w:r>
        <w:rPr>
          <w:rFonts w:hint="eastAsia" w:ascii="宋体" w:hAnsi="宋体"/>
        </w:rPr>
        <w:t>招标人（招标代理机构）一般应按照全过程电子化范本（房建类）格式编制招标文件。如果修改，范本被删除的内容应标注删除线，新增内容应标注下划线。需要修改的内容</w:t>
      </w:r>
      <w:r>
        <w:rPr>
          <w:rFonts w:hint="eastAsia" w:ascii="宋体" w:hAnsi="宋体"/>
          <w:szCs w:val="21"/>
        </w:rPr>
        <w:t>均在本表中列明，并以现文为准，原文不再有效。本招标文件中不再转录范本条款，请投标人自行到广州市住房和城乡建设局网站（网址：</w:t>
      </w:r>
      <w:r>
        <w:rPr>
          <w:rFonts w:ascii="宋体" w:hAnsi="宋体"/>
          <w:szCs w:val="21"/>
        </w:rPr>
        <w:t>http://zfcj.gz.gov.cn/</w:t>
      </w:r>
      <w:r>
        <w:rPr>
          <w:rFonts w:hint="eastAsia" w:ascii="宋体" w:hAnsi="宋体"/>
          <w:szCs w:val="21"/>
        </w:rPr>
        <w:t>）下载查阅。</w:t>
      </w:r>
    </w:p>
    <w:tbl>
      <w:tblPr>
        <w:tblStyle w:val="38"/>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210"/>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jc w:val="center"/>
        </w:trPr>
        <w:tc>
          <w:tcPr>
            <w:tcW w:w="648" w:type="dxa"/>
            <w:vAlign w:val="center"/>
          </w:tcPr>
          <w:p>
            <w:pPr>
              <w:jc w:val="center"/>
              <w:rPr>
                <w:rFonts w:ascii="宋体" w:hAnsi="宋体"/>
                <w:b/>
                <w:bCs/>
              </w:rPr>
            </w:pPr>
            <w:r>
              <w:rPr>
                <w:rFonts w:hint="eastAsia" w:ascii="宋体" w:hAnsi="宋体"/>
                <w:b/>
                <w:bCs/>
              </w:rPr>
              <w:t>序号</w:t>
            </w:r>
          </w:p>
        </w:tc>
        <w:tc>
          <w:tcPr>
            <w:tcW w:w="1260" w:type="dxa"/>
            <w:vAlign w:val="center"/>
          </w:tcPr>
          <w:p>
            <w:pPr>
              <w:jc w:val="center"/>
              <w:rPr>
                <w:rFonts w:ascii="宋体" w:hAnsi="宋体"/>
                <w:b/>
                <w:bCs/>
              </w:rPr>
            </w:pPr>
            <w:r>
              <w:rPr>
                <w:rFonts w:hint="eastAsia" w:ascii="宋体" w:hAnsi="宋体"/>
                <w:b/>
                <w:bCs/>
              </w:rPr>
              <w:t>章节、条目</w:t>
            </w:r>
          </w:p>
        </w:tc>
        <w:tc>
          <w:tcPr>
            <w:tcW w:w="3210" w:type="dxa"/>
            <w:vAlign w:val="center"/>
          </w:tcPr>
          <w:p>
            <w:pPr>
              <w:jc w:val="center"/>
              <w:rPr>
                <w:rFonts w:ascii="宋体" w:hAnsi="宋体"/>
                <w:b/>
                <w:bCs/>
              </w:rPr>
            </w:pPr>
            <w:r>
              <w:rPr>
                <w:rFonts w:hint="eastAsia" w:ascii="宋体" w:hAnsi="宋体"/>
                <w:b/>
                <w:bCs/>
              </w:rPr>
              <w:t>范本原文</w:t>
            </w:r>
          </w:p>
        </w:tc>
        <w:tc>
          <w:tcPr>
            <w:tcW w:w="4098" w:type="dxa"/>
            <w:vAlign w:val="center"/>
          </w:tcPr>
          <w:p>
            <w:pPr>
              <w:jc w:val="center"/>
              <w:rPr>
                <w:rFonts w:ascii="宋体" w:hAnsi="宋体"/>
                <w:b/>
                <w:bCs/>
              </w:rPr>
            </w:pPr>
            <w:r>
              <w:rPr>
                <w:rFonts w:hint="eastAsia" w:ascii="宋体" w:hAnsi="宋体"/>
                <w:b/>
                <w:bCs/>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szCs w:val="21"/>
              </w:rPr>
              <w:t>第一章</w:t>
            </w:r>
          </w:p>
        </w:tc>
        <w:tc>
          <w:tcPr>
            <w:tcW w:w="3210" w:type="dxa"/>
            <w:vAlign w:val="center"/>
          </w:tcPr>
          <w:p>
            <w:pPr>
              <w:rPr>
                <w:rFonts w:ascii="宋体" w:hAnsi="宋体"/>
              </w:rPr>
            </w:pPr>
            <w:r>
              <w:rPr>
                <w:rFonts w:hint="eastAsia" w:ascii="宋体" w:hAnsi="宋体"/>
                <w:szCs w:val="21"/>
              </w:rPr>
              <w:t>招标公告（见范本）</w:t>
            </w:r>
          </w:p>
        </w:tc>
        <w:tc>
          <w:tcPr>
            <w:tcW w:w="4098" w:type="dxa"/>
            <w:vAlign w:val="center"/>
          </w:tcPr>
          <w:p>
            <w:pPr>
              <w:rPr>
                <w:rFonts w:ascii="宋体" w:hAnsi="宋体"/>
              </w:rPr>
            </w:pPr>
            <w:r>
              <w:rPr>
                <w:rFonts w:hint="eastAsia" w:ascii="宋体" w:hAnsi="宋体"/>
                <w:szCs w:val="21"/>
              </w:rPr>
              <w:t>（修改详见招标公告）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szCs w:val="21"/>
              </w:rPr>
            </w:pPr>
            <w:r>
              <w:rPr>
                <w:rFonts w:hint="eastAsia" w:ascii="宋体" w:hAnsi="宋体"/>
                <w:szCs w:val="21"/>
              </w:rPr>
              <w:t>2.4</w:t>
            </w:r>
          </w:p>
        </w:tc>
        <w:tc>
          <w:tcPr>
            <w:tcW w:w="3210" w:type="dxa"/>
            <w:vAlign w:val="center"/>
          </w:tcPr>
          <w:p>
            <w:pPr>
              <w:rPr>
                <w:rFonts w:ascii="宋体" w:hAnsi="宋体"/>
                <w:szCs w:val="21"/>
              </w:rPr>
            </w:pPr>
            <w:r>
              <w:rPr>
                <w:rFonts w:hint="eastAsia" w:ascii="宋体" w:hAnsi="宋体"/>
                <w:szCs w:val="21"/>
              </w:rPr>
              <w:t>增加</w:t>
            </w:r>
          </w:p>
        </w:tc>
        <w:tc>
          <w:tcPr>
            <w:tcW w:w="4098" w:type="dxa"/>
            <w:vAlign w:val="center"/>
          </w:tcPr>
          <w:p>
            <w:pPr>
              <w:jc w:val="left"/>
            </w:pPr>
            <w:r>
              <w:rPr>
                <w:rFonts w:hint="eastAsia"/>
              </w:rPr>
              <w:t xml:space="preserve">2.4   </w:t>
            </w:r>
            <w:r>
              <w:rPr>
                <w:rFonts w:hint="eastAsia"/>
                <w:b/>
                <w:bCs/>
              </w:rPr>
              <w:t>服务费</w:t>
            </w:r>
          </w:p>
          <w:p>
            <w:r>
              <w:rPr>
                <w:rFonts w:hint="eastAsia"/>
              </w:rPr>
              <w:t xml:space="preserve">2.4.1  </w:t>
            </w:r>
            <w:r>
              <w:rPr>
                <w:rFonts w:hint="eastAsia"/>
                <w:b/>
                <w:bCs/>
              </w:rPr>
              <w:t>公共资源交易服务费</w:t>
            </w:r>
            <w:r>
              <w:rPr>
                <w:rFonts w:hint="eastAsia"/>
              </w:rPr>
              <w:t>：中标人代缴公共资源交易服务费，其费用包含在中标人投标报价中，交易中心向中标人开具增值税发票。</w:t>
            </w:r>
          </w:p>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ind w:right="25" w:rightChars="12"/>
              <w:rPr>
                <w:rFonts w:ascii="宋体" w:hAnsi="宋体"/>
              </w:rPr>
            </w:pPr>
            <w:r>
              <w:rPr>
                <w:rFonts w:hint="eastAsia" w:ascii="宋体" w:hAnsi="宋体"/>
              </w:rPr>
              <w:t>3.1</w:t>
            </w:r>
          </w:p>
        </w:tc>
        <w:tc>
          <w:tcPr>
            <w:tcW w:w="3210" w:type="dxa"/>
            <w:vAlign w:val="center"/>
          </w:tcPr>
          <w:p>
            <w:pPr>
              <w:rPr>
                <w:rFonts w:ascii="宋体" w:hAnsi="宋体" w:cs="宋体"/>
                <w:szCs w:val="21"/>
              </w:rPr>
            </w:pPr>
            <w:r>
              <w:rPr>
                <w:rFonts w:hint="eastAsia" w:ascii="宋体" w:hAnsi="宋体" w:cs="宋体"/>
                <w:szCs w:val="21"/>
              </w:rPr>
              <w:t>3.1    现场考察</w:t>
            </w:r>
          </w:p>
          <w:p>
            <w:pPr>
              <w:rPr>
                <w:rFonts w:ascii="宋体" w:hAnsi="宋体" w:cs="宋体"/>
                <w:szCs w:val="21"/>
              </w:rPr>
            </w:pPr>
            <w:r>
              <w:rPr>
                <w:rFonts w:hint="eastAsia" w:ascii="宋体" w:hAnsi="宋体" w:cs="宋体"/>
                <w:szCs w:val="21"/>
              </w:rPr>
              <w:t>3.1.1  招标人安排投标人代表对工程现场进行考察，目的是使每个投标人查看现场并获得编制投标文件所需要的一切资料。</w:t>
            </w:r>
          </w:p>
          <w:p>
            <w:pPr>
              <w:rPr>
                <w:rFonts w:ascii="宋体" w:hAnsi="宋体" w:cs="宋体"/>
                <w:szCs w:val="21"/>
              </w:rPr>
            </w:pPr>
            <w:r>
              <w:rPr>
                <w:rFonts w:hint="eastAsia" w:ascii="宋体" w:hAnsi="宋体" w:cs="宋体"/>
                <w:szCs w:val="21"/>
              </w:rPr>
              <w:t>3.1.2  每个投标人参加现场考察的人数不宜超过3人，外国投标人代表应自带中文翻译。</w:t>
            </w:r>
          </w:p>
          <w:p>
            <w:pPr>
              <w:rPr>
                <w:rFonts w:ascii="宋体" w:hAnsi="宋体"/>
              </w:rPr>
            </w:pPr>
            <w:r>
              <w:rPr>
                <w:rFonts w:hint="eastAsia" w:ascii="宋体" w:hAnsi="宋体" w:cs="宋体"/>
                <w:szCs w:val="21"/>
              </w:rPr>
              <w:t>3.1.3  现场考察期间招标人接受投标人代表的提问。</w:t>
            </w:r>
          </w:p>
        </w:tc>
        <w:tc>
          <w:tcPr>
            <w:tcW w:w="4098" w:type="dxa"/>
            <w:vAlign w:val="center"/>
          </w:tcPr>
          <w:p>
            <w:pPr>
              <w:rPr>
                <w:rFonts w:ascii="宋体" w:hAnsi="宋体" w:cs="宋体"/>
                <w:szCs w:val="21"/>
              </w:rPr>
            </w:pPr>
            <w:r>
              <w:rPr>
                <w:rFonts w:hint="eastAsia" w:ascii="宋体" w:hAnsi="宋体" w:cs="宋体"/>
                <w:szCs w:val="21"/>
              </w:rPr>
              <w:t>3.1    现场考察</w:t>
            </w:r>
          </w:p>
          <w:p>
            <w:pPr>
              <w:rPr>
                <w:rFonts w:ascii="宋体" w:hAnsi="宋体"/>
              </w:rPr>
            </w:pPr>
            <w:r>
              <w:rPr>
                <w:rFonts w:hint="eastAsia" w:ascii="宋体" w:hAnsi="宋体" w:cs="宋体"/>
                <w:szCs w:val="21"/>
              </w:rPr>
              <w:t xml:space="preserve">3.1.1 </w:t>
            </w:r>
            <w:r>
              <w:rPr>
                <w:rFonts w:hint="eastAsia" w:ascii="宋体" w:hAnsi="宋体" w:cs="宋体"/>
                <w:szCs w:val="21"/>
                <w:u w:val="single"/>
              </w:rPr>
              <w:t xml:space="preserve"> 现场考察由投标人自行考察，招标人不统一安排现场考察</w:t>
            </w:r>
            <w:r>
              <w:rPr>
                <w:rFonts w:hint="eastAsia" w:ascii="宋体" w:hAnsi="宋体"/>
                <w:szCs w:val="21"/>
                <w:u w:val="single"/>
              </w:rPr>
              <w:t>，由此而产生的一切费用由投标人自行承担</w:t>
            </w:r>
            <w:r>
              <w:rPr>
                <w:rFonts w:hint="eastAsia" w:ascii="宋体" w:hAnsi="宋体" w:cs="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ind w:right="25" w:rightChars="12"/>
              <w:rPr>
                <w:rFonts w:ascii="宋体" w:hAnsi="宋体"/>
              </w:rPr>
            </w:pPr>
            <w:r>
              <w:rPr>
                <w:rFonts w:hint="eastAsia" w:ascii="宋体" w:hAnsi="宋体"/>
              </w:rPr>
              <w:t>3.2.3</w:t>
            </w:r>
          </w:p>
        </w:tc>
        <w:tc>
          <w:tcPr>
            <w:tcW w:w="3210" w:type="dxa"/>
            <w:vAlign w:val="center"/>
          </w:tcPr>
          <w:p>
            <w:pPr>
              <w:rPr>
                <w:rFonts w:ascii="宋体" w:hAnsi="宋体"/>
              </w:rPr>
            </w:pPr>
            <w:r>
              <w:rPr>
                <w:rFonts w:hint="eastAsia" w:ascii="宋体" w:hAnsi="宋体"/>
              </w:rPr>
              <w:t>3.2.3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4098" w:type="dxa"/>
            <w:vAlign w:val="center"/>
          </w:tcPr>
          <w:p>
            <w:pPr>
              <w:rPr>
                <w:rFonts w:ascii="宋体" w:hAnsi="宋体" w:cs="宋体"/>
                <w:kern w:val="0"/>
                <w:szCs w:val="21"/>
                <w:u w:val="single"/>
              </w:rPr>
            </w:pPr>
            <w:r>
              <w:rPr>
                <w:rFonts w:hint="eastAsia" w:ascii="宋体" w:hAnsi="宋体"/>
              </w:rPr>
              <w:t>3.2.3</w:t>
            </w:r>
            <w:r>
              <w:rPr>
                <w:rFonts w:hint="eastAsia" w:ascii="宋体" w:hAnsi="宋体" w:cs="宋体"/>
                <w:kern w:val="0"/>
                <w:szCs w:val="21"/>
                <w:u w:val="single"/>
              </w:rPr>
              <w:t>时间：在提交投标文件截止时间18天前提出。</w:t>
            </w:r>
          </w:p>
          <w:p>
            <w:pPr>
              <w:rPr>
                <w:rFonts w:ascii="宋体" w:hAnsi="宋体" w:cs="宋体"/>
                <w:kern w:val="0"/>
                <w:szCs w:val="21"/>
                <w:u w:val="single"/>
              </w:rPr>
            </w:pPr>
            <w:r>
              <w:rPr>
                <w:rFonts w:hint="eastAsia" w:ascii="宋体" w:hAnsi="宋体" w:cs="宋体"/>
                <w:kern w:val="0"/>
                <w:szCs w:val="21"/>
                <w:u w:val="single"/>
              </w:rPr>
              <w:t>形式：投标人的疑问通过广州公共资源交易中心数字交易平台提交。按照广州公共资源交易中心数字交易平台关于全流程电子化项目的相关指南进行操作，详见：《房屋建筑和市政基础设施工程全流程电子化项目专章》。提问一律不得署名。</w:t>
            </w:r>
          </w:p>
          <w:p>
            <w:pPr>
              <w:rPr>
                <w:rFonts w:ascii="宋体" w:hAnsi="宋体"/>
              </w:rPr>
            </w:pPr>
            <w:r>
              <w:rPr>
                <w:rFonts w:hint="eastAsia" w:ascii="宋体" w:hAnsi="宋体" w:cs="宋体"/>
                <w:kern w:val="0"/>
                <w:szCs w:val="21"/>
                <w:u w:val="single"/>
              </w:rPr>
              <w:t>招标人应在递交投标文件截止时间15日前解答投标人对招标文件提出的疑问，形成澄清或答疑纪要在交易平台发布。不足15日的，招标人应当顺延投标文件的截止时间。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ind w:right="25" w:rightChars="12"/>
              <w:rPr>
                <w:rFonts w:ascii="宋体" w:hAnsi="宋体"/>
              </w:rPr>
            </w:pPr>
            <w:r>
              <w:rPr>
                <w:rFonts w:ascii="宋体" w:hAnsi="宋体"/>
              </w:rPr>
              <w:t>3.2.5</w:t>
            </w:r>
          </w:p>
        </w:tc>
        <w:tc>
          <w:tcPr>
            <w:tcW w:w="3210" w:type="dxa"/>
            <w:vAlign w:val="center"/>
          </w:tcPr>
          <w:p>
            <w:pPr>
              <w:rPr>
                <w:rFonts w:ascii="宋体" w:hAnsi="宋体"/>
              </w:rPr>
            </w:pPr>
            <w:r>
              <w:rPr>
                <w:rFonts w:hint="eastAsia" w:ascii="宋体" w:hAnsi="宋体"/>
              </w:rPr>
              <w:t>3.2.5网上答疑的具体操作详见交易平台发布的相关操作指引。</w:t>
            </w:r>
          </w:p>
        </w:tc>
        <w:tc>
          <w:tcPr>
            <w:tcW w:w="4098" w:type="dxa"/>
            <w:vAlign w:val="center"/>
          </w:tcPr>
          <w:p>
            <w:pPr>
              <w:rPr>
                <w:rFonts w:ascii="宋体" w:hAnsi="宋体" w:cs="宋体"/>
                <w:kern w:val="0"/>
                <w:szCs w:val="21"/>
                <w:u w:val="single"/>
              </w:rPr>
            </w:pPr>
            <w:r>
              <w:rPr>
                <w:rFonts w:hint="eastAsia" w:ascii="宋体" w:hAnsi="宋体"/>
              </w:rPr>
              <w:t>3.2.5网上答疑的具体操作详见交易平台发布的相关操作指引。</w:t>
            </w:r>
            <w:r>
              <w:rPr>
                <w:rFonts w:hint="eastAsia" w:ascii="宋体" w:hAnsi="宋体"/>
                <w:szCs w:val="21"/>
                <w:u w:val="single"/>
              </w:rPr>
              <w:t>招标答疑纪要一经在广州公共资源交易中心网站发布，视作已发放给所有投标人。投标人可在广州公共资源交易中心网站浏览、下载招标答疑纪要。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ascii="宋体" w:hAnsi="宋体"/>
              </w:rPr>
              <w:t>3.3.3</w:t>
            </w:r>
          </w:p>
        </w:tc>
        <w:tc>
          <w:tcPr>
            <w:tcW w:w="3210" w:type="dxa"/>
          </w:tcPr>
          <w:p>
            <w:pPr>
              <w:ind w:firstLine="1"/>
              <w:rPr>
                <w:rFonts w:ascii="宋体" w:hAnsi="宋体"/>
              </w:rPr>
            </w:pPr>
            <w:r>
              <w:rPr>
                <w:rFonts w:ascii="宋体" w:hAnsi="宋体"/>
              </w:rPr>
              <w:t>3.3.3</w:t>
            </w:r>
            <w:r>
              <w:rPr>
                <w:rFonts w:hint="eastAsia" w:ascii="宋体" w:hAnsi="宋体"/>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4098" w:type="dxa"/>
          </w:tcPr>
          <w:p>
            <w:pPr>
              <w:rPr>
                <w:rFonts w:ascii="宋体" w:hAnsi="宋体"/>
              </w:rPr>
            </w:pPr>
            <w:r>
              <w:rPr>
                <w:rFonts w:ascii="宋体" w:hAnsi="宋体"/>
              </w:rPr>
              <w:t>3.3.3</w:t>
            </w:r>
            <w:r>
              <w:rPr>
                <w:rFonts w:hint="eastAsia" w:ascii="宋体" w:hAnsi="宋体"/>
              </w:rPr>
              <w:t>投标文件全部采用电子文档,投标文件所附证书证件均为原件</w:t>
            </w:r>
            <w:r>
              <w:rPr>
                <w:rFonts w:hint="eastAsia" w:ascii="宋体" w:hAnsi="宋体"/>
                <w:u w:val="single"/>
              </w:rPr>
              <w:t>清晰</w:t>
            </w:r>
            <w:r>
              <w:rPr>
                <w:rFonts w:hint="eastAsia" w:ascii="宋体" w:hAnsi="宋体"/>
              </w:rPr>
              <w:t>扫描件或电子证书，并采用单位数字证书，按招标文件要求在相应位置加盖电子印章，投标文件中需个人签字或盖章的，</w:t>
            </w:r>
            <w:r>
              <w:rPr>
                <w:rFonts w:hint="eastAsia" w:ascii="宋体" w:hAnsi="宋体"/>
                <w:b/>
                <w:bCs/>
              </w:rPr>
              <w:t>应</w:t>
            </w:r>
            <w:r>
              <w:rPr>
                <w:rFonts w:hint="eastAsia" w:ascii="宋体" w:hAnsi="宋体"/>
                <w:b/>
                <w:bCs/>
                <w:u w:val="single"/>
              </w:rPr>
              <w:t>在线下完成</w:t>
            </w:r>
            <w:r>
              <w:rPr>
                <w:rFonts w:hint="eastAsia" w:ascii="宋体" w:hAnsi="宋体"/>
                <w:b/>
                <w:bCs/>
              </w:rPr>
              <w:t>后扫描上传</w:t>
            </w:r>
            <w:r>
              <w:rPr>
                <w:rFonts w:hint="eastAsia" w:ascii="宋体" w:hAnsi="宋体"/>
              </w:rPr>
              <w:t>，具体操作详见交易平台发布的相关操作指引。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rPr>
              <w:t>3.6.5</w:t>
            </w:r>
          </w:p>
        </w:tc>
        <w:tc>
          <w:tcPr>
            <w:tcW w:w="3210" w:type="dxa"/>
          </w:tcPr>
          <w:p>
            <w:pPr>
              <w:ind w:firstLine="1"/>
              <w:jc w:val="left"/>
              <w:rPr>
                <w:rFonts w:ascii="宋体" w:hAnsi="宋体"/>
              </w:rPr>
            </w:pPr>
          </w:p>
          <w:p>
            <w:pPr>
              <w:ind w:firstLine="1"/>
              <w:jc w:val="left"/>
              <w:rPr>
                <w:rFonts w:ascii="宋体" w:hAnsi="宋体"/>
              </w:rPr>
            </w:pPr>
          </w:p>
          <w:p>
            <w:pPr>
              <w:ind w:firstLine="1"/>
              <w:jc w:val="left"/>
              <w:rPr>
                <w:rFonts w:ascii="宋体" w:hAnsi="宋体"/>
              </w:rPr>
            </w:pPr>
          </w:p>
          <w:p>
            <w:pPr>
              <w:ind w:firstLine="1"/>
              <w:jc w:val="left"/>
              <w:rPr>
                <w:rFonts w:ascii="宋体" w:hAnsi="宋体"/>
              </w:rPr>
            </w:pPr>
          </w:p>
          <w:p>
            <w:pPr>
              <w:ind w:firstLine="1"/>
              <w:jc w:val="left"/>
              <w:rPr>
                <w:rFonts w:ascii="宋体" w:hAnsi="宋体"/>
              </w:rPr>
            </w:pPr>
          </w:p>
          <w:p>
            <w:pPr>
              <w:ind w:firstLine="1"/>
              <w:jc w:val="left"/>
              <w:rPr>
                <w:rFonts w:ascii="宋体" w:hAnsi="宋体"/>
              </w:rPr>
            </w:pPr>
          </w:p>
          <w:p>
            <w:pPr>
              <w:ind w:firstLine="1"/>
              <w:jc w:val="left"/>
              <w:rPr>
                <w:rFonts w:ascii="宋体" w:hAnsi="宋体"/>
              </w:rPr>
            </w:pPr>
          </w:p>
          <w:p>
            <w:pPr>
              <w:ind w:firstLine="1"/>
              <w:jc w:val="left"/>
              <w:rPr>
                <w:rFonts w:ascii="宋体" w:hAnsi="宋体"/>
              </w:rPr>
            </w:pPr>
            <w:r>
              <w:rPr>
                <w:rFonts w:hint="eastAsia" w:ascii="宋体" w:hAnsi="宋体"/>
              </w:rPr>
              <w:t>新增</w:t>
            </w:r>
          </w:p>
        </w:tc>
        <w:tc>
          <w:tcPr>
            <w:tcW w:w="4098" w:type="dxa"/>
          </w:tcPr>
          <w:p>
            <w:pPr>
              <w:rPr>
                <w:rFonts w:ascii="宋体" w:hAnsi="宋体"/>
                <w:u w:val="single"/>
              </w:rPr>
            </w:pPr>
            <w:r>
              <w:rPr>
                <w:rFonts w:hint="eastAsia" w:ascii="宋体" w:hAnsi="宋体"/>
                <w:u w:val="single"/>
              </w:rPr>
              <w:t>3.6.5  拒绝接收投标文件光盘（备用）的情况；</w:t>
            </w:r>
          </w:p>
          <w:p>
            <w:pPr>
              <w:rPr>
                <w:rFonts w:ascii="宋体" w:hAnsi="宋体"/>
                <w:u w:val="single"/>
              </w:rPr>
            </w:pPr>
            <w:r>
              <w:rPr>
                <w:rFonts w:hint="eastAsia" w:ascii="宋体" w:hAnsi="宋体"/>
                <w:u w:val="single"/>
              </w:rPr>
              <w:t>（1）逾期或未在指定地点递交备用投标文件光盘（备用）；</w:t>
            </w:r>
          </w:p>
          <w:p>
            <w:pPr>
              <w:rPr>
                <w:rFonts w:ascii="宋体" w:hAnsi="宋体"/>
                <w:u w:val="single"/>
              </w:rPr>
            </w:pPr>
            <w:r>
              <w:rPr>
                <w:rFonts w:hint="eastAsia" w:ascii="宋体" w:hAnsi="宋体"/>
                <w:u w:val="single"/>
              </w:rPr>
              <w:t>（2）投标人递交的投标文件光盘（备用）未按招标文件要求密封或未在密封处盖章的；</w:t>
            </w:r>
          </w:p>
          <w:p>
            <w:pPr>
              <w:rPr>
                <w:rFonts w:ascii="宋体" w:hAnsi="宋体"/>
              </w:rPr>
            </w:pPr>
            <w:r>
              <w:rPr>
                <w:rFonts w:hint="eastAsia" w:ascii="宋体" w:hAnsi="宋体"/>
                <w:u w:val="single"/>
              </w:rPr>
              <w:t>（3）投标人代表未凭法定代表人证明书原件（格式自定）、法定代表人授权委托书原件（非法定代表人递交投标文件光盘时提供，格式自定）、本人身份证复印件（提供原件核对）递交投标文件光盘（备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szCs w:val="21"/>
              </w:rPr>
              <w:t>3.8.1</w:t>
            </w:r>
          </w:p>
        </w:tc>
        <w:tc>
          <w:tcPr>
            <w:tcW w:w="3210" w:type="dxa"/>
          </w:tcPr>
          <w:p>
            <w:pPr>
              <w:ind w:firstLine="1"/>
              <w:rPr>
                <w:rFonts w:ascii="宋体" w:hAnsi="宋体"/>
                <w:bCs/>
                <w:szCs w:val="21"/>
              </w:rPr>
            </w:pPr>
            <w:r>
              <w:rPr>
                <w:rFonts w:hint="eastAsia" w:ascii="宋体" w:hAnsi="宋体"/>
                <w:bCs/>
                <w:szCs w:val="21"/>
              </w:rPr>
              <w:t>3.8.1提交投标文件光盘备用</w:t>
            </w:r>
          </w:p>
          <w:p>
            <w:pPr>
              <w:ind w:firstLine="1"/>
              <w:rPr>
                <w:rFonts w:ascii="宋体" w:hAnsi="宋体"/>
              </w:rPr>
            </w:pPr>
            <w:r>
              <w:rPr>
                <w:rFonts w:hint="eastAsia" w:ascii="宋体" w:hAnsi="宋体"/>
                <w:bCs/>
                <w:szCs w:val="21"/>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4098" w:type="dxa"/>
          </w:tcPr>
          <w:p>
            <w:pPr>
              <w:rPr>
                <w:rFonts w:ascii="宋体" w:hAnsi="宋体"/>
                <w:szCs w:val="21"/>
              </w:rPr>
            </w:pPr>
            <w:r>
              <w:rPr>
                <w:rFonts w:hint="eastAsia" w:ascii="宋体" w:hAnsi="宋体"/>
                <w:szCs w:val="21"/>
              </w:rPr>
              <w:t>3.8.1提交投标文件光盘备用</w:t>
            </w:r>
          </w:p>
          <w:p>
            <w:pPr>
              <w:ind w:firstLine="420"/>
              <w:rPr>
                <w:rFonts w:ascii="宋体" w:hAnsi="宋体"/>
                <w:szCs w:val="21"/>
                <w:u w:val="single"/>
              </w:rPr>
            </w:pPr>
            <w:r>
              <w:rPr>
                <w:rFonts w:hint="eastAsia" w:ascii="宋体" w:hAnsi="宋体"/>
                <w:szCs w:val="21"/>
              </w:rPr>
              <w:t>投标人可制作非加密的电子投标文件刻入光盘（1份），在招标公告规定的时间、地点提交备用。</w:t>
            </w:r>
            <w:r>
              <w:rPr>
                <w:rFonts w:hint="eastAsia" w:ascii="宋体" w:hAnsi="宋体"/>
                <w:szCs w:val="21"/>
                <w:u w:val="single"/>
              </w:rPr>
              <w:t>1份投标文件光盘（备用）包括</w:t>
            </w:r>
            <w:r>
              <w:rPr>
                <w:rFonts w:hint="eastAsia" w:ascii="宋体" w:hAnsi="宋体"/>
                <w:b/>
                <w:bCs/>
                <w:szCs w:val="21"/>
                <w:u w:val="single"/>
              </w:rPr>
              <w:t>“开标文件光盘”“资格审查文件光盘”“技术文件（</w:t>
            </w:r>
            <w:r>
              <w:rPr>
                <w:rFonts w:hint="eastAsia" w:ascii="宋体" w:hAnsi="宋体"/>
                <w:b/>
                <w:bCs/>
                <w:szCs w:val="21"/>
                <w:u w:val="single"/>
                <w:lang w:eastAsia="zh-CN"/>
              </w:rPr>
              <w:t>勘察</w:t>
            </w:r>
            <w:r>
              <w:rPr>
                <w:rFonts w:hint="eastAsia" w:ascii="宋体" w:hAnsi="宋体"/>
                <w:b/>
                <w:bCs/>
                <w:szCs w:val="21"/>
                <w:u w:val="single"/>
              </w:rPr>
              <w:t>方案）光盘”“保密文件光盘”</w:t>
            </w:r>
            <w:r>
              <w:rPr>
                <w:rFonts w:hint="eastAsia" w:ascii="宋体" w:hAnsi="宋体"/>
                <w:szCs w:val="21"/>
                <w:u w:val="single"/>
              </w:rPr>
              <w:t>共4只光盘。刻录好的投标文件光盘分别密封在不透明的密封袋并作标记，其中</w:t>
            </w:r>
            <w:r>
              <w:rPr>
                <w:rFonts w:hint="eastAsia" w:ascii="宋体" w:hAnsi="宋体"/>
                <w:b/>
                <w:bCs/>
                <w:szCs w:val="21"/>
                <w:u w:val="single"/>
              </w:rPr>
              <w:t>“开标文件光盘”“资格审查文件光盘”</w:t>
            </w:r>
            <w:r>
              <w:rPr>
                <w:rFonts w:hint="eastAsia" w:ascii="宋体" w:hAnsi="宋体"/>
                <w:szCs w:val="21"/>
                <w:u w:val="single"/>
              </w:rPr>
              <w:t>应分别在密封袋上写明（1）招标人名称；（2）“[工程名称][开标文件光盘或资格审查文件光盘]”字样；（3）投标人名称；并在封口处加盖投标人单位公章；</w:t>
            </w:r>
            <w:r>
              <w:rPr>
                <w:rFonts w:hint="eastAsia" w:ascii="宋体" w:hAnsi="宋体"/>
                <w:b/>
                <w:bCs/>
                <w:szCs w:val="21"/>
                <w:u w:val="single"/>
              </w:rPr>
              <w:t>“技术文件（</w:t>
            </w:r>
            <w:r>
              <w:rPr>
                <w:rFonts w:hint="eastAsia" w:ascii="宋体" w:hAnsi="宋体"/>
                <w:b/>
                <w:bCs/>
                <w:szCs w:val="21"/>
                <w:u w:val="single"/>
                <w:lang w:eastAsia="zh-CN"/>
              </w:rPr>
              <w:t>勘察</w:t>
            </w:r>
            <w:r>
              <w:rPr>
                <w:rFonts w:hint="eastAsia" w:ascii="宋体" w:hAnsi="宋体"/>
                <w:b/>
                <w:bCs/>
                <w:szCs w:val="21"/>
                <w:u w:val="single"/>
              </w:rPr>
              <w:t>方案）光盘”“保密文件光盘”</w:t>
            </w:r>
            <w:r>
              <w:rPr>
                <w:rFonts w:hint="eastAsia" w:ascii="宋体" w:hAnsi="宋体"/>
                <w:szCs w:val="21"/>
                <w:u w:val="single"/>
              </w:rPr>
              <w:t>应仅在密封袋上写明（1）招标人名称；（2）“[工程名称][技术文件（</w:t>
            </w:r>
            <w:r>
              <w:rPr>
                <w:rFonts w:hint="eastAsia" w:ascii="宋体" w:hAnsi="宋体"/>
                <w:szCs w:val="21"/>
                <w:u w:val="single"/>
                <w:lang w:eastAsia="zh-CN"/>
              </w:rPr>
              <w:t>勘察</w:t>
            </w:r>
            <w:r>
              <w:rPr>
                <w:rFonts w:hint="eastAsia" w:ascii="宋体" w:hAnsi="宋体"/>
                <w:szCs w:val="21"/>
                <w:u w:val="single"/>
              </w:rPr>
              <w:t>方案）光盘或保密文件光盘]”字样；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ind w:firstLine="420"/>
              <w:rPr>
                <w:rFonts w:ascii="宋体" w:hAnsi="宋体"/>
              </w:rPr>
            </w:pPr>
            <w:r>
              <w:rPr>
                <w:rFonts w:hint="eastAsia" w:ascii="宋体" w:hAnsi="宋体"/>
                <w:szCs w:val="21"/>
                <w:u w:val="single"/>
              </w:rPr>
              <w:t>接收投标文件备用光盘时，如果包封上没有按规定密封并加写标志，招标人将不承担投标文件错放或提前开封的责任，由此造成的提前开封的投标文件，招标人予以拒绝，并退还给投标人。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rPr>
              <w:t>3.8.2.4</w:t>
            </w:r>
          </w:p>
        </w:tc>
        <w:tc>
          <w:tcPr>
            <w:tcW w:w="3210" w:type="dxa"/>
          </w:tcPr>
          <w:p>
            <w:pPr>
              <w:ind w:firstLine="1"/>
              <w:rPr>
                <w:rFonts w:ascii="宋体" w:hAnsi="宋体"/>
              </w:rPr>
            </w:pPr>
          </w:p>
          <w:p>
            <w:pPr>
              <w:ind w:firstLine="1"/>
              <w:rPr>
                <w:rFonts w:ascii="宋体" w:hAnsi="宋体"/>
              </w:rPr>
            </w:pPr>
          </w:p>
          <w:p>
            <w:pPr>
              <w:ind w:firstLine="1"/>
              <w:rPr>
                <w:rFonts w:ascii="宋体" w:hAnsi="宋体"/>
              </w:rPr>
            </w:pPr>
          </w:p>
          <w:p>
            <w:pPr>
              <w:ind w:firstLine="1"/>
              <w:rPr>
                <w:rFonts w:ascii="宋体" w:hAnsi="宋体"/>
              </w:rPr>
            </w:pPr>
          </w:p>
          <w:p>
            <w:pPr>
              <w:ind w:firstLine="1"/>
              <w:rPr>
                <w:rFonts w:ascii="宋体" w:hAnsi="宋体"/>
              </w:rPr>
            </w:pPr>
          </w:p>
          <w:p>
            <w:pPr>
              <w:ind w:firstLine="1"/>
              <w:rPr>
                <w:rFonts w:ascii="宋体" w:hAnsi="宋体"/>
              </w:rPr>
            </w:pPr>
          </w:p>
          <w:p>
            <w:pPr>
              <w:rPr>
                <w:rFonts w:ascii="宋体" w:hAnsi="宋体"/>
              </w:rPr>
            </w:pPr>
            <w:r>
              <w:rPr>
                <w:rFonts w:hint="eastAsia" w:ascii="宋体" w:hAnsi="宋体"/>
              </w:rPr>
              <w:t>新增</w:t>
            </w:r>
          </w:p>
        </w:tc>
        <w:tc>
          <w:tcPr>
            <w:tcW w:w="4098" w:type="dxa"/>
          </w:tcPr>
          <w:p>
            <w:pPr>
              <w:rPr>
                <w:rFonts w:ascii="宋体" w:hAnsi="宋体"/>
              </w:rPr>
            </w:pPr>
            <w:r>
              <w:rPr>
                <w:rFonts w:hint="eastAsia" w:ascii="宋体" w:hAnsi="宋体" w:cs="宋体"/>
                <w:szCs w:val="21"/>
                <w:u w:val="single"/>
              </w:rPr>
              <w:t>3.8.2.4“</w:t>
            </w:r>
            <w:r>
              <w:rPr>
                <w:rFonts w:hint="eastAsia" w:ascii="宋体" w:hAnsi="宋体" w:cs="宋体"/>
                <w:szCs w:val="21"/>
                <w:u w:val="single"/>
                <w:lang w:eastAsia="zh-CN"/>
              </w:rPr>
              <w:t>勘察</w:t>
            </w:r>
            <w:r>
              <w:rPr>
                <w:rFonts w:hint="eastAsia" w:ascii="宋体" w:hAnsi="宋体" w:cs="宋体"/>
                <w:szCs w:val="21"/>
                <w:u w:val="single"/>
              </w:rPr>
              <w:t>方案光盘”“保密文件光盘”接收时不得启封，当符合</w:t>
            </w:r>
            <w:r>
              <w:rPr>
                <w:rFonts w:ascii="宋体" w:hAnsi="宋体" w:cs="宋体"/>
                <w:szCs w:val="21"/>
                <w:u w:val="single"/>
              </w:rPr>
              <w:t>3.8.2.</w:t>
            </w:r>
            <w:r>
              <w:rPr>
                <w:rFonts w:hint="eastAsia" w:ascii="宋体" w:hAnsi="宋体" w:cs="宋体"/>
                <w:szCs w:val="21"/>
                <w:u w:val="single"/>
              </w:rPr>
              <w:t>1款或</w:t>
            </w:r>
            <w:r>
              <w:rPr>
                <w:rFonts w:ascii="宋体" w:hAnsi="宋体" w:cs="宋体"/>
                <w:szCs w:val="21"/>
                <w:u w:val="single"/>
              </w:rPr>
              <w:t>3.8.2.</w:t>
            </w:r>
            <w:r>
              <w:rPr>
                <w:rFonts w:hint="eastAsia" w:ascii="宋体" w:hAnsi="宋体" w:cs="宋体"/>
                <w:szCs w:val="21"/>
                <w:u w:val="single"/>
              </w:rPr>
              <w:t>2款条件需要对</w:t>
            </w:r>
            <w:r>
              <w:rPr>
                <w:rFonts w:hint="eastAsia" w:ascii="宋体" w:hAnsi="宋体" w:cs="宋体"/>
                <w:szCs w:val="21"/>
                <w:u w:val="single"/>
                <w:lang w:eastAsia="zh-CN"/>
              </w:rPr>
              <w:t>勘察</w:t>
            </w:r>
            <w:r>
              <w:rPr>
                <w:rFonts w:hint="eastAsia" w:ascii="宋体" w:hAnsi="宋体" w:cs="宋体"/>
                <w:szCs w:val="21"/>
                <w:u w:val="single"/>
              </w:rPr>
              <w:t>方案进行评审时，由交易服务机构见证人对“</w:t>
            </w:r>
            <w:r>
              <w:rPr>
                <w:rFonts w:hint="eastAsia" w:ascii="宋体" w:hAnsi="宋体" w:cs="宋体"/>
                <w:szCs w:val="21"/>
                <w:u w:val="single"/>
                <w:lang w:eastAsia="zh-CN"/>
              </w:rPr>
              <w:t>勘察</w:t>
            </w:r>
            <w:r>
              <w:rPr>
                <w:rFonts w:hint="eastAsia" w:ascii="宋体" w:hAnsi="宋体" w:cs="宋体"/>
                <w:szCs w:val="21"/>
                <w:u w:val="single"/>
              </w:rPr>
              <w:t>方案光盘”启封密封袋并编号，参与开标、评标的其他人员应当回避，完成编号后送交评标委员会进行评审。评标结果揭晓前，负责编号的工作人员不得向他人透露投标文件编号的情况。在完成</w:t>
            </w:r>
            <w:r>
              <w:rPr>
                <w:rFonts w:hint="eastAsia" w:ascii="宋体" w:hAnsi="宋体" w:cs="宋体"/>
                <w:szCs w:val="21"/>
                <w:u w:val="single"/>
                <w:lang w:eastAsia="zh-CN"/>
              </w:rPr>
              <w:t>勘察</w:t>
            </w:r>
            <w:r>
              <w:rPr>
                <w:rFonts w:hint="eastAsia" w:ascii="宋体" w:hAnsi="宋体" w:cs="宋体"/>
                <w:szCs w:val="21"/>
                <w:u w:val="single"/>
              </w:rPr>
              <w:t>方案评审后，由交易服务机构见证人和评标委员会共同开启“保密文件光盘”密封袋揭晓投标人身份。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ind w:right="25" w:rightChars="12"/>
              <w:rPr>
                <w:rFonts w:ascii="宋体" w:hAnsi="宋体"/>
              </w:rPr>
            </w:pPr>
            <w:r>
              <w:rPr>
                <w:rFonts w:hint="eastAsia" w:ascii="宋体" w:hAnsi="宋体"/>
              </w:rPr>
              <w:t>3.9.1</w:t>
            </w:r>
          </w:p>
        </w:tc>
        <w:tc>
          <w:tcPr>
            <w:tcW w:w="3210" w:type="dxa"/>
            <w:vAlign w:val="center"/>
          </w:tcPr>
          <w:p>
            <w:pPr>
              <w:rPr>
                <w:rFonts w:ascii="宋体" w:hAnsi="宋体"/>
              </w:rPr>
            </w:pPr>
            <w:r>
              <w:rPr>
                <w:rFonts w:hint="eastAsia" w:ascii="宋体" w:hAnsi="宋体"/>
              </w:rPr>
              <w:t>3.9.1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tc>
        <w:tc>
          <w:tcPr>
            <w:tcW w:w="4098" w:type="dxa"/>
            <w:vAlign w:val="center"/>
          </w:tcPr>
          <w:p>
            <w:pPr>
              <w:rPr>
                <w:rFonts w:ascii="宋体" w:hAnsi="宋体"/>
              </w:rPr>
            </w:pPr>
            <w:r>
              <w:rPr>
                <w:rFonts w:hint="eastAsia" w:ascii="宋体" w:hAnsi="宋体"/>
              </w:rPr>
              <w:t>3.9.1在投标截止时间后半小时内，投标人通过递交投标文件的交易平台对已递交的电子投标文件进行解密。投标人完成解密后，再由招标人进行解密。解密完成后，</w:t>
            </w:r>
            <w:r>
              <w:rPr>
                <w:rFonts w:hint="eastAsia" w:ascii="宋体" w:hAnsi="宋体"/>
                <w:u w:val="single"/>
              </w:rPr>
              <w:t>公布招标项目名称、投标人名称、开标信封文件和资格审查文件。未在规定时间内解密的投标文件不参与开标、评标。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ascii="宋体" w:hAnsi="宋体"/>
              </w:rPr>
              <w:t>3.10</w:t>
            </w:r>
            <w:r>
              <w:rPr>
                <w:rFonts w:hint="eastAsia" w:ascii="宋体" w:hAnsi="宋体"/>
              </w:rPr>
              <w:t>.1</w:t>
            </w:r>
          </w:p>
        </w:tc>
        <w:tc>
          <w:tcPr>
            <w:tcW w:w="3210" w:type="dxa"/>
            <w:vAlign w:val="center"/>
          </w:tcPr>
          <w:p>
            <w:pPr>
              <w:rPr>
                <w:rFonts w:ascii="宋体" w:hAnsi="宋体"/>
              </w:rPr>
            </w:pPr>
            <w:r>
              <w:rPr>
                <w:rFonts w:ascii="宋体" w:hAnsi="宋体"/>
              </w:rPr>
              <w:t>3.10</w:t>
            </w:r>
            <w:r>
              <w:rPr>
                <w:rFonts w:hint="eastAsia" w:ascii="宋体" w:hAnsi="宋体"/>
              </w:rPr>
              <w:t>.1投标人不需要提交投标保证金，评标结果揭晓后，中标候选人所得投标补偿转作保证金，确定中标人后立即返还，其中中标人的保证金待签订合同后立即返还。如果重新招标，保证金立即返还。</w:t>
            </w:r>
          </w:p>
        </w:tc>
        <w:tc>
          <w:tcPr>
            <w:tcW w:w="4098" w:type="dxa"/>
            <w:vAlign w:val="center"/>
          </w:tcPr>
          <w:p>
            <w:pPr>
              <w:rPr>
                <w:rFonts w:ascii="宋体" w:hAnsi="宋体"/>
                <w:u w:val="single"/>
              </w:rPr>
            </w:pPr>
            <w:r>
              <w:rPr>
                <w:rFonts w:ascii="宋体" w:hAnsi="宋体"/>
              </w:rPr>
              <w:t>3.10</w:t>
            </w:r>
            <w:r>
              <w:rPr>
                <w:rFonts w:hint="eastAsia" w:ascii="宋体" w:hAnsi="宋体"/>
              </w:rPr>
              <w:t>.1</w:t>
            </w:r>
            <w:r>
              <w:rPr>
                <w:rFonts w:hint="eastAsia" w:ascii="宋体" w:hAnsi="宋体"/>
                <w:u w:val="single"/>
              </w:rPr>
              <w:t>投标人需要提交投标保证金，要求如下：</w:t>
            </w:r>
          </w:p>
          <w:p>
            <w:pPr>
              <w:ind w:firstLine="420" w:firstLineChars="200"/>
              <w:rPr>
                <w:rFonts w:ascii="宋体" w:hAnsi="宋体"/>
                <w:strike/>
                <w:dstrike w:val="0"/>
                <w:szCs w:val="21"/>
                <w:highlight w:val="yellow"/>
                <w:u w:val="single"/>
              </w:rPr>
            </w:pPr>
            <w:r>
              <w:rPr>
                <w:rFonts w:hint="eastAsia" w:ascii="宋体" w:hAnsi="宋体"/>
                <w:strike w:val="0"/>
                <w:dstrike w:val="0"/>
                <w:szCs w:val="21"/>
                <w:highlight w:val="none"/>
                <w:u w:val="single"/>
              </w:rPr>
              <w:t>投标保证金的金额：</w:t>
            </w:r>
            <w:r>
              <w:rPr>
                <w:rFonts w:hint="eastAsia" w:ascii="宋体" w:hAnsi="宋体"/>
                <w:b/>
                <w:strike w:val="0"/>
                <w:dstrike w:val="0"/>
                <w:szCs w:val="21"/>
                <w:highlight w:val="none"/>
                <w:u w:val="single"/>
              </w:rPr>
              <w:t>人民币</w:t>
            </w:r>
            <w:r>
              <w:rPr>
                <w:rFonts w:hint="eastAsia" w:ascii="宋体" w:hAnsi="宋体"/>
                <w:b/>
                <w:strike w:val="0"/>
                <w:dstrike w:val="0"/>
                <w:szCs w:val="21"/>
                <w:highlight w:val="none"/>
                <w:u w:val="single"/>
                <w:lang w:val="en-US" w:eastAsia="zh-CN"/>
              </w:rPr>
              <w:t>2</w:t>
            </w:r>
            <w:r>
              <w:rPr>
                <w:rFonts w:hint="eastAsia" w:ascii="宋体" w:hAnsi="宋体"/>
                <w:b/>
                <w:strike w:val="0"/>
                <w:dstrike w:val="0"/>
                <w:szCs w:val="21"/>
                <w:highlight w:val="none"/>
                <w:u w:val="single"/>
              </w:rPr>
              <w:t>万元整。</w:t>
            </w:r>
          </w:p>
          <w:p>
            <w:pPr>
              <w:ind w:firstLine="420" w:firstLineChars="200"/>
              <w:rPr>
                <w:rFonts w:ascii="宋体" w:hAnsi="宋体"/>
                <w:szCs w:val="21"/>
                <w:u w:val="single"/>
              </w:rPr>
            </w:pPr>
            <w:r>
              <w:rPr>
                <w:rFonts w:hint="eastAsia" w:ascii="宋体" w:hAnsi="宋体"/>
                <w:szCs w:val="21"/>
                <w:u w:val="single"/>
              </w:rPr>
              <w:t>投标保证金有效期：</w:t>
            </w:r>
            <w:r>
              <w:rPr>
                <w:rFonts w:hint="eastAsia" w:ascii="宋体" w:hAnsi="宋体"/>
                <w:b/>
                <w:szCs w:val="21"/>
                <w:u w:val="single"/>
              </w:rPr>
              <w:t>不短于投标有效期。</w:t>
            </w:r>
          </w:p>
          <w:p>
            <w:pPr>
              <w:ind w:firstLine="420" w:firstLineChars="200"/>
              <w:rPr>
                <w:rFonts w:ascii="宋体" w:hAnsi="宋体"/>
                <w:szCs w:val="21"/>
                <w:u w:val="single"/>
              </w:rPr>
            </w:pPr>
            <w:r>
              <w:rPr>
                <w:rFonts w:hint="eastAsia" w:ascii="宋体" w:hAnsi="宋体"/>
                <w:szCs w:val="21"/>
                <w:u w:val="single"/>
              </w:rPr>
              <w:t>（1）投标保证金可采用现金、支票、银行保函、保证保险、专业担保公司担保等的形式，须在递交投标文件截止时间前完成缴纳。</w:t>
            </w:r>
          </w:p>
          <w:p>
            <w:pPr>
              <w:ind w:firstLine="420" w:firstLineChars="200"/>
              <w:rPr>
                <w:rFonts w:ascii="宋体" w:hAnsi="宋体"/>
                <w:szCs w:val="21"/>
                <w:u w:val="single"/>
              </w:rPr>
            </w:pPr>
            <w:r>
              <w:rPr>
                <w:rFonts w:hint="eastAsia" w:ascii="宋体" w:hAnsi="宋体"/>
                <w:szCs w:val="21"/>
                <w:u w:val="single"/>
              </w:rPr>
              <w:t>（2）如采用现金或者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交易集团有限公司，到账情况以开标时广州公共资源交易中心数据库查询的信息为准。</w:t>
            </w:r>
          </w:p>
          <w:p>
            <w:pPr>
              <w:ind w:firstLine="420" w:firstLineChars="200"/>
              <w:rPr>
                <w:rFonts w:ascii="宋体" w:hAnsi="宋体"/>
                <w:szCs w:val="21"/>
                <w:u w:val="single"/>
              </w:rPr>
            </w:pPr>
            <w:r>
              <w:rPr>
                <w:rFonts w:hint="eastAsia" w:ascii="宋体" w:hAnsi="宋体"/>
                <w:szCs w:val="21"/>
                <w:u w:val="single"/>
              </w:rPr>
              <w:t>投标人需在交易系统中将汇入投标保证金与投标项目进行绑定，绑定成功后才能被认定为完成缴交投标保证金义务。</w:t>
            </w:r>
          </w:p>
          <w:p>
            <w:pPr>
              <w:ind w:firstLine="420" w:firstLineChars="200"/>
              <w:rPr>
                <w:rFonts w:ascii="宋体" w:hAnsi="宋体"/>
                <w:b/>
                <w:bCs/>
                <w:szCs w:val="21"/>
                <w:u w:val="single"/>
              </w:rPr>
            </w:pPr>
            <w:r>
              <w:rPr>
                <w:rFonts w:hint="eastAsia" w:ascii="宋体" w:hAnsi="宋体"/>
                <w:b/>
                <w:bCs/>
                <w:szCs w:val="21"/>
                <w:u w:val="single"/>
              </w:rPr>
              <w:t xml:space="preserve">收款单位：广州交易集团有限公司，开户银行：中国建设银行广州天润路支行，银行账号：44001583404059333333； </w:t>
            </w:r>
          </w:p>
          <w:p>
            <w:pPr>
              <w:ind w:firstLine="420" w:firstLineChars="200"/>
              <w:rPr>
                <w:rFonts w:ascii="宋体" w:hAnsi="宋体"/>
                <w:kern w:val="0"/>
                <w:szCs w:val="21"/>
                <w:u w:val="single"/>
              </w:rPr>
            </w:pPr>
            <w:r>
              <w:rPr>
                <w:rFonts w:hint="eastAsia" w:ascii="宋体" w:hAnsi="宋体"/>
                <w:szCs w:val="21"/>
                <w:u w:val="single"/>
              </w:rPr>
              <w:t>（3）如采用非电子投标保函或投标保证保险或专业担保公司担保的形式提交投标保证金的，在开标前不强制要求投标人提交纸质原件，但投标人应在投标文件中提交投标保函或投标保证保险或专业担保公司担保的扫描件并加盖投标人</w:t>
            </w:r>
            <w:r>
              <w:rPr>
                <w:rFonts w:hint="eastAsia" w:ascii="宋体" w:hAnsi="宋体"/>
                <w:u w:val="single"/>
              </w:rPr>
              <w:t>电子</w:t>
            </w:r>
            <w:r>
              <w:rPr>
                <w:rFonts w:hint="eastAsia" w:ascii="宋体" w:hAnsi="宋体"/>
                <w:szCs w:val="21"/>
                <w:u w:val="single"/>
              </w:rPr>
              <w:t>印章。评审结束后，中标候选人应在中标候选人公示前提交其办理的投标保函或投标保证保险或专业担保公司担保的原件以供招标人在网上予以公示。</w:t>
            </w:r>
            <w:r>
              <w:rPr>
                <w:rFonts w:hint="eastAsia" w:ascii="宋体" w:hAnsi="宋体"/>
                <w:kern w:val="0"/>
                <w:szCs w:val="21"/>
                <w:u w:val="single"/>
              </w:rPr>
              <w:t>如投标人选择在开标前提交纸质原件的，可在投标截止时间前单独密封递交至开标室。</w:t>
            </w:r>
          </w:p>
          <w:p>
            <w:pPr>
              <w:pStyle w:val="63"/>
              <w:rPr>
                <w:rFonts w:ascii="宋体" w:hAnsi="宋体"/>
              </w:rPr>
            </w:pPr>
            <w:r>
              <w:rPr>
                <w:rFonts w:hint="eastAsia" w:ascii="宋体" w:hAnsi="宋体"/>
                <w:kern w:val="0"/>
                <w:szCs w:val="21"/>
                <w:u w:val="single"/>
              </w:rPr>
              <w:t>格式可自定，该证明文件应包含载明的内容：本招标项目的名称、投标保证金金额、投标保证金有效期，抬头为“广州市广花房地产开发有限公司”。</w:t>
            </w:r>
          </w:p>
          <w:p>
            <w:pPr>
              <w:ind w:firstLine="420" w:firstLineChars="200"/>
              <w:rPr>
                <w:rFonts w:ascii="宋体" w:hAnsi="宋体"/>
                <w:szCs w:val="21"/>
                <w:u w:val="single"/>
              </w:rPr>
            </w:pPr>
            <w:r>
              <w:rPr>
                <w:rFonts w:hint="eastAsia" w:ascii="宋体" w:hAnsi="宋体"/>
                <w:szCs w:val="21"/>
                <w:u w:val="single"/>
              </w:rPr>
              <w:t>（4）如采用电子形式的保函、担保或保证保险方式提交投标保证金，具体操作详见广州公共资源交易中心电子保函操作指引。</w:t>
            </w:r>
          </w:p>
          <w:p>
            <w:pPr>
              <w:pStyle w:val="2"/>
              <w:ind w:firstLine="420"/>
              <w:rPr>
                <w:rFonts w:hint="eastAsia" w:ascii="宋体" w:hAnsi="宋体"/>
                <w:szCs w:val="21"/>
                <w:u w:val="single"/>
              </w:rPr>
            </w:pPr>
            <w:r>
              <w:rPr>
                <w:rFonts w:hint="eastAsia" w:ascii="宋体" w:hAnsi="宋体"/>
                <w:szCs w:val="21"/>
                <w:u w:val="single"/>
              </w:rPr>
              <w:t>（5）为减轻中小企业资金占用压力，本项目免收中小企业（包括中型、小型和微型企业）的投标保证金</w:t>
            </w:r>
            <w:r>
              <w:rPr>
                <w:rFonts w:hint="eastAsia" w:ascii="宋体" w:hAnsi="宋体"/>
                <w:szCs w:val="21"/>
                <w:u w:val="single"/>
                <w:lang w:eastAsia="zh-CN"/>
              </w:rPr>
              <w:t>，</w:t>
            </w:r>
            <w:r>
              <w:rPr>
                <w:rFonts w:hint="eastAsia" w:ascii="宋体" w:hAnsi="宋体"/>
                <w:szCs w:val="21"/>
                <w:u w:val="single"/>
              </w:rPr>
              <w:t>但投标人应提供属于中小企业的资料（提供自行查询企业划型截图和</w:t>
            </w:r>
            <w:r>
              <w:rPr>
                <w:rFonts w:hint="eastAsia" w:ascii="宋体" w:hAnsi="宋体"/>
                <w:szCs w:val="21"/>
                <w:highlight w:val="none"/>
                <w:u w:val="single"/>
              </w:rPr>
              <w:t>《中小企业声明函》（见</w:t>
            </w:r>
            <w:r>
              <w:rPr>
                <w:rFonts w:hint="eastAsia" w:ascii="宋体" w:hAnsi="宋体"/>
                <w:szCs w:val="21"/>
                <w:highlight w:val="none"/>
                <w:u w:val="single"/>
                <w:lang w:eastAsia="zh-CN"/>
              </w:rPr>
              <w:t>附录</w:t>
            </w:r>
            <w:r>
              <w:rPr>
                <w:rFonts w:hint="eastAsia" w:ascii="宋体" w:hAnsi="宋体"/>
                <w:szCs w:val="21"/>
                <w:highlight w:val="none"/>
                <w:u w:val="single"/>
                <w:lang w:val="en-US" w:eastAsia="zh-CN"/>
              </w:rPr>
              <w:t>20</w:t>
            </w:r>
            <w:r>
              <w:rPr>
                <w:rFonts w:hint="eastAsia" w:ascii="宋体" w:hAnsi="宋体"/>
                <w:szCs w:val="21"/>
                <w:highlight w:val="none"/>
                <w:u w:val="single"/>
                <w:lang w:eastAsia="zh-CN"/>
              </w:rPr>
              <w:t>）及</w:t>
            </w:r>
            <w:r>
              <w:rPr>
                <w:rFonts w:hint="eastAsia" w:ascii="宋体" w:hAnsi="宋体"/>
                <w:szCs w:val="21"/>
                <w:highlight w:val="none"/>
                <w:u w:val="single"/>
              </w:rPr>
              <w:t>《关于投标保证金的承诺》（</w:t>
            </w:r>
            <w:r>
              <w:rPr>
                <w:rFonts w:hint="eastAsia" w:ascii="宋体" w:hAnsi="宋体"/>
                <w:szCs w:val="21"/>
                <w:highlight w:val="none"/>
                <w:u w:val="single"/>
                <w:lang w:eastAsia="zh-CN"/>
              </w:rPr>
              <w:t>见附录</w:t>
            </w:r>
            <w:r>
              <w:rPr>
                <w:rFonts w:hint="eastAsia" w:ascii="宋体" w:hAnsi="宋体"/>
                <w:szCs w:val="21"/>
                <w:highlight w:val="none"/>
                <w:u w:val="single"/>
                <w:lang w:val="en-US" w:eastAsia="zh-CN"/>
              </w:rPr>
              <w:t>21</w:t>
            </w:r>
            <w:r>
              <w:rPr>
                <w:rFonts w:hint="eastAsia" w:ascii="宋体" w:hAnsi="宋体"/>
                <w:szCs w:val="21"/>
                <w:highlight w:val="none"/>
                <w:u w:val="single"/>
              </w:rPr>
              <w:t>））</w:t>
            </w:r>
            <w:r>
              <w:rPr>
                <w:rFonts w:hint="eastAsia" w:ascii="宋体" w:hAnsi="宋体"/>
                <w:szCs w:val="21"/>
                <w:u w:val="single"/>
              </w:rPr>
              <w:t>。中小企业的划型标准依据《关于印发中小企业划型标准规定的通知》（工信部联企业（2011）300号）执行，投标人提供以https://baosong.miit.gov.cn/ScaleTest网址查询结果为准，网页截图需包含网址信息。没有按上述要求提供证明材料的投标人，不免于</w:t>
            </w:r>
            <w:r>
              <w:rPr>
                <w:rFonts w:hint="eastAsia" w:ascii="宋体" w:hAnsi="宋体"/>
                <w:szCs w:val="21"/>
                <w:u w:val="single"/>
                <w:lang w:eastAsia="zh-CN"/>
              </w:rPr>
              <w:t>缴纳</w:t>
            </w:r>
            <w:r>
              <w:rPr>
                <w:rFonts w:hint="eastAsia" w:ascii="宋体" w:hAnsi="宋体"/>
                <w:szCs w:val="21"/>
                <w:u w:val="single"/>
              </w:rPr>
              <w:t>投标保证金。</w:t>
            </w:r>
            <w:r>
              <w:rPr>
                <w:rFonts w:hint="eastAsia" w:ascii="宋体" w:hAnsi="宋体"/>
                <w:szCs w:val="21"/>
                <w:u w:val="single"/>
                <w:lang w:eastAsia="zh-CN"/>
              </w:rPr>
              <w:t>提供的证明材料应</w:t>
            </w:r>
            <w:r>
              <w:rPr>
                <w:rFonts w:hint="eastAsia" w:ascii="宋体" w:hAnsi="宋体"/>
                <w:szCs w:val="21"/>
                <w:u w:val="single"/>
              </w:rPr>
              <w:t>加盖投标人电子印章。</w:t>
            </w:r>
          </w:p>
          <w:p>
            <w:pPr>
              <w:pStyle w:val="2"/>
              <w:ind w:firstLine="420"/>
              <w:rPr>
                <w:rFonts w:hint="eastAsia" w:ascii="宋体" w:hAnsi="宋体"/>
                <w:szCs w:val="21"/>
                <w:u w:val="single"/>
              </w:rPr>
            </w:pPr>
            <w:r>
              <w:rPr>
                <w:rFonts w:hint="eastAsia" w:ascii="宋体" w:hAnsi="宋体"/>
                <w:szCs w:val="21"/>
                <w:u w:val="single"/>
                <w:lang w:val="en-US" w:eastAsia="zh-CN"/>
              </w:rPr>
              <w:t>（6）</w:t>
            </w:r>
            <w:r>
              <w:rPr>
                <w:rFonts w:hint="eastAsia" w:ascii="宋体" w:hAnsi="宋体"/>
                <w:szCs w:val="21"/>
                <w:u w:val="single"/>
              </w:rPr>
              <w:t>开标时投标人没有按要求提供投标保证金的，其投标文件将被否决；未按招标文件要求提交符合免予提供投标保证金相关证明材料，且未提交投标保证金的投标人，视为未按要求提供投标保证金</w:t>
            </w:r>
            <w:r>
              <w:rPr>
                <w:rFonts w:hint="eastAsia" w:ascii="宋体" w:hAnsi="宋体"/>
                <w:szCs w:val="21"/>
                <w:u w:val="single"/>
                <w:lang w:eastAsia="zh-CN"/>
              </w:rPr>
              <w:t>。</w:t>
            </w:r>
          </w:p>
          <w:p>
            <w:pPr>
              <w:pStyle w:val="2"/>
              <w:ind w:firstLine="420"/>
              <w:rPr>
                <w:rFonts w:ascii="宋体" w:hAnsi="宋体"/>
                <w:kern w:val="0"/>
                <w:szCs w:val="21"/>
                <w:u w:val="single"/>
              </w:rPr>
            </w:pPr>
            <w:r>
              <w:rPr>
                <w:rFonts w:hint="eastAsia" w:ascii="宋体" w:hAnsi="宋体"/>
                <w:szCs w:val="21"/>
                <w:u w:val="single"/>
                <w:lang w:val="en-US" w:eastAsia="zh-CN"/>
              </w:rPr>
              <w:t>（7）</w:t>
            </w:r>
            <w:r>
              <w:rPr>
                <w:rFonts w:hint="eastAsia" w:ascii="宋体" w:hAnsi="宋体"/>
                <w:szCs w:val="21"/>
                <w:u w:val="single"/>
              </w:rPr>
              <w:t>投标保证金依据法律法规的相关规定退还。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tabs>
                <w:tab w:val="left" w:pos="625"/>
              </w:tabs>
              <w:rPr>
                <w:rFonts w:ascii="宋体" w:hAnsi="宋体"/>
              </w:rPr>
            </w:pPr>
            <w:r>
              <w:rPr>
                <w:rFonts w:hint="eastAsia" w:ascii="宋体" w:hAnsi="宋体"/>
                <w:szCs w:val="21"/>
              </w:rPr>
              <w:t>3.10.2</w:t>
            </w:r>
          </w:p>
        </w:tc>
        <w:tc>
          <w:tcPr>
            <w:tcW w:w="3210" w:type="dxa"/>
          </w:tcPr>
          <w:p>
            <w:pPr>
              <w:rPr>
                <w:rFonts w:ascii="宋体" w:hAnsi="宋体"/>
                <w:b/>
              </w:rPr>
            </w:pPr>
            <w:r>
              <w:rPr>
                <w:rFonts w:hint="eastAsia" w:ascii="宋体" w:hAnsi="宋体"/>
                <w:szCs w:val="21"/>
              </w:rPr>
              <w:t>3.10.2 投标有效期90天，从提交投标文件截止日起计算。在提交投标文件截止时间后到招标文件规定的投标有效期终止之前，投标人不得补充、修改或者撤回其投标文件，否则其保证金将被没收。</w:t>
            </w:r>
          </w:p>
        </w:tc>
        <w:tc>
          <w:tcPr>
            <w:tcW w:w="4098" w:type="dxa"/>
          </w:tcPr>
          <w:p>
            <w:pPr>
              <w:rPr>
                <w:rFonts w:ascii="宋体" w:hAnsi="宋体" w:cs="宋体"/>
                <w:szCs w:val="21"/>
              </w:rPr>
            </w:pPr>
            <w:r>
              <w:rPr>
                <w:rFonts w:hint="eastAsia" w:ascii="宋体" w:hAnsi="宋体"/>
              </w:rPr>
              <w:t xml:space="preserve">3.10.2 </w:t>
            </w:r>
            <w:r>
              <w:rPr>
                <w:rFonts w:hint="eastAsia" w:ascii="宋体" w:hAnsi="宋体"/>
                <w:szCs w:val="21"/>
              </w:rPr>
              <w:t>投标有效期90日历天，从提交投标文件截止日起计算，</w:t>
            </w:r>
            <w:r>
              <w:rPr>
                <w:rFonts w:hint="eastAsia" w:ascii="宋体" w:hAnsi="宋体"/>
                <w:szCs w:val="21"/>
                <w:u w:val="single"/>
              </w:rPr>
              <w:t>如出现异议或投诉，则投标有效期自动延长至异议或投诉处理结束。</w:t>
            </w:r>
            <w:r>
              <w:rPr>
                <w:rFonts w:hint="eastAsia" w:ascii="宋体" w:hAnsi="宋体"/>
                <w:szCs w:val="21"/>
              </w:rPr>
              <w:t>在提交投标文件截止时间后到招标文件规定的投标有效期终止之前，投标人不得补充、修改或者撤回其投标文件，否则其保证金将被没收。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hint="eastAsia" w:ascii="宋体" w:hAnsi="宋体"/>
              </w:rPr>
            </w:pPr>
            <w:r>
              <w:rPr>
                <w:rFonts w:ascii="宋体" w:hAnsi="宋体" w:cs="宋体"/>
                <w:szCs w:val="21"/>
                <w:lang w:bidi="ar"/>
              </w:rPr>
              <w:t>3.11</w:t>
            </w:r>
          </w:p>
        </w:tc>
        <w:tc>
          <w:tcPr>
            <w:tcW w:w="3210" w:type="dxa"/>
            <w:vAlign w:val="center"/>
          </w:tcPr>
          <w:p>
            <w:pPr>
              <w:rPr>
                <w:rFonts w:ascii="宋体" w:hAnsi="宋体" w:cs="宋体"/>
                <w:szCs w:val="21"/>
                <w:lang w:bidi="ar"/>
              </w:rPr>
            </w:pPr>
            <w:r>
              <w:rPr>
                <w:rFonts w:ascii="宋体" w:hAnsi="宋体" w:cs="宋体"/>
                <w:szCs w:val="21"/>
                <w:lang w:bidi="ar"/>
              </w:rPr>
              <w:t>3.11 投标人不得存在下列情形之一：</w:t>
            </w:r>
          </w:p>
          <w:p>
            <w:pPr>
              <w:rPr>
                <w:rFonts w:ascii="宋体" w:hAnsi="宋体" w:cs="宋体"/>
                <w:szCs w:val="21"/>
                <w:lang w:bidi="ar"/>
              </w:rPr>
            </w:pPr>
            <w:r>
              <w:rPr>
                <w:rFonts w:ascii="宋体" w:hAnsi="宋体" w:cs="宋体"/>
                <w:szCs w:val="21"/>
                <w:lang w:bidi="ar"/>
              </w:rPr>
              <w:t>（1）为招标人不具有独立法人资格的附属机构（单位）；</w:t>
            </w:r>
          </w:p>
          <w:p>
            <w:pPr>
              <w:rPr>
                <w:rFonts w:ascii="宋体" w:hAnsi="宋体" w:cs="宋体"/>
                <w:szCs w:val="21"/>
                <w:lang w:bidi="ar"/>
              </w:rPr>
            </w:pPr>
            <w:r>
              <w:rPr>
                <w:rFonts w:ascii="宋体" w:hAnsi="宋体" w:cs="宋体"/>
                <w:szCs w:val="21"/>
                <w:lang w:bidi="ar"/>
              </w:rPr>
              <w:t>（2）与招标人存在利害关系且可能影响招标公正性；</w:t>
            </w:r>
          </w:p>
          <w:p>
            <w:pPr>
              <w:rPr>
                <w:rFonts w:ascii="宋体" w:hAnsi="宋体" w:cs="宋体"/>
                <w:szCs w:val="21"/>
                <w:lang w:bidi="ar"/>
              </w:rPr>
            </w:pPr>
            <w:r>
              <w:rPr>
                <w:rFonts w:ascii="宋体" w:hAnsi="宋体" w:cs="宋体"/>
                <w:szCs w:val="21"/>
                <w:lang w:bidi="ar"/>
              </w:rPr>
              <w:t>（3）与本招标项目的其他投标人为同一个单位负责人；</w:t>
            </w:r>
          </w:p>
          <w:p>
            <w:pPr>
              <w:rPr>
                <w:rFonts w:ascii="宋体" w:hAnsi="宋体" w:cs="宋体"/>
                <w:szCs w:val="21"/>
                <w:lang w:bidi="ar"/>
              </w:rPr>
            </w:pPr>
            <w:r>
              <w:rPr>
                <w:rFonts w:ascii="宋体" w:hAnsi="宋体" w:cs="宋体"/>
                <w:szCs w:val="21"/>
                <w:lang w:bidi="ar"/>
              </w:rPr>
              <w:t>（4）与本招标项目的其他投标人存在控股、管理关系；</w:t>
            </w:r>
          </w:p>
          <w:p>
            <w:pPr>
              <w:rPr>
                <w:rFonts w:ascii="宋体" w:hAnsi="宋体" w:cs="宋体"/>
                <w:szCs w:val="21"/>
                <w:lang w:bidi="ar"/>
              </w:rPr>
            </w:pPr>
            <w:r>
              <w:rPr>
                <w:rFonts w:ascii="宋体" w:hAnsi="宋体" w:cs="宋体"/>
                <w:szCs w:val="21"/>
                <w:lang w:bidi="ar"/>
              </w:rPr>
              <w:t>（5）为本招标项目的代建人；</w:t>
            </w:r>
          </w:p>
          <w:p>
            <w:pPr>
              <w:rPr>
                <w:rFonts w:ascii="宋体" w:hAnsi="宋体" w:cs="宋体"/>
                <w:szCs w:val="21"/>
                <w:lang w:bidi="ar"/>
              </w:rPr>
            </w:pPr>
            <w:r>
              <w:rPr>
                <w:rFonts w:ascii="宋体" w:hAnsi="宋体" w:cs="宋体"/>
                <w:szCs w:val="21"/>
                <w:lang w:bidi="ar"/>
              </w:rPr>
              <w:t>（6）为本招标项目的招标代理机构；</w:t>
            </w:r>
          </w:p>
          <w:p>
            <w:pPr>
              <w:rPr>
                <w:rFonts w:ascii="宋体" w:hAnsi="宋体" w:cs="宋体"/>
                <w:szCs w:val="21"/>
                <w:lang w:bidi="ar"/>
              </w:rPr>
            </w:pPr>
            <w:r>
              <w:rPr>
                <w:rFonts w:ascii="宋体" w:hAnsi="宋体" w:cs="宋体"/>
                <w:szCs w:val="21"/>
                <w:lang w:bidi="ar"/>
              </w:rPr>
              <w:t>（7）与本招标项目的代建人或招标代理机构同为一个法定代表人；</w:t>
            </w:r>
          </w:p>
          <w:p>
            <w:pPr>
              <w:rPr>
                <w:rFonts w:ascii="宋体" w:hAnsi="宋体" w:cs="宋体"/>
                <w:szCs w:val="21"/>
                <w:lang w:bidi="ar"/>
              </w:rPr>
            </w:pPr>
            <w:r>
              <w:rPr>
                <w:rFonts w:ascii="宋体" w:hAnsi="宋体" w:cs="宋体"/>
                <w:szCs w:val="21"/>
                <w:lang w:bidi="ar"/>
              </w:rPr>
              <w:t>（8）与本招标项目的代建人或招标代理机构存在控股或参股关系；</w:t>
            </w:r>
          </w:p>
          <w:p>
            <w:pPr>
              <w:rPr>
                <w:rFonts w:ascii="宋体" w:hAnsi="宋体" w:cs="宋体"/>
                <w:szCs w:val="21"/>
                <w:lang w:bidi="ar"/>
              </w:rPr>
            </w:pPr>
            <w:r>
              <w:rPr>
                <w:rFonts w:ascii="宋体" w:hAnsi="宋体" w:cs="宋体"/>
                <w:szCs w:val="21"/>
                <w:lang w:bidi="ar"/>
              </w:rPr>
              <w:t>（9）被依法暂停或者取消投标资格；</w:t>
            </w:r>
          </w:p>
          <w:p>
            <w:pPr>
              <w:rPr>
                <w:rFonts w:ascii="宋体" w:hAnsi="宋体" w:cs="宋体"/>
                <w:szCs w:val="21"/>
                <w:lang w:bidi="ar"/>
              </w:rPr>
            </w:pPr>
            <w:r>
              <w:rPr>
                <w:rFonts w:ascii="宋体" w:hAnsi="宋体" w:cs="宋体"/>
                <w:szCs w:val="21"/>
                <w:lang w:bidi="ar"/>
              </w:rPr>
              <w:t>（10）被责令停产停业、暂扣或者吊销许可证、暂扣或者吊销执照；</w:t>
            </w:r>
          </w:p>
          <w:p>
            <w:pPr>
              <w:rPr>
                <w:rFonts w:ascii="宋体" w:hAnsi="宋体" w:cs="宋体"/>
                <w:szCs w:val="21"/>
                <w:lang w:bidi="ar"/>
              </w:rPr>
            </w:pPr>
            <w:r>
              <w:rPr>
                <w:rFonts w:ascii="宋体" w:hAnsi="宋体" w:cs="宋体"/>
                <w:szCs w:val="21"/>
                <w:lang w:bidi="ar"/>
              </w:rPr>
              <w:t>（11）进入清算程序，或被宣告破产，或其他丧失履约能力的情形；</w:t>
            </w:r>
          </w:p>
          <w:p>
            <w:pPr>
              <w:rPr>
                <w:rFonts w:ascii="宋体" w:hAnsi="宋体" w:cs="宋体"/>
                <w:szCs w:val="21"/>
                <w:lang w:bidi="ar"/>
              </w:rPr>
            </w:pPr>
            <w:r>
              <w:rPr>
                <w:rFonts w:ascii="宋体" w:hAnsi="宋体" w:cs="宋体"/>
                <w:szCs w:val="21"/>
                <w:lang w:bidi="ar"/>
              </w:rPr>
              <w:t>（12）在最近三年内发生重大设计质量问题（以相关行业主管部门的行政处罚决定或司法机关出具的有关法律文书为准）；</w:t>
            </w:r>
          </w:p>
          <w:p>
            <w:pPr>
              <w:rPr>
                <w:rFonts w:ascii="宋体" w:hAnsi="宋体" w:cs="宋体"/>
                <w:szCs w:val="21"/>
                <w:lang w:bidi="ar"/>
              </w:rPr>
            </w:pPr>
            <w:r>
              <w:rPr>
                <w:rFonts w:ascii="宋体" w:hAnsi="宋体" w:cs="宋体"/>
                <w:szCs w:val="21"/>
                <w:lang w:bidi="ar"/>
              </w:rPr>
              <w:t>（13）被工商行政管理机关在全国企业信用信息公示系统中列入严重违法失信企业名单；</w:t>
            </w:r>
          </w:p>
          <w:p>
            <w:pPr>
              <w:rPr>
                <w:rFonts w:ascii="宋体" w:hAnsi="宋体" w:cs="宋体"/>
                <w:szCs w:val="21"/>
                <w:lang w:bidi="ar"/>
              </w:rPr>
            </w:pPr>
            <w:r>
              <w:rPr>
                <w:rFonts w:ascii="宋体" w:hAnsi="宋体" w:cs="宋体"/>
                <w:szCs w:val="21"/>
                <w:lang w:bidi="ar"/>
              </w:rPr>
              <w:t>（14）被最高人民法院在“信用中国”网站（www.creditchina.gov.cn）或各级信用信息共享平台中列入失信被执行人名单；</w:t>
            </w:r>
          </w:p>
          <w:p>
            <w:pPr>
              <w:rPr>
                <w:rFonts w:hint="eastAsia" w:ascii="宋体" w:hAnsi="宋体"/>
                <w:b/>
              </w:rPr>
            </w:pPr>
            <w:r>
              <w:rPr>
                <w:rFonts w:ascii="宋体" w:hAnsi="宋体" w:cs="宋体"/>
                <w:szCs w:val="21"/>
                <w:lang w:bidi="ar"/>
              </w:rPr>
              <w:t>（15）在近三年内投标人或其法定代表人、拟委任的项目负责人有行贿犯罪行为的。</w:t>
            </w:r>
          </w:p>
        </w:tc>
        <w:tc>
          <w:tcPr>
            <w:tcW w:w="4098" w:type="dxa"/>
            <w:vAlign w:val="center"/>
          </w:tcPr>
          <w:p>
            <w:pPr>
              <w:rPr>
                <w:rFonts w:ascii="宋体" w:hAnsi="宋体" w:cs="宋体"/>
                <w:szCs w:val="21"/>
                <w:lang w:bidi="ar"/>
              </w:rPr>
            </w:pPr>
            <w:r>
              <w:rPr>
                <w:rFonts w:ascii="宋体" w:hAnsi="宋体" w:cs="宋体"/>
                <w:b/>
                <w:szCs w:val="21"/>
                <w:lang w:bidi="ar"/>
              </w:rPr>
              <w:t xml:space="preserve">3.11  </w:t>
            </w:r>
            <w:r>
              <w:rPr>
                <w:rFonts w:ascii="宋体" w:hAnsi="宋体" w:cs="宋体"/>
                <w:szCs w:val="21"/>
                <w:lang w:bidi="ar"/>
              </w:rPr>
              <w:t>投标人不得存在下列情形之一：</w:t>
            </w:r>
          </w:p>
          <w:p>
            <w:pPr>
              <w:rPr>
                <w:rFonts w:ascii="宋体" w:hAnsi="宋体" w:cs="宋体"/>
                <w:szCs w:val="21"/>
                <w:lang w:bidi="ar"/>
              </w:rPr>
            </w:pPr>
            <w:r>
              <w:rPr>
                <w:rFonts w:ascii="宋体" w:hAnsi="宋体" w:cs="宋体"/>
                <w:szCs w:val="21"/>
                <w:lang w:bidi="ar"/>
              </w:rPr>
              <w:t>（1）为招标人不具有独立法人资格的附属机构（单位）；</w:t>
            </w:r>
          </w:p>
          <w:p>
            <w:pPr>
              <w:rPr>
                <w:rFonts w:ascii="宋体" w:hAnsi="宋体" w:cs="宋体"/>
                <w:szCs w:val="21"/>
                <w:lang w:bidi="ar"/>
              </w:rPr>
            </w:pPr>
            <w:r>
              <w:rPr>
                <w:rFonts w:ascii="宋体" w:hAnsi="宋体" w:cs="宋体"/>
                <w:szCs w:val="21"/>
                <w:lang w:bidi="ar"/>
              </w:rPr>
              <w:t>（2）与招标人存在利害关系且可能影响招标公正性；</w:t>
            </w:r>
          </w:p>
          <w:p>
            <w:pPr>
              <w:rPr>
                <w:rFonts w:ascii="宋体" w:hAnsi="宋体" w:cs="宋体"/>
                <w:szCs w:val="21"/>
                <w:lang w:bidi="ar"/>
              </w:rPr>
            </w:pPr>
            <w:r>
              <w:rPr>
                <w:rFonts w:ascii="宋体" w:hAnsi="宋体" w:cs="宋体"/>
                <w:szCs w:val="21"/>
                <w:lang w:bidi="ar"/>
              </w:rPr>
              <w:t>（3）与本招标项目的其他投标人为同一个单位负责人；</w:t>
            </w:r>
          </w:p>
          <w:p>
            <w:pPr>
              <w:rPr>
                <w:rFonts w:ascii="宋体" w:hAnsi="宋体" w:cs="宋体"/>
                <w:szCs w:val="21"/>
                <w:lang w:bidi="ar"/>
              </w:rPr>
            </w:pPr>
            <w:r>
              <w:rPr>
                <w:rFonts w:ascii="宋体" w:hAnsi="宋体" w:cs="宋体"/>
                <w:szCs w:val="21"/>
                <w:lang w:bidi="ar"/>
              </w:rPr>
              <w:t>（4）与本招标项目的其他投标人存在控股、管理关系；</w:t>
            </w:r>
          </w:p>
          <w:p>
            <w:pPr>
              <w:rPr>
                <w:rFonts w:ascii="宋体" w:hAnsi="宋体" w:cs="宋体"/>
                <w:szCs w:val="21"/>
                <w:lang w:bidi="ar"/>
              </w:rPr>
            </w:pPr>
            <w:r>
              <w:rPr>
                <w:rFonts w:ascii="宋体" w:hAnsi="宋体" w:cs="宋体"/>
                <w:szCs w:val="21"/>
                <w:lang w:bidi="ar"/>
              </w:rPr>
              <w:t>（5）为本招标项目的代建人；</w:t>
            </w:r>
          </w:p>
          <w:p>
            <w:pPr>
              <w:rPr>
                <w:rFonts w:ascii="宋体" w:hAnsi="宋体" w:cs="宋体"/>
                <w:szCs w:val="21"/>
                <w:lang w:bidi="ar"/>
              </w:rPr>
            </w:pPr>
            <w:r>
              <w:rPr>
                <w:rFonts w:ascii="宋体" w:hAnsi="宋体" w:cs="宋体"/>
                <w:szCs w:val="21"/>
                <w:lang w:bidi="ar"/>
              </w:rPr>
              <w:t>（6）为本招标项目的招标代理机构；</w:t>
            </w:r>
          </w:p>
          <w:p>
            <w:pPr>
              <w:rPr>
                <w:rFonts w:ascii="宋体" w:hAnsi="宋体" w:cs="宋体"/>
                <w:szCs w:val="21"/>
                <w:lang w:bidi="ar"/>
              </w:rPr>
            </w:pPr>
            <w:r>
              <w:rPr>
                <w:rFonts w:ascii="宋体" w:hAnsi="宋体" w:cs="宋体"/>
                <w:szCs w:val="21"/>
                <w:lang w:bidi="ar"/>
              </w:rPr>
              <w:t>（7）与本招标项目的代建人或招标代理机构同为一个法定代表人；</w:t>
            </w:r>
          </w:p>
          <w:p>
            <w:pPr>
              <w:rPr>
                <w:rFonts w:ascii="宋体" w:hAnsi="宋体" w:cs="宋体"/>
                <w:szCs w:val="21"/>
                <w:lang w:bidi="ar"/>
              </w:rPr>
            </w:pPr>
            <w:r>
              <w:rPr>
                <w:rFonts w:ascii="宋体" w:hAnsi="宋体" w:cs="宋体"/>
                <w:szCs w:val="21"/>
                <w:lang w:bidi="ar"/>
              </w:rPr>
              <w:t>（8）与本招标项目的代建人或招标代理机构存在控股或参股关系；</w:t>
            </w:r>
          </w:p>
          <w:p>
            <w:pPr>
              <w:rPr>
                <w:rFonts w:ascii="宋体" w:hAnsi="宋体" w:cs="宋体"/>
                <w:szCs w:val="21"/>
                <w:u w:val="single"/>
                <w:lang w:bidi="ar"/>
              </w:rPr>
            </w:pPr>
            <w:r>
              <w:rPr>
                <w:rFonts w:ascii="宋体" w:hAnsi="宋体" w:cs="宋体"/>
                <w:szCs w:val="21"/>
                <w:lang w:bidi="ar"/>
              </w:rPr>
              <w:t>（9）被依法暂停或者取消投标资格；</w:t>
            </w:r>
            <w:r>
              <w:rPr>
                <w:rFonts w:ascii="宋体" w:hAnsi="宋体" w:cs="宋体"/>
                <w:szCs w:val="21"/>
                <w:u w:val="single"/>
                <w:lang w:bidi="ar"/>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pPr>
              <w:rPr>
                <w:rFonts w:ascii="宋体" w:hAnsi="宋体" w:cs="宋体"/>
                <w:szCs w:val="21"/>
                <w:u w:val="single"/>
                <w:lang w:bidi="ar"/>
              </w:rPr>
            </w:pPr>
            <w:r>
              <w:rPr>
                <w:rFonts w:ascii="宋体" w:hAnsi="宋体" w:cs="宋体"/>
                <w:szCs w:val="21"/>
                <w:lang w:bidi="ar"/>
              </w:rPr>
              <w:t>（10）被责令停产停业、暂扣或者吊销许可证、暂扣或者吊销执照</w:t>
            </w:r>
            <w:r>
              <w:rPr>
                <w:rFonts w:ascii="宋体" w:hAnsi="宋体" w:cs="宋体"/>
                <w:szCs w:val="21"/>
                <w:u w:val="single"/>
                <w:lang w:bidi="ar"/>
              </w:rPr>
              <w:t>（本项事实应当以根据《中华人民共和国行政处罚法》依法作出并已经生效的行政处罚决定为认定依据）；</w:t>
            </w:r>
          </w:p>
          <w:p>
            <w:pPr>
              <w:rPr>
                <w:rFonts w:ascii="宋体" w:hAnsi="宋体" w:cs="宋体"/>
                <w:szCs w:val="21"/>
                <w:lang w:bidi="ar"/>
              </w:rPr>
            </w:pPr>
            <w:r>
              <w:rPr>
                <w:rFonts w:ascii="宋体" w:hAnsi="宋体" w:cs="宋体"/>
                <w:szCs w:val="21"/>
                <w:lang w:bidi="ar"/>
              </w:rPr>
              <w:t>（11）进入清算程序，或被宣告破产，或其他丧失履约能力的情形；</w:t>
            </w:r>
          </w:p>
          <w:p>
            <w:pPr>
              <w:rPr>
                <w:rFonts w:hint="eastAsia" w:ascii="宋体" w:hAnsi="宋体" w:eastAsia="宋体" w:cs="宋体"/>
                <w:szCs w:val="21"/>
                <w:lang w:eastAsia="zh-CN"/>
              </w:rPr>
            </w:pPr>
            <w:r>
              <w:rPr>
                <w:rFonts w:ascii="宋体" w:hAnsi="宋体" w:cs="宋体"/>
                <w:szCs w:val="21"/>
                <w:lang w:bidi="ar"/>
              </w:rPr>
              <w:t>（12）在最近三年内发生重大设计质量问题</w:t>
            </w:r>
            <w:r>
              <w:rPr>
                <w:rFonts w:ascii="宋体" w:hAnsi="宋体" w:cs="宋体"/>
                <w:szCs w:val="21"/>
                <w:u w:val="single"/>
                <w:lang w:bidi="ar"/>
              </w:rPr>
              <w:t>（“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cs="宋体"/>
                <w:szCs w:val="21"/>
                <w:u w:val="singl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rPr>
              <w:t>3.12</w:t>
            </w:r>
          </w:p>
        </w:tc>
        <w:tc>
          <w:tcPr>
            <w:tcW w:w="3210" w:type="dxa"/>
            <w:vAlign w:val="center"/>
          </w:tcPr>
          <w:p>
            <w:pPr>
              <w:rPr>
                <w:rFonts w:ascii="宋体" w:hAnsi="宋体"/>
                <w:b/>
              </w:rPr>
            </w:pPr>
            <w:r>
              <w:rPr>
                <w:rFonts w:hint="eastAsia" w:ascii="宋体" w:hAnsi="宋体"/>
                <w:b/>
              </w:rPr>
              <w:t>增加：</w:t>
            </w:r>
          </w:p>
          <w:p>
            <w:pPr>
              <w:rPr>
                <w:rFonts w:ascii="宋体" w:hAnsi="宋体"/>
              </w:rPr>
            </w:pPr>
            <w:r>
              <w:rPr>
                <w:rFonts w:hint="eastAsia" w:ascii="宋体" w:hAnsi="宋体"/>
                <w:b/>
              </w:rPr>
              <w:t>定标文件</w:t>
            </w:r>
          </w:p>
        </w:tc>
        <w:tc>
          <w:tcPr>
            <w:tcW w:w="4098" w:type="dxa"/>
            <w:vAlign w:val="center"/>
          </w:tcPr>
          <w:p>
            <w:pPr>
              <w:rPr>
                <w:rFonts w:ascii="宋体" w:hAnsi="宋体" w:cs="宋体"/>
                <w:szCs w:val="21"/>
              </w:rPr>
            </w:pPr>
            <w:r>
              <w:rPr>
                <w:rFonts w:hint="eastAsia" w:ascii="宋体" w:hAnsi="宋体"/>
              </w:rPr>
              <w:t>3.12</w:t>
            </w:r>
            <w:r>
              <w:rPr>
                <w:rFonts w:hint="eastAsia" w:ascii="宋体" w:hAnsi="宋体" w:cs="宋体"/>
                <w:szCs w:val="21"/>
              </w:rPr>
              <w:t>（1）定标文件</w:t>
            </w:r>
            <w:r>
              <w:rPr>
                <w:rFonts w:hint="eastAsia" w:ascii="宋体" w:hAnsi="宋体" w:cs="宋体"/>
                <w:szCs w:val="21"/>
                <w:u w:val="single"/>
              </w:rPr>
              <w:t>包括一份正本及两份副本、及对应的电子文件U盘，文件必须无病毒、无加密、可打开、不可编辑。</w:t>
            </w:r>
          </w:p>
          <w:p>
            <w:pPr>
              <w:rPr>
                <w:rFonts w:ascii="宋体" w:hAnsi="宋体" w:cs="宋体"/>
                <w:szCs w:val="21"/>
              </w:rPr>
            </w:pPr>
            <w:r>
              <w:rPr>
                <w:rFonts w:hint="eastAsia" w:ascii="宋体" w:hAnsi="宋体" w:cs="宋体"/>
                <w:szCs w:val="21"/>
              </w:rPr>
              <w:t>（2）递交定标文件时间</w:t>
            </w:r>
            <w:r>
              <w:rPr>
                <w:rFonts w:hint="eastAsia" w:ascii="宋体" w:hAnsi="宋体" w:cs="宋体"/>
                <w:b/>
                <w:szCs w:val="21"/>
              </w:rPr>
              <w:t>（与递交投标文件备用光盘时间一致）</w:t>
            </w:r>
            <w:r>
              <w:rPr>
                <w:rFonts w:hint="eastAsia" w:ascii="宋体" w:hAnsi="宋体" w:cs="宋体"/>
                <w:szCs w:val="21"/>
              </w:rPr>
              <w:t>。递交后由交易中心见证人员进行封存，定标会开始时在交易中心见证人员的见证下开封。</w:t>
            </w:r>
          </w:p>
          <w:p>
            <w:pPr>
              <w:rPr>
                <w:rFonts w:ascii="宋体" w:hAnsi="宋体" w:cs="宋体"/>
                <w:szCs w:val="21"/>
              </w:rPr>
            </w:pPr>
            <w:r>
              <w:rPr>
                <w:rFonts w:hint="eastAsia" w:ascii="宋体" w:hAnsi="宋体" w:cs="宋体"/>
                <w:szCs w:val="21"/>
              </w:rPr>
              <w:t>递交地点：</w:t>
            </w:r>
            <w:r>
              <w:rPr>
                <w:rFonts w:hint="eastAsia" w:ascii="宋体" w:hAnsi="宋体" w:cs="宋体"/>
                <w:b/>
                <w:szCs w:val="21"/>
              </w:rPr>
              <w:t>（与递交投标文件备用光盘地点一致）</w:t>
            </w:r>
            <w:r>
              <w:rPr>
                <w:rFonts w:hint="eastAsia" w:ascii="宋体" w:hAnsi="宋体" w:cs="宋体"/>
                <w:szCs w:val="21"/>
              </w:rPr>
              <w:t>。</w:t>
            </w:r>
          </w:p>
          <w:p>
            <w:pPr>
              <w:pStyle w:val="66"/>
              <w:rPr>
                <w:rFonts w:ascii="宋体" w:hAnsi="宋体"/>
                <w:b/>
                <w:szCs w:val="21"/>
              </w:rPr>
            </w:pPr>
            <w:r>
              <w:rPr>
                <w:rFonts w:hint="eastAsia" w:ascii="宋体" w:hAnsi="宋体"/>
                <w:szCs w:val="21"/>
              </w:rPr>
              <w:t xml:space="preserve">    </w:t>
            </w:r>
            <w:r>
              <w:rPr>
                <w:rFonts w:hint="eastAsia" w:ascii="宋体" w:hAnsi="宋体"/>
                <w:b/>
                <w:szCs w:val="21"/>
              </w:rPr>
              <w:t>上述时间及地点是否有改变，请密切留意招标答疑纪要的相关信息。</w:t>
            </w:r>
          </w:p>
          <w:p>
            <w:pPr>
              <w:pStyle w:val="66"/>
              <w:rPr>
                <w:rFonts w:ascii="宋体" w:hAnsi="宋体"/>
                <w:szCs w:val="21"/>
              </w:rPr>
            </w:pPr>
            <w:r>
              <w:rPr>
                <w:rFonts w:hint="eastAsia" w:ascii="宋体" w:hAnsi="宋体" w:cs="宋体"/>
                <w:szCs w:val="21"/>
              </w:rPr>
              <w:t>（3）</w:t>
            </w:r>
            <w:r>
              <w:rPr>
                <w:rFonts w:hint="eastAsia" w:ascii="宋体" w:hAnsi="宋体"/>
                <w:szCs w:val="21"/>
              </w:rPr>
              <w:t>定标文件（</w:t>
            </w:r>
            <w:r>
              <w:rPr>
                <w:rFonts w:hint="eastAsia" w:ascii="宋体" w:hAnsi="宋体" w:cs="宋体"/>
                <w:szCs w:val="21"/>
                <w:u w:val="single"/>
              </w:rPr>
              <w:t>U盘</w:t>
            </w:r>
            <w:r>
              <w:rPr>
                <w:rFonts w:hint="eastAsia" w:ascii="宋体" w:hAnsi="宋体"/>
                <w:szCs w:val="21"/>
              </w:rPr>
              <w:t>）需</w:t>
            </w:r>
            <w:r>
              <w:rPr>
                <w:rFonts w:hint="eastAsia" w:ascii="宋体" w:hAnsi="宋体" w:cs="宋体"/>
                <w:szCs w:val="21"/>
                <w:u w:val="single"/>
              </w:rPr>
              <w:t>密封在密封袋中，</w:t>
            </w:r>
            <w:r>
              <w:rPr>
                <w:rFonts w:hint="eastAsia" w:ascii="宋体" w:hAnsi="宋体"/>
                <w:szCs w:val="24"/>
                <w:u w:val="single"/>
              </w:rPr>
              <w:t>并在封口处加盖投标人单位公章</w:t>
            </w:r>
            <w:r>
              <w:rPr>
                <w:rFonts w:hint="eastAsia" w:ascii="宋体" w:hAnsi="宋体"/>
                <w:szCs w:val="21"/>
              </w:rPr>
              <w:t>，递交的密封袋上应载明以下内容：</w:t>
            </w:r>
          </w:p>
          <w:p>
            <w:pPr>
              <w:pStyle w:val="62"/>
              <w:tabs>
                <w:tab w:val="left" w:pos="734"/>
                <w:tab w:val="left" w:pos="1365"/>
                <w:tab w:val="left" w:pos="1994"/>
                <w:tab w:val="left" w:pos="2623"/>
              </w:tabs>
              <w:jc w:val="both"/>
              <w:rPr>
                <w:rFonts w:ascii="宋体" w:hAnsi="宋体" w:eastAsia="宋体" w:cs="宋体"/>
                <w:b/>
                <w:sz w:val="21"/>
                <w:szCs w:val="21"/>
                <w:lang w:eastAsia="zh-CN"/>
              </w:rPr>
            </w:pPr>
            <w:r>
              <w:rPr>
                <w:rFonts w:hint="eastAsia" w:ascii="宋体" w:hAnsi="宋体" w:eastAsia="宋体" w:cs="宋体"/>
                <w:b/>
                <w:sz w:val="21"/>
                <w:szCs w:val="21"/>
                <w:lang w:eastAsia="zh-CN"/>
              </w:rPr>
              <w:t xml:space="preserve">(a)招标人：        </w:t>
            </w:r>
          </w:p>
          <w:p>
            <w:pPr>
              <w:pStyle w:val="62"/>
              <w:tabs>
                <w:tab w:val="left" w:pos="734"/>
                <w:tab w:val="left" w:pos="1365"/>
                <w:tab w:val="left" w:pos="1994"/>
                <w:tab w:val="left" w:pos="2623"/>
              </w:tabs>
              <w:jc w:val="both"/>
              <w:rPr>
                <w:rFonts w:ascii="宋体" w:hAnsi="宋体" w:eastAsia="宋体" w:cs="宋体"/>
                <w:b/>
                <w:sz w:val="21"/>
                <w:szCs w:val="21"/>
                <w:lang w:eastAsia="zh-CN"/>
              </w:rPr>
            </w:pPr>
            <w:r>
              <w:rPr>
                <w:rFonts w:hint="eastAsia" w:ascii="宋体" w:hAnsi="宋体" w:eastAsia="宋体" w:cs="宋体"/>
                <w:b/>
                <w:sz w:val="21"/>
                <w:szCs w:val="21"/>
                <w:lang w:eastAsia="zh-CN"/>
              </w:rPr>
              <w:t xml:space="preserve">(b)项目名称：      </w:t>
            </w:r>
          </w:p>
          <w:p>
            <w:pPr>
              <w:pStyle w:val="62"/>
              <w:tabs>
                <w:tab w:val="left" w:pos="734"/>
                <w:tab w:val="left" w:pos="1365"/>
                <w:tab w:val="left" w:pos="1994"/>
                <w:tab w:val="left" w:pos="2623"/>
              </w:tabs>
              <w:jc w:val="both"/>
              <w:rPr>
                <w:rFonts w:ascii="宋体" w:hAnsi="宋体" w:eastAsia="宋体" w:cs="宋体"/>
                <w:b/>
                <w:sz w:val="21"/>
                <w:szCs w:val="21"/>
                <w:lang w:eastAsia="zh-CN"/>
              </w:rPr>
            </w:pPr>
            <w:r>
              <w:rPr>
                <w:rFonts w:hint="eastAsia" w:ascii="宋体" w:hAnsi="宋体" w:eastAsia="宋体" w:cs="宋体"/>
                <w:b/>
                <w:sz w:val="21"/>
                <w:szCs w:val="21"/>
                <w:lang w:eastAsia="zh-CN"/>
              </w:rPr>
              <w:t>(c)商务标文件/技术标文件</w:t>
            </w:r>
          </w:p>
          <w:p>
            <w:pPr>
              <w:pStyle w:val="62"/>
              <w:tabs>
                <w:tab w:val="left" w:pos="734"/>
                <w:tab w:val="left" w:pos="1365"/>
                <w:tab w:val="left" w:pos="1994"/>
                <w:tab w:val="left" w:pos="2623"/>
              </w:tabs>
              <w:jc w:val="both"/>
              <w:rPr>
                <w:rFonts w:ascii="宋体" w:hAnsi="宋体" w:eastAsia="宋体" w:cs="宋体"/>
                <w:b/>
                <w:sz w:val="21"/>
                <w:szCs w:val="21"/>
                <w:lang w:eastAsia="zh-CN"/>
              </w:rPr>
            </w:pPr>
            <w:r>
              <w:rPr>
                <w:rFonts w:hint="eastAsia" w:ascii="宋体" w:hAnsi="宋体" w:eastAsia="宋体" w:cs="宋体"/>
                <w:b/>
                <w:sz w:val="21"/>
                <w:szCs w:val="21"/>
                <w:lang w:eastAsia="zh-CN"/>
              </w:rPr>
              <w:t>(d)投标人信息（包括名称、联系人及联系方式、地址）</w:t>
            </w:r>
          </w:p>
          <w:p>
            <w:pPr>
              <w:pStyle w:val="62"/>
              <w:tabs>
                <w:tab w:val="left" w:pos="734"/>
                <w:tab w:val="left" w:pos="1365"/>
                <w:tab w:val="left" w:pos="1994"/>
                <w:tab w:val="left" w:pos="2623"/>
              </w:tabs>
              <w:jc w:val="both"/>
              <w:rPr>
                <w:rFonts w:ascii="宋体" w:hAnsi="宋体" w:eastAsia="宋体" w:cs="宋体"/>
                <w:sz w:val="21"/>
                <w:szCs w:val="21"/>
                <w:lang w:eastAsia="zh-CN"/>
              </w:rPr>
            </w:pPr>
            <w:r>
              <w:rPr>
                <w:rFonts w:hint="eastAsia" w:ascii="宋体" w:hAnsi="宋体" w:eastAsia="宋体" w:cs="宋体"/>
                <w:sz w:val="21"/>
                <w:szCs w:val="21"/>
                <w:lang w:eastAsia="zh-CN"/>
              </w:rPr>
              <w:t>（4）投标人代表应按规定的时间和地点向招标人递交定标文件，投标人代表应由投标人法定代表人或法定代表人书面授权的委托代理人担任，若出现以下情况之一的，招标人将拒绝接收定标文件：</w:t>
            </w:r>
          </w:p>
          <w:p>
            <w:pPr>
              <w:pStyle w:val="66"/>
              <w:rPr>
                <w:rFonts w:ascii="宋体" w:hAnsi="宋体" w:cs="宋体"/>
                <w:szCs w:val="21"/>
              </w:rPr>
            </w:pPr>
            <w:r>
              <w:rPr>
                <w:rFonts w:hint="eastAsia" w:ascii="宋体" w:hAnsi="宋体" w:cs="宋体"/>
                <w:szCs w:val="21"/>
              </w:rPr>
              <w:t>a、逾期或未在指定地点递交定标文件（U盘）的。</w:t>
            </w:r>
          </w:p>
          <w:p>
            <w:pPr>
              <w:rPr>
                <w:rFonts w:ascii="宋体" w:hAnsi="宋体"/>
              </w:rPr>
            </w:pPr>
            <w:r>
              <w:rPr>
                <w:rFonts w:hint="eastAsia" w:ascii="宋体" w:hAnsi="宋体" w:cs="宋体"/>
                <w:szCs w:val="21"/>
              </w:rPr>
              <w:t>（5）投标人如不提交定标文件或定标文件因投标人原因无法读取，不被认定为不通过资格审查，但如该投标人成为定标阶段的入围候选人，将影响其定标阶段的评审。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rPr>
              <w:t>4.1.2（c）</w:t>
            </w:r>
          </w:p>
        </w:tc>
        <w:tc>
          <w:tcPr>
            <w:tcW w:w="3210" w:type="dxa"/>
            <w:vAlign w:val="center"/>
          </w:tcPr>
          <w:p>
            <w:pPr>
              <w:rPr>
                <w:rFonts w:ascii="宋体" w:hAnsi="宋体"/>
                <w:szCs w:val="21"/>
              </w:rPr>
            </w:pPr>
            <w:r>
              <w:rPr>
                <w:rFonts w:hint="eastAsia" w:ascii="宋体" w:hAnsi="宋体"/>
              </w:rPr>
              <w:t>4.1.2（c）</w:t>
            </w:r>
            <w:r>
              <w:rPr>
                <w:rFonts w:hint="eastAsia" w:ascii="宋体" w:hAnsi="宋体"/>
                <w:szCs w:val="21"/>
              </w:rPr>
              <w:t>《投标人声明》未按规定格式填写或未加盖投标人公章（适用于未设资格审查环节的项目）；</w:t>
            </w:r>
          </w:p>
        </w:tc>
        <w:tc>
          <w:tcPr>
            <w:tcW w:w="4098" w:type="dxa"/>
            <w:vAlign w:val="center"/>
          </w:tcPr>
          <w:p>
            <w:pPr>
              <w:rPr>
                <w:rFonts w:ascii="宋体" w:hAnsi="宋体" w:cs="宋体"/>
                <w:szCs w:val="21"/>
                <w:u w:val="single"/>
              </w:rPr>
            </w:pPr>
            <w:r>
              <w:rPr>
                <w:rFonts w:hint="eastAsia" w:ascii="宋体" w:hAnsi="宋体"/>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rPr>
              <w:t>4.2.1</w:t>
            </w:r>
          </w:p>
        </w:tc>
        <w:tc>
          <w:tcPr>
            <w:tcW w:w="3210" w:type="dxa"/>
            <w:vAlign w:val="center"/>
          </w:tcPr>
          <w:p>
            <w:pPr>
              <w:rPr>
                <w:rFonts w:ascii="宋体" w:hAnsi="宋体"/>
                <w:szCs w:val="21"/>
              </w:rPr>
            </w:pPr>
            <w:r>
              <w:rPr>
                <w:rFonts w:hint="eastAsia" w:ascii="宋体" w:hAnsi="宋体"/>
              </w:rPr>
              <w:t>4.2.1</w:t>
            </w:r>
            <w:r>
              <w:rPr>
                <w:rFonts w:hint="eastAsia" w:ascii="宋体" w:hAnsi="宋体"/>
                <w:szCs w:val="21"/>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tc>
        <w:tc>
          <w:tcPr>
            <w:tcW w:w="4098" w:type="dxa"/>
            <w:vAlign w:val="center"/>
          </w:tcPr>
          <w:p>
            <w:pPr>
              <w:rPr>
                <w:rFonts w:ascii="宋体" w:hAnsi="宋体"/>
                <w:u w:val="single"/>
              </w:rPr>
            </w:pPr>
            <w:r>
              <w:rPr>
                <w:rFonts w:hint="eastAsia" w:ascii="宋体" w:hAnsi="宋体"/>
              </w:rPr>
              <w:t>4.2.1</w:t>
            </w:r>
            <w:r>
              <w:rPr>
                <w:rFonts w:hint="eastAsia" w:ascii="宋体" w:hAnsi="宋体" w:cs="宋体"/>
                <w:szCs w:val="21"/>
                <w:u w:val="singl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rPr>
              <w:t>4.2.2</w:t>
            </w:r>
          </w:p>
        </w:tc>
        <w:tc>
          <w:tcPr>
            <w:tcW w:w="3210" w:type="dxa"/>
            <w:vAlign w:val="center"/>
          </w:tcPr>
          <w:p>
            <w:pPr>
              <w:rPr>
                <w:rFonts w:ascii="宋体" w:hAnsi="宋体"/>
                <w:szCs w:val="21"/>
              </w:rPr>
            </w:pPr>
            <w:r>
              <w:rPr>
                <w:rFonts w:hint="eastAsia" w:ascii="宋体" w:hAnsi="宋体"/>
              </w:rPr>
              <w:t>4.2.2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tc>
        <w:tc>
          <w:tcPr>
            <w:tcW w:w="4098" w:type="dxa"/>
            <w:vAlign w:val="center"/>
          </w:tcPr>
          <w:p>
            <w:pPr>
              <w:rPr>
                <w:rFonts w:ascii="宋体" w:hAnsi="宋体" w:cs="宋体"/>
                <w:szCs w:val="21"/>
                <w:u w:val="single"/>
              </w:rPr>
            </w:pPr>
            <w:r>
              <w:rPr>
                <w:rFonts w:hint="eastAsia" w:ascii="宋体" w:hAnsi="宋体"/>
              </w:rPr>
              <w:t>4.2.2</w:t>
            </w:r>
            <w:r>
              <w:rPr>
                <w:rFonts w:hint="eastAsia" w:ascii="宋体" w:hAnsi="宋体"/>
                <w:u w:val="single"/>
              </w:rPr>
              <w:t>评标委员会随机产生一名负责人，主持评审工作。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rPr>
              <w:t>4.2.5</w:t>
            </w:r>
          </w:p>
        </w:tc>
        <w:tc>
          <w:tcPr>
            <w:tcW w:w="3210" w:type="dxa"/>
            <w:vAlign w:val="center"/>
          </w:tcPr>
          <w:p>
            <w:pPr>
              <w:rPr>
                <w:rFonts w:ascii="宋体" w:hAnsi="宋体"/>
              </w:rPr>
            </w:pPr>
            <w:r>
              <w:rPr>
                <w:rFonts w:hint="eastAsia" w:ascii="宋体" w:hAnsi="宋体"/>
              </w:rPr>
              <w:t>4.2.5如果评标专家到达评标地点后发现不符合本项目评标资格，酬金或交通费用按相关规定执行。</w:t>
            </w:r>
          </w:p>
        </w:tc>
        <w:tc>
          <w:tcPr>
            <w:tcW w:w="4098" w:type="dxa"/>
            <w:vAlign w:val="center"/>
          </w:tcPr>
          <w:p>
            <w:pPr>
              <w:rPr>
                <w:rFonts w:ascii="宋体" w:hAnsi="宋体"/>
                <w:u w:val="single"/>
              </w:rPr>
            </w:pPr>
            <w:r>
              <w:rPr>
                <w:rFonts w:hint="eastAsia" w:ascii="宋体" w:hAnsi="宋体"/>
              </w:rPr>
              <w:t>4.2.5</w:t>
            </w:r>
            <w:r>
              <w:rPr>
                <w:rFonts w:hint="eastAsia" w:ascii="宋体" w:hAnsi="宋体"/>
                <w:u w:val="single"/>
              </w:rPr>
              <w:t>如果评标专家到达评标地点后发现不符合本项目评标资格，酬金或交通费用按广州公共资源交易中心关于执行《广东省发展改革委关于广东省综合评标评审专家库专家酬劳的管理办法》的指引的规定执行。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spacing w:line="360" w:lineRule="auto"/>
              <w:rPr>
                <w:rFonts w:ascii="宋体" w:hAnsi="宋体"/>
              </w:rPr>
            </w:pPr>
            <w:r>
              <w:rPr>
                <w:rFonts w:hint="eastAsia" w:ascii="宋体" w:hAnsi="宋体" w:cs="宋体"/>
                <w:szCs w:val="21"/>
              </w:rPr>
              <w:t>4.4.4</w:t>
            </w:r>
          </w:p>
        </w:tc>
        <w:tc>
          <w:tcPr>
            <w:tcW w:w="3210" w:type="dxa"/>
            <w:vAlign w:val="center"/>
          </w:tcPr>
          <w:p>
            <w:pPr>
              <w:rPr>
                <w:rFonts w:ascii="宋体" w:hAnsi="宋体"/>
              </w:rPr>
            </w:pPr>
            <w:r>
              <w:rPr>
                <w:rFonts w:hint="eastAsia" w:ascii="宋体" w:hAnsi="宋体" w:cs="宋体"/>
                <w:szCs w:val="21"/>
              </w:rPr>
              <w:t>4.4.4</w:t>
            </w:r>
            <w:r>
              <w:rPr>
                <w:rFonts w:hint="eastAsia" w:ascii="宋体" w:hAnsi="宋体"/>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4098" w:type="dxa"/>
            <w:vAlign w:val="center"/>
          </w:tcPr>
          <w:p>
            <w:pPr>
              <w:rPr>
                <w:rFonts w:ascii="宋体" w:hAnsi="宋体"/>
                <w:szCs w:val="21"/>
              </w:rPr>
            </w:pPr>
            <w:r>
              <w:rPr>
                <w:rFonts w:hint="eastAsia" w:ascii="宋体" w:hAnsi="宋体" w:cs="宋体"/>
                <w:szCs w:val="21"/>
              </w:rPr>
              <w:t>4.4.4</w:t>
            </w:r>
            <w:r>
              <w:rPr>
                <w:rFonts w:hint="eastAsia" w:ascii="宋体" w:hAnsi="宋体"/>
                <w:szCs w:val="21"/>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ind w:firstLine="420" w:firstLineChars="200"/>
              <w:rPr>
                <w:rFonts w:ascii="宋体" w:hAnsi="宋体"/>
                <w:szCs w:val="21"/>
                <w:u w:val="single"/>
              </w:rPr>
            </w:pPr>
            <w:r>
              <w:rPr>
                <w:rFonts w:hint="eastAsia" w:ascii="宋体" w:hAnsi="宋体"/>
                <w:szCs w:val="21"/>
                <w:u w:val="single"/>
              </w:rPr>
              <w:t>若在评标期间</w:t>
            </w:r>
            <w:r>
              <w:rPr>
                <w:rFonts w:hint="eastAsia" w:ascii="宋体" w:hAnsi="宋体"/>
                <w:b/>
                <w:szCs w:val="21"/>
                <w:u w:val="single"/>
              </w:rPr>
              <w:t>（</w:t>
            </w:r>
            <w:r>
              <w:rPr>
                <w:rFonts w:hint="eastAsia" w:ascii="宋体" w:hAnsi="宋体"/>
                <w:b/>
                <w:szCs w:val="21"/>
                <w:u w:val="single"/>
                <w:lang w:eastAsia="zh-CN"/>
              </w:rPr>
              <w:t>勘察</w:t>
            </w:r>
            <w:r>
              <w:rPr>
                <w:rFonts w:ascii="宋体" w:hAnsi="宋体"/>
                <w:b/>
                <w:szCs w:val="21"/>
                <w:u w:val="single"/>
              </w:rPr>
              <w:t>方案评审阶段除外</w:t>
            </w:r>
            <w:r>
              <w:rPr>
                <w:rFonts w:hint="eastAsia" w:ascii="宋体" w:hAnsi="宋体"/>
                <w:b/>
                <w:szCs w:val="21"/>
                <w:u w:val="single"/>
              </w:rPr>
              <w:t>）</w:t>
            </w:r>
            <w:r>
              <w:rPr>
                <w:rFonts w:hint="eastAsia" w:ascii="宋体" w:hAnsi="宋体"/>
                <w:szCs w:val="21"/>
                <w:u w:val="single"/>
              </w:rPr>
              <w:t>，经评标委员会两人以上（含两人）以书面形式提出动议，评标委员会应当书面发出澄清通知，要求投标人对投标文件含义不明确的内容作出澄清。</w:t>
            </w:r>
          </w:p>
          <w:p>
            <w:pPr>
              <w:ind w:firstLine="420" w:firstLineChars="200"/>
              <w:rPr>
                <w:rFonts w:ascii="宋体" w:hAnsi="宋体"/>
                <w:szCs w:val="21"/>
                <w:u w:val="single"/>
              </w:rPr>
            </w:pPr>
            <w:r>
              <w:rPr>
                <w:rFonts w:hint="eastAsia" w:ascii="宋体" w:hAnsi="宋体"/>
                <w:szCs w:val="21"/>
                <w:u w:val="single"/>
              </w:rPr>
              <w:t>投标人应以书面形式进行澄清，澄清中的承诺性意思表示在投标文件有效期内均对投标人有约束力。澄清不得超出投标文件的范围或改变投标文件的实质性内容，超出部分不作为评标委员会评审的依据。</w:t>
            </w:r>
          </w:p>
          <w:p>
            <w:pPr>
              <w:ind w:firstLine="420" w:firstLineChars="200"/>
              <w:rPr>
                <w:rFonts w:ascii="宋体" w:hAnsi="宋体"/>
              </w:rPr>
            </w:pPr>
            <w:r>
              <w:rPr>
                <w:rFonts w:hint="eastAsia" w:ascii="宋体" w:hAnsi="宋体"/>
                <w:szCs w:val="21"/>
                <w:u w:val="single"/>
              </w:rPr>
              <w:t>评标委员会均应当阅读投标人的澄清，但应独立参考澄清对投标文件进行评审。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rPr>
              <w:t>4.5.1</w:t>
            </w:r>
          </w:p>
        </w:tc>
        <w:tc>
          <w:tcPr>
            <w:tcW w:w="3210" w:type="dxa"/>
            <w:vAlign w:val="center"/>
          </w:tcPr>
          <w:p>
            <w:pPr>
              <w:rPr>
                <w:rFonts w:ascii="宋体" w:hAnsi="宋体"/>
              </w:rPr>
            </w:pPr>
            <w:r>
              <w:rPr>
                <w:rFonts w:hint="eastAsia" w:ascii="宋体" w:hAnsi="宋体"/>
              </w:rPr>
              <w:t>4.5.1是否采用评定分离：□是，入围定标环节的投标人家数：</w:t>
            </w:r>
            <w:r>
              <w:rPr>
                <w:rFonts w:hint="eastAsia" w:ascii="宋体" w:hAnsi="宋体"/>
                <w:u w:val="single"/>
              </w:rPr>
              <w:t xml:space="preserve">    </w:t>
            </w:r>
            <w:r>
              <w:rPr>
                <w:rFonts w:hint="eastAsia" w:ascii="宋体" w:hAnsi="宋体"/>
              </w:rPr>
              <w:t xml:space="preserve">名； </w:t>
            </w:r>
          </w:p>
          <w:p>
            <w:pPr>
              <w:rPr>
                <w:rFonts w:ascii="宋体" w:hAnsi="宋体"/>
              </w:rPr>
            </w:pPr>
            <w:r>
              <w:rPr>
                <w:rFonts w:hint="eastAsia" w:ascii="宋体" w:hAnsi="宋体"/>
              </w:rPr>
              <w:t xml:space="preserve">                  □否。</w:t>
            </w:r>
          </w:p>
        </w:tc>
        <w:tc>
          <w:tcPr>
            <w:tcW w:w="4098" w:type="dxa"/>
            <w:vAlign w:val="center"/>
          </w:tcPr>
          <w:p>
            <w:pPr>
              <w:rPr>
                <w:rFonts w:ascii="宋体" w:hAnsi="宋体"/>
              </w:rPr>
            </w:pPr>
            <w:r>
              <w:rPr>
                <w:rFonts w:hint="eastAsia" w:ascii="宋体" w:hAnsi="宋体"/>
              </w:rPr>
              <w:t>4.5.1是否采用评定分离：■是，入围定标环节的投标人家数：</w:t>
            </w:r>
            <w:r>
              <w:rPr>
                <w:rFonts w:hint="eastAsia" w:ascii="宋体" w:hAnsi="宋体" w:cs="宋体"/>
                <w:b/>
                <w:bCs/>
                <w:szCs w:val="21"/>
                <w:u w:val="single"/>
              </w:rPr>
              <w:t>通过资格审查及方案部分有效性审查的投标人均进入定标环节</w:t>
            </w:r>
            <w:r>
              <w:rPr>
                <w:rFonts w:hint="eastAsia" w:ascii="宋体" w:hAnsi="宋体"/>
                <w:b/>
                <w:bCs/>
              </w:rPr>
              <w:t>；</w:t>
            </w:r>
          </w:p>
          <w:p>
            <w:pPr>
              <w:rPr>
                <w:rFonts w:ascii="宋体" w:hAnsi="宋体"/>
              </w:rPr>
            </w:pPr>
            <w:r>
              <w:rPr>
                <w:rFonts w:hint="eastAsia" w:ascii="宋体" w:hAnsi="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rPr>
              <w:t>4.5.2</w:t>
            </w:r>
          </w:p>
        </w:tc>
        <w:tc>
          <w:tcPr>
            <w:tcW w:w="3210" w:type="dxa"/>
            <w:vAlign w:val="center"/>
          </w:tcPr>
          <w:p>
            <w:pPr>
              <w:rPr>
                <w:rFonts w:ascii="宋体" w:hAnsi="宋体"/>
              </w:rPr>
            </w:pPr>
            <w:r>
              <w:rPr>
                <w:rFonts w:hint="eastAsia" w:ascii="宋体" w:hAnsi="宋体"/>
              </w:rPr>
              <w:t>4.5.2不采用评定分离项目的评标办法</w:t>
            </w:r>
          </w:p>
        </w:tc>
        <w:tc>
          <w:tcPr>
            <w:tcW w:w="4098" w:type="dxa"/>
            <w:vAlign w:val="center"/>
          </w:tcPr>
          <w:p>
            <w:pPr>
              <w:rPr>
                <w:rFonts w:ascii="宋体" w:hAnsi="宋体"/>
              </w:rPr>
            </w:pPr>
            <w:r>
              <w:rPr>
                <w:rFonts w:hint="eastAsia" w:ascii="宋体" w:hAnsi="宋体"/>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rPr>
              <w:t>4.5.3.2</w:t>
            </w:r>
          </w:p>
        </w:tc>
        <w:tc>
          <w:tcPr>
            <w:tcW w:w="3210" w:type="dxa"/>
            <w:vAlign w:val="center"/>
          </w:tcPr>
          <w:p>
            <w:pPr>
              <w:rPr>
                <w:rFonts w:ascii="宋体" w:hAnsi="宋体"/>
              </w:rPr>
            </w:pPr>
            <w:r>
              <w:rPr>
                <w:rFonts w:hint="eastAsia" w:ascii="宋体" w:hAnsi="宋体"/>
              </w:rPr>
              <w:t>4.5.3.2如果评标委员会成员在交易服务机构评标，将按方法</w:t>
            </w:r>
            <w:r>
              <w:rPr>
                <w:rFonts w:hint="eastAsia" w:ascii="宋体" w:hAnsi="宋体"/>
                <w:u w:val="single"/>
              </w:rPr>
              <w:t xml:space="preserve">    </w:t>
            </w:r>
            <w:r>
              <w:rPr>
                <w:rFonts w:hint="eastAsia" w:ascii="宋体" w:hAnsi="宋体"/>
              </w:rPr>
              <w:t>规定的步骤进行：</w:t>
            </w:r>
          </w:p>
          <w:p>
            <w:pPr>
              <w:rPr>
                <w:rFonts w:ascii="宋体" w:hAnsi="宋体"/>
              </w:rPr>
            </w:pPr>
            <w:r>
              <w:rPr>
                <w:rFonts w:hint="eastAsia" w:ascii="宋体" w:hAnsi="宋体"/>
              </w:rPr>
              <w:t xml:space="preserve">       方法一（设有资格审查环节的一阶段评标法）：a、b、c、d、e、f、g、h、i、j</w:t>
            </w:r>
          </w:p>
          <w:p>
            <w:pPr>
              <w:rPr>
                <w:rFonts w:ascii="宋体" w:hAnsi="宋体"/>
              </w:rPr>
            </w:pPr>
            <w:r>
              <w:rPr>
                <w:rFonts w:hint="eastAsia" w:ascii="宋体" w:hAnsi="宋体"/>
              </w:rPr>
              <w:t xml:space="preserve">       方法二（未设资格审查环节的一阶段评标法）：a、d、e、f、g、h、i、j     </w:t>
            </w:r>
          </w:p>
          <w:p>
            <w:pPr>
              <w:rPr>
                <w:rFonts w:ascii="宋体" w:hAnsi="宋体"/>
              </w:rPr>
            </w:pPr>
            <w:r>
              <w:rPr>
                <w:rFonts w:hint="eastAsia" w:ascii="宋体" w:hAnsi="宋体"/>
              </w:rPr>
              <w:t xml:space="preserve">(a)评标委员会成员依据招标文件规定，否决两个（含两个）以上的加密打包投标文件电脑机器特征码一致的投标人，不参与下一阶段评审。 </w:t>
            </w:r>
          </w:p>
          <w:p>
            <w:pPr>
              <w:rPr>
                <w:rFonts w:ascii="宋体" w:hAnsi="宋体"/>
              </w:rPr>
            </w:pPr>
            <w:r>
              <w:rPr>
                <w:rFonts w:hint="eastAsia" w:ascii="宋体" w:hAnsi="宋体"/>
              </w:rPr>
              <w:t>(b)评标委员会成员业主代表及专家依据招标文件规定，按附录12《资格审查表》对各投标人递交的投标文件进行资格审查。</w:t>
            </w:r>
          </w:p>
          <w:p>
            <w:pPr>
              <w:rPr>
                <w:rFonts w:ascii="宋体" w:hAnsi="宋体"/>
              </w:rPr>
            </w:pPr>
            <w:r>
              <w:rPr>
                <w:rFonts w:hint="eastAsia" w:ascii="宋体" w:hAnsi="宋体"/>
              </w:rPr>
              <w:t>(c)评标委员会成员汇总资格审查结果，编写资格审查报告。</w:t>
            </w:r>
          </w:p>
          <w:p>
            <w:pPr>
              <w:rPr>
                <w:rFonts w:ascii="宋体" w:hAnsi="宋体"/>
              </w:rPr>
            </w:pPr>
            <w:r>
              <w:rPr>
                <w:rFonts w:hint="eastAsia" w:ascii="宋体" w:hAnsi="宋体"/>
              </w:rPr>
              <w:t>(d)评标委员会专家依据招标文件规定，按附录1</w:t>
            </w:r>
            <w:r>
              <w:rPr>
                <w:rFonts w:ascii="宋体" w:hAnsi="宋体"/>
              </w:rPr>
              <w:t>2</w:t>
            </w:r>
            <w:r>
              <w:rPr>
                <w:rFonts w:hint="eastAsia" w:ascii="宋体" w:hAnsi="宋体"/>
              </w:rPr>
              <w:t>《建筑工程方案设计评审记录表》、附录1</w:t>
            </w:r>
            <w:r>
              <w:rPr>
                <w:rFonts w:ascii="宋体" w:hAnsi="宋体"/>
              </w:rPr>
              <w:t>3</w:t>
            </w:r>
            <w:r>
              <w:rPr>
                <w:rFonts w:hint="eastAsia" w:ascii="宋体" w:hAnsi="宋体"/>
              </w:rPr>
              <w:t>《投标方案评语》对各投标人递交的投标文件进行评审。如果有否决投标提议，则评标委员会成员共同表决，按照少数服从多数的原则决定是否否决。</w:t>
            </w:r>
          </w:p>
          <w:p>
            <w:pPr>
              <w:rPr>
                <w:rFonts w:ascii="宋体" w:hAnsi="宋体"/>
              </w:rPr>
            </w:pPr>
            <w:r>
              <w:rPr>
                <w:rFonts w:hint="eastAsia" w:ascii="宋体" w:hAnsi="宋体"/>
              </w:rPr>
              <w:t>(e)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pPr>
              <w:rPr>
                <w:rFonts w:ascii="宋体" w:hAnsi="宋体"/>
              </w:rPr>
            </w:pPr>
            <w:r>
              <w:rPr>
                <w:rFonts w:hint="eastAsia" w:ascii="宋体" w:hAnsi="宋体"/>
              </w:rPr>
              <w:t xml:space="preserve">(f)评标委员会揭晓投标人身份。 </w:t>
            </w:r>
          </w:p>
          <w:p>
            <w:pPr>
              <w:rPr>
                <w:rFonts w:ascii="宋体" w:hAnsi="宋体"/>
              </w:rPr>
            </w:pPr>
            <w:r>
              <w:rPr>
                <w:rFonts w:hint="eastAsia" w:ascii="宋体" w:hAnsi="宋体"/>
              </w:rPr>
              <w:t>(g)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pPr>
              <w:rPr>
                <w:rFonts w:ascii="宋体" w:hAnsi="宋体"/>
              </w:rPr>
            </w:pPr>
            <w:r>
              <w:rPr>
                <w:rFonts w:hint="eastAsia" w:ascii="宋体" w:hAnsi="宋体"/>
              </w:rPr>
              <w:t>(h)编写、签署评标报告，评标报告由评标委员会全体成员签字，对评标结论持有异议的评标委员会成员可以书面方式阐述其不同意见和理由。</w:t>
            </w:r>
          </w:p>
          <w:p>
            <w:pPr>
              <w:rPr>
                <w:rFonts w:ascii="宋体" w:hAnsi="宋体"/>
              </w:rPr>
            </w:pPr>
            <w:r>
              <w:rPr>
                <w:rFonts w:hint="eastAsia" w:ascii="宋体" w:hAnsi="宋体"/>
              </w:rPr>
              <w:t>(i) 评标委员会向招标人提交书面评标报告后即告解散，评标过程中使用的文件、表格以及其他资料应当即时归还招标人（招标代理机构）。</w:t>
            </w:r>
          </w:p>
          <w:p>
            <w:pPr>
              <w:rPr>
                <w:rFonts w:ascii="宋体" w:hAnsi="宋体"/>
              </w:rPr>
            </w:pPr>
            <w:r>
              <w:rPr>
                <w:rFonts w:hint="eastAsia" w:ascii="宋体" w:hAnsi="宋体"/>
              </w:rPr>
              <w:t>（j）定标委员会定标。定标委员会按附录16《定标原则》确定    名（不多于3名）中标候选人（排序），也可直接确定中标人。</w:t>
            </w:r>
          </w:p>
        </w:tc>
        <w:tc>
          <w:tcPr>
            <w:tcW w:w="4098" w:type="dxa"/>
            <w:vAlign w:val="center"/>
          </w:tcPr>
          <w:p>
            <w:pPr>
              <w:rPr>
                <w:rFonts w:ascii="宋体" w:hAnsi="宋体"/>
              </w:rPr>
            </w:pPr>
            <w:r>
              <w:rPr>
                <w:rFonts w:hint="eastAsia" w:ascii="宋体" w:hAnsi="宋体"/>
              </w:rPr>
              <w:t>4.5.3.2如果评标委员会成员在交易服务机构评标，将按方法</w:t>
            </w:r>
            <w:r>
              <w:rPr>
                <w:rFonts w:hint="eastAsia" w:ascii="宋体" w:hAnsi="宋体"/>
                <w:u w:val="single"/>
              </w:rPr>
              <w:t>一</w:t>
            </w:r>
            <w:r>
              <w:rPr>
                <w:rFonts w:hint="eastAsia" w:ascii="宋体" w:hAnsi="宋体"/>
              </w:rPr>
              <w:t>规定的步骤进行：</w:t>
            </w:r>
          </w:p>
          <w:p>
            <w:pPr>
              <w:rPr>
                <w:rFonts w:ascii="宋体" w:hAnsi="宋体"/>
              </w:rPr>
            </w:pPr>
            <w:r>
              <w:rPr>
                <w:rFonts w:hint="eastAsia" w:ascii="宋体" w:hAnsi="宋体"/>
              </w:rPr>
              <w:t xml:space="preserve">   方法一（设有资格审查环节的一阶段评标法）：a、b、c、d、e、f、g、h、i、j</w:t>
            </w:r>
          </w:p>
          <w:p>
            <w:pPr>
              <w:rPr>
                <w:rFonts w:ascii="宋体" w:hAnsi="宋体"/>
              </w:rPr>
            </w:pPr>
            <w:r>
              <w:rPr>
                <w:rFonts w:hint="eastAsia" w:ascii="宋体" w:hAnsi="宋体"/>
              </w:rPr>
              <w:t xml:space="preserve">(a)评标委员会成员依据招标文件规定，否决两个（含两个）以上的加密打包投标文件电脑机器特征码一致的投标人，不参与下一阶段评审。 </w:t>
            </w:r>
          </w:p>
          <w:p>
            <w:pPr>
              <w:rPr>
                <w:rFonts w:ascii="宋体" w:hAnsi="宋体"/>
              </w:rPr>
            </w:pPr>
            <w:r>
              <w:rPr>
                <w:rFonts w:hint="eastAsia" w:ascii="宋体" w:hAnsi="宋体"/>
              </w:rPr>
              <w:t>(b)评标委员会成员业主代表及专家依据招标文件规定，按</w:t>
            </w:r>
            <w:r>
              <w:rPr>
                <w:rFonts w:hint="eastAsia" w:ascii="宋体" w:hAnsi="宋体"/>
                <w:szCs w:val="21"/>
                <w:u w:val="single"/>
              </w:rPr>
              <w:t>附录</w:t>
            </w:r>
            <w:r>
              <w:rPr>
                <w:rFonts w:hint="eastAsia" w:ascii="宋体" w:hAnsi="宋体"/>
                <w:szCs w:val="21"/>
                <w:u w:val="single"/>
                <w:lang w:val="en-US" w:eastAsia="zh-CN"/>
              </w:rPr>
              <w:t>9</w:t>
            </w:r>
            <w:r>
              <w:rPr>
                <w:rFonts w:hint="eastAsia" w:ascii="宋体" w:hAnsi="宋体"/>
                <w:szCs w:val="21"/>
                <w:u w:val="single"/>
              </w:rPr>
              <w:t>《资格审查表》</w:t>
            </w:r>
            <w:r>
              <w:rPr>
                <w:rFonts w:hint="eastAsia" w:ascii="宋体" w:hAnsi="宋体"/>
              </w:rPr>
              <w:t>对各投标人递交的投标文件进行资格审查。</w:t>
            </w:r>
          </w:p>
          <w:p>
            <w:pPr>
              <w:rPr>
                <w:rFonts w:ascii="宋体" w:hAnsi="宋体"/>
              </w:rPr>
            </w:pPr>
            <w:r>
              <w:rPr>
                <w:rFonts w:hint="eastAsia" w:ascii="宋体" w:hAnsi="宋体"/>
              </w:rPr>
              <w:t>(c) 评标委员会成员汇总资格审查结果，编写资格审查报告。</w:t>
            </w:r>
          </w:p>
          <w:p>
            <w:pPr>
              <w:rPr>
                <w:rFonts w:ascii="宋体"/>
                <w:u w:val="single"/>
              </w:rPr>
            </w:pPr>
            <w:r>
              <w:rPr>
                <w:rFonts w:hint="eastAsia" w:ascii="宋体" w:hAnsi="宋体"/>
              </w:rPr>
              <w:t>(d)</w:t>
            </w:r>
            <w:r>
              <w:rPr>
                <w:rFonts w:hint="eastAsia" w:ascii="宋体"/>
              </w:rPr>
              <w:t xml:space="preserve"> 评标委员会专家依据招标文件规定，</w:t>
            </w:r>
            <w:r>
              <w:rPr>
                <w:rFonts w:hint="eastAsia" w:ascii="宋体"/>
                <w:u w:val="single"/>
              </w:rPr>
              <w:t>按附录</w:t>
            </w:r>
            <w:r>
              <w:rPr>
                <w:rFonts w:hint="eastAsia" w:ascii="宋体"/>
                <w:u w:val="single"/>
                <w:lang w:val="en-US" w:eastAsia="zh-CN"/>
              </w:rPr>
              <w:t>10</w:t>
            </w:r>
            <w:r>
              <w:rPr>
                <w:rFonts w:hint="eastAsia" w:ascii="宋体"/>
                <w:u w:val="single"/>
              </w:rPr>
              <w:t>《</w:t>
            </w:r>
            <w:r>
              <w:rPr>
                <w:rFonts w:hint="eastAsia" w:ascii="宋体" w:hAnsi="宋体"/>
                <w:highlight w:val="none"/>
                <w:u w:val="single"/>
              </w:rPr>
              <w:t>否决性</w:t>
            </w:r>
            <w:r>
              <w:rPr>
                <w:rFonts w:hint="eastAsia" w:ascii="宋体" w:hAnsi="宋体"/>
                <w:szCs w:val="21"/>
                <w:u w:val="single"/>
              </w:rPr>
              <w:t>审查表</w:t>
            </w:r>
            <w:r>
              <w:rPr>
                <w:rFonts w:hint="eastAsia" w:ascii="宋体"/>
                <w:u w:val="single"/>
              </w:rPr>
              <w:t>》、附录</w:t>
            </w:r>
            <w:r>
              <w:rPr>
                <w:rFonts w:hint="eastAsia" w:ascii="宋体"/>
                <w:u w:val="single"/>
                <w:lang w:val="en-US" w:eastAsia="zh-CN"/>
              </w:rPr>
              <w:t>12</w:t>
            </w:r>
            <w:r>
              <w:rPr>
                <w:rFonts w:hint="eastAsia" w:ascii="宋体"/>
                <w:u w:val="single"/>
              </w:rPr>
              <w:t>《</w:t>
            </w:r>
            <w:r>
              <w:rPr>
                <w:rFonts w:hint="eastAsia" w:ascii="宋体"/>
                <w:u w:val="single"/>
                <w:lang w:eastAsia="zh-CN"/>
              </w:rPr>
              <w:t>勘察</w:t>
            </w:r>
            <w:r>
              <w:rPr>
                <w:rFonts w:hint="eastAsia" w:ascii="宋体"/>
                <w:u w:val="single"/>
              </w:rPr>
              <w:t>方案评审记录表》对各投标人递交的投标文件进行评审。如果有否决投标提议，则评标委员会成员共同表决，按照少数服从多数的原则决定是否否决。</w:t>
            </w:r>
          </w:p>
          <w:p>
            <w:pPr>
              <w:autoSpaceDE w:val="0"/>
              <w:autoSpaceDN w:val="0"/>
              <w:adjustRightInd w:val="0"/>
              <w:rPr>
                <w:rFonts w:ascii="宋体" w:hAnsi="宋体"/>
              </w:rPr>
            </w:pPr>
            <w:r>
              <w:rPr>
                <w:rFonts w:hint="eastAsia" w:ascii="宋体" w:hAnsi="宋体"/>
              </w:rPr>
              <w:t xml:space="preserve">(e) </w:t>
            </w:r>
            <w:r>
              <w:rPr>
                <w:rFonts w:hint="eastAsia" w:ascii="宋体" w:hAnsi="宋体"/>
                <w:u w:val="single"/>
              </w:rPr>
              <w:t>按照4.5.1约定的家数入围定标阶段</w:t>
            </w:r>
            <w:r>
              <w:rPr>
                <w:rFonts w:hint="eastAsia" w:ascii="宋体" w:hAnsi="宋体"/>
              </w:rPr>
              <w:t>。</w:t>
            </w:r>
          </w:p>
          <w:p>
            <w:pPr>
              <w:rPr>
                <w:rFonts w:ascii="宋体" w:hAnsi="宋体"/>
              </w:rPr>
            </w:pPr>
            <w:r>
              <w:rPr>
                <w:rFonts w:hint="eastAsia" w:ascii="宋体" w:hAnsi="宋体"/>
              </w:rPr>
              <w:t>(f) 评标委员会揭晓投标人身份。</w:t>
            </w:r>
          </w:p>
          <w:p>
            <w:pPr>
              <w:rPr>
                <w:rFonts w:ascii="宋体" w:hAnsi="宋体"/>
                <w:szCs w:val="21"/>
              </w:rPr>
            </w:pPr>
            <w:r>
              <w:rPr>
                <w:rFonts w:hint="eastAsia" w:ascii="宋体" w:hAnsi="宋体"/>
              </w:rPr>
              <w:t>(g) 评标委员会按只有通过资格审查及有效性审查的投标人的投标文件方可进入下一阶段评审的评审原则，在揭晓投标人身份后，根据资格审查及有效性审查结果，取消被否决投标及未通过资格审查的投标人的投标。</w:t>
            </w:r>
            <w:r>
              <w:rPr>
                <w:rFonts w:hint="eastAsia" w:ascii="宋体" w:hAnsi="宋体"/>
                <w:u w:val="single"/>
              </w:rPr>
              <w:t>合格的中标候选人按其统一社会信用代码后 4 位（除校验码外）大小排位，不排序。合格的中标候选人少于3家的，应当重新招标。</w:t>
            </w:r>
          </w:p>
          <w:p>
            <w:pPr>
              <w:rPr>
                <w:rFonts w:ascii="宋体" w:hAnsi="宋体"/>
              </w:rPr>
            </w:pPr>
            <w:r>
              <w:rPr>
                <w:rFonts w:hint="eastAsia" w:ascii="宋体" w:hAnsi="宋体"/>
              </w:rPr>
              <w:t>(h) 编写、签署评标报告，评标报告由评标委员会全体成员签字，对评标结论持有异议的评标委员会成员可以书面方式阐述其不同意见和理由。</w:t>
            </w:r>
          </w:p>
          <w:p>
            <w:pPr>
              <w:rPr>
                <w:rFonts w:ascii="宋体" w:hAnsi="宋体"/>
              </w:rPr>
            </w:pPr>
            <w:r>
              <w:rPr>
                <w:rFonts w:hint="eastAsia" w:ascii="宋体" w:hAnsi="宋体"/>
              </w:rPr>
              <w:t>(i) 评标委员会向招标人提交书面评标报告后即告解散，评标过程中使用的文件、表格以及其他资料应当即时归还招标人（招标代理机构）。</w:t>
            </w:r>
          </w:p>
          <w:p>
            <w:pPr>
              <w:rPr>
                <w:rFonts w:ascii="宋体" w:hAnsi="宋体"/>
              </w:rPr>
            </w:pPr>
            <w:r>
              <w:rPr>
                <w:rFonts w:hint="eastAsia" w:ascii="宋体" w:hAnsi="宋体"/>
              </w:rPr>
              <w:t>（j）定标委员会定标。定标委员会按</w:t>
            </w:r>
            <w:r>
              <w:rPr>
                <w:rFonts w:hint="eastAsia" w:ascii="宋体" w:hAnsi="宋体"/>
                <w:u w:val="single"/>
              </w:rPr>
              <w:t>附录1</w:t>
            </w:r>
            <w:r>
              <w:rPr>
                <w:rFonts w:hint="eastAsia" w:ascii="宋体" w:hAnsi="宋体"/>
                <w:u w:val="single"/>
                <w:lang w:val="en-US" w:eastAsia="zh-CN"/>
              </w:rPr>
              <w:t>6</w:t>
            </w:r>
            <w:r>
              <w:rPr>
                <w:rFonts w:hint="eastAsia" w:ascii="宋体" w:hAnsi="宋体"/>
                <w:u w:val="single"/>
              </w:rPr>
              <w:t>《定标原则》</w:t>
            </w:r>
            <w:r>
              <w:rPr>
                <w:rFonts w:hint="eastAsia" w:ascii="宋体" w:hAnsi="宋体"/>
              </w:rPr>
              <w:t>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rPr>
              <w:t>5.1</w:t>
            </w:r>
          </w:p>
        </w:tc>
        <w:tc>
          <w:tcPr>
            <w:tcW w:w="3210" w:type="dxa"/>
            <w:vAlign w:val="center"/>
          </w:tcPr>
          <w:p>
            <w:pPr>
              <w:rPr>
                <w:rFonts w:ascii="宋体" w:hAnsi="宋体"/>
              </w:rPr>
            </w:pPr>
            <w:r>
              <w:rPr>
                <w:rFonts w:hint="eastAsia" w:ascii="宋体" w:hAnsi="宋体"/>
              </w:rPr>
              <w:t>5.1确定中标人</w:t>
            </w:r>
          </w:p>
          <w:p>
            <w:pPr>
              <w:rPr>
                <w:rFonts w:ascii="宋体" w:hAnsi="宋体"/>
              </w:rPr>
            </w:pPr>
            <w:r>
              <w:rPr>
                <w:rFonts w:hint="eastAsia" w:ascii="宋体" w:hAnsi="宋体"/>
              </w:rPr>
              <w:t>采用方式</w:t>
            </w:r>
            <w:r>
              <w:rPr>
                <w:rFonts w:hint="eastAsia" w:ascii="宋体" w:hAnsi="宋体"/>
                <w:u w:val="single"/>
              </w:rPr>
              <w:t xml:space="preserve">   </w:t>
            </w:r>
            <w:r>
              <w:rPr>
                <w:rFonts w:hint="eastAsia" w:ascii="宋体" w:hAnsi="宋体"/>
              </w:rPr>
              <w:t>确定中标人：</w:t>
            </w:r>
          </w:p>
        </w:tc>
        <w:tc>
          <w:tcPr>
            <w:tcW w:w="4098" w:type="dxa"/>
            <w:vAlign w:val="center"/>
          </w:tcPr>
          <w:p>
            <w:pPr>
              <w:rPr>
                <w:rFonts w:ascii="宋体" w:hAnsi="宋体"/>
              </w:rPr>
            </w:pPr>
            <w:r>
              <w:rPr>
                <w:rFonts w:hint="eastAsia" w:ascii="宋体" w:hAnsi="宋体"/>
              </w:rPr>
              <w:t>5.1确定中标人</w:t>
            </w:r>
          </w:p>
          <w:p>
            <w:pPr>
              <w:rPr>
                <w:rFonts w:ascii="宋体" w:hAnsi="宋体"/>
              </w:rPr>
            </w:pPr>
            <w:r>
              <w:rPr>
                <w:rFonts w:hint="eastAsia" w:ascii="宋体" w:hAnsi="宋体"/>
              </w:rPr>
              <w:t>采用方式</w:t>
            </w:r>
            <w:r>
              <w:rPr>
                <w:rFonts w:hint="eastAsia" w:ascii="宋体" w:hAnsi="宋体"/>
                <w:u w:val="single"/>
              </w:rPr>
              <w:t xml:space="preserve"> 一 </w:t>
            </w:r>
            <w:r>
              <w:rPr>
                <w:rFonts w:hint="eastAsia" w:ascii="宋体" w:hAnsi="宋体"/>
              </w:rPr>
              <w:t>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rPr>
              <w:t>5.1.1</w:t>
            </w:r>
          </w:p>
        </w:tc>
        <w:tc>
          <w:tcPr>
            <w:tcW w:w="3210" w:type="dxa"/>
            <w:vAlign w:val="center"/>
          </w:tcPr>
          <w:p>
            <w:pPr>
              <w:rPr>
                <w:rFonts w:ascii="宋体" w:hAnsi="宋体"/>
              </w:rPr>
            </w:pPr>
            <w:r>
              <w:rPr>
                <w:rFonts w:hint="eastAsia" w:ascii="宋体" w:hAnsi="宋体"/>
              </w:rPr>
              <w:t>5.1.1招标人在评标委员会或定标委员会推荐的中标候选人中确定中标人。</w:t>
            </w:r>
          </w:p>
        </w:tc>
        <w:tc>
          <w:tcPr>
            <w:tcW w:w="4098" w:type="dxa"/>
            <w:vAlign w:val="center"/>
          </w:tcPr>
          <w:p>
            <w:pPr>
              <w:rPr>
                <w:rFonts w:ascii="宋体" w:hAnsi="宋体"/>
                <w:u w:val="single"/>
              </w:rPr>
            </w:pPr>
            <w:r>
              <w:rPr>
                <w:rFonts w:hint="eastAsia" w:ascii="宋体" w:hAnsi="宋体"/>
              </w:rPr>
              <w:t>5.1.1</w:t>
            </w:r>
            <w:r>
              <w:rPr>
                <w:rFonts w:hint="eastAsia" w:ascii="宋体" w:hAnsi="宋体"/>
                <w:u w:val="single"/>
              </w:rPr>
              <w:t>招标人根据定标报告确定中标人。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rPr>
              <w:t>5.1.3</w:t>
            </w:r>
          </w:p>
        </w:tc>
        <w:tc>
          <w:tcPr>
            <w:tcW w:w="3210" w:type="dxa"/>
            <w:vAlign w:val="center"/>
          </w:tcPr>
          <w:p>
            <w:pPr>
              <w:rPr>
                <w:rFonts w:ascii="宋体" w:hAnsi="宋体"/>
              </w:rPr>
            </w:pPr>
            <w:r>
              <w:rPr>
                <w:rFonts w:hint="eastAsia" w:ascii="宋体"/>
              </w:rPr>
              <w:t>5.1.3在产生中标候选人后，招标人将中标候选人的投标文件商务部分（包括报价清单、人员、业绩、奖项等资料）在交易平台和广东省招标投标监管网公开。</w:t>
            </w:r>
          </w:p>
        </w:tc>
        <w:tc>
          <w:tcPr>
            <w:tcW w:w="4098" w:type="dxa"/>
            <w:vAlign w:val="center"/>
          </w:tcPr>
          <w:p>
            <w:pPr>
              <w:rPr>
                <w:rFonts w:ascii="宋体" w:hAnsi="宋体"/>
                <w:u w:val="single"/>
              </w:rPr>
            </w:pPr>
            <w:r>
              <w:rPr>
                <w:rFonts w:hint="eastAsia" w:ascii="宋体"/>
              </w:rPr>
              <w:t>5.1.3在产生合格的中标候选人后，招标人将中标候选人的投标文件商务部分（包括人员、业绩、奖项等资料）在交易平台和广东省招标投标监管网公开。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jc w:val="left"/>
              <w:rPr>
                <w:rFonts w:ascii="宋体" w:hAnsi="宋体"/>
              </w:rPr>
            </w:pPr>
            <w:r>
              <w:rPr>
                <w:rFonts w:hint="eastAsia" w:ascii="宋体" w:hAnsi="宋体" w:cs="宋体"/>
              </w:rPr>
              <w:t>6.1.6</w:t>
            </w:r>
          </w:p>
        </w:tc>
        <w:tc>
          <w:tcPr>
            <w:tcW w:w="3210" w:type="dxa"/>
            <w:vAlign w:val="center"/>
          </w:tcPr>
          <w:p>
            <w:pPr>
              <w:rPr>
                <w:rFonts w:ascii="宋体" w:hAnsi="宋体"/>
              </w:rPr>
            </w:pPr>
            <w:r>
              <w:rPr>
                <w:rFonts w:hint="eastAsia" w:ascii="宋体" w:hAnsi="宋体" w:cs="宋体"/>
                <w:szCs w:val="21"/>
              </w:rPr>
              <w:t>增加</w:t>
            </w:r>
          </w:p>
        </w:tc>
        <w:tc>
          <w:tcPr>
            <w:tcW w:w="4098" w:type="dxa"/>
            <w:vAlign w:val="center"/>
          </w:tcPr>
          <w:p>
            <w:pPr>
              <w:rPr>
                <w:rFonts w:ascii="宋体" w:hAnsi="宋体"/>
              </w:rPr>
            </w:pPr>
            <w:r>
              <w:rPr>
                <w:rFonts w:hint="eastAsia" w:ascii="宋体" w:hAnsi="宋体" w:cs="宋体"/>
              </w:rPr>
              <w:t>6.1.6</w:t>
            </w:r>
            <w:r>
              <w:rPr>
                <w:rFonts w:hint="eastAsia" w:ascii="宋体" w:hAnsi="宋体" w:cs="宋体"/>
                <w:u w:val="single"/>
              </w:rPr>
              <w:t>中标通知书发出之日起30日内，中标人应按照招标文件和中标人的投标文件积极配合招标人完成合同签订工作。中标通知书发出之日起30日后，中标人无正当理由不与招标人订立合同的，招标人有权解除中标通知书</w:t>
            </w:r>
            <w:r>
              <w:rPr>
                <w:rFonts w:hint="eastAsia" w:ascii="宋体" w:hAnsi="宋体"/>
                <w:kern w:val="0"/>
                <w:szCs w:val="21"/>
                <w:u w:val="single"/>
              </w:rPr>
              <w:t>及</w:t>
            </w:r>
            <w:r>
              <w:rPr>
                <w:rFonts w:hint="eastAsia" w:ascii="宋体" w:hAnsi="宋体"/>
                <w:szCs w:val="21"/>
                <w:u w:val="single"/>
              </w:rPr>
              <w:t>没收其保证金，可</w:t>
            </w:r>
            <w:r>
              <w:rPr>
                <w:rStyle w:val="43"/>
                <w:rFonts w:hint="eastAsia"/>
                <w:u w:val="single"/>
              </w:rPr>
              <w:t>从其他合格的中标候选人中采用原定标办法，由原定标委员会确定中标人，也可以重新招标。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rPr>
              <w:t>7.1.1</w:t>
            </w:r>
          </w:p>
        </w:tc>
        <w:tc>
          <w:tcPr>
            <w:tcW w:w="3210" w:type="dxa"/>
            <w:vAlign w:val="center"/>
          </w:tcPr>
          <w:p>
            <w:pPr>
              <w:rPr>
                <w:rFonts w:ascii="宋体" w:hAnsi="宋体"/>
              </w:rPr>
            </w:pPr>
            <w:r>
              <w:rPr>
                <w:rFonts w:hint="eastAsia" w:ascii="宋体" w:hAnsi="宋体"/>
              </w:rPr>
              <w:t>7.1.1按招标文件规定获得补偿的投标文件，评标后不予退回。</w:t>
            </w:r>
          </w:p>
        </w:tc>
        <w:tc>
          <w:tcPr>
            <w:tcW w:w="4098" w:type="dxa"/>
            <w:vAlign w:val="center"/>
          </w:tcPr>
          <w:p>
            <w:pPr>
              <w:rPr>
                <w:rFonts w:ascii="宋体" w:hAnsi="宋体"/>
                <w:u w:val="single"/>
              </w:rPr>
            </w:pPr>
            <w:r>
              <w:rPr>
                <w:rFonts w:hint="eastAsia" w:ascii="宋体" w:hAnsi="宋体"/>
              </w:rPr>
              <w:t>7.1.1</w:t>
            </w:r>
            <w:r>
              <w:rPr>
                <w:rFonts w:hint="eastAsia" w:ascii="宋体" w:hAnsi="宋体"/>
                <w:u w:val="single"/>
              </w:rPr>
              <w:t>所有参与评标的投标文件，评标后不予退回。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rPr>
            </w:pPr>
            <w:r>
              <w:rPr>
                <w:rFonts w:hint="eastAsia" w:ascii="宋体" w:hAnsi="宋体"/>
                <w:szCs w:val="21"/>
              </w:rPr>
              <w:t>7.1.2</w:t>
            </w:r>
          </w:p>
        </w:tc>
        <w:tc>
          <w:tcPr>
            <w:tcW w:w="3210" w:type="dxa"/>
            <w:vAlign w:val="center"/>
          </w:tcPr>
          <w:p>
            <w:pPr>
              <w:jc w:val="left"/>
              <w:rPr>
                <w:rFonts w:ascii="宋体" w:hAnsi="宋体"/>
              </w:rPr>
            </w:pPr>
            <w:r>
              <w:rPr>
                <w:rFonts w:hint="eastAsia" w:ascii="宋体" w:hAnsi="宋体"/>
                <w:szCs w:val="21"/>
              </w:rPr>
              <w:t>7.1.2</w:t>
            </w:r>
            <w:r>
              <w:rPr>
                <w:rFonts w:hint="eastAsia" w:ascii="宋体" w:hAnsi="宋体"/>
              </w:rPr>
              <w:t>招标人有权在评标结束后公开展示获得补偿费用的所有投标方案成果，并通过传播媒介、杂志、书刊或其它形式介绍、展示及评价该方案成果，所有展示、推介、广告均不再向投标人支付费用。</w:t>
            </w:r>
          </w:p>
        </w:tc>
        <w:tc>
          <w:tcPr>
            <w:tcW w:w="4098" w:type="dxa"/>
            <w:vAlign w:val="center"/>
          </w:tcPr>
          <w:p>
            <w:pPr>
              <w:rPr>
                <w:rFonts w:ascii="宋体" w:hAnsi="宋体"/>
              </w:rPr>
            </w:pPr>
            <w:r>
              <w:rPr>
                <w:rFonts w:hint="eastAsia" w:ascii="宋体" w:hAnsi="宋体"/>
                <w:szCs w:val="21"/>
              </w:rPr>
              <w:t>7.1.2</w:t>
            </w:r>
            <w:r>
              <w:rPr>
                <w:rFonts w:hint="eastAsia" w:ascii="宋体" w:hAnsi="宋体"/>
              </w:rPr>
              <w:t>招标人有权在评标结束后公开展示</w:t>
            </w:r>
            <w:r>
              <w:rPr>
                <w:rFonts w:hint="eastAsia" w:ascii="宋体" w:hAnsi="宋体"/>
                <w:u w:val="single"/>
              </w:rPr>
              <w:t>中标人</w:t>
            </w:r>
            <w:r>
              <w:rPr>
                <w:rFonts w:hint="eastAsia" w:ascii="宋体" w:hAnsi="宋体"/>
              </w:rPr>
              <w:t>的投标方案成果，并通过传播媒介、杂志、书刊或其它形式介绍、展示及评价该方案成果，所有展示、推介、广告均不再向</w:t>
            </w:r>
            <w:r>
              <w:rPr>
                <w:rFonts w:hint="eastAsia" w:ascii="宋体" w:hAnsi="宋体"/>
                <w:u w:val="single"/>
              </w:rPr>
              <w:t>中标</w:t>
            </w:r>
            <w:r>
              <w:rPr>
                <w:rFonts w:hint="eastAsia" w:ascii="宋体" w:hAnsi="宋体"/>
              </w:rPr>
              <w:t>人支付费用。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szCs w:val="21"/>
              </w:rPr>
            </w:pPr>
            <w:r>
              <w:rPr>
                <w:rFonts w:hint="eastAsia" w:ascii="宋体" w:hAnsi="宋体"/>
                <w:szCs w:val="21"/>
              </w:rPr>
              <w:t>7.3.1</w:t>
            </w:r>
          </w:p>
        </w:tc>
        <w:tc>
          <w:tcPr>
            <w:tcW w:w="3210" w:type="dxa"/>
            <w:vAlign w:val="center"/>
          </w:tcPr>
          <w:p>
            <w:pPr>
              <w:jc w:val="left"/>
              <w:rPr>
                <w:rFonts w:ascii="宋体" w:hAnsi="宋体"/>
              </w:rPr>
            </w:pPr>
            <w:r>
              <w:rPr>
                <w:rFonts w:hint="eastAsia" w:ascii="宋体" w:hAnsi="宋体"/>
                <w:szCs w:val="21"/>
              </w:rPr>
              <w:t>7.3.1</w:t>
            </w:r>
            <w:r>
              <w:rPr>
                <w:rFonts w:hint="eastAsia" w:ascii="宋体" w:hAnsi="宋体"/>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tc>
        <w:tc>
          <w:tcPr>
            <w:tcW w:w="4098" w:type="dxa"/>
            <w:vAlign w:val="center"/>
          </w:tcPr>
          <w:p>
            <w:pPr>
              <w:rPr>
                <w:rFonts w:ascii="宋体" w:hAnsi="宋体"/>
              </w:rPr>
            </w:pPr>
            <w:r>
              <w:rPr>
                <w:rFonts w:hint="eastAsia" w:ascii="宋体" w:hAnsi="宋体"/>
                <w:szCs w:val="21"/>
              </w:rPr>
              <w:t>7.3.1</w:t>
            </w:r>
            <w:r>
              <w:rPr>
                <w:rFonts w:hint="eastAsia" w:ascii="宋体" w:hAnsi="宋体"/>
              </w:rPr>
              <w:t>除特殊情况外，招标人有权在工程建设中根据需要对选定的实施方案进行调整和修改。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rPr>
            </w:pPr>
          </w:p>
        </w:tc>
        <w:tc>
          <w:tcPr>
            <w:tcW w:w="1260" w:type="dxa"/>
            <w:vAlign w:val="center"/>
          </w:tcPr>
          <w:p>
            <w:pPr>
              <w:rPr>
                <w:rFonts w:ascii="宋体" w:hAnsi="宋体"/>
                <w:szCs w:val="21"/>
              </w:rPr>
            </w:pPr>
            <w:r>
              <w:rPr>
                <w:rFonts w:hint="eastAsia" w:ascii="宋体" w:hAnsi="宋体"/>
                <w:szCs w:val="21"/>
              </w:rPr>
              <w:t>7.3.5</w:t>
            </w:r>
          </w:p>
        </w:tc>
        <w:tc>
          <w:tcPr>
            <w:tcW w:w="3210" w:type="dxa"/>
            <w:vAlign w:val="center"/>
          </w:tcPr>
          <w:p>
            <w:pPr>
              <w:jc w:val="left"/>
              <w:rPr>
                <w:rFonts w:ascii="宋体" w:hAnsi="宋体"/>
              </w:rPr>
            </w:pPr>
            <w:r>
              <w:rPr>
                <w:rFonts w:hint="eastAsia" w:ascii="宋体" w:hAnsi="宋体"/>
              </w:rPr>
              <w:t>增加</w:t>
            </w:r>
          </w:p>
        </w:tc>
        <w:tc>
          <w:tcPr>
            <w:tcW w:w="4098" w:type="dxa"/>
            <w:vAlign w:val="center"/>
          </w:tcPr>
          <w:p>
            <w:pPr>
              <w:rPr>
                <w:rFonts w:ascii="宋体" w:hAnsi="宋体"/>
              </w:rPr>
            </w:pPr>
            <w:r>
              <w:rPr>
                <w:rFonts w:hint="eastAsia" w:ascii="宋体" w:hAnsi="宋体"/>
                <w:szCs w:val="21"/>
              </w:rPr>
              <w:t>7.3.5</w:t>
            </w:r>
            <w:r>
              <w:rPr>
                <w:rFonts w:hint="eastAsia" w:ascii="宋体" w:hAnsi="宋体"/>
                <w:szCs w:val="21"/>
                <w:u w:val="single"/>
              </w:rPr>
              <w:t>领取中标通知书后，签订合同前，中标人须向招标人提供独立装订成册一正两副的纸质投标文件，纸质投标文件内容须与投标时提交的电子投标文件内容一致。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highlight w:val="none"/>
              </w:rPr>
            </w:pPr>
            <w:r>
              <w:rPr>
                <w:rFonts w:hint="eastAsia" w:ascii="宋体" w:hAnsi="宋体"/>
                <w:szCs w:val="21"/>
                <w:highlight w:val="none"/>
              </w:rPr>
              <w:t>附录1</w:t>
            </w:r>
          </w:p>
        </w:tc>
        <w:tc>
          <w:tcPr>
            <w:tcW w:w="3210" w:type="dxa"/>
            <w:vAlign w:val="center"/>
          </w:tcPr>
          <w:p>
            <w:pPr>
              <w:rPr>
                <w:rFonts w:ascii="宋体" w:hAnsi="宋体"/>
                <w:highlight w:val="none"/>
              </w:rPr>
            </w:pPr>
            <w:r>
              <w:rPr>
                <w:rFonts w:hint="eastAsia" w:ascii="宋体" w:hAnsi="宋体"/>
                <w:highlight w:val="none"/>
              </w:rPr>
              <w:t>投标申请表（投入人员承诺）</w:t>
            </w:r>
          </w:p>
        </w:tc>
        <w:tc>
          <w:tcPr>
            <w:tcW w:w="4098" w:type="dxa"/>
            <w:vAlign w:val="center"/>
          </w:tcPr>
          <w:p>
            <w:pPr>
              <w:rPr>
                <w:rFonts w:ascii="宋体" w:hAnsi="宋体"/>
                <w:highlight w:val="none"/>
              </w:rPr>
            </w:pPr>
            <w:r>
              <w:rPr>
                <w:rFonts w:hint="eastAsia" w:ascii="宋体" w:hAnsi="宋体"/>
                <w:highlight w:val="none"/>
              </w:rPr>
              <w:t>修改详见招标文件现文附录1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highlight w:val="none"/>
              </w:rPr>
            </w:pPr>
            <w:r>
              <w:rPr>
                <w:rFonts w:hint="eastAsia" w:ascii="宋体" w:hAnsi="宋体"/>
                <w:sz w:val="21"/>
                <w:szCs w:val="21"/>
              </w:rPr>
              <w:t>附件2</w:t>
            </w:r>
          </w:p>
        </w:tc>
        <w:tc>
          <w:tcPr>
            <w:tcW w:w="3210" w:type="dxa"/>
            <w:vAlign w:val="center"/>
          </w:tcPr>
          <w:p>
            <w:pPr>
              <w:rPr>
                <w:rFonts w:ascii="宋体" w:hAnsi="宋体"/>
                <w:highlight w:val="none"/>
              </w:rPr>
            </w:pPr>
            <w:r>
              <w:rPr>
                <w:rFonts w:hint="eastAsia" w:ascii="宋体" w:hAnsi="宋体"/>
                <w:szCs w:val="21"/>
                <w:highlight w:val="none"/>
              </w:rPr>
              <w:t>设计投标文件编制要求</w:t>
            </w:r>
          </w:p>
        </w:tc>
        <w:tc>
          <w:tcPr>
            <w:tcW w:w="4098" w:type="dxa"/>
            <w:vAlign w:val="center"/>
          </w:tcPr>
          <w:p>
            <w:pPr>
              <w:rPr>
                <w:rFonts w:ascii="宋体" w:hAnsi="宋体"/>
                <w:highlight w:val="none"/>
              </w:rPr>
            </w:pPr>
            <w:r>
              <w:rPr>
                <w:rFonts w:hint="eastAsia" w:ascii="宋体" w:hAnsi="宋体"/>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highlight w:val="none"/>
              </w:rPr>
            </w:pPr>
            <w:r>
              <w:rPr>
                <w:rFonts w:hint="eastAsia" w:ascii="宋体" w:hAnsi="宋体"/>
                <w:sz w:val="21"/>
                <w:szCs w:val="21"/>
              </w:rPr>
              <w:t>附件3</w:t>
            </w:r>
          </w:p>
        </w:tc>
        <w:tc>
          <w:tcPr>
            <w:tcW w:w="3210" w:type="dxa"/>
            <w:vAlign w:val="center"/>
          </w:tcPr>
          <w:p>
            <w:pPr>
              <w:rPr>
                <w:rFonts w:ascii="宋体" w:hAnsi="宋体"/>
                <w:highlight w:val="none"/>
              </w:rPr>
            </w:pPr>
            <w:r>
              <w:rPr>
                <w:rFonts w:hint="eastAsia" w:ascii="宋体" w:hAnsi="宋体"/>
                <w:szCs w:val="21"/>
                <w:highlight w:val="none"/>
              </w:rPr>
              <w:t>勘察设计费报价表</w:t>
            </w:r>
          </w:p>
        </w:tc>
        <w:tc>
          <w:tcPr>
            <w:tcW w:w="4098" w:type="dxa"/>
            <w:vAlign w:val="center"/>
          </w:tcPr>
          <w:p>
            <w:pPr>
              <w:rPr>
                <w:rFonts w:ascii="宋体" w:hAnsi="宋体"/>
                <w:highlight w:val="none"/>
              </w:rPr>
            </w:pPr>
            <w:r>
              <w:rPr>
                <w:rFonts w:hint="eastAsia" w:ascii="宋体" w:hAnsi="宋体"/>
                <w:highlight w:val="none"/>
              </w:rPr>
              <w:t>修改详见招标文件现文</w:t>
            </w:r>
            <w:r>
              <w:rPr>
                <w:rFonts w:hint="eastAsia" w:ascii="宋体" w:hAnsi="宋体"/>
                <w:sz w:val="21"/>
                <w:szCs w:val="21"/>
              </w:rPr>
              <w:t>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highlight w:val="none"/>
              </w:rPr>
            </w:pPr>
            <w:r>
              <w:rPr>
                <w:rFonts w:hint="eastAsia" w:ascii="宋体" w:hAnsi="宋体"/>
                <w:szCs w:val="21"/>
                <w:highlight w:val="none"/>
              </w:rPr>
              <w:t>附录4</w:t>
            </w:r>
          </w:p>
        </w:tc>
        <w:tc>
          <w:tcPr>
            <w:tcW w:w="3210" w:type="dxa"/>
            <w:vAlign w:val="center"/>
          </w:tcPr>
          <w:p>
            <w:pPr>
              <w:rPr>
                <w:rFonts w:ascii="宋体" w:hAnsi="宋体"/>
                <w:highlight w:val="none"/>
              </w:rPr>
            </w:pPr>
            <w:r>
              <w:rPr>
                <w:rFonts w:hint="eastAsia" w:ascii="宋体" w:hAnsi="宋体"/>
                <w:szCs w:val="21"/>
                <w:highlight w:val="none"/>
              </w:rPr>
              <w:t>建筑工程设计方案测试记录表</w:t>
            </w:r>
          </w:p>
        </w:tc>
        <w:tc>
          <w:tcPr>
            <w:tcW w:w="4098" w:type="dxa"/>
            <w:vAlign w:val="center"/>
          </w:tcPr>
          <w:p>
            <w:pPr>
              <w:rPr>
                <w:rFonts w:ascii="宋体" w:hAnsi="宋体"/>
                <w:highlight w:val="none"/>
              </w:rPr>
            </w:pPr>
            <w:r>
              <w:rPr>
                <w:rFonts w:hint="eastAsia" w:ascii="宋体" w:hAnsi="宋体"/>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highlight w:val="none"/>
              </w:rPr>
            </w:pPr>
            <w:r>
              <w:rPr>
                <w:rFonts w:hint="eastAsia" w:ascii="宋体" w:hAnsi="宋体"/>
                <w:sz w:val="21"/>
                <w:szCs w:val="21"/>
              </w:rPr>
              <w:t>附件5</w:t>
            </w:r>
          </w:p>
        </w:tc>
        <w:tc>
          <w:tcPr>
            <w:tcW w:w="3210" w:type="dxa"/>
            <w:vAlign w:val="center"/>
          </w:tcPr>
          <w:p>
            <w:pPr>
              <w:rPr>
                <w:rFonts w:ascii="宋体" w:hAnsi="宋体"/>
                <w:highlight w:val="none"/>
              </w:rPr>
            </w:pPr>
            <w:r>
              <w:rPr>
                <w:rFonts w:hint="eastAsia" w:ascii="宋体" w:hAnsi="宋体"/>
                <w:szCs w:val="21"/>
                <w:highlight w:val="none"/>
              </w:rPr>
              <w:t>勘察投标文件编制要求</w:t>
            </w:r>
          </w:p>
        </w:tc>
        <w:tc>
          <w:tcPr>
            <w:tcW w:w="4098" w:type="dxa"/>
            <w:vAlign w:val="center"/>
          </w:tcPr>
          <w:p>
            <w:pPr>
              <w:rPr>
                <w:rFonts w:ascii="宋体" w:hAnsi="宋体"/>
                <w:highlight w:val="none"/>
              </w:rPr>
            </w:pPr>
            <w:r>
              <w:rPr>
                <w:rFonts w:hint="eastAsia" w:ascii="宋体" w:hAnsi="宋体"/>
                <w:highlight w:val="none"/>
              </w:rPr>
              <w:t>修改详见招标文件现文</w:t>
            </w:r>
            <w:r>
              <w:rPr>
                <w:rFonts w:hint="eastAsia" w:ascii="宋体" w:hAnsi="宋体"/>
                <w:sz w:val="21"/>
                <w:szCs w:val="21"/>
              </w:rPr>
              <w:t>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szCs w:val="21"/>
                <w:highlight w:val="none"/>
              </w:rPr>
            </w:pPr>
            <w:r>
              <w:rPr>
                <w:rFonts w:hint="eastAsia" w:ascii="宋体" w:hAnsi="宋体"/>
                <w:szCs w:val="21"/>
                <w:highlight w:val="none"/>
              </w:rPr>
              <w:t>附录6</w:t>
            </w:r>
          </w:p>
        </w:tc>
        <w:tc>
          <w:tcPr>
            <w:tcW w:w="3210" w:type="dxa"/>
            <w:vAlign w:val="center"/>
          </w:tcPr>
          <w:p>
            <w:pPr>
              <w:rPr>
                <w:rFonts w:ascii="宋体" w:hAnsi="宋体"/>
                <w:szCs w:val="21"/>
                <w:highlight w:val="none"/>
              </w:rPr>
            </w:pPr>
            <w:r>
              <w:rPr>
                <w:rFonts w:hint="eastAsia" w:ascii="宋体" w:hAnsi="宋体"/>
                <w:szCs w:val="21"/>
                <w:highlight w:val="none"/>
              </w:rPr>
              <w:t>投标书</w:t>
            </w:r>
          </w:p>
        </w:tc>
        <w:tc>
          <w:tcPr>
            <w:tcW w:w="4098" w:type="dxa"/>
            <w:vAlign w:val="center"/>
          </w:tcPr>
          <w:p>
            <w:pPr>
              <w:rPr>
                <w:rFonts w:ascii="宋体" w:hAnsi="宋体"/>
                <w:highlight w:val="none"/>
              </w:rPr>
            </w:pPr>
            <w:r>
              <w:rPr>
                <w:rFonts w:hint="eastAsia" w:ascii="宋体" w:hAnsi="宋体"/>
                <w:highlight w:val="none"/>
              </w:rPr>
              <w:t>修改详见招标文件现文</w:t>
            </w:r>
            <w:r>
              <w:rPr>
                <w:rFonts w:hint="eastAsia" w:ascii="宋体" w:hAnsi="宋体"/>
                <w:szCs w:val="21"/>
                <w:highlight w:val="none"/>
              </w:rPr>
              <w:t>附录6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szCs w:val="21"/>
                <w:highlight w:val="none"/>
              </w:rPr>
            </w:pPr>
            <w:r>
              <w:rPr>
                <w:rFonts w:hint="eastAsia" w:ascii="宋体" w:hAnsi="宋体"/>
                <w:szCs w:val="21"/>
                <w:highlight w:val="none"/>
              </w:rPr>
              <w:t>附录</w:t>
            </w:r>
            <w:r>
              <w:rPr>
                <w:rFonts w:ascii="宋体" w:hAnsi="宋体"/>
                <w:szCs w:val="21"/>
                <w:highlight w:val="none"/>
              </w:rPr>
              <w:t>7</w:t>
            </w:r>
          </w:p>
        </w:tc>
        <w:tc>
          <w:tcPr>
            <w:tcW w:w="3210" w:type="dxa"/>
            <w:vAlign w:val="center"/>
          </w:tcPr>
          <w:p>
            <w:pPr>
              <w:rPr>
                <w:rFonts w:ascii="宋体" w:hAnsi="宋体"/>
                <w:szCs w:val="21"/>
                <w:highlight w:val="none"/>
              </w:rPr>
            </w:pPr>
            <w:r>
              <w:rPr>
                <w:rFonts w:hint="eastAsia" w:ascii="宋体" w:hAnsi="宋体"/>
                <w:szCs w:val="21"/>
                <w:highlight w:val="none"/>
              </w:rPr>
              <w:t>联合体共同投标协议</w:t>
            </w:r>
          </w:p>
        </w:tc>
        <w:tc>
          <w:tcPr>
            <w:tcW w:w="4098" w:type="dxa"/>
            <w:vAlign w:val="center"/>
          </w:tcPr>
          <w:p>
            <w:pPr>
              <w:rPr>
                <w:rFonts w:ascii="宋体" w:hAnsi="宋体"/>
                <w:highlight w:val="none"/>
              </w:rPr>
            </w:pPr>
            <w:r>
              <w:rPr>
                <w:rFonts w:hint="eastAsia" w:ascii="宋体" w:hAnsi="宋体"/>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highlight w:val="none"/>
              </w:rPr>
            </w:pPr>
            <w:r>
              <w:rPr>
                <w:rFonts w:hint="eastAsia" w:ascii="宋体" w:hAnsi="宋体"/>
                <w:szCs w:val="21"/>
                <w:highlight w:val="none"/>
              </w:rPr>
              <w:t>附录8</w:t>
            </w:r>
          </w:p>
        </w:tc>
        <w:tc>
          <w:tcPr>
            <w:tcW w:w="3210" w:type="dxa"/>
            <w:vAlign w:val="center"/>
          </w:tcPr>
          <w:p>
            <w:pPr>
              <w:rPr>
                <w:rFonts w:ascii="宋体" w:hAnsi="宋体"/>
                <w:highlight w:val="none"/>
              </w:rPr>
            </w:pPr>
            <w:r>
              <w:rPr>
                <w:rFonts w:hint="eastAsia" w:ascii="宋体" w:hAnsi="宋体"/>
                <w:szCs w:val="21"/>
                <w:highlight w:val="none"/>
              </w:rPr>
              <w:t>投标人声明</w:t>
            </w:r>
          </w:p>
        </w:tc>
        <w:tc>
          <w:tcPr>
            <w:tcW w:w="4098" w:type="dxa"/>
            <w:vAlign w:val="center"/>
          </w:tcPr>
          <w:p>
            <w:pPr>
              <w:rPr>
                <w:rFonts w:ascii="宋体" w:hAnsi="宋体"/>
                <w:highlight w:val="none"/>
              </w:rPr>
            </w:pPr>
            <w:r>
              <w:rPr>
                <w:rFonts w:hint="eastAsia" w:ascii="宋体" w:hAnsi="宋体"/>
                <w:highlight w:val="none"/>
              </w:rPr>
              <w:t>修改详见招标文件现文</w:t>
            </w:r>
            <w:r>
              <w:rPr>
                <w:rFonts w:hint="eastAsia" w:ascii="宋体" w:hAnsi="宋体"/>
                <w:szCs w:val="21"/>
                <w:highlight w:val="none"/>
              </w:rPr>
              <w:t>附录8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highlight w:val="none"/>
              </w:rPr>
            </w:pPr>
            <w:r>
              <w:rPr>
                <w:rFonts w:hint="eastAsia" w:ascii="宋体" w:hAnsi="宋体"/>
                <w:szCs w:val="21"/>
                <w:highlight w:val="none"/>
              </w:rPr>
              <w:t>附录9</w:t>
            </w:r>
          </w:p>
        </w:tc>
        <w:tc>
          <w:tcPr>
            <w:tcW w:w="3210" w:type="dxa"/>
            <w:vAlign w:val="center"/>
          </w:tcPr>
          <w:p>
            <w:pPr>
              <w:rPr>
                <w:rFonts w:ascii="宋体" w:hAnsi="宋体"/>
                <w:highlight w:val="none"/>
              </w:rPr>
            </w:pPr>
            <w:r>
              <w:rPr>
                <w:rFonts w:hint="eastAsia" w:ascii="宋体" w:hAnsi="宋体"/>
                <w:szCs w:val="21"/>
                <w:highlight w:val="none"/>
              </w:rPr>
              <w:t>资格审查表</w:t>
            </w:r>
          </w:p>
        </w:tc>
        <w:tc>
          <w:tcPr>
            <w:tcW w:w="4098" w:type="dxa"/>
            <w:vAlign w:val="center"/>
          </w:tcPr>
          <w:p>
            <w:pPr>
              <w:rPr>
                <w:rFonts w:ascii="宋体" w:hAnsi="宋体"/>
                <w:highlight w:val="none"/>
              </w:rPr>
            </w:pPr>
            <w:r>
              <w:rPr>
                <w:rFonts w:hint="eastAsia" w:ascii="宋体" w:hAnsi="宋体"/>
                <w:highlight w:val="none"/>
              </w:rPr>
              <w:t>修改详见招标文件现文</w:t>
            </w:r>
            <w:r>
              <w:rPr>
                <w:rFonts w:hint="eastAsia" w:ascii="宋体" w:hAnsi="宋体"/>
                <w:szCs w:val="21"/>
                <w:highlight w:val="none"/>
              </w:rPr>
              <w:t>附录9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szCs w:val="21"/>
                <w:highlight w:val="none"/>
              </w:rPr>
            </w:pPr>
            <w:r>
              <w:rPr>
                <w:rFonts w:hint="eastAsia" w:ascii="宋体" w:hAnsi="宋体"/>
                <w:sz w:val="21"/>
                <w:szCs w:val="21"/>
              </w:rPr>
              <w:t xml:space="preserve">附件10 </w:t>
            </w:r>
          </w:p>
        </w:tc>
        <w:tc>
          <w:tcPr>
            <w:tcW w:w="3210" w:type="dxa"/>
            <w:vAlign w:val="center"/>
          </w:tcPr>
          <w:p>
            <w:pPr>
              <w:rPr>
                <w:rFonts w:ascii="宋体" w:hAnsi="宋体"/>
                <w:szCs w:val="21"/>
                <w:highlight w:val="none"/>
              </w:rPr>
            </w:pPr>
            <w:r>
              <w:rPr>
                <w:rFonts w:hint="eastAsia" w:ascii="宋体" w:hAnsi="宋体"/>
                <w:szCs w:val="21"/>
                <w:highlight w:val="none"/>
              </w:rPr>
              <w:t>投票表格</w:t>
            </w:r>
          </w:p>
        </w:tc>
        <w:tc>
          <w:tcPr>
            <w:tcW w:w="4098" w:type="dxa"/>
            <w:vAlign w:val="center"/>
          </w:tcPr>
          <w:p>
            <w:pPr>
              <w:rPr>
                <w:rFonts w:ascii="宋体" w:hAnsi="宋体"/>
                <w:highlight w:val="none"/>
              </w:rPr>
            </w:pPr>
            <w:r>
              <w:rPr>
                <w:rFonts w:hint="eastAsia" w:ascii="宋体" w:hAnsi="宋体"/>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szCs w:val="21"/>
                <w:highlight w:val="none"/>
              </w:rPr>
            </w:pPr>
            <w:r>
              <w:rPr>
                <w:rFonts w:hint="eastAsia" w:ascii="宋体" w:hAnsi="宋体"/>
                <w:szCs w:val="21"/>
                <w:highlight w:val="none"/>
              </w:rPr>
              <w:t>附录11</w:t>
            </w:r>
          </w:p>
        </w:tc>
        <w:tc>
          <w:tcPr>
            <w:tcW w:w="3210" w:type="dxa"/>
            <w:vAlign w:val="center"/>
          </w:tcPr>
          <w:p>
            <w:pPr>
              <w:rPr>
                <w:rFonts w:ascii="宋体" w:hAnsi="宋体"/>
                <w:szCs w:val="21"/>
                <w:highlight w:val="none"/>
              </w:rPr>
            </w:pPr>
            <w:r>
              <w:rPr>
                <w:rFonts w:hint="eastAsia" w:ascii="宋体" w:hAnsi="宋体"/>
                <w:szCs w:val="21"/>
                <w:highlight w:val="none"/>
              </w:rPr>
              <w:t>投票汇总表格</w:t>
            </w:r>
          </w:p>
        </w:tc>
        <w:tc>
          <w:tcPr>
            <w:tcW w:w="4098" w:type="dxa"/>
            <w:vAlign w:val="center"/>
          </w:tcPr>
          <w:p>
            <w:pPr>
              <w:rPr>
                <w:rFonts w:ascii="宋体" w:hAnsi="宋体"/>
                <w:highlight w:val="none"/>
              </w:rPr>
            </w:pPr>
            <w:r>
              <w:rPr>
                <w:rFonts w:hint="eastAsia" w:ascii="宋体" w:hAnsi="宋体"/>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highlight w:val="none"/>
              </w:rPr>
            </w:pPr>
            <w:r>
              <w:rPr>
                <w:rFonts w:hint="eastAsia" w:ascii="宋体" w:hAnsi="宋体"/>
                <w:szCs w:val="21"/>
                <w:highlight w:val="none"/>
              </w:rPr>
              <w:t>附录12</w:t>
            </w:r>
          </w:p>
        </w:tc>
        <w:tc>
          <w:tcPr>
            <w:tcW w:w="3210" w:type="dxa"/>
            <w:vAlign w:val="center"/>
          </w:tcPr>
          <w:p>
            <w:pPr>
              <w:rPr>
                <w:rFonts w:ascii="宋体" w:hAnsi="宋体"/>
                <w:highlight w:val="none"/>
              </w:rPr>
            </w:pPr>
            <w:r>
              <w:rPr>
                <w:rFonts w:hint="eastAsia" w:ascii="宋体" w:hAnsi="宋体"/>
                <w:szCs w:val="21"/>
                <w:highlight w:val="none"/>
              </w:rPr>
              <w:t>建筑工程方案设计评审记录表</w:t>
            </w:r>
          </w:p>
        </w:tc>
        <w:tc>
          <w:tcPr>
            <w:tcW w:w="4098" w:type="dxa"/>
            <w:vAlign w:val="center"/>
          </w:tcPr>
          <w:p>
            <w:pPr>
              <w:rPr>
                <w:rFonts w:ascii="宋体" w:hAnsi="宋体"/>
                <w:highlight w:val="none"/>
              </w:rPr>
            </w:pPr>
            <w:r>
              <w:rPr>
                <w:rFonts w:hint="eastAsia" w:ascii="宋体" w:hAnsi="宋体"/>
                <w:highlight w:val="none"/>
              </w:rPr>
              <w:t>修改详见招标文件现文</w:t>
            </w:r>
            <w:r>
              <w:rPr>
                <w:rFonts w:hint="eastAsia" w:ascii="宋体" w:hAnsi="宋体"/>
                <w:szCs w:val="21"/>
                <w:highlight w:val="none"/>
              </w:rPr>
              <w:t>附录12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szCs w:val="21"/>
                <w:highlight w:val="none"/>
              </w:rPr>
            </w:pPr>
            <w:r>
              <w:rPr>
                <w:rFonts w:hint="eastAsia" w:ascii="宋体" w:hAnsi="宋体"/>
                <w:szCs w:val="21"/>
                <w:highlight w:val="none"/>
              </w:rPr>
              <w:t>附录1</w:t>
            </w:r>
            <w:r>
              <w:rPr>
                <w:rFonts w:ascii="宋体" w:hAnsi="宋体"/>
                <w:szCs w:val="21"/>
                <w:highlight w:val="none"/>
              </w:rPr>
              <w:t>3</w:t>
            </w:r>
          </w:p>
        </w:tc>
        <w:tc>
          <w:tcPr>
            <w:tcW w:w="3210" w:type="dxa"/>
            <w:vAlign w:val="center"/>
          </w:tcPr>
          <w:p>
            <w:pPr>
              <w:rPr>
                <w:rFonts w:ascii="宋体" w:hAnsi="宋体"/>
                <w:szCs w:val="21"/>
                <w:highlight w:val="none"/>
              </w:rPr>
            </w:pPr>
            <w:r>
              <w:rPr>
                <w:rFonts w:hint="eastAsia" w:ascii="宋体" w:hAnsi="宋体"/>
                <w:szCs w:val="21"/>
                <w:highlight w:val="none"/>
              </w:rPr>
              <w:t>投标方案评语</w:t>
            </w:r>
          </w:p>
        </w:tc>
        <w:tc>
          <w:tcPr>
            <w:tcW w:w="4098" w:type="dxa"/>
            <w:vAlign w:val="center"/>
          </w:tcPr>
          <w:p>
            <w:pPr>
              <w:rPr>
                <w:rFonts w:ascii="宋体" w:hAnsi="宋体"/>
                <w:highlight w:val="none"/>
              </w:rPr>
            </w:pPr>
            <w:r>
              <w:rPr>
                <w:rFonts w:hint="eastAsia" w:ascii="宋体" w:hAnsi="宋体"/>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highlight w:val="none"/>
              </w:rPr>
            </w:pPr>
            <w:r>
              <w:rPr>
                <w:rFonts w:hint="eastAsia" w:ascii="宋体" w:hAnsi="宋体"/>
                <w:szCs w:val="21"/>
                <w:highlight w:val="none"/>
              </w:rPr>
              <w:t>附录14</w:t>
            </w:r>
          </w:p>
        </w:tc>
        <w:tc>
          <w:tcPr>
            <w:tcW w:w="3210" w:type="dxa"/>
            <w:vAlign w:val="center"/>
          </w:tcPr>
          <w:p>
            <w:pPr>
              <w:rPr>
                <w:rFonts w:ascii="宋体" w:hAnsi="宋体"/>
                <w:highlight w:val="none"/>
              </w:rPr>
            </w:pPr>
            <w:r>
              <w:rPr>
                <w:rFonts w:hint="eastAsia" w:ascii="宋体" w:hAnsi="宋体"/>
                <w:szCs w:val="21"/>
                <w:highlight w:val="none"/>
              </w:rPr>
              <w:t>基础资料和设计任务书</w:t>
            </w:r>
          </w:p>
        </w:tc>
        <w:tc>
          <w:tcPr>
            <w:tcW w:w="4098" w:type="dxa"/>
            <w:vAlign w:val="center"/>
          </w:tcPr>
          <w:p>
            <w:pPr>
              <w:rPr>
                <w:rFonts w:ascii="宋体" w:hAnsi="宋体"/>
                <w:highlight w:val="none"/>
              </w:rPr>
            </w:pPr>
            <w:r>
              <w:rPr>
                <w:rFonts w:hint="eastAsia" w:ascii="宋体" w:hAnsi="宋体"/>
                <w:highlight w:val="none"/>
              </w:rPr>
              <w:t>修改详见招标文件现文</w:t>
            </w:r>
            <w:r>
              <w:rPr>
                <w:rFonts w:hint="eastAsia" w:ascii="宋体" w:hAnsi="宋体"/>
                <w:szCs w:val="21"/>
                <w:highlight w:val="none"/>
              </w:rPr>
              <w:t>附录14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szCs w:val="21"/>
                <w:highlight w:val="none"/>
              </w:rPr>
            </w:pPr>
            <w:r>
              <w:rPr>
                <w:rFonts w:hint="eastAsia" w:ascii="宋体" w:hAnsi="宋体"/>
                <w:szCs w:val="21"/>
                <w:highlight w:val="none"/>
              </w:rPr>
              <w:t>附录15</w:t>
            </w:r>
          </w:p>
        </w:tc>
        <w:tc>
          <w:tcPr>
            <w:tcW w:w="3210" w:type="dxa"/>
            <w:vAlign w:val="center"/>
          </w:tcPr>
          <w:p>
            <w:pPr>
              <w:rPr>
                <w:rFonts w:ascii="宋体" w:hAnsi="宋体"/>
                <w:szCs w:val="21"/>
                <w:highlight w:val="none"/>
              </w:rPr>
            </w:pPr>
            <w:r>
              <w:rPr>
                <w:rFonts w:hint="eastAsia" w:ascii="宋体" w:hAnsi="宋体"/>
                <w:szCs w:val="21"/>
                <w:highlight w:val="none"/>
              </w:rPr>
              <w:t>定标委员会的组成</w:t>
            </w:r>
          </w:p>
        </w:tc>
        <w:tc>
          <w:tcPr>
            <w:tcW w:w="4098" w:type="dxa"/>
            <w:vAlign w:val="center"/>
          </w:tcPr>
          <w:p>
            <w:pPr>
              <w:rPr>
                <w:rFonts w:ascii="宋体" w:hAnsi="宋体"/>
                <w:highlight w:val="none"/>
              </w:rPr>
            </w:pPr>
            <w:r>
              <w:rPr>
                <w:rFonts w:hint="eastAsia" w:ascii="宋体" w:hAnsi="宋体"/>
                <w:highlight w:val="none"/>
              </w:rPr>
              <w:t>修改详见招标文件现文</w:t>
            </w:r>
            <w:r>
              <w:rPr>
                <w:rFonts w:hint="eastAsia" w:ascii="宋体" w:hAnsi="宋体"/>
                <w:szCs w:val="21"/>
                <w:highlight w:val="none"/>
              </w:rPr>
              <w:t>附录15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szCs w:val="21"/>
                <w:highlight w:val="none"/>
              </w:rPr>
            </w:pPr>
            <w:r>
              <w:rPr>
                <w:rFonts w:hint="eastAsia" w:ascii="宋体" w:hAnsi="宋体"/>
                <w:szCs w:val="21"/>
                <w:highlight w:val="none"/>
              </w:rPr>
              <w:t>附录16</w:t>
            </w:r>
          </w:p>
        </w:tc>
        <w:tc>
          <w:tcPr>
            <w:tcW w:w="3210" w:type="dxa"/>
            <w:vAlign w:val="center"/>
          </w:tcPr>
          <w:p>
            <w:pPr>
              <w:rPr>
                <w:rFonts w:ascii="宋体" w:hAnsi="宋体"/>
                <w:szCs w:val="21"/>
                <w:highlight w:val="none"/>
              </w:rPr>
            </w:pPr>
            <w:r>
              <w:rPr>
                <w:rFonts w:hint="eastAsia" w:ascii="宋体" w:hAnsi="宋体"/>
                <w:szCs w:val="21"/>
                <w:highlight w:val="none"/>
              </w:rPr>
              <w:t>定标原则</w:t>
            </w:r>
          </w:p>
        </w:tc>
        <w:tc>
          <w:tcPr>
            <w:tcW w:w="4098" w:type="dxa"/>
            <w:vAlign w:val="center"/>
          </w:tcPr>
          <w:p>
            <w:pPr>
              <w:rPr>
                <w:rFonts w:ascii="宋体" w:hAnsi="宋体"/>
                <w:highlight w:val="none"/>
              </w:rPr>
            </w:pPr>
            <w:r>
              <w:rPr>
                <w:rFonts w:hint="eastAsia" w:ascii="宋体" w:hAnsi="宋体"/>
                <w:highlight w:val="none"/>
              </w:rPr>
              <w:t>修改详见招标文件现文</w:t>
            </w:r>
            <w:r>
              <w:rPr>
                <w:rFonts w:hint="eastAsia" w:ascii="宋体" w:hAnsi="宋体"/>
                <w:szCs w:val="21"/>
                <w:highlight w:val="none"/>
              </w:rPr>
              <w:t>附录16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vAlign w:val="center"/>
          </w:tcPr>
          <w:p>
            <w:pPr>
              <w:numPr>
                <w:ilvl w:val="0"/>
                <w:numId w:val="3"/>
              </w:numPr>
              <w:jc w:val="center"/>
              <w:rPr>
                <w:rFonts w:ascii="宋体" w:hAnsi="宋体"/>
                <w:highlight w:val="none"/>
              </w:rPr>
            </w:pPr>
          </w:p>
        </w:tc>
        <w:tc>
          <w:tcPr>
            <w:tcW w:w="1260" w:type="dxa"/>
            <w:vAlign w:val="center"/>
          </w:tcPr>
          <w:p>
            <w:pPr>
              <w:rPr>
                <w:rFonts w:ascii="宋体" w:hAnsi="宋体"/>
                <w:szCs w:val="21"/>
                <w:highlight w:val="none"/>
              </w:rPr>
            </w:pPr>
            <w:r>
              <w:rPr>
                <w:rFonts w:hint="eastAsia" w:ascii="宋体" w:hAnsi="宋体"/>
                <w:highlight w:val="none"/>
              </w:rPr>
              <w:t>/</w:t>
            </w:r>
          </w:p>
        </w:tc>
        <w:tc>
          <w:tcPr>
            <w:tcW w:w="3210" w:type="dxa"/>
            <w:vAlign w:val="center"/>
          </w:tcPr>
          <w:p>
            <w:pPr>
              <w:rPr>
                <w:rFonts w:ascii="宋体" w:hAnsi="宋体"/>
                <w:szCs w:val="21"/>
                <w:highlight w:val="none"/>
              </w:rPr>
            </w:pPr>
            <w:r>
              <w:rPr>
                <w:rFonts w:hint="eastAsia" w:ascii="宋体" w:hAnsi="宋体"/>
                <w:szCs w:val="21"/>
                <w:highlight w:val="none"/>
              </w:rPr>
              <w:t>增加</w:t>
            </w:r>
          </w:p>
        </w:tc>
        <w:tc>
          <w:tcPr>
            <w:tcW w:w="4098" w:type="dxa"/>
            <w:vAlign w:val="center"/>
          </w:tcPr>
          <w:p>
            <w:pPr>
              <w:rPr>
                <w:rFonts w:hint="eastAsia" w:ascii="宋体" w:hAnsi="宋体"/>
                <w:highlight w:val="none"/>
                <w:u w:val="single"/>
                <w:lang w:val="en-US" w:eastAsia="zh-CN"/>
              </w:rPr>
            </w:pPr>
            <w:r>
              <w:rPr>
                <w:rFonts w:hint="eastAsia" w:ascii="宋体" w:hAnsi="宋体"/>
                <w:highlight w:val="none"/>
              </w:rPr>
              <w:t>增加招标文件现文</w:t>
            </w:r>
            <w:r>
              <w:rPr>
                <w:rFonts w:hint="eastAsia" w:ascii="宋体" w:hAnsi="宋体"/>
                <w:highlight w:val="none"/>
                <w:u w:val="single"/>
              </w:rPr>
              <w:t>附录</w:t>
            </w:r>
            <w:r>
              <w:rPr>
                <w:rFonts w:hint="eastAsia" w:ascii="宋体" w:hAnsi="宋体"/>
                <w:highlight w:val="none"/>
                <w:u w:val="single"/>
                <w:lang w:val="en-US" w:eastAsia="zh-CN"/>
              </w:rPr>
              <w:t>10《</w:t>
            </w:r>
            <w:r>
              <w:rPr>
                <w:rFonts w:hint="eastAsia" w:ascii="宋体" w:hAnsi="宋体"/>
                <w:highlight w:val="none"/>
                <w:u w:val="single"/>
              </w:rPr>
              <w:t>否决性审查表</w:t>
            </w:r>
            <w:r>
              <w:rPr>
                <w:rFonts w:hint="eastAsia" w:ascii="宋体" w:hAnsi="宋体"/>
                <w:highlight w:val="none"/>
                <w:u w:val="single"/>
                <w:lang w:val="en-US" w:eastAsia="zh-CN"/>
              </w:rPr>
              <w:t>》</w:t>
            </w:r>
            <w:r>
              <w:rPr>
                <w:rFonts w:hint="eastAsia" w:ascii="宋体" w:hAnsi="宋体"/>
                <w:highlight w:val="none"/>
                <w:u w:val="single"/>
              </w:rPr>
              <w:t xml:space="preserve"> </w:t>
            </w:r>
            <w:r>
              <w:rPr>
                <w:rFonts w:hint="eastAsia" w:ascii="宋体" w:hAnsi="宋体"/>
                <w:highlight w:val="none"/>
                <w:u w:val="single"/>
                <w:lang w:eastAsia="zh-CN"/>
              </w:rPr>
              <w:t>、</w:t>
            </w:r>
            <w:r>
              <w:rPr>
                <w:rFonts w:hint="eastAsia" w:ascii="宋体" w:hAnsi="宋体"/>
                <w:highlight w:val="none"/>
                <w:u w:val="single"/>
              </w:rPr>
              <w:t>附录1</w:t>
            </w:r>
            <w:r>
              <w:rPr>
                <w:rFonts w:hint="eastAsia" w:ascii="宋体" w:hAnsi="宋体"/>
                <w:highlight w:val="none"/>
                <w:u w:val="single"/>
                <w:lang w:val="en-US" w:eastAsia="zh-CN"/>
              </w:rPr>
              <w:t>7-1</w:t>
            </w:r>
            <w:r>
              <w:rPr>
                <w:rFonts w:hint="eastAsia" w:ascii="宋体" w:hAnsi="宋体"/>
                <w:highlight w:val="none"/>
                <w:u w:val="single"/>
              </w:rPr>
              <w:t>《</w:t>
            </w:r>
            <w:r>
              <w:rPr>
                <w:rFonts w:hint="eastAsia" w:ascii="宋体" w:hAnsi="宋体"/>
                <w:highlight w:val="none"/>
                <w:u w:val="single"/>
                <w:lang w:eastAsia="zh-CN"/>
              </w:rPr>
              <w:t>定标评语</w:t>
            </w:r>
            <w:r>
              <w:rPr>
                <w:rFonts w:hint="eastAsia" w:ascii="宋体" w:hAnsi="宋体"/>
                <w:highlight w:val="none"/>
                <w:u w:val="single"/>
              </w:rPr>
              <w:t>》、附录1</w:t>
            </w:r>
            <w:r>
              <w:rPr>
                <w:rFonts w:hint="eastAsia" w:ascii="宋体" w:hAnsi="宋体"/>
                <w:highlight w:val="none"/>
                <w:u w:val="single"/>
                <w:lang w:val="en-US" w:eastAsia="zh-CN"/>
              </w:rPr>
              <w:t>7-2</w:t>
            </w:r>
            <w:r>
              <w:rPr>
                <w:rFonts w:hint="eastAsia" w:ascii="宋体" w:hAnsi="宋体"/>
                <w:highlight w:val="none"/>
                <w:u w:val="single"/>
              </w:rPr>
              <w:t>《</w:t>
            </w:r>
            <w:r>
              <w:rPr>
                <w:rFonts w:hint="eastAsia" w:ascii="宋体" w:hAnsi="宋体"/>
                <w:highlight w:val="none"/>
                <w:u w:val="single"/>
                <w:lang w:eastAsia="zh-CN"/>
              </w:rPr>
              <w:t>投票表格</w:t>
            </w:r>
            <w:r>
              <w:rPr>
                <w:rFonts w:hint="eastAsia" w:ascii="宋体" w:hAnsi="宋体"/>
                <w:highlight w:val="none"/>
                <w:u w:val="single"/>
              </w:rPr>
              <w:t>》</w:t>
            </w:r>
            <w:r>
              <w:rPr>
                <w:rFonts w:hint="eastAsia" w:ascii="宋体" w:hAnsi="宋体"/>
                <w:highlight w:val="none"/>
                <w:u w:val="single"/>
                <w:lang w:eastAsia="zh-CN"/>
              </w:rPr>
              <w:t>《投票汇总表格》</w:t>
            </w:r>
            <w:r>
              <w:rPr>
                <w:rFonts w:hint="eastAsia" w:ascii="宋体" w:hAnsi="宋体"/>
                <w:highlight w:val="none"/>
                <w:u w:val="single"/>
              </w:rPr>
              <w:t>、附录1</w:t>
            </w:r>
            <w:r>
              <w:rPr>
                <w:rFonts w:hint="eastAsia" w:ascii="宋体" w:hAnsi="宋体"/>
                <w:highlight w:val="none"/>
                <w:u w:val="single"/>
                <w:lang w:val="en-US" w:eastAsia="zh-CN"/>
              </w:rPr>
              <w:t>8</w:t>
            </w:r>
            <w:r>
              <w:rPr>
                <w:rFonts w:hint="eastAsia" w:ascii="宋体" w:hAnsi="宋体"/>
                <w:highlight w:val="none"/>
                <w:u w:val="single"/>
              </w:rPr>
              <w:t>《法定代表人证明书》、附录1</w:t>
            </w:r>
            <w:r>
              <w:rPr>
                <w:rFonts w:hint="eastAsia" w:ascii="宋体" w:hAnsi="宋体"/>
                <w:highlight w:val="none"/>
                <w:u w:val="single"/>
                <w:lang w:val="en-US" w:eastAsia="zh-CN"/>
              </w:rPr>
              <w:t>9</w:t>
            </w:r>
            <w:r>
              <w:rPr>
                <w:rFonts w:hint="eastAsia" w:ascii="宋体" w:hAnsi="宋体"/>
                <w:highlight w:val="none"/>
                <w:u w:val="single"/>
              </w:rPr>
              <w:t>《授权委托书》</w:t>
            </w:r>
            <w:r>
              <w:rPr>
                <w:rFonts w:hint="eastAsia" w:ascii="宋体" w:hAnsi="宋体"/>
                <w:highlight w:val="none"/>
                <w:u w:val="single"/>
                <w:lang w:eastAsia="zh-CN"/>
              </w:rPr>
              <w:t>、</w:t>
            </w:r>
            <w:r>
              <w:rPr>
                <w:rFonts w:hint="eastAsia" w:ascii="宋体" w:hAnsi="宋体"/>
                <w:szCs w:val="21"/>
                <w:highlight w:val="none"/>
                <w:u w:val="single"/>
                <w:lang w:eastAsia="zh-CN"/>
              </w:rPr>
              <w:t>附录</w:t>
            </w:r>
            <w:r>
              <w:rPr>
                <w:rFonts w:hint="eastAsia" w:ascii="宋体" w:hAnsi="宋体"/>
                <w:szCs w:val="21"/>
                <w:highlight w:val="none"/>
                <w:u w:val="single"/>
                <w:lang w:val="en-US" w:eastAsia="zh-CN"/>
              </w:rPr>
              <w:t>20</w:t>
            </w:r>
            <w:r>
              <w:rPr>
                <w:rFonts w:hint="eastAsia" w:ascii="宋体" w:hAnsi="宋体"/>
                <w:szCs w:val="21"/>
                <w:highlight w:val="none"/>
                <w:u w:val="single"/>
              </w:rPr>
              <w:t>《中小企业声明函》</w:t>
            </w:r>
            <w:r>
              <w:rPr>
                <w:rFonts w:hint="eastAsia" w:ascii="宋体" w:hAnsi="宋体"/>
                <w:szCs w:val="21"/>
                <w:highlight w:val="none"/>
                <w:u w:val="single"/>
                <w:lang w:eastAsia="zh-CN"/>
              </w:rPr>
              <w:t>、附录</w:t>
            </w:r>
            <w:r>
              <w:rPr>
                <w:rFonts w:hint="eastAsia" w:ascii="宋体" w:hAnsi="宋体"/>
                <w:szCs w:val="21"/>
                <w:highlight w:val="none"/>
                <w:u w:val="single"/>
                <w:lang w:val="en-US" w:eastAsia="zh-CN"/>
              </w:rPr>
              <w:t>21</w:t>
            </w:r>
            <w:r>
              <w:rPr>
                <w:rFonts w:hint="eastAsia" w:ascii="宋体" w:hAnsi="宋体"/>
                <w:szCs w:val="21"/>
                <w:highlight w:val="none"/>
                <w:u w:val="single"/>
              </w:rPr>
              <w:t>《关于投标保证金的承诺》</w:t>
            </w:r>
            <w:r>
              <w:rPr>
                <w:rFonts w:hint="eastAsia" w:ascii="宋体" w:hAnsi="宋体"/>
                <w:szCs w:val="21"/>
                <w:highlight w:val="none"/>
                <w:u w:val="single"/>
                <w:lang w:eastAsia="zh-CN"/>
              </w:rPr>
              <w:t>、</w:t>
            </w:r>
            <w:r>
              <w:rPr>
                <w:rFonts w:hint="eastAsia" w:ascii="宋体" w:hAnsi="宋体"/>
                <w:highlight w:val="none"/>
                <w:u w:val="single"/>
                <w:lang w:eastAsia="zh-CN"/>
              </w:rPr>
              <w:t>附录</w:t>
            </w:r>
            <w:r>
              <w:rPr>
                <w:rFonts w:hint="eastAsia" w:ascii="宋体" w:hAnsi="宋体"/>
                <w:highlight w:val="none"/>
                <w:u w:val="single"/>
                <w:lang w:val="en-US" w:eastAsia="zh-CN"/>
              </w:rPr>
              <w:t>22 《</w:t>
            </w:r>
            <w:r>
              <w:rPr>
                <w:rFonts w:hint="eastAsia" w:ascii="宋体" w:hAnsi="宋体"/>
                <w:highlight w:val="none"/>
                <w:u w:val="single"/>
                <w:lang w:eastAsia="zh-CN"/>
              </w:rPr>
              <w:t>拟投入本项目人员情况表</w:t>
            </w:r>
            <w:r>
              <w:rPr>
                <w:rFonts w:hint="eastAsia" w:ascii="宋体" w:hAnsi="宋体"/>
                <w:highlight w:val="none"/>
                <w:u w:val="single"/>
                <w:lang w:val="en-US" w:eastAsia="zh-CN"/>
              </w:rPr>
              <w:t>》</w:t>
            </w:r>
            <w:r>
              <w:rPr>
                <w:rFonts w:hint="eastAsia" w:ascii="宋体" w:hAnsi="宋体"/>
                <w:highlight w:val="none"/>
                <w:u w:val="single"/>
              </w:rPr>
              <w:t xml:space="preserve"> </w:t>
            </w:r>
            <w:r>
              <w:rPr>
                <w:rFonts w:hint="eastAsia" w:ascii="宋体" w:hAnsi="宋体"/>
                <w:highlight w:val="none"/>
                <w:u w:val="single"/>
                <w:lang w:eastAsia="zh-CN"/>
              </w:rPr>
              <w:t>、附录</w:t>
            </w:r>
            <w:r>
              <w:rPr>
                <w:rFonts w:hint="eastAsia" w:ascii="宋体" w:hAnsi="宋体"/>
                <w:highlight w:val="none"/>
                <w:u w:val="single"/>
                <w:lang w:val="en-US" w:eastAsia="zh-CN"/>
              </w:rPr>
              <w:t>23</w:t>
            </w:r>
          </w:p>
          <w:p>
            <w:pPr>
              <w:rPr>
                <w:rFonts w:hint="eastAsia" w:ascii="宋体" w:hAnsi="宋体" w:eastAsia="宋体"/>
                <w:highlight w:val="none"/>
                <w:lang w:eastAsia="zh-CN"/>
              </w:rPr>
            </w:pPr>
            <w:r>
              <w:rPr>
                <w:rFonts w:hint="eastAsia" w:ascii="宋体" w:hAnsi="宋体"/>
                <w:highlight w:val="none"/>
                <w:u w:val="single"/>
                <w:lang w:eastAsia="zh-CN"/>
              </w:rPr>
              <w:t xml:space="preserve"> </w:t>
            </w:r>
            <w:r>
              <w:rPr>
                <w:rFonts w:hint="eastAsia" w:ascii="宋体" w:hAnsi="宋体"/>
                <w:highlight w:val="none"/>
                <w:u w:val="single"/>
                <w:lang w:val="en-US" w:eastAsia="zh-CN"/>
              </w:rPr>
              <w:t>《</w:t>
            </w:r>
            <w:r>
              <w:rPr>
                <w:rFonts w:hint="eastAsia" w:ascii="宋体" w:hAnsi="宋体"/>
                <w:highlight w:val="none"/>
                <w:u w:val="single"/>
                <w:lang w:eastAsia="zh-CN"/>
              </w:rPr>
              <w:t>近5年勘察项目业绩一览表</w:t>
            </w:r>
            <w:r>
              <w:rPr>
                <w:rFonts w:hint="eastAsia" w:ascii="宋体" w:hAnsi="宋体"/>
                <w:highlight w:val="none"/>
                <w:u w:val="single"/>
                <w:lang w:val="en-US" w:eastAsia="zh-CN"/>
              </w:rPr>
              <w:t>》、</w:t>
            </w:r>
          </w:p>
        </w:tc>
      </w:tr>
    </w:tbl>
    <w:p>
      <w:pPr>
        <w:jc w:val="center"/>
        <w:rPr>
          <w:rFonts w:ascii="宋体" w:hAnsi="宋体"/>
          <w:b/>
          <w:sz w:val="32"/>
          <w:szCs w:val="32"/>
          <w:lang w:val="zh-CN"/>
        </w:rPr>
      </w:pPr>
      <w:r>
        <w:rPr>
          <w:rFonts w:hint="eastAsia"/>
          <w:highlight w:val="yellow"/>
        </w:rPr>
        <w:br w:type="page"/>
      </w:r>
      <w:r>
        <w:rPr>
          <w:rFonts w:ascii="宋体" w:hAnsi="宋体"/>
          <w:b/>
          <w:sz w:val="32"/>
          <w:szCs w:val="32"/>
          <w:lang w:val="zh-CN"/>
        </w:rPr>
        <w:t>目</w:t>
      </w:r>
      <w:r>
        <w:rPr>
          <w:rFonts w:hint="eastAsia" w:ascii="宋体" w:hAnsi="宋体"/>
          <w:b/>
          <w:sz w:val="32"/>
          <w:szCs w:val="32"/>
          <w:lang w:val="zh-CN"/>
        </w:rPr>
        <w:t xml:space="preserve"> </w:t>
      </w:r>
      <w:r>
        <w:rPr>
          <w:rFonts w:ascii="宋体" w:hAnsi="宋体"/>
          <w:b/>
          <w:sz w:val="32"/>
          <w:szCs w:val="32"/>
          <w:lang w:val="zh-CN"/>
        </w:rPr>
        <w:t>录</w:t>
      </w:r>
    </w:p>
    <w:p>
      <w:pPr>
        <w:pStyle w:val="27"/>
        <w:tabs>
          <w:tab w:val="right" w:leader="dot" w:pos="9214"/>
        </w:tabs>
      </w:pPr>
      <w:r>
        <w:rPr>
          <w:rFonts w:ascii="宋体" w:hAnsi="宋体"/>
          <w:b w:val="0"/>
          <w:bCs w:val="0"/>
          <w:caps w:val="0"/>
        </w:rPr>
        <w:fldChar w:fldCharType="begin"/>
      </w:r>
      <w:r>
        <w:rPr>
          <w:rFonts w:ascii="宋体" w:hAnsi="宋体"/>
          <w:b w:val="0"/>
          <w:bCs w:val="0"/>
          <w:caps w:val="0"/>
        </w:rPr>
        <w:instrText xml:space="preserve"> TOC \o "1-1" \h \z \u </w:instrText>
      </w:r>
      <w:r>
        <w:rPr>
          <w:rFonts w:ascii="宋体" w:hAnsi="宋体"/>
          <w:b w:val="0"/>
          <w:bCs w:val="0"/>
          <w:caps w:val="0"/>
        </w:rPr>
        <w:fldChar w:fldCharType="separate"/>
      </w:r>
      <w:r>
        <w:rPr>
          <w:rFonts w:ascii="宋体" w:hAnsi="宋体"/>
          <w:bCs w:val="0"/>
          <w:caps w:val="0"/>
        </w:rPr>
        <w:fldChar w:fldCharType="begin"/>
      </w:r>
      <w:r>
        <w:rPr>
          <w:rFonts w:ascii="宋体" w:hAnsi="宋体"/>
          <w:bCs w:val="0"/>
          <w:caps w:val="0"/>
        </w:rPr>
        <w:instrText xml:space="preserve"> HYPERLINK \l _Toc29376 </w:instrText>
      </w:r>
      <w:r>
        <w:rPr>
          <w:rFonts w:ascii="宋体" w:hAnsi="宋体"/>
          <w:bCs w:val="0"/>
          <w:caps w:val="0"/>
        </w:rPr>
        <w:fldChar w:fldCharType="separate"/>
      </w:r>
      <w:r>
        <w:rPr>
          <w:rFonts w:hint="eastAsia" w:ascii="宋体" w:hAnsi="宋体"/>
          <w:szCs w:val="32"/>
        </w:rPr>
        <w:t>招标文件修改表</w:t>
      </w:r>
      <w:r>
        <w:tab/>
      </w:r>
      <w:r>
        <w:fldChar w:fldCharType="begin"/>
      </w:r>
      <w:r>
        <w:instrText xml:space="preserve"> PAGEREF _Toc29376 \h </w:instrText>
      </w:r>
      <w:r>
        <w:fldChar w:fldCharType="separate"/>
      </w:r>
      <w:r>
        <w:t>1</w:t>
      </w:r>
      <w:r>
        <w:fldChar w:fldCharType="end"/>
      </w:r>
      <w:r>
        <w:rPr>
          <w:rFonts w:ascii="宋体" w:hAnsi="宋体"/>
          <w:bCs w:val="0"/>
          <w:caps w:val="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_Toc31169 </w:instrText>
      </w:r>
      <w:r>
        <w:rPr>
          <w:rFonts w:ascii="宋体" w:hAnsi="宋体" w:eastAsiaTheme="minorHAnsi"/>
          <w:bCs/>
          <w:caps/>
          <w:szCs w:val="20"/>
        </w:rPr>
        <w:fldChar w:fldCharType="separate"/>
      </w:r>
      <w:r>
        <w:rPr>
          <w:rFonts w:hint="eastAsia" w:ascii="宋体" w:hAnsi="宋体"/>
          <w:szCs w:val="36"/>
        </w:rPr>
        <w:t>第一章  招标公告</w:t>
      </w:r>
      <w:r>
        <w:tab/>
      </w:r>
      <w:r>
        <w:fldChar w:fldCharType="begin"/>
      </w:r>
      <w:r>
        <w:instrText xml:space="preserve"> PAGEREF _Toc31169 \h </w:instrText>
      </w:r>
      <w:r>
        <w:fldChar w:fldCharType="separate"/>
      </w:r>
      <w:r>
        <w:t>13</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_Toc5843 </w:instrText>
      </w:r>
      <w:r>
        <w:rPr>
          <w:rFonts w:ascii="宋体" w:hAnsi="宋体" w:eastAsiaTheme="minorHAnsi"/>
          <w:bCs/>
          <w:caps/>
          <w:szCs w:val="20"/>
        </w:rPr>
        <w:fldChar w:fldCharType="separate"/>
      </w:r>
      <w:r>
        <w:rPr>
          <w:rFonts w:hint="eastAsia" w:ascii="宋体" w:hAnsi="宋体"/>
          <w:szCs w:val="36"/>
        </w:rPr>
        <w:t>第二章  招标</w:t>
      </w:r>
      <w:r>
        <w:rPr>
          <w:rFonts w:hint="eastAsia" w:ascii="宋体" w:hAnsi="宋体" w:cs="宋体"/>
          <w:szCs w:val="36"/>
        </w:rPr>
        <w:t>（范本原文）</w:t>
      </w:r>
      <w:r>
        <w:tab/>
      </w:r>
      <w:r>
        <w:fldChar w:fldCharType="begin"/>
      </w:r>
      <w:r>
        <w:instrText xml:space="preserve"> PAGEREF _Toc5843 \h </w:instrText>
      </w:r>
      <w:r>
        <w:fldChar w:fldCharType="separate"/>
      </w:r>
      <w:r>
        <w:t>14</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_Toc26442 </w:instrText>
      </w:r>
      <w:r>
        <w:rPr>
          <w:rFonts w:ascii="宋体" w:hAnsi="宋体" w:eastAsiaTheme="minorHAnsi"/>
          <w:bCs/>
          <w:caps/>
          <w:szCs w:val="20"/>
        </w:rPr>
        <w:fldChar w:fldCharType="separate"/>
      </w:r>
      <w:r>
        <w:rPr>
          <w:rFonts w:hint="eastAsia" w:ascii="宋体" w:hAnsi="宋体"/>
          <w:szCs w:val="36"/>
        </w:rPr>
        <w:t>第三章  投标</w:t>
      </w:r>
      <w:r>
        <w:rPr>
          <w:rFonts w:hint="eastAsia" w:ascii="宋体" w:hAnsi="宋体" w:cs="宋体"/>
          <w:szCs w:val="36"/>
        </w:rPr>
        <w:t>（范本原文）</w:t>
      </w:r>
      <w:r>
        <w:tab/>
      </w:r>
      <w:r>
        <w:fldChar w:fldCharType="begin"/>
      </w:r>
      <w:r>
        <w:instrText xml:space="preserve"> PAGEREF _Toc26442 \h </w:instrText>
      </w:r>
      <w:r>
        <w:fldChar w:fldCharType="separate"/>
      </w:r>
      <w:r>
        <w:t>16</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_Toc1297 </w:instrText>
      </w:r>
      <w:r>
        <w:rPr>
          <w:rFonts w:ascii="宋体" w:hAnsi="宋体" w:eastAsiaTheme="minorHAnsi"/>
          <w:bCs/>
          <w:caps/>
          <w:szCs w:val="20"/>
        </w:rPr>
        <w:fldChar w:fldCharType="separate"/>
      </w:r>
      <w:r>
        <w:rPr>
          <w:rFonts w:hint="eastAsia" w:ascii="宋体" w:hAnsi="宋体"/>
          <w:szCs w:val="36"/>
        </w:rPr>
        <w:t>第四章  评标</w:t>
      </w:r>
      <w:r>
        <w:rPr>
          <w:rFonts w:hint="eastAsia" w:ascii="宋体" w:hAnsi="宋体" w:cs="宋体"/>
          <w:szCs w:val="36"/>
        </w:rPr>
        <w:t>（范本原文）</w:t>
      </w:r>
      <w:r>
        <w:tab/>
      </w:r>
      <w:r>
        <w:fldChar w:fldCharType="begin"/>
      </w:r>
      <w:r>
        <w:instrText xml:space="preserve"> PAGEREF _Toc1297 \h </w:instrText>
      </w:r>
      <w:r>
        <w:fldChar w:fldCharType="separate"/>
      </w:r>
      <w:r>
        <w:t>22</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_Toc11175 </w:instrText>
      </w:r>
      <w:r>
        <w:rPr>
          <w:rFonts w:ascii="宋体" w:hAnsi="宋体" w:eastAsiaTheme="minorHAnsi"/>
          <w:bCs/>
          <w:caps/>
          <w:szCs w:val="20"/>
        </w:rPr>
        <w:fldChar w:fldCharType="separate"/>
      </w:r>
      <w:r>
        <w:rPr>
          <w:rFonts w:hint="eastAsia" w:ascii="宋体" w:hAnsi="宋体"/>
          <w:szCs w:val="36"/>
        </w:rPr>
        <w:t>第五章  定标</w:t>
      </w:r>
      <w:r>
        <w:rPr>
          <w:rFonts w:hint="eastAsia" w:ascii="宋体" w:hAnsi="宋体" w:cs="宋体"/>
          <w:szCs w:val="36"/>
        </w:rPr>
        <w:t>（范本原文）</w:t>
      </w:r>
      <w:r>
        <w:tab/>
      </w:r>
      <w:bookmarkStart w:id="89" w:name="_GoBack"/>
      <w:bookmarkEnd w:id="89"/>
      <w:r>
        <w:fldChar w:fldCharType="begin"/>
      </w:r>
      <w:r>
        <w:instrText xml:space="preserve"> PAGEREF _Toc11175 \h </w:instrText>
      </w:r>
      <w:r>
        <w:fldChar w:fldCharType="separate"/>
      </w:r>
      <w:r>
        <w:t>28</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_Toc28630 </w:instrText>
      </w:r>
      <w:r>
        <w:rPr>
          <w:rFonts w:ascii="宋体" w:hAnsi="宋体" w:eastAsiaTheme="minorHAnsi"/>
          <w:bCs/>
          <w:caps/>
          <w:szCs w:val="20"/>
        </w:rPr>
        <w:fldChar w:fldCharType="separate"/>
      </w:r>
      <w:r>
        <w:rPr>
          <w:rFonts w:hint="eastAsia" w:ascii="宋体" w:hAnsi="宋体"/>
          <w:szCs w:val="36"/>
        </w:rPr>
        <w:t>第六章  授予合同</w:t>
      </w:r>
      <w:r>
        <w:rPr>
          <w:rFonts w:hint="eastAsia" w:ascii="宋体" w:hAnsi="宋体" w:cs="宋体"/>
          <w:szCs w:val="36"/>
        </w:rPr>
        <w:t>（范本原文）</w:t>
      </w:r>
      <w:r>
        <w:tab/>
      </w:r>
      <w:r>
        <w:fldChar w:fldCharType="begin"/>
      </w:r>
      <w:r>
        <w:instrText xml:space="preserve"> PAGEREF _Toc28630 \h </w:instrText>
      </w:r>
      <w:r>
        <w:fldChar w:fldCharType="separate"/>
      </w:r>
      <w:r>
        <w:t>31</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_Toc5219 </w:instrText>
      </w:r>
      <w:r>
        <w:rPr>
          <w:rFonts w:ascii="宋体" w:hAnsi="宋体" w:eastAsiaTheme="minorHAnsi"/>
          <w:bCs/>
          <w:caps/>
          <w:szCs w:val="20"/>
        </w:rPr>
        <w:fldChar w:fldCharType="separate"/>
      </w:r>
      <w:r>
        <w:rPr>
          <w:rFonts w:hint="eastAsia" w:ascii="宋体" w:hAnsi="宋体"/>
          <w:szCs w:val="36"/>
        </w:rPr>
        <w:t>第七章  知识产权</w:t>
      </w:r>
      <w:r>
        <w:rPr>
          <w:rFonts w:hint="eastAsia" w:ascii="宋体" w:hAnsi="宋体" w:cs="宋体"/>
          <w:szCs w:val="36"/>
        </w:rPr>
        <w:t>（范本原文）</w:t>
      </w:r>
      <w:r>
        <w:tab/>
      </w:r>
      <w:r>
        <w:fldChar w:fldCharType="begin"/>
      </w:r>
      <w:r>
        <w:instrText xml:space="preserve"> PAGEREF _Toc5219 \h </w:instrText>
      </w:r>
      <w:r>
        <w:fldChar w:fldCharType="separate"/>
      </w:r>
      <w:r>
        <w:t>32</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_Toc18586 </w:instrText>
      </w:r>
      <w:r>
        <w:rPr>
          <w:rFonts w:ascii="宋体" w:hAnsi="宋体" w:eastAsiaTheme="minorHAnsi"/>
          <w:bCs/>
          <w:caps/>
          <w:szCs w:val="20"/>
        </w:rPr>
        <w:fldChar w:fldCharType="separate"/>
      </w:r>
      <w:r>
        <w:rPr>
          <w:rFonts w:hint="eastAsia" w:ascii="宋体" w:hAnsi="宋体"/>
          <w:szCs w:val="36"/>
        </w:rPr>
        <w:t>第八章  合同条款</w:t>
      </w:r>
      <w:r>
        <w:tab/>
      </w:r>
      <w:r>
        <w:fldChar w:fldCharType="begin"/>
      </w:r>
      <w:r>
        <w:instrText xml:space="preserve"> PAGEREF _Toc18586 \h </w:instrText>
      </w:r>
      <w:r>
        <w:fldChar w:fldCharType="separate"/>
      </w:r>
      <w:r>
        <w:t>34</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_Toc9933 </w:instrText>
      </w:r>
      <w:r>
        <w:rPr>
          <w:rFonts w:ascii="宋体" w:hAnsi="宋体" w:eastAsiaTheme="minorHAnsi"/>
          <w:bCs/>
          <w:caps/>
          <w:szCs w:val="20"/>
        </w:rPr>
        <w:fldChar w:fldCharType="separate"/>
      </w:r>
      <w:r>
        <w:rPr>
          <w:rFonts w:hint="eastAsia" w:ascii="宋体" w:hAnsi="宋体"/>
          <w:szCs w:val="21"/>
        </w:rPr>
        <w:t>附录1 招标文件/合同版本响应承诺书</w:t>
      </w:r>
      <w:r>
        <w:tab/>
      </w:r>
      <w:r>
        <w:fldChar w:fldCharType="begin"/>
      </w:r>
      <w:r>
        <w:instrText xml:space="preserve"> PAGEREF _Toc9933 \h </w:instrText>
      </w:r>
      <w:r>
        <w:fldChar w:fldCharType="separate"/>
      </w:r>
      <w:r>
        <w:t>35</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_Toc22819 </w:instrText>
      </w:r>
      <w:r>
        <w:rPr>
          <w:rFonts w:ascii="宋体" w:hAnsi="宋体" w:eastAsiaTheme="minorHAnsi"/>
          <w:bCs/>
          <w:caps/>
          <w:szCs w:val="20"/>
        </w:rPr>
        <w:fldChar w:fldCharType="separate"/>
      </w:r>
      <w:r>
        <w:rPr>
          <w:rFonts w:hint="eastAsia" w:ascii="宋体" w:hAnsi="宋体"/>
          <w:strike/>
          <w:dstrike w:val="0"/>
          <w:szCs w:val="21"/>
        </w:rPr>
        <w:t>附件2设计投标文件编制要求</w:t>
      </w:r>
      <w:r>
        <w:tab/>
      </w:r>
      <w:r>
        <w:fldChar w:fldCharType="begin"/>
      </w:r>
      <w:r>
        <w:instrText xml:space="preserve"> PAGEREF _Toc22819 \h </w:instrText>
      </w:r>
      <w:r>
        <w:fldChar w:fldCharType="separate"/>
      </w:r>
      <w:r>
        <w:t>36</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_Toc1180 </w:instrText>
      </w:r>
      <w:r>
        <w:rPr>
          <w:rFonts w:ascii="宋体" w:hAnsi="宋体" w:eastAsiaTheme="minorHAnsi"/>
          <w:bCs/>
          <w:caps/>
          <w:szCs w:val="20"/>
        </w:rPr>
        <w:fldChar w:fldCharType="separate"/>
      </w:r>
      <w:r>
        <w:rPr>
          <w:rFonts w:hint="eastAsia" w:ascii="宋体" w:hAnsi="宋体"/>
          <w:szCs w:val="21"/>
        </w:rPr>
        <w:t>附件3勘察费报价表</w:t>
      </w:r>
      <w:r>
        <w:tab/>
      </w:r>
      <w:r>
        <w:fldChar w:fldCharType="begin"/>
      </w:r>
      <w:r>
        <w:instrText xml:space="preserve"> PAGEREF _Toc1180 \h </w:instrText>
      </w:r>
      <w:r>
        <w:fldChar w:fldCharType="separate"/>
      </w:r>
      <w:r>
        <w:t>40</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_Toc28228 </w:instrText>
      </w:r>
      <w:r>
        <w:rPr>
          <w:rFonts w:ascii="宋体" w:hAnsi="宋体" w:eastAsiaTheme="minorHAnsi"/>
          <w:bCs/>
          <w:caps/>
          <w:szCs w:val="20"/>
        </w:rPr>
        <w:fldChar w:fldCharType="separate"/>
      </w:r>
      <w:r>
        <w:rPr>
          <w:rFonts w:hint="eastAsia" w:ascii="宋体" w:hAnsi="宋体"/>
          <w:strike/>
          <w:dstrike w:val="0"/>
          <w:szCs w:val="21"/>
        </w:rPr>
        <w:t>附录4建筑工程设计方案测试记录表</w:t>
      </w:r>
      <w:r>
        <w:tab/>
      </w:r>
      <w:r>
        <w:fldChar w:fldCharType="begin"/>
      </w:r>
      <w:r>
        <w:instrText xml:space="preserve"> PAGEREF _Toc28228 \h </w:instrText>
      </w:r>
      <w:r>
        <w:fldChar w:fldCharType="separate"/>
      </w:r>
      <w:r>
        <w:t>41</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_Toc8903 </w:instrText>
      </w:r>
      <w:r>
        <w:rPr>
          <w:rFonts w:ascii="宋体" w:hAnsi="宋体" w:eastAsiaTheme="minorHAnsi"/>
          <w:bCs/>
          <w:caps/>
          <w:szCs w:val="20"/>
        </w:rPr>
        <w:fldChar w:fldCharType="separate"/>
      </w:r>
      <w:r>
        <w:rPr>
          <w:rFonts w:hint="eastAsia" w:ascii="宋体" w:hAnsi="宋体"/>
          <w:szCs w:val="21"/>
        </w:rPr>
        <w:t>附件5勘察投标文件编制要求</w:t>
      </w:r>
      <w:r>
        <w:tab/>
      </w:r>
      <w:r>
        <w:fldChar w:fldCharType="begin"/>
      </w:r>
      <w:r>
        <w:instrText xml:space="preserve"> PAGEREF _Toc8903 \h </w:instrText>
      </w:r>
      <w:r>
        <w:fldChar w:fldCharType="separate"/>
      </w:r>
      <w:r>
        <w:t>42</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_Toc20411 </w:instrText>
      </w:r>
      <w:r>
        <w:rPr>
          <w:rFonts w:ascii="宋体" w:hAnsi="宋体" w:eastAsiaTheme="minorHAnsi"/>
          <w:bCs/>
          <w:caps/>
          <w:szCs w:val="20"/>
        </w:rPr>
        <w:fldChar w:fldCharType="separate"/>
      </w:r>
      <w:r>
        <w:rPr>
          <w:rFonts w:hint="eastAsia" w:ascii="宋体" w:hAnsi="宋体"/>
          <w:szCs w:val="21"/>
        </w:rPr>
        <w:t>附录6 投标书</w:t>
      </w:r>
      <w:r>
        <w:tab/>
      </w:r>
      <w:r>
        <w:fldChar w:fldCharType="begin"/>
      </w:r>
      <w:r>
        <w:instrText xml:space="preserve"> PAGEREF _Toc20411 \h </w:instrText>
      </w:r>
      <w:r>
        <w:fldChar w:fldCharType="separate"/>
      </w:r>
      <w:r>
        <w:t>45</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_Toc19602 </w:instrText>
      </w:r>
      <w:r>
        <w:rPr>
          <w:rFonts w:ascii="宋体" w:hAnsi="宋体" w:eastAsiaTheme="minorHAnsi"/>
          <w:bCs/>
          <w:caps/>
          <w:szCs w:val="20"/>
        </w:rPr>
        <w:fldChar w:fldCharType="separate"/>
      </w:r>
      <w:r>
        <w:rPr>
          <w:rFonts w:hint="eastAsia" w:ascii="宋体" w:hAnsi="宋体"/>
          <w:strike/>
          <w:dstrike w:val="0"/>
          <w:szCs w:val="21"/>
        </w:rPr>
        <w:t>附录7 联合体共同投标协议</w:t>
      </w:r>
      <w:r>
        <w:tab/>
      </w:r>
      <w:r>
        <w:fldChar w:fldCharType="begin"/>
      </w:r>
      <w:r>
        <w:instrText xml:space="preserve"> PAGEREF _Toc19602 \h </w:instrText>
      </w:r>
      <w:r>
        <w:fldChar w:fldCharType="separate"/>
      </w:r>
      <w:r>
        <w:t>47</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_Toc24934 </w:instrText>
      </w:r>
      <w:r>
        <w:rPr>
          <w:rFonts w:ascii="宋体" w:hAnsi="宋体" w:eastAsiaTheme="minorHAnsi"/>
          <w:bCs/>
          <w:caps/>
          <w:szCs w:val="20"/>
        </w:rPr>
        <w:fldChar w:fldCharType="separate"/>
      </w:r>
      <w:r>
        <w:rPr>
          <w:rFonts w:hint="eastAsia" w:ascii="宋体" w:hAnsi="宋体"/>
          <w:szCs w:val="21"/>
        </w:rPr>
        <w:t>附录</w:t>
      </w:r>
      <w:r>
        <w:rPr>
          <w:rFonts w:hint="eastAsia" w:ascii="宋体" w:hAnsi="宋体"/>
          <w:szCs w:val="21"/>
          <w:lang w:val="en-US" w:eastAsia="zh-CN"/>
        </w:rPr>
        <w:t>8</w:t>
      </w:r>
      <w:r>
        <w:rPr>
          <w:rFonts w:hint="eastAsia" w:ascii="宋体" w:hAnsi="宋体"/>
          <w:szCs w:val="21"/>
        </w:rPr>
        <w:t xml:space="preserve"> 投标人声明</w:t>
      </w:r>
      <w:r>
        <w:tab/>
      </w:r>
      <w:r>
        <w:fldChar w:fldCharType="begin"/>
      </w:r>
      <w:r>
        <w:instrText xml:space="preserve"> PAGEREF _Toc24934 \h </w:instrText>
      </w:r>
      <w:r>
        <w:fldChar w:fldCharType="separate"/>
      </w:r>
      <w:r>
        <w:t>48</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_Toc32146 </w:instrText>
      </w:r>
      <w:r>
        <w:rPr>
          <w:rFonts w:ascii="宋体" w:hAnsi="宋体" w:eastAsiaTheme="minorHAnsi"/>
          <w:bCs/>
          <w:caps/>
          <w:szCs w:val="20"/>
        </w:rPr>
        <w:fldChar w:fldCharType="separate"/>
      </w:r>
      <w:r>
        <w:rPr>
          <w:rFonts w:hint="eastAsia" w:ascii="宋体" w:hAnsi="宋体"/>
          <w:szCs w:val="21"/>
        </w:rPr>
        <w:t>附录</w:t>
      </w:r>
      <w:r>
        <w:rPr>
          <w:rFonts w:hint="eastAsia" w:ascii="宋体" w:hAnsi="宋体"/>
          <w:szCs w:val="21"/>
          <w:lang w:val="en-US" w:eastAsia="zh-CN"/>
        </w:rPr>
        <w:t>9</w:t>
      </w:r>
      <w:r>
        <w:rPr>
          <w:rFonts w:hint="eastAsia" w:ascii="宋体" w:hAnsi="宋体"/>
          <w:szCs w:val="21"/>
        </w:rPr>
        <w:t>资格审查表</w:t>
      </w:r>
      <w:r>
        <w:tab/>
      </w:r>
      <w:r>
        <w:fldChar w:fldCharType="begin"/>
      </w:r>
      <w:r>
        <w:instrText xml:space="preserve"> PAGEREF _Toc32146 \h </w:instrText>
      </w:r>
      <w:r>
        <w:fldChar w:fldCharType="separate"/>
      </w:r>
      <w:r>
        <w:t>49</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_Toc25346 </w:instrText>
      </w:r>
      <w:r>
        <w:rPr>
          <w:rFonts w:ascii="宋体" w:hAnsi="宋体" w:eastAsiaTheme="minorHAnsi"/>
          <w:bCs/>
          <w:caps/>
          <w:szCs w:val="20"/>
        </w:rPr>
        <w:fldChar w:fldCharType="separate"/>
      </w:r>
      <w:r>
        <w:rPr>
          <w:rFonts w:hint="eastAsia" w:ascii="宋体" w:hAnsi="宋体"/>
          <w:szCs w:val="21"/>
        </w:rPr>
        <w:t>附录</w:t>
      </w:r>
      <w:r>
        <w:rPr>
          <w:rFonts w:hint="eastAsia" w:ascii="宋体" w:hAnsi="宋体"/>
          <w:szCs w:val="21"/>
          <w:lang w:val="en-US" w:eastAsia="zh-CN"/>
        </w:rPr>
        <w:t>10</w:t>
      </w:r>
      <w:r>
        <w:rPr>
          <w:rFonts w:hint="eastAsia" w:ascii="宋体" w:hAnsi="宋体"/>
          <w:szCs w:val="21"/>
        </w:rPr>
        <w:t xml:space="preserve"> 否决性审查表</w:t>
      </w:r>
      <w:r>
        <w:tab/>
      </w:r>
      <w:r>
        <w:fldChar w:fldCharType="begin"/>
      </w:r>
      <w:r>
        <w:instrText xml:space="preserve"> PAGEREF _Toc25346 \h </w:instrText>
      </w:r>
      <w:r>
        <w:fldChar w:fldCharType="separate"/>
      </w:r>
      <w:r>
        <w:t>50</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_Toc26376 </w:instrText>
      </w:r>
      <w:r>
        <w:rPr>
          <w:rFonts w:ascii="宋体" w:hAnsi="宋体" w:eastAsiaTheme="minorHAnsi"/>
          <w:bCs/>
          <w:caps/>
          <w:szCs w:val="20"/>
        </w:rPr>
        <w:fldChar w:fldCharType="separate"/>
      </w:r>
      <w:r>
        <w:rPr>
          <w:rFonts w:hint="eastAsia" w:ascii="宋体" w:hAnsi="宋体"/>
          <w:strike/>
          <w:dstrike w:val="0"/>
          <w:szCs w:val="21"/>
        </w:rPr>
        <w:t>附件10 投票表格</w:t>
      </w:r>
      <w:r>
        <w:tab/>
      </w:r>
      <w:r>
        <w:fldChar w:fldCharType="begin"/>
      </w:r>
      <w:r>
        <w:instrText xml:space="preserve"> PAGEREF _Toc26376 \h </w:instrText>
      </w:r>
      <w:r>
        <w:fldChar w:fldCharType="separate"/>
      </w:r>
      <w:r>
        <w:t>51</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_Toc22368 </w:instrText>
      </w:r>
      <w:r>
        <w:rPr>
          <w:rFonts w:ascii="宋体" w:hAnsi="宋体" w:eastAsiaTheme="minorHAnsi"/>
          <w:bCs/>
          <w:caps/>
          <w:szCs w:val="20"/>
        </w:rPr>
        <w:fldChar w:fldCharType="separate"/>
      </w:r>
      <w:r>
        <w:rPr>
          <w:rFonts w:hint="eastAsia" w:ascii="宋体" w:hAnsi="宋体"/>
          <w:strike/>
          <w:dstrike w:val="0"/>
          <w:szCs w:val="21"/>
        </w:rPr>
        <w:t>附录11 投标汇总表格</w:t>
      </w:r>
      <w:r>
        <w:tab/>
      </w:r>
      <w:r>
        <w:fldChar w:fldCharType="begin"/>
      </w:r>
      <w:r>
        <w:instrText xml:space="preserve"> PAGEREF _Toc22368 \h </w:instrText>
      </w:r>
      <w:r>
        <w:fldChar w:fldCharType="separate"/>
      </w:r>
      <w:r>
        <w:t>53</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_Toc1229 </w:instrText>
      </w:r>
      <w:r>
        <w:rPr>
          <w:rFonts w:ascii="宋体" w:hAnsi="宋体" w:eastAsiaTheme="minorHAnsi"/>
          <w:bCs/>
          <w:caps/>
          <w:szCs w:val="20"/>
        </w:rPr>
        <w:fldChar w:fldCharType="separate"/>
      </w:r>
      <w:r>
        <w:rPr>
          <w:rFonts w:hint="eastAsia" w:ascii="宋体" w:hAnsi="宋体"/>
          <w:szCs w:val="21"/>
        </w:rPr>
        <w:t>附录</w:t>
      </w:r>
      <w:r>
        <w:rPr>
          <w:rFonts w:hint="eastAsia" w:ascii="宋体" w:hAnsi="宋体"/>
          <w:szCs w:val="21"/>
          <w:lang w:val="en-US" w:eastAsia="zh-CN"/>
        </w:rPr>
        <w:t>12</w:t>
      </w:r>
      <w:r>
        <w:rPr>
          <w:rFonts w:hint="eastAsia" w:ascii="宋体" w:hAnsi="宋体"/>
          <w:szCs w:val="21"/>
          <w:lang w:eastAsia="zh-CN"/>
        </w:rPr>
        <w:t>勘察方案</w:t>
      </w:r>
      <w:r>
        <w:rPr>
          <w:rFonts w:hint="eastAsia" w:ascii="宋体" w:hAnsi="宋体"/>
          <w:szCs w:val="21"/>
        </w:rPr>
        <w:t>评审记录表</w:t>
      </w:r>
      <w:r>
        <w:tab/>
      </w:r>
      <w:r>
        <w:fldChar w:fldCharType="begin"/>
      </w:r>
      <w:r>
        <w:instrText xml:space="preserve"> PAGEREF _Toc1229 \h </w:instrText>
      </w:r>
      <w:r>
        <w:fldChar w:fldCharType="separate"/>
      </w:r>
      <w:r>
        <w:t>54</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_Toc26136 </w:instrText>
      </w:r>
      <w:r>
        <w:rPr>
          <w:rFonts w:ascii="宋体" w:hAnsi="宋体" w:eastAsiaTheme="minorHAnsi"/>
          <w:bCs/>
          <w:caps/>
          <w:szCs w:val="20"/>
        </w:rPr>
        <w:fldChar w:fldCharType="separate"/>
      </w:r>
      <w:r>
        <w:rPr>
          <w:rFonts w:hint="eastAsia" w:ascii="宋体" w:hAnsi="宋体"/>
          <w:strike/>
          <w:dstrike w:val="0"/>
          <w:szCs w:val="21"/>
        </w:rPr>
        <w:t>附录</w:t>
      </w:r>
      <w:r>
        <w:rPr>
          <w:rFonts w:hint="eastAsia" w:ascii="宋体" w:hAnsi="宋体"/>
          <w:strike/>
          <w:dstrike w:val="0"/>
          <w:szCs w:val="21"/>
          <w:lang w:val="en-US" w:eastAsia="zh-CN"/>
        </w:rPr>
        <w:t>13</w:t>
      </w:r>
      <w:r>
        <w:rPr>
          <w:rFonts w:hint="eastAsia" w:ascii="宋体" w:hAnsi="宋体"/>
          <w:strike/>
          <w:dstrike w:val="0"/>
          <w:szCs w:val="21"/>
        </w:rPr>
        <w:t>投标方案评语</w:t>
      </w:r>
      <w:r>
        <w:tab/>
      </w:r>
      <w:r>
        <w:fldChar w:fldCharType="begin"/>
      </w:r>
      <w:r>
        <w:instrText xml:space="preserve"> PAGEREF _Toc26136 \h </w:instrText>
      </w:r>
      <w:r>
        <w:fldChar w:fldCharType="separate"/>
      </w:r>
      <w:r>
        <w:t>55</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_Toc5808 </w:instrText>
      </w:r>
      <w:r>
        <w:rPr>
          <w:rFonts w:ascii="宋体" w:hAnsi="宋体" w:eastAsiaTheme="minorHAnsi"/>
          <w:bCs/>
          <w:caps/>
          <w:szCs w:val="20"/>
        </w:rPr>
        <w:fldChar w:fldCharType="separate"/>
      </w:r>
      <w:r>
        <w:rPr>
          <w:rFonts w:hint="eastAsia" w:ascii="宋体" w:hAnsi="宋体"/>
          <w:szCs w:val="21"/>
        </w:rPr>
        <w:t>附录</w:t>
      </w:r>
      <w:r>
        <w:rPr>
          <w:rFonts w:hint="eastAsia" w:ascii="宋体" w:hAnsi="宋体"/>
          <w:szCs w:val="21"/>
          <w:lang w:val="en-US" w:eastAsia="zh-CN"/>
        </w:rPr>
        <w:t>14</w:t>
      </w:r>
      <w:r>
        <w:rPr>
          <w:rFonts w:hint="eastAsia" w:ascii="宋体" w:hAnsi="宋体"/>
          <w:szCs w:val="21"/>
        </w:rPr>
        <w:t xml:space="preserve"> </w:t>
      </w:r>
      <w:r>
        <w:rPr>
          <w:rFonts w:hint="eastAsia" w:ascii="宋体" w:hAnsi="宋体"/>
          <w:szCs w:val="21"/>
          <w:lang w:eastAsia="zh-CN"/>
        </w:rPr>
        <w:t>勘察</w:t>
      </w:r>
      <w:r>
        <w:rPr>
          <w:rFonts w:hint="eastAsia" w:ascii="宋体" w:hAnsi="宋体"/>
          <w:szCs w:val="21"/>
        </w:rPr>
        <w:t>任务书</w:t>
      </w:r>
      <w:r>
        <w:tab/>
      </w:r>
      <w:r>
        <w:fldChar w:fldCharType="begin"/>
      </w:r>
      <w:r>
        <w:instrText xml:space="preserve"> PAGEREF _Toc5808 \h </w:instrText>
      </w:r>
      <w:r>
        <w:fldChar w:fldCharType="separate"/>
      </w:r>
      <w:r>
        <w:t>56</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_Toc5102 </w:instrText>
      </w:r>
      <w:r>
        <w:rPr>
          <w:rFonts w:ascii="宋体" w:hAnsi="宋体" w:eastAsiaTheme="minorHAnsi"/>
          <w:bCs/>
          <w:caps/>
          <w:szCs w:val="20"/>
        </w:rPr>
        <w:fldChar w:fldCharType="separate"/>
      </w:r>
      <w:r>
        <w:rPr>
          <w:rFonts w:hint="eastAsia" w:ascii="宋体" w:hAnsi="宋体"/>
          <w:szCs w:val="21"/>
        </w:rPr>
        <w:t>附录</w:t>
      </w:r>
      <w:r>
        <w:rPr>
          <w:rFonts w:hint="eastAsia" w:ascii="宋体" w:hAnsi="宋体"/>
          <w:szCs w:val="21"/>
          <w:lang w:val="en-US" w:eastAsia="zh-CN"/>
        </w:rPr>
        <w:t>15</w:t>
      </w:r>
      <w:r>
        <w:rPr>
          <w:rFonts w:hint="eastAsia" w:ascii="宋体" w:hAnsi="宋体"/>
          <w:szCs w:val="21"/>
        </w:rPr>
        <w:t>定标委员会的组成</w:t>
      </w:r>
      <w:r>
        <w:tab/>
      </w:r>
      <w:r>
        <w:fldChar w:fldCharType="begin"/>
      </w:r>
      <w:r>
        <w:instrText xml:space="preserve"> PAGEREF _Toc5102 \h </w:instrText>
      </w:r>
      <w:r>
        <w:fldChar w:fldCharType="separate"/>
      </w:r>
      <w:r>
        <w:t>57</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_Toc2512 </w:instrText>
      </w:r>
      <w:r>
        <w:rPr>
          <w:rFonts w:ascii="宋体" w:hAnsi="宋体" w:eastAsiaTheme="minorHAnsi"/>
          <w:bCs/>
          <w:caps/>
          <w:szCs w:val="20"/>
        </w:rPr>
        <w:fldChar w:fldCharType="separate"/>
      </w:r>
      <w:r>
        <w:rPr>
          <w:rFonts w:hint="eastAsia" w:ascii="宋体" w:hAnsi="宋体"/>
          <w:szCs w:val="21"/>
        </w:rPr>
        <w:t>附录1</w:t>
      </w:r>
      <w:r>
        <w:rPr>
          <w:rFonts w:hint="eastAsia" w:ascii="宋体" w:hAnsi="宋体"/>
          <w:szCs w:val="21"/>
          <w:lang w:val="en-US" w:eastAsia="zh-CN"/>
        </w:rPr>
        <w:t>6</w:t>
      </w:r>
      <w:r>
        <w:rPr>
          <w:rFonts w:hint="eastAsia" w:ascii="宋体" w:hAnsi="宋体"/>
          <w:szCs w:val="21"/>
        </w:rPr>
        <w:t>定标原则</w:t>
      </w:r>
      <w:r>
        <w:tab/>
      </w:r>
      <w:r>
        <w:fldChar w:fldCharType="begin"/>
      </w:r>
      <w:r>
        <w:instrText xml:space="preserve"> PAGEREF _Toc2512 \h </w:instrText>
      </w:r>
      <w:r>
        <w:fldChar w:fldCharType="separate"/>
      </w:r>
      <w:r>
        <w:t>58</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_Toc20297 </w:instrText>
      </w:r>
      <w:r>
        <w:rPr>
          <w:rFonts w:ascii="宋体" w:hAnsi="宋体" w:eastAsiaTheme="minorHAnsi"/>
          <w:bCs/>
          <w:caps/>
          <w:szCs w:val="20"/>
        </w:rPr>
        <w:fldChar w:fldCharType="separate"/>
      </w:r>
      <w:r>
        <w:rPr>
          <w:rFonts w:hint="eastAsia" w:hAnsi="宋体"/>
          <w:szCs w:val="21"/>
        </w:rPr>
        <w:t>附录</w:t>
      </w:r>
      <w:r>
        <w:rPr>
          <w:rFonts w:hint="eastAsia" w:ascii="宋体" w:hAnsi="宋体"/>
          <w:szCs w:val="21"/>
          <w:lang w:val="en-US" w:eastAsia="zh-CN"/>
        </w:rPr>
        <w:t>17</w:t>
      </w:r>
      <w:r>
        <w:rPr>
          <w:rFonts w:hint="eastAsia" w:ascii="宋体" w:hAnsi="宋体" w:eastAsia="宋体" w:cs="宋体"/>
          <w:szCs w:val="21"/>
        </w:rPr>
        <w:t>-1</w:t>
      </w:r>
      <w:r>
        <w:rPr>
          <w:rFonts w:hint="eastAsia" w:ascii="宋体" w:hAnsi="宋体"/>
          <w:szCs w:val="21"/>
        </w:rPr>
        <w:t>定标评语</w:t>
      </w:r>
      <w:r>
        <w:tab/>
      </w:r>
      <w:r>
        <w:fldChar w:fldCharType="begin"/>
      </w:r>
      <w:r>
        <w:instrText xml:space="preserve"> PAGEREF _Toc20297 \h </w:instrText>
      </w:r>
      <w:r>
        <w:fldChar w:fldCharType="separate"/>
      </w:r>
      <w:r>
        <w:t>59</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_Toc31155 </w:instrText>
      </w:r>
      <w:r>
        <w:rPr>
          <w:rFonts w:ascii="宋体" w:hAnsi="宋体" w:eastAsiaTheme="minorHAnsi"/>
          <w:bCs/>
          <w:caps/>
          <w:szCs w:val="20"/>
        </w:rPr>
        <w:fldChar w:fldCharType="separate"/>
      </w:r>
      <w:r>
        <w:rPr>
          <w:rFonts w:hint="eastAsia" w:hAnsi="宋体"/>
          <w:szCs w:val="21"/>
        </w:rPr>
        <w:t>附录</w:t>
      </w:r>
      <w:r>
        <w:rPr>
          <w:rFonts w:hint="eastAsia" w:ascii="宋体" w:hAnsi="宋体"/>
          <w:szCs w:val="21"/>
          <w:lang w:val="en-US" w:eastAsia="zh-CN"/>
        </w:rPr>
        <w:t>17</w:t>
      </w:r>
      <w:r>
        <w:rPr>
          <w:rFonts w:hint="eastAsia" w:hAnsi="宋体"/>
          <w:szCs w:val="21"/>
        </w:rPr>
        <w:t>-</w:t>
      </w:r>
      <w:r>
        <w:rPr>
          <w:rFonts w:hint="eastAsia" w:ascii="宋体" w:hAnsi="宋体" w:eastAsia="宋体" w:cs="宋体"/>
          <w:szCs w:val="21"/>
        </w:rPr>
        <w:t>2</w:t>
      </w:r>
      <w:r>
        <w:rPr>
          <w:rFonts w:hint="eastAsia" w:ascii="宋体" w:hAnsi="宋体" w:eastAsia="宋体"/>
          <w:szCs w:val="21"/>
          <w:lang w:eastAsia="zh-CN"/>
        </w:rPr>
        <w:t>投票表格及投票汇总表格</w:t>
      </w:r>
      <w:r>
        <w:tab/>
      </w:r>
      <w:r>
        <w:fldChar w:fldCharType="begin"/>
      </w:r>
      <w:r>
        <w:instrText xml:space="preserve"> PAGEREF _Toc31155 \h </w:instrText>
      </w:r>
      <w:r>
        <w:fldChar w:fldCharType="separate"/>
      </w:r>
      <w:r>
        <w:t>60</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_Toc31078 </w:instrText>
      </w:r>
      <w:r>
        <w:rPr>
          <w:rFonts w:ascii="宋体" w:hAnsi="宋体" w:eastAsiaTheme="minorHAnsi"/>
          <w:bCs/>
          <w:caps/>
          <w:szCs w:val="20"/>
        </w:rPr>
        <w:fldChar w:fldCharType="separate"/>
      </w:r>
      <w:r>
        <w:rPr>
          <w:rFonts w:hint="eastAsia" w:ascii="宋体" w:hAnsi="宋体"/>
          <w:szCs w:val="21"/>
        </w:rPr>
        <w:t>附录1</w:t>
      </w:r>
      <w:r>
        <w:rPr>
          <w:rFonts w:hint="eastAsia" w:ascii="宋体" w:hAnsi="宋体"/>
          <w:szCs w:val="21"/>
          <w:lang w:val="en-US" w:eastAsia="zh-CN"/>
        </w:rPr>
        <w:t>8</w:t>
      </w:r>
      <w:r>
        <w:rPr>
          <w:rFonts w:hint="eastAsia" w:ascii="宋体" w:hAnsi="宋体"/>
          <w:szCs w:val="21"/>
        </w:rPr>
        <w:t xml:space="preserve"> 法定代表人证明书</w:t>
      </w:r>
      <w:r>
        <w:tab/>
      </w:r>
      <w:r>
        <w:fldChar w:fldCharType="begin"/>
      </w:r>
      <w:r>
        <w:instrText xml:space="preserve"> PAGEREF _Toc31078 \h </w:instrText>
      </w:r>
      <w:r>
        <w:fldChar w:fldCharType="separate"/>
      </w:r>
      <w:r>
        <w:t>62</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_Toc28458 </w:instrText>
      </w:r>
      <w:r>
        <w:rPr>
          <w:rFonts w:ascii="宋体" w:hAnsi="宋体" w:eastAsiaTheme="minorHAnsi"/>
          <w:bCs/>
          <w:caps/>
          <w:szCs w:val="20"/>
        </w:rPr>
        <w:fldChar w:fldCharType="separate"/>
      </w:r>
      <w:r>
        <w:rPr>
          <w:rFonts w:hint="eastAsia" w:ascii="宋体" w:hAnsi="宋体"/>
          <w:bCs/>
          <w:kern w:val="44"/>
          <w:szCs w:val="21"/>
        </w:rPr>
        <w:t>附录1</w:t>
      </w:r>
      <w:r>
        <w:rPr>
          <w:rFonts w:hint="eastAsia" w:ascii="宋体" w:hAnsi="宋体"/>
          <w:bCs/>
          <w:kern w:val="44"/>
          <w:szCs w:val="21"/>
          <w:lang w:val="en-US" w:eastAsia="zh-CN"/>
        </w:rPr>
        <w:t>9</w:t>
      </w:r>
      <w:r>
        <w:rPr>
          <w:rFonts w:hint="eastAsia" w:ascii="宋体" w:hAnsi="宋体"/>
          <w:bCs/>
          <w:kern w:val="44"/>
          <w:szCs w:val="21"/>
        </w:rPr>
        <w:t>授权委托书</w:t>
      </w:r>
      <w:r>
        <w:tab/>
      </w:r>
      <w:r>
        <w:fldChar w:fldCharType="begin"/>
      </w:r>
      <w:r>
        <w:instrText xml:space="preserve"> PAGEREF _Toc28458 \h </w:instrText>
      </w:r>
      <w:r>
        <w:fldChar w:fldCharType="separate"/>
      </w:r>
      <w:r>
        <w:t>63</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_Toc6708 </w:instrText>
      </w:r>
      <w:r>
        <w:rPr>
          <w:rFonts w:ascii="宋体" w:hAnsi="宋体" w:eastAsiaTheme="minorHAnsi"/>
          <w:bCs/>
          <w:caps/>
          <w:szCs w:val="20"/>
        </w:rPr>
        <w:fldChar w:fldCharType="separate"/>
      </w:r>
      <w:r>
        <w:rPr>
          <w:rFonts w:hint="eastAsia" w:ascii="宋体" w:hAnsi="宋体"/>
          <w:bCs/>
          <w:kern w:val="44"/>
          <w:szCs w:val="21"/>
        </w:rPr>
        <w:t>附录</w:t>
      </w:r>
      <w:r>
        <w:rPr>
          <w:rFonts w:hint="eastAsia" w:ascii="宋体" w:hAnsi="宋体"/>
          <w:bCs/>
          <w:kern w:val="44"/>
          <w:szCs w:val="21"/>
          <w:lang w:val="en-US" w:eastAsia="zh-CN"/>
        </w:rPr>
        <w:t>20</w:t>
      </w:r>
      <w:r>
        <w:rPr>
          <w:rFonts w:hint="eastAsia" w:ascii="宋体" w:hAnsi="宋体" w:eastAsia="宋体" w:cs="宋体"/>
          <w:bCs/>
          <w:szCs w:val="24"/>
          <w:highlight w:val="none"/>
          <w:lang w:eastAsia="zh-CN"/>
        </w:rPr>
        <w:t>中小企业声明函</w:t>
      </w:r>
      <w:r>
        <w:tab/>
      </w:r>
      <w:r>
        <w:fldChar w:fldCharType="begin"/>
      </w:r>
      <w:r>
        <w:instrText xml:space="preserve"> PAGEREF _Toc6708 \h </w:instrText>
      </w:r>
      <w:r>
        <w:fldChar w:fldCharType="separate"/>
      </w:r>
      <w:r>
        <w:t>64</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_Toc29509 </w:instrText>
      </w:r>
      <w:r>
        <w:rPr>
          <w:rFonts w:ascii="宋体" w:hAnsi="宋体" w:eastAsiaTheme="minorHAnsi"/>
          <w:bCs/>
          <w:caps/>
          <w:szCs w:val="20"/>
        </w:rPr>
        <w:fldChar w:fldCharType="separate"/>
      </w:r>
      <w:r>
        <w:rPr>
          <w:rFonts w:hint="eastAsia" w:ascii="宋体" w:hAnsi="宋体"/>
          <w:bCs/>
          <w:kern w:val="44"/>
          <w:szCs w:val="21"/>
        </w:rPr>
        <w:t>附录</w:t>
      </w:r>
      <w:r>
        <w:rPr>
          <w:rFonts w:hint="eastAsia" w:ascii="宋体" w:hAnsi="宋体"/>
          <w:bCs/>
          <w:kern w:val="44"/>
          <w:szCs w:val="21"/>
          <w:lang w:val="en-US" w:eastAsia="zh-CN"/>
        </w:rPr>
        <w:t>21</w:t>
      </w:r>
      <w:r>
        <w:rPr>
          <w:rFonts w:hint="eastAsia" w:ascii="宋体" w:hAnsi="宋体" w:eastAsia="宋体" w:cs="宋体"/>
          <w:bCs/>
          <w:szCs w:val="24"/>
          <w:highlight w:val="none"/>
          <w:lang w:eastAsia="zh-CN"/>
        </w:rPr>
        <w:t>关于投标保证金的承诺</w:t>
      </w:r>
      <w:r>
        <w:tab/>
      </w:r>
      <w:r>
        <w:fldChar w:fldCharType="begin"/>
      </w:r>
      <w:r>
        <w:instrText xml:space="preserve"> PAGEREF _Toc29509 \h </w:instrText>
      </w:r>
      <w:r>
        <w:fldChar w:fldCharType="separate"/>
      </w:r>
      <w:r>
        <w:t>65</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_Toc7160 </w:instrText>
      </w:r>
      <w:r>
        <w:rPr>
          <w:rFonts w:ascii="宋体" w:hAnsi="宋体" w:eastAsiaTheme="minorHAnsi"/>
          <w:bCs/>
          <w:caps/>
          <w:szCs w:val="20"/>
        </w:rPr>
        <w:fldChar w:fldCharType="separate"/>
      </w:r>
      <w:r>
        <w:rPr>
          <w:rFonts w:hint="eastAsia" w:ascii="宋体" w:hAnsi="宋体"/>
          <w:szCs w:val="21"/>
        </w:rPr>
        <w:t>附录</w:t>
      </w:r>
      <w:r>
        <w:rPr>
          <w:rFonts w:hint="eastAsia" w:ascii="宋体" w:hAnsi="宋体"/>
          <w:szCs w:val="21"/>
          <w:lang w:val="en-US" w:eastAsia="zh-CN"/>
        </w:rPr>
        <w:t>22</w:t>
      </w:r>
      <w:r>
        <w:rPr>
          <w:rFonts w:hint="eastAsia" w:ascii="宋体" w:hAnsi="宋体"/>
          <w:szCs w:val="21"/>
        </w:rPr>
        <w:t>拟投入本项目人员情况表</w:t>
      </w:r>
      <w:r>
        <w:tab/>
      </w:r>
      <w:r>
        <w:fldChar w:fldCharType="begin"/>
      </w:r>
      <w:r>
        <w:instrText xml:space="preserve"> PAGEREF _Toc7160 \h </w:instrText>
      </w:r>
      <w:r>
        <w:fldChar w:fldCharType="separate"/>
      </w:r>
      <w:r>
        <w:t>66</w:t>
      </w:r>
      <w:r>
        <w:fldChar w:fldCharType="end"/>
      </w:r>
      <w:r>
        <w:rPr>
          <w:rFonts w:ascii="宋体" w:hAnsi="宋体" w:eastAsiaTheme="minorHAnsi"/>
          <w:bCs/>
          <w:caps/>
          <w:szCs w:val="20"/>
        </w:rPr>
        <w:fldChar w:fldCharType="end"/>
      </w:r>
    </w:p>
    <w:p>
      <w:pPr>
        <w:pStyle w:val="27"/>
        <w:tabs>
          <w:tab w:val="right" w:leader="dot" w:pos="9214"/>
        </w:tabs>
      </w:pPr>
      <w:r>
        <w:rPr>
          <w:rFonts w:ascii="宋体" w:hAnsi="宋体" w:eastAsiaTheme="minorHAnsi"/>
          <w:bCs/>
          <w:caps/>
          <w:szCs w:val="20"/>
        </w:rPr>
        <w:fldChar w:fldCharType="begin"/>
      </w:r>
      <w:r>
        <w:rPr>
          <w:rFonts w:ascii="宋体" w:hAnsi="宋体" w:eastAsiaTheme="minorHAnsi"/>
          <w:bCs/>
          <w:caps/>
          <w:szCs w:val="20"/>
        </w:rPr>
        <w:instrText xml:space="preserve"> HYPERLINK \l _Toc32475 </w:instrText>
      </w:r>
      <w:r>
        <w:rPr>
          <w:rFonts w:ascii="宋体" w:hAnsi="宋体" w:eastAsiaTheme="minorHAnsi"/>
          <w:bCs/>
          <w:caps/>
          <w:szCs w:val="20"/>
        </w:rPr>
        <w:fldChar w:fldCharType="separate"/>
      </w:r>
      <w:r>
        <w:rPr>
          <w:rFonts w:hint="eastAsia" w:ascii="宋体" w:hAnsi="宋体"/>
          <w:szCs w:val="21"/>
        </w:rPr>
        <w:t>附录</w:t>
      </w:r>
      <w:r>
        <w:rPr>
          <w:rFonts w:hint="eastAsia" w:ascii="宋体" w:hAnsi="宋体"/>
          <w:szCs w:val="21"/>
          <w:lang w:val="en-US" w:eastAsia="zh-CN"/>
        </w:rPr>
        <w:t>23</w:t>
      </w:r>
      <w:r>
        <w:rPr>
          <w:rFonts w:hint="eastAsia" w:ascii="宋体" w:hAnsi="宋体"/>
          <w:szCs w:val="21"/>
        </w:rPr>
        <w:t xml:space="preserve"> 近5年勘察项目业绩一览表</w:t>
      </w:r>
      <w:r>
        <w:tab/>
      </w:r>
      <w:r>
        <w:fldChar w:fldCharType="begin"/>
      </w:r>
      <w:r>
        <w:instrText xml:space="preserve"> PAGEREF _Toc32475 \h </w:instrText>
      </w:r>
      <w:r>
        <w:fldChar w:fldCharType="separate"/>
      </w:r>
      <w:r>
        <w:t>68</w:t>
      </w:r>
      <w:r>
        <w:fldChar w:fldCharType="end"/>
      </w:r>
      <w:r>
        <w:rPr>
          <w:rFonts w:ascii="宋体" w:hAnsi="宋体" w:eastAsiaTheme="minorHAnsi"/>
          <w:bCs/>
          <w:caps/>
          <w:szCs w:val="20"/>
        </w:rPr>
        <w:fldChar w:fldCharType="end"/>
      </w:r>
    </w:p>
    <w:p>
      <w:pPr>
        <w:rPr>
          <w:rFonts w:ascii="宋体" w:hAnsi="宋体"/>
        </w:rPr>
      </w:pPr>
      <w:r>
        <w:rPr>
          <w:rFonts w:ascii="宋体" w:hAnsi="宋体" w:eastAsiaTheme="minorHAnsi"/>
          <w:bCs/>
          <w:caps/>
          <w:szCs w:val="20"/>
        </w:rPr>
        <w:fldChar w:fldCharType="end"/>
      </w:r>
      <w:r>
        <w:rPr>
          <w:rFonts w:ascii="宋体" w:hAnsi="宋体"/>
        </w:rPr>
        <w:br w:type="page"/>
      </w:r>
    </w:p>
    <w:p>
      <w:pPr>
        <w:pStyle w:val="3"/>
        <w:spacing w:before="0" w:after="0" w:line="360" w:lineRule="auto"/>
        <w:jc w:val="center"/>
        <w:rPr>
          <w:rFonts w:ascii="宋体" w:hAnsi="宋体"/>
          <w:sz w:val="36"/>
          <w:szCs w:val="36"/>
        </w:rPr>
      </w:pPr>
      <w:bookmarkStart w:id="1" w:name="_Toc812"/>
      <w:bookmarkStart w:id="2" w:name="_Toc31169"/>
      <w:r>
        <w:rPr>
          <w:rFonts w:hint="eastAsia" w:ascii="宋体" w:hAnsi="宋体"/>
          <w:sz w:val="36"/>
          <w:szCs w:val="36"/>
        </w:rPr>
        <w:t>第一章  招标公告</w:t>
      </w:r>
      <w:bookmarkEnd w:id="1"/>
      <w:bookmarkEnd w:id="2"/>
    </w:p>
    <w:p>
      <w:pPr>
        <w:jc w:val="center"/>
        <w:rPr>
          <w:rFonts w:ascii="宋体" w:hAnsi="宋体" w:cs="宋体"/>
          <w:sz w:val="28"/>
          <w:szCs w:val="36"/>
        </w:rPr>
      </w:pPr>
      <w:r>
        <w:rPr>
          <w:rFonts w:hint="eastAsia" w:ascii="宋体" w:hAnsi="宋体" w:cs="宋体"/>
          <w:sz w:val="28"/>
          <w:szCs w:val="36"/>
        </w:rPr>
        <w:t>另册。</w:t>
      </w:r>
    </w:p>
    <w:p>
      <w:pPr>
        <w:pStyle w:val="3"/>
        <w:spacing w:before="0" w:after="0" w:line="360" w:lineRule="auto"/>
        <w:jc w:val="center"/>
        <w:rPr>
          <w:rFonts w:ascii="宋体" w:hAnsi="宋体"/>
          <w:sz w:val="36"/>
          <w:szCs w:val="36"/>
        </w:rPr>
      </w:pPr>
      <w:r>
        <w:rPr>
          <w:rFonts w:hint="eastAsia" w:ascii="宋体" w:hAnsi="宋体"/>
          <w:b w:val="0"/>
          <w:sz w:val="36"/>
          <w:szCs w:val="36"/>
        </w:rPr>
        <w:br w:type="page"/>
      </w:r>
      <w:bookmarkStart w:id="3" w:name="_Toc20685"/>
      <w:bookmarkStart w:id="4" w:name="_Toc5843"/>
      <w:r>
        <w:rPr>
          <w:rFonts w:hint="eastAsia" w:ascii="宋体" w:hAnsi="宋体"/>
          <w:sz w:val="36"/>
          <w:szCs w:val="36"/>
        </w:rPr>
        <w:t>第二章  招标</w:t>
      </w:r>
      <w:bookmarkEnd w:id="3"/>
      <w:r>
        <w:rPr>
          <w:rFonts w:hint="eastAsia" w:ascii="宋体" w:hAnsi="宋体" w:cs="宋体"/>
          <w:sz w:val="36"/>
          <w:szCs w:val="36"/>
          <w:u w:val="single"/>
        </w:rPr>
        <w:t>（范本原文）</w:t>
      </w:r>
      <w:bookmarkEnd w:id="4"/>
    </w:p>
    <w:p>
      <w:pPr>
        <w:rPr>
          <w:rFonts w:ascii="宋体" w:hAnsi="宋体"/>
        </w:rPr>
      </w:pPr>
    </w:p>
    <w:p>
      <w:pPr>
        <w:spacing w:line="360" w:lineRule="auto"/>
        <w:ind w:left="824" w:hanging="820" w:hangingChars="342"/>
        <w:rPr>
          <w:rFonts w:ascii="宋体" w:hAnsi="宋体"/>
          <w:b/>
          <w:sz w:val="24"/>
        </w:rPr>
      </w:pPr>
      <w:r>
        <w:rPr>
          <w:rFonts w:hint="eastAsia" w:ascii="宋体" w:hAnsi="宋体"/>
          <w:b/>
          <w:sz w:val="24"/>
        </w:rPr>
        <w:t>2.1    释义</w:t>
      </w:r>
    </w:p>
    <w:p>
      <w:pPr>
        <w:spacing w:line="360" w:lineRule="auto"/>
        <w:ind w:left="821" w:hanging="820" w:hangingChars="342"/>
        <w:rPr>
          <w:rFonts w:ascii="宋体" w:hAnsi="宋体"/>
          <w:sz w:val="24"/>
        </w:rPr>
      </w:pPr>
    </w:p>
    <w:p>
      <w:pPr>
        <w:spacing w:line="360" w:lineRule="auto"/>
        <w:ind w:left="821" w:hanging="820" w:hangingChars="342"/>
        <w:rPr>
          <w:rFonts w:ascii="宋体" w:hAnsi="宋体"/>
          <w:sz w:val="24"/>
        </w:rPr>
      </w:pPr>
      <w:r>
        <w:rPr>
          <w:rFonts w:hint="eastAsia" w:ascii="宋体" w:hAnsi="宋体"/>
          <w:sz w:val="24"/>
        </w:rPr>
        <w:t>2.1.1  “设计”是指根据建设工程的要求，对建设工程所需的技术、经济、资源、环境等条件进行综合分析、论证，编制建设工程设计文件的活动。</w:t>
      </w:r>
    </w:p>
    <w:p>
      <w:pPr>
        <w:spacing w:line="360" w:lineRule="auto"/>
        <w:ind w:left="821" w:hanging="820" w:hangingChars="342"/>
        <w:rPr>
          <w:rFonts w:ascii="宋体" w:hAnsi="宋体"/>
          <w:sz w:val="24"/>
        </w:rPr>
      </w:pPr>
      <w:r>
        <w:rPr>
          <w:rFonts w:hint="eastAsia" w:ascii="宋体" w:hAnsi="宋体"/>
          <w:sz w:val="24"/>
        </w:rPr>
        <w:t>2.1.2  “勘察”是指根据建设工程的要求，查明、分析、评价建设场地的地质地理环境特征和岩土工程条件，编制建设工程勘察文件的活动。</w:t>
      </w:r>
    </w:p>
    <w:p>
      <w:pPr>
        <w:spacing w:line="360" w:lineRule="auto"/>
        <w:ind w:left="821" w:hanging="820" w:hangingChars="342"/>
        <w:rPr>
          <w:rFonts w:ascii="宋体" w:hAnsi="宋体"/>
          <w:sz w:val="24"/>
        </w:rPr>
      </w:pPr>
      <w:r>
        <w:rPr>
          <w:rFonts w:hint="eastAsia" w:ascii="宋体" w:hAnsi="宋体"/>
          <w:sz w:val="24"/>
        </w:rPr>
        <w:t>2.1.3  “招标”是指发包人通过建设工程的勘察、设计等方案招标，将工程相应的任务发包给符合勘察设计资质条件的建设工程承包单位的行为。</w:t>
      </w:r>
    </w:p>
    <w:p>
      <w:pPr>
        <w:spacing w:line="360" w:lineRule="auto"/>
        <w:ind w:left="821" w:hanging="820" w:hangingChars="342"/>
        <w:rPr>
          <w:rFonts w:ascii="宋体" w:hAnsi="宋体"/>
          <w:sz w:val="24"/>
        </w:rPr>
      </w:pPr>
      <w:r>
        <w:rPr>
          <w:rFonts w:hint="eastAsia" w:ascii="宋体" w:hAnsi="宋体"/>
          <w:sz w:val="24"/>
        </w:rPr>
        <w:t>2.1.4  “招标人”是指提出招标项目、进行招标的法人或者其他组织。</w:t>
      </w:r>
    </w:p>
    <w:p>
      <w:pPr>
        <w:spacing w:line="360" w:lineRule="auto"/>
        <w:ind w:left="821" w:hanging="820" w:hangingChars="342"/>
        <w:rPr>
          <w:rFonts w:ascii="宋体" w:hAnsi="宋体"/>
          <w:sz w:val="24"/>
        </w:rPr>
      </w:pPr>
      <w:r>
        <w:rPr>
          <w:rFonts w:hint="eastAsia" w:ascii="宋体" w:hAnsi="宋体"/>
          <w:sz w:val="24"/>
        </w:rPr>
        <w:t>2.1.5  “招标代理机构”是指从事招标代理业务并提供相关服务的社会中介组织。</w:t>
      </w:r>
    </w:p>
    <w:p>
      <w:pPr>
        <w:spacing w:line="360" w:lineRule="auto"/>
        <w:ind w:left="821" w:hanging="820" w:hangingChars="342"/>
        <w:rPr>
          <w:rFonts w:ascii="宋体" w:hAnsi="宋体"/>
          <w:sz w:val="24"/>
        </w:rPr>
      </w:pPr>
      <w:r>
        <w:rPr>
          <w:rFonts w:hint="eastAsia" w:ascii="宋体" w:hAnsi="宋体"/>
          <w:sz w:val="24"/>
        </w:rPr>
        <w:t>2.1.6  “投标人”是指响应招标、参加投标竞争的法人或者其他组织。</w:t>
      </w:r>
    </w:p>
    <w:p>
      <w:pPr>
        <w:spacing w:line="360" w:lineRule="auto"/>
        <w:ind w:left="821" w:hanging="820" w:hangingChars="342"/>
        <w:rPr>
          <w:rFonts w:ascii="宋体" w:hAnsi="宋体"/>
          <w:sz w:val="24"/>
        </w:rPr>
      </w:pPr>
      <w:r>
        <w:rPr>
          <w:rFonts w:hint="eastAsia" w:ascii="宋体" w:hAnsi="宋体"/>
          <w:sz w:val="24"/>
        </w:rPr>
        <w:t>2.1.7  “监督机构”是指招标活动的监督机构。</w:t>
      </w:r>
    </w:p>
    <w:p>
      <w:pPr>
        <w:spacing w:line="360" w:lineRule="auto"/>
        <w:ind w:left="821" w:hanging="820" w:hangingChars="342"/>
        <w:rPr>
          <w:rFonts w:ascii="宋体" w:hAnsi="宋体"/>
          <w:sz w:val="24"/>
        </w:rPr>
      </w:pPr>
      <w:r>
        <w:rPr>
          <w:rFonts w:hint="eastAsia" w:ascii="宋体" w:hAnsi="宋体"/>
          <w:sz w:val="24"/>
        </w:rPr>
        <w:t>2.1.8 “招标管理机构”是指受监督机构委托管理招标活动的机构。</w:t>
      </w:r>
    </w:p>
    <w:p>
      <w:pPr>
        <w:spacing w:line="360" w:lineRule="auto"/>
        <w:ind w:left="821" w:hanging="820" w:hangingChars="342"/>
        <w:rPr>
          <w:rFonts w:ascii="宋体" w:hAnsi="宋体"/>
          <w:sz w:val="24"/>
        </w:rPr>
      </w:pPr>
      <w:r>
        <w:rPr>
          <w:rFonts w:hint="eastAsia" w:ascii="宋体" w:hAnsi="宋体"/>
          <w:sz w:val="24"/>
        </w:rPr>
        <w:t>2.1.9 “交易服务机构”是指为招标人和投标人提供场所、信息和咨询服务，见证招标过程，确认中标通知书的服务机构。</w:t>
      </w:r>
    </w:p>
    <w:p>
      <w:pPr>
        <w:spacing w:line="360" w:lineRule="auto"/>
        <w:ind w:left="821" w:hanging="820" w:hangingChars="342"/>
        <w:rPr>
          <w:rFonts w:ascii="宋体" w:hAnsi="宋体"/>
          <w:sz w:val="24"/>
        </w:rPr>
      </w:pPr>
      <w:r>
        <w:rPr>
          <w:rFonts w:hint="eastAsia" w:ascii="宋体" w:hAnsi="宋体"/>
          <w:sz w:val="24"/>
        </w:rPr>
        <w:t>2.1.10 “招标文件”是指招标人（招标代理机构）发出的包括招标预告、招标公告、招标程序和规则、技术规范、合同条件、附录、图表、说明、投资立项批准文件、建设用地批准文件及其它一切补充资料的书面文件和电子文件。</w:t>
      </w:r>
    </w:p>
    <w:p>
      <w:pPr>
        <w:spacing w:line="360" w:lineRule="auto"/>
        <w:rPr>
          <w:rFonts w:ascii="宋体" w:hAnsi="宋体"/>
          <w:sz w:val="24"/>
        </w:rPr>
      </w:pPr>
    </w:p>
    <w:p>
      <w:pPr>
        <w:spacing w:line="360" w:lineRule="auto"/>
        <w:jc w:val="left"/>
        <w:rPr>
          <w:rFonts w:ascii="宋体" w:hAnsi="宋体"/>
          <w:b/>
          <w:bCs/>
          <w:sz w:val="24"/>
        </w:rPr>
      </w:pPr>
      <w:r>
        <w:rPr>
          <w:rFonts w:hint="eastAsia" w:ascii="宋体" w:hAnsi="宋体"/>
          <w:b/>
          <w:bCs/>
          <w:sz w:val="24"/>
        </w:rPr>
        <w:t>2.2    免责条款</w:t>
      </w:r>
    </w:p>
    <w:p>
      <w:pPr>
        <w:spacing w:line="360" w:lineRule="auto"/>
        <w:rPr>
          <w:rFonts w:ascii="宋体" w:hAnsi="宋体"/>
          <w:sz w:val="24"/>
        </w:rPr>
      </w:pPr>
    </w:p>
    <w:p>
      <w:pPr>
        <w:spacing w:line="360" w:lineRule="auto"/>
        <w:ind w:left="821" w:hanging="820" w:hangingChars="342"/>
        <w:jc w:val="left"/>
        <w:rPr>
          <w:rFonts w:ascii="宋体" w:hAnsi="宋体"/>
          <w:sz w:val="24"/>
        </w:rPr>
      </w:pPr>
      <w:r>
        <w:rPr>
          <w:rFonts w:hint="eastAsia" w:ascii="宋体" w:hAnsi="宋体"/>
          <w:sz w:val="24"/>
        </w:rPr>
        <w:t>2.2.1  招标文件的解释权归招标人所有，招标人有权在法律允许范围内调整本次招标活动的细节及保留最终解释权。</w:t>
      </w:r>
    </w:p>
    <w:p>
      <w:pPr>
        <w:spacing w:line="360" w:lineRule="auto"/>
        <w:ind w:left="821" w:hanging="820" w:hangingChars="342"/>
        <w:jc w:val="left"/>
        <w:rPr>
          <w:rFonts w:ascii="宋体" w:hAnsi="宋体"/>
          <w:sz w:val="24"/>
        </w:rPr>
      </w:pPr>
      <w:r>
        <w:rPr>
          <w:rFonts w:hint="eastAsia" w:ascii="宋体" w:hAnsi="宋体"/>
          <w:sz w:val="24"/>
        </w:rPr>
        <w:t>2.2.2  招标人不受将合同授予任何投标人的约束，招标人有权接受任何一份投标文件的全部或部分内容。</w:t>
      </w:r>
    </w:p>
    <w:p>
      <w:pPr>
        <w:spacing w:line="360" w:lineRule="auto"/>
        <w:ind w:left="821" w:hanging="820" w:hangingChars="342"/>
        <w:jc w:val="left"/>
        <w:rPr>
          <w:rFonts w:ascii="宋体" w:hAnsi="宋体"/>
          <w:sz w:val="24"/>
        </w:rPr>
      </w:pPr>
      <w:r>
        <w:rPr>
          <w:rFonts w:hint="eastAsia" w:ascii="宋体" w:hAnsi="宋体"/>
          <w:sz w:val="24"/>
        </w:rPr>
        <w:t>2.2.3  招标人向投标人提供的资料和数据，是招标人现有的能使投标人利用的资料，招标人对投标人由此而作出的推论、理解和结论概不负责。</w:t>
      </w:r>
    </w:p>
    <w:p>
      <w:pPr>
        <w:pStyle w:val="21"/>
        <w:spacing w:line="360" w:lineRule="auto"/>
        <w:ind w:left="821" w:hanging="820" w:hangingChars="342"/>
        <w:jc w:val="left"/>
        <w:rPr>
          <w:rFonts w:hAnsi="宋体"/>
          <w:sz w:val="24"/>
          <w:szCs w:val="24"/>
        </w:rPr>
      </w:pPr>
      <w:r>
        <w:rPr>
          <w:rFonts w:hint="eastAsia" w:hAnsi="宋体"/>
          <w:sz w:val="24"/>
          <w:szCs w:val="24"/>
        </w:rPr>
        <w:t>2.2.4  投标人应承担其现场考察、编制和提交投标文件有关的一切费用、损害和人身伤亡事故责任，不管投标结果如何，招标人对上述费用不负任何责任。</w:t>
      </w:r>
    </w:p>
    <w:p>
      <w:pPr>
        <w:spacing w:line="360" w:lineRule="auto"/>
        <w:ind w:left="821" w:hanging="820" w:hangingChars="342"/>
        <w:rPr>
          <w:rFonts w:ascii="宋体" w:hAnsi="宋体"/>
          <w:sz w:val="24"/>
        </w:rPr>
      </w:pPr>
      <w:r>
        <w:rPr>
          <w:rFonts w:hint="eastAsia" w:ascii="宋体" w:hAnsi="宋体"/>
          <w:sz w:val="24"/>
        </w:rPr>
        <w:t>2.2.5  招标人对投标人的失误不负任何责任，投标人应指定一名投标事务负责人，专门负责跟踪、接收、阅读和理解招标文件及随后收到的有关资料，向招标人发出质疑，检查投标文件，协助有关人员尽力克服各种投标失误。</w:t>
      </w:r>
    </w:p>
    <w:p>
      <w:pPr>
        <w:spacing w:line="360" w:lineRule="auto"/>
        <w:ind w:left="821" w:hanging="820" w:hangingChars="342"/>
        <w:jc w:val="left"/>
        <w:rPr>
          <w:rFonts w:ascii="宋体" w:hAnsi="宋体"/>
          <w:sz w:val="24"/>
        </w:rPr>
      </w:pPr>
      <w:r>
        <w:rPr>
          <w:rFonts w:hint="eastAsia" w:ascii="宋体" w:hAnsi="宋体"/>
          <w:sz w:val="24"/>
        </w:rPr>
        <w:t>2.2.6  评标委员会成员应承担其参加评标有关的一切费用、损害和人身伤亡事故责任，招标人除提供评标酬金和差旅费用外，对其他费用不负任何责任。</w:t>
      </w:r>
    </w:p>
    <w:p>
      <w:pPr>
        <w:spacing w:line="360" w:lineRule="auto"/>
        <w:ind w:left="821" w:hanging="820" w:hangingChars="342"/>
        <w:rPr>
          <w:rFonts w:ascii="宋体" w:hAnsi="宋体"/>
          <w:sz w:val="24"/>
        </w:rPr>
      </w:pPr>
      <w:r>
        <w:rPr>
          <w:rFonts w:hint="eastAsia" w:ascii="宋体" w:hAnsi="宋体"/>
          <w:sz w:val="24"/>
        </w:rPr>
        <w:t>2.2.7  如果投标人实质上不符合投标资格，即使已购买招标文件、参加投标并缴纳各种费用，招标人可以随时取消其投标或中标资格，招标人对该投标人的一切损失不负任何责任。</w:t>
      </w:r>
    </w:p>
    <w:p>
      <w:pPr>
        <w:spacing w:line="360" w:lineRule="auto"/>
        <w:ind w:left="821" w:hanging="820" w:hangingChars="342"/>
        <w:rPr>
          <w:rFonts w:ascii="宋体" w:hAnsi="宋体"/>
          <w:sz w:val="24"/>
        </w:rPr>
      </w:pPr>
    </w:p>
    <w:p>
      <w:pPr>
        <w:spacing w:line="360" w:lineRule="auto"/>
        <w:rPr>
          <w:rFonts w:ascii="宋体" w:hAnsi="宋体"/>
          <w:b/>
          <w:sz w:val="24"/>
        </w:rPr>
      </w:pPr>
      <w:r>
        <w:rPr>
          <w:rFonts w:hint="eastAsia" w:ascii="宋体" w:hAnsi="宋体"/>
          <w:b/>
          <w:sz w:val="24"/>
        </w:rPr>
        <w:t>2.3    招标文件效力</w:t>
      </w:r>
    </w:p>
    <w:p>
      <w:pPr>
        <w:spacing w:line="360" w:lineRule="auto"/>
        <w:rPr>
          <w:rFonts w:ascii="宋体" w:hAnsi="宋体"/>
          <w:sz w:val="24"/>
        </w:rPr>
      </w:pPr>
    </w:p>
    <w:p>
      <w:pPr>
        <w:spacing w:line="360" w:lineRule="auto"/>
        <w:ind w:left="821" w:hanging="820" w:hangingChars="342"/>
        <w:jc w:val="left"/>
        <w:rPr>
          <w:rFonts w:ascii="宋体" w:hAnsi="宋体"/>
          <w:sz w:val="24"/>
        </w:rPr>
      </w:pPr>
      <w:r>
        <w:rPr>
          <w:rFonts w:hint="eastAsia" w:ascii="宋体" w:hAnsi="宋体"/>
          <w:sz w:val="24"/>
        </w:rPr>
        <w:t>2.3.1  招标文件是招标人发出的要约寻求，投标人参加投标均视为承认招标公告、招标文件及附件的所有条款,并承诺一旦中标将按招标文件、投标文件、合同条款、技术规范要求的质量和进度完成全部委托任务。</w:t>
      </w:r>
    </w:p>
    <w:p>
      <w:pPr>
        <w:spacing w:line="360" w:lineRule="auto"/>
        <w:ind w:left="821" w:hanging="820" w:hangingChars="342"/>
        <w:rPr>
          <w:rFonts w:ascii="宋体" w:hAnsi="宋体"/>
          <w:sz w:val="24"/>
        </w:rPr>
      </w:pPr>
      <w:r>
        <w:rPr>
          <w:rFonts w:hint="eastAsia" w:ascii="宋体" w:hAnsi="宋体"/>
          <w:sz w:val="24"/>
        </w:rPr>
        <w:t>2.3.2  招标人或招标代理机构与投标人之间使用电子邮箱传送的文件，与公开登载的文件或者盖章发出的文件一样具有同等效力。</w:t>
      </w:r>
    </w:p>
    <w:p>
      <w:pPr>
        <w:spacing w:line="360" w:lineRule="auto"/>
        <w:ind w:left="850" w:hanging="849" w:hangingChars="354"/>
        <w:rPr>
          <w:rFonts w:ascii="宋体" w:hAnsi="宋体"/>
          <w:sz w:val="24"/>
        </w:rPr>
      </w:pPr>
      <w:r>
        <w:rPr>
          <w:rFonts w:hint="eastAsia" w:ascii="宋体" w:hAnsi="宋体"/>
          <w:sz w:val="24"/>
        </w:rPr>
        <w:t>2.3.3  招标人通过交易服务机构公开登载的文件，与盖章发出的文件一样具有同等效力。</w:t>
      </w:r>
    </w:p>
    <w:p>
      <w:pPr>
        <w:spacing w:line="360" w:lineRule="auto"/>
        <w:rPr>
          <w:rFonts w:ascii="宋体" w:hAnsi="宋体"/>
          <w:sz w:val="24"/>
        </w:rPr>
      </w:pPr>
    </w:p>
    <w:p>
      <w:pPr>
        <w:spacing w:line="360" w:lineRule="auto"/>
        <w:rPr>
          <w:rFonts w:ascii="宋体" w:hAnsi="宋体"/>
          <w:dstrike/>
          <w:sz w:val="24"/>
        </w:rPr>
      </w:pPr>
    </w:p>
    <w:p>
      <w:pPr>
        <w:spacing w:line="360" w:lineRule="auto"/>
        <w:rPr>
          <w:rFonts w:ascii="宋体" w:hAnsi="宋体"/>
          <w:dstrike/>
          <w:sz w:val="24"/>
        </w:rPr>
      </w:pPr>
    </w:p>
    <w:p>
      <w:pPr>
        <w:spacing w:line="360" w:lineRule="auto"/>
        <w:rPr>
          <w:rFonts w:ascii="宋体" w:hAnsi="宋体"/>
          <w:dstrike/>
          <w:sz w:val="24"/>
        </w:rPr>
      </w:pPr>
    </w:p>
    <w:p>
      <w:pPr>
        <w:pStyle w:val="3"/>
        <w:spacing w:before="0" w:after="0" w:line="360" w:lineRule="auto"/>
        <w:jc w:val="center"/>
        <w:rPr>
          <w:rFonts w:ascii="宋体" w:hAnsi="宋体"/>
          <w:sz w:val="36"/>
          <w:szCs w:val="36"/>
        </w:rPr>
      </w:pPr>
      <w:r>
        <w:rPr>
          <w:rFonts w:hint="eastAsia" w:ascii="宋体" w:hAnsi="宋体"/>
          <w:sz w:val="24"/>
          <w:szCs w:val="24"/>
        </w:rPr>
        <w:br w:type="page"/>
      </w:r>
      <w:bookmarkStart w:id="5" w:name="_Toc30576"/>
      <w:bookmarkStart w:id="6" w:name="_Toc26442"/>
      <w:r>
        <w:rPr>
          <w:rFonts w:hint="eastAsia" w:ascii="宋体" w:hAnsi="宋体"/>
          <w:sz w:val="36"/>
          <w:szCs w:val="36"/>
        </w:rPr>
        <w:t>第三章  投标</w:t>
      </w:r>
      <w:bookmarkEnd w:id="5"/>
      <w:r>
        <w:rPr>
          <w:rFonts w:hint="eastAsia" w:ascii="宋体" w:hAnsi="宋体" w:cs="宋体"/>
          <w:sz w:val="36"/>
          <w:szCs w:val="36"/>
          <w:u w:val="single"/>
        </w:rPr>
        <w:t>（范本原文）</w:t>
      </w:r>
      <w:bookmarkEnd w:id="6"/>
    </w:p>
    <w:p>
      <w:pPr>
        <w:spacing w:line="360" w:lineRule="auto"/>
        <w:ind w:left="850" w:hanging="849" w:hangingChars="354"/>
        <w:rPr>
          <w:rFonts w:ascii="宋体" w:hAnsi="宋体"/>
          <w:sz w:val="24"/>
        </w:rPr>
      </w:pPr>
    </w:p>
    <w:p>
      <w:pPr>
        <w:spacing w:line="360" w:lineRule="auto"/>
        <w:ind w:left="853" w:hanging="849" w:hangingChars="354"/>
        <w:jc w:val="left"/>
        <w:rPr>
          <w:rFonts w:ascii="宋体" w:hAnsi="宋体"/>
          <w:b/>
          <w:sz w:val="24"/>
        </w:rPr>
      </w:pPr>
      <w:r>
        <w:rPr>
          <w:rFonts w:hint="eastAsia" w:ascii="宋体" w:hAnsi="宋体"/>
          <w:b/>
          <w:sz w:val="24"/>
        </w:rPr>
        <w:t>3.1    现场考察</w:t>
      </w:r>
    </w:p>
    <w:p>
      <w:pPr>
        <w:spacing w:line="360" w:lineRule="auto"/>
        <w:ind w:left="850" w:hanging="849" w:hangingChars="354"/>
        <w:jc w:val="left"/>
        <w:rPr>
          <w:rFonts w:ascii="宋体" w:hAnsi="宋体"/>
          <w:sz w:val="24"/>
        </w:rPr>
      </w:pPr>
    </w:p>
    <w:p>
      <w:pPr>
        <w:spacing w:line="360" w:lineRule="auto"/>
        <w:ind w:left="850" w:hanging="849" w:hangingChars="354"/>
        <w:jc w:val="left"/>
        <w:rPr>
          <w:rFonts w:ascii="宋体" w:hAnsi="宋体"/>
          <w:sz w:val="24"/>
        </w:rPr>
      </w:pPr>
      <w:r>
        <w:rPr>
          <w:rFonts w:hint="eastAsia" w:ascii="宋体" w:hAnsi="宋体"/>
          <w:sz w:val="24"/>
        </w:rPr>
        <w:t>3.1.1  招标人安排投标人代表对工程现场进行考察，目的是使每个投标人查看现场并获得编制投标文件所需要的一切资料。</w:t>
      </w:r>
    </w:p>
    <w:p>
      <w:pPr>
        <w:spacing w:line="360" w:lineRule="auto"/>
        <w:ind w:left="850" w:hanging="849" w:hangingChars="354"/>
        <w:jc w:val="left"/>
        <w:rPr>
          <w:rFonts w:ascii="宋体" w:hAnsi="宋体"/>
          <w:sz w:val="24"/>
        </w:rPr>
      </w:pPr>
      <w:r>
        <w:rPr>
          <w:rFonts w:hint="eastAsia" w:ascii="宋体" w:hAnsi="宋体"/>
          <w:sz w:val="24"/>
        </w:rPr>
        <w:t>3.1.2  每个投标人参加现场考察的人数不宜超过3人，外国投标人代表应自带中文翻译。</w:t>
      </w:r>
    </w:p>
    <w:p>
      <w:pPr>
        <w:spacing w:line="360" w:lineRule="auto"/>
        <w:ind w:left="850" w:hanging="849" w:hangingChars="354"/>
        <w:jc w:val="left"/>
        <w:rPr>
          <w:rFonts w:ascii="宋体" w:hAnsi="宋体"/>
          <w:sz w:val="24"/>
        </w:rPr>
      </w:pPr>
      <w:r>
        <w:rPr>
          <w:rFonts w:hint="eastAsia" w:ascii="宋体" w:hAnsi="宋体"/>
          <w:sz w:val="24"/>
        </w:rPr>
        <w:t>3.1.3  现场考察期间招标人接受投标人代表的提问。</w:t>
      </w:r>
    </w:p>
    <w:p>
      <w:pPr>
        <w:spacing w:line="360" w:lineRule="auto"/>
        <w:ind w:left="850" w:hanging="849" w:hangingChars="354"/>
        <w:jc w:val="left"/>
        <w:rPr>
          <w:rFonts w:ascii="宋体" w:hAnsi="宋体"/>
          <w:sz w:val="24"/>
        </w:rPr>
      </w:pPr>
    </w:p>
    <w:p>
      <w:pPr>
        <w:spacing w:line="360" w:lineRule="auto"/>
        <w:ind w:left="853" w:hanging="849" w:hangingChars="354"/>
        <w:rPr>
          <w:rFonts w:ascii="宋体" w:hAnsi="宋体"/>
          <w:sz w:val="24"/>
        </w:rPr>
      </w:pPr>
      <w:r>
        <w:rPr>
          <w:rFonts w:hint="eastAsia" w:ascii="宋体" w:hAnsi="宋体"/>
          <w:b/>
          <w:bCs/>
          <w:sz w:val="24"/>
        </w:rPr>
        <w:t>3.2    质疑和澄清</w:t>
      </w:r>
    </w:p>
    <w:p>
      <w:pPr>
        <w:spacing w:line="360" w:lineRule="auto"/>
        <w:ind w:left="850" w:hanging="849" w:hangingChars="354"/>
        <w:jc w:val="left"/>
        <w:rPr>
          <w:rFonts w:ascii="宋体" w:hAnsi="宋体"/>
          <w:sz w:val="24"/>
        </w:rPr>
      </w:pPr>
    </w:p>
    <w:p>
      <w:pPr>
        <w:spacing w:line="360" w:lineRule="auto"/>
        <w:ind w:left="850" w:hanging="849" w:hangingChars="354"/>
        <w:jc w:val="left"/>
        <w:rPr>
          <w:rFonts w:ascii="宋体" w:hAnsi="宋体"/>
          <w:sz w:val="24"/>
        </w:rPr>
      </w:pPr>
      <w:r>
        <w:rPr>
          <w:rFonts w:hint="eastAsia" w:ascii="宋体" w:hAnsi="宋体"/>
          <w:sz w:val="24"/>
        </w:rPr>
        <w:t>3.2.1  投标人应认真审阅招标文件和有关资料，尽力澄清一切疑点，对工程现场和周围环境进行勘察，以获取编制投标文件和签署合同所需的所有资料。</w:t>
      </w:r>
    </w:p>
    <w:p>
      <w:pPr>
        <w:spacing w:line="360" w:lineRule="auto"/>
        <w:ind w:left="850" w:hanging="849" w:hangingChars="354"/>
        <w:jc w:val="left"/>
        <w:rPr>
          <w:rFonts w:ascii="宋体" w:hAnsi="宋体"/>
          <w:sz w:val="24"/>
        </w:rPr>
      </w:pPr>
      <w:r>
        <w:rPr>
          <w:rFonts w:hint="eastAsia" w:ascii="宋体" w:hAnsi="宋体"/>
          <w:sz w:val="24"/>
        </w:rPr>
        <w:t>3.2.2  投标人和其他利害关系人如对招标文件及随后收到的有关资料有任何异议的，应当在投标截止时间10日前向招标人提出。招标人应当自收到异议之日起3日内作出答复；作出答复前，应当暂停招标投标活动。</w:t>
      </w:r>
    </w:p>
    <w:p>
      <w:pPr>
        <w:spacing w:line="360" w:lineRule="auto"/>
        <w:ind w:left="850" w:hanging="849" w:hangingChars="354"/>
        <w:rPr>
          <w:rFonts w:ascii="宋体" w:hAnsi="宋体"/>
          <w:sz w:val="24"/>
        </w:rPr>
      </w:pPr>
      <w:r>
        <w:rPr>
          <w:rFonts w:hint="eastAsia" w:ascii="宋体" w:hAnsi="宋体"/>
          <w:sz w:val="24"/>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pPr>
        <w:spacing w:line="360" w:lineRule="auto"/>
        <w:ind w:left="850" w:hanging="849" w:hangingChars="354"/>
        <w:jc w:val="left"/>
        <w:rPr>
          <w:rFonts w:ascii="宋体" w:hAnsi="宋体"/>
          <w:sz w:val="24"/>
        </w:rPr>
      </w:pPr>
      <w:r>
        <w:rPr>
          <w:rFonts w:hint="eastAsia" w:ascii="宋体" w:hAnsi="宋体"/>
          <w:sz w:val="24"/>
        </w:rPr>
        <w:t>3.2.4  澄清或答疑纪要是招标文件的组成部分，对投标人起约束作用。若招标答疑纪要或澄清与招标文件有矛盾时，以交易平台网站最后发布的答疑纪要或澄清为准。</w:t>
      </w:r>
    </w:p>
    <w:p>
      <w:pPr>
        <w:spacing w:line="360" w:lineRule="auto"/>
        <w:ind w:left="850" w:hanging="849" w:hangingChars="354"/>
        <w:jc w:val="left"/>
        <w:rPr>
          <w:rFonts w:ascii="宋体" w:hAnsi="宋体"/>
          <w:sz w:val="24"/>
        </w:rPr>
      </w:pPr>
      <w:r>
        <w:rPr>
          <w:rFonts w:hint="eastAsia" w:ascii="宋体" w:hAnsi="宋体"/>
          <w:sz w:val="24"/>
        </w:rPr>
        <w:t>3.2.5  网上答疑的</w:t>
      </w:r>
      <w:r>
        <w:rPr>
          <w:rFonts w:hint="eastAsia" w:ascii="宋体" w:hAnsi="宋体" w:cs="宋体"/>
          <w:sz w:val="24"/>
        </w:rPr>
        <w:t>具体操作详见交易平台发布的相关操作指引</w:t>
      </w:r>
      <w:r>
        <w:rPr>
          <w:rFonts w:hint="eastAsia" w:ascii="宋体" w:hAnsi="宋体"/>
          <w:sz w:val="24"/>
        </w:rPr>
        <w:t>。</w:t>
      </w:r>
    </w:p>
    <w:p>
      <w:pPr>
        <w:spacing w:line="360" w:lineRule="auto"/>
        <w:ind w:left="850" w:hanging="849" w:hangingChars="354"/>
        <w:rPr>
          <w:rFonts w:ascii="宋体" w:hAnsi="宋体"/>
          <w:sz w:val="24"/>
        </w:rPr>
      </w:pPr>
    </w:p>
    <w:p>
      <w:pPr>
        <w:spacing w:line="360" w:lineRule="auto"/>
        <w:ind w:left="853" w:hanging="849" w:hangingChars="354"/>
        <w:rPr>
          <w:rFonts w:ascii="宋体" w:hAnsi="宋体"/>
          <w:sz w:val="24"/>
        </w:rPr>
      </w:pPr>
      <w:r>
        <w:rPr>
          <w:rFonts w:hint="eastAsia" w:ascii="宋体" w:hAnsi="宋体"/>
          <w:b/>
          <w:bCs/>
          <w:sz w:val="24"/>
        </w:rPr>
        <w:t>3.3    投标文件编制要求</w:t>
      </w:r>
    </w:p>
    <w:p>
      <w:pPr>
        <w:spacing w:line="360" w:lineRule="auto"/>
        <w:ind w:left="850" w:hanging="849" w:hangingChars="354"/>
        <w:rPr>
          <w:rFonts w:ascii="宋体" w:hAnsi="宋体"/>
          <w:sz w:val="24"/>
        </w:rPr>
      </w:pPr>
    </w:p>
    <w:p>
      <w:pPr>
        <w:spacing w:line="360" w:lineRule="auto"/>
        <w:ind w:left="850" w:hanging="849" w:hangingChars="354"/>
        <w:rPr>
          <w:rFonts w:ascii="宋体" w:hAnsi="宋体"/>
          <w:sz w:val="24"/>
        </w:rPr>
      </w:pPr>
      <w:r>
        <w:rPr>
          <w:rFonts w:hint="eastAsia" w:ascii="宋体" w:hAnsi="宋体"/>
          <w:sz w:val="24"/>
        </w:rPr>
        <w:t>3.3.1  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pPr>
        <w:spacing w:line="360" w:lineRule="auto"/>
        <w:ind w:left="850" w:hanging="849" w:hangingChars="354"/>
        <w:rPr>
          <w:rFonts w:ascii="宋体" w:hAnsi="宋体"/>
          <w:sz w:val="24"/>
        </w:rPr>
      </w:pPr>
      <w:r>
        <w:rPr>
          <w:rFonts w:hint="eastAsia" w:ascii="宋体" w:hAnsi="宋体"/>
          <w:sz w:val="24"/>
        </w:rPr>
        <w:t>3.3.2  每个投标人报送一个投标方案，投标文件应达到招标文件规定的深度，满足评审需要。不响应招标文件要求的投标文件可能被拒绝，责任由投标人自负。</w:t>
      </w:r>
    </w:p>
    <w:p>
      <w:pPr>
        <w:spacing w:line="360" w:lineRule="auto"/>
        <w:ind w:left="850" w:hanging="849" w:hangingChars="354"/>
        <w:jc w:val="left"/>
        <w:rPr>
          <w:rFonts w:ascii="宋体" w:hAnsi="宋体"/>
          <w:kern w:val="0"/>
          <w:sz w:val="24"/>
        </w:rPr>
      </w:pPr>
      <w:r>
        <w:rPr>
          <w:rFonts w:hint="eastAsia" w:ascii="宋体" w:hAnsi="宋体"/>
          <w:sz w:val="24"/>
        </w:rPr>
        <w:t xml:space="preserve">3.3.3 </w:t>
      </w:r>
      <w:r>
        <w:rPr>
          <w:rFonts w:hint="eastAsia" w:ascii="宋体" w:hAnsi="宋体" w:cs="宋体"/>
          <w:sz w:val="24"/>
        </w:rPr>
        <w:t xml:space="preserve"> 投标文件全部采用电子文档，投标文件所附证书证件均为原件扫描件或</w:t>
      </w:r>
      <w:r>
        <w:rPr>
          <w:rFonts w:ascii="宋体" w:hAnsi="宋体" w:cs="宋体"/>
          <w:sz w:val="24"/>
        </w:rPr>
        <w:t>电子证书</w:t>
      </w:r>
      <w:r>
        <w:rPr>
          <w:rFonts w:hint="eastAsia" w:ascii="宋体" w:hAnsi="宋体" w:cs="宋体"/>
          <w:sz w:val="24"/>
        </w:rPr>
        <w:t>，并采用单位数字证书，按招标文件要求在相应位置加盖电子印章，投标文件中需个人签字或盖章的，应手签后扫描上传，具体操作详见交易平台发布的相关操作指引。</w:t>
      </w:r>
    </w:p>
    <w:p>
      <w:pPr>
        <w:spacing w:line="360" w:lineRule="auto"/>
        <w:ind w:left="850" w:hanging="849" w:hangingChars="354"/>
        <w:rPr>
          <w:rFonts w:ascii="宋体" w:hAnsi="宋体"/>
          <w:sz w:val="24"/>
        </w:rPr>
      </w:pPr>
      <w:r>
        <w:rPr>
          <w:rFonts w:hint="eastAsia" w:ascii="宋体" w:hAnsi="宋体"/>
          <w:sz w:val="24"/>
        </w:rPr>
        <w:t xml:space="preserve">3.3.4  </w:t>
      </w:r>
      <w:r>
        <w:rPr>
          <w:rFonts w:hint="eastAsia" w:ascii="宋体" w:hAnsi="宋体" w:cs="宋体"/>
          <w:sz w:val="24"/>
        </w:rPr>
        <w:t>投标文件加密要求</w:t>
      </w:r>
    </w:p>
    <w:p>
      <w:pPr>
        <w:spacing w:line="360" w:lineRule="auto"/>
        <w:ind w:left="850" w:hanging="849" w:hangingChars="354"/>
        <w:rPr>
          <w:rFonts w:ascii="宋体" w:hAnsi="宋体" w:cs="宋体"/>
          <w:sz w:val="24"/>
        </w:rPr>
      </w:pPr>
      <w:r>
        <w:rPr>
          <w:rFonts w:hint="eastAsia" w:ascii="宋体" w:hAnsi="宋体" w:cs="宋体"/>
          <w:sz w:val="24"/>
        </w:rPr>
        <w:t>3.3.4.1递交的电子投标文件必须进行加密。具体操作详见交易平台发布的相关操作指引。</w:t>
      </w:r>
    </w:p>
    <w:p>
      <w:pPr>
        <w:spacing w:line="360" w:lineRule="auto"/>
        <w:ind w:left="850" w:hanging="849" w:hangingChars="354"/>
        <w:rPr>
          <w:rFonts w:ascii="宋体" w:hAnsi="宋体" w:cs="宋体"/>
          <w:sz w:val="24"/>
        </w:rPr>
      </w:pPr>
      <w:r>
        <w:rPr>
          <w:rFonts w:hint="eastAsia" w:ascii="宋体" w:hAnsi="宋体" w:cs="宋体"/>
          <w:sz w:val="24"/>
        </w:rPr>
        <w:t>3.3.4.2 未按要求加密的投标文件，交易平台将予以拒收。</w:t>
      </w:r>
    </w:p>
    <w:p>
      <w:pPr>
        <w:spacing w:line="360" w:lineRule="auto"/>
        <w:ind w:left="850" w:hanging="849" w:hangingChars="354"/>
        <w:rPr>
          <w:rFonts w:ascii="宋体" w:hAnsi="宋体"/>
          <w:sz w:val="24"/>
        </w:rPr>
      </w:pPr>
    </w:p>
    <w:p>
      <w:pPr>
        <w:pStyle w:val="21"/>
        <w:spacing w:line="360" w:lineRule="auto"/>
        <w:ind w:left="853" w:hanging="849" w:hangingChars="354"/>
        <w:rPr>
          <w:rFonts w:hAnsi="宋体"/>
          <w:b/>
          <w:bCs/>
          <w:sz w:val="24"/>
          <w:szCs w:val="24"/>
        </w:rPr>
      </w:pPr>
      <w:r>
        <w:rPr>
          <w:rFonts w:hint="eastAsia" w:hAnsi="宋体"/>
          <w:b/>
          <w:bCs/>
          <w:sz w:val="24"/>
          <w:szCs w:val="24"/>
        </w:rPr>
        <w:t>3.4    延期</w:t>
      </w:r>
    </w:p>
    <w:p>
      <w:pPr>
        <w:spacing w:line="360" w:lineRule="auto"/>
        <w:ind w:left="850" w:hanging="849" w:hangingChars="354"/>
        <w:rPr>
          <w:rFonts w:ascii="宋体" w:hAnsi="宋体"/>
          <w:sz w:val="24"/>
        </w:rPr>
      </w:pPr>
    </w:p>
    <w:p>
      <w:pPr>
        <w:pStyle w:val="21"/>
        <w:spacing w:line="360" w:lineRule="auto"/>
        <w:ind w:left="850" w:hanging="849" w:hangingChars="354"/>
        <w:rPr>
          <w:rFonts w:hAnsi="宋体"/>
          <w:sz w:val="24"/>
          <w:szCs w:val="24"/>
        </w:rPr>
      </w:pPr>
      <w:r>
        <w:rPr>
          <w:rFonts w:hint="eastAsia" w:hAnsi="宋体"/>
          <w:sz w:val="24"/>
          <w:szCs w:val="24"/>
        </w:rPr>
        <w:t>3.4.1  如果招标过程出现监督机构、招标管理机构要求暂停、重新评标等意外情形，招标投标各项期限相应延长</w:t>
      </w:r>
      <w:r>
        <w:rPr>
          <w:rFonts w:hAnsi="宋体"/>
          <w:kern w:val="0"/>
          <w:sz w:val="24"/>
          <w:szCs w:val="24"/>
        </w:rPr>
        <w:t>。</w:t>
      </w:r>
    </w:p>
    <w:p>
      <w:pPr>
        <w:spacing w:line="360" w:lineRule="auto"/>
        <w:ind w:left="850" w:hanging="849" w:hangingChars="354"/>
        <w:jc w:val="left"/>
        <w:rPr>
          <w:rFonts w:ascii="宋体" w:hAnsi="宋体"/>
          <w:sz w:val="24"/>
        </w:rPr>
      </w:pPr>
      <w:r>
        <w:rPr>
          <w:rFonts w:hint="eastAsia" w:ascii="宋体" w:hAnsi="宋体"/>
          <w:sz w:val="24"/>
        </w:rPr>
        <w:t>3.4.2  为使投标人在编制投标文件时把</w:t>
      </w:r>
      <w:r>
        <w:rPr>
          <w:rFonts w:hint="eastAsia" w:ascii="宋体" w:hAnsi="宋体"/>
          <w:kern w:val="0"/>
          <w:sz w:val="24"/>
        </w:rPr>
        <w:t>招标人对招标文件的澄清、修改和</w:t>
      </w:r>
      <w:r>
        <w:rPr>
          <w:rFonts w:hint="eastAsia" w:ascii="宋体" w:hAnsi="宋体"/>
          <w:sz w:val="24"/>
        </w:rPr>
        <w:t>补充内容考虑进去，招标人可以酌情延长提交投标文件的截止日期。</w:t>
      </w:r>
    </w:p>
    <w:p>
      <w:pPr>
        <w:pStyle w:val="21"/>
        <w:spacing w:line="360" w:lineRule="auto"/>
        <w:ind w:left="850" w:hanging="849" w:hangingChars="354"/>
        <w:rPr>
          <w:rFonts w:hAnsi="宋体"/>
          <w:sz w:val="24"/>
          <w:szCs w:val="24"/>
        </w:rPr>
      </w:pPr>
      <w:r>
        <w:rPr>
          <w:rFonts w:hint="eastAsia" w:hAnsi="宋体"/>
          <w:sz w:val="24"/>
          <w:szCs w:val="24"/>
        </w:rPr>
        <w:t xml:space="preserve">3.4.3  </w:t>
      </w:r>
      <w:r>
        <w:rPr>
          <w:rFonts w:hAnsi="宋体"/>
          <w:kern w:val="0"/>
          <w:sz w:val="24"/>
          <w:szCs w:val="24"/>
        </w:rPr>
        <w:t>某几个</w:t>
      </w:r>
      <w:r>
        <w:rPr>
          <w:rFonts w:hint="eastAsia" w:hAnsi="宋体"/>
          <w:kern w:val="0"/>
          <w:sz w:val="24"/>
          <w:szCs w:val="24"/>
        </w:rPr>
        <w:t>投标人</w:t>
      </w:r>
      <w:r>
        <w:rPr>
          <w:rFonts w:hAnsi="宋体"/>
          <w:kern w:val="0"/>
          <w:sz w:val="24"/>
          <w:szCs w:val="24"/>
        </w:rPr>
        <w:t>因无法控制的原因不能</w:t>
      </w:r>
      <w:r>
        <w:rPr>
          <w:rFonts w:hint="eastAsia" w:hAnsi="宋体"/>
          <w:kern w:val="0"/>
          <w:sz w:val="24"/>
          <w:szCs w:val="24"/>
        </w:rPr>
        <w:t>如</w:t>
      </w:r>
      <w:r>
        <w:rPr>
          <w:rFonts w:hAnsi="宋体"/>
          <w:kern w:val="0"/>
          <w:sz w:val="24"/>
          <w:szCs w:val="24"/>
        </w:rPr>
        <w:t>期提交投标</w:t>
      </w:r>
      <w:r>
        <w:rPr>
          <w:rFonts w:hint="eastAsia" w:hAnsi="宋体"/>
          <w:kern w:val="0"/>
          <w:sz w:val="24"/>
          <w:szCs w:val="24"/>
        </w:rPr>
        <w:t>文件</w:t>
      </w:r>
      <w:r>
        <w:rPr>
          <w:rFonts w:hAnsi="宋体"/>
          <w:kern w:val="0"/>
          <w:sz w:val="24"/>
          <w:szCs w:val="24"/>
        </w:rPr>
        <w:t>，</w:t>
      </w:r>
      <w:r>
        <w:rPr>
          <w:rFonts w:hint="eastAsia" w:hAnsi="宋体"/>
          <w:kern w:val="0"/>
          <w:sz w:val="24"/>
          <w:szCs w:val="24"/>
        </w:rPr>
        <w:t>影响到提交投标文件的人数少于三人，招标人</w:t>
      </w:r>
      <w:r>
        <w:rPr>
          <w:rFonts w:hAnsi="宋体"/>
          <w:kern w:val="0"/>
          <w:sz w:val="24"/>
          <w:szCs w:val="24"/>
        </w:rPr>
        <w:t>可以决定展延截止日期。</w:t>
      </w:r>
      <w:r>
        <w:rPr>
          <w:rFonts w:hint="eastAsia" w:hAnsi="宋体"/>
          <w:sz w:val="24"/>
          <w:szCs w:val="24"/>
        </w:rPr>
        <w:t>延长提交投标文件截标日期和截止时间的决定由招标人作出。</w:t>
      </w:r>
    </w:p>
    <w:p>
      <w:pPr>
        <w:spacing w:line="360" w:lineRule="auto"/>
        <w:ind w:left="850" w:hanging="849" w:hangingChars="354"/>
        <w:rPr>
          <w:rFonts w:ascii="宋体" w:hAnsi="宋体"/>
          <w:sz w:val="24"/>
        </w:rPr>
      </w:pPr>
    </w:p>
    <w:p>
      <w:pPr>
        <w:spacing w:line="360" w:lineRule="auto"/>
        <w:ind w:left="853" w:hanging="849" w:hangingChars="354"/>
        <w:rPr>
          <w:rFonts w:ascii="宋体" w:hAnsi="宋体"/>
          <w:b/>
          <w:bCs/>
          <w:sz w:val="24"/>
        </w:rPr>
      </w:pPr>
      <w:r>
        <w:rPr>
          <w:rFonts w:hint="eastAsia" w:ascii="宋体" w:hAnsi="宋体"/>
          <w:b/>
          <w:bCs/>
          <w:sz w:val="24"/>
        </w:rPr>
        <w:t>3.5    投标时间</w:t>
      </w:r>
    </w:p>
    <w:p>
      <w:pPr>
        <w:spacing w:line="360" w:lineRule="auto"/>
        <w:ind w:left="850" w:hanging="849" w:hangingChars="354"/>
        <w:rPr>
          <w:rFonts w:ascii="宋体" w:hAnsi="宋体"/>
          <w:sz w:val="24"/>
        </w:rPr>
      </w:pPr>
    </w:p>
    <w:p>
      <w:pPr>
        <w:spacing w:line="360" w:lineRule="auto"/>
        <w:ind w:left="850" w:hanging="849" w:hangingChars="354"/>
        <w:jc w:val="left"/>
        <w:rPr>
          <w:rFonts w:ascii="宋体" w:hAnsi="宋体"/>
          <w:sz w:val="24"/>
        </w:rPr>
      </w:pPr>
      <w:r>
        <w:rPr>
          <w:rFonts w:hint="eastAsia" w:ascii="宋体" w:hAnsi="宋体"/>
          <w:sz w:val="24"/>
        </w:rPr>
        <w:t>3.5.1  投标截止时间自本工程招标公告发布之日起计。</w:t>
      </w:r>
    </w:p>
    <w:p>
      <w:pPr>
        <w:spacing w:line="360" w:lineRule="auto"/>
        <w:ind w:left="850" w:hanging="849" w:hangingChars="354"/>
        <w:rPr>
          <w:rFonts w:ascii="宋体" w:hAnsi="宋体"/>
          <w:sz w:val="24"/>
        </w:rPr>
      </w:pPr>
      <w:r>
        <w:rPr>
          <w:rFonts w:hint="eastAsia" w:ascii="宋体" w:hAnsi="宋体"/>
          <w:sz w:val="24"/>
        </w:rPr>
        <w:t>3.5.2  具体投标截止时间以招标人（招标代理机构）的最新通知为准，请各投标人留意交易平台网站发布的本工程相关信息。</w:t>
      </w:r>
    </w:p>
    <w:p>
      <w:pPr>
        <w:spacing w:line="360" w:lineRule="auto"/>
        <w:ind w:left="850" w:hanging="849" w:hangingChars="354"/>
        <w:rPr>
          <w:rFonts w:ascii="宋体" w:hAnsi="宋体"/>
          <w:sz w:val="24"/>
        </w:rPr>
      </w:pPr>
      <w:r>
        <w:rPr>
          <w:rFonts w:hint="eastAsia" w:ascii="宋体" w:hAnsi="宋体"/>
          <w:sz w:val="24"/>
        </w:rPr>
        <w:t>3.5.3  到投标截止时间止，招标人收到的投标文件少于3家的，招标人将重新组织招标（当N个标段同时招标且不允许兼中时，若有效投标人不足N+2家，则重新组织招标）。</w:t>
      </w:r>
    </w:p>
    <w:p>
      <w:pPr>
        <w:spacing w:line="360" w:lineRule="auto"/>
        <w:ind w:left="850" w:hanging="849" w:hangingChars="354"/>
        <w:rPr>
          <w:rFonts w:ascii="宋体" w:hAnsi="宋体"/>
          <w:sz w:val="24"/>
        </w:rPr>
      </w:pPr>
    </w:p>
    <w:p>
      <w:pPr>
        <w:spacing w:line="360" w:lineRule="auto"/>
        <w:ind w:left="853" w:hanging="849" w:hangingChars="354"/>
        <w:rPr>
          <w:rFonts w:ascii="宋体" w:hAnsi="宋体"/>
          <w:b/>
          <w:bCs/>
          <w:sz w:val="24"/>
        </w:rPr>
      </w:pPr>
      <w:r>
        <w:rPr>
          <w:rFonts w:hint="eastAsia" w:ascii="宋体" w:hAnsi="宋体"/>
          <w:b/>
          <w:bCs/>
          <w:sz w:val="24"/>
        </w:rPr>
        <w:t>3.6    投标文件的递交和接受</w:t>
      </w:r>
    </w:p>
    <w:p>
      <w:pPr>
        <w:spacing w:line="360" w:lineRule="auto"/>
        <w:ind w:left="850" w:hanging="849" w:hangingChars="354"/>
        <w:rPr>
          <w:rFonts w:ascii="宋体" w:hAnsi="宋体"/>
          <w:sz w:val="24"/>
        </w:rPr>
      </w:pPr>
    </w:p>
    <w:p>
      <w:pPr>
        <w:spacing w:line="360" w:lineRule="auto"/>
        <w:ind w:left="850" w:hanging="849" w:hangingChars="354"/>
        <w:jc w:val="left"/>
        <w:rPr>
          <w:rFonts w:ascii="宋体" w:hAnsi="宋体"/>
          <w:sz w:val="24"/>
        </w:rPr>
      </w:pPr>
      <w:r>
        <w:rPr>
          <w:rFonts w:hint="eastAsia" w:ascii="宋体" w:hAnsi="宋体"/>
          <w:sz w:val="24"/>
        </w:rPr>
        <w:t>3.6.1  投标人通过下载招标文件的交易平台递交电子投标文件。</w:t>
      </w:r>
    </w:p>
    <w:p>
      <w:pPr>
        <w:spacing w:line="360" w:lineRule="auto"/>
        <w:ind w:left="850" w:hanging="849" w:hangingChars="354"/>
        <w:jc w:val="left"/>
        <w:rPr>
          <w:rFonts w:ascii="宋体" w:hAnsi="宋体"/>
          <w:sz w:val="24"/>
        </w:rPr>
      </w:pPr>
      <w:r>
        <w:rPr>
          <w:rFonts w:hint="eastAsia" w:ascii="宋体" w:hAnsi="宋体"/>
          <w:sz w:val="24"/>
        </w:rPr>
        <w:t>3.6.2  投标人完成电子投标文件上传后，交易平台即时向投标人发出递交回执通知。递交时间以递交回执通知载明的传输完成时间为准。</w:t>
      </w:r>
    </w:p>
    <w:p>
      <w:pPr>
        <w:spacing w:line="360" w:lineRule="auto"/>
        <w:ind w:left="850" w:hanging="849" w:hangingChars="354"/>
        <w:jc w:val="left"/>
        <w:rPr>
          <w:rFonts w:ascii="宋体" w:hAnsi="宋体"/>
          <w:sz w:val="24"/>
        </w:rPr>
      </w:pPr>
      <w:r>
        <w:rPr>
          <w:rFonts w:hint="eastAsia" w:ascii="宋体" w:hAnsi="宋体"/>
          <w:sz w:val="24"/>
        </w:rPr>
        <w:t>3.6.3  如按招标公告要求需要提交</w:t>
      </w:r>
      <w:r>
        <w:rPr>
          <w:rFonts w:hint="eastAsia" w:ascii="宋体" w:hAnsi="宋体" w:cs="宋体"/>
          <w:sz w:val="24"/>
        </w:rPr>
        <w:t>投标文件光盘（备用），备用光盘不得加密。如使用投标文件光盘（备用）时无法读取或导入的，则视为未提交投标文件。</w:t>
      </w:r>
    </w:p>
    <w:p>
      <w:pPr>
        <w:spacing w:line="360" w:lineRule="auto"/>
        <w:ind w:left="850" w:hanging="849" w:hangingChars="354"/>
        <w:jc w:val="left"/>
        <w:rPr>
          <w:rFonts w:ascii="宋体" w:hAnsi="宋体" w:cs="宋体"/>
          <w:sz w:val="24"/>
        </w:rPr>
      </w:pPr>
      <w:r>
        <w:rPr>
          <w:rFonts w:hint="eastAsia" w:ascii="宋体" w:hAnsi="宋体"/>
          <w:sz w:val="24"/>
        </w:rPr>
        <w:t xml:space="preserve">3.6.4  </w:t>
      </w:r>
      <w:r>
        <w:rPr>
          <w:rFonts w:hint="eastAsia" w:ascii="宋体" w:hAnsi="宋体" w:cs="宋体"/>
          <w:sz w:val="24"/>
        </w:rPr>
        <w:t>逾期送达的投标文件，交易平台将予以拒收。</w:t>
      </w:r>
    </w:p>
    <w:p>
      <w:pPr>
        <w:spacing w:line="360" w:lineRule="auto"/>
        <w:ind w:left="850" w:hanging="849" w:hangingChars="354"/>
        <w:jc w:val="left"/>
        <w:rPr>
          <w:rFonts w:ascii="宋体" w:hAnsi="宋体" w:cs="宋体"/>
          <w:sz w:val="24"/>
        </w:rPr>
      </w:pPr>
    </w:p>
    <w:p>
      <w:pPr>
        <w:spacing w:line="360" w:lineRule="auto"/>
        <w:ind w:left="853" w:hanging="849" w:hangingChars="354"/>
        <w:jc w:val="left"/>
        <w:rPr>
          <w:rFonts w:ascii="宋体" w:hAnsi="宋体"/>
          <w:b/>
          <w:sz w:val="24"/>
        </w:rPr>
      </w:pPr>
      <w:r>
        <w:rPr>
          <w:rFonts w:hint="eastAsia" w:ascii="宋体" w:hAnsi="宋体"/>
          <w:b/>
          <w:sz w:val="24"/>
        </w:rPr>
        <w:t xml:space="preserve">3.7    </w:t>
      </w:r>
      <w:r>
        <w:rPr>
          <w:rFonts w:ascii="宋体" w:hAnsi="宋体"/>
          <w:b/>
          <w:sz w:val="24"/>
        </w:rPr>
        <w:t>投标文件的修改与撤回</w:t>
      </w:r>
    </w:p>
    <w:p>
      <w:pPr>
        <w:spacing w:line="360" w:lineRule="auto"/>
        <w:ind w:left="853" w:hanging="849" w:hangingChars="354"/>
        <w:jc w:val="left"/>
        <w:rPr>
          <w:rFonts w:ascii="宋体" w:hAnsi="宋体"/>
          <w:b/>
          <w:sz w:val="24"/>
        </w:rPr>
      </w:pPr>
    </w:p>
    <w:p>
      <w:pPr>
        <w:spacing w:line="360" w:lineRule="auto"/>
        <w:ind w:left="850" w:hanging="849" w:hangingChars="354"/>
        <w:jc w:val="left"/>
        <w:rPr>
          <w:rFonts w:ascii="宋体" w:hAnsi="宋体" w:cs="宋体"/>
          <w:sz w:val="24"/>
        </w:rPr>
      </w:pPr>
      <w:r>
        <w:rPr>
          <w:rFonts w:hint="eastAsia" w:ascii="宋体" w:hAnsi="宋体"/>
          <w:sz w:val="24"/>
        </w:rPr>
        <w:t xml:space="preserve">3.7.1  </w:t>
      </w:r>
      <w:r>
        <w:rPr>
          <w:rFonts w:hint="eastAsia" w:ascii="宋体" w:hAnsi="宋体" w:cs="宋体"/>
          <w:sz w:val="24"/>
        </w:rPr>
        <w:t>在规定的投标截止时间前，投标人可以修改或撤回已递交的投标文件。</w:t>
      </w:r>
    </w:p>
    <w:p>
      <w:pPr>
        <w:spacing w:line="360" w:lineRule="auto"/>
        <w:ind w:left="850" w:hanging="849" w:hangingChars="354"/>
        <w:jc w:val="left"/>
        <w:rPr>
          <w:rFonts w:ascii="宋体" w:hAnsi="宋体" w:cs="宋体"/>
          <w:sz w:val="24"/>
        </w:rPr>
      </w:pPr>
      <w:r>
        <w:rPr>
          <w:rFonts w:hint="eastAsia" w:ascii="宋体" w:hAnsi="宋体"/>
          <w:sz w:val="24"/>
        </w:rPr>
        <w:t xml:space="preserve">3.7.2  </w:t>
      </w:r>
      <w:r>
        <w:rPr>
          <w:rFonts w:hint="eastAsia" w:ascii="宋体" w:hAnsi="宋体" w:cs="宋体"/>
          <w:sz w:val="24"/>
        </w:rPr>
        <w:t>投标人修改或撤回已递交的投标文件，需在交易平台发出撤回通知，并按要求加盖电子印章。电子招标投标交易平台收到通知后，即时向投标人发布确认回执通知。</w:t>
      </w:r>
    </w:p>
    <w:p>
      <w:pPr>
        <w:spacing w:line="360" w:lineRule="auto"/>
        <w:ind w:left="850" w:hanging="849" w:hangingChars="354"/>
        <w:jc w:val="left"/>
        <w:rPr>
          <w:rFonts w:ascii="宋体" w:hAnsi="宋体" w:cs="宋体"/>
          <w:sz w:val="24"/>
        </w:rPr>
      </w:pPr>
      <w:r>
        <w:rPr>
          <w:rFonts w:hint="eastAsia" w:ascii="宋体" w:hAnsi="宋体" w:cs="宋体"/>
          <w:sz w:val="24"/>
        </w:rPr>
        <w:t>3.7.3  修改后再次递交的，按3.6的规定执行。</w:t>
      </w:r>
    </w:p>
    <w:p>
      <w:pPr>
        <w:spacing w:line="360" w:lineRule="auto"/>
        <w:ind w:left="850" w:hanging="849" w:hangingChars="354"/>
        <w:jc w:val="left"/>
        <w:rPr>
          <w:rFonts w:ascii="宋体" w:hAnsi="宋体" w:cs="宋体"/>
          <w:sz w:val="24"/>
        </w:rPr>
      </w:pPr>
      <w:r>
        <w:rPr>
          <w:rFonts w:hint="eastAsia" w:ascii="宋体" w:hAnsi="宋体" w:cs="宋体"/>
          <w:sz w:val="24"/>
        </w:rPr>
        <w:t>3.7.4  在投标截止时间后，投标人不得补充、修改或更换投标文件。</w:t>
      </w:r>
    </w:p>
    <w:p>
      <w:pPr>
        <w:spacing w:line="360" w:lineRule="auto"/>
        <w:ind w:left="850" w:hanging="849" w:hangingChars="354"/>
        <w:jc w:val="left"/>
        <w:rPr>
          <w:rFonts w:ascii="宋体" w:hAnsi="宋体" w:cs="宋体"/>
          <w:sz w:val="24"/>
        </w:rPr>
      </w:pPr>
    </w:p>
    <w:p>
      <w:pPr>
        <w:spacing w:line="360" w:lineRule="auto"/>
        <w:ind w:left="853" w:hanging="849" w:hangingChars="354"/>
        <w:jc w:val="left"/>
        <w:rPr>
          <w:rFonts w:ascii="宋体" w:hAnsi="宋体"/>
          <w:b/>
          <w:sz w:val="24"/>
        </w:rPr>
      </w:pPr>
      <w:r>
        <w:rPr>
          <w:rFonts w:hint="eastAsia" w:ascii="宋体" w:hAnsi="宋体"/>
          <w:b/>
          <w:sz w:val="24"/>
        </w:rPr>
        <w:t>3.8    电子招标投标解密失败及突发状况的补救</w:t>
      </w:r>
    </w:p>
    <w:p>
      <w:pPr>
        <w:spacing w:line="360" w:lineRule="auto"/>
        <w:ind w:left="853" w:hanging="849" w:hangingChars="354"/>
        <w:jc w:val="left"/>
        <w:rPr>
          <w:rFonts w:ascii="宋体" w:hAnsi="宋体"/>
          <w:b/>
          <w:sz w:val="24"/>
        </w:rPr>
      </w:pPr>
    </w:p>
    <w:p>
      <w:pPr>
        <w:spacing w:line="360" w:lineRule="auto"/>
        <w:ind w:left="850" w:hanging="849" w:hangingChars="354"/>
        <w:jc w:val="left"/>
        <w:rPr>
          <w:rFonts w:ascii="宋体" w:hAnsi="宋体"/>
          <w:sz w:val="24"/>
        </w:rPr>
      </w:pPr>
      <w:r>
        <w:rPr>
          <w:rFonts w:hint="eastAsia" w:ascii="宋体" w:hAnsi="宋体"/>
          <w:sz w:val="24"/>
        </w:rPr>
        <w:t>3.8.1  提交投标文件光盘备用</w:t>
      </w:r>
    </w:p>
    <w:p>
      <w:pPr>
        <w:spacing w:line="360" w:lineRule="auto"/>
        <w:ind w:left="850" w:hanging="849" w:hangingChars="354"/>
        <w:jc w:val="left"/>
        <w:rPr>
          <w:rFonts w:ascii="宋体" w:hAnsi="宋体" w:cs="宋体"/>
          <w:sz w:val="24"/>
        </w:rPr>
      </w:pPr>
      <w:r>
        <w:rPr>
          <w:rFonts w:hint="eastAsia" w:ascii="宋体" w:hAnsi="宋体"/>
          <w:sz w:val="24"/>
        </w:rPr>
        <w:t xml:space="preserve">       </w:t>
      </w:r>
      <w:r>
        <w:rPr>
          <w:rFonts w:hint="eastAsia" w:ascii="宋体" w:hAnsi="宋体" w:cs="宋体"/>
          <w:sz w:val="24"/>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spacing w:line="360" w:lineRule="auto"/>
        <w:ind w:left="850" w:hanging="849" w:hangingChars="354"/>
        <w:jc w:val="left"/>
        <w:rPr>
          <w:rFonts w:ascii="宋体" w:hAnsi="宋体" w:cs="宋体"/>
          <w:sz w:val="24"/>
        </w:rPr>
      </w:pPr>
      <w:r>
        <w:rPr>
          <w:rFonts w:hint="eastAsia" w:ascii="宋体" w:hAnsi="宋体" w:cs="宋体"/>
          <w:sz w:val="24"/>
        </w:rPr>
        <w:t>3.8.2  补救方案</w:t>
      </w:r>
    </w:p>
    <w:p>
      <w:pPr>
        <w:spacing w:line="360" w:lineRule="auto"/>
        <w:ind w:left="850" w:hanging="849" w:hangingChars="354"/>
        <w:jc w:val="left"/>
        <w:rPr>
          <w:rFonts w:ascii="宋体" w:hAnsi="宋体" w:cs="宋体"/>
          <w:sz w:val="24"/>
        </w:rPr>
      </w:pPr>
      <w:r>
        <w:rPr>
          <w:rFonts w:hint="eastAsia" w:ascii="宋体" w:hAnsi="宋体"/>
          <w:sz w:val="24"/>
        </w:rPr>
        <w:t>3.8.2.1</w:t>
      </w:r>
      <w:r>
        <w:rPr>
          <w:rFonts w:hint="eastAsia" w:ascii="宋体" w:hAnsi="宋体" w:cs="宋体"/>
          <w:sz w:val="24"/>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ind w:left="850" w:hanging="849" w:hangingChars="354"/>
        <w:jc w:val="left"/>
        <w:rPr>
          <w:rFonts w:ascii="宋体" w:hAnsi="宋体" w:cs="宋体"/>
          <w:sz w:val="24"/>
        </w:rPr>
      </w:pPr>
      <w:r>
        <w:rPr>
          <w:rFonts w:hint="eastAsia" w:ascii="宋体" w:hAnsi="宋体"/>
          <w:sz w:val="24"/>
        </w:rPr>
        <w:t>3.8.2.2</w:t>
      </w:r>
      <w:r>
        <w:rPr>
          <w:rFonts w:hint="eastAsia" w:ascii="宋体" w:hAnsi="宋体" w:cs="宋体"/>
          <w:sz w:val="24"/>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spacing w:line="360" w:lineRule="auto"/>
        <w:ind w:left="850" w:hanging="849" w:hangingChars="354"/>
        <w:jc w:val="left"/>
        <w:rPr>
          <w:rFonts w:ascii="宋体" w:hAnsi="宋体" w:cs="宋体"/>
          <w:sz w:val="24"/>
        </w:rPr>
      </w:pPr>
      <w:r>
        <w:rPr>
          <w:rFonts w:hint="eastAsia" w:ascii="宋体" w:hAnsi="宋体"/>
          <w:sz w:val="24"/>
        </w:rPr>
        <w:t>3.8.2.3</w:t>
      </w:r>
      <w:r>
        <w:rPr>
          <w:rFonts w:hint="eastAsia" w:ascii="宋体" w:hAnsi="宋体" w:cs="宋体"/>
          <w:sz w:val="24"/>
        </w:rPr>
        <w:t>除发生上述情况外，开标评标均以投标人通过交易平台网上递交的电子投标文件为准。</w:t>
      </w:r>
    </w:p>
    <w:p>
      <w:pPr>
        <w:spacing w:line="360" w:lineRule="auto"/>
        <w:ind w:left="850" w:hanging="849" w:hangingChars="354"/>
        <w:jc w:val="left"/>
        <w:rPr>
          <w:rFonts w:ascii="宋体" w:hAnsi="宋体"/>
          <w:sz w:val="24"/>
        </w:rPr>
      </w:pPr>
    </w:p>
    <w:p>
      <w:pPr>
        <w:spacing w:line="360" w:lineRule="auto"/>
        <w:ind w:left="853" w:hanging="849" w:hangingChars="354"/>
        <w:rPr>
          <w:rFonts w:ascii="宋体" w:hAnsi="宋体"/>
          <w:b/>
          <w:bCs/>
          <w:sz w:val="24"/>
        </w:rPr>
      </w:pPr>
      <w:r>
        <w:rPr>
          <w:rFonts w:hint="eastAsia" w:ascii="宋体" w:hAnsi="宋体"/>
          <w:b/>
          <w:bCs/>
          <w:sz w:val="24"/>
        </w:rPr>
        <w:t>3.9    开标及投标文件编号</w:t>
      </w:r>
    </w:p>
    <w:p>
      <w:pPr>
        <w:spacing w:line="360" w:lineRule="auto"/>
        <w:ind w:left="850" w:hanging="849" w:hangingChars="354"/>
        <w:jc w:val="left"/>
        <w:rPr>
          <w:rFonts w:ascii="宋体" w:hAnsi="宋体"/>
          <w:sz w:val="24"/>
        </w:rPr>
      </w:pPr>
    </w:p>
    <w:p>
      <w:pPr>
        <w:spacing w:line="360" w:lineRule="auto"/>
        <w:ind w:left="850" w:hanging="849" w:hangingChars="354"/>
        <w:rPr>
          <w:rFonts w:ascii="宋体" w:hAnsi="宋体"/>
          <w:sz w:val="24"/>
        </w:rPr>
      </w:pPr>
      <w:r>
        <w:rPr>
          <w:rFonts w:hint="eastAsia" w:ascii="宋体" w:hAnsi="宋体"/>
          <w:sz w:val="24"/>
        </w:rPr>
        <w:t>3.9.1  在投标截止时间后半小时内，投标人通过</w:t>
      </w:r>
      <w:r>
        <w:rPr>
          <w:rFonts w:hint="eastAsia" w:ascii="宋体" w:hAnsi="宋体"/>
          <w:sz w:val="24"/>
          <w:u w:val="single"/>
        </w:rPr>
        <w:t>递交投标文件的</w:t>
      </w:r>
      <w:r>
        <w:rPr>
          <w:rFonts w:hint="eastAsia" w:ascii="宋体" w:hAnsi="宋体"/>
          <w:sz w:val="24"/>
        </w:rPr>
        <w:t>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pPr>
        <w:spacing w:line="360" w:lineRule="auto"/>
        <w:ind w:left="850" w:hanging="849" w:hangingChars="354"/>
        <w:rPr>
          <w:rFonts w:ascii="宋体" w:hAnsi="宋体"/>
          <w:sz w:val="24"/>
        </w:rPr>
      </w:pPr>
      <w:r>
        <w:rPr>
          <w:rFonts w:hint="eastAsia" w:ascii="宋体" w:hAnsi="宋体"/>
          <w:sz w:val="24"/>
        </w:rPr>
        <w:t>3.9.2  截标后，开标开始时间因故推迟的，相关评标信息仍以原定的开标开始时间的信息为准。</w:t>
      </w:r>
    </w:p>
    <w:p>
      <w:pPr>
        <w:spacing w:line="360" w:lineRule="auto"/>
        <w:ind w:left="850" w:hanging="849" w:hangingChars="354"/>
        <w:rPr>
          <w:rFonts w:ascii="宋体" w:hAnsi="宋体"/>
          <w:sz w:val="24"/>
        </w:rPr>
      </w:pPr>
      <w:r>
        <w:rPr>
          <w:rFonts w:hint="eastAsia" w:ascii="宋体" w:hAnsi="宋体"/>
          <w:sz w:val="24"/>
        </w:rPr>
        <w:t>3.9.3  备用光盘的读取按3.8.2的规定执行。</w:t>
      </w:r>
    </w:p>
    <w:p>
      <w:pPr>
        <w:spacing w:line="360" w:lineRule="auto"/>
        <w:ind w:left="850" w:hanging="849" w:hangingChars="354"/>
        <w:rPr>
          <w:rFonts w:ascii="宋体" w:hAnsi="宋体"/>
          <w:sz w:val="24"/>
        </w:rPr>
      </w:pPr>
      <w:r>
        <w:rPr>
          <w:rFonts w:hint="eastAsia" w:ascii="宋体" w:hAnsi="宋体"/>
          <w:sz w:val="24"/>
        </w:rPr>
        <w:t>3.9.4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left="850" w:hanging="849" w:hangingChars="354"/>
        <w:rPr>
          <w:rFonts w:ascii="宋体" w:hAnsi="宋体"/>
          <w:sz w:val="24"/>
        </w:rPr>
      </w:pPr>
      <w:r>
        <w:rPr>
          <w:rFonts w:hint="eastAsia" w:ascii="宋体" w:hAnsi="宋体"/>
          <w:sz w:val="24"/>
        </w:rPr>
        <w:t>3.9.5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360" w:lineRule="auto"/>
        <w:ind w:left="850" w:hanging="849" w:hangingChars="354"/>
        <w:rPr>
          <w:rFonts w:ascii="宋体" w:hAnsi="宋体"/>
          <w:sz w:val="24"/>
        </w:rPr>
      </w:pPr>
      <w:r>
        <w:rPr>
          <w:rFonts w:hint="eastAsia" w:ascii="宋体" w:hAnsi="宋体"/>
          <w:sz w:val="24"/>
        </w:rPr>
        <w:t>3.9.6  参加现场开标的投标人对开标结果有异议的，应当在开标现场提出，招标人应当当场作出答复，并制作记录。</w:t>
      </w:r>
    </w:p>
    <w:p>
      <w:pPr>
        <w:spacing w:line="360" w:lineRule="auto"/>
        <w:ind w:left="850" w:hanging="849" w:hangingChars="354"/>
        <w:rPr>
          <w:rFonts w:ascii="宋体" w:hAnsi="宋体"/>
          <w:sz w:val="24"/>
        </w:rPr>
      </w:pPr>
      <w:r>
        <w:rPr>
          <w:rFonts w:hint="eastAsia" w:ascii="宋体" w:hAnsi="宋体"/>
          <w:sz w:val="24"/>
        </w:rPr>
        <w:t>3.9.7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360" w:lineRule="auto"/>
        <w:ind w:left="850" w:hanging="849" w:hangingChars="354"/>
        <w:rPr>
          <w:rFonts w:ascii="宋体" w:hAnsi="宋体"/>
          <w:sz w:val="24"/>
        </w:rPr>
      </w:pPr>
      <w:r>
        <w:rPr>
          <w:rFonts w:hint="eastAsia" w:ascii="宋体" w:hAnsi="宋体"/>
          <w:sz w:val="24"/>
        </w:rPr>
        <w:t>3.9.8  投标人未参加开标或在规定的时间内未提出异议的，视为对开标无异议。</w:t>
      </w:r>
    </w:p>
    <w:p>
      <w:pPr>
        <w:spacing w:line="360" w:lineRule="auto"/>
        <w:ind w:left="850" w:hanging="849" w:hangingChars="354"/>
        <w:rPr>
          <w:rFonts w:ascii="宋体" w:hAnsi="宋体"/>
          <w:sz w:val="24"/>
        </w:rPr>
      </w:pPr>
      <w:r>
        <w:rPr>
          <w:rFonts w:hint="eastAsia" w:ascii="宋体" w:hAnsi="宋体"/>
          <w:sz w:val="24"/>
        </w:rPr>
        <w:t>3.9.9  开标时，两个（含两个）以上的投标人加密打包投标文件电脑机器特征码一致的，不参与下一程序，并由评标委员会否决其投标。</w:t>
      </w:r>
    </w:p>
    <w:p>
      <w:pPr>
        <w:spacing w:line="360" w:lineRule="auto"/>
        <w:ind w:left="850" w:hanging="849" w:hangingChars="354"/>
        <w:rPr>
          <w:rFonts w:ascii="宋体" w:hAnsi="宋体"/>
          <w:sz w:val="24"/>
        </w:rPr>
      </w:pPr>
      <w:r>
        <w:rPr>
          <w:rFonts w:hint="eastAsia" w:ascii="宋体" w:hAnsi="宋体"/>
          <w:sz w:val="24"/>
        </w:rPr>
        <w:t>3.9.10 投标文件（设计方案）开标时不得开启，在评标时由交易平台随机编号后开启，交由评标委员会进行评审。编号所对应的投标人在投票结束前不得告知评标委员会、交易平台工作人员、招标人或招标代理机构。</w:t>
      </w:r>
    </w:p>
    <w:p>
      <w:pPr>
        <w:spacing w:line="360" w:lineRule="auto"/>
        <w:ind w:left="850" w:hanging="849" w:hangingChars="354"/>
        <w:jc w:val="left"/>
        <w:rPr>
          <w:rFonts w:ascii="宋体" w:hAnsi="宋体"/>
          <w:sz w:val="24"/>
        </w:rPr>
      </w:pPr>
    </w:p>
    <w:p>
      <w:pPr>
        <w:spacing w:line="360" w:lineRule="auto"/>
        <w:ind w:left="853" w:hanging="849" w:hangingChars="354"/>
        <w:rPr>
          <w:rFonts w:ascii="宋体" w:hAnsi="宋体"/>
          <w:b/>
          <w:bCs/>
          <w:sz w:val="24"/>
        </w:rPr>
      </w:pPr>
      <w:r>
        <w:rPr>
          <w:rFonts w:hint="eastAsia" w:ascii="宋体" w:hAnsi="宋体"/>
          <w:b/>
          <w:bCs/>
          <w:sz w:val="24"/>
        </w:rPr>
        <w:t>3.10   投标保证</w:t>
      </w:r>
    </w:p>
    <w:p>
      <w:pPr>
        <w:spacing w:line="360" w:lineRule="auto"/>
        <w:ind w:left="850" w:hanging="849" w:hangingChars="354"/>
        <w:rPr>
          <w:rFonts w:ascii="宋体" w:hAnsi="宋体"/>
          <w:sz w:val="24"/>
        </w:rPr>
      </w:pPr>
    </w:p>
    <w:p>
      <w:pPr>
        <w:spacing w:line="360" w:lineRule="auto"/>
        <w:ind w:left="850" w:hanging="849" w:hangingChars="354"/>
        <w:rPr>
          <w:rFonts w:ascii="宋体" w:hAnsi="宋体"/>
          <w:sz w:val="24"/>
        </w:rPr>
      </w:pPr>
      <w:r>
        <w:rPr>
          <w:rFonts w:hint="eastAsia" w:ascii="宋体" w:hAnsi="宋体"/>
          <w:sz w:val="24"/>
        </w:rPr>
        <w:t>3.10.1 投标人不需要提交投标保证金，评标结果揭晓后，中标候选人所得投标补偿转作保证金，确定中标人后立即返还，其中中标人的保证金待签订合同后立即返还。如果重新招标，保证金立即返还。</w:t>
      </w:r>
    </w:p>
    <w:p>
      <w:pPr>
        <w:spacing w:line="360" w:lineRule="auto"/>
        <w:ind w:left="850" w:hanging="849" w:hangingChars="354"/>
        <w:rPr>
          <w:rFonts w:ascii="宋体" w:hAnsi="宋体"/>
          <w:sz w:val="24"/>
        </w:rPr>
      </w:pPr>
      <w:r>
        <w:rPr>
          <w:rFonts w:hint="eastAsia" w:ascii="宋体" w:hAnsi="宋体"/>
          <w:sz w:val="24"/>
        </w:rPr>
        <w:t xml:space="preserve">3.10.2 </w:t>
      </w:r>
      <w:r>
        <w:rPr>
          <w:rFonts w:hint="eastAsia" w:ascii="宋体" w:hAnsi="宋体"/>
          <w:kern w:val="0"/>
          <w:sz w:val="24"/>
        </w:rPr>
        <w:t>投标有效期90天，</w:t>
      </w:r>
      <w:r>
        <w:rPr>
          <w:rFonts w:hint="eastAsia" w:ascii="宋体" w:hAnsi="宋体"/>
          <w:sz w:val="24"/>
        </w:rPr>
        <w:t>从提交投标文件截止日起计算。在提交投标文件截止时间后到招标文件规定的投标有效期终止之前，投标人不得补充、修改或者撤回其投标文件，否则其保证金将被没收。</w:t>
      </w:r>
    </w:p>
    <w:p>
      <w:pPr>
        <w:spacing w:line="360" w:lineRule="auto"/>
        <w:ind w:left="850" w:hanging="849" w:hangingChars="354"/>
        <w:jc w:val="left"/>
        <w:rPr>
          <w:rFonts w:ascii="宋体" w:hAnsi="宋体"/>
          <w:sz w:val="24"/>
        </w:rPr>
      </w:pPr>
      <w:r>
        <w:rPr>
          <w:rFonts w:hint="eastAsia" w:ascii="宋体" w:hAnsi="宋体"/>
          <w:sz w:val="24"/>
        </w:rPr>
        <w:t>3.10.3 招标人因特殊情况需要延长提交投标文件截止时间，投标人可以拒绝投标，招标人对退出的投标人不作任何经济补偿。同意延长投标有效期的投标人，在延长期内本招标文件的规定仍然适用。</w:t>
      </w:r>
    </w:p>
    <w:p>
      <w:pPr>
        <w:pStyle w:val="21"/>
        <w:spacing w:line="360" w:lineRule="auto"/>
        <w:ind w:left="850" w:hanging="849" w:hangingChars="354"/>
        <w:rPr>
          <w:rFonts w:hAnsi="宋体"/>
          <w:sz w:val="24"/>
          <w:szCs w:val="24"/>
        </w:rPr>
      </w:pPr>
    </w:p>
    <w:p>
      <w:pPr>
        <w:pStyle w:val="21"/>
        <w:spacing w:line="360" w:lineRule="auto"/>
        <w:ind w:left="853" w:hanging="849" w:hangingChars="354"/>
        <w:rPr>
          <w:rFonts w:hAnsi="宋体"/>
          <w:sz w:val="24"/>
          <w:szCs w:val="24"/>
        </w:rPr>
      </w:pPr>
      <w:r>
        <w:rPr>
          <w:rFonts w:hint="eastAsia" w:hAnsi="宋体"/>
          <w:b/>
          <w:bCs/>
          <w:sz w:val="24"/>
          <w:szCs w:val="24"/>
        </w:rPr>
        <w:t>3.11    投标人不得存在下列情形之一：</w:t>
      </w:r>
    </w:p>
    <w:p>
      <w:pPr>
        <w:pStyle w:val="21"/>
        <w:spacing w:line="360" w:lineRule="auto"/>
        <w:ind w:left="850" w:hanging="849" w:hangingChars="354"/>
        <w:rPr>
          <w:rFonts w:hAnsi="宋体"/>
          <w:sz w:val="24"/>
          <w:szCs w:val="24"/>
        </w:rPr>
      </w:pPr>
    </w:p>
    <w:p>
      <w:pPr>
        <w:pStyle w:val="21"/>
        <w:spacing w:line="360" w:lineRule="auto"/>
        <w:ind w:left="850" w:hanging="849" w:hangingChars="354"/>
        <w:rPr>
          <w:rFonts w:hAnsi="宋体"/>
          <w:sz w:val="24"/>
          <w:szCs w:val="24"/>
        </w:rPr>
      </w:pPr>
      <w:r>
        <w:rPr>
          <w:rFonts w:hint="eastAsia" w:hAnsi="宋体"/>
          <w:sz w:val="24"/>
          <w:szCs w:val="24"/>
        </w:rPr>
        <w:t>（1）为招标人不具有独立法人资格的附属机构（单位）；</w:t>
      </w:r>
    </w:p>
    <w:p>
      <w:pPr>
        <w:pStyle w:val="21"/>
        <w:spacing w:line="360" w:lineRule="auto"/>
        <w:ind w:left="850" w:hanging="849" w:hangingChars="354"/>
        <w:rPr>
          <w:rFonts w:hAnsi="宋体"/>
          <w:sz w:val="24"/>
          <w:szCs w:val="24"/>
        </w:rPr>
      </w:pPr>
      <w:r>
        <w:rPr>
          <w:rFonts w:hint="eastAsia" w:hAnsi="宋体"/>
          <w:sz w:val="24"/>
          <w:szCs w:val="24"/>
        </w:rPr>
        <w:t>（2）与招标人存在利害关系且可能影响招标公正性；</w:t>
      </w:r>
    </w:p>
    <w:p>
      <w:pPr>
        <w:pStyle w:val="21"/>
        <w:spacing w:line="360" w:lineRule="auto"/>
        <w:ind w:left="850" w:hanging="849" w:hangingChars="354"/>
        <w:rPr>
          <w:rFonts w:hAnsi="宋体"/>
          <w:sz w:val="24"/>
          <w:szCs w:val="24"/>
        </w:rPr>
      </w:pPr>
      <w:r>
        <w:rPr>
          <w:rFonts w:hint="eastAsia" w:hAnsi="宋体"/>
          <w:sz w:val="24"/>
          <w:szCs w:val="24"/>
        </w:rPr>
        <w:t>（3）与本招标项目的其他投标人为同一个单位负责人；</w:t>
      </w:r>
    </w:p>
    <w:p>
      <w:pPr>
        <w:pStyle w:val="21"/>
        <w:spacing w:line="360" w:lineRule="auto"/>
        <w:ind w:left="850" w:hanging="849" w:hangingChars="354"/>
        <w:rPr>
          <w:rFonts w:hAnsi="宋体"/>
          <w:sz w:val="24"/>
          <w:szCs w:val="24"/>
        </w:rPr>
      </w:pPr>
      <w:r>
        <w:rPr>
          <w:rFonts w:hint="eastAsia" w:hAnsi="宋体"/>
          <w:sz w:val="24"/>
          <w:szCs w:val="24"/>
        </w:rPr>
        <w:t>（4）与本招标项目的其他投标人存在控股、管理关系；</w:t>
      </w:r>
    </w:p>
    <w:p>
      <w:pPr>
        <w:pStyle w:val="21"/>
        <w:spacing w:line="360" w:lineRule="auto"/>
        <w:ind w:left="850" w:hanging="849" w:hangingChars="354"/>
        <w:rPr>
          <w:rFonts w:hAnsi="宋体"/>
          <w:sz w:val="24"/>
          <w:szCs w:val="24"/>
        </w:rPr>
      </w:pPr>
      <w:r>
        <w:rPr>
          <w:rFonts w:hint="eastAsia" w:hAnsi="宋体"/>
          <w:sz w:val="24"/>
          <w:szCs w:val="24"/>
        </w:rPr>
        <w:t>（5）为本招标项目的代建人；</w:t>
      </w:r>
    </w:p>
    <w:p>
      <w:pPr>
        <w:pStyle w:val="21"/>
        <w:spacing w:line="360" w:lineRule="auto"/>
        <w:ind w:left="850" w:hanging="849" w:hangingChars="354"/>
        <w:rPr>
          <w:rFonts w:hAnsi="宋体"/>
          <w:sz w:val="24"/>
          <w:szCs w:val="24"/>
        </w:rPr>
      </w:pPr>
      <w:r>
        <w:rPr>
          <w:rFonts w:hint="eastAsia" w:hAnsi="宋体"/>
          <w:sz w:val="24"/>
          <w:szCs w:val="24"/>
        </w:rPr>
        <w:t>（6）为本招标项目的招标代理机构；</w:t>
      </w:r>
    </w:p>
    <w:p>
      <w:pPr>
        <w:pStyle w:val="21"/>
        <w:spacing w:line="360" w:lineRule="auto"/>
        <w:ind w:left="850" w:hanging="849" w:hangingChars="354"/>
        <w:rPr>
          <w:rFonts w:hAnsi="宋体"/>
          <w:sz w:val="24"/>
          <w:szCs w:val="24"/>
        </w:rPr>
      </w:pPr>
      <w:r>
        <w:rPr>
          <w:rFonts w:hint="eastAsia" w:hAnsi="宋体"/>
          <w:sz w:val="24"/>
          <w:szCs w:val="24"/>
        </w:rPr>
        <w:t>（7）与本招标项目的代建人或招标代理机构同为一个法定代表人；</w:t>
      </w:r>
    </w:p>
    <w:p>
      <w:pPr>
        <w:pStyle w:val="21"/>
        <w:spacing w:line="360" w:lineRule="auto"/>
        <w:ind w:left="850" w:hanging="849" w:hangingChars="354"/>
        <w:rPr>
          <w:rFonts w:hAnsi="宋体"/>
          <w:sz w:val="24"/>
          <w:szCs w:val="24"/>
        </w:rPr>
      </w:pPr>
      <w:r>
        <w:rPr>
          <w:rFonts w:hint="eastAsia" w:hAnsi="宋体"/>
          <w:sz w:val="24"/>
          <w:szCs w:val="24"/>
        </w:rPr>
        <w:t>（8）与本招标项目的代建人或招标代理机构存在控股或参股关系；</w:t>
      </w:r>
    </w:p>
    <w:p>
      <w:pPr>
        <w:pStyle w:val="21"/>
        <w:spacing w:line="360" w:lineRule="auto"/>
        <w:ind w:left="850" w:hanging="849" w:hangingChars="354"/>
        <w:rPr>
          <w:rFonts w:hAnsi="宋体"/>
          <w:sz w:val="24"/>
          <w:szCs w:val="24"/>
        </w:rPr>
      </w:pPr>
      <w:r>
        <w:rPr>
          <w:rFonts w:hint="eastAsia" w:hAnsi="宋体"/>
          <w:sz w:val="24"/>
          <w:szCs w:val="24"/>
        </w:rPr>
        <w:t>（9）被依法暂停或者取消投标资格；</w:t>
      </w:r>
    </w:p>
    <w:p>
      <w:pPr>
        <w:pStyle w:val="21"/>
        <w:spacing w:line="360" w:lineRule="auto"/>
        <w:ind w:left="850" w:hanging="849" w:hangingChars="354"/>
        <w:rPr>
          <w:rFonts w:hAnsi="宋体"/>
          <w:sz w:val="24"/>
          <w:szCs w:val="24"/>
        </w:rPr>
      </w:pPr>
      <w:r>
        <w:rPr>
          <w:rFonts w:hint="eastAsia" w:hAnsi="宋体"/>
          <w:sz w:val="24"/>
          <w:szCs w:val="24"/>
        </w:rPr>
        <w:t>（10）被责令停产停业、暂扣或者吊销许可证、暂扣或者吊销执照；</w:t>
      </w:r>
    </w:p>
    <w:p>
      <w:pPr>
        <w:pStyle w:val="21"/>
        <w:spacing w:line="360" w:lineRule="auto"/>
        <w:ind w:left="850" w:hanging="849" w:hangingChars="354"/>
        <w:rPr>
          <w:rFonts w:hAnsi="宋体"/>
          <w:sz w:val="24"/>
          <w:szCs w:val="24"/>
        </w:rPr>
      </w:pPr>
      <w:r>
        <w:rPr>
          <w:rFonts w:hint="eastAsia" w:hAnsi="宋体"/>
          <w:sz w:val="24"/>
          <w:szCs w:val="24"/>
        </w:rPr>
        <w:t>（11）进入清算程序，或被宣告破产，或其他丧失履约能力的情形；</w:t>
      </w:r>
    </w:p>
    <w:p>
      <w:pPr>
        <w:pStyle w:val="21"/>
        <w:spacing w:line="360" w:lineRule="auto"/>
        <w:ind w:left="850" w:hanging="849" w:hangingChars="354"/>
        <w:rPr>
          <w:rFonts w:hAnsi="宋体"/>
          <w:sz w:val="24"/>
          <w:szCs w:val="24"/>
        </w:rPr>
      </w:pPr>
      <w:r>
        <w:rPr>
          <w:rFonts w:hint="eastAsia" w:hAnsi="宋体"/>
          <w:sz w:val="24"/>
          <w:szCs w:val="24"/>
        </w:rPr>
        <w:t>（12）在最近三年内发生重大设计质量问题（以相关行业主管部门的行政处罚决定或司法机关出具的有关法律文书为准）；</w:t>
      </w:r>
    </w:p>
    <w:p>
      <w:pPr>
        <w:pStyle w:val="21"/>
        <w:numPr>
          <w:ilvl w:val="0"/>
          <w:numId w:val="4"/>
        </w:numPr>
        <w:spacing w:line="360" w:lineRule="auto"/>
        <w:ind w:left="850" w:hanging="849" w:hangingChars="354"/>
        <w:rPr>
          <w:rFonts w:hAnsi="宋体"/>
          <w:sz w:val="24"/>
          <w:szCs w:val="24"/>
        </w:rPr>
      </w:pPr>
      <w:r>
        <w:rPr>
          <w:rFonts w:hint="eastAsia" w:hAnsi="宋体"/>
          <w:sz w:val="24"/>
          <w:szCs w:val="24"/>
        </w:rPr>
        <w:t>被工商行政管理机关在全国企业信用信息公示系统中列入严重违法失信企业名单；</w:t>
      </w:r>
    </w:p>
    <w:p>
      <w:pPr>
        <w:pStyle w:val="21"/>
        <w:spacing w:line="360" w:lineRule="auto"/>
        <w:ind w:left="850" w:hanging="849" w:hangingChars="354"/>
        <w:rPr>
          <w:rFonts w:hAnsi="宋体"/>
          <w:sz w:val="24"/>
          <w:szCs w:val="24"/>
        </w:rPr>
      </w:pPr>
      <w:r>
        <w:rPr>
          <w:rFonts w:hint="eastAsia" w:hAnsi="宋体"/>
          <w:sz w:val="24"/>
          <w:szCs w:val="24"/>
        </w:rPr>
        <w:t>（14）被最高人民法院在“信用中国”网站（www.creditchina.gov.cn）或各级信用信息共享平台中列入失信被执行人名单；</w:t>
      </w:r>
    </w:p>
    <w:p>
      <w:pPr>
        <w:pStyle w:val="21"/>
        <w:spacing w:line="360" w:lineRule="auto"/>
        <w:ind w:left="850" w:hanging="849" w:hangingChars="354"/>
        <w:rPr>
          <w:rFonts w:hAnsi="宋体"/>
          <w:sz w:val="24"/>
          <w:szCs w:val="24"/>
        </w:rPr>
      </w:pPr>
      <w:r>
        <w:rPr>
          <w:rFonts w:hint="eastAsia" w:hAnsi="宋体"/>
          <w:sz w:val="24"/>
          <w:szCs w:val="24"/>
        </w:rPr>
        <w:t>（15）在近三年内投标人或其法定代表人、拟委任的项目负责人有行贿犯罪行为的。</w:t>
      </w:r>
    </w:p>
    <w:p>
      <w:pPr>
        <w:pStyle w:val="3"/>
        <w:spacing w:before="0" w:after="0" w:line="360" w:lineRule="auto"/>
        <w:jc w:val="center"/>
        <w:rPr>
          <w:rFonts w:ascii="宋体" w:hAnsi="宋体"/>
          <w:sz w:val="36"/>
          <w:szCs w:val="36"/>
        </w:rPr>
      </w:pPr>
      <w:r>
        <w:rPr>
          <w:rFonts w:ascii="宋体" w:hAnsi="宋体"/>
        </w:rPr>
        <w:br w:type="page"/>
      </w:r>
      <w:bookmarkStart w:id="7" w:name="_Toc22561"/>
      <w:bookmarkStart w:id="8" w:name="_Toc1297"/>
      <w:r>
        <w:rPr>
          <w:rFonts w:hint="eastAsia" w:ascii="宋体" w:hAnsi="宋体"/>
          <w:sz w:val="36"/>
          <w:szCs w:val="36"/>
        </w:rPr>
        <w:t>第四章  评标</w:t>
      </w:r>
      <w:bookmarkEnd w:id="7"/>
      <w:r>
        <w:rPr>
          <w:rFonts w:hint="eastAsia" w:ascii="宋体" w:hAnsi="宋体" w:cs="宋体"/>
          <w:sz w:val="36"/>
          <w:szCs w:val="36"/>
          <w:u w:val="single"/>
        </w:rPr>
        <w:t>（范本原文）</w:t>
      </w:r>
      <w:bookmarkEnd w:id="8"/>
    </w:p>
    <w:p>
      <w:pPr>
        <w:pStyle w:val="21"/>
        <w:spacing w:line="360" w:lineRule="auto"/>
        <w:ind w:left="425" w:hanging="424" w:hangingChars="177"/>
        <w:rPr>
          <w:rFonts w:hAnsi="宋体"/>
          <w:sz w:val="24"/>
          <w:szCs w:val="24"/>
        </w:rPr>
      </w:pPr>
    </w:p>
    <w:p>
      <w:pPr>
        <w:spacing w:line="360" w:lineRule="auto"/>
        <w:ind w:left="426" w:hanging="424" w:hangingChars="177"/>
        <w:rPr>
          <w:rFonts w:ascii="宋体" w:hAnsi="宋体"/>
          <w:b/>
          <w:bCs/>
          <w:sz w:val="24"/>
        </w:rPr>
      </w:pPr>
      <w:r>
        <w:rPr>
          <w:rFonts w:hint="eastAsia" w:ascii="宋体" w:hAnsi="宋体"/>
          <w:b/>
          <w:bCs/>
          <w:sz w:val="24"/>
        </w:rPr>
        <w:t>4.1    否决投标</w:t>
      </w:r>
    </w:p>
    <w:p>
      <w:pPr>
        <w:spacing w:line="360" w:lineRule="auto"/>
        <w:ind w:left="425" w:hanging="424" w:hangingChars="177"/>
        <w:rPr>
          <w:rFonts w:ascii="宋体" w:hAnsi="宋体"/>
          <w:sz w:val="24"/>
        </w:rPr>
      </w:pPr>
    </w:p>
    <w:p>
      <w:pPr>
        <w:spacing w:line="360" w:lineRule="auto"/>
        <w:ind w:left="425" w:hanging="424" w:hangingChars="177"/>
        <w:rPr>
          <w:rFonts w:ascii="宋体" w:hAnsi="宋体"/>
          <w:sz w:val="24"/>
        </w:rPr>
      </w:pPr>
      <w:r>
        <w:rPr>
          <w:rFonts w:hint="eastAsia" w:ascii="宋体" w:hAnsi="宋体"/>
          <w:sz w:val="24"/>
        </w:rPr>
        <w:t>4.1.1  投标人有下列情况之一的，评标委员会应当否决其投标：</w:t>
      </w:r>
    </w:p>
    <w:p>
      <w:pPr>
        <w:spacing w:line="360" w:lineRule="auto"/>
        <w:ind w:left="425" w:hanging="424" w:hangingChars="177"/>
        <w:rPr>
          <w:rFonts w:ascii="宋体" w:hAnsi="宋体"/>
          <w:sz w:val="24"/>
        </w:rPr>
      </w:pPr>
      <w:r>
        <w:rPr>
          <w:rFonts w:hint="eastAsia" w:ascii="宋体" w:hAnsi="宋体"/>
          <w:sz w:val="24"/>
        </w:rPr>
        <w:t xml:space="preserve">   (a) 投标人与招标人、评标委员会成员或者其他投标人串通投标；</w:t>
      </w:r>
    </w:p>
    <w:p>
      <w:pPr>
        <w:spacing w:line="360" w:lineRule="auto"/>
        <w:ind w:left="425" w:hanging="424" w:hangingChars="177"/>
        <w:rPr>
          <w:rFonts w:ascii="宋体" w:hAnsi="宋体"/>
          <w:sz w:val="24"/>
        </w:rPr>
      </w:pPr>
      <w:r>
        <w:rPr>
          <w:rFonts w:hint="eastAsia" w:ascii="宋体" w:hAnsi="宋体"/>
          <w:sz w:val="24"/>
        </w:rPr>
        <w:t xml:space="preserve">   (b) 投标人之间存在《广东省实施&lt;中华人民共和国招标投标法&gt;》第十六条所禁止的情形的；</w:t>
      </w:r>
    </w:p>
    <w:p>
      <w:pPr>
        <w:spacing w:line="360" w:lineRule="auto"/>
        <w:ind w:left="425" w:hanging="424" w:hangingChars="177"/>
        <w:rPr>
          <w:rFonts w:ascii="宋体" w:hAnsi="宋体"/>
          <w:sz w:val="24"/>
        </w:rPr>
      </w:pPr>
      <w:r>
        <w:rPr>
          <w:rFonts w:hint="eastAsia" w:ascii="宋体" w:hAnsi="宋体"/>
          <w:sz w:val="24"/>
        </w:rPr>
        <w:t>4.1.2  有下列情况之一的，评标委员会应当否决其投标：</w:t>
      </w:r>
    </w:p>
    <w:p>
      <w:pPr>
        <w:spacing w:line="360" w:lineRule="auto"/>
        <w:ind w:left="425" w:hanging="424" w:hangingChars="177"/>
        <w:rPr>
          <w:rFonts w:ascii="宋体" w:hAnsi="宋体"/>
          <w:sz w:val="24"/>
        </w:rPr>
      </w:pPr>
      <w:r>
        <w:rPr>
          <w:rFonts w:hint="eastAsia" w:ascii="宋体" w:hAnsi="宋体"/>
          <w:sz w:val="24"/>
        </w:rPr>
        <w:t xml:space="preserve">   (a) 《投标书》未加盖投标人公章，也未经法定代表人或者其授权代表签字；</w:t>
      </w:r>
    </w:p>
    <w:p>
      <w:pPr>
        <w:spacing w:line="360" w:lineRule="auto"/>
        <w:ind w:left="425" w:hanging="424" w:hangingChars="177"/>
        <w:rPr>
          <w:rFonts w:ascii="宋体" w:hAnsi="宋体"/>
          <w:sz w:val="24"/>
        </w:rPr>
      </w:pPr>
      <w:r>
        <w:rPr>
          <w:rFonts w:hint="eastAsia" w:ascii="宋体" w:hAnsi="宋体"/>
          <w:sz w:val="24"/>
        </w:rPr>
        <w:t xml:space="preserve">   (b) 《投标书》包含有招标人不能接受的偏差，并且投标人拒绝书面撤回偏差；</w:t>
      </w:r>
    </w:p>
    <w:p>
      <w:pPr>
        <w:spacing w:line="360" w:lineRule="auto"/>
        <w:ind w:left="425" w:hanging="424" w:hangingChars="177"/>
        <w:rPr>
          <w:rFonts w:ascii="宋体" w:hAnsi="宋体"/>
          <w:sz w:val="24"/>
        </w:rPr>
      </w:pPr>
      <w:r>
        <w:rPr>
          <w:rFonts w:hint="eastAsia" w:ascii="宋体" w:hAnsi="宋体"/>
          <w:sz w:val="24"/>
        </w:rPr>
        <w:t xml:space="preserve">   (c) 《投标人声明》未按规定格式填写或未加盖投标人公章（适用于未设资格审查环节的项目）；</w:t>
      </w:r>
    </w:p>
    <w:p>
      <w:pPr>
        <w:spacing w:line="360" w:lineRule="auto"/>
        <w:ind w:left="425" w:hanging="424" w:hangingChars="177"/>
        <w:rPr>
          <w:rFonts w:ascii="宋体" w:hAnsi="宋体"/>
          <w:sz w:val="24"/>
        </w:rPr>
      </w:pPr>
      <w:r>
        <w:rPr>
          <w:rFonts w:hint="eastAsia" w:ascii="宋体" w:hAnsi="宋体"/>
          <w:sz w:val="24"/>
        </w:rPr>
        <w:t>4.1.3  投标文件有下列情况之一的，评标委员会应当否决其投标：</w:t>
      </w:r>
    </w:p>
    <w:p>
      <w:pPr>
        <w:spacing w:line="360" w:lineRule="auto"/>
        <w:ind w:left="425" w:hanging="424" w:hangingChars="177"/>
        <w:jc w:val="left"/>
        <w:rPr>
          <w:rFonts w:ascii="宋体" w:hAnsi="宋体"/>
          <w:sz w:val="24"/>
        </w:rPr>
      </w:pPr>
      <w:r>
        <w:rPr>
          <w:rFonts w:hint="eastAsia" w:ascii="宋体" w:hAnsi="宋体"/>
          <w:sz w:val="24"/>
        </w:rPr>
        <w:t xml:space="preserve">   (a) 投标人与其他投标人加密打包投标文件电脑机器特征码一致的；</w:t>
      </w:r>
    </w:p>
    <w:p>
      <w:pPr>
        <w:spacing w:line="360" w:lineRule="auto"/>
        <w:ind w:left="425" w:hanging="424" w:hangingChars="177"/>
        <w:rPr>
          <w:rFonts w:ascii="宋体" w:hAnsi="宋体"/>
          <w:sz w:val="24"/>
        </w:rPr>
      </w:pPr>
      <w:r>
        <w:rPr>
          <w:rFonts w:hint="eastAsia" w:ascii="宋体" w:hAnsi="宋体"/>
          <w:sz w:val="24"/>
        </w:rPr>
        <w:t xml:space="preserve">   (b) 投标人在设计方案内标注名称、印章、商标、图形等记认符号，使人辨认出投标人或其专业技术人员的身份；</w:t>
      </w:r>
    </w:p>
    <w:p>
      <w:pPr>
        <w:spacing w:line="360" w:lineRule="auto"/>
        <w:ind w:left="425" w:hanging="424" w:hangingChars="177"/>
        <w:rPr>
          <w:rFonts w:ascii="宋体" w:hAnsi="宋体"/>
          <w:sz w:val="24"/>
        </w:rPr>
      </w:pPr>
      <w:r>
        <w:rPr>
          <w:rFonts w:hint="eastAsia" w:ascii="宋体" w:hAnsi="宋体"/>
          <w:sz w:val="24"/>
        </w:rPr>
        <w:t xml:space="preserve">   (c)投标人之间存在《广东省实施&lt;中华人民共和国招标投标法&gt;》第十六条所禁止的情形的；</w:t>
      </w:r>
    </w:p>
    <w:p>
      <w:pPr>
        <w:spacing w:line="360" w:lineRule="auto"/>
        <w:ind w:left="425" w:hanging="424" w:hangingChars="177"/>
        <w:rPr>
          <w:rFonts w:ascii="宋体" w:hAnsi="宋体"/>
          <w:sz w:val="24"/>
        </w:rPr>
      </w:pPr>
      <w:r>
        <w:rPr>
          <w:rFonts w:hint="eastAsia" w:ascii="宋体" w:hAnsi="宋体"/>
          <w:sz w:val="24"/>
        </w:rPr>
        <w:t xml:space="preserve">  （d）投标报价高于最高投标限价的。</w:t>
      </w:r>
    </w:p>
    <w:p>
      <w:pPr>
        <w:spacing w:line="360" w:lineRule="auto"/>
        <w:ind w:left="425" w:hanging="424" w:hangingChars="177"/>
        <w:rPr>
          <w:rFonts w:ascii="宋体" w:hAnsi="宋体"/>
          <w:sz w:val="24"/>
        </w:rPr>
      </w:pPr>
      <w:r>
        <w:rPr>
          <w:rFonts w:hint="eastAsia" w:ascii="宋体" w:hAnsi="宋体"/>
          <w:sz w:val="24"/>
        </w:rPr>
        <w:t>4.1.4  投标人有下列情况之一的，视为串通投标：</w:t>
      </w:r>
    </w:p>
    <w:p>
      <w:pPr>
        <w:spacing w:line="360" w:lineRule="auto"/>
        <w:ind w:left="425" w:hanging="424" w:hangingChars="177"/>
        <w:rPr>
          <w:rFonts w:ascii="宋体" w:hAnsi="宋体"/>
          <w:sz w:val="24"/>
        </w:rPr>
      </w:pPr>
      <w:r>
        <w:rPr>
          <w:rFonts w:hint="eastAsia" w:ascii="宋体" w:hAnsi="宋体"/>
          <w:sz w:val="24"/>
        </w:rPr>
        <w:t xml:space="preserve">   (a) 递交投标文件前，投标人私下向招标人或其雇员出示或告知投标文件内容；</w:t>
      </w:r>
    </w:p>
    <w:p>
      <w:pPr>
        <w:spacing w:line="360" w:lineRule="auto"/>
        <w:ind w:left="425" w:hanging="424" w:hangingChars="177"/>
        <w:rPr>
          <w:rFonts w:ascii="宋体" w:hAnsi="宋体"/>
          <w:sz w:val="24"/>
        </w:rPr>
      </w:pPr>
      <w:r>
        <w:rPr>
          <w:rFonts w:hint="eastAsia" w:ascii="宋体" w:hAnsi="宋体"/>
          <w:sz w:val="24"/>
        </w:rPr>
        <w:t xml:space="preserve">   (b) 评标表决结束前，投标人私下向评标委员会成员出示或告知投标文件内容；</w:t>
      </w:r>
    </w:p>
    <w:p>
      <w:pPr>
        <w:spacing w:line="360" w:lineRule="auto"/>
        <w:ind w:left="425" w:hanging="424" w:hangingChars="177"/>
        <w:rPr>
          <w:rFonts w:ascii="宋体" w:hAnsi="宋体"/>
          <w:sz w:val="24"/>
        </w:rPr>
      </w:pPr>
      <w:r>
        <w:rPr>
          <w:rFonts w:hint="eastAsia" w:ascii="宋体" w:hAnsi="宋体"/>
          <w:sz w:val="24"/>
        </w:rPr>
        <w:t xml:space="preserve">   (c) 评标结果揭晓前，投标人与招标人就投标价格、投标方案等实质性内容进行谈判。</w:t>
      </w:r>
    </w:p>
    <w:p>
      <w:pPr>
        <w:spacing w:line="360" w:lineRule="auto"/>
        <w:ind w:left="425" w:hanging="424" w:hangingChars="177"/>
        <w:rPr>
          <w:rFonts w:ascii="宋体" w:hAnsi="宋体"/>
          <w:sz w:val="24"/>
        </w:rPr>
      </w:pPr>
      <w:r>
        <w:rPr>
          <w:rFonts w:hint="eastAsia" w:ascii="宋体" w:hAnsi="宋体"/>
          <w:sz w:val="24"/>
        </w:rPr>
        <w:t>4.1.5  发生下列情形之一的，招标人应当重新组织招标：</w:t>
      </w:r>
    </w:p>
    <w:p>
      <w:pPr>
        <w:spacing w:line="360" w:lineRule="auto"/>
        <w:ind w:left="425" w:hanging="424" w:hangingChars="177"/>
        <w:rPr>
          <w:rFonts w:ascii="宋体" w:hAnsi="宋体"/>
          <w:sz w:val="24"/>
        </w:rPr>
      </w:pPr>
      <w:r>
        <w:rPr>
          <w:rFonts w:hint="eastAsia" w:ascii="宋体" w:hAnsi="宋体"/>
          <w:sz w:val="24"/>
        </w:rPr>
        <w:t xml:space="preserve">   (a) 递交投标文件或通过资格审查的投标人不足三人；</w:t>
      </w:r>
    </w:p>
    <w:p>
      <w:pPr>
        <w:spacing w:line="360" w:lineRule="auto"/>
        <w:ind w:left="425" w:hanging="424" w:hangingChars="177"/>
        <w:rPr>
          <w:rFonts w:ascii="宋体" w:hAnsi="宋体"/>
          <w:sz w:val="24"/>
        </w:rPr>
      </w:pPr>
      <w:r>
        <w:rPr>
          <w:rFonts w:hint="eastAsia" w:ascii="宋体" w:hAnsi="宋体"/>
          <w:sz w:val="24"/>
        </w:rPr>
        <w:t xml:space="preserve">   (b) 所有投标被否决，或者经评议有效投标的投标人少于三人；</w:t>
      </w:r>
    </w:p>
    <w:p>
      <w:pPr>
        <w:spacing w:line="360" w:lineRule="auto"/>
        <w:ind w:left="425" w:hanging="424" w:hangingChars="177"/>
        <w:rPr>
          <w:rFonts w:ascii="宋体" w:hAnsi="宋体"/>
          <w:sz w:val="24"/>
        </w:rPr>
      </w:pPr>
      <w:r>
        <w:rPr>
          <w:rFonts w:hint="eastAsia" w:ascii="宋体" w:hAnsi="宋体"/>
          <w:sz w:val="24"/>
        </w:rPr>
        <w:t xml:space="preserve">   (c) 经项目审批部门会同行业主管部门裁定招标投标结果无效；</w:t>
      </w:r>
    </w:p>
    <w:p>
      <w:pPr>
        <w:spacing w:line="360" w:lineRule="auto"/>
        <w:ind w:left="425" w:hanging="424" w:hangingChars="177"/>
        <w:rPr>
          <w:rFonts w:ascii="宋体" w:hAnsi="宋体"/>
          <w:sz w:val="24"/>
        </w:rPr>
      </w:pPr>
      <w:r>
        <w:rPr>
          <w:rFonts w:hint="eastAsia" w:ascii="宋体" w:hAnsi="宋体"/>
          <w:sz w:val="24"/>
        </w:rPr>
        <w:t>4.1.6  否决投标的决定由评标委员会作出，其他投标人无权干涉。</w:t>
      </w:r>
    </w:p>
    <w:p>
      <w:pPr>
        <w:spacing w:line="360" w:lineRule="auto"/>
        <w:ind w:left="425" w:hanging="424" w:hangingChars="177"/>
        <w:rPr>
          <w:rFonts w:ascii="宋体" w:hAnsi="宋体"/>
          <w:sz w:val="24"/>
        </w:rPr>
      </w:pPr>
      <w:r>
        <w:rPr>
          <w:rFonts w:hint="eastAsia" w:ascii="宋体" w:hAnsi="宋体"/>
          <w:sz w:val="24"/>
        </w:rPr>
        <w:t>4.1.7  投标文件如果隐瞒不符合评审标准的事实，一切法律责任由投标人承担。</w:t>
      </w:r>
    </w:p>
    <w:p>
      <w:pPr>
        <w:spacing w:line="360" w:lineRule="auto"/>
        <w:ind w:left="425" w:hanging="424" w:hangingChars="177"/>
        <w:rPr>
          <w:rFonts w:ascii="宋体" w:hAnsi="宋体"/>
          <w:sz w:val="24"/>
        </w:rPr>
      </w:pPr>
    </w:p>
    <w:p>
      <w:pPr>
        <w:pStyle w:val="21"/>
        <w:spacing w:line="360" w:lineRule="auto"/>
        <w:ind w:left="426" w:hanging="424" w:hangingChars="177"/>
        <w:rPr>
          <w:rFonts w:hAnsi="宋体"/>
          <w:b/>
          <w:bCs/>
          <w:sz w:val="24"/>
          <w:szCs w:val="24"/>
        </w:rPr>
      </w:pPr>
      <w:r>
        <w:rPr>
          <w:rFonts w:hint="eastAsia" w:hAnsi="宋体"/>
          <w:b/>
          <w:bCs/>
          <w:sz w:val="24"/>
          <w:szCs w:val="24"/>
        </w:rPr>
        <w:t>4.2    评标委员会</w:t>
      </w:r>
    </w:p>
    <w:p>
      <w:pPr>
        <w:pStyle w:val="21"/>
        <w:spacing w:line="360" w:lineRule="auto"/>
        <w:ind w:left="425" w:hanging="424" w:hangingChars="177"/>
        <w:rPr>
          <w:rFonts w:hAnsi="宋体"/>
          <w:sz w:val="24"/>
          <w:szCs w:val="24"/>
        </w:rPr>
      </w:pPr>
    </w:p>
    <w:p>
      <w:pPr>
        <w:pStyle w:val="21"/>
        <w:spacing w:line="360" w:lineRule="auto"/>
        <w:ind w:left="850" w:hanging="849" w:hangingChars="354"/>
        <w:rPr>
          <w:rFonts w:hAnsi="宋体"/>
          <w:sz w:val="24"/>
          <w:szCs w:val="24"/>
        </w:rPr>
      </w:pPr>
      <w:r>
        <w:rPr>
          <w:rFonts w:hint="eastAsia" w:hAnsi="宋体"/>
          <w:sz w:val="24"/>
          <w:szCs w:val="24"/>
        </w:rPr>
        <w:t>4.2</w:t>
      </w:r>
      <w:r>
        <w:rPr>
          <w:rFonts w:hAnsi="宋体"/>
          <w:sz w:val="24"/>
          <w:szCs w:val="24"/>
        </w:rPr>
        <w:t>.</w:t>
      </w:r>
      <w:r>
        <w:rPr>
          <w:rFonts w:hint="eastAsia" w:hAnsi="宋体"/>
          <w:sz w:val="24"/>
          <w:szCs w:val="24"/>
        </w:rPr>
        <w:t>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pPr>
        <w:pStyle w:val="21"/>
        <w:spacing w:line="360" w:lineRule="auto"/>
        <w:ind w:left="850" w:hanging="849" w:hangingChars="354"/>
        <w:rPr>
          <w:rFonts w:hAnsi="宋体" w:cs="Arial"/>
          <w:sz w:val="24"/>
          <w:szCs w:val="24"/>
        </w:rPr>
      </w:pPr>
      <w:r>
        <w:rPr>
          <w:rFonts w:hint="eastAsia" w:hAnsi="宋体"/>
          <w:sz w:val="24"/>
          <w:szCs w:val="24"/>
        </w:rPr>
        <w:t>4.2.2  评标委员会随机产生一名负责人，主持评审工作，在每一轮投票中，负责人与其他成员有同等表决权。每一轮投票结束后，</w:t>
      </w:r>
      <w:r>
        <w:rPr>
          <w:rFonts w:hint="eastAsia" w:hAnsi="宋体" w:cs="Arial"/>
          <w:sz w:val="24"/>
          <w:szCs w:val="24"/>
        </w:rPr>
        <w:t>如果有得票相同的投标方案，则评标委员会对得票相同的投标方案进行附加</w:t>
      </w:r>
      <w:r>
        <w:rPr>
          <w:rFonts w:hint="eastAsia" w:hAnsi="宋体"/>
          <w:sz w:val="24"/>
          <w:szCs w:val="24"/>
        </w:rPr>
        <w:t>投票表决</w:t>
      </w:r>
      <w:r>
        <w:rPr>
          <w:rFonts w:hint="eastAsia" w:hAnsi="宋体" w:cs="Arial"/>
          <w:sz w:val="24"/>
          <w:szCs w:val="24"/>
        </w:rPr>
        <w:t>排序和取舍。</w:t>
      </w:r>
    </w:p>
    <w:p>
      <w:pPr>
        <w:pStyle w:val="21"/>
        <w:spacing w:line="360" w:lineRule="auto"/>
        <w:ind w:left="850" w:hanging="849" w:hangingChars="354"/>
        <w:rPr>
          <w:rFonts w:hAnsi="宋体"/>
          <w:sz w:val="24"/>
          <w:szCs w:val="24"/>
        </w:rPr>
      </w:pPr>
      <w:r>
        <w:rPr>
          <w:rFonts w:hint="eastAsia" w:hAnsi="宋体"/>
          <w:sz w:val="24"/>
          <w:szCs w:val="24"/>
        </w:rPr>
        <w:t>4.2.3  评标委员会成员至少应了解和熟悉招标的目标、范围、性质、主要技术要求和标准、商务条款、评标标准、评标方法和在评标过程中考虑的相关因素，并对所提出的评审意见承担个人责任。</w:t>
      </w:r>
    </w:p>
    <w:p>
      <w:pPr>
        <w:pStyle w:val="21"/>
        <w:spacing w:line="360" w:lineRule="auto"/>
        <w:ind w:left="850" w:hanging="849" w:hangingChars="354"/>
        <w:rPr>
          <w:rFonts w:hAnsi="宋体"/>
          <w:sz w:val="24"/>
          <w:szCs w:val="24"/>
        </w:rPr>
      </w:pPr>
      <w:r>
        <w:rPr>
          <w:rFonts w:hint="eastAsia" w:hAnsi="宋体"/>
          <w:sz w:val="24"/>
          <w:szCs w:val="24"/>
        </w:rPr>
        <w:t>4.2.4  下列人员不得担任评标委员会成员：</w:t>
      </w:r>
    </w:p>
    <w:p>
      <w:pPr>
        <w:pStyle w:val="21"/>
        <w:spacing w:line="360" w:lineRule="auto"/>
        <w:ind w:left="850" w:hanging="849" w:hangingChars="354"/>
        <w:rPr>
          <w:rFonts w:hAnsi="宋体"/>
          <w:sz w:val="24"/>
          <w:szCs w:val="24"/>
        </w:rPr>
      </w:pPr>
      <w:r>
        <w:rPr>
          <w:rFonts w:hint="eastAsia" w:hAnsi="宋体"/>
          <w:sz w:val="24"/>
          <w:szCs w:val="24"/>
        </w:rPr>
        <w:t xml:space="preserve">   (a) 从事相关领域工作不满八年（招标人代表除外）；</w:t>
      </w:r>
    </w:p>
    <w:p>
      <w:pPr>
        <w:pStyle w:val="21"/>
        <w:spacing w:line="360" w:lineRule="auto"/>
        <w:ind w:left="850" w:hanging="849" w:hangingChars="354"/>
        <w:rPr>
          <w:rFonts w:hAnsi="宋体"/>
          <w:sz w:val="24"/>
          <w:szCs w:val="24"/>
        </w:rPr>
      </w:pPr>
      <w:r>
        <w:rPr>
          <w:rFonts w:hint="eastAsia" w:hAnsi="宋体"/>
          <w:sz w:val="24"/>
          <w:szCs w:val="24"/>
        </w:rPr>
        <w:t xml:space="preserve">   (b) 不具有高级职称或者同等专业水平（招标人代表除外）；</w:t>
      </w:r>
    </w:p>
    <w:p>
      <w:pPr>
        <w:pStyle w:val="21"/>
        <w:spacing w:line="360" w:lineRule="auto"/>
        <w:ind w:left="850" w:hanging="849" w:hangingChars="354"/>
        <w:rPr>
          <w:rFonts w:hAnsi="宋体"/>
          <w:sz w:val="24"/>
          <w:szCs w:val="24"/>
        </w:rPr>
      </w:pPr>
      <w:r>
        <w:rPr>
          <w:rFonts w:hint="eastAsia" w:hAnsi="宋体"/>
          <w:sz w:val="24"/>
          <w:szCs w:val="24"/>
        </w:rPr>
        <w:t xml:space="preserve">   (c) 不熟悉评审本项目所必须的专业知识（招标人代表除外）；</w:t>
      </w:r>
    </w:p>
    <w:p>
      <w:pPr>
        <w:pStyle w:val="21"/>
        <w:spacing w:line="360" w:lineRule="auto"/>
        <w:ind w:left="850" w:hanging="849" w:hangingChars="354"/>
        <w:rPr>
          <w:rFonts w:hAnsi="宋体"/>
          <w:sz w:val="24"/>
          <w:szCs w:val="24"/>
        </w:rPr>
      </w:pPr>
      <w:r>
        <w:rPr>
          <w:rFonts w:hint="eastAsia" w:hAnsi="宋体"/>
          <w:sz w:val="24"/>
          <w:szCs w:val="24"/>
        </w:rPr>
        <w:t xml:space="preserve">   (d) 评标前浏览过本项目的某个投标文件；</w:t>
      </w:r>
    </w:p>
    <w:p>
      <w:pPr>
        <w:pStyle w:val="21"/>
        <w:spacing w:line="360" w:lineRule="auto"/>
        <w:ind w:left="850" w:hanging="849" w:hangingChars="354"/>
        <w:rPr>
          <w:rFonts w:hAnsi="宋体"/>
          <w:sz w:val="24"/>
          <w:szCs w:val="24"/>
        </w:rPr>
      </w:pPr>
      <w:r>
        <w:rPr>
          <w:rFonts w:hint="eastAsia" w:hAnsi="宋体"/>
          <w:sz w:val="24"/>
          <w:szCs w:val="24"/>
        </w:rPr>
        <w:t xml:space="preserve">   (e) 与投标人有利害关系；</w:t>
      </w:r>
    </w:p>
    <w:p>
      <w:pPr>
        <w:pStyle w:val="21"/>
        <w:spacing w:line="360" w:lineRule="auto"/>
        <w:ind w:left="850" w:hanging="849" w:hangingChars="354"/>
        <w:rPr>
          <w:rFonts w:hAnsi="宋体"/>
          <w:sz w:val="24"/>
          <w:szCs w:val="24"/>
        </w:rPr>
      </w:pPr>
      <w:r>
        <w:rPr>
          <w:rFonts w:hint="eastAsia" w:hAnsi="宋体"/>
          <w:sz w:val="24"/>
          <w:szCs w:val="24"/>
        </w:rPr>
        <w:t xml:space="preserve">   (f) 招标代理机构的工作人员。</w:t>
      </w:r>
    </w:p>
    <w:p>
      <w:pPr>
        <w:pStyle w:val="21"/>
        <w:spacing w:line="360" w:lineRule="auto"/>
        <w:ind w:left="850" w:hanging="849" w:hangingChars="354"/>
        <w:rPr>
          <w:rFonts w:hAnsi="宋体"/>
          <w:sz w:val="24"/>
          <w:szCs w:val="24"/>
        </w:rPr>
      </w:pPr>
      <w:r>
        <w:rPr>
          <w:rFonts w:hint="eastAsia" w:hAnsi="宋体"/>
          <w:sz w:val="24"/>
          <w:szCs w:val="24"/>
        </w:rPr>
        <w:t>4.2</w:t>
      </w:r>
      <w:r>
        <w:rPr>
          <w:rFonts w:hAnsi="宋体"/>
          <w:sz w:val="24"/>
          <w:szCs w:val="24"/>
        </w:rPr>
        <w:t>.</w:t>
      </w:r>
      <w:r>
        <w:rPr>
          <w:rFonts w:hint="eastAsia" w:hAnsi="宋体"/>
          <w:sz w:val="24"/>
          <w:szCs w:val="24"/>
        </w:rPr>
        <w:t>5  如果评标专家到达评标地点后发现不符合本项目评标资格，酬金或交通费用按相关规定执行。</w:t>
      </w:r>
    </w:p>
    <w:p>
      <w:pPr>
        <w:pStyle w:val="21"/>
        <w:spacing w:line="360" w:lineRule="auto"/>
        <w:ind w:left="850" w:hanging="849" w:hangingChars="354"/>
        <w:rPr>
          <w:rFonts w:hAnsi="宋体"/>
          <w:sz w:val="24"/>
          <w:szCs w:val="24"/>
        </w:rPr>
      </w:pPr>
      <w:r>
        <w:rPr>
          <w:rFonts w:hint="eastAsia" w:hAnsi="宋体"/>
          <w:sz w:val="24"/>
          <w:szCs w:val="24"/>
        </w:rPr>
        <w:t>4.2</w:t>
      </w:r>
      <w:r>
        <w:rPr>
          <w:rFonts w:hAnsi="宋体"/>
          <w:sz w:val="24"/>
          <w:szCs w:val="24"/>
        </w:rPr>
        <w:t>.</w:t>
      </w:r>
      <w:r>
        <w:rPr>
          <w:rFonts w:hint="eastAsia" w:hAnsi="宋体"/>
          <w:sz w:val="24"/>
          <w:szCs w:val="24"/>
        </w:rPr>
        <w:t>6  评标委员会成员不得私下接触投标人，不得收受投标人的财物或者其他好处。</w:t>
      </w:r>
    </w:p>
    <w:p>
      <w:pPr>
        <w:spacing w:line="360" w:lineRule="auto"/>
        <w:ind w:left="850" w:hanging="849" w:hangingChars="354"/>
        <w:rPr>
          <w:rFonts w:ascii="宋体" w:hAnsi="宋体"/>
          <w:sz w:val="24"/>
        </w:rPr>
      </w:pPr>
      <w:r>
        <w:rPr>
          <w:rFonts w:hint="eastAsia" w:ascii="宋体" w:hAnsi="宋体"/>
          <w:sz w:val="24"/>
        </w:rPr>
        <w:t>4.2.7  评标委员会开展工作期间发生的费用和劳务报酬由招标人承担，若招标人与招标代理机构另有协议，按协议执行。</w:t>
      </w:r>
    </w:p>
    <w:p>
      <w:pPr>
        <w:pStyle w:val="21"/>
        <w:spacing w:line="360" w:lineRule="auto"/>
        <w:ind w:left="850" w:hanging="849" w:hangingChars="354"/>
        <w:rPr>
          <w:rFonts w:hAnsi="宋体"/>
          <w:sz w:val="24"/>
          <w:szCs w:val="24"/>
        </w:rPr>
      </w:pPr>
      <w:r>
        <w:rPr>
          <w:rFonts w:hint="eastAsia" w:hAnsi="宋体"/>
          <w:sz w:val="24"/>
          <w:szCs w:val="24"/>
        </w:rPr>
        <w:t>4.2.8  评标结果在评标结束后公示，接受公众监督。</w:t>
      </w:r>
    </w:p>
    <w:p>
      <w:pPr>
        <w:pStyle w:val="21"/>
        <w:spacing w:line="360" w:lineRule="auto"/>
        <w:ind w:left="850" w:hanging="849" w:hangingChars="354"/>
        <w:rPr>
          <w:rFonts w:hAnsi="宋体"/>
          <w:sz w:val="24"/>
          <w:szCs w:val="24"/>
        </w:rPr>
      </w:pPr>
    </w:p>
    <w:p>
      <w:pPr>
        <w:pStyle w:val="21"/>
        <w:spacing w:line="360" w:lineRule="auto"/>
        <w:ind w:left="853" w:hanging="849" w:hangingChars="354"/>
        <w:rPr>
          <w:rFonts w:hAnsi="宋体"/>
          <w:b/>
          <w:sz w:val="24"/>
          <w:szCs w:val="24"/>
        </w:rPr>
      </w:pPr>
      <w:r>
        <w:rPr>
          <w:rFonts w:hint="eastAsia" w:hAnsi="宋体"/>
          <w:b/>
          <w:sz w:val="24"/>
          <w:szCs w:val="24"/>
        </w:rPr>
        <w:t>4.3    定标委员会（如有）</w:t>
      </w:r>
    </w:p>
    <w:p>
      <w:pPr>
        <w:pStyle w:val="21"/>
        <w:spacing w:line="360" w:lineRule="auto"/>
        <w:ind w:left="850" w:hanging="849" w:hangingChars="354"/>
        <w:rPr>
          <w:rFonts w:hAnsi="宋体"/>
          <w:sz w:val="24"/>
          <w:szCs w:val="24"/>
        </w:rPr>
      </w:pPr>
      <w:r>
        <w:rPr>
          <w:rFonts w:hint="eastAsia" w:hAnsi="宋体"/>
          <w:sz w:val="24"/>
          <w:szCs w:val="24"/>
        </w:rPr>
        <w:t>4.3.1  定标委员会由招标人组建。组建办法详见附录15《定标委员会的组成》</w:t>
      </w:r>
    </w:p>
    <w:p>
      <w:pPr>
        <w:pStyle w:val="21"/>
        <w:spacing w:line="360" w:lineRule="auto"/>
        <w:ind w:left="850" w:hanging="849" w:hangingChars="354"/>
        <w:rPr>
          <w:rFonts w:hAnsi="宋体"/>
          <w:sz w:val="24"/>
          <w:szCs w:val="24"/>
        </w:rPr>
      </w:pPr>
    </w:p>
    <w:p>
      <w:pPr>
        <w:spacing w:line="360" w:lineRule="auto"/>
        <w:ind w:left="853" w:hanging="849" w:hangingChars="354"/>
        <w:rPr>
          <w:rFonts w:ascii="宋体" w:hAnsi="宋体"/>
          <w:b/>
          <w:bCs/>
          <w:sz w:val="24"/>
        </w:rPr>
      </w:pPr>
      <w:r>
        <w:rPr>
          <w:rFonts w:hint="eastAsia" w:ascii="宋体" w:hAnsi="宋体"/>
          <w:b/>
          <w:bCs/>
          <w:sz w:val="24"/>
        </w:rPr>
        <w:t>4.4    评标原则</w:t>
      </w:r>
    </w:p>
    <w:p>
      <w:pPr>
        <w:spacing w:line="360" w:lineRule="auto"/>
        <w:ind w:left="850" w:hanging="849" w:hangingChars="354"/>
        <w:rPr>
          <w:rFonts w:ascii="宋体" w:hAnsi="宋体"/>
          <w:sz w:val="24"/>
        </w:rPr>
      </w:pPr>
    </w:p>
    <w:p>
      <w:pPr>
        <w:spacing w:line="360" w:lineRule="auto"/>
        <w:ind w:left="850" w:hanging="849" w:hangingChars="354"/>
        <w:rPr>
          <w:rFonts w:ascii="宋体" w:hAnsi="宋体"/>
          <w:sz w:val="24"/>
        </w:rPr>
      </w:pPr>
      <w:r>
        <w:rPr>
          <w:rFonts w:hint="eastAsia" w:ascii="宋体" w:hAnsi="宋体"/>
          <w:sz w:val="24"/>
        </w:rPr>
        <w:t>4.4.1  评标委员会根据招标文件规定的评标标准和方法，对投标文件进行评审和比较，招标文件中没有规定的标准和方法不得作为评标的依据。</w:t>
      </w:r>
    </w:p>
    <w:p>
      <w:pPr>
        <w:spacing w:line="360" w:lineRule="auto"/>
        <w:ind w:left="850" w:hanging="849" w:hangingChars="354"/>
        <w:rPr>
          <w:rFonts w:ascii="宋体" w:hAnsi="宋体"/>
          <w:sz w:val="24"/>
        </w:rPr>
      </w:pPr>
      <w:r>
        <w:rPr>
          <w:rFonts w:hint="eastAsia" w:ascii="宋体" w:hAnsi="宋体"/>
          <w:sz w:val="24"/>
        </w:rPr>
        <w:t>4.4.2  在符合招标文件规定的前提下，评标委员会主要对投标方案的经济性、独创性、优越性、功能和造型、运行和维护费用、对环境的影响等进行比选、评价和裁定，确定方案的优劣。</w:t>
      </w:r>
    </w:p>
    <w:p>
      <w:pPr>
        <w:spacing w:line="360" w:lineRule="auto"/>
        <w:ind w:left="850" w:hanging="849" w:hangingChars="354"/>
        <w:jc w:val="left"/>
        <w:rPr>
          <w:rFonts w:ascii="宋体" w:hAnsi="宋体"/>
          <w:sz w:val="24"/>
        </w:rPr>
      </w:pPr>
      <w:r>
        <w:rPr>
          <w:rFonts w:hint="eastAsia" w:ascii="宋体" w:hAnsi="宋体"/>
          <w:sz w:val="24"/>
        </w:rPr>
        <w:t>4.4.3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pPr>
        <w:spacing w:line="360" w:lineRule="auto"/>
        <w:ind w:left="850" w:hanging="849" w:hangingChars="354"/>
        <w:jc w:val="left"/>
        <w:rPr>
          <w:rFonts w:ascii="宋体" w:hAnsi="宋体"/>
          <w:sz w:val="24"/>
        </w:rPr>
      </w:pPr>
      <w:r>
        <w:rPr>
          <w:rFonts w:hint="eastAsia" w:ascii="宋体" w:hAnsi="宋体"/>
          <w:sz w:val="24"/>
        </w:rPr>
        <w:t>4.4.4  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360" w:lineRule="auto"/>
        <w:ind w:left="840" w:leftChars="342" w:hanging="122" w:hangingChars="51"/>
        <w:jc w:val="left"/>
        <w:rPr>
          <w:rFonts w:ascii="宋体" w:hAnsi="宋体"/>
          <w:sz w:val="24"/>
        </w:rPr>
      </w:pPr>
      <w:r>
        <w:rPr>
          <w:rFonts w:hint="eastAsia" w:ascii="宋体" w:hAnsi="宋体"/>
          <w:sz w:val="24"/>
        </w:rPr>
        <w:t>若在评标期间</w:t>
      </w:r>
      <w:r>
        <w:rPr>
          <w:rFonts w:hint="eastAsia" w:ascii="宋体" w:hAnsi="宋体"/>
          <w:b/>
          <w:sz w:val="24"/>
        </w:rPr>
        <w:t>（设计方案评审阶段除外）</w:t>
      </w:r>
      <w:r>
        <w:rPr>
          <w:rFonts w:hint="eastAsia" w:ascii="宋体" w:hAnsi="宋体"/>
          <w:sz w:val="24"/>
        </w:rPr>
        <w:t>，经评标委员会两人以上（含两人）以书面形式提出动议，评标委员会应当书面发出澄清通知，要求投标人对投标文件含义不明确的内容作出澄清。</w:t>
      </w:r>
    </w:p>
    <w:p>
      <w:pPr>
        <w:spacing w:line="360" w:lineRule="auto"/>
        <w:ind w:left="718" w:leftChars="342"/>
        <w:jc w:val="left"/>
        <w:rPr>
          <w:rFonts w:ascii="宋体" w:hAnsi="宋体"/>
          <w:sz w:val="24"/>
        </w:rPr>
      </w:pPr>
      <w:r>
        <w:rPr>
          <w:rFonts w:hint="eastAsia" w:ascii="宋体" w:hAnsi="宋体"/>
          <w:sz w:val="24"/>
        </w:rPr>
        <w:t>投标人应以书面形式进行澄清，澄清中的承诺性意思表示在投标文件有效期内均对投标人有约束力。澄清不得超出投标文件的范围或改变投标文件的实质性内容，超出部分不作为评标委员会评审的依据。</w:t>
      </w:r>
    </w:p>
    <w:p>
      <w:pPr>
        <w:spacing w:line="360" w:lineRule="auto"/>
        <w:ind w:left="840" w:leftChars="342" w:hanging="122" w:hangingChars="51"/>
        <w:jc w:val="left"/>
        <w:rPr>
          <w:rFonts w:ascii="宋体" w:hAnsi="宋体"/>
          <w:sz w:val="24"/>
        </w:rPr>
      </w:pPr>
      <w:r>
        <w:rPr>
          <w:rFonts w:hint="eastAsia" w:ascii="宋体" w:hAnsi="宋体"/>
          <w:sz w:val="24"/>
        </w:rPr>
        <w:t>评标委员会均应当阅读投标人的澄清，但应独立参考澄清对投标文件进行评审。</w:t>
      </w:r>
    </w:p>
    <w:p>
      <w:pPr>
        <w:spacing w:line="360" w:lineRule="auto"/>
        <w:ind w:left="850" w:hanging="849" w:hangingChars="354"/>
        <w:rPr>
          <w:rFonts w:ascii="宋体" w:hAnsi="宋体"/>
          <w:sz w:val="24"/>
        </w:rPr>
      </w:pPr>
      <w:r>
        <w:rPr>
          <w:rFonts w:hint="eastAsia" w:ascii="宋体" w:hAnsi="宋体"/>
          <w:sz w:val="24"/>
        </w:rPr>
        <w:t>4.4.5  如果少数投标人超越招标文件要求提交了模型、演示动画或发生其他特殊情况，评标委员会对超越招标文件要求的内容不进行评审，只评审该投标文件符合要求的内容。</w:t>
      </w:r>
    </w:p>
    <w:p>
      <w:pPr>
        <w:spacing w:line="360" w:lineRule="auto"/>
        <w:ind w:left="850" w:hanging="849" w:hangingChars="354"/>
        <w:rPr>
          <w:rFonts w:ascii="宋体" w:hAnsi="宋体"/>
          <w:sz w:val="24"/>
        </w:rPr>
      </w:pPr>
      <w:r>
        <w:rPr>
          <w:rFonts w:hint="eastAsia" w:ascii="宋体" w:hAnsi="宋体"/>
          <w:sz w:val="24"/>
        </w:rPr>
        <w:t>4.4.6  评标委员会经评审，认为所有投标都不符合招标文件要求的，可以否决所有投标。如果所有投标被否决而重新招标，评标委员会成员及其从业机构不得参加投标。</w:t>
      </w:r>
    </w:p>
    <w:p>
      <w:pPr>
        <w:spacing w:line="360" w:lineRule="auto"/>
        <w:ind w:left="850" w:hanging="849" w:hangingChars="354"/>
        <w:rPr>
          <w:rFonts w:ascii="宋体" w:hAnsi="宋体"/>
          <w:sz w:val="24"/>
        </w:rPr>
      </w:pPr>
    </w:p>
    <w:p>
      <w:pPr>
        <w:spacing w:line="360" w:lineRule="auto"/>
        <w:ind w:left="853" w:hanging="849" w:hangingChars="354"/>
        <w:rPr>
          <w:rFonts w:ascii="宋体" w:hAnsi="宋体"/>
          <w:b/>
          <w:bCs/>
          <w:sz w:val="24"/>
        </w:rPr>
      </w:pPr>
      <w:r>
        <w:rPr>
          <w:rFonts w:hint="eastAsia" w:ascii="宋体" w:hAnsi="宋体"/>
          <w:b/>
          <w:bCs/>
          <w:sz w:val="24"/>
        </w:rPr>
        <w:t>4.5    评标办法</w:t>
      </w:r>
    </w:p>
    <w:p>
      <w:pPr>
        <w:spacing w:line="360" w:lineRule="auto"/>
        <w:ind w:left="850" w:hanging="849" w:hangingChars="354"/>
        <w:rPr>
          <w:rFonts w:ascii="宋体" w:hAnsi="宋体"/>
          <w:b/>
          <w:bCs/>
          <w:sz w:val="24"/>
        </w:rPr>
      </w:pPr>
      <w:r>
        <w:rPr>
          <w:rFonts w:hint="eastAsia" w:ascii="宋体" w:hAnsi="宋体"/>
          <w:sz w:val="24"/>
        </w:rPr>
        <w:t>[注释] 招标人应在招标文件修改表中明确适用于本项目的评标方法。</w:t>
      </w:r>
    </w:p>
    <w:p>
      <w:pPr>
        <w:spacing w:line="360" w:lineRule="auto"/>
        <w:ind w:left="850" w:hanging="849" w:hangingChars="354"/>
        <w:rPr>
          <w:rFonts w:ascii="宋体" w:hAnsi="宋体"/>
          <w:sz w:val="24"/>
        </w:rPr>
      </w:pPr>
    </w:p>
    <w:p>
      <w:pPr>
        <w:spacing w:line="360" w:lineRule="auto"/>
        <w:ind w:left="850" w:hanging="849" w:hangingChars="354"/>
        <w:rPr>
          <w:rFonts w:ascii="宋体" w:hAnsi="宋体"/>
          <w:sz w:val="24"/>
        </w:rPr>
      </w:pPr>
      <w:r>
        <w:rPr>
          <w:rFonts w:hint="eastAsia" w:ascii="宋体" w:hAnsi="宋体"/>
          <w:sz w:val="24"/>
        </w:rPr>
        <w:t>4.5.1  是否采用评定分离：□是，入围定标环节的投标人家数：</w:t>
      </w:r>
      <w:r>
        <w:rPr>
          <w:rFonts w:hint="eastAsia" w:ascii="宋体" w:hAnsi="宋体"/>
          <w:sz w:val="24"/>
          <w:u w:val="single"/>
        </w:rPr>
        <w:t xml:space="preserve">    </w:t>
      </w:r>
      <w:r>
        <w:rPr>
          <w:rFonts w:hint="eastAsia" w:ascii="宋体" w:hAnsi="宋体"/>
          <w:sz w:val="24"/>
        </w:rPr>
        <w:t xml:space="preserve">名； </w:t>
      </w:r>
    </w:p>
    <w:p>
      <w:pPr>
        <w:spacing w:line="360" w:lineRule="auto"/>
        <w:ind w:left="850" w:hanging="849" w:hangingChars="354"/>
        <w:rPr>
          <w:rFonts w:ascii="宋体" w:hAnsi="宋体"/>
          <w:sz w:val="24"/>
        </w:rPr>
      </w:pPr>
      <w:r>
        <w:rPr>
          <w:rFonts w:hint="eastAsia" w:ascii="宋体" w:hAnsi="宋体"/>
          <w:sz w:val="24"/>
        </w:rPr>
        <w:t xml:space="preserve">                         □否。</w:t>
      </w:r>
    </w:p>
    <w:p>
      <w:pPr>
        <w:spacing w:line="360" w:lineRule="auto"/>
        <w:ind w:left="850" w:hanging="849" w:hangingChars="354"/>
        <w:jc w:val="left"/>
        <w:rPr>
          <w:rFonts w:ascii="宋体" w:hAnsi="宋体"/>
          <w:sz w:val="24"/>
        </w:rPr>
      </w:pPr>
      <w:r>
        <w:rPr>
          <w:rFonts w:hint="eastAsia" w:ascii="宋体" w:hAnsi="宋体"/>
          <w:sz w:val="24"/>
        </w:rPr>
        <w:t>4.5.2  不采用评定分离项目的评标办法</w:t>
      </w:r>
    </w:p>
    <w:p>
      <w:pPr>
        <w:spacing w:line="360" w:lineRule="auto"/>
        <w:ind w:left="850" w:hanging="849" w:hangingChars="354"/>
        <w:jc w:val="left"/>
        <w:rPr>
          <w:rFonts w:ascii="宋体" w:hAnsi="宋体"/>
          <w:sz w:val="24"/>
        </w:rPr>
      </w:pPr>
      <w:r>
        <w:rPr>
          <w:rFonts w:hint="eastAsia" w:ascii="宋体" w:hAnsi="宋体"/>
          <w:sz w:val="24"/>
        </w:rPr>
        <w:t>4.5.2.1招标人（招标代理机构）在不透露投标人身份的前提下（资格审查文件除外）将投标文件交给评标委员会，除4.5.2.2(g)中规定，不需要投标人派代表介绍投标方案。</w:t>
      </w:r>
    </w:p>
    <w:p>
      <w:pPr>
        <w:spacing w:line="360" w:lineRule="auto"/>
        <w:ind w:left="850" w:hanging="849" w:hangingChars="354"/>
        <w:jc w:val="left"/>
        <w:rPr>
          <w:rFonts w:ascii="宋体" w:hAnsi="宋体"/>
          <w:sz w:val="24"/>
        </w:rPr>
      </w:pPr>
      <w:r>
        <w:rPr>
          <w:rFonts w:hint="eastAsia" w:ascii="宋体" w:hAnsi="宋体"/>
          <w:sz w:val="24"/>
        </w:rPr>
        <w:t>4.5.2.2如果评标委员会成员在交易服务机构评标，将按方法</w:t>
      </w:r>
      <w:r>
        <w:rPr>
          <w:rFonts w:hint="eastAsia" w:ascii="宋体" w:hAnsi="宋体"/>
          <w:sz w:val="24"/>
          <w:u w:val="single"/>
        </w:rPr>
        <w:t xml:space="preserve">    </w:t>
      </w:r>
      <w:r>
        <w:rPr>
          <w:rFonts w:hint="eastAsia" w:ascii="宋体" w:hAnsi="宋体"/>
          <w:sz w:val="24"/>
        </w:rPr>
        <w:t>规定的步骤进行：</w:t>
      </w:r>
    </w:p>
    <w:p>
      <w:pPr>
        <w:spacing w:line="360" w:lineRule="auto"/>
        <w:ind w:left="850" w:hanging="849" w:hangingChars="354"/>
        <w:jc w:val="left"/>
        <w:rPr>
          <w:rFonts w:ascii="宋体" w:hAnsi="宋体"/>
          <w:sz w:val="24"/>
        </w:rPr>
      </w:pPr>
      <w:r>
        <w:rPr>
          <w:rFonts w:hint="eastAsia" w:ascii="宋体" w:hAnsi="宋体"/>
          <w:sz w:val="24"/>
        </w:rPr>
        <w:t xml:space="preserve">       方法一（设有资格审查环节的一阶段评标法）：a、b、c、d、e、f、h、i、j</w:t>
      </w:r>
    </w:p>
    <w:p>
      <w:pPr>
        <w:spacing w:line="360" w:lineRule="auto"/>
        <w:ind w:left="850" w:hanging="849" w:hangingChars="354"/>
        <w:jc w:val="left"/>
        <w:rPr>
          <w:rFonts w:ascii="宋体" w:hAnsi="宋体"/>
          <w:sz w:val="24"/>
        </w:rPr>
      </w:pPr>
      <w:r>
        <w:rPr>
          <w:rFonts w:hint="eastAsia" w:ascii="宋体" w:hAnsi="宋体"/>
          <w:sz w:val="24"/>
        </w:rPr>
        <w:t xml:space="preserve">       方法二（设有资格审查环节的二阶段评标法）：a、b、c、d、e、f、g、h、i、j</w:t>
      </w:r>
    </w:p>
    <w:p>
      <w:pPr>
        <w:spacing w:line="360" w:lineRule="auto"/>
        <w:ind w:left="850" w:hanging="849" w:hangingChars="354"/>
        <w:jc w:val="left"/>
        <w:rPr>
          <w:rFonts w:ascii="宋体" w:hAnsi="宋体"/>
          <w:sz w:val="24"/>
        </w:rPr>
      </w:pPr>
      <w:r>
        <w:rPr>
          <w:rFonts w:hint="eastAsia" w:ascii="宋体" w:hAnsi="宋体"/>
          <w:sz w:val="24"/>
        </w:rPr>
        <w:t xml:space="preserve">       方法三（未设资格审查环节的一阶段评标法）：a、d、e、f、h、i、j</w:t>
      </w:r>
    </w:p>
    <w:p>
      <w:pPr>
        <w:spacing w:line="360" w:lineRule="auto"/>
        <w:ind w:left="850" w:hanging="849" w:hangingChars="354"/>
        <w:jc w:val="left"/>
        <w:rPr>
          <w:rFonts w:ascii="宋体" w:hAnsi="宋体"/>
          <w:sz w:val="24"/>
        </w:rPr>
      </w:pPr>
      <w:r>
        <w:rPr>
          <w:rFonts w:hint="eastAsia" w:ascii="宋体" w:hAnsi="宋体"/>
          <w:sz w:val="24"/>
        </w:rPr>
        <w:t xml:space="preserve">       方法四（未设资格审查环节的二阶段评标法）：a、d、e、f、g、h、i、j</w:t>
      </w:r>
    </w:p>
    <w:p>
      <w:pPr>
        <w:spacing w:line="360" w:lineRule="auto"/>
        <w:ind w:left="846" w:leftChars="202" w:hanging="422" w:hangingChars="176"/>
        <w:jc w:val="left"/>
        <w:rPr>
          <w:rFonts w:ascii="宋体" w:hAnsi="宋体"/>
          <w:sz w:val="24"/>
        </w:rPr>
      </w:pPr>
      <w:r>
        <w:rPr>
          <w:rFonts w:hint="eastAsia" w:ascii="宋体" w:hAnsi="宋体"/>
          <w:sz w:val="24"/>
        </w:rPr>
        <w:t>(a) 评标委员会成员依据招标文件规定，否决两个（含两个）以上的加密打包投标文件电脑机器特征码一致的投标人，不参与下一阶段评审。</w:t>
      </w:r>
    </w:p>
    <w:p>
      <w:pPr>
        <w:spacing w:line="360" w:lineRule="auto"/>
        <w:ind w:left="846" w:leftChars="202" w:hanging="422" w:hangingChars="176"/>
        <w:jc w:val="left"/>
        <w:rPr>
          <w:rFonts w:ascii="宋体" w:hAnsi="宋体"/>
          <w:sz w:val="24"/>
        </w:rPr>
      </w:pPr>
      <w:r>
        <w:rPr>
          <w:rFonts w:hint="eastAsia" w:ascii="宋体" w:hAnsi="宋体"/>
          <w:sz w:val="24"/>
        </w:rPr>
        <w:t>(b) 评标委员会成员依据招标文件规定，按附录12《资格审查表》对各投标人递交的投标文件进行资格审查。</w:t>
      </w:r>
    </w:p>
    <w:p>
      <w:pPr>
        <w:spacing w:line="360" w:lineRule="auto"/>
        <w:ind w:left="846" w:leftChars="202" w:hanging="422" w:hangingChars="176"/>
        <w:jc w:val="left"/>
        <w:rPr>
          <w:rFonts w:ascii="宋体" w:hAnsi="宋体"/>
          <w:sz w:val="24"/>
        </w:rPr>
      </w:pPr>
      <w:r>
        <w:rPr>
          <w:rFonts w:hint="eastAsia" w:ascii="宋体" w:hAnsi="宋体"/>
          <w:sz w:val="24"/>
        </w:rPr>
        <w:t>(c) 评标委员会成员汇总资格审查结果，编写资格审查报告。</w:t>
      </w:r>
    </w:p>
    <w:p>
      <w:pPr>
        <w:spacing w:line="360" w:lineRule="auto"/>
        <w:ind w:left="846" w:leftChars="202" w:hanging="422" w:hangingChars="176"/>
        <w:jc w:val="left"/>
        <w:rPr>
          <w:rFonts w:ascii="宋体" w:hAnsi="宋体"/>
          <w:sz w:val="24"/>
        </w:rPr>
      </w:pPr>
      <w:r>
        <w:rPr>
          <w:rFonts w:hint="eastAsia" w:ascii="宋体" w:hAnsi="宋体"/>
          <w:sz w:val="24"/>
        </w:rPr>
        <w:t>(d) 评标委员会专家依据招标文件规定，按附录1</w:t>
      </w:r>
      <w:r>
        <w:rPr>
          <w:rFonts w:hint="eastAsia" w:ascii="宋体" w:hAnsi="宋体"/>
          <w:sz w:val="24"/>
          <w:lang w:val="en-US" w:eastAsia="zh-CN"/>
        </w:rPr>
        <w:t>5</w:t>
      </w:r>
      <w:r>
        <w:rPr>
          <w:rFonts w:hint="eastAsia" w:ascii="宋体" w:hAnsi="宋体"/>
          <w:sz w:val="24"/>
        </w:rPr>
        <w:t>《设计方案评审记录表》、附录1</w:t>
      </w:r>
      <w:r>
        <w:rPr>
          <w:rFonts w:hint="eastAsia" w:ascii="宋体" w:hAnsi="宋体"/>
          <w:sz w:val="24"/>
          <w:lang w:val="en-US" w:eastAsia="zh-CN"/>
        </w:rPr>
        <w:t>7</w:t>
      </w:r>
      <w:r>
        <w:rPr>
          <w:rFonts w:hint="eastAsia" w:ascii="宋体" w:hAnsi="宋体"/>
          <w:sz w:val="24"/>
        </w:rPr>
        <w:t>《投标方案评语》对各投标人递交的投标文件进行评审。如果有否决投标提议，则评标委员会成员共同表决，按照少数服从多数的原则决定是否否决。</w:t>
      </w:r>
    </w:p>
    <w:p>
      <w:pPr>
        <w:spacing w:line="360" w:lineRule="auto"/>
        <w:ind w:left="846" w:leftChars="202" w:hanging="422" w:hangingChars="176"/>
        <w:jc w:val="left"/>
        <w:rPr>
          <w:rFonts w:ascii="宋体" w:hAnsi="宋体"/>
          <w:sz w:val="24"/>
        </w:rPr>
      </w:pPr>
      <w:r>
        <w:rPr>
          <w:rFonts w:hint="eastAsia" w:ascii="宋体" w:hAnsi="宋体"/>
          <w:sz w:val="24"/>
        </w:rPr>
        <w:t>(e) 以差额选举逐轮淘汰的记名投票方式选出所有投标方案的排序。（方案补偿费按(h)步骤确定的最终排序进行补偿）。</w:t>
      </w:r>
    </w:p>
    <w:p>
      <w:pPr>
        <w:spacing w:line="360" w:lineRule="auto"/>
        <w:ind w:left="846" w:leftChars="202" w:hanging="422" w:hangingChars="176"/>
        <w:jc w:val="left"/>
        <w:rPr>
          <w:rFonts w:ascii="宋体" w:hAnsi="宋体"/>
          <w:sz w:val="24"/>
        </w:rPr>
      </w:pPr>
      <w:r>
        <w:rPr>
          <w:rFonts w:hint="eastAsia" w:ascii="宋体" w:hAnsi="宋体"/>
          <w:sz w:val="24"/>
        </w:rPr>
        <w:t>(f) 评标委员会揭晓投标人身份。</w:t>
      </w:r>
    </w:p>
    <w:p>
      <w:pPr>
        <w:spacing w:line="360" w:lineRule="auto"/>
        <w:ind w:left="846" w:leftChars="202" w:hanging="422" w:hangingChars="176"/>
        <w:jc w:val="left"/>
        <w:rPr>
          <w:rFonts w:ascii="宋体" w:hAnsi="宋体"/>
          <w:sz w:val="24"/>
        </w:rPr>
      </w:pPr>
      <w:r>
        <w:rPr>
          <w:rFonts w:hint="eastAsia" w:ascii="宋体" w:hAnsi="宋体"/>
          <w:sz w:val="24"/>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pPr>
        <w:spacing w:line="360" w:lineRule="auto"/>
        <w:ind w:left="846" w:leftChars="202" w:hanging="422" w:hangingChars="176"/>
        <w:jc w:val="left"/>
        <w:rPr>
          <w:rFonts w:ascii="宋体" w:hAnsi="宋体"/>
          <w:sz w:val="24"/>
        </w:rPr>
      </w:pPr>
      <w:r>
        <w:rPr>
          <w:rFonts w:hint="eastAsia" w:ascii="宋体" w:hAnsi="宋体"/>
          <w:sz w:val="24"/>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pPr>
        <w:spacing w:line="360" w:lineRule="auto"/>
        <w:ind w:left="846" w:leftChars="202" w:hanging="422" w:hangingChars="176"/>
        <w:jc w:val="left"/>
        <w:rPr>
          <w:rFonts w:ascii="宋体" w:hAnsi="宋体"/>
          <w:sz w:val="24"/>
        </w:rPr>
      </w:pPr>
      <w:r>
        <w:rPr>
          <w:rFonts w:hint="eastAsia" w:ascii="宋体" w:hAnsi="宋体"/>
          <w:sz w:val="24"/>
        </w:rPr>
        <w:t>(i) 编写、签署评标报告，并标明最终中标候选人的排列顺序，评标报告由评标委员会全体成员签字，对评标结论持有异议的评标委员会成员可以书面方式阐述其不同意见和理由。</w:t>
      </w:r>
    </w:p>
    <w:p>
      <w:pPr>
        <w:spacing w:line="360" w:lineRule="auto"/>
        <w:ind w:left="846" w:leftChars="202" w:hanging="422" w:hangingChars="176"/>
        <w:jc w:val="left"/>
        <w:rPr>
          <w:rFonts w:ascii="宋体" w:hAnsi="宋体"/>
          <w:sz w:val="24"/>
        </w:rPr>
      </w:pPr>
      <w:r>
        <w:rPr>
          <w:rFonts w:hint="eastAsia" w:ascii="宋体" w:hAnsi="宋体"/>
          <w:sz w:val="24"/>
        </w:rPr>
        <w:t>(j) 评标委员会向招标人提交书面评标报告后即告解散，评标过程中使用的文件、表格以及其他资料应当即时归还招标人（招标代理机构）。</w:t>
      </w:r>
    </w:p>
    <w:p>
      <w:pPr>
        <w:spacing w:line="360" w:lineRule="auto"/>
        <w:ind w:left="850" w:hanging="849" w:hangingChars="354"/>
        <w:jc w:val="left"/>
        <w:rPr>
          <w:rFonts w:ascii="宋体" w:hAnsi="宋体"/>
          <w:sz w:val="24"/>
        </w:rPr>
      </w:pPr>
      <w:r>
        <w:rPr>
          <w:rFonts w:hint="eastAsia" w:ascii="宋体" w:hAnsi="宋体"/>
          <w:sz w:val="24"/>
        </w:rPr>
        <w:t xml:space="preserve"> </w:t>
      </w:r>
    </w:p>
    <w:p>
      <w:pPr>
        <w:spacing w:line="360" w:lineRule="auto"/>
        <w:ind w:left="850" w:hanging="849" w:hangingChars="354"/>
        <w:rPr>
          <w:rFonts w:ascii="宋体" w:hAnsi="宋体"/>
          <w:b/>
          <w:bCs/>
          <w:sz w:val="24"/>
        </w:rPr>
      </w:pPr>
      <w:r>
        <w:rPr>
          <w:rFonts w:hint="eastAsia" w:ascii="宋体" w:hAnsi="宋体"/>
          <w:bCs/>
          <w:sz w:val="24"/>
        </w:rPr>
        <w:t>4.5.3</w:t>
      </w:r>
      <w:r>
        <w:rPr>
          <w:rFonts w:hint="eastAsia" w:ascii="宋体" w:hAnsi="宋体"/>
          <w:b/>
          <w:bCs/>
          <w:sz w:val="24"/>
        </w:rPr>
        <w:t xml:space="preserve">    </w:t>
      </w:r>
      <w:r>
        <w:rPr>
          <w:rFonts w:hint="eastAsia" w:ascii="宋体" w:hAnsi="宋体"/>
          <w:sz w:val="24"/>
        </w:rPr>
        <w:t>采用评定分离项目的评标及定标办法</w:t>
      </w:r>
    </w:p>
    <w:p>
      <w:pPr>
        <w:spacing w:line="360" w:lineRule="auto"/>
        <w:ind w:left="850" w:hanging="849" w:hangingChars="354"/>
        <w:rPr>
          <w:rFonts w:ascii="宋体" w:hAnsi="宋体"/>
          <w:sz w:val="24"/>
        </w:rPr>
      </w:pPr>
      <w:r>
        <w:rPr>
          <w:rFonts w:hint="eastAsia" w:ascii="宋体" w:hAnsi="宋体"/>
          <w:sz w:val="24"/>
        </w:rPr>
        <w:t>4.5.3.1招标人（招标代理机构）在不透露投标人身份的前提下（资格审查文件除外）将投标文件交给评标委员会，不需要投标人派代表介绍投标方案。</w:t>
      </w:r>
    </w:p>
    <w:p>
      <w:pPr>
        <w:spacing w:line="360" w:lineRule="auto"/>
        <w:ind w:left="850" w:hanging="849" w:hangingChars="354"/>
        <w:rPr>
          <w:rFonts w:ascii="宋体" w:hAnsi="宋体"/>
          <w:sz w:val="24"/>
        </w:rPr>
      </w:pPr>
      <w:r>
        <w:rPr>
          <w:rFonts w:hint="eastAsia" w:ascii="宋体" w:hAnsi="宋体"/>
          <w:sz w:val="24"/>
        </w:rPr>
        <w:t>4.5.3.2如果评标委员会成员在交易服务机构评标，将按方法</w:t>
      </w:r>
      <w:r>
        <w:rPr>
          <w:rFonts w:hint="eastAsia" w:ascii="宋体" w:hAnsi="宋体"/>
          <w:sz w:val="24"/>
          <w:u w:val="single"/>
        </w:rPr>
        <w:t xml:space="preserve">    </w:t>
      </w:r>
      <w:r>
        <w:rPr>
          <w:rFonts w:hint="eastAsia" w:ascii="宋体" w:hAnsi="宋体"/>
          <w:sz w:val="24"/>
        </w:rPr>
        <w:t>规定的步骤进行：</w:t>
      </w:r>
    </w:p>
    <w:p>
      <w:pPr>
        <w:spacing w:line="360" w:lineRule="auto"/>
        <w:ind w:left="850" w:hanging="849" w:hangingChars="354"/>
        <w:rPr>
          <w:rFonts w:ascii="宋体" w:hAnsi="宋体"/>
          <w:sz w:val="24"/>
        </w:rPr>
      </w:pPr>
      <w:r>
        <w:rPr>
          <w:rFonts w:hint="eastAsia" w:ascii="宋体" w:hAnsi="宋体"/>
          <w:sz w:val="24"/>
        </w:rPr>
        <w:t xml:space="preserve">       方法一（设有资格审查环节的一阶段评标法）：a、b、c、d、e、f、g、h、i、j</w:t>
      </w:r>
    </w:p>
    <w:p>
      <w:pPr>
        <w:spacing w:line="360" w:lineRule="auto"/>
        <w:ind w:left="850" w:hanging="849" w:hangingChars="354"/>
        <w:rPr>
          <w:rFonts w:ascii="宋体" w:hAnsi="宋体"/>
          <w:sz w:val="24"/>
        </w:rPr>
      </w:pPr>
      <w:r>
        <w:rPr>
          <w:rFonts w:hint="eastAsia" w:ascii="宋体" w:hAnsi="宋体"/>
          <w:sz w:val="24"/>
        </w:rPr>
        <w:t xml:space="preserve">       方法二（未设资格审查环节的一阶段评标法）：a、d、e、f、g、h、i、j</w:t>
      </w:r>
    </w:p>
    <w:p>
      <w:pPr>
        <w:spacing w:line="360" w:lineRule="auto"/>
        <w:ind w:left="850" w:hanging="849" w:hangingChars="354"/>
        <w:rPr>
          <w:rFonts w:ascii="宋体" w:hAnsi="宋体"/>
          <w:sz w:val="24"/>
        </w:rPr>
      </w:pPr>
      <w:r>
        <w:rPr>
          <w:rFonts w:hint="eastAsia" w:ascii="宋体" w:hAnsi="宋体"/>
          <w:sz w:val="24"/>
        </w:rPr>
        <w:t xml:space="preserve">       </w:t>
      </w:r>
    </w:p>
    <w:p>
      <w:pPr>
        <w:spacing w:line="360" w:lineRule="auto"/>
        <w:ind w:left="844" w:leftChars="201" w:hanging="422" w:hangingChars="176"/>
        <w:rPr>
          <w:rFonts w:ascii="宋体" w:hAnsi="宋体"/>
          <w:sz w:val="24"/>
        </w:rPr>
      </w:pPr>
      <w:r>
        <w:rPr>
          <w:rFonts w:hint="eastAsia" w:ascii="宋体" w:hAnsi="宋体"/>
          <w:sz w:val="24"/>
        </w:rPr>
        <w:t xml:space="preserve">(a)评标委员会成员依据招标文件规定，否决两个（含两个）以上的加密打包投标文件电脑机器特征码一致的投标人，不参与下一阶段评审。 </w:t>
      </w:r>
    </w:p>
    <w:p>
      <w:pPr>
        <w:spacing w:line="360" w:lineRule="auto"/>
        <w:ind w:left="844" w:leftChars="201" w:hanging="422" w:hangingChars="176"/>
        <w:rPr>
          <w:rFonts w:ascii="宋体" w:hAnsi="宋体"/>
          <w:sz w:val="24"/>
        </w:rPr>
      </w:pPr>
      <w:r>
        <w:rPr>
          <w:rFonts w:hint="eastAsia" w:ascii="宋体" w:hAnsi="宋体"/>
          <w:sz w:val="24"/>
        </w:rPr>
        <w:t>(b)评标委员会成员业主代表及专家依据招标文件规定，按附录12《资格审查表》对各投标人递交的投标文件进行资格审查。</w:t>
      </w:r>
    </w:p>
    <w:p>
      <w:pPr>
        <w:spacing w:line="360" w:lineRule="auto"/>
        <w:ind w:left="844" w:leftChars="201" w:hanging="422" w:hangingChars="176"/>
        <w:rPr>
          <w:rFonts w:ascii="宋体" w:hAnsi="宋体"/>
          <w:sz w:val="24"/>
        </w:rPr>
      </w:pPr>
      <w:r>
        <w:rPr>
          <w:rFonts w:hint="eastAsia" w:ascii="宋体" w:hAnsi="宋体"/>
          <w:sz w:val="24"/>
        </w:rPr>
        <w:t>(c) 评标委员会成员汇总资格审查结果，编写资格审查报告。</w:t>
      </w:r>
    </w:p>
    <w:p>
      <w:pPr>
        <w:spacing w:line="360" w:lineRule="auto"/>
        <w:ind w:left="844" w:leftChars="201" w:hanging="422" w:hangingChars="176"/>
        <w:rPr>
          <w:rFonts w:ascii="宋体" w:hAnsi="宋体"/>
          <w:sz w:val="24"/>
        </w:rPr>
      </w:pPr>
      <w:r>
        <w:rPr>
          <w:rFonts w:hint="eastAsia" w:ascii="宋体" w:hAnsi="宋体"/>
          <w:sz w:val="24"/>
        </w:rPr>
        <w:t>(d)评标委员会专家依据招标文件规定，按附录1</w:t>
      </w:r>
      <w:r>
        <w:rPr>
          <w:rFonts w:hint="eastAsia" w:ascii="宋体" w:hAnsi="宋体"/>
          <w:sz w:val="24"/>
          <w:lang w:val="en-US" w:eastAsia="zh-CN"/>
        </w:rPr>
        <w:t>5</w:t>
      </w:r>
      <w:r>
        <w:rPr>
          <w:rFonts w:hint="eastAsia" w:ascii="宋体" w:hAnsi="宋体"/>
          <w:sz w:val="24"/>
        </w:rPr>
        <w:t>《设计</w:t>
      </w:r>
      <w:r>
        <w:rPr>
          <w:rFonts w:hint="eastAsia" w:ascii="宋体" w:hAnsi="宋体"/>
          <w:sz w:val="24"/>
          <w:lang w:eastAsia="zh-CN"/>
        </w:rPr>
        <w:t>方案</w:t>
      </w:r>
      <w:r>
        <w:rPr>
          <w:rFonts w:hint="eastAsia" w:ascii="宋体" w:hAnsi="宋体"/>
          <w:sz w:val="24"/>
        </w:rPr>
        <w:t>评审记录表》、附录1</w:t>
      </w:r>
      <w:r>
        <w:rPr>
          <w:rFonts w:hint="eastAsia" w:ascii="宋体" w:hAnsi="宋体"/>
          <w:sz w:val="24"/>
          <w:lang w:val="en-US" w:eastAsia="zh-CN"/>
        </w:rPr>
        <w:t>7</w:t>
      </w:r>
      <w:r>
        <w:rPr>
          <w:rFonts w:hint="eastAsia" w:ascii="宋体" w:hAnsi="宋体"/>
          <w:sz w:val="24"/>
        </w:rPr>
        <w:t>《投标方案评语》对各投标人递交的投标文件进行评审。如果有否决投标提议，则评标委员会成员共同表决，按照少数服从多数的原则决定是否否决。</w:t>
      </w:r>
    </w:p>
    <w:p>
      <w:pPr>
        <w:spacing w:line="360" w:lineRule="auto"/>
        <w:ind w:left="844" w:leftChars="201" w:hanging="422" w:hangingChars="176"/>
        <w:rPr>
          <w:rFonts w:ascii="宋体" w:hAnsi="宋体"/>
          <w:sz w:val="24"/>
        </w:rPr>
      </w:pPr>
      <w:r>
        <w:rPr>
          <w:rFonts w:hint="eastAsia" w:ascii="宋体" w:hAnsi="宋体"/>
          <w:sz w:val="24"/>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pPr>
        <w:spacing w:line="360" w:lineRule="auto"/>
        <w:ind w:left="844" w:leftChars="201" w:hanging="422" w:hangingChars="176"/>
        <w:rPr>
          <w:rFonts w:ascii="宋体" w:hAnsi="宋体"/>
          <w:sz w:val="24"/>
        </w:rPr>
      </w:pPr>
      <w:r>
        <w:rPr>
          <w:rFonts w:hint="eastAsia" w:ascii="宋体" w:hAnsi="宋体"/>
          <w:sz w:val="24"/>
        </w:rPr>
        <w:t xml:space="preserve">(f) 评标委员会揭晓投标人身份。 </w:t>
      </w:r>
    </w:p>
    <w:p>
      <w:pPr>
        <w:spacing w:line="360" w:lineRule="auto"/>
        <w:ind w:left="844" w:leftChars="201" w:hanging="422" w:hangingChars="176"/>
        <w:rPr>
          <w:rFonts w:ascii="宋体" w:hAnsi="宋体"/>
          <w:sz w:val="24"/>
        </w:rPr>
      </w:pPr>
      <w:r>
        <w:rPr>
          <w:rFonts w:hint="eastAsia" w:ascii="宋体" w:hAnsi="宋体"/>
          <w:sz w:val="24"/>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w:t>
      </w:r>
      <w:r>
        <w:rPr>
          <w:rFonts w:hint="eastAsia" w:ascii="宋体" w:hAnsi="宋体"/>
          <w:sz w:val="24"/>
          <w:u w:val="single"/>
        </w:rPr>
        <w:t xml:space="preserve">              </w:t>
      </w:r>
      <w:r>
        <w:rPr>
          <w:rFonts w:hint="eastAsia" w:ascii="宋体" w:hAnsi="宋体"/>
          <w:sz w:val="24"/>
        </w:rPr>
        <w:t>。评标委员会按上述方式推荐入围定标阶段的投标人。投标经济补偿费按投标方案的最终排序（采取排序方式的）或</w:t>
      </w:r>
      <w:r>
        <w:rPr>
          <w:rFonts w:hint="eastAsia" w:ascii="宋体" w:hAnsi="宋体"/>
          <w:sz w:val="24"/>
          <w:u w:val="single"/>
        </w:rPr>
        <w:t xml:space="preserve">             </w:t>
      </w:r>
      <w:r>
        <w:rPr>
          <w:rFonts w:hint="eastAsia" w:ascii="宋体" w:hAnsi="宋体"/>
          <w:sz w:val="24"/>
        </w:rPr>
        <w:t>（采取直接确定入围方式的）确定进行补偿。</w:t>
      </w:r>
    </w:p>
    <w:p>
      <w:pPr>
        <w:spacing w:line="360" w:lineRule="auto"/>
        <w:ind w:left="844" w:leftChars="201" w:hanging="422" w:hangingChars="176"/>
        <w:rPr>
          <w:rFonts w:ascii="宋体" w:hAnsi="宋体"/>
          <w:sz w:val="24"/>
        </w:rPr>
      </w:pPr>
      <w:r>
        <w:rPr>
          <w:rFonts w:hint="eastAsia" w:ascii="宋体" w:hAnsi="宋体"/>
          <w:sz w:val="24"/>
        </w:rPr>
        <w:t>(h) 编写、签署评标报告，评标报告由评标委员会全体成员签字，对评标结论持有异议的评标委员会成员可以书面方式阐述其不同意见和理由。</w:t>
      </w:r>
    </w:p>
    <w:p>
      <w:pPr>
        <w:spacing w:line="360" w:lineRule="auto"/>
        <w:ind w:left="844" w:leftChars="201" w:hanging="422" w:hangingChars="176"/>
        <w:rPr>
          <w:rFonts w:ascii="宋体" w:hAnsi="宋体"/>
          <w:sz w:val="24"/>
        </w:rPr>
      </w:pPr>
      <w:r>
        <w:rPr>
          <w:rFonts w:hint="eastAsia" w:ascii="宋体" w:hAnsi="宋体"/>
          <w:sz w:val="24"/>
        </w:rPr>
        <w:t>(i) 评标委员会向招标人提交书面评标报告后即告解散，评标过程中使用的文件、表格以及其他资料应当即时归还招标人（招标代理机构）。</w:t>
      </w:r>
    </w:p>
    <w:p>
      <w:pPr>
        <w:spacing w:line="360" w:lineRule="auto"/>
        <w:ind w:left="844" w:leftChars="201" w:hanging="422" w:hangingChars="176"/>
        <w:rPr>
          <w:rFonts w:ascii="宋体" w:hAnsi="宋体"/>
          <w:sz w:val="24"/>
        </w:rPr>
      </w:pPr>
      <w:r>
        <w:rPr>
          <w:rFonts w:hint="eastAsia" w:ascii="宋体" w:hAnsi="宋体"/>
          <w:sz w:val="24"/>
        </w:rPr>
        <w:t>（j）定标委员会定标。定标委员会按附录1</w:t>
      </w:r>
      <w:r>
        <w:rPr>
          <w:rFonts w:ascii="宋体" w:hAnsi="宋体"/>
          <w:sz w:val="24"/>
        </w:rPr>
        <w:t>3</w:t>
      </w:r>
      <w:r>
        <w:rPr>
          <w:rFonts w:hint="eastAsia" w:ascii="宋体" w:hAnsi="宋体"/>
          <w:sz w:val="24"/>
        </w:rPr>
        <w:t>《定标原则》确定</w:t>
      </w:r>
      <w:r>
        <w:rPr>
          <w:rFonts w:hint="eastAsia" w:ascii="宋体" w:hAnsi="宋体"/>
          <w:sz w:val="24"/>
          <w:u w:val="single"/>
        </w:rPr>
        <w:t xml:space="preserve">    </w:t>
      </w:r>
      <w:r>
        <w:rPr>
          <w:rFonts w:hint="eastAsia" w:ascii="宋体" w:hAnsi="宋体"/>
          <w:sz w:val="24"/>
        </w:rPr>
        <w:t>名（不多于3名）中标候选人（排序），也可直接确定中标人。</w:t>
      </w:r>
    </w:p>
    <w:p>
      <w:pPr>
        <w:pStyle w:val="3"/>
        <w:spacing w:before="0" w:after="0" w:line="360" w:lineRule="auto"/>
        <w:jc w:val="center"/>
        <w:rPr>
          <w:rFonts w:ascii="宋体" w:hAnsi="宋体"/>
          <w:sz w:val="36"/>
          <w:szCs w:val="36"/>
        </w:rPr>
      </w:pPr>
      <w:r>
        <w:rPr>
          <w:rFonts w:ascii="宋体" w:hAnsi="宋体"/>
          <w:b w:val="0"/>
          <w:sz w:val="36"/>
          <w:szCs w:val="36"/>
        </w:rPr>
        <w:br w:type="page"/>
      </w:r>
      <w:bookmarkStart w:id="9" w:name="_Toc28334"/>
      <w:bookmarkStart w:id="10" w:name="_Toc11175"/>
      <w:r>
        <w:rPr>
          <w:rFonts w:hint="eastAsia" w:ascii="宋体" w:hAnsi="宋体"/>
          <w:sz w:val="36"/>
          <w:szCs w:val="36"/>
        </w:rPr>
        <w:t>第五章  定标</w:t>
      </w:r>
      <w:bookmarkEnd w:id="9"/>
      <w:r>
        <w:rPr>
          <w:rFonts w:hint="eastAsia" w:ascii="宋体" w:hAnsi="宋体" w:cs="宋体"/>
          <w:sz w:val="36"/>
          <w:szCs w:val="36"/>
          <w:u w:val="single"/>
        </w:rPr>
        <w:t>（范本原文）</w:t>
      </w:r>
      <w:bookmarkEnd w:id="10"/>
    </w:p>
    <w:p>
      <w:pPr>
        <w:rPr>
          <w:rFonts w:ascii="宋体" w:hAnsi="宋体"/>
        </w:rPr>
      </w:pPr>
    </w:p>
    <w:p>
      <w:pPr>
        <w:spacing w:line="360" w:lineRule="auto"/>
        <w:jc w:val="left"/>
        <w:rPr>
          <w:rFonts w:ascii="宋体" w:hAnsi="宋体"/>
          <w:b/>
          <w:sz w:val="24"/>
        </w:rPr>
      </w:pPr>
      <w:r>
        <w:rPr>
          <w:rFonts w:hint="eastAsia" w:ascii="宋体" w:hAnsi="宋体"/>
          <w:b/>
          <w:sz w:val="24"/>
        </w:rPr>
        <w:t>5.1    确定中标人</w:t>
      </w: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采用方式</w:t>
      </w:r>
      <w:r>
        <w:rPr>
          <w:rFonts w:hint="eastAsia" w:ascii="宋体" w:hAnsi="宋体"/>
          <w:sz w:val="24"/>
          <w:u w:val="single"/>
        </w:rPr>
        <w:t xml:space="preserve">    </w:t>
      </w:r>
      <w:r>
        <w:rPr>
          <w:rFonts w:hint="eastAsia" w:ascii="宋体" w:hAnsi="宋体"/>
          <w:sz w:val="24"/>
        </w:rPr>
        <w:t>确定中标人：</w:t>
      </w:r>
    </w:p>
    <w:p>
      <w:pPr>
        <w:spacing w:line="360" w:lineRule="auto"/>
        <w:jc w:val="left"/>
        <w:rPr>
          <w:rFonts w:ascii="宋体" w:hAnsi="宋体"/>
          <w:sz w:val="24"/>
        </w:rPr>
      </w:pPr>
    </w:p>
    <w:p>
      <w:pPr>
        <w:spacing w:line="360" w:lineRule="auto"/>
        <w:jc w:val="left"/>
        <w:rPr>
          <w:rFonts w:ascii="宋体" w:hAnsi="宋体"/>
          <w:b/>
          <w:sz w:val="24"/>
        </w:rPr>
      </w:pPr>
      <w:r>
        <w:rPr>
          <w:rFonts w:hint="eastAsia" w:ascii="宋体" w:hAnsi="宋体"/>
          <w:b/>
          <w:sz w:val="24"/>
        </w:rPr>
        <w:t>方式一（适用于设置资格审查环节的项目）：</w:t>
      </w:r>
    </w:p>
    <w:p>
      <w:pPr>
        <w:spacing w:line="360" w:lineRule="auto"/>
        <w:ind w:left="821" w:hanging="820" w:hangingChars="342"/>
        <w:jc w:val="left"/>
        <w:rPr>
          <w:rFonts w:ascii="宋体" w:hAnsi="宋体"/>
          <w:sz w:val="24"/>
        </w:rPr>
      </w:pPr>
      <w:r>
        <w:rPr>
          <w:rFonts w:hint="eastAsia" w:ascii="宋体" w:hAnsi="宋体"/>
          <w:sz w:val="24"/>
        </w:rPr>
        <w:t>5.1.1  招标人在评标委员会或</w:t>
      </w:r>
      <w:r>
        <w:rPr>
          <w:rFonts w:ascii="宋体" w:hAnsi="宋体"/>
          <w:sz w:val="24"/>
        </w:rPr>
        <w:t>定标委员会</w:t>
      </w:r>
      <w:r>
        <w:rPr>
          <w:rFonts w:hint="eastAsia" w:ascii="宋体" w:hAnsi="宋体"/>
          <w:sz w:val="24"/>
        </w:rPr>
        <w:t>推荐的中标候选人中确定中标人。</w:t>
      </w:r>
    </w:p>
    <w:p>
      <w:pPr>
        <w:spacing w:line="360" w:lineRule="auto"/>
        <w:ind w:left="821" w:hanging="820" w:hangingChars="342"/>
        <w:jc w:val="left"/>
        <w:rPr>
          <w:rFonts w:ascii="宋体" w:hAnsi="宋体"/>
          <w:sz w:val="24"/>
        </w:rPr>
      </w:pPr>
      <w:r>
        <w:rPr>
          <w:rFonts w:hint="eastAsia" w:ascii="宋体" w:hAnsi="宋体"/>
          <w:sz w:val="24"/>
        </w:rPr>
        <w:t>5.1.2</w:t>
      </w:r>
      <w:r>
        <w:rPr>
          <w:rFonts w:ascii="宋体" w:hAnsi="宋体"/>
          <w:sz w:val="24"/>
        </w:rPr>
        <w:t xml:space="preserve">  </w:t>
      </w:r>
      <w:r>
        <w:rPr>
          <w:rFonts w:hint="eastAsia" w:ascii="宋体" w:hAnsi="宋体"/>
          <w:sz w:val="24"/>
        </w:rPr>
        <w:t>招标人确定中标人：</w:t>
      </w:r>
    </w:p>
    <w:p>
      <w:pPr>
        <w:spacing w:line="360" w:lineRule="auto"/>
        <w:ind w:left="735" w:leftChars="350"/>
        <w:jc w:val="left"/>
        <w:rPr>
          <w:rFonts w:ascii="宋体" w:hAnsi="宋体"/>
          <w:sz w:val="24"/>
        </w:rPr>
      </w:pPr>
      <w:r>
        <w:rPr>
          <w:rFonts w:hint="eastAsia" w:ascii="宋体" w:hAnsi="宋体"/>
          <w:sz w:val="24"/>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w:t>
      </w:r>
      <w:r>
        <w:rPr>
          <w:rFonts w:ascii="宋体" w:hAnsi="宋体"/>
          <w:sz w:val="24"/>
        </w:rPr>
        <w:t>定标委员会</w:t>
      </w:r>
      <w:r>
        <w:rPr>
          <w:rFonts w:hint="eastAsia" w:ascii="宋体" w:hAnsi="宋体"/>
          <w:sz w:val="24"/>
        </w:rPr>
        <w:t>提出的中标候选人名单排序依次确定其他中标候选人为中标人，也可以重新招标。如定标委员会直接确定中标人的，可省略此步骤。</w:t>
      </w:r>
    </w:p>
    <w:p>
      <w:pPr>
        <w:spacing w:line="360" w:lineRule="auto"/>
        <w:ind w:left="720" w:hanging="720" w:hangingChars="300"/>
        <w:rPr>
          <w:rFonts w:ascii="宋体" w:hAnsi="宋体"/>
          <w:sz w:val="24"/>
        </w:rPr>
      </w:pPr>
      <w:r>
        <w:rPr>
          <w:rFonts w:hint="eastAsia" w:ascii="宋体" w:hAnsi="宋体"/>
          <w:sz w:val="24"/>
        </w:rPr>
        <w:t>5.1.3 在产生中标候选人后，招标人将中标候选人的投标文件商务部分（包括报价清单、人员、业绩、奖项等资料）在交易平台和广东省招标投标监管网公开。</w:t>
      </w:r>
    </w:p>
    <w:p>
      <w:pPr>
        <w:spacing w:line="360" w:lineRule="auto"/>
        <w:jc w:val="left"/>
        <w:rPr>
          <w:rFonts w:ascii="宋体" w:hAnsi="宋体"/>
          <w:sz w:val="24"/>
        </w:rPr>
      </w:pPr>
    </w:p>
    <w:p>
      <w:pPr>
        <w:spacing w:line="360" w:lineRule="auto"/>
        <w:rPr>
          <w:rFonts w:ascii="宋体" w:hAnsi="宋体"/>
          <w:b/>
          <w:sz w:val="24"/>
        </w:rPr>
      </w:pPr>
      <w:r>
        <w:rPr>
          <w:rFonts w:hint="eastAsia" w:ascii="宋体" w:hAnsi="宋体"/>
          <w:b/>
          <w:sz w:val="24"/>
        </w:rPr>
        <w:t>方式二（适用于未设资格审查环节的项目）：</w:t>
      </w:r>
    </w:p>
    <w:p>
      <w:pPr>
        <w:spacing w:line="360" w:lineRule="auto"/>
        <w:ind w:left="821" w:hanging="820" w:hangingChars="342"/>
        <w:jc w:val="left"/>
        <w:rPr>
          <w:rFonts w:ascii="宋体" w:hAnsi="宋体"/>
          <w:sz w:val="24"/>
        </w:rPr>
      </w:pPr>
      <w:r>
        <w:rPr>
          <w:rFonts w:hint="eastAsia" w:ascii="宋体" w:hAnsi="宋体"/>
          <w:sz w:val="24"/>
        </w:rPr>
        <w:t>5.1.1  招标人依据评标委员会或</w:t>
      </w:r>
      <w:r>
        <w:rPr>
          <w:rFonts w:ascii="宋体" w:hAnsi="宋体"/>
          <w:sz w:val="24"/>
        </w:rPr>
        <w:t>定标委员会</w:t>
      </w:r>
      <w:r>
        <w:rPr>
          <w:rFonts w:hint="eastAsia" w:ascii="宋体" w:hAnsi="宋体"/>
          <w:sz w:val="24"/>
        </w:rPr>
        <w:t>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pPr>
        <w:spacing w:line="360" w:lineRule="auto"/>
        <w:ind w:left="821" w:hanging="820" w:hangingChars="342"/>
        <w:jc w:val="left"/>
        <w:rPr>
          <w:rFonts w:ascii="宋体" w:hAnsi="宋体"/>
          <w:sz w:val="24"/>
        </w:rPr>
      </w:pPr>
      <w:r>
        <w:rPr>
          <w:rFonts w:hint="eastAsia" w:ascii="宋体" w:hAnsi="宋体"/>
          <w:sz w:val="24"/>
        </w:rPr>
        <w:t>5.1.2</w:t>
      </w:r>
      <w:r>
        <w:rPr>
          <w:rFonts w:ascii="宋体" w:hAnsi="宋体"/>
          <w:sz w:val="24"/>
        </w:rPr>
        <w:t xml:space="preserve">  </w:t>
      </w:r>
      <w:r>
        <w:rPr>
          <w:rFonts w:hint="eastAsia" w:ascii="宋体" w:hAnsi="宋体"/>
          <w:sz w:val="24"/>
        </w:rPr>
        <w:t>排名第一的中标候选人放弃中标、因不可抗力不能履行合同、不按照招标文件要求提交履约保证金，或者被查实存在影响中标结果的违法行为等情形，不符合中标条件的，招标人可以按照评标委员会或</w:t>
      </w:r>
      <w:r>
        <w:rPr>
          <w:rFonts w:ascii="宋体" w:hAnsi="宋体"/>
          <w:sz w:val="24"/>
        </w:rPr>
        <w:t>定标委员会</w:t>
      </w:r>
      <w:r>
        <w:rPr>
          <w:rFonts w:hint="eastAsia" w:ascii="宋体" w:hAnsi="宋体"/>
          <w:sz w:val="24"/>
        </w:rPr>
        <w:t>提出的中标候选人名单排序依次确定其他通过资格复核的中标候选人为中标人，也可以重新招标。</w:t>
      </w:r>
    </w:p>
    <w:p>
      <w:pPr>
        <w:spacing w:line="360" w:lineRule="auto"/>
        <w:ind w:left="821" w:hanging="820" w:hangingChars="342"/>
        <w:jc w:val="left"/>
        <w:rPr>
          <w:rFonts w:ascii="宋体" w:hAnsi="宋体"/>
          <w:sz w:val="24"/>
        </w:rPr>
      </w:pPr>
      <w:r>
        <w:rPr>
          <w:rFonts w:hint="eastAsia" w:ascii="宋体" w:hAnsi="宋体"/>
          <w:sz w:val="24"/>
        </w:rPr>
        <w:t>5.1.3  定标委员会直接确定中标人，中标人未能通过资格复核的，招标失败。招标人应重新组织招标。</w:t>
      </w:r>
    </w:p>
    <w:p>
      <w:pPr>
        <w:spacing w:line="360" w:lineRule="auto"/>
        <w:ind w:left="840" w:hanging="840" w:hangingChars="350"/>
        <w:rPr>
          <w:rFonts w:ascii="宋体" w:hAnsi="宋体"/>
          <w:sz w:val="24"/>
        </w:rPr>
      </w:pPr>
      <w:r>
        <w:rPr>
          <w:rFonts w:hint="eastAsia" w:ascii="宋体" w:hAnsi="宋体"/>
          <w:sz w:val="24"/>
        </w:rPr>
        <w:t>5.1.4  在产生中标候选人后，招标人将中标候选人的投标文件商务部分（包括报价清单、人员、业绩、奖项等资料）在交易平台和广东省招标投标监管网公开。</w:t>
      </w:r>
    </w:p>
    <w:p>
      <w:pPr>
        <w:pStyle w:val="2"/>
        <w:ind w:firstLine="420"/>
      </w:pPr>
    </w:p>
    <w:p>
      <w:pPr>
        <w:spacing w:line="360" w:lineRule="auto"/>
        <w:jc w:val="left"/>
        <w:rPr>
          <w:rFonts w:ascii="宋体" w:hAnsi="宋体"/>
          <w:b/>
          <w:sz w:val="24"/>
        </w:rPr>
      </w:pPr>
      <w:r>
        <w:rPr>
          <w:rFonts w:hint="eastAsia" w:ascii="宋体" w:hAnsi="宋体"/>
          <w:b/>
          <w:sz w:val="24"/>
        </w:rPr>
        <w:t>5.2    中标资格审核及中标通知</w:t>
      </w:r>
    </w:p>
    <w:p>
      <w:pPr>
        <w:pStyle w:val="2"/>
        <w:ind w:firstLine="420"/>
      </w:pPr>
    </w:p>
    <w:p>
      <w:pPr>
        <w:spacing w:line="360" w:lineRule="auto"/>
        <w:ind w:left="821" w:hanging="820" w:hangingChars="342"/>
        <w:jc w:val="left"/>
        <w:rPr>
          <w:rFonts w:ascii="宋体" w:hAnsi="宋体"/>
          <w:sz w:val="24"/>
        </w:rPr>
      </w:pPr>
      <w:r>
        <w:rPr>
          <w:rFonts w:hint="eastAsia" w:ascii="宋体" w:hAnsi="宋体"/>
          <w:sz w:val="24"/>
        </w:rPr>
        <w:t>5.2.1  招标人发出中标通知书前，与中标人落实以下事项：</w:t>
      </w:r>
    </w:p>
    <w:p>
      <w:pPr>
        <w:spacing w:line="360" w:lineRule="auto"/>
        <w:rPr>
          <w:rFonts w:ascii="宋体" w:hAnsi="宋体"/>
          <w:sz w:val="24"/>
        </w:rPr>
      </w:pPr>
      <w:r>
        <w:rPr>
          <w:rFonts w:hint="eastAsia" w:ascii="宋体" w:hAnsi="宋体"/>
          <w:sz w:val="24"/>
        </w:rPr>
        <w:t xml:space="preserve">   (a) 投标文件是否有明显抄袭行为；</w:t>
      </w:r>
    </w:p>
    <w:p>
      <w:pPr>
        <w:spacing w:line="360" w:lineRule="auto"/>
        <w:ind w:firstLine="240" w:firstLineChars="100"/>
        <w:rPr>
          <w:rFonts w:ascii="宋体" w:hAnsi="宋体"/>
          <w:sz w:val="24"/>
        </w:rPr>
      </w:pPr>
      <w:r>
        <w:rPr>
          <w:rFonts w:hint="eastAsia" w:ascii="宋体" w:hAnsi="宋体"/>
          <w:sz w:val="24"/>
        </w:rPr>
        <w:t xml:space="preserve"> (b) 投标文件是否有侵犯他人著作权和特许权；</w:t>
      </w:r>
    </w:p>
    <w:p>
      <w:pPr>
        <w:spacing w:line="360" w:lineRule="auto"/>
        <w:ind w:firstLine="240" w:firstLineChars="100"/>
        <w:rPr>
          <w:rFonts w:ascii="宋体" w:hAnsi="宋体"/>
          <w:sz w:val="24"/>
        </w:rPr>
      </w:pPr>
      <w:r>
        <w:rPr>
          <w:rFonts w:hint="eastAsia" w:ascii="宋体" w:hAnsi="宋体"/>
          <w:sz w:val="24"/>
        </w:rPr>
        <w:t xml:space="preserve"> (c) 投标文件是否有参加过其他竞赛，或在其他竞赛中获奖的作品。</w:t>
      </w:r>
    </w:p>
    <w:p>
      <w:pPr>
        <w:spacing w:line="360" w:lineRule="auto"/>
        <w:ind w:left="849" w:leftChars="404" w:hanging="1"/>
        <w:rPr>
          <w:rFonts w:ascii="宋体" w:hAnsi="宋体"/>
          <w:sz w:val="24"/>
        </w:rPr>
      </w:pPr>
      <w:r>
        <w:rPr>
          <w:rFonts w:hint="eastAsia" w:ascii="宋体" w:hAnsi="宋体"/>
          <w:sz w:val="24"/>
        </w:rPr>
        <w:t>中标人出现以上情形的，中标无效。招标人按照《中华人民共和国招标投标法实施条例》第五十五条的规定依次确定中标人或重新招标。</w:t>
      </w:r>
    </w:p>
    <w:p>
      <w:pPr>
        <w:spacing w:line="360" w:lineRule="auto"/>
        <w:ind w:left="821" w:hanging="820" w:hangingChars="342"/>
        <w:rPr>
          <w:rFonts w:ascii="宋体" w:hAnsi="宋体"/>
          <w:sz w:val="24"/>
        </w:rPr>
      </w:pPr>
      <w:r>
        <w:rPr>
          <w:rFonts w:hint="eastAsia" w:ascii="宋体" w:hAnsi="宋体"/>
          <w:sz w:val="24"/>
        </w:rPr>
        <w:t>5.2.2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pPr>
        <w:spacing w:line="360" w:lineRule="auto"/>
        <w:ind w:left="821" w:hanging="820" w:hangingChars="342"/>
        <w:rPr>
          <w:rFonts w:ascii="宋体" w:hAnsi="宋体"/>
          <w:sz w:val="24"/>
        </w:rPr>
      </w:pPr>
      <w:r>
        <w:rPr>
          <w:rFonts w:hint="eastAsia" w:ascii="宋体" w:hAnsi="宋体"/>
          <w:sz w:val="24"/>
        </w:rPr>
        <w:t>5.2.3  如果中标候选人的报价不符合招标文件规定，招标人有权作出修正，招标人的修正备忘录在得到中标候选人的同意后向其颁发中标通知书。</w:t>
      </w:r>
    </w:p>
    <w:p>
      <w:pPr>
        <w:spacing w:line="360" w:lineRule="auto"/>
        <w:ind w:left="821" w:hanging="820" w:hangingChars="342"/>
        <w:jc w:val="left"/>
        <w:rPr>
          <w:rFonts w:ascii="宋体" w:hAnsi="宋体"/>
          <w:sz w:val="24"/>
        </w:rPr>
      </w:pPr>
      <w:r>
        <w:rPr>
          <w:rFonts w:hint="eastAsia" w:ascii="宋体" w:hAnsi="宋体"/>
          <w:sz w:val="24"/>
        </w:rPr>
        <w:t>5.2.4  中标人确定后，招标人（招标代理机构）通过交易平台和广东省招标投标监管网公示中标结果。</w:t>
      </w:r>
    </w:p>
    <w:p>
      <w:pPr>
        <w:spacing w:line="360" w:lineRule="auto"/>
        <w:ind w:left="821" w:hanging="820" w:hangingChars="342"/>
        <w:jc w:val="left"/>
        <w:rPr>
          <w:rFonts w:ascii="宋体" w:hAnsi="宋体"/>
          <w:sz w:val="24"/>
        </w:rPr>
      </w:pPr>
      <w:r>
        <w:rPr>
          <w:rFonts w:hint="eastAsia" w:ascii="宋体" w:hAnsi="宋体"/>
          <w:sz w:val="24"/>
        </w:rPr>
        <w:t>5.2.5  招标人自确定中标人之日起十五日内向招标管理机构提交招标投标情况的书面报告。</w:t>
      </w:r>
    </w:p>
    <w:p>
      <w:pPr>
        <w:pStyle w:val="2"/>
        <w:ind w:firstLine="420"/>
      </w:pPr>
    </w:p>
    <w:p>
      <w:pPr>
        <w:spacing w:line="360" w:lineRule="auto"/>
        <w:rPr>
          <w:rFonts w:ascii="宋体" w:hAnsi="宋体"/>
          <w:b/>
          <w:bCs/>
          <w:sz w:val="24"/>
        </w:rPr>
      </w:pPr>
      <w:r>
        <w:rPr>
          <w:rFonts w:hint="eastAsia" w:ascii="宋体" w:hAnsi="宋体"/>
          <w:b/>
          <w:bCs/>
          <w:sz w:val="24"/>
        </w:rPr>
        <w:t>5.3    其他</w:t>
      </w:r>
    </w:p>
    <w:p>
      <w:pPr>
        <w:pStyle w:val="2"/>
        <w:ind w:firstLine="420"/>
      </w:pPr>
    </w:p>
    <w:p>
      <w:pPr>
        <w:spacing w:line="360" w:lineRule="auto"/>
        <w:ind w:left="821" w:hanging="820" w:hangingChars="342"/>
        <w:rPr>
          <w:rFonts w:ascii="宋体" w:hAnsi="宋体"/>
          <w:sz w:val="24"/>
        </w:rPr>
      </w:pPr>
      <w:r>
        <w:rPr>
          <w:rFonts w:hint="eastAsia" w:ascii="宋体" w:hAnsi="宋体"/>
          <w:sz w:val="24"/>
        </w:rPr>
        <w:t>5.3.1  凡是以他人名义投标，或者投标人允许其他单位或者个人以投标人的名义投标承揽业务的，均属违法行为，招标人对这些单位或个人的损失概不负责，对这些单位或个人的投诉概不受理。</w:t>
      </w:r>
    </w:p>
    <w:p>
      <w:pPr>
        <w:spacing w:line="360" w:lineRule="auto"/>
        <w:ind w:left="821" w:hanging="820" w:hangingChars="342"/>
        <w:rPr>
          <w:rFonts w:ascii="宋体" w:hAnsi="宋体"/>
          <w:sz w:val="24"/>
        </w:rPr>
      </w:pPr>
      <w:r>
        <w:rPr>
          <w:rFonts w:hint="eastAsia" w:ascii="宋体" w:hAnsi="宋体"/>
          <w:sz w:val="24"/>
        </w:rPr>
        <w:t>5.3.2  本次招标由交易服务机构对各投标人提交的成果和评标过程、评标结果予以见证，若有纠纷，将按现行法律、法规通过友好协商或诉讼程序解决。</w:t>
      </w:r>
    </w:p>
    <w:p>
      <w:pPr>
        <w:spacing w:line="360" w:lineRule="auto"/>
        <w:ind w:left="821" w:hanging="820" w:hangingChars="342"/>
        <w:rPr>
          <w:rFonts w:ascii="宋体" w:hAnsi="宋体"/>
          <w:sz w:val="24"/>
        </w:rPr>
      </w:pPr>
      <w:r>
        <w:rPr>
          <w:rFonts w:hint="eastAsia" w:ascii="宋体" w:hAnsi="宋体"/>
          <w:sz w:val="24"/>
        </w:rPr>
        <w:t>5.3.3  腐败与欺诈行为</w:t>
      </w:r>
    </w:p>
    <w:p>
      <w:pPr>
        <w:spacing w:line="360" w:lineRule="auto"/>
        <w:ind w:left="821" w:hanging="820" w:hangingChars="342"/>
        <w:rPr>
          <w:rFonts w:ascii="宋体" w:hAnsi="宋体"/>
          <w:sz w:val="24"/>
        </w:rPr>
      </w:pPr>
      <w:r>
        <w:rPr>
          <w:rFonts w:hint="eastAsia" w:ascii="宋体" w:hAnsi="宋体"/>
          <w:sz w:val="24"/>
        </w:rPr>
        <w:t xml:space="preserve">       在招标和合同实施期间，招标人要求投标人和承包人遵守最高的道德标准。</w:t>
      </w:r>
    </w:p>
    <w:p>
      <w:pPr>
        <w:spacing w:line="360" w:lineRule="auto"/>
        <w:ind w:left="821" w:hanging="820" w:hangingChars="342"/>
        <w:rPr>
          <w:rFonts w:ascii="宋体" w:hAnsi="宋体"/>
          <w:sz w:val="24"/>
        </w:rPr>
      </w:pPr>
      <w:r>
        <w:rPr>
          <w:rFonts w:hint="eastAsia" w:ascii="宋体" w:hAnsi="宋体"/>
          <w:sz w:val="24"/>
        </w:rPr>
        <w:t>5.3.3.1对本条款的规定，特定义如下词汇：</w:t>
      </w:r>
    </w:p>
    <w:p>
      <w:pPr>
        <w:spacing w:line="360" w:lineRule="auto"/>
        <w:ind w:left="821" w:hanging="820" w:hangingChars="342"/>
        <w:rPr>
          <w:rFonts w:ascii="宋体" w:hAnsi="宋体"/>
          <w:sz w:val="24"/>
        </w:rPr>
      </w:pPr>
      <w:r>
        <w:rPr>
          <w:rFonts w:hint="eastAsia" w:ascii="宋体" w:hAnsi="宋体"/>
          <w:sz w:val="24"/>
        </w:rPr>
        <w:t xml:space="preserve">       1）、“腐败行为”是指在招标或合同执行期间，通过提供、给予、接受或索要任何有价值的东西，从而影响招标人有关人员工作的行为；</w:t>
      </w:r>
    </w:p>
    <w:p>
      <w:pPr>
        <w:spacing w:line="360" w:lineRule="auto"/>
        <w:ind w:left="821" w:hanging="820" w:hangingChars="342"/>
        <w:rPr>
          <w:rFonts w:ascii="宋体" w:hAnsi="宋体"/>
          <w:sz w:val="24"/>
        </w:rPr>
      </w:pPr>
      <w:r>
        <w:rPr>
          <w:rFonts w:hint="eastAsia" w:ascii="宋体" w:hAnsi="宋体"/>
          <w:sz w:val="24"/>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spacing w:line="360" w:lineRule="auto"/>
        <w:ind w:left="821" w:hanging="820" w:hangingChars="342"/>
        <w:rPr>
          <w:rFonts w:ascii="宋体" w:hAnsi="宋体"/>
          <w:sz w:val="24"/>
        </w:rPr>
      </w:pPr>
      <w:r>
        <w:rPr>
          <w:rFonts w:hint="eastAsia" w:ascii="宋体" w:hAnsi="宋体"/>
          <w:sz w:val="24"/>
        </w:rPr>
        <w:t>5.3.3.2如果投标人被认定在本招标的竞争中有腐败或欺诈行为，则会被取消投标资格。</w:t>
      </w:r>
    </w:p>
    <w:p>
      <w:pPr>
        <w:spacing w:line="360" w:lineRule="auto"/>
        <w:ind w:left="821" w:hanging="820" w:hangingChars="342"/>
        <w:rPr>
          <w:rFonts w:ascii="宋体" w:hAnsi="宋体"/>
          <w:sz w:val="24"/>
        </w:rPr>
      </w:pPr>
      <w:r>
        <w:rPr>
          <w:rFonts w:hint="eastAsia" w:ascii="宋体" w:hAnsi="宋体"/>
          <w:sz w:val="24"/>
        </w:rPr>
        <w:t>5.3.3.3投标人如在本项目中存在串通投标、弄虚作假、行贿情形的，中标无效，行政监督部门将对其违法行为进行政处罚并通报。该投标人将被招标人列入黑名单并限制其参与招标人后续项目的投标。</w:t>
      </w:r>
    </w:p>
    <w:p>
      <w:pPr>
        <w:spacing w:line="360" w:lineRule="auto"/>
        <w:ind w:left="821" w:hanging="820" w:hangingChars="342"/>
        <w:rPr>
          <w:rFonts w:ascii="宋体" w:hAnsi="宋体"/>
          <w:sz w:val="24"/>
        </w:rPr>
      </w:pPr>
      <w:r>
        <w:rPr>
          <w:rFonts w:hint="eastAsia" w:ascii="宋体" w:hAnsi="宋体"/>
          <w:sz w:val="24"/>
        </w:rPr>
        <w:t>5.3.4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pPr>
        <w:pStyle w:val="3"/>
        <w:spacing w:before="0" w:after="0" w:line="360" w:lineRule="auto"/>
        <w:jc w:val="center"/>
        <w:rPr>
          <w:rFonts w:ascii="宋体" w:hAnsi="宋体"/>
          <w:sz w:val="36"/>
          <w:szCs w:val="36"/>
        </w:rPr>
      </w:pPr>
      <w:r>
        <w:rPr>
          <w:rFonts w:ascii="宋体" w:hAnsi="宋体"/>
          <w:sz w:val="24"/>
          <w:szCs w:val="24"/>
        </w:rPr>
        <w:br w:type="page"/>
      </w:r>
      <w:bookmarkStart w:id="11" w:name="_Toc7642"/>
      <w:bookmarkStart w:id="12" w:name="_Toc28630"/>
      <w:r>
        <w:rPr>
          <w:rFonts w:hint="eastAsia" w:ascii="宋体" w:hAnsi="宋体"/>
          <w:sz w:val="36"/>
          <w:szCs w:val="36"/>
        </w:rPr>
        <w:t>第六章  授予合同</w:t>
      </w:r>
      <w:bookmarkEnd w:id="11"/>
      <w:r>
        <w:rPr>
          <w:rFonts w:hint="eastAsia" w:ascii="宋体" w:hAnsi="宋体" w:cs="宋体"/>
          <w:sz w:val="36"/>
          <w:szCs w:val="36"/>
          <w:u w:val="single"/>
        </w:rPr>
        <w:t>（范本原文）</w:t>
      </w:r>
      <w:bookmarkEnd w:id="12"/>
    </w:p>
    <w:p>
      <w:pPr>
        <w:spacing w:line="360" w:lineRule="auto"/>
        <w:rPr>
          <w:rFonts w:ascii="宋体" w:hAnsi="宋体"/>
          <w:sz w:val="24"/>
        </w:rPr>
      </w:pPr>
    </w:p>
    <w:p>
      <w:pPr>
        <w:spacing w:line="360" w:lineRule="auto"/>
        <w:rPr>
          <w:rFonts w:ascii="宋体" w:hAnsi="宋体"/>
          <w:b/>
          <w:bCs/>
          <w:sz w:val="24"/>
        </w:rPr>
      </w:pPr>
      <w:r>
        <w:rPr>
          <w:rFonts w:hint="eastAsia" w:ascii="宋体" w:hAnsi="宋体"/>
          <w:b/>
          <w:bCs/>
          <w:sz w:val="24"/>
        </w:rPr>
        <w:t>6.1    授予合同</w:t>
      </w:r>
    </w:p>
    <w:p>
      <w:pPr>
        <w:spacing w:line="360" w:lineRule="auto"/>
        <w:rPr>
          <w:rFonts w:ascii="宋体" w:hAnsi="宋体"/>
          <w:sz w:val="24"/>
        </w:rPr>
      </w:pPr>
    </w:p>
    <w:p>
      <w:pPr>
        <w:pStyle w:val="21"/>
        <w:spacing w:line="360" w:lineRule="auto"/>
        <w:ind w:left="821" w:hanging="820" w:hangingChars="342"/>
        <w:jc w:val="left"/>
        <w:rPr>
          <w:rFonts w:hAnsi="宋体"/>
          <w:sz w:val="24"/>
          <w:szCs w:val="24"/>
        </w:rPr>
      </w:pPr>
      <w:r>
        <w:rPr>
          <w:rFonts w:hint="eastAsia" w:hAnsi="宋体"/>
          <w:sz w:val="24"/>
          <w:szCs w:val="24"/>
        </w:rPr>
        <w:t>6.1.1  招标人一般将合同授予中标人，合同必须在投标有效期或投标人接受的延长期内授出。</w:t>
      </w:r>
    </w:p>
    <w:p>
      <w:pPr>
        <w:pStyle w:val="21"/>
        <w:spacing w:line="360" w:lineRule="auto"/>
        <w:ind w:left="821" w:hanging="820" w:hangingChars="342"/>
        <w:jc w:val="left"/>
        <w:rPr>
          <w:rFonts w:hAnsi="宋体"/>
          <w:sz w:val="24"/>
          <w:szCs w:val="24"/>
        </w:rPr>
      </w:pPr>
      <w:r>
        <w:rPr>
          <w:rFonts w:hint="eastAsia" w:hAnsi="宋体"/>
          <w:sz w:val="24"/>
          <w:szCs w:val="24"/>
        </w:rPr>
        <w:t>6.1.2  中标通知书是合同的组成部分，</w:t>
      </w:r>
      <w:r>
        <w:rPr>
          <w:rFonts w:hint="eastAsia" w:hAnsi="宋体"/>
          <w:kern w:val="0"/>
          <w:sz w:val="24"/>
          <w:szCs w:val="24"/>
        </w:rPr>
        <w:t>任何单位和个人</w:t>
      </w:r>
      <w:r>
        <w:rPr>
          <w:rFonts w:hAnsi="宋体"/>
          <w:kern w:val="0"/>
          <w:sz w:val="24"/>
          <w:szCs w:val="24"/>
        </w:rPr>
        <w:t>不得采取有碍合同生效或履行的行动。</w:t>
      </w:r>
    </w:p>
    <w:p>
      <w:pPr>
        <w:pStyle w:val="21"/>
        <w:spacing w:line="360" w:lineRule="auto"/>
        <w:ind w:left="821" w:hanging="820" w:hangingChars="342"/>
        <w:jc w:val="left"/>
        <w:rPr>
          <w:rFonts w:hAnsi="宋体"/>
          <w:sz w:val="24"/>
          <w:szCs w:val="24"/>
        </w:rPr>
      </w:pPr>
      <w:r>
        <w:rPr>
          <w:rFonts w:hint="eastAsia" w:hAnsi="宋体"/>
          <w:sz w:val="24"/>
          <w:szCs w:val="24"/>
        </w:rPr>
        <w:t>6.1.3  联合体中标的，由所有联合体成员法定代表人签署授权委托书，指定主办方或代表，授权其代表所有联合体成员与招标人签订合同，负责整个合同实施阶段的协调工作。招标人认为必要时，联合体各方应当共同与招标人签订合同，为实施合同共同和分别承担责任。</w:t>
      </w:r>
    </w:p>
    <w:p>
      <w:pPr>
        <w:pStyle w:val="21"/>
        <w:spacing w:line="360" w:lineRule="auto"/>
        <w:ind w:left="821" w:hanging="820" w:hangingChars="342"/>
        <w:jc w:val="left"/>
        <w:rPr>
          <w:rFonts w:hAnsi="宋体"/>
          <w:sz w:val="24"/>
          <w:szCs w:val="24"/>
        </w:rPr>
      </w:pPr>
      <w:r>
        <w:rPr>
          <w:rFonts w:hint="eastAsia" w:hAnsi="宋体"/>
          <w:sz w:val="24"/>
          <w:szCs w:val="24"/>
        </w:rPr>
        <w:t>6.1.4  中标人必须签署并执行招标文件规定的合同条件，</w:t>
      </w:r>
      <w:r>
        <w:rPr>
          <w:rFonts w:hAnsi="宋体"/>
          <w:kern w:val="0"/>
          <w:sz w:val="24"/>
          <w:szCs w:val="24"/>
        </w:rPr>
        <w:t>如</w:t>
      </w:r>
      <w:r>
        <w:rPr>
          <w:rFonts w:hint="eastAsia" w:hAnsi="宋体"/>
          <w:kern w:val="0"/>
          <w:sz w:val="24"/>
          <w:szCs w:val="24"/>
        </w:rPr>
        <w:t>中标人</w:t>
      </w:r>
      <w:r>
        <w:rPr>
          <w:rFonts w:hAnsi="宋体"/>
          <w:kern w:val="0"/>
          <w:sz w:val="24"/>
          <w:szCs w:val="24"/>
        </w:rPr>
        <w:t>所提供的投标条件</w:t>
      </w:r>
      <w:r>
        <w:rPr>
          <w:rFonts w:hint="eastAsia" w:hAnsi="宋体"/>
          <w:kern w:val="0"/>
          <w:sz w:val="24"/>
          <w:szCs w:val="24"/>
        </w:rPr>
        <w:t>（报价、工期、估算工程造价）比其他投标</w:t>
      </w:r>
      <w:r>
        <w:rPr>
          <w:rFonts w:hAnsi="宋体"/>
          <w:kern w:val="0"/>
          <w:sz w:val="24"/>
          <w:szCs w:val="24"/>
        </w:rPr>
        <w:t>异常低，</w:t>
      </w:r>
      <w:r>
        <w:rPr>
          <w:rFonts w:hint="eastAsia" w:hAnsi="宋体"/>
          <w:kern w:val="0"/>
          <w:sz w:val="24"/>
          <w:szCs w:val="24"/>
        </w:rPr>
        <w:t>招标人</w:t>
      </w:r>
      <w:r>
        <w:rPr>
          <w:rFonts w:hAnsi="宋体"/>
          <w:kern w:val="0"/>
          <w:sz w:val="24"/>
          <w:szCs w:val="24"/>
        </w:rPr>
        <w:t>可要求</w:t>
      </w:r>
      <w:r>
        <w:rPr>
          <w:rFonts w:hint="eastAsia" w:hAnsi="宋体"/>
          <w:kern w:val="0"/>
          <w:sz w:val="24"/>
          <w:szCs w:val="24"/>
        </w:rPr>
        <w:t>中</w:t>
      </w:r>
      <w:r>
        <w:rPr>
          <w:rFonts w:hAnsi="宋体"/>
          <w:kern w:val="0"/>
          <w:sz w:val="24"/>
          <w:szCs w:val="24"/>
        </w:rPr>
        <w:t>标人对遵守参加投标的各项条件和履行合同的能力作出保证。</w:t>
      </w:r>
    </w:p>
    <w:p>
      <w:pPr>
        <w:spacing w:line="360" w:lineRule="auto"/>
        <w:ind w:left="821" w:hanging="820" w:hangingChars="342"/>
        <w:jc w:val="left"/>
        <w:rPr>
          <w:rFonts w:ascii="宋体" w:hAnsi="宋体"/>
          <w:sz w:val="24"/>
        </w:rPr>
      </w:pPr>
      <w:r>
        <w:rPr>
          <w:rFonts w:hint="eastAsia" w:ascii="宋体" w:hAnsi="宋体"/>
          <w:sz w:val="24"/>
        </w:rPr>
        <w:t>6.1.5  招标人提供证据证明中标人有下列行为之一的，经有关行政监督部门确认，该中标无效，招标人不与中标人签订合同：</w:t>
      </w:r>
    </w:p>
    <w:p>
      <w:pPr>
        <w:spacing w:line="360" w:lineRule="auto"/>
        <w:rPr>
          <w:rFonts w:ascii="宋体" w:hAnsi="宋体"/>
          <w:sz w:val="24"/>
        </w:rPr>
      </w:pPr>
      <w:r>
        <w:rPr>
          <w:rFonts w:hint="eastAsia" w:ascii="宋体" w:hAnsi="宋体"/>
          <w:sz w:val="24"/>
        </w:rPr>
        <w:t xml:space="preserve">   (a) 不能兑现投标承诺；</w:t>
      </w:r>
    </w:p>
    <w:p>
      <w:pPr>
        <w:spacing w:line="360" w:lineRule="auto"/>
        <w:rPr>
          <w:rFonts w:ascii="宋体" w:hAnsi="宋体"/>
          <w:sz w:val="24"/>
        </w:rPr>
      </w:pPr>
      <w:r>
        <w:rPr>
          <w:rFonts w:hint="eastAsia" w:ascii="宋体" w:hAnsi="宋体"/>
          <w:sz w:val="24"/>
        </w:rPr>
        <w:t xml:space="preserve">   (b) 弄虚作假骗取中标；</w:t>
      </w:r>
    </w:p>
    <w:p>
      <w:pPr>
        <w:spacing w:line="360" w:lineRule="auto"/>
        <w:ind w:left="821" w:hanging="820" w:hangingChars="342"/>
        <w:rPr>
          <w:rFonts w:ascii="宋体" w:hAnsi="宋体"/>
          <w:sz w:val="24"/>
        </w:rPr>
      </w:pPr>
      <w:r>
        <w:rPr>
          <w:rFonts w:hint="eastAsia" w:ascii="宋体" w:hAnsi="宋体"/>
          <w:sz w:val="24"/>
        </w:rPr>
        <w:t xml:space="preserve">  （c）在招标、投标、评标、定标以及授予合同过程中，对招标人、代理机构、其他投标人、评标委员会成员、</w:t>
      </w:r>
      <w:r>
        <w:rPr>
          <w:rFonts w:hint="eastAsia" w:ascii="宋体" w:hAnsi="宋体"/>
          <w:kern w:val="0"/>
          <w:sz w:val="24"/>
        </w:rPr>
        <w:t>交易服务机构的</w:t>
      </w:r>
      <w:r>
        <w:rPr>
          <w:rFonts w:hint="eastAsia" w:ascii="宋体" w:hAnsi="宋体"/>
          <w:sz w:val="24"/>
        </w:rPr>
        <w:t>工作人员行贿、</w:t>
      </w:r>
      <w:r>
        <w:rPr>
          <w:rFonts w:ascii="宋体" w:hAnsi="宋体"/>
          <w:kern w:val="0"/>
          <w:sz w:val="24"/>
        </w:rPr>
        <w:t>利诱</w:t>
      </w:r>
      <w:r>
        <w:rPr>
          <w:rFonts w:hint="eastAsia" w:ascii="宋体" w:hAnsi="宋体"/>
          <w:kern w:val="0"/>
          <w:sz w:val="24"/>
        </w:rPr>
        <w:t>、</w:t>
      </w:r>
      <w:r>
        <w:rPr>
          <w:rFonts w:hint="eastAsia" w:ascii="宋体" w:hAnsi="宋体"/>
          <w:sz w:val="24"/>
        </w:rPr>
        <w:t>欺诈或者施加影响；</w:t>
      </w:r>
    </w:p>
    <w:p>
      <w:pPr>
        <w:spacing w:line="360" w:lineRule="auto"/>
        <w:rPr>
          <w:rFonts w:ascii="宋体" w:hAnsi="宋体"/>
          <w:sz w:val="24"/>
        </w:rPr>
      </w:pPr>
      <w:r>
        <w:rPr>
          <w:rFonts w:hint="eastAsia" w:ascii="宋体" w:hAnsi="宋体"/>
          <w:sz w:val="24"/>
        </w:rPr>
        <w:t xml:space="preserve">   (d) 擅自将任务转包其他单位；</w:t>
      </w:r>
    </w:p>
    <w:p>
      <w:pPr>
        <w:spacing w:line="360" w:lineRule="auto"/>
        <w:rPr>
          <w:rFonts w:ascii="宋体" w:hAnsi="宋体"/>
          <w:sz w:val="24"/>
        </w:rPr>
      </w:pPr>
      <w:r>
        <w:rPr>
          <w:rFonts w:hint="eastAsia" w:ascii="宋体" w:hAnsi="宋体"/>
          <w:sz w:val="24"/>
        </w:rPr>
        <w:t xml:space="preserve">   (e) 中标人实质上不符合投标资格；</w:t>
      </w:r>
    </w:p>
    <w:p>
      <w:pPr>
        <w:spacing w:line="360" w:lineRule="auto"/>
        <w:rPr>
          <w:rFonts w:ascii="宋体" w:hAnsi="宋体"/>
          <w:sz w:val="24"/>
        </w:rPr>
      </w:pPr>
      <w:r>
        <w:rPr>
          <w:rFonts w:hint="eastAsia" w:ascii="宋体" w:hAnsi="宋体"/>
          <w:sz w:val="24"/>
        </w:rPr>
        <w:t xml:space="preserve">   (f) 法律、法规规定的其他损害招标人利益和社会公共利益的情形。</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3"/>
        <w:spacing w:before="0" w:after="0" w:line="360" w:lineRule="auto"/>
        <w:jc w:val="center"/>
        <w:rPr>
          <w:rFonts w:ascii="宋体" w:hAnsi="宋体"/>
          <w:sz w:val="36"/>
          <w:szCs w:val="36"/>
        </w:rPr>
      </w:pPr>
      <w:r>
        <w:rPr>
          <w:rFonts w:ascii="宋体" w:hAnsi="宋体"/>
          <w:sz w:val="24"/>
          <w:szCs w:val="24"/>
        </w:rPr>
        <w:br w:type="page"/>
      </w:r>
      <w:bookmarkStart w:id="13" w:name="_Toc8657"/>
      <w:bookmarkStart w:id="14" w:name="_Toc5219"/>
      <w:r>
        <w:rPr>
          <w:rFonts w:hint="eastAsia" w:ascii="宋体" w:hAnsi="宋体"/>
          <w:sz w:val="36"/>
          <w:szCs w:val="36"/>
        </w:rPr>
        <w:t>第七章  知识产权</w:t>
      </w:r>
      <w:bookmarkEnd w:id="13"/>
      <w:r>
        <w:rPr>
          <w:rFonts w:hint="eastAsia" w:ascii="宋体" w:hAnsi="宋体" w:cs="宋体"/>
          <w:sz w:val="36"/>
          <w:szCs w:val="36"/>
          <w:u w:val="single"/>
        </w:rPr>
        <w:t>（范本原文）</w:t>
      </w:r>
      <w:bookmarkEnd w:id="14"/>
    </w:p>
    <w:p>
      <w:pPr>
        <w:spacing w:line="360" w:lineRule="auto"/>
        <w:rPr>
          <w:rFonts w:ascii="宋体" w:hAnsi="宋体"/>
          <w:sz w:val="24"/>
        </w:rPr>
      </w:pPr>
    </w:p>
    <w:p>
      <w:pPr>
        <w:spacing w:line="360" w:lineRule="auto"/>
        <w:rPr>
          <w:rFonts w:ascii="宋体" w:hAnsi="宋体"/>
          <w:b/>
          <w:bCs/>
          <w:sz w:val="24"/>
        </w:rPr>
      </w:pPr>
      <w:r>
        <w:rPr>
          <w:rFonts w:hint="eastAsia" w:ascii="宋体" w:hAnsi="宋体"/>
          <w:b/>
          <w:bCs/>
          <w:sz w:val="24"/>
        </w:rPr>
        <w:t>7.1    公开展示</w:t>
      </w:r>
    </w:p>
    <w:p>
      <w:pPr>
        <w:spacing w:line="360" w:lineRule="auto"/>
        <w:rPr>
          <w:rFonts w:ascii="宋体" w:hAnsi="宋体"/>
          <w:sz w:val="24"/>
        </w:rPr>
      </w:pPr>
    </w:p>
    <w:p>
      <w:pPr>
        <w:spacing w:line="360" w:lineRule="auto"/>
        <w:ind w:left="821" w:hanging="820" w:hangingChars="342"/>
        <w:rPr>
          <w:rFonts w:ascii="宋体" w:hAnsi="宋体"/>
          <w:sz w:val="24"/>
        </w:rPr>
      </w:pPr>
      <w:r>
        <w:rPr>
          <w:rFonts w:hint="eastAsia" w:ascii="宋体" w:hAnsi="宋体"/>
          <w:sz w:val="24"/>
        </w:rPr>
        <w:t>7.1.1  按招标文件规定获得补偿的投标文件，评标后不予退回。</w:t>
      </w:r>
    </w:p>
    <w:p>
      <w:pPr>
        <w:spacing w:line="360" w:lineRule="auto"/>
        <w:ind w:left="821" w:hanging="820" w:hangingChars="342"/>
        <w:jc w:val="left"/>
        <w:rPr>
          <w:rFonts w:ascii="宋体" w:hAnsi="宋体"/>
          <w:sz w:val="24"/>
        </w:rPr>
      </w:pPr>
      <w:r>
        <w:rPr>
          <w:rFonts w:hint="eastAsia" w:ascii="宋体" w:hAnsi="宋体"/>
          <w:sz w:val="24"/>
        </w:rPr>
        <w:t>7.1.2  招标人有权在评标结束后公开展示获得补偿费用的所有投标方案成果，并通过传播媒介、杂志、书刊或其它形式介绍、展示及评价该方案成果，所有展示、推介、广告均不再向投标人支付费用。</w:t>
      </w:r>
    </w:p>
    <w:p>
      <w:pPr>
        <w:spacing w:line="360" w:lineRule="auto"/>
        <w:ind w:left="821" w:hanging="820" w:hangingChars="342"/>
        <w:jc w:val="left"/>
        <w:rPr>
          <w:rFonts w:ascii="宋体" w:hAnsi="宋体"/>
          <w:sz w:val="24"/>
        </w:rPr>
      </w:pPr>
    </w:p>
    <w:p>
      <w:pPr>
        <w:spacing w:line="360" w:lineRule="auto"/>
        <w:rPr>
          <w:rFonts w:ascii="宋体" w:hAnsi="宋体"/>
          <w:b/>
          <w:bCs/>
          <w:sz w:val="24"/>
        </w:rPr>
      </w:pPr>
      <w:r>
        <w:rPr>
          <w:rFonts w:hint="eastAsia" w:ascii="宋体" w:hAnsi="宋体"/>
          <w:b/>
          <w:bCs/>
          <w:sz w:val="24"/>
        </w:rPr>
        <w:t>7.2    知识产权转移</w:t>
      </w:r>
    </w:p>
    <w:p>
      <w:pPr>
        <w:spacing w:line="360" w:lineRule="auto"/>
        <w:ind w:left="821" w:hanging="820" w:hangingChars="342"/>
        <w:jc w:val="left"/>
        <w:rPr>
          <w:rFonts w:ascii="宋体" w:hAnsi="宋体"/>
          <w:sz w:val="24"/>
        </w:rPr>
      </w:pPr>
    </w:p>
    <w:p>
      <w:pPr>
        <w:spacing w:line="360" w:lineRule="auto"/>
        <w:ind w:left="821" w:hanging="820" w:hangingChars="342"/>
        <w:jc w:val="left"/>
        <w:rPr>
          <w:rFonts w:ascii="宋体" w:hAnsi="宋体"/>
          <w:sz w:val="24"/>
        </w:rPr>
      </w:pPr>
      <w:r>
        <w:rPr>
          <w:rFonts w:hint="eastAsia" w:ascii="宋体" w:hAnsi="宋体"/>
          <w:sz w:val="24"/>
        </w:rPr>
        <w:t>7.2.1  授予合同并支付定金后，中标方案的发表权、展览权、使用权归招标人和中标人共有。</w:t>
      </w:r>
    </w:p>
    <w:p>
      <w:pPr>
        <w:spacing w:line="360" w:lineRule="auto"/>
        <w:ind w:left="821" w:hanging="820" w:hangingChars="342"/>
        <w:rPr>
          <w:rFonts w:ascii="宋体" w:hAnsi="宋体"/>
          <w:sz w:val="24"/>
        </w:rPr>
      </w:pPr>
      <w:r>
        <w:rPr>
          <w:rFonts w:hint="eastAsia" w:ascii="宋体" w:hAnsi="宋体"/>
          <w:sz w:val="24"/>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受到损害的，有权要求中标人予以赔偿，如果招标人、中标人使用未中标方案作为本项目实施方案，招标人按招标文件规定向提交方案的投标人付给使用费后，该方案的发表权、展览权、使用权归招标人和中标人共有。</w:t>
      </w:r>
    </w:p>
    <w:p>
      <w:pPr>
        <w:spacing w:line="360" w:lineRule="auto"/>
        <w:ind w:left="821" w:hanging="820" w:hangingChars="342"/>
        <w:rPr>
          <w:rFonts w:ascii="宋体" w:hAnsi="宋体"/>
          <w:sz w:val="24"/>
        </w:rPr>
      </w:pPr>
    </w:p>
    <w:p>
      <w:pPr>
        <w:spacing w:line="360" w:lineRule="auto"/>
        <w:rPr>
          <w:rFonts w:ascii="宋体" w:hAnsi="宋体"/>
          <w:b/>
          <w:bCs/>
          <w:sz w:val="24"/>
        </w:rPr>
      </w:pPr>
      <w:r>
        <w:rPr>
          <w:rFonts w:hint="eastAsia" w:ascii="宋体" w:hAnsi="宋体"/>
          <w:b/>
          <w:bCs/>
          <w:sz w:val="24"/>
        </w:rPr>
        <w:t>7.3    其他</w:t>
      </w:r>
    </w:p>
    <w:p>
      <w:pPr>
        <w:spacing w:line="360" w:lineRule="auto"/>
        <w:ind w:left="821" w:hanging="820" w:hangingChars="342"/>
        <w:rPr>
          <w:rFonts w:ascii="宋体" w:hAnsi="宋体"/>
          <w:sz w:val="24"/>
        </w:rPr>
      </w:pPr>
    </w:p>
    <w:p>
      <w:pPr>
        <w:spacing w:line="360" w:lineRule="auto"/>
        <w:ind w:left="821" w:hanging="820" w:hangingChars="342"/>
        <w:rPr>
          <w:rFonts w:ascii="宋体" w:hAnsi="宋体"/>
          <w:sz w:val="24"/>
        </w:rPr>
      </w:pPr>
      <w:r>
        <w:rPr>
          <w:rFonts w:hint="eastAsia" w:ascii="宋体" w:hAnsi="宋体"/>
          <w:sz w:val="24"/>
        </w:rPr>
        <w:t>7.3.1  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pPr>
        <w:spacing w:line="360" w:lineRule="auto"/>
        <w:ind w:left="821" w:hanging="820" w:hangingChars="342"/>
        <w:rPr>
          <w:rFonts w:ascii="宋体" w:hAnsi="宋体"/>
          <w:sz w:val="24"/>
        </w:rPr>
      </w:pPr>
      <w:r>
        <w:rPr>
          <w:rFonts w:hint="eastAsia" w:ascii="宋体" w:hAnsi="宋体"/>
          <w:sz w:val="24"/>
        </w:rPr>
        <w:t>7.3.2  投标人保证投标文件及资料均未侵犯他人的知识产权，否则必须承担全部责任。若投标人使用了他人的专利、专有技术，涉及的费用由投标人负责。</w:t>
      </w:r>
    </w:p>
    <w:p>
      <w:pPr>
        <w:spacing w:line="360" w:lineRule="auto"/>
        <w:ind w:left="821" w:hanging="820" w:hangingChars="342"/>
        <w:rPr>
          <w:rFonts w:ascii="宋体" w:hAnsi="宋体"/>
          <w:sz w:val="24"/>
        </w:rPr>
      </w:pPr>
      <w:r>
        <w:rPr>
          <w:rFonts w:hint="eastAsia" w:ascii="宋体" w:hAnsi="宋体"/>
          <w:sz w:val="24"/>
        </w:rPr>
        <w:t>7.3.3  中标人未经招标人许可，不得将中标方案成果整体用于其他相同或类似项目的投标和设计（专利权除外）。</w:t>
      </w:r>
    </w:p>
    <w:p>
      <w:pPr>
        <w:spacing w:line="360" w:lineRule="auto"/>
        <w:ind w:left="960" w:hanging="960" w:hangingChars="400"/>
        <w:rPr>
          <w:rFonts w:ascii="宋体" w:hAnsi="宋体"/>
          <w:sz w:val="24"/>
        </w:rPr>
      </w:pPr>
      <w:r>
        <w:rPr>
          <w:rFonts w:hint="eastAsia" w:ascii="宋体" w:hAnsi="宋体"/>
          <w:sz w:val="24"/>
        </w:rPr>
        <w:t>7.3.4  招标人有权无须事先征求中标人的同意而披露关于中标人的名称、地址、合同条款。</w:t>
      </w:r>
    </w:p>
    <w:p>
      <w:pPr>
        <w:spacing w:line="360" w:lineRule="auto"/>
        <w:rPr>
          <w:rFonts w:ascii="宋体" w:hAnsi="宋体"/>
          <w:sz w:val="24"/>
        </w:rPr>
      </w:pPr>
    </w:p>
    <w:p>
      <w:pPr>
        <w:rPr>
          <w:rFonts w:ascii="宋体" w:hAnsi="宋体"/>
        </w:rPr>
      </w:pPr>
    </w:p>
    <w:p>
      <w:pPr>
        <w:pStyle w:val="3"/>
        <w:spacing w:before="0" w:after="0" w:line="360" w:lineRule="auto"/>
        <w:jc w:val="center"/>
        <w:rPr>
          <w:rFonts w:ascii="宋体" w:hAnsi="宋体"/>
          <w:sz w:val="36"/>
          <w:szCs w:val="36"/>
        </w:rPr>
      </w:pPr>
      <w:r>
        <w:rPr>
          <w:rFonts w:ascii="宋体" w:hAnsi="宋体"/>
        </w:rPr>
        <w:br w:type="page"/>
      </w:r>
      <w:bookmarkStart w:id="15" w:name="_Toc25513"/>
      <w:bookmarkStart w:id="16" w:name="_Toc18586"/>
      <w:r>
        <w:rPr>
          <w:rFonts w:hint="eastAsia" w:ascii="宋体" w:hAnsi="宋体"/>
          <w:sz w:val="36"/>
          <w:szCs w:val="36"/>
        </w:rPr>
        <w:t>第八章  合同条款</w:t>
      </w:r>
      <w:bookmarkEnd w:id="15"/>
      <w:bookmarkEnd w:id="16"/>
    </w:p>
    <w:p>
      <w:pPr>
        <w:spacing w:line="360" w:lineRule="auto"/>
        <w:jc w:val="center"/>
        <w:rPr>
          <w:rFonts w:ascii="宋体" w:hAnsi="宋体"/>
          <w:kern w:val="0"/>
          <w:sz w:val="28"/>
          <w:szCs w:val="28"/>
          <w:lang w:val="zh-CN"/>
        </w:rPr>
      </w:pPr>
      <w:r>
        <w:rPr>
          <w:rFonts w:hint="eastAsia" w:ascii="宋体" w:hAnsi="宋体"/>
          <w:kern w:val="0"/>
          <w:sz w:val="28"/>
          <w:szCs w:val="28"/>
          <w:lang w:val="zh-CN"/>
        </w:rPr>
        <w:t>另册</w:t>
      </w:r>
      <w:r>
        <w:rPr>
          <w:rFonts w:ascii="宋体" w:hAnsi="宋体"/>
          <w:kern w:val="0"/>
          <w:sz w:val="28"/>
          <w:szCs w:val="28"/>
          <w:lang w:val="zh-CN"/>
        </w:rPr>
        <w:t>。</w:t>
      </w:r>
    </w:p>
    <w:p>
      <w:pPr>
        <w:pStyle w:val="2"/>
        <w:ind w:firstLine="420"/>
        <w:rPr>
          <w:lang w:val="zh-CN"/>
        </w:rPr>
      </w:pPr>
    </w:p>
    <w:p>
      <w:pPr>
        <w:pStyle w:val="2"/>
        <w:ind w:firstLine="420"/>
        <w:sectPr>
          <w:footerReference r:id="rId6" w:type="default"/>
          <w:type w:val="nextColumn"/>
          <w:pgSz w:w="11906" w:h="16838"/>
          <w:pgMar w:top="1440" w:right="1416" w:bottom="1440" w:left="1276" w:header="851" w:footer="992" w:gutter="0"/>
          <w:cols w:space="720" w:num="1"/>
          <w:docGrid w:type="linesAndChars" w:linePitch="312" w:charSpace="0"/>
        </w:sectPr>
      </w:pPr>
    </w:p>
    <w:p>
      <w:pPr>
        <w:pStyle w:val="3"/>
        <w:rPr>
          <w:rFonts w:ascii="宋体" w:hAnsi="宋体"/>
          <w:sz w:val="21"/>
          <w:szCs w:val="21"/>
        </w:rPr>
      </w:pPr>
      <w:bookmarkStart w:id="17" w:name="_Toc28242"/>
      <w:bookmarkStart w:id="18" w:name="_Toc9933"/>
      <w:r>
        <w:rPr>
          <w:rFonts w:hint="eastAsia" w:ascii="宋体" w:hAnsi="宋体"/>
          <w:sz w:val="21"/>
          <w:szCs w:val="21"/>
        </w:rPr>
        <w:t xml:space="preserve">附录1 </w:t>
      </w:r>
      <w:bookmarkEnd w:id="17"/>
      <w:bookmarkStart w:id="19" w:name="_Toc29044"/>
      <w:r>
        <w:rPr>
          <w:rFonts w:hint="eastAsia" w:ascii="宋体" w:hAnsi="宋体"/>
          <w:sz w:val="21"/>
          <w:szCs w:val="21"/>
        </w:rPr>
        <w:t>招标文件/合同版本响应承诺书</w:t>
      </w:r>
      <w:bookmarkEnd w:id="18"/>
    </w:p>
    <w:p>
      <w:pPr>
        <w:spacing w:after="240" w:line="360" w:lineRule="auto"/>
        <w:jc w:val="center"/>
        <w:rPr>
          <w:rFonts w:ascii="宋体" w:hAnsi="宋体" w:cs="Arial"/>
          <w:b/>
          <w:bCs/>
          <w:sz w:val="32"/>
          <w:szCs w:val="32"/>
        </w:rPr>
      </w:pPr>
      <w:r>
        <w:rPr>
          <w:rFonts w:hint="eastAsia" w:ascii="宋体" w:hAnsi="宋体" w:cs="Arial"/>
          <w:b/>
          <w:bCs/>
          <w:sz w:val="32"/>
          <w:szCs w:val="32"/>
        </w:rPr>
        <w:t>招标文件/合同版本响应承诺书</w:t>
      </w:r>
    </w:p>
    <w:p>
      <w:pPr>
        <w:autoSpaceDE w:val="0"/>
        <w:autoSpaceDN w:val="0"/>
        <w:adjustRightInd w:val="0"/>
        <w:snapToGrid w:val="0"/>
        <w:spacing w:line="480" w:lineRule="auto"/>
        <w:rPr>
          <w:rFonts w:ascii="宋体" w:hAnsi="宋体" w:cs="宋体"/>
          <w:spacing w:val="8"/>
          <w:kern w:val="0"/>
          <w:sz w:val="24"/>
        </w:rPr>
      </w:pPr>
      <w:r>
        <w:rPr>
          <w:rFonts w:hint="eastAsia" w:ascii="宋体" w:hAnsi="宋体" w:cs="宋体"/>
          <w:spacing w:val="8"/>
          <w:kern w:val="0"/>
          <w:sz w:val="24"/>
        </w:rPr>
        <w:t>致：</w:t>
      </w:r>
      <w:r>
        <w:rPr>
          <w:rFonts w:hint="eastAsia" w:ascii="宋体" w:hAnsi="宋体"/>
          <w:sz w:val="24"/>
          <w:u w:val="single"/>
        </w:rPr>
        <w:t>广州市广花房地产开发有限公司</w:t>
      </w:r>
    </w:p>
    <w:p>
      <w:pPr>
        <w:autoSpaceDE w:val="0"/>
        <w:autoSpaceDN w:val="0"/>
        <w:adjustRightInd w:val="0"/>
        <w:snapToGrid w:val="0"/>
        <w:spacing w:line="480" w:lineRule="auto"/>
        <w:ind w:firstLine="720" w:firstLineChars="300"/>
        <w:rPr>
          <w:rFonts w:hint="eastAsia" w:ascii="宋体" w:hAnsi="宋体"/>
          <w:sz w:val="24"/>
        </w:rPr>
      </w:pPr>
      <w:r>
        <w:rPr>
          <w:rFonts w:hint="eastAsia" w:ascii="宋体" w:hAnsi="宋体"/>
          <w:sz w:val="24"/>
        </w:rPr>
        <w:t>我公司对招标人提供的</w:t>
      </w:r>
      <w:r>
        <w:rPr>
          <w:rFonts w:hint="eastAsia" w:ascii="宋体" w:hAnsi="宋体"/>
          <w:b w:val="0"/>
          <w:bCs/>
          <w:sz w:val="24"/>
          <w:u w:val="single"/>
        </w:rPr>
        <w:t>花都区广花公路以东、雅瑶中路以南CA1207006、 CA1207019 地块超前钻服务</w:t>
      </w:r>
      <w:r>
        <w:rPr>
          <w:rFonts w:hint="eastAsia" w:ascii="宋体" w:hAnsi="宋体"/>
          <w:sz w:val="24"/>
        </w:rPr>
        <w:t>招标文件及拟签订的合同版本无异议或无意见，完全接受该版本的所有条款，中标后，按此合同版本签订合同。</w:t>
      </w:r>
    </w:p>
    <w:p>
      <w:pPr>
        <w:pStyle w:val="18"/>
      </w:pPr>
    </w:p>
    <w:p>
      <w:pPr>
        <w:spacing w:line="600" w:lineRule="auto"/>
        <w:ind w:firstLine="5527" w:firstLineChars="2303"/>
        <w:jc w:val="left"/>
        <w:rPr>
          <w:rFonts w:ascii="宋体" w:hAnsi="宋体"/>
          <w:sz w:val="24"/>
        </w:rPr>
      </w:pPr>
      <w:r>
        <w:rPr>
          <w:rFonts w:hint="eastAsia" w:ascii="宋体" w:hAnsi="宋体"/>
          <w:sz w:val="24"/>
        </w:rPr>
        <w:t xml:space="preserve">投标人（盖章）： </w:t>
      </w:r>
    </w:p>
    <w:p>
      <w:pPr>
        <w:pStyle w:val="3"/>
        <w:spacing w:before="0" w:after="0" w:line="360" w:lineRule="auto"/>
        <w:jc w:val="right"/>
        <w:rPr>
          <w:rFonts w:hint="eastAsia" w:ascii="宋体" w:hAnsi="宋体" w:eastAsia="宋体" w:cs="Times New Roman"/>
          <w:b w:val="0"/>
          <w:bCs w:val="0"/>
          <w:kern w:val="2"/>
          <w:sz w:val="24"/>
          <w:szCs w:val="24"/>
          <w:lang w:val="en-US" w:eastAsia="zh-CN" w:bidi="ar-SA"/>
        </w:rPr>
      </w:pPr>
      <w:bookmarkStart w:id="20" w:name="_Toc14941"/>
      <w:bookmarkStart w:id="21" w:name="_Toc601"/>
      <w:bookmarkStart w:id="22" w:name="_Toc23946"/>
      <w:bookmarkStart w:id="23" w:name="_Toc14665"/>
      <w:bookmarkStart w:id="24" w:name="_Toc2407"/>
      <w:r>
        <w:rPr>
          <w:rFonts w:hint="eastAsia" w:ascii="宋体" w:hAnsi="宋体" w:eastAsia="宋体" w:cs="Times New Roman"/>
          <w:b w:val="0"/>
          <w:bCs w:val="0"/>
          <w:kern w:val="2"/>
          <w:sz w:val="24"/>
          <w:szCs w:val="24"/>
          <w:lang w:val="en-US" w:eastAsia="zh-CN" w:bidi="ar-SA"/>
        </w:rPr>
        <w:t>日    期：      年    月    日</w:t>
      </w:r>
      <w:bookmarkEnd w:id="20"/>
      <w:bookmarkEnd w:id="21"/>
      <w:bookmarkEnd w:id="22"/>
      <w:bookmarkEnd w:id="23"/>
      <w:bookmarkEnd w:id="24"/>
    </w:p>
    <w:p>
      <w:pPr>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p>
      <w:pPr>
        <w:pStyle w:val="18"/>
        <w:rPr>
          <w:rFonts w:hint="eastAsia" w:ascii="宋体" w:hAnsi="宋体" w:eastAsia="宋体" w:cs="Times New Roman"/>
          <w:b w:val="0"/>
          <w:bCs w:val="0"/>
          <w:kern w:val="2"/>
          <w:sz w:val="24"/>
          <w:szCs w:val="24"/>
          <w:lang w:val="en-US" w:eastAsia="zh-CN" w:bidi="ar-SA"/>
        </w:rPr>
      </w:pPr>
    </w:p>
    <w:bookmarkEnd w:id="19"/>
    <w:p>
      <w:pPr>
        <w:pStyle w:val="3"/>
        <w:spacing w:line="360" w:lineRule="auto"/>
        <w:rPr>
          <w:rFonts w:ascii="宋体" w:hAnsi="宋体"/>
          <w:strike/>
          <w:dstrike w:val="0"/>
          <w:sz w:val="21"/>
          <w:szCs w:val="21"/>
        </w:rPr>
      </w:pPr>
      <w:bookmarkStart w:id="25" w:name="_Toc72409724"/>
      <w:bookmarkStart w:id="26" w:name="_Toc22819"/>
      <w:bookmarkStart w:id="27" w:name="_Toc32827937"/>
      <w:bookmarkStart w:id="28" w:name="_Toc936"/>
      <w:r>
        <w:rPr>
          <w:rFonts w:hint="eastAsia" w:ascii="宋体" w:hAnsi="宋体"/>
          <w:strike/>
          <w:dstrike w:val="0"/>
          <w:sz w:val="21"/>
          <w:szCs w:val="21"/>
        </w:rPr>
        <w:t>附件2设计投标文件编制要求</w:t>
      </w:r>
      <w:bookmarkEnd w:id="25"/>
      <w:bookmarkEnd w:id="26"/>
      <w:bookmarkEnd w:id="27"/>
    </w:p>
    <w:p>
      <w:pPr>
        <w:spacing w:line="360" w:lineRule="auto"/>
        <w:jc w:val="center"/>
        <w:rPr>
          <w:rFonts w:ascii="宋体" w:hAnsi="宋体"/>
          <w:b/>
          <w:bCs/>
          <w:strike/>
          <w:dstrike w:val="0"/>
          <w:sz w:val="32"/>
        </w:rPr>
      </w:pPr>
      <w:r>
        <w:rPr>
          <w:rFonts w:hint="eastAsia" w:ascii="宋体" w:hAnsi="宋体"/>
          <w:b/>
          <w:strike/>
          <w:dstrike w:val="0"/>
          <w:sz w:val="32"/>
        </w:rPr>
        <w:t>设计</w:t>
      </w:r>
      <w:r>
        <w:rPr>
          <w:rFonts w:hint="eastAsia" w:ascii="宋体" w:hAnsi="宋体"/>
          <w:b/>
          <w:bCs/>
          <w:strike/>
          <w:dstrike w:val="0"/>
          <w:sz w:val="32"/>
        </w:rPr>
        <w:t>投标文件编制要求</w:t>
      </w:r>
    </w:p>
    <w:p>
      <w:pPr>
        <w:spacing w:line="360" w:lineRule="auto"/>
        <w:jc w:val="center"/>
        <w:rPr>
          <w:rFonts w:ascii="宋体" w:hAnsi="宋体"/>
          <w:strike/>
          <w:dstrike w:val="0"/>
          <w:sz w:val="24"/>
        </w:rPr>
      </w:pPr>
      <w:r>
        <w:rPr>
          <w:rFonts w:hint="eastAsia" w:ascii="宋体" w:hAnsi="宋体"/>
          <w:strike/>
          <w:dstrike w:val="0"/>
          <w:sz w:val="24"/>
        </w:rPr>
        <w:t>（适用于设计和勘察设计投标）</w:t>
      </w:r>
    </w:p>
    <w:p>
      <w:pPr>
        <w:spacing w:line="360" w:lineRule="auto"/>
        <w:rPr>
          <w:rFonts w:ascii="宋体" w:hAnsi="宋体"/>
          <w:strike/>
          <w:dstrike w:val="0"/>
          <w:sz w:val="24"/>
        </w:rPr>
      </w:pPr>
      <w:r>
        <w:rPr>
          <w:rFonts w:hint="eastAsia" w:ascii="宋体" w:hAnsi="宋体"/>
          <w:b/>
          <w:bCs/>
          <w:strike/>
          <w:dstrike w:val="0"/>
          <w:sz w:val="24"/>
        </w:rPr>
        <w:t>1   投标文件</w:t>
      </w:r>
    </w:p>
    <w:p>
      <w:pPr>
        <w:spacing w:line="360" w:lineRule="auto"/>
        <w:jc w:val="left"/>
        <w:rPr>
          <w:rFonts w:ascii="宋体" w:hAnsi="宋体"/>
          <w:strike/>
          <w:dstrike w:val="0"/>
          <w:sz w:val="24"/>
        </w:rPr>
      </w:pPr>
    </w:p>
    <w:p>
      <w:pPr>
        <w:spacing w:line="360" w:lineRule="auto"/>
        <w:ind w:left="821" w:hanging="820" w:hangingChars="342"/>
        <w:rPr>
          <w:rFonts w:ascii="宋体" w:hAnsi="宋体"/>
          <w:strike/>
          <w:dstrike w:val="0"/>
          <w:sz w:val="24"/>
        </w:rPr>
      </w:pPr>
      <w:r>
        <w:rPr>
          <w:rFonts w:hint="eastAsia" w:ascii="宋体" w:hAnsi="宋体"/>
          <w:strike/>
          <w:dstrike w:val="0"/>
          <w:sz w:val="24"/>
        </w:rPr>
        <w:t>1.1    投标文件由下列资料组成。</w:t>
      </w:r>
    </w:p>
    <w:p>
      <w:pPr>
        <w:spacing w:line="360" w:lineRule="auto"/>
        <w:jc w:val="left"/>
        <w:rPr>
          <w:rFonts w:ascii="宋体" w:hAnsi="宋体"/>
          <w:strike/>
          <w:dstrike w:val="0"/>
          <w:sz w:val="24"/>
        </w:rPr>
      </w:pPr>
      <w:r>
        <w:rPr>
          <w:rFonts w:hint="eastAsia" w:hAnsi="宋体"/>
          <w:strike/>
          <w:dstrike w:val="0"/>
          <w:sz w:val="24"/>
        </w:rPr>
        <w:t xml:space="preserve">  </w:t>
      </w:r>
      <w:r>
        <w:rPr>
          <w:rFonts w:hint="eastAsia" w:ascii="宋体" w:hAnsi="宋体"/>
          <w:strike/>
          <w:dstrike w:val="0"/>
          <w:sz w:val="24"/>
        </w:rPr>
        <w:t xml:space="preserve"> (a) 开标信封。   </w:t>
      </w:r>
    </w:p>
    <w:p>
      <w:pPr>
        <w:spacing w:line="360" w:lineRule="auto"/>
        <w:jc w:val="left"/>
        <w:rPr>
          <w:rFonts w:ascii="宋体" w:hAnsi="宋体"/>
          <w:strike/>
          <w:dstrike w:val="0"/>
          <w:sz w:val="24"/>
        </w:rPr>
      </w:pPr>
      <w:r>
        <w:rPr>
          <w:rFonts w:hint="eastAsia" w:ascii="宋体" w:hAnsi="宋体"/>
          <w:strike/>
          <w:dstrike w:val="0"/>
          <w:sz w:val="24"/>
        </w:rPr>
        <w:t xml:space="preserve">   (b) 设计方案。</w:t>
      </w:r>
    </w:p>
    <w:p>
      <w:pPr>
        <w:spacing w:line="360" w:lineRule="auto"/>
        <w:jc w:val="left"/>
        <w:rPr>
          <w:rFonts w:ascii="宋体" w:hAnsi="宋体"/>
          <w:strike/>
          <w:dstrike w:val="0"/>
          <w:sz w:val="24"/>
        </w:rPr>
      </w:pPr>
      <w:r>
        <w:rPr>
          <w:rFonts w:hint="eastAsia" w:ascii="宋体" w:hAnsi="宋体"/>
          <w:strike/>
          <w:dstrike w:val="0"/>
          <w:sz w:val="24"/>
        </w:rPr>
        <w:t xml:space="preserve">   (c) 资格审查文件（如果招标人要求提供）。</w:t>
      </w:r>
    </w:p>
    <w:p>
      <w:pPr>
        <w:spacing w:line="360" w:lineRule="auto"/>
        <w:jc w:val="left"/>
        <w:rPr>
          <w:rFonts w:hAnsi="宋体"/>
          <w:strike/>
          <w:dstrike w:val="0"/>
          <w:sz w:val="24"/>
        </w:rPr>
      </w:pPr>
    </w:p>
    <w:p>
      <w:pPr>
        <w:spacing w:line="360" w:lineRule="auto"/>
        <w:rPr>
          <w:rFonts w:ascii="宋体" w:hAnsi="宋体"/>
          <w:strike/>
          <w:dstrike w:val="0"/>
          <w:sz w:val="24"/>
        </w:rPr>
      </w:pPr>
      <w:r>
        <w:rPr>
          <w:rFonts w:hint="eastAsia" w:ascii="宋体" w:hAnsi="宋体"/>
          <w:b/>
          <w:bCs/>
          <w:strike/>
          <w:dstrike w:val="0"/>
          <w:sz w:val="24"/>
        </w:rPr>
        <w:t>2    保密要求</w:t>
      </w:r>
    </w:p>
    <w:p>
      <w:pPr>
        <w:spacing w:line="360" w:lineRule="auto"/>
        <w:rPr>
          <w:rFonts w:ascii="宋体" w:hAnsi="宋体"/>
          <w:strike/>
          <w:dstrike w:val="0"/>
          <w:sz w:val="24"/>
        </w:rPr>
      </w:pPr>
    </w:p>
    <w:p>
      <w:pPr>
        <w:spacing w:line="360" w:lineRule="auto"/>
        <w:ind w:left="821" w:hanging="820" w:hangingChars="342"/>
        <w:jc w:val="left"/>
        <w:rPr>
          <w:rFonts w:ascii="宋体" w:hAnsi="宋体"/>
          <w:strike/>
          <w:dstrike w:val="0"/>
          <w:sz w:val="24"/>
        </w:rPr>
      </w:pPr>
      <w:r>
        <w:rPr>
          <w:rFonts w:hint="eastAsia" w:ascii="宋体" w:hAnsi="宋体"/>
          <w:strike/>
          <w:dstrike w:val="0"/>
          <w:sz w:val="24"/>
        </w:rPr>
        <w:t>2.1    投标文件必须隐匿投标人及专业技术人员的名称，除了《投标书》（格式见附录）、《联合体投标协议》（格式见附录）、《投标人声明》和资格审查文件（如有）外，投标人不得在设计方案上标注或做任何可以辨认投标人及专业技术人员身份的名称、印章、商标、图形等。</w:t>
      </w:r>
    </w:p>
    <w:p>
      <w:pPr>
        <w:spacing w:line="360" w:lineRule="auto"/>
        <w:ind w:left="410" w:hanging="410" w:hangingChars="171"/>
        <w:rPr>
          <w:rFonts w:ascii="宋体" w:hAnsi="宋体"/>
          <w:strike/>
          <w:dstrike w:val="0"/>
          <w:sz w:val="24"/>
        </w:rPr>
      </w:pPr>
    </w:p>
    <w:p>
      <w:pPr>
        <w:spacing w:line="360" w:lineRule="auto"/>
        <w:jc w:val="left"/>
        <w:rPr>
          <w:rFonts w:ascii="宋体" w:hAnsi="宋体"/>
          <w:b/>
          <w:bCs/>
          <w:strike/>
          <w:dstrike w:val="0"/>
          <w:sz w:val="24"/>
        </w:rPr>
      </w:pPr>
      <w:r>
        <w:rPr>
          <w:rFonts w:hint="eastAsia" w:ascii="宋体" w:hAnsi="宋体"/>
          <w:b/>
          <w:bCs/>
          <w:strike/>
          <w:dstrike w:val="0"/>
          <w:sz w:val="24"/>
        </w:rPr>
        <w:t>3      开标信封</w:t>
      </w:r>
    </w:p>
    <w:p>
      <w:pPr>
        <w:spacing w:line="360" w:lineRule="auto"/>
        <w:rPr>
          <w:rFonts w:ascii="宋体" w:hAnsi="宋体"/>
          <w:strike/>
          <w:dstrike w:val="0"/>
          <w:sz w:val="24"/>
        </w:rPr>
      </w:pPr>
    </w:p>
    <w:p>
      <w:pPr>
        <w:spacing w:line="360" w:lineRule="auto"/>
        <w:ind w:left="821" w:hanging="820" w:hangingChars="342"/>
        <w:rPr>
          <w:rFonts w:ascii="宋体" w:hAnsi="宋体"/>
          <w:strike/>
          <w:dstrike w:val="0"/>
          <w:sz w:val="24"/>
        </w:rPr>
      </w:pPr>
      <w:r>
        <w:rPr>
          <w:rFonts w:hint="eastAsia" w:ascii="宋体" w:hAnsi="宋体"/>
          <w:strike/>
          <w:dstrike w:val="0"/>
          <w:sz w:val="24"/>
        </w:rPr>
        <w:t>3.1    开标信封内附填妥并签字盖章的《投标书》（格式见附录6），联合体同时附填妥并签字盖章的《联合体投标协议》（格式见附录7）。未设资格审查环节的项目，还应提供填妥并盖章的《投标人声明》（格式见附录</w:t>
      </w:r>
      <w:r>
        <w:rPr>
          <w:rFonts w:ascii="宋体" w:hAnsi="宋体"/>
          <w:strike/>
          <w:dstrike w:val="0"/>
          <w:sz w:val="24"/>
        </w:rPr>
        <w:t>8</w:t>
      </w:r>
      <w:r>
        <w:rPr>
          <w:rFonts w:hint="eastAsia" w:ascii="宋体" w:hAnsi="宋体"/>
          <w:strike/>
          <w:dstrike w:val="0"/>
          <w:sz w:val="24"/>
        </w:rPr>
        <w:t>）。</w:t>
      </w:r>
    </w:p>
    <w:p>
      <w:pPr>
        <w:spacing w:line="360" w:lineRule="auto"/>
        <w:rPr>
          <w:rFonts w:ascii="宋体" w:hAnsi="宋体"/>
          <w:strike/>
          <w:dstrike w:val="0"/>
          <w:sz w:val="24"/>
        </w:rPr>
      </w:pPr>
    </w:p>
    <w:p>
      <w:pPr>
        <w:spacing w:line="360" w:lineRule="auto"/>
        <w:rPr>
          <w:rFonts w:ascii="宋体" w:hAnsi="宋体"/>
          <w:b/>
          <w:strike/>
          <w:dstrike w:val="0"/>
          <w:sz w:val="24"/>
        </w:rPr>
      </w:pPr>
      <w:r>
        <w:rPr>
          <w:rFonts w:hint="eastAsia" w:ascii="宋体" w:hAnsi="宋体"/>
          <w:b/>
          <w:strike/>
          <w:dstrike w:val="0"/>
          <w:sz w:val="24"/>
        </w:rPr>
        <w:t>4      设计方案</w:t>
      </w:r>
    </w:p>
    <w:p>
      <w:pPr>
        <w:pStyle w:val="16"/>
        <w:spacing w:line="360" w:lineRule="auto"/>
        <w:ind w:firstLine="0" w:firstLineChars="0"/>
        <w:rPr>
          <w:rFonts w:hAnsi="宋体"/>
          <w:strike/>
          <w:dstrike w:val="0"/>
          <w:sz w:val="24"/>
          <w:szCs w:val="24"/>
        </w:rPr>
      </w:pPr>
    </w:p>
    <w:p>
      <w:pPr>
        <w:pStyle w:val="16"/>
        <w:spacing w:line="360" w:lineRule="auto"/>
        <w:ind w:firstLine="0" w:firstLineChars="0"/>
        <w:rPr>
          <w:rFonts w:hAnsi="宋体"/>
          <w:strike/>
          <w:dstrike w:val="0"/>
          <w:sz w:val="24"/>
          <w:szCs w:val="24"/>
        </w:rPr>
      </w:pPr>
      <w:r>
        <w:rPr>
          <w:rFonts w:hint="eastAsia" w:hAnsi="宋体"/>
          <w:strike/>
          <w:dstrike w:val="0"/>
          <w:sz w:val="24"/>
          <w:szCs w:val="24"/>
        </w:rPr>
        <w:t>4.1    设计方案内容（文件</w:t>
      </w:r>
      <w:r>
        <w:rPr>
          <w:rFonts w:hAnsi="宋体"/>
          <w:strike/>
          <w:dstrike w:val="0"/>
          <w:sz w:val="24"/>
          <w:szCs w:val="24"/>
        </w:rPr>
        <w:t>大小不得超过</w:t>
      </w:r>
      <w:r>
        <w:rPr>
          <w:rFonts w:hint="eastAsia" w:hAnsi="宋体"/>
          <w:strike/>
          <w:dstrike w:val="0"/>
          <w:sz w:val="24"/>
          <w:szCs w:val="24"/>
        </w:rPr>
        <w:t>500M）：</w:t>
      </w:r>
    </w:p>
    <w:p>
      <w:pPr>
        <w:pStyle w:val="16"/>
        <w:spacing w:line="360" w:lineRule="auto"/>
        <w:ind w:firstLine="0" w:firstLineChars="0"/>
        <w:rPr>
          <w:rFonts w:hAnsi="宋体"/>
          <w:strike/>
          <w:dstrike w:val="0"/>
          <w:sz w:val="24"/>
          <w:szCs w:val="24"/>
        </w:rPr>
      </w:pPr>
      <w:r>
        <w:rPr>
          <w:rFonts w:hint="eastAsia" w:hAnsi="宋体"/>
          <w:strike/>
          <w:dstrike w:val="0"/>
          <w:sz w:val="24"/>
          <w:szCs w:val="24"/>
        </w:rPr>
        <w:t xml:space="preserve">   (a) 首页：写明项目名称、设计作品主题（不宜超过20个字）、编制年月；</w:t>
      </w:r>
    </w:p>
    <w:p>
      <w:pPr>
        <w:pStyle w:val="16"/>
        <w:spacing w:line="360" w:lineRule="auto"/>
        <w:ind w:firstLine="0" w:firstLineChars="0"/>
        <w:rPr>
          <w:rFonts w:hAnsi="宋体"/>
          <w:strike/>
          <w:dstrike w:val="0"/>
          <w:sz w:val="24"/>
          <w:szCs w:val="24"/>
        </w:rPr>
      </w:pPr>
      <w:r>
        <w:rPr>
          <w:rFonts w:hint="eastAsia" w:hAnsi="宋体"/>
          <w:strike/>
          <w:dstrike w:val="0"/>
          <w:sz w:val="24"/>
          <w:szCs w:val="24"/>
        </w:rPr>
        <w:t xml:space="preserve">   (b) 目录；</w:t>
      </w:r>
    </w:p>
    <w:p>
      <w:pPr>
        <w:pStyle w:val="16"/>
        <w:spacing w:line="360" w:lineRule="auto"/>
        <w:ind w:firstLine="0" w:firstLineChars="0"/>
        <w:rPr>
          <w:rFonts w:hAnsi="宋体"/>
          <w:strike/>
          <w:dstrike w:val="0"/>
          <w:sz w:val="24"/>
          <w:szCs w:val="24"/>
        </w:rPr>
      </w:pPr>
      <w:r>
        <w:rPr>
          <w:rFonts w:hint="eastAsia" w:hAnsi="宋体"/>
          <w:strike/>
          <w:dstrike w:val="0"/>
          <w:sz w:val="24"/>
          <w:szCs w:val="24"/>
        </w:rPr>
        <w:t xml:space="preserve">   (c) 设计说明书；</w:t>
      </w:r>
    </w:p>
    <w:p>
      <w:pPr>
        <w:pStyle w:val="16"/>
        <w:spacing w:line="360" w:lineRule="auto"/>
        <w:ind w:firstLine="0" w:firstLineChars="0"/>
        <w:rPr>
          <w:rFonts w:hAnsi="宋体"/>
          <w:strike/>
          <w:dstrike w:val="0"/>
          <w:sz w:val="24"/>
          <w:szCs w:val="24"/>
        </w:rPr>
      </w:pPr>
      <w:r>
        <w:rPr>
          <w:rFonts w:hint="eastAsia" w:hAnsi="宋体"/>
          <w:strike/>
          <w:dstrike w:val="0"/>
          <w:sz w:val="24"/>
          <w:szCs w:val="24"/>
        </w:rPr>
        <w:t xml:space="preserve">   (d) 设计图纸（需包括表现图、分析示意图、总平面图等，可以水平或垂直展示）；</w:t>
      </w:r>
    </w:p>
    <w:p>
      <w:pPr>
        <w:pStyle w:val="16"/>
        <w:spacing w:line="360" w:lineRule="auto"/>
        <w:ind w:firstLine="0" w:firstLineChars="0"/>
        <w:rPr>
          <w:rFonts w:hAnsi="宋体"/>
          <w:strike/>
          <w:dstrike w:val="0"/>
          <w:sz w:val="24"/>
          <w:szCs w:val="24"/>
        </w:rPr>
      </w:pPr>
      <w:r>
        <w:rPr>
          <w:rFonts w:hint="eastAsia" w:hAnsi="宋体"/>
          <w:strike/>
          <w:dstrike w:val="0"/>
          <w:sz w:val="24"/>
          <w:szCs w:val="24"/>
        </w:rPr>
        <w:t xml:space="preserve">   (e) 《勘察设计费报价表》（见附录</w:t>
      </w:r>
      <w:r>
        <w:rPr>
          <w:rFonts w:hAnsi="宋体"/>
          <w:strike/>
          <w:dstrike w:val="0"/>
          <w:sz w:val="24"/>
          <w:szCs w:val="24"/>
        </w:rPr>
        <w:t>3</w:t>
      </w:r>
      <w:r>
        <w:rPr>
          <w:rFonts w:hint="eastAsia" w:hAnsi="宋体"/>
          <w:strike/>
          <w:dstrike w:val="0"/>
          <w:sz w:val="24"/>
          <w:szCs w:val="24"/>
        </w:rPr>
        <w:t>）；</w:t>
      </w:r>
    </w:p>
    <w:p>
      <w:pPr>
        <w:spacing w:line="360" w:lineRule="auto"/>
        <w:ind w:left="775" w:leftChars="150" w:hanging="460" w:hangingChars="192"/>
        <w:rPr>
          <w:rFonts w:hAnsi="宋体"/>
          <w:strike/>
          <w:dstrike w:val="0"/>
          <w:sz w:val="24"/>
        </w:rPr>
      </w:pPr>
      <w:r>
        <w:rPr>
          <w:rFonts w:hint="eastAsia" w:hAnsi="宋体"/>
          <w:strike/>
          <w:dstrike w:val="0"/>
          <w:sz w:val="24"/>
        </w:rPr>
        <w:t>(f) 除上述报价外，如果有另需付费的项目，应详细列明勘察工作和收费标准（内容、数量、单价、合价）(适用于含勘察内容的项目)；</w:t>
      </w:r>
    </w:p>
    <w:p>
      <w:pPr>
        <w:spacing w:line="360" w:lineRule="auto"/>
        <w:ind w:left="2"/>
        <w:rPr>
          <w:rFonts w:ascii="宋体" w:hAnsi="宋体"/>
          <w:strike/>
          <w:dstrike w:val="0"/>
          <w:sz w:val="24"/>
        </w:rPr>
      </w:pPr>
      <w:r>
        <w:rPr>
          <w:rFonts w:hint="eastAsia" w:hAnsi="宋体"/>
          <w:strike/>
          <w:dstrike w:val="0"/>
          <w:sz w:val="24"/>
        </w:rPr>
        <w:t xml:space="preserve">   (f) </w:t>
      </w:r>
      <w:r>
        <w:rPr>
          <w:rFonts w:hint="eastAsia" w:ascii="宋体" w:hAnsi="宋体"/>
          <w:strike/>
          <w:dstrike w:val="0"/>
          <w:sz w:val="24"/>
        </w:rPr>
        <w:t>《工期计划表》（方案修改、初步设计、施工图设计的总工时和工期）；</w:t>
      </w:r>
    </w:p>
    <w:p>
      <w:pPr>
        <w:spacing w:line="360" w:lineRule="auto"/>
        <w:rPr>
          <w:rFonts w:ascii="宋体" w:hAnsi="宋体"/>
          <w:strike/>
          <w:dstrike w:val="0"/>
          <w:sz w:val="24"/>
        </w:rPr>
      </w:pPr>
      <w:r>
        <w:rPr>
          <w:rFonts w:hint="eastAsia" w:hAnsi="宋体"/>
          <w:strike/>
          <w:dstrike w:val="0"/>
          <w:sz w:val="24"/>
        </w:rPr>
        <w:t xml:space="preserve">   (g) </w:t>
      </w:r>
      <w:r>
        <w:rPr>
          <w:rFonts w:hint="eastAsia" w:ascii="宋体" w:hAnsi="宋体"/>
          <w:strike/>
          <w:dstrike w:val="0"/>
          <w:sz w:val="24"/>
        </w:rPr>
        <w:t>投标人</w:t>
      </w:r>
      <w:r>
        <w:rPr>
          <w:rFonts w:ascii="宋体" w:hAnsi="宋体"/>
          <w:strike/>
          <w:dstrike w:val="0"/>
          <w:sz w:val="24"/>
        </w:rPr>
        <w:t>提出的</w:t>
      </w:r>
      <w:r>
        <w:rPr>
          <w:rFonts w:hint="eastAsia" w:ascii="宋体" w:hAnsi="宋体"/>
          <w:strike/>
          <w:dstrike w:val="0"/>
          <w:sz w:val="24"/>
        </w:rPr>
        <w:t>建议、</w:t>
      </w:r>
      <w:r>
        <w:rPr>
          <w:rFonts w:ascii="宋体" w:hAnsi="宋体"/>
          <w:strike/>
          <w:dstrike w:val="0"/>
          <w:sz w:val="24"/>
        </w:rPr>
        <w:t>工程创新</w:t>
      </w:r>
      <w:r>
        <w:rPr>
          <w:rFonts w:hint="eastAsia" w:ascii="宋体" w:hAnsi="宋体"/>
          <w:strike/>
          <w:dstrike w:val="0"/>
          <w:sz w:val="24"/>
        </w:rPr>
        <w:t>和替代方案（如果有）；</w:t>
      </w:r>
    </w:p>
    <w:p>
      <w:pPr>
        <w:spacing w:line="360" w:lineRule="auto"/>
        <w:rPr>
          <w:rFonts w:ascii="宋体" w:hAnsi="宋体"/>
          <w:strike/>
          <w:dstrike w:val="0"/>
          <w:sz w:val="24"/>
        </w:rPr>
      </w:pPr>
      <w:r>
        <w:rPr>
          <w:rFonts w:hint="eastAsia" w:hAnsi="宋体"/>
          <w:strike/>
          <w:dstrike w:val="0"/>
          <w:sz w:val="24"/>
        </w:rPr>
        <w:t xml:space="preserve">   (h) </w:t>
      </w:r>
      <w:r>
        <w:rPr>
          <w:rFonts w:hint="eastAsia" w:ascii="宋体" w:hAnsi="宋体"/>
          <w:strike/>
          <w:dstrike w:val="0"/>
          <w:sz w:val="24"/>
        </w:rPr>
        <w:t>完成本项目的难点，保障工期、质量的主要措施；</w:t>
      </w:r>
    </w:p>
    <w:p>
      <w:pPr>
        <w:spacing w:line="360" w:lineRule="auto"/>
        <w:ind w:left="821" w:hanging="820" w:hangingChars="342"/>
        <w:rPr>
          <w:rFonts w:ascii="宋体" w:hAnsi="宋体"/>
          <w:strike/>
          <w:dstrike w:val="0"/>
          <w:sz w:val="24"/>
        </w:rPr>
      </w:pPr>
      <w:r>
        <w:rPr>
          <w:rFonts w:hint="eastAsia" w:hAnsi="宋体"/>
          <w:strike/>
          <w:dstrike w:val="0"/>
          <w:sz w:val="24"/>
        </w:rPr>
        <w:t xml:space="preserve">   (i) </w:t>
      </w:r>
      <w:r>
        <w:rPr>
          <w:rFonts w:hint="eastAsia" w:ascii="宋体" w:hAnsi="宋体"/>
          <w:strike/>
          <w:dstrike w:val="0"/>
          <w:sz w:val="24"/>
        </w:rPr>
        <w:t>针对项目场地采用的原位试验种类。勘察方案（勘察手段、方法及工艺）及建议，本次勘察的难点及建议</w:t>
      </w:r>
      <w:r>
        <w:rPr>
          <w:rFonts w:hint="eastAsia" w:hAnsi="宋体"/>
          <w:strike/>
          <w:dstrike w:val="0"/>
          <w:sz w:val="24"/>
        </w:rPr>
        <w:t>(适用于含勘察内容的项目)；</w:t>
      </w:r>
    </w:p>
    <w:p>
      <w:pPr>
        <w:spacing w:line="360" w:lineRule="auto"/>
        <w:rPr>
          <w:rFonts w:ascii="宋体" w:hAnsi="宋体"/>
          <w:strike/>
          <w:dstrike w:val="0"/>
          <w:sz w:val="24"/>
        </w:rPr>
      </w:pPr>
      <w:r>
        <w:rPr>
          <w:rFonts w:hint="eastAsia" w:hAnsi="宋体"/>
          <w:strike/>
          <w:dstrike w:val="0"/>
          <w:sz w:val="24"/>
        </w:rPr>
        <w:t xml:space="preserve">   (</w:t>
      </w:r>
      <w:r>
        <w:rPr>
          <w:rFonts w:hAnsi="宋体"/>
          <w:strike/>
          <w:dstrike w:val="0"/>
          <w:sz w:val="24"/>
        </w:rPr>
        <w:t>j</w:t>
      </w:r>
      <w:r>
        <w:rPr>
          <w:rFonts w:hint="eastAsia" w:hAnsi="宋体"/>
          <w:strike/>
          <w:dstrike w:val="0"/>
          <w:sz w:val="24"/>
        </w:rPr>
        <w:t xml:space="preserve">) </w:t>
      </w:r>
      <w:r>
        <w:rPr>
          <w:rFonts w:hint="eastAsia" w:ascii="宋体" w:hAnsi="宋体"/>
          <w:strike/>
          <w:dstrike w:val="0"/>
          <w:sz w:val="24"/>
        </w:rPr>
        <w:t>勘察工作流程和相应的工期进度计划</w:t>
      </w:r>
      <w:r>
        <w:rPr>
          <w:rFonts w:hint="eastAsia" w:hAnsi="宋体"/>
          <w:strike/>
          <w:dstrike w:val="0"/>
          <w:sz w:val="24"/>
        </w:rPr>
        <w:t>(适用于含勘察内容的项目)；</w:t>
      </w:r>
    </w:p>
    <w:p>
      <w:pPr>
        <w:spacing w:line="360" w:lineRule="auto"/>
        <w:rPr>
          <w:rFonts w:ascii="宋体" w:hAnsi="宋体"/>
          <w:strike/>
          <w:dstrike w:val="0"/>
          <w:sz w:val="24"/>
        </w:rPr>
      </w:pPr>
      <w:r>
        <w:rPr>
          <w:rFonts w:hint="eastAsia" w:hAnsi="宋体"/>
          <w:strike/>
          <w:dstrike w:val="0"/>
          <w:sz w:val="24"/>
        </w:rPr>
        <w:t xml:space="preserve">   (</w:t>
      </w:r>
      <w:r>
        <w:rPr>
          <w:rFonts w:hAnsi="宋体"/>
          <w:strike/>
          <w:dstrike w:val="0"/>
          <w:sz w:val="24"/>
        </w:rPr>
        <w:t>k</w:t>
      </w:r>
      <w:r>
        <w:rPr>
          <w:rFonts w:hint="eastAsia" w:hAnsi="宋体"/>
          <w:strike/>
          <w:dstrike w:val="0"/>
          <w:sz w:val="24"/>
        </w:rPr>
        <w:t xml:space="preserve">) </w:t>
      </w:r>
      <w:r>
        <w:rPr>
          <w:rFonts w:hint="eastAsia" w:ascii="宋体" w:hAnsi="宋体"/>
          <w:strike/>
          <w:dstrike w:val="0"/>
          <w:sz w:val="24"/>
        </w:rPr>
        <w:t>投入本项目的人数、工种、设备</w:t>
      </w:r>
      <w:r>
        <w:rPr>
          <w:rFonts w:hint="eastAsia" w:hAnsi="宋体"/>
          <w:strike/>
          <w:dstrike w:val="0"/>
          <w:sz w:val="24"/>
        </w:rPr>
        <w:t>(适用于含勘察内容的项目)；</w:t>
      </w:r>
    </w:p>
    <w:p>
      <w:pPr>
        <w:spacing w:line="360" w:lineRule="auto"/>
        <w:rPr>
          <w:rFonts w:ascii="宋体" w:hAnsi="宋体"/>
          <w:strike/>
          <w:dstrike w:val="0"/>
          <w:sz w:val="24"/>
        </w:rPr>
      </w:pPr>
      <w:r>
        <w:rPr>
          <w:rFonts w:hint="eastAsia" w:hAnsi="宋体"/>
          <w:strike/>
          <w:dstrike w:val="0"/>
          <w:sz w:val="24"/>
        </w:rPr>
        <w:t xml:space="preserve">   (</w:t>
      </w:r>
      <w:r>
        <w:rPr>
          <w:rFonts w:hAnsi="宋体"/>
          <w:strike/>
          <w:dstrike w:val="0"/>
          <w:sz w:val="24"/>
        </w:rPr>
        <w:t>l</w:t>
      </w:r>
      <w:r>
        <w:rPr>
          <w:rFonts w:hint="eastAsia" w:hAnsi="宋体"/>
          <w:strike/>
          <w:dstrike w:val="0"/>
          <w:sz w:val="24"/>
        </w:rPr>
        <w:t xml:space="preserve">) </w:t>
      </w:r>
      <w:r>
        <w:rPr>
          <w:rFonts w:hint="eastAsia" w:ascii="宋体" w:hAnsi="宋体"/>
          <w:strike/>
          <w:dstrike w:val="0"/>
          <w:sz w:val="24"/>
        </w:rPr>
        <w:t>勘察报告综合评价深度，勘察成果文件内容目录</w:t>
      </w:r>
      <w:r>
        <w:rPr>
          <w:rFonts w:hint="eastAsia" w:hAnsi="宋体"/>
          <w:strike/>
          <w:dstrike w:val="0"/>
          <w:sz w:val="24"/>
        </w:rPr>
        <w:t>(适用于含勘察内容的项目)；</w:t>
      </w:r>
    </w:p>
    <w:p>
      <w:pPr>
        <w:spacing w:line="360" w:lineRule="auto"/>
        <w:ind w:left="821" w:hanging="820" w:hangingChars="342"/>
        <w:rPr>
          <w:rFonts w:ascii="宋体" w:hAnsi="宋体"/>
          <w:strike/>
          <w:dstrike w:val="0"/>
          <w:sz w:val="24"/>
        </w:rPr>
      </w:pPr>
      <w:r>
        <w:rPr>
          <w:rFonts w:hint="eastAsia" w:hAnsi="宋体"/>
          <w:strike/>
          <w:dstrike w:val="0"/>
          <w:sz w:val="24"/>
        </w:rPr>
        <w:t xml:space="preserve">   (</w:t>
      </w:r>
      <w:r>
        <w:rPr>
          <w:rFonts w:hAnsi="宋体"/>
          <w:strike/>
          <w:dstrike w:val="0"/>
          <w:sz w:val="24"/>
        </w:rPr>
        <w:t>m</w:t>
      </w:r>
      <w:r>
        <w:rPr>
          <w:rFonts w:hint="eastAsia" w:hAnsi="宋体"/>
          <w:strike/>
          <w:dstrike w:val="0"/>
          <w:sz w:val="24"/>
        </w:rPr>
        <w:t xml:space="preserve">) </w:t>
      </w:r>
      <w:r>
        <w:rPr>
          <w:rFonts w:hint="eastAsia" w:ascii="宋体" w:hAnsi="宋体"/>
          <w:strike/>
          <w:dstrike w:val="0"/>
          <w:sz w:val="24"/>
        </w:rPr>
        <w:t>投标人掌握的勘察工作有关的法律法规、标准、规范一览表</w:t>
      </w:r>
      <w:r>
        <w:rPr>
          <w:rFonts w:hint="eastAsia" w:hAnsi="宋体"/>
          <w:strike/>
          <w:dstrike w:val="0"/>
          <w:sz w:val="24"/>
        </w:rPr>
        <w:t>(适用于含勘察内容的项目)；</w:t>
      </w:r>
    </w:p>
    <w:p>
      <w:pPr>
        <w:spacing w:line="360" w:lineRule="auto"/>
        <w:rPr>
          <w:rFonts w:ascii="宋体" w:hAnsi="宋体"/>
          <w:strike/>
          <w:dstrike w:val="0"/>
          <w:sz w:val="24"/>
        </w:rPr>
      </w:pPr>
      <w:r>
        <w:rPr>
          <w:rFonts w:hint="eastAsia" w:hAnsi="宋体"/>
          <w:strike/>
          <w:dstrike w:val="0"/>
          <w:sz w:val="24"/>
        </w:rPr>
        <w:t xml:space="preserve">   (</w:t>
      </w:r>
      <w:r>
        <w:rPr>
          <w:rFonts w:hAnsi="宋体"/>
          <w:strike/>
          <w:dstrike w:val="0"/>
          <w:sz w:val="24"/>
        </w:rPr>
        <w:t>n</w:t>
      </w:r>
      <w:r>
        <w:rPr>
          <w:rFonts w:hint="eastAsia" w:hAnsi="宋体"/>
          <w:strike/>
          <w:dstrike w:val="0"/>
          <w:sz w:val="24"/>
        </w:rPr>
        <w:t xml:space="preserve">) </w:t>
      </w:r>
      <w:r>
        <w:rPr>
          <w:rFonts w:hint="eastAsia" w:ascii="宋体" w:hAnsi="宋体"/>
          <w:strike/>
          <w:dstrike w:val="0"/>
          <w:sz w:val="24"/>
        </w:rPr>
        <w:t>需要建设单位、设计单位配合的事项</w:t>
      </w:r>
      <w:r>
        <w:rPr>
          <w:rFonts w:hint="eastAsia" w:hAnsi="宋体"/>
          <w:strike/>
          <w:dstrike w:val="0"/>
          <w:sz w:val="24"/>
        </w:rPr>
        <w:t>(适用于含勘察内容的项目)；</w:t>
      </w:r>
    </w:p>
    <w:p>
      <w:pPr>
        <w:spacing w:line="360" w:lineRule="auto"/>
        <w:rPr>
          <w:rFonts w:ascii="宋体" w:hAnsi="宋体"/>
          <w:strike/>
          <w:dstrike w:val="0"/>
          <w:sz w:val="24"/>
        </w:rPr>
      </w:pPr>
      <w:r>
        <w:rPr>
          <w:rFonts w:hint="eastAsia" w:hAnsi="宋体"/>
          <w:strike/>
          <w:dstrike w:val="0"/>
          <w:sz w:val="24"/>
        </w:rPr>
        <w:t xml:space="preserve">   (</w:t>
      </w:r>
      <w:r>
        <w:rPr>
          <w:rFonts w:hAnsi="宋体"/>
          <w:strike/>
          <w:dstrike w:val="0"/>
          <w:sz w:val="24"/>
        </w:rPr>
        <w:t>o</w:t>
      </w:r>
      <w:r>
        <w:rPr>
          <w:rFonts w:hint="eastAsia" w:hAnsi="宋体"/>
          <w:strike/>
          <w:dstrike w:val="0"/>
          <w:sz w:val="24"/>
        </w:rPr>
        <w:t xml:space="preserve">) </w:t>
      </w:r>
      <w:r>
        <w:rPr>
          <w:rFonts w:hint="eastAsia" w:ascii="宋体" w:hAnsi="宋体"/>
          <w:strike/>
          <w:dstrike w:val="0"/>
          <w:sz w:val="24"/>
        </w:rPr>
        <w:t>发生追记行为的相应赔偿办法</w:t>
      </w:r>
      <w:r>
        <w:rPr>
          <w:rFonts w:hint="eastAsia" w:hAnsi="宋体"/>
          <w:strike/>
          <w:dstrike w:val="0"/>
          <w:sz w:val="24"/>
        </w:rPr>
        <w:t>(适用于含勘察内容的项目)；</w:t>
      </w:r>
    </w:p>
    <w:p>
      <w:pPr>
        <w:spacing w:line="360" w:lineRule="auto"/>
        <w:ind w:left="821" w:hanging="820" w:hangingChars="342"/>
        <w:rPr>
          <w:rFonts w:ascii="宋体" w:hAnsi="宋体"/>
          <w:strike/>
          <w:dstrike w:val="0"/>
          <w:sz w:val="24"/>
        </w:rPr>
      </w:pPr>
      <w:r>
        <w:rPr>
          <w:rFonts w:hint="eastAsia" w:hAnsi="宋体"/>
          <w:strike/>
          <w:dstrike w:val="0"/>
          <w:sz w:val="24"/>
        </w:rPr>
        <w:t xml:space="preserve">   (</w:t>
      </w:r>
      <w:r>
        <w:rPr>
          <w:rFonts w:hAnsi="宋体"/>
          <w:strike/>
          <w:dstrike w:val="0"/>
          <w:sz w:val="24"/>
        </w:rPr>
        <w:t>p</w:t>
      </w:r>
      <w:r>
        <w:rPr>
          <w:rFonts w:hint="eastAsia" w:hAnsi="宋体"/>
          <w:strike/>
          <w:dstrike w:val="0"/>
          <w:sz w:val="24"/>
        </w:rPr>
        <w:t xml:space="preserve">) </w:t>
      </w:r>
      <w:r>
        <w:rPr>
          <w:rFonts w:hint="eastAsia" w:ascii="宋体" w:hAnsi="宋体"/>
          <w:strike/>
          <w:dstrike w:val="0"/>
          <w:sz w:val="24"/>
        </w:rPr>
        <w:t>投标人参与施工验槽，解决工程设计和施工中与勘察工作有关问题的服务承诺、响应时间、相关费用</w:t>
      </w:r>
      <w:r>
        <w:rPr>
          <w:rFonts w:hint="eastAsia" w:hAnsi="宋体"/>
          <w:strike/>
          <w:dstrike w:val="0"/>
          <w:sz w:val="24"/>
        </w:rPr>
        <w:t>(适用于含勘察内容的项目)；</w:t>
      </w:r>
    </w:p>
    <w:p>
      <w:pPr>
        <w:spacing w:line="360" w:lineRule="auto"/>
        <w:rPr>
          <w:rFonts w:ascii="宋体" w:hAnsi="宋体"/>
          <w:strike/>
          <w:dstrike w:val="0"/>
          <w:sz w:val="24"/>
        </w:rPr>
      </w:pPr>
      <w:r>
        <w:rPr>
          <w:rFonts w:hint="eastAsia" w:hAnsi="宋体"/>
          <w:strike/>
          <w:dstrike w:val="0"/>
          <w:sz w:val="24"/>
        </w:rPr>
        <w:t xml:space="preserve">   (</w:t>
      </w:r>
      <w:r>
        <w:rPr>
          <w:rFonts w:hAnsi="宋体"/>
          <w:strike/>
          <w:dstrike w:val="0"/>
          <w:sz w:val="24"/>
        </w:rPr>
        <w:t>q</w:t>
      </w:r>
      <w:r>
        <w:rPr>
          <w:rFonts w:hint="eastAsia" w:hAnsi="宋体"/>
          <w:strike/>
          <w:dstrike w:val="0"/>
          <w:sz w:val="24"/>
        </w:rPr>
        <w:t xml:space="preserve">) </w:t>
      </w:r>
      <w:r>
        <w:rPr>
          <w:rFonts w:hint="eastAsia" w:ascii="宋体" w:hAnsi="宋体"/>
          <w:strike/>
          <w:dstrike w:val="0"/>
          <w:sz w:val="24"/>
        </w:rPr>
        <w:t>技术培训和职业道德教育情况</w:t>
      </w:r>
      <w:r>
        <w:rPr>
          <w:rFonts w:hint="eastAsia" w:hAnsi="宋体"/>
          <w:strike/>
          <w:dstrike w:val="0"/>
          <w:sz w:val="24"/>
        </w:rPr>
        <w:t>(适用于含勘察内容的项目)；</w:t>
      </w:r>
    </w:p>
    <w:p>
      <w:pPr>
        <w:spacing w:line="360" w:lineRule="auto"/>
        <w:rPr>
          <w:rFonts w:ascii="宋体" w:hAnsi="宋体"/>
          <w:strike/>
          <w:dstrike w:val="0"/>
          <w:sz w:val="24"/>
        </w:rPr>
      </w:pPr>
      <w:r>
        <w:rPr>
          <w:rFonts w:hint="eastAsia" w:hAnsi="宋体"/>
          <w:strike/>
          <w:dstrike w:val="0"/>
          <w:sz w:val="24"/>
        </w:rPr>
        <w:t xml:space="preserve">   (</w:t>
      </w:r>
      <w:r>
        <w:rPr>
          <w:rFonts w:hAnsi="宋体"/>
          <w:strike/>
          <w:dstrike w:val="0"/>
          <w:sz w:val="24"/>
        </w:rPr>
        <w:t>r</w:t>
      </w:r>
      <w:r>
        <w:rPr>
          <w:rFonts w:hint="eastAsia" w:hAnsi="宋体"/>
          <w:strike/>
          <w:dstrike w:val="0"/>
          <w:sz w:val="24"/>
        </w:rPr>
        <w:t xml:space="preserve">) </w:t>
      </w:r>
      <w:r>
        <w:rPr>
          <w:rFonts w:hint="eastAsia" w:ascii="宋体" w:hAnsi="宋体"/>
          <w:strike/>
          <w:dstrike w:val="0"/>
          <w:sz w:val="24"/>
        </w:rPr>
        <w:t>以往完工项目的资料分类编目、装订、归档保存的情况</w:t>
      </w:r>
      <w:r>
        <w:rPr>
          <w:rFonts w:hint="eastAsia" w:hAnsi="宋体"/>
          <w:strike/>
          <w:dstrike w:val="0"/>
          <w:sz w:val="24"/>
        </w:rPr>
        <w:t>(适用于含勘察内容的项目)；   (</w:t>
      </w:r>
      <w:r>
        <w:rPr>
          <w:rFonts w:hAnsi="宋体"/>
          <w:strike/>
          <w:dstrike w:val="0"/>
          <w:sz w:val="24"/>
        </w:rPr>
        <w:t>s</w:t>
      </w:r>
      <w:r>
        <w:rPr>
          <w:rFonts w:hint="eastAsia" w:hAnsi="宋体"/>
          <w:strike/>
          <w:dstrike w:val="0"/>
          <w:sz w:val="24"/>
        </w:rPr>
        <w:t xml:space="preserve">) </w:t>
      </w:r>
      <w:r>
        <w:rPr>
          <w:rFonts w:hint="eastAsia" w:ascii="宋体" w:hAnsi="宋体"/>
          <w:strike/>
          <w:dstrike w:val="0"/>
          <w:sz w:val="24"/>
        </w:rPr>
        <w:t>投标人认为有必要提供的其他资料。</w:t>
      </w:r>
    </w:p>
    <w:p>
      <w:pPr>
        <w:spacing w:line="360" w:lineRule="auto"/>
        <w:rPr>
          <w:rFonts w:ascii="宋体" w:hAnsi="宋体"/>
          <w:strike/>
          <w:dstrike w:val="0"/>
          <w:sz w:val="24"/>
        </w:rPr>
      </w:pPr>
    </w:p>
    <w:p>
      <w:pPr>
        <w:spacing w:line="360" w:lineRule="auto"/>
        <w:rPr>
          <w:rFonts w:ascii="宋体" w:hAnsi="宋体"/>
          <w:b/>
          <w:strike/>
          <w:dstrike w:val="0"/>
          <w:sz w:val="24"/>
        </w:rPr>
      </w:pPr>
      <w:r>
        <w:rPr>
          <w:rFonts w:ascii="宋体" w:hAnsi="宋体"/>
          <w:b/>
          <w:strike/>
          <w:dstrike w:val="0"/>
          <w:sz w:val="24"/>
        </w:rPr>
        <w:t>5</w:t>
      </w:r>
      <w:r>
        <w:rPr>
          <w:rFonts w:hint="eastAsia" w:ascii="宋体" w:hAnsi="宋体"/>
          <w:b/>
          <w:strike/>
          <w:dstrike w:val="0"/>
          <w:sz w:val="24"/>
        </w:rPr>
        <w:t xml:space="preserve">      </w:t>
      </w:r>
      <w:r>
        <w:rPr>
          <w:rFonts w:hint="eastAsia" w:ascii="宋体" w:hAnsi="宋体"/>
          <w:b/>
          <w:bCs/>
          <w:strike/>
          <w:dstrike w:val="0"/>
          <w:sz w:val="24"/>
        </w:rPr>
        <w:t>深度要求</w:t>
      </w:r>
    </w:p>
    <w:p>
      <w:pPr>
        <w:spacing w:line="360" w:lineRule="auto"/>
        <w:rPr>
          <w:rFonts w:ascii="宋体" w:hAnsi="宋体"/>
          <w:strike/>
          <w:dstrike w:val="0"/>
          <w:sz w:val="24"/>
        </w:rPr>
      </w:pPr>
    </w:p>
    <w:p>
      <w:pPr>
        <w:spacing w:line="360" w:lineRule="auto"/>
        <w:ind w:left="821" w:hanging="820" w:hangingChars="342"/>
        <w:jc w:val="left"/>
        <w:rPr>
          <w:rFonts w:ascii="宋体" w:hAnsi="宋体"/>
          <w:strike/>
          <w:dstrike w:val="0"/>
          <w:sz w:val="24"/>
        </w:rPr>
      </w:pPr>
      <w:r>
        <w:rPr>
          <w:rFonts w:ascii="宋体" w:hAnsi="宋体"/>
          <w:strike/>
          <w:dstrike w:val="0"/>
          <w:sz w:val="24"/>
        </w:rPr>
        <w:t>5</w:t>
      </w:r>
      <w:r>
        <w:rPr>
          <w:rFonts w:hint="eastAsia" w:ascii="宋体" w:hAnsi="宋体"/>
          <w:strike/>
          <w:dstrike w:val="0"/>
          <w:sz w:val="24"/>
        </w:rPr>
        <w:t>.1    投标深度要求：</w:t>
      </w:r>
    </w:p>
    <w:p>
      <w:pPr>
        <w:spacing w:line="360" w:lineRule="auto"/>
        <w:ind w:left="821" w:hanging="820" w:hangingChars="342"/>
        <w:jc w:val="left"/>
        <w:rPr>
          <w:rFonts w:ascii="宋体" w:hAnsi="宋体"/>
          <w:strike/>
          <w:dstrike w:val="0"/>
          <w:sz w:val="24"/>
        </w:rPr>
      </w:pPr>
      <w:r>
        <w:rPr>
          <w:rFonts w:hint="eastAsia" w:hAnsi="宋体"/>
          <w:strike/>
          <w:dstrike w:val="0"/>
          <w:sz w:val="24"/>
        </w:rPr>
        <w:t xml:space="preserve">   (a) </w:t>
      </w:r>
      <w:r>
        <w:rPr>
          <w:rFonts w:hint="eastAsia" w:ascii="宋体" w:hAnsi="宋体"/>
          <w:strike/>
          <w:dstrike w:val="0"/>
          <w:sz w:val="24"/>
        </w:rPr>
        <w:t>建筑工程设计投标文件宜达到建设部《建筑工程设计文件编制深度规定》（2016年版）相应设计阶段的要求。</w:t>
      </w:r>
    </w:p>
    <w:p>
      <w:pPr>
        <w:spacing w:line="360" w:lineRule="auto"/>
        <w:ind w:left="821" w:hanging="820" w:hangingChars="342"/>
        <w:jc w:val="left"/>
        <w:rPr>
          <w:rFonts w:ascii="宋体" w:hAnsi="宋体"/>
          <w:strike/>
          <w:dstrike w:val="0"/>
          <w:sz w:val="24"/>
        </w:rPr>
      </w:pPr>
      <w:r>
        <w:rPr>
          <w:rFonts w:hint="eastAsia" w:hAnsi="宋体"/>
          <w:strike/>
          <w:dstrike w:val="0"/>
          <w:sz w:val="24"/>
        </w:rPr>
        <w:t xml:space="preserve">   </w:t>
      </w:r>
    </w:p>
    <w:p>
      <w:pPr>
        <w:spacing w:line="360" w:lineRule="auto"/>
        <w:ind w:left="821" w:hanging="820" w:hangingChars="342"/>
        <w:jc w:val="left"/>
        <w:rPr>
          <w:rFonts w:ascii="宋体" w:hAnsi="宋体"/>
          <w:strike/>
          <w:dstrike w:val="0"/>
          <w:sz w:val="24"/>
        </w:rPr>
      </w:pPr>
      <w:r>
        <w:rPr>
          <w:rFonts w:hint="eastAsia" w:ascii="宋体" w:hAnsi="宋体"/>
          <w:strike/>
          <w:dstrike w:val="0"/>
          <w:sz w:val="24"/>
        </w:rPr>
        <w:t xml:space="preserve">  </w:t>
      </w:r>
      <w:r>
        <w:rPr>
          <w:rFonts w:hint="eastAsia" w:hAnsi="宋体"/>
          <w:strike/>
          <w:dstrike w:val="0"/>
          <w:sz w:val="24"/>
        </w:rPr>
        <w:t xml:space="preserve"> </w:t>
      </w:r>
      <w:r>
        <w:rPr>
          <w:rFonts w:hAnsi="宋体"/>
          <w:strike/>
          <w:dstrike w:val="0"/>
          <w:sz w:val="24"/>
        </w:rPr>
        <w:t>（</w:t>
      </w:r>
      <w:r>
        <w:rPr>
          <w:rFonts w:hint="eastAsia" w:hAnsi="宋体"/>
          <w:strike/>
          <w:dstrike w:val="0"/>
          <w:sz w:val="24"/>
        </w:rPr>
        <w:t>b</w:t>
      </w:r>
      <w:r>
        <w:rPr>
          <w:rFonts w:hAnsi="宋体"/>
          <w:strike/>
          <w:dstrike w:val="0"/>
          <w:sz w:val="24"/>
        </w:rPr>
        <w:t>）</w:t>
      </w:r>
      <w:r>
        <w:rPr>
          <w:rFonts w:hint="eastAsia" w:hAnsi="宋体"/>
          <w:strike/>
          <w:dstrike w:val="0"/>
          <w:sz w:val="24"/>
        </w:rPr>
        <w:t xml:space="preserve"> </w:t>
      </w:r>
      <w:r>
        <w:rPr>
          <w:rFonts w:hint="eastAsia" w:ascii="宋体" w:hAnsi="宋体"/>
          <w:strike/>
          <w:dstrike w:val="0"/>
          <w:sz w:val="24"/>
        </w:rPr>
        <w:t>装饰工程设计投标文件，应提供效果图、平面布置图、天花平面图、立面图，以及《材料表》和《投资估算表》。《投资估算表》应列出明细表，豪华灯具、地毯、洁具、重要设备应列出品牌、型号、数量和价格，所有活动家具不包括在工程造价估算以内。</w:t>
      </w:r>
    </w:p>
    <w:p>
      <w:pPr>
        <w:spacing w:line="360" w:lineRule="auto"/>
        <w:jc w:val="left"/>
        <w:rPr>
          <w:rFonts w:ascii="宋体" w:hAnsi="宋体"/>
          <w:strike/>
          <w:dstrike w:val="0"/>
          <w:sz w:val="24"/>
        </w:rPr>
      </w:pPr>
      <w:r>
        <w:rPr>
          <w:rFonts w:hint="eastAsia" w:ascii="宋体" w:hAnsi="宋体"/>
          <w:strike/>
          <w:dstrike w:val="0"/>
          <w:sz w:val="24"/>
        </w:rPr>
        <w:t xml:space="preserve"> </w:t>
      </w:r>
      <w:r>
        <w:rPr>
          <w:rFonts w:hint="eastAsia" w:hAnsi="宋体"/>
          <w:strike/>
          <w:dstrike w:val="0"/>
          <w:sz w:val="24"/>
        </w:rPr>
        <w:t xml:space="preserve">  (c) </w:t>
      </w:r>
      <w:r>
        <w:rPr>
          <w:rFonts w:hint="eastAsia" w:ascii="宋体" w:hAnsi="宋体"/>
          <w:strike/>
          <w:dstrike w:val="0"/>
          <w:sz w:val="24"/>
        </w:rPr>
        <w:t>设计独特具有独创性的节点位置，应该提供示意图。</w:t>
      </w:r>
    </w:p>
    <w:p>
      <w:pPr>
        <w:spacing w:line="360" w:lineRule="auto"/>
        <w:jc w:val="left"/>
        <w:rPr>
          <w:rFonts w:ascii="宋体" w:hAnsi="宋体"/>
          <w:strike/>
          <w:dstrike w:val="0"/>
          <w:sz w:val="24"/>
        </w:rPr>
      </w:pPr>
    </w:p>
    <w:p>
      <w:pPr>
        <w:spacing w:line="360" w:lineRule="auto"/>
        <w:jc w:val="left"/>
        <w:rPr>
          <w:rFonts w:ascii="宋体" w:hAnsi="宋体"/>
          <w:b/>
          <w:bCs/>
          <w:strike/>
          <w:dstrike w:val="0"/>
          <w:sz w:val="24"/>
        </w:rPr>
      </w:pPr>
      <w:r>
        <w:rPr>
          <w:rFonts w:ascii="宋体" w:hAnsi="宋体"/>
          <w:b/>
          <w:bCs/>
          <w:strike/>
          <w:dstrike w:val="0"/>
          <w:sz w:val="24"/>
        </w:rPr>
        <w:t>6</w:t>
      </w:r>
      <w:r>
        <w:rPr>
          <w:rFonts w:hint="eastAsia" w:ascii="宋体" w:hAnsi="宋体"/>
          <w:b/>
          <w:bCs/>
          <w:strike/>
          <w:dstrike w:val="0"/>
          <w:sz w:val="24"/>
        </w:rPr>
        <w:t xml:space="preserve">    资格审查文件（如有）</w:t>
      </w:r>
    </w:p>
    <w:p>
      <w:pPr>
        <w:pStyle w:val="16"/>
        <w:spacing w:line="360" w:lineRule="auto"/>
        <w:ind w:firstLine="0" w:firstLineChars="0"/>
        <w:rPr>
          <w:rFonts w:hAnsi="宋体"/>
          <w:strike/>
          <w:dstrike w:val="0"/>
          <w:sz w:val="24"/>
          <w:szCs w:val="24"/>
        </w:rPr>
      </w:pPr>
    </w:p>
    <w:p>
      <w:pPr>
        <w:pStyle w:val="16"/>
        <w:spacing w:line="360" w:lineRule="auto"/>
        <w:ind w:firstLine="0" w:firstLineChars="0"/>
        <w:rPr>
          <w:rFonts w:hAnsi="宋体"/>
          <w:strike/>
          <w:dstrike w:val="0"/>
          <w:sz w:val="24"/>
          <w:szCs w:val="24"/>
        </w:rPr>
      </w:pPr>
      <w:r>
        <w:rPr>
          <w:rFonts w:hAnsi="宋体"/>
          <w:strike/>
          <w:dstrike w:val="0"/>
          <w:sz w:val="24"/>
          <w:szCs w:val="24"/>
        </w:rPr>
        <w:t>6</w:t>
      </w:r>
      <w:r>
        <w:rPr>
          <w:rFonts w:hint="eastAsia" w:hAnsi="宋体"/>
          <w:strike/>
          <w:dstrike w:val="0"/>
          <w:sz w:val="24"/>
          <w:szCs w:val="24"/>
        </w:rPr>
        <w:t>.1   资格审查文件内容：</w:t>
      </w:r>
    </w:p>
    <w:p>
      <w:pPr>
        <w:pStyle w:val="16"/>
        <w:spacing w:line="360" w:lineRule="auto"/>
        <w:ind w:firstLine="0" w:firstLineChars="0"/>
        <w:rPr>
          <w:rFonts w:hAnsi="宋体"/>
          <w:strike/>
          <w:dstrike w:val="0"/>
          <w:sz w:val="24"/>
          <w:szCs w:val="24"/>
        </w:rPr>
      </w:pPr>
      <w:r>
        <w:rPr>
          <w:rFonts w:hint="eastAsia" w:hAnsi="宋体"/>
          <w:strike/>
          <w:dstrike w:val="0"/>
          <w:sz w:val="24"/>
          <w:szCs w:val="24"/>
        </w:rPr>
        <w:t xml:space="preserve">   (a) 目录；</w:t>
      </w:r>
    </w:p>
    <w:p>
      <w:pPr>
        <w:pStyle w:val="16"/>
        <w:spacing w:line="360" w:lineRule="auto"/>
        <w:ind w:firstLine="0" w:firstLineChars="0"/>
        <w:rPr>
          <w:rFonts w:hAnsi="宋体"/>
          <w:strike/>
          <w:dstrike w:val="0"/>
          <w:sz w:val="24"/>
          <w:szCs w:val="24"/>
        </w:rPr>
      </w:pPr>
      <w:r>
        <w:rPr>
          <w:rFonts w:hint="eastAsia" w:hAnsi="宋体"/>
          <w:strike/>
          <w:dstrike w:val="0"/>
          <w:sz w:val="24"/>
          <w:szCs w:val="24"/>
        </w:rPr>
        <w:t xml:space="preserve">   (b) 填妥并签字盖章的《投标书》（投标人无需提供，评标委员会根据“开标信封”中的《投标书》进行评审。投标人再次提供且不一致的，以“开标信封”中的《投标书》为准）；</w:t>
      </w:r>
    </w:p>
    <w:p>
      <w:pPr>
        <w:pStyle w:val="16"/>
        <w:spacing w:line="360" w:lineRule="auto"/>
        <w:ind w:firstLine="360" w:firstLineChars="150"/>
        <w:rPr>
          <w:rFonts w:hAnsi="宋体"/>
          <w:strike/>
          <w:dstrike w:val="0"/>
          <w:sz w:val="24"/>
          <w:szCs w:val="24"/>
        </w:rPr>
      </w:pPr>
      <w:r>
        <w:rPr>
          <w:rFonts w:hint="eastAsia" w:hAnsi="宋体"/>
          <w:strike/>
          <w:dstrike w:val="0"/>
          <w:sz w:val="24"/>
          <w:szCs w:val="24"/>
        </w:rPr>
        <w:t>(c) 填妥并签字盖章的《投标人声明》（格式见附录8）；</w:t>
      </w:r>
    </w:p>
    <w:p>
      <w:pPr>
        <w:spacing w:line="360" w:lineRule="auto"/>
        <w:ind w:left="821" w:hanging="820" w:hangingChars="342"/>
        <w:rPr>
          <w:rFonts w:ascii="宋体" w:hAnsi="宋体"/>
          <w:strike/>
          <w:dstrike w:val="0"/>
          <w:sz w:val="24"/>
        </w:rPr>
      </w:pPr>
      <w:r>
        <w:rPr>
          <w:rFonts w:hint="eastAsia" w:ascii="宋体" w:hAnsi="宋体"/>
          <w:strike/>
          <w:dstrike w:val="0"/>
          <w:sz w:val="24"/>
        </w:rPr>
        <w:t xml:space="preserve">   (d) 填妥并签字盖章的《联合体投标协议》（联合体投标人提供）（</w:t>
      </w:r>
      <w:r>
        <w:rPr>
          <w:rFonts w:hint="eastAsia" w:hAnsi="宋体"/>
          <w:strike/>
          <w:dstrike w:val="0"/>
          <w:sz w:val="24"/>
        </w:rPr>
        <w:t>投标人无需提供，评标委员会根据“开标信封”中的《</w:t>
      </w:r>
      <w:r>
        <w:rPr>
          <w:rFonts w:hint="eastAsia" w:ascii="宋体" w:hAnsi="宋体"/>
          <w:strike/>
          <w:dstrike w:val="0"/>
          <w:sz w:val="24"/>
        </w:rPr>
        <w:t>联合体投标协议</w:t>
      </w:r>
      <w:r>
        <w:rPr>
          <w:rFonts w:hint="eastAsia" w:hAnsi="宋体"/>
          <w:strike/>
          <w:dstrike w:val="0"/>
          <w:sz w:val="24"/>
        </w:rPr>
        <w:t>》进行评审。投标人再次提供且不一致的，以“开标信封”中的《</w:t>
      </w:r>
      <w:r>
        <w:rPr>
          <w:rFonts w:hint="eastAsia" w:ascii="宋体" w:hAnsi="宋体"/>
          <w:strike/>
          <w:dstrike w:val="0"/>
          <w:sz w:val="24"/>
        </w:rPr>
        <w:t>联合体投标协议</w:t>
      </w:r>
      <w:r>
        <w:rPr>
          <w:rFonts w:hint="eastAsia" w:hAnsi="宋体"/>
          <w:strike/>
          <w:dstrike w:val="0"/>
          <w:sz w:val="24"/>
        </w:rPr>
        <w:t>》为准</w:t>
      </w:r>
      <w:r>
        <w:rPr>
          <w:rFonts w:hint="eastAsia" w:ascii="宋体" w:hAnsi="宋体"/>
          <w:strike/>
          <w:dstrike w:val="0"/>
          <w:sz w:val="24"/>
        </w:rPr>
        <w:t>）；</w:t>
      </w:r>
    </w:p>
    <w:p>
      <w:pPr>
        <w:spacing w:line="360" w:lineRule="auto"/>
        <w:ind w:left="821" w:hanging="820" w:hangingChars="342"/>
        <w:rPr>
          <w:rFonts w:ascii="宋体" w:hAnsi="宋体"/>
          <w:strike/>
          <w:dstrike w:val="0"/>
          <w:sz w:val="24"/>
        </w:rPr>
      </w:pPr>
      <w:r>
        <w:rPr>
          <w:rFonts w:hint="eastAsia" w:ascii="宋体" w:hAnsi="宋体"/>
          <w:strike/>
          <w:dstrike w:val="0"/>
          <w:sz w:val="24"/>
        </w:rPr>
        <w:t xml:space="preserve">   (e) 填妥并签字盖章的《合作设计协议》（外国或香港、澳门、台湾的设计企业提供）（格式自定）；</w:t>
      </w:r>
    </w:p>
    <w:p>
      <w:pPr>
        <w:spacing w:line="360" w:lineRule="auto"/>
        <w:ind w:left="821" w:hanging="820" w:hangingChars="342"/>
        <w:rPr>
          <w:rFonts w:ascii="宋体" w:hAnsi="宋体"/>
          <w:strike/>
          <w:dstrike w:val="0"/>
          <w:sz w:val="24"/>
        </w:rPr>
      </w:pPr>
      <w:r>
        <w:rPr>
          <w:rFonts w:hint="eastAsia" w:ascii="宋体" w:hAnsi="宋体"/>
          <w:strike/>
          <w:dstrike w:val="0"/>
          <w:sz w:val="24"/>
        </w:rPr>
        <w:t xml:space="preserve">   (f)</w:t>
      </w:r>
      <w:r>
        <w:rPr>
          <w:rFonts w:hint="eastAsia" w:hAnsi="宋体"/>
          <w:strike/>
          <w:dstrike w:val="0"/>
          <w:sz w:val="24"/>
        </w:rPr>
        <w:t xml:space="preserve"> 投标人</w:t>
      </w:r>
      <w:r>
        <w:rPr>
          <w:rFonts w:hint="eastAsia" w:ascii="宋体" w:hAnsi="宋体"/>
          <w:strike/>
          <w:dstrike w:val="0"/>
          <w:sz w:val="24"/>
        </w:rPr>
        <w:t>资质证书；</w:t>
      </w:r>
    </w:p>
    <w:p>
      <w:pPr>
        <w:spacing w:line="360" w:lineRule="auto"/>
        <w:ind w:left="789" w:leftChars="67" w:hanging="648" w:hangingChars="270"/>
        <w:rPr>
          <w:rFonts w:ascii="宋体" w:hAnsi="宋体"/>
          <w:strike/>
          <w:dstrike w:val="0"/>
          <w:sz w:val="24"/>
        </w:rPr>
      </w:pPr>
      <w:r>
        <w:rPr>
          <w:rFonts w:hint="eastAsia" w:hAnsi="宋体"/>
          <w:strike/>
          <w:dstrike w:val="0"/>
          <w:sz w:val="24"/>
        </w:rPr>
        <w:t xml:space="preserve">  (g) 申请人已在广州市住房和城乡建设局建立诚信档案</w:t>
      </w:r>
      <w:r>
        <w:rPr>
          <w:rFonts w:hint="eastAsia" w:ascii="宋体" w:hAnsi="宋体"/>
          <w:strike/>
          <w:dstrike w:val="0"/>
          <w:sz w:val="24"/>
        </w:rPr>
        <w:t>；</w:t>
      </w:r>
    </w:p>
    <w:p>
      <w:pPr>
        <w:spacing w:line="360" w:lineRule="auto"/>
        <w:ind w:left="759" w:leftChars="167" w:hanging="408" w:hangingChars="170"/>
        <w:rPr>
          <w:rFonts w:ascii="宋体" w:hAnsi="宋体"/>
          <w:strike/>
          <w:dstrike w:val="0"/>
          <w:sz w:val="24"/>
        </w:rPr>
      </w:pPr>
      <w:r>
        <w:rPr>
          <w:rFonts w:hint="eastAsia" w:hAnsi="宋体"/>
          <w:strike/>
          <w:dstrike w:val="0"/>
          <w:sz w:val="24"/>
        </w:rPr>
        <w:t>(h) 投标申请表（附录1）；</w:t>
      </w:r>
    </w:p>
    <w:p>
      <w:pPr>
        <w:spacing w:line="360" w:lineRule="auto"/>
        <w:rPr>
          <w:rFonts w:ascii="宋体" w:hAnsi="宋体"/>
          <w:strike/>
          <w:dstrike w:val="0"/>
          <w:sz w:val="24"/>
        </w:rPr>
      </w:pPr>
      <w:r>
        <w:rPr>
          <w:rFonts w:hint="eastAsia" w:hAnsi="宋体"/>
          <w:strike/>
          <w:dstrike w:val="0"/>
          <w:sz w:val="24"/>
        </w:rPr>
        <w:t xml:space="preserve">   (i) 拟派</w:t>
      </w:r>
      <w:r>
        <w:rPr>
          <w:rFonts w:hint="eastAsia" w:ascii="宋体" w:hAnsi="宋体"/>
          <w:strike/>
          <w:dstrike w:val="0"/>
          <w:sz w:val="24"/>
        </w:rPr>
        <w:t>项目负责人注册执业资格证书或职称证书；</w:t>
      </w:r>
    </w:p>
    <w:p>
      <w:pPr>
        <w:spacing w:line="360" w:lineRule="auto"/>
        <w:rPr>
          <w:rFonts w:ascii="宋体" w:hAnsi="宋体"/>
          <w:strike/>
          <w:dstrike w:val="0"/>
          <w:sz w:val="24"/>
        </w:rPr>
      </w:pPr>
      <w:r>
        <w:rPr>
          <w:rFonts w:hint="eastAsia" w:ascii="宋体" w:hAnsi="宋体"/>
          <w:strike/>
          <w:dstrike w:val="0"/>
          <w:sz w:val="24"/>
        </w:rPr>
        <w:t xml:space="preserve">   </w:t>
      </w:r>
      <w:r>
        <w:rPr>
          <w:rFonts w:hint="eastAsia" w:hAnsi="宋体"/>
          <w:strike/>
          <w:dstrike w:val="0"/>
          <w:sz w:val="24"/>
        </w:rPr>
        <w:t>(j) 拟派各专业负责人注册</w:t>
      </w:r>
      <w:r>
        <w:rPr>
          <w:rFonts w:hint="eastAsia" w:ascii="宋体" w:hAnsi="宋体"/>
          <w:strike/>
          <w:dstrike w:val="0"/>
          <w:sz w:val="24"/>
        </w:rPr>
        <w:t>执业资格证书或职称证书及工作简历；</w:t>
      </w:r>
    </w:p>
    <w:p>
      <w:pPr>
        <w:spacing w:line="360" w:lineRule="auto"/>
        <w:rPr>
          <w:rFonts w:ascii="宋体" w:hAnsi="宋体"/>
          <w:strike/>
          <w:dstrike w:val="0"/>
          <w:sz w:val="24"/>
        </w:rPr>
      </w:pPr>
      <w:r>
        <w:rPr>
          <w:rFonts w:hint="eastAsia" w:hAnsi="宋体"/>
          <w:strike/>
          <w:dstrike w:val="0"/>
          <w:sz w:val="24"/>
        </w:rPr>
        <w:t xml:space="preserve">   (k)</w:t>
      </w:r>
      <w:r>
        <w:rPr>
          <w:rFonts w:hint="eastAsia" w:ascii="宋体" w:hAnsi="宋体"/>
          <w:strike/>
          <w:dstrike w:val="0"/>
          <w:sz w:val="24"/>
        </w:rPr>
        <w:t xml:space="preserve"> 投标人认为有必要提供的其他资料。</w:t>
      </w:r>
    </w:p>
    <w:p>
      <w:pPr>
        <w:spacing w:line="360" w:lineRule="auto"/>
        <w:ind w:left="611" w:leftChars="15" w:hanging="580" w:hangingChars="242"/>
        <w:rPr>
          <w:rFonts w:ascii="宋体" w:hAnsi="宋体"/>
          <w:strike/>
          <w:dstrike w:val="0"/>
          <w:sz w:val="24"/>
        </w:rPr>
      </w:pPr>
      <w:r>
        <w:rPr>
          <w:rFonts w:hint="eastAsia" w:ascii="宋体" w:hAnsi="宋体"/>
          <w:strike/>
          <w:dstrike w:val="0"/>
          <w:sz w:val="24"/>
        </w:rPr>
        <w:t>注：资格审查文件中的(f)、(g)取自广州市住房和城乡建设局企业诚信档案信息库，投标人档案信息库中记录的该部分上传件将被视为投标人递交投标文件的一部分，不需重复提交。评标委员会对该部分资料的审查将以投标截止时间在广州市住房和城乡建设局企业诚信档案信息库内上传件为依据。若招标人延长投标截止时间的，以上资料的评审时点也相应延长。投标人应及时维护其在广州市住房和城乡建设局企业诚信档案信息库登记的信息及上传件，确保各项信息及上传件在有效期内。</w:t>
      </w:r>
    </w:p>
    <w:p>
      <w:pPr>
        <w:spacing w:line="360" w:lineRule="auto"/>
        <w:ind w:left="360" w:hanging="360" w:hangingChars="150"/>
        <w:rPr>
          <w:rFonts w:ascii="宋体" w:hAnsi="宋体"/>
          <w:strike/>
          <w:dstrike w:val="0"/>
          <w:sz w:val="24"/>
        </w:rPr>
      </w:pPr>
    </w:p>
    <w:p>
      <w:pPr>
        <w:spacing w:line="360" w:lineRule="auto"/>
        <w:ind w:left="361" w:hanging="361" w:hangingChars="150"/>
        <w:rPr>
          <w:rFonts w:ascii="宋体" w:hAnsi="宋体"/>
          <w:b/>
          <w:bCs/>
          <w:strike/>
          <w:dstrike w:val="0"/>
          <w:sz w:val="24"/>
        </w:rPr>
      </w:pPr>
      <w:r>
        <w:rPr>
          <w:rFonts w:hint="eastAsia" w:ascii="宋体" w:hAnsi="宋体"/>
          <w:b/>
          <w:bCs/>
          <w:strike/>
          <w:dstrike w:val="0"/>
          <w:sz w:val="24"/>
        </w:rPr>
        <w:t>7</w:t>
      </w:r>
      <w:r>
        <w:rPr>
          <w:rFonts w:ascii="宋体" w:hAnsi="宋体"/>
          <w:b/>
          <w:bCs/>
          <w:strike/>
          <w:dstrike w:val="0"/>
          <w:sz w:val="24"/>
        </w:rPr>
        <w:t xml:space="preserve">    </w:t>
      </w:r>
      <w:r>
        <w:rPr>
          <w:rFonts w:hint="eastAsia" w:ascii="宋体" w:hAnsi="宋体"/>
          <w:b/>
          <w:bCs/>
          <w:strike/>
          <w:dstrike w:val="0"/>
          <w:sz w:val="24"/>
        </w:rPr>
        <w:t>定标资料（如有）</w:t>
      </w:r>
    </w:p>
    <w:p>
      <w:pPr>
        <w:spacing w:line="360" w:lineRule="auto"/>
        <w:ind w:left="361" w:hanging="361" w:hangingChars="150"/>
        <w:rPr>
          <w:rFonts w:ascii="宋体" w:hAnsi="宋体"/>
          <w:b/>
          <w:bCs/>
          <w:strike/>
          <w:dstrike w:val="0"/>
          <w:sz w:val="24"/>
        </w:rPr>
      </w:pPr>
    </w:p>
    <w:p>
      <w:pPr>
        <w:spacing w:line="360" w:lineRule="auto"/>
        <w:ind w:left="360" w:hanging="360" w:hangingChars="150"/>
        <w:rPr>
          <w:rFonts w:hint="eastAsia" w:ascii="宋体" w:hAnsi="宋体"/>
          <w:strike/>
          <w:dstrike w:val="0"/>
          <w:sz w:val="24"/>
        </w:rPr>
      </w:pPr>
      <w:r>
        <w:rPr>
          <w:rFonts w:hint="eastAsia" w:ascii="宋体" w:hAnsi="宋体"/>
          <w:strike/>
          <w:dstrike w:val="0"/>
          <w:sz w:val="24"/>
        </w:rPr>
        <w:t>（由招标人自定）</w:t>
      </w: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18"/>
        <w:rPr>
          <w:rFonts w:hint="eastAsia" w:ascii="宋体" w:hAnsi="宋体"/>
          <w:dstrike/>
          <w:sz w:val="24"/>
        </w:rPr>
      </w:pPr>
    </w:p>
    <w:p>
      <w:pPr>
        <w:pStyle w:val="3"/>
        <w:spacing w:before="0" w:after="0" w:line="360" w:lineRule="auto"/>
        <w:rPr>
          <w:rFonts w:ascii="宋体" w:hAnsi="宋体"/>
          <w:sz w:val="21"/>
          <w:szCs w:val="21"/>
        </w:rPr>
      </w:pPr>
      <w:bookmarkStart w:id="29" w:name="_Toc1180"/>
      <w:r>
        <w:rPr>
          <w:rFonts w:hint="eastAsia" w:ascii="宋体" w:hAnsi="宋体"/>
          <w:sz w:val="21"/>
          <w:szCs w:val="21"/>
        </w:rPr>
        <w:t>附件3勘察费报价表</w:t>
      </w:r>
      <w:bookmarkEnd w:id="28"/>
      <w:bookmarkEnd w:id="29"/>
    </w:p>
    <w:p>
      <w:pPr>
        <w:pStyle w:val="2"/>
        <w:ind w:firstLine="420"/>
      </w:pPr>
    </w:p>
    <w:tbl>
      <w:tblPr>
        <w:tblStyle w:val="38"/>
        <w:tblW w:w="5000" w:type="pct"/>
        <w:tblInd w:w="0" w:type="dxa"/>
        <w:tblLayout w:type="autofit"/>
        <w:tblCellMar>
          <w:top w:w="0" w:type="dxa"/>
          <w:left w:w="108" w:type="dxa"/>
          <w:bottom w:w="0" w:type="dxa"/>
          <w:right w:w="108" w:type="dxa"/>
        </w:tblCellMar>
      </w:tblPr>
      <w:tblGrid>
        <w:gridCol w:w="417"/>
        <w:gridCol w:w="1572"/>
        <w:gridCol w:w="949"/>
        <w:gridCol w:w="1372"/>
        <w:gridCol w:w="1364"/>
        <w:gridCol w:w="1370"/>
        <w:gridCol w:w="1484"/>
      </w:tblGrid>
      <w:tr>
        <w:tblPrEx>
          <w:tblCellMar>
            <w:top w:w="0" w:type="dxa"/>
            <w:left w:w="108" w:type="dxa"/>
            <w:bottom w:w="0" w:type="dxa"/>
            <w:right w:w="108" w:type="dxa"/>
          </w:tblCellMar>
        </w:tblPrEx>
        <w:trPr>
          <w:trHeight w:val="1020" w:hRule="atLeast"/>
        </w:trPr>
        <w:tc>
          <w:tcPr>
            <w:tcW w:w="5000" w:type="pct"/>
            <w:gridSpan w:val="7"/>
            <w:tcBorders>
              <w:top w:val="nil"/>
              <w:left w:val="nil"/>
              <w:bottom w:val="nil"/>
              <w:right w:val="nil"/>
            </w:tcBorders>
            <w:shd w:val="clear" w:color="auto" w:fill="auto"/>
            <w:noWrap/>
            <w:vAlign w:val="center"/>
          </w:tcPr>
          <w:p>
            <w:pPr>
              <w:widowControl/>
              <w:jc w:val="center"/>
              <w:rPr>
                <w:rFonts w:ascii="宋体" w:hAnsi="宋体" w:cs="宋体"/>
                <w:b/>
                <w:bCs/>
                <w:kern w:val="0"/>
                <w:sz w:val="36"/>
                <w:szCs w:val="36"/>
                <w:highlight w:val="none"/>
              </w:rPr>
            </w:pPr>
            <w:bookmarkStart w:id="30" w:name="RANGE!A1:G10"/>
            <w:r>
              <w:rPr>
                <w:rFonts w:hint="eastAsia" w:ascii="宋体" w:hAnsi="宋体" w:cs="宋体"/>
                <w:b/>
                <w:bCs/>
                <w:kern w:val="0"/>
                <w:sz w:val="36"/>
                <w:szCs w:val="36"/>
                <w:highlight w:val="none"/>
              </w:rPr>
              <w:t>勘察费报价表</w:t>
            </w:r>
            <w:bookmarkEnd w:id="30"/>
          </w:p>
        </w:tc>
      </w:tr>
      <w:tr>
        <w:tblPrEx>
          <w:tblCellMar>
            <w:top w:w="0" w:type="dxa"/>
            <w:left w:w="108" w:type="dxa"/>
            <w:bottom w:w="0" w:type="dxa"/>
            <w:right w:w="108" w:type="dxa"/>
          </w:tblCellMar>
        </w:tblPrEx>
        <w:trPr>
          <w:trHeight w:val="720" w:hRule="atLeast"/>
        </w:trPr>
        <w:tc>
          <w:tcPr>
            <w:tcW w:w="2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序号</w:t>
            </w:r>
          </w:p>
        </w:tc>
        <w:tc>
          <w:tcPr>
            <w:tcW w:w="93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项目名称</w:t>
            </w:r>
          </w:p>
        </w:tc>
        <w:tc>
          <w:tcPr>
            <w:tcW w:w="53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单位</w:t>
            </w:r>
          </w:p>
        </w:tc>
        <w:tc>
          <w:tcPr>
            <w:tcW w:w="80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数量</w:t>
            </w:r>
          </w:p>
        </w:tc>
        <w:tc>
          <w:tcPr>
            <w:tcW w:w="80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综合单价</w:t>
            </w:r>
          </w:p>
        </w:tc>
        <w:tc>
          <w:tcPr>
            <w:tcW w:w="80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综合合价</w:t>
            </w:r>
          </w:p>
        </w:tc>
        <w:tc>
          <w:tcPr>
            <w:tcW w:w="87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备注</w:t>
            </w:r>
          </w:p>
        </w:tc>
      </w:tr>
      <w:tr>
        <w:tblPrEx>
          <w:tblCellMar>
            <w:top w:w="0" w:type="dxa"/>
            <w:left w:w="108" w:type="dxa"/>
            <w:bottom w:w="0" w:type="dxa"/>
            <w:right w:w="108" w:type="dxa"/>
          </w:tblCellMar>
        </w:tblPrEx>
        <w:trPr>
          <w:trHeight w:val="720" w:hRule="atLeast"/>
        </w:trPr>
        <w:tc>
          <w:tcPr>
            <w:tcW w:w="2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w:t>
            </w:r>
          </w:p>
        </w:tc>
        <w:tc>
          <w:tcPr>
            <w:tcW w:w="93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szCs w:val="22"/>
                <w:highlight w:val="none"/>
                <w:lang w:val="en-US" w:eastAsia="zh-CN"/>
              </w:rPr>
            </w:pP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m</w:t>
            </w:r>
          </w:p>
        </w:tc>
        <w:tc>
          <w:tcPr>
            <w:tcW w:w="8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32697</w:t>
            </w:r>
          </w:p>
        </w:tc>
        <w:tc>
          <w:tcPr>
            <w:tcW w:w="80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bCs/>
                <w:kern w:val="0"/>
                <w:sz w:val="22"/>
                <w:szCs w:val="22"/>
                <w:highlight w:val="none"/>
              </w:rPr>
            </w:pPr>
            <w:r>
              <w:rPr>
                <w:rFonts w:hint="eastAsia" w:ascii="宋体" w:hAnsi="宋体" w:cs="宋体"/>
                <w:b/>
                <w:bCs/>
                <w:kern w:val="0"/>
                <w:sz w:val="22"/>
                <w:szCs w:val="22"/>
                <w:highlight w:val="none"/>
              </w:rPr>
              <w:t>　</w:t>
            </w:r>
          </w:p>
        </w:tc>
        <w:tc>
          <w:tcPr>
            <w:tcW w:w="80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bCs/>
                <w:kern w:val="0"/>
                <w:sz w:val="22"/>
                <w:szCs w:val="22"/>
                <w:highlight w:val="none"/>
              </w:rPr>
            </w:pP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　</w:t>
            </w:r>
          </w:p>
        </w:tc>
      </w:tr>
      <w:tr>
        <w:tblPrEx>
          <w:tblCellMar>
            <w:top w:w="0" w:type="dxa"/>
            <w:left w:w="108" w:type="dxa"/>
            <w:bottom w:w="0" w:type="dxa"/>
            <w:right w:w="108" w:type="dxa"/>
          </w:tblCellMar>
        </w:tblPrEx>
        <w:trPr>
          <w:trHeight w:val="720" w:hRule="atLeast"/>
        </w:trPr>
        <w:tc>
          <w:tcPr>
            <w:tcW w:w="117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2950"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b/>
                <w:bCs/>
                <w:kern w:val="0"/>
                <w:sz w:val="22"/>
                <w:szCs w:val="22"/>
                <w:highlight w:val="none"/>
              </w:rPr>
            </w:pPr>
            <w:r>
              <w:rPr>
                <w:rFonts w:hint="eastAsia" w:ascii="宋体" w:hAnsi="宋体" w:cs="宋体"/>
                <w:b/>
                <w:bCs/>
                <w:kern w:val="0"/>
                <w:sz w:val="22"/>
                <w:szCs w:val="22"/>
                <w:highlight w:val="none"/>
              </w:rPr>
              <w:t xml:space="preserve">　 </w:t>
            </w:r>
          </w:p>
        </w:tc>
        <w:tc>
          <w:tcPr>
            <w:tcW w:w="87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　</w:t>
            </w:r>
          </w:p>
        </w:tc>
      </w:tr>
      <w:tr>
        <w:tblPrEx>
          <w:tblCellMar>
            <w:top w:w="0" w:type="dxa"/>
            <w:left w:w="108" w:type="dxa"/>
            <w:bottom w:w="0" w:type="dxa"/>
            <w:right w:w="108" w:type="dxa"/>
          </w:tblCellMar>
        </w:tblPrEx>
        <w:trPr>
          <w:trHeight w:val="720" w:hRule="atLeast"/>
        </w:trPr>
        <w:tc>
          <w:tcPr>
            <w:tcW w:w="236" w:type="pct"/>
            <w:tcBorders>
              <w:top w:val="single" w:color="auto" w:sz="4" w:space="0"/>
            </w:tcBorders>
            <w:shd w:val="clear" w:color="auto" w:fill="auto"/>
            <w:noWrap/>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说明</w:t>
            </w:r>
          </w:p>
        </w:tc>
        <w:tc>
          <w:tcPr>
            <w:tcW w:w="4763" w:type="pct"/>
            <w:gridSpan w:val="6"/>
            <w:tcBorders>
              <w:top w:val="single" w:color="auto" w:sz="4" w:space="0"/>
            </w:tcBorders>
            <w:shd w:val="clear" w:color="auto" w:fill="auto"/>
            <w:noWrap/>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1、综合单价包含钻孔完成后回灌（含材料）费用以及二次进场费用。</w:t>
            </w:r>
          </w:p>
        </w:tc>
      </w:tr>
      <w:tr>
        <w:tblPrEx>
          <w:tblCellMar>
            <w:top w:w="0" w:type="dxa"/>
            <w:left w:w="108" w:type="dxa"/>
            <w:bottom w:w="0" w:type="dxa"/>
            <w:right w:w="108" w:type="dxa"/>
          </w:tblCellMar>
        </w:tblPrEx>
        <w:trPr>
          <w:trHeight w:val="720" w:hRule="atLeast"/>
        </w:trPr>
        <w:tc>
          <w:tcPr>
            <w:tcW w:w="236" w:type="pct"/>
            <w:shd w:val="clear" w:color="auto" w:fill="auto"/>
            <w:noWrap/>
            <w:vAlign w:val="center"/>
          </w:tcPr>
          <w:p>
            <w:pPr>
              <w:widowControl/>
              <w:jc w:val="center"/>
              <w:rPr>
                <w:rFonts w:ascii="宋体" w:hAnsi="宋体" w:cs="宋体"/>
                <w:kern w:val="0"/>
                <w:sz w:val="22"/>
                <w:szCs w:val="22"/>
                <w:highlight w:val="none"/>
              </w:rPr>
            </w:pPr>
          </w:p>
        </w:tc>
        <w:tc>
          <w:tcPr>
            <w:tcW w:w="4763" w:type="pct"/>
            <w:gridSpan w:val="6"/>
            <w:shd w:val="clear" w:color="auto" w:fill="auto"/>
            <w:noWrap/>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lang w:val="en-US" w:eastAsia="zh-CN"/>
              </w:rPr>
              <w:t>2</w:t>
            </w:r>
            <w:r>
              <w:rPr>
                <w:rFonts w:hint="eastAsia" w:ascii="宋体" w:hAnsi="宋体" w:cs="宋体"/>
                <w:kern w:val="0"/>
                <w:sz w:val="22"/>
                <w:szCs w:val="22"/>
                <w:highlight w:val="none"/>
              </w:rPr>
              <w:t>、综合单价按原地面标高开始钻进考虑。</w:t>
            </w:r>
          </w:p>
        </w:tc>
      </w:tr>
      <w:tr>
        <w:tblPrEx>
          <w:tblCellMar>
            <w:top w:w="0" w:type="dxa"/>
            <w:left w:w="108" w:type="dxa"/>
            <w:bottom w:w="0" w:type="dxa"/>
            <w:right w:w="108" w:type="dxa"/>
          </w:tblCellMar>
        </w:tblPrEx>
        <w:trPr>
          <w:trHeight w:val="735" w:hRule="atLeast"/>
        </w:trPr>
        <w:tc>
          <w:tcPr>
            <w:tcW w:w="236" w:type="pct"/>
            <w:shd w:val="clear" w:color="auto" w:fill="auto"/>
            <w:noWrap/>
            <w:vAlign w:val="center"/>
          </w:tcPr>
          <w:p>
            <w:pPr>
              <w:widowControl/>
              <w:jc w:val="center"/>
              <w:rPr>
                <w:rFonts w:ascii="宋体" w:hAnsi="宋体" w:cs="宋体"/>
                <w:kern w:val="0"/>
                <w:sz w:val="22"/>
                <w:szCs w:val="22"/>
                <w:highlight w:val="none"/>
              </w:rPr>
            </w:pPr>
          </w:p>
        </w:tc>
        <w:tc>
          <w:tcPr>
            <w:tcW w:w="4763" w:type="pct"/>
            <w:gridSpan w:val="6"/>
            <w:shd w:val="clear" w:color="auto" w:fill="auto"/>
            <w:noWrap/>
            <w:vAlign w:val="center"/>
          </w:tcPr>
          <w:p>
            <w:pPr>
              <w:widowControl/>
              <w:jc w:val="left"/>
              <w:rPr>
                <w:highlight w:val="none"/>
              </w:rPr>
            </w:pPr>
            <w:r>
              <w:rPr>
                <w:rFonts w:hint="eastAsia" w:ascii="宋体" w:hAnsi="宋体" w:cs="宋体"/>
                <w:kern w:val="0"/>
                <w:sz w:val="22"/>
                <w:szCs w:val="22"/>
                <w:highlight w:val="none"/>
                <w:lang w:val="en-US" w:eastAsia="zh-CN"/>
              </w:rPr>
              <w:t>3</w:t>
            </w:r>
            <w:r>
              <w:rPr>
                <w:rFonts w:hint="eastAsia" w:ascii="宋体" w:hAnsi="宋体" w:cs="宋体"/>
                <w:kern w:val="0"/>
                <w:sz w:val="22"/>
                <w:szCs w:val="22"/>
                <w:highlight w:val="none"/>
              </w:rPr>
              <w:t>、综合单价包含了因溶洞而增加的一切费用。</w:t>
            </w:r>
          </w:p>
        </w:tc>
      </w:tr>
      <w:tr>
        <w:tblPrEx>
          <w:tblCellMar>
            <w:top w:w="0" w:type="dxa"/>
            <w:left w:w="108" w:type="dxa"/>
            <w:bottom w:w="0" w:type="dxa"/>
            <w:right w:w="108" w:type="dxa"/>
          </w:tblCellMar>
        </w:tblPrEx>
        <w:trPr>
          <w:trHeight w:val="735" w:hRule="atLeast"/>
        </w:trPr>
        <w:tc>
          <w:tcPr>
            <w:tcW w:w="236" w:type="pct"/>
            <w:shd w:val="clear" w:color="auto" w:fill="auto"/>
            <w:noWrap/>
            <w:vAlign w:val="center"/>
          </w:tcPr>
          <w:p>
            <w:pPr>
              <w:widowControl/>
              <w:jc w:val="center"/>
              <w:rPr>
                <w:rFonts w:ascii="宋体" w:hAnsi="宋体" w:cs="宋体"/>
                <w:kern w:val="0"/>
                <w:sz w:val="22"/>
                <w:szCs w:val="22"/>
                <w:highlight w:val="none"/>
              </w:rPr>
            </w:pPr>
          </w:p>
        </w:tc>
        <w:tc>
          <w:tcPr>
            <w:tcW w:w="4763" w:type="pct"/>
            <w:gridSpan w:val="6"/>
            <w:shd w:val="clear" w:color="auto" w:fill="auto"/>
            <w:noWrap/>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lang w:val="en-US" w:eastAsia="zh-CN"/>
              </w:rPr>
              <w:t>4</w:t>
            </w:r>
            <w:r>
              <w:rPr>
                <w:rFonts w:hint="eastAsia" w:ascii="宋体" w:hAnsi="宋体" w:cs="宋体"/>
                <w:kern w:val="0"/>
                <w:sz w:val="22"/>
                <w:szCs w:val="22"/>
                <w:highlight w:val="none"/>
              </w:rPr>
              <w:t>、经算术复核的投标人报价与其投标报价不一致时，按就低不就高原则确定其最终报价。如修正后的投标报价超出相应的最高投标限价，则由评标委员否决其投标。</w:t>
            </w:r>
          </w:p>
        </w:tc>
      </w:tr>
      <w:tr>
        <w:tblPrEx>
          <w:tblCellMar>
            <w:top w:w="0" w:type="dxa"/>
            <w:left w:w="108" w:type="dxa"/>
            <w:bottom w:w="0" w:type="dxa"/>
            <w:right w:w="108" w:type="dxa"/>
          </w:tblCellMar>
        </w:tblPrEx>
        <w:trPr>
          <w:trHeight w:val="735" w:hRule="atLeast"/>
        </w:trPr>
        <w:tc>
          <w:tcPr>
            <w:tcW w:w="236" w:type="pct"/>
            <w:shd w:val="clear" w:color="auto" w:fill="auto"/>
            <w:noWrap/>
            <w:vAlign w:val="center"/>
          </w:tcPr>
          <w:p>
            <w:pPr>
              <w:widowControl/>
              <w:jc w:val="center"/>
              <w:rPr>
                <w:rFonts w:ascii="宋体" w:hAnsi="宋体" w:cs="宋体"/>
                <w:kern w:val="0"/>
                <w:sz w:val="22"/>
                <w:szCs w:val="22"/>
                <w:highlight w:val="none"/>
              </w:rPr>
            </w:pPr>
          </w:p>
        </w:tc>
        <w:tc>
          <w:tcPr>
            <w:tcW w:w="4763" w:type="pct"/>
            <w:gridSpan w:val="6"/>
            <w:shd w:val="clear" w:color="auto" w:fill="auto"/>
            <w:noWrap/>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lang w:val="en-US" w:eastAsia="zh-CN"/>
              </w:rPr>
              <w:t>5</w:t>
            </w:r>
            <w:r>
              <w:rPr>
                <w:rFonts w:hint="eastAsia" w:ascii="宋体" w:hAnsi="宋体" w:cs="宋体"/>
                <w:kern w:val="0"/>
                <w:sz w:val="22"/>
                <w:szCs w:val="22"/>
                <w:highlight w:val="none"/>
              </w:rPr>
              <w:t>、按上述修正错误的原则及方法调整或修正投标文件的投标报价，调整后的投标报价对投标人起约束作用。如果投标人不接受修正后的报价，则取消其中标资格。</w:t>
            </w:r>
          </w:p>
        </w:tc>
      </w:tr>
    </w:tbl>
    <w:p>
      <w:pPr>
        <w:pStyle w:val="3"/>
        <w:rPr>
          <w:rFonts w:hint="eastAsia" w:ascii="宋体" w:hAnsi="宋体"/>
          <w:strike/>
          <w:dstrike w:val="0"/>
          <w:sz w:val="24"/>
        </w:rPr>
      </w:pPr>
      <w:r>
        <w:rPr>
          <w:rFonts w:ascii="宋体" w:hAnsi="宋体"/>
        </w:rPr>
        <w:br w:type="page"/>
      </w:r>
      <w:bookmarkStart w:id="31" w:name="_Toc28228"/>
      <w:bookmarkStart w:id="32" w:name="_Toc32827939"/>
      <w:bookmarkStart w:id="33" w:name="_Toc32827940"/>
      <w:bookmarkStart w:id="34" w:name="_Toc72409727"/>
      <w:bookmarkStart w:id="35" w:name="_Toc32300"/>
      <w:r>
        <w:rPr>
          <w:rFonts w:hint="eastAsia" w:ascii="宋体" w:hAnsi="宋体"/>
          <w:strike/>
          <w:dstrike w:val="0"/>
          <w:sz w:val="21"/>
          <w:szCs w:val="21"/>
        </w:rPr>
        <w:t>附录4建筑工程设计方案测试记录表</w:t>
      </w:r>
      <w:bookmarkEnd w:id="31"/>
      <w:bookmarkEnd w:id="32"/>
    </w:p>
    <w:p>
      <w:pPr>
        <w:jc w:val="center"/>
        <w:rPr>
          <w:rFonts w:hint="eastAsia" w:ascii="宋体" w:hAnsi="宋体"/>
          <w:b/>
          <w:bCs/>
          <w:strike/>
          <w:dstrike w:val="0"/>
          <w:sz w:val="32"/>
        </w:rPr>
      </w:pPr>
      <w:r>
        <w:rPr>
          <w:rFonts w:hint="eastAsia" w:ascii="宋体" w:hAnsi="宋体"/>
          <w:b/>
          <w:bCs/>
          <w:strike/>
          <w:dstrike w:val="0"/>
          <w:sz w:val="32"/>
        </w:rPr>
        <w:t>建筑工程设计方案测试记录表</w:t>
      </w:r>
    </w:p>
    <w:p>
      <w:pPr>
        <w:jc w:val="center"/>
        <w:rPr>
          <w:rFonts w:hint="eastAsia" w:ascii="宋体" w:hAnsi="宋体"/>
          <w:strike/>
          <w:dstrike w:val="0"/>
        </w:rPr>
      </w:pPr>
      <w:r>
        <w:rPr>
          <w:rFonts w:hint="eastAsia" w:ascii="宋体" w:hAnsi="宋体"/>
          <w:strike/>
          <w:dstrike w:val="0"/>
        </w:rPr>
        <w:t>（本表宜装订放在设计投标文本文件的设计说明书前面）</w:t>
      </w:r>
    </w:p>
    <w:p>
      <w:pPr>
        <w:jc w:val="left"/>
        <w:rPr>
          <w:rFonts w:hint="eastAsia" w:ascii="宋体" w:hAnsi="宋体"/>
          <w:strike/>
          <w:dstrike w:val="0"/>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r>
              <w:rPr>
                <w:rFonts w:hint="eastAsia" w:ascii="宋体" w:hAnsi="宋体"/>
                <w:strike/>
                <w:dstrike w:val="0"/>
              </w:rPr>
              <w:t>序号</w:t>
            </w:r>
          </w:p>
        </w:tc>
        <w:tc>
          <w:tcPr>
            <w:tcW w:w="3960" w:type="dxa"/>
            <w:noWrap w:val="0"/>
            <w:vAlign w:val="top"/>
          </w:tcPr>
          <w:p>
            <w:pPr>
              <w:jc w:val="center"/>
              <w:rPr>
                <w:rFonts w:hint="eastAsia" w:ascii="宋体" w:hAnsi="宋体"/>
                <w:strike/>
                <w:dstrike w:val="0"/>
              </w:rPr>
            </w:pPr>
            <w:r>
              <w:rPr>
                <w:rFonts w:hint="eastAsia" w:ascii="宋体" w:hAnsi="宋体"/>
                <w:strike/>
                <w:dstrike w:val="0"/>
              </w:rPr>
              <w:t>指标</w:t>
            </w:r>
          </w:p>
        </w:tc>
        <w:tc>
          <w:tcPr>
            <w:tcW w:w="1080" w:type="dxa"/>
            <w:noWrap w:val="0"/>
            <w:vAlign w:val="top"/>
          </w:tcPr>
          <w:p>
            <w:pPr>
              <w:jc w:val="center"/>
              <w:rPr>
                <w:rFonts w:hint="eastAsia" w:ascii="宋体" w:hAnsi="宋体"/>
                <w:strike/>
                <w:dstrike w:val="0"/>
              </w:rPr>
            </w:pPr>
            <w:r>
              <w:rPr>
                <w:rFonts w:hint="eastAsia" w:ascii="宋体" w:hAnsi="宋体"/>
                <w:strike/>
                <w:dstrike w:val="0"/>
              </w:rPr>
              <w:t>单位</w:t>
            </w:r>
          </w:p>
        </w:tc>
        <w:tc>
          <w:tcPr>
            <w:tcW w:w="3492" w:type="dxa"/>
            <w:noWrap w:val="0"/>
            <w:vAlign w:val="top"/>
          </w:tcPr>
          <w:p>
            <w:pPr>
              <w:jc w:val="center"/>
              <w:rPr>
                <w:rFonts w:hint="eastAsia" w:ascii="宋体" w:hAnsi="宋体"/>
                <w:strike/>
                <w:dstrike w:val="0"/>
              </w:rPr>
            </w:pPr>
            <w:r>
              <w:rPr>
                <w:rFonts w:hint="eastAsia" w:ascii="宋体" w:hAnsi="宋体"/>
                <w:strike/>
                <w:dstrike w:val="0"/>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基地面积</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建筑容积率</w:t>
            </w:r>
          </w:p>
        </w:tc>
        <w:tc>
          <w:tcPr>
            <w:tcW w:w="1080" w:type="dxa"/>
            <w:noWrap w:val="0"/>
            <w:vAlign w:val="top"/>
          </w:tcPr>
          <w:p>
            <w:pPr>
              <w:jc w:val="center"/>
              <w:rPr>
                <w:rFonts w:hint="eastAsia" w:ascii="宋体" w:hAnsi="宋体"/>
                <w:strike/>
                <w:dstrike w:val="0"/>
              </w:rPr>
            </w:pP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建筑密度</w:t>
            </w:r>
          </w:p>
        </w:tc>
        <w:tc>
          <w:tcPr>
            <w:tcW w:w="1080" w:type="dxa"/>
            <w:noWrap w:val="0"/>
            <w:vAlign w:val="top"/>
          </w:tcPr>
          <w:p>
            <w:pPr>
              <w:jc w:val="center"/>
              <w:rPr>
                <w:rFonts w:hint="eastAsia" w:ascii="宋体" w:hAnsi="宋体"/>
                <w:strike/>
                <w:dstrike w:val="0"/>
              </w:rPr>
            </w:pPr>
            <w:r>
              <w:rPr>
                <w:rFonts w:hint="eastAsia" w:ascii="宋体" w:hAnsi="宋体"/>
                <w:strike/>
                <w:dstrike w:val="0"/>
              </w:rPr>
              <w:t>%</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绿地率</w:t>
            </w:r>
          </w:p>
        </w:tc>
        <w:tc>
          <w:tcPr>
            <w:tcW w:w="1080" w:type="dxa"/>
            <w:noWrap w:val="0"/>
            <w:vAlign w:val="top"/>
          </w:tcPr>
          <w:p>
            <w:pPr>
              <w:jc w:val="center"/>
              <w:rPr>
                <w:rFonts w:hint="eastAsia" w:ascii="宋体" w:hAnsi="宋体"/>
                <w:strike/>
                <w:dstrike w:val="0"/>
              </w:rPr>
            </w:pPr>
            <w:r>
              <w:rPr>
                <w:rFonts w:hint="eastAsia" w:ascii="宋体" w:hAnsi="宋体"/>
                <w:strike/>
                <w:dstrike w:val="0"/>
              </w:rPr>
              <w:t>%</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jc w:val="left"/>
              <w:rPr>
                <w:rFonts w:hint="eastAsia" w:ascii="宋体" w:hAnsi="宋体"/>
                <w:strike/>
                <w:dstrike w:val="0"/>
              </w:rPr>
            </w:pPr>
            <w:r>
              <w:rPr>
                <w:rFonts w:hint="eastAsia" w:ascii="宋体" w:hAnsi="宋体"/>
                <w:strike/>
                <w:dstrike w:val="0"/>
              </w:rPr>
              <w:t>总建筑面积</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left"/>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地上建筑面积</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地下建筑面积</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jc w:val="left"/>
              <w:rPr>
                <w:rFonts w:hint="eastAsia" w:ascii="宋体" w:hAnsi="宋体"/>
                <w:strike/>
                <w:dstrike w:val="0"/>
              </w:rPr>
            </w:pPr>
            <w:r>
              <w:rPr>
                <w:rFonts w:hint="eastAsia" w:ascii="宋体" w:hAnsi="宋体"/>
                <w:strike/>
                <w:dstrike w:val="0"/>
              </w:rPr>
              <w:t>室内停车位</w:t>
            </w:r>
          </w:p>
        </w:tc>
        <w:tc>
          <w:tcPr>
            <w:tcW w:w="1080" w:type="dxa"/>
            <w:noWrap w:val="0"/>
            <w:vAlign w:val="top"/>
          </w:tcPr>
          <w:p>
            <w:pPr>
              <w:jc w:val="center"/>
              <w:rPr>
                <w:rFonts w:hint="eastAsia" w:ascii="宋体" w:hAnsi="宋体"/>
                <w:strike/>
                <w:dstrike w:val="0"/>
              </w:rPr>
            </w:pPr>
            <w:r>
              <w:rPr>
                <w:rFonts w:hint="eastAsia" w:ascii="宋体" w:hAnsi="宋体"/>
                <w:strike/>
                <w:dstrike w:val="0"/>
              </w:rPr>
              <w:t>个</w:t>
            </w:r>
          </w:p>
        </w:tc>
        <w:tc>
          <w:tcPr>
            <w:tcW w:w="3492" w:type="dxa"/>
            <w:noWrap w:val="0"/>
            <w:vAlign w:val="top"/>
          </w:tcPr>
          <w:p>
            <w:pPr>
              <w:jc w:val="left"/>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jc w:val="left"/>
              <w:rPr>
                <w:rFonts w:hint="eastAsia" w:ascii="宋体" w:hAnsi="宋体"/>
                <w:strike/>
                <w:dstrike w:val="0"/>
              </w:rPr>
            </w:pPr>
            <w:r>
              <w:rPr>
                <w:rFonts w:hint="eastAsia" w:ascii="宋体" w:hAnsi="宋体"/>
                <w:strike/>
                <w:dstrike w:val="0"/>
              </w:rPr>
              <w:t>室外停车位</w:t>
            </w:r>
          </w:p>
        </w:tc>
        <w:tc>
          <w:tcPr>
            <w:tcW w:w="1080" w:type="dxa"/>
            <w:noWrap w:val="0"/>
            <w:vAlign w:val="top"/>
          </w:tcPr>
          <w:p>
            <w:pPr>
              <w:jc w:val="center"/>
              <w:rPr>
                <w:rFonts w:hint="eastAsia" w:ascii="宋体" w:hAnsi="宋体"/>
                <w:strike/>
                <w:dstrike w:val="0"/>
              </w:rPr>
            </w:pPr>
            <w:r>
              <w:rPr>
                <w:rFonts w:hint="eastAsia" w:ascii="宋体" w:hAnsi="宋体"/>
                <w:strike/>
                <w:dstrike w:val="0"/>
              </w:rPr>
              <w:t>个</w:t>
            </w:r>
          </w:p>
        </w:tc>
        <w:tc>
          <w:tcPr>
            <w:tcW w:w="3492" w:type="dxa"/>
            <w:noWrap w:val="0"/>
            <w:vAlign w:val="top"/>
          </w:tcPr>
          <w:p>
            <w:pPr>
              <w:jc w:val="left"/>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住宅总户数</w:t>
            </w:r>
          </w:p>
        </w:tc>
        <w:tc>
          <w:tcPr>
            <w:tcW w:w="1080" w:type="dxa"/>
            <w:noWrap w:val="0"/>
            <w:vAlign w:val="top"/>
          </w:tcPr>
          <w:p>
            <w:pPr>
              <w:jc w:val="center"/>
              <w:rPr>
                <w:rFonts w:hint="eastAsia" w:ascii="宋体" w:hAnsi="宋体"/>
                <w:strike/>
                <w:dstrike w:val="0"/>
              </w:rPr>
            </w:pPr>
            <w:r>
              <w:rPr>
                <w:rFonts w:hint="eastAsia" w:ascii="宋体" w:hAnsi="宋体"/>
                <w:strike/>
                <w:dstrike w:val="0"/>
              </w:rPr>
              <w:t>户</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90平方米以下户型住宅户数</w:t>
            </w:r>
          </w:p>
        </w:tc>
        <w:tc>
          <w:tcPr>
            <w:tcW w:w="1080" w:type="dxa"/>
            <w:noWrap w:val="0"/>
            <w:vAlign w:val="top"/>
          </w:tcPr>
          <w:p>
            <w:pPr>
              <w:jc w:val="center"/>
              <w:rPr>
                <w:rFonts w:hint="eastAsia" w:ascii="宋体" w:hAnsi="宋体"/>
                <w:strike/>
                <w:dstrike w:val="0"/>
              </w:rPr>
            </w:pPr>
            <w:r>
              <w:rPr>
                <w:rFonts w:hint="eastAsia" w:ascii="宋体" w:hAnsi="宋体"/>
                <w:strike/>
                <w:dstrike w:val="0"/>
              </w:rPr>
              <w:t>户</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住宅</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宾馆</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商业</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办公</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文教体卫</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工业仓储</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站场设施</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        ]用途</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        ]用途</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        ]用途</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        ]用途</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        ]用途</w:t>
            </w:r>
          </w:p>
        </w:tc>
        <w:tc>
          <w:tcPr>
            <w:tcW w:w="1080" w:type="dxa"/>
            <w:noWrap w:val="0"/>
            <w:vAlign w:val="top"/>
          </w:tcPr>
          <w:p>
            <w:pPr>
              <w:jc w:val="center"/>
              <w:rPr>
                <w:rFonts w:hint="eastAsia" w:ascii="宋体" w:hAnsi="宋体"/>
                <w:strike/>
                <w:dstrike w:val="0"/>
              </w:rPr>
            </w:pPr>
            <w:r>
              <w:rPr>
                <w:rFonts w:hint="eastAsia" w:ascii="宋体" w:hAnsi="宋体"/>
                <w:strike/>
                <w:dstrike w:val="0"/>
              </w:rPr>
              <w:t>平方米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dstrike w:val="0"/>
              </w:rPr>
            </w:pPr>
          </w:p>
        </w:tc>
        <w:tc>
          <w:tcPr>
            <w:tcW w:w="3960" w:type="dxa"/>
            <w:noWrap w:val="0"/>
            <w:vAlign w:val="top"/>
          </w:tcPr>
          <w:p>
            <w:pPr>
              <w:rPr>
                <w:rFonts w:hint="eastAsia" w:ascii="宋体" w:hAnsi="宋体"/>
                <w:strike/>
                <w:dstrike w:val="0"/>
              </w:rPr>
            </w:pPr>
            <w:r>
              <w:rPr>
                <w:rFonts w:hint="eastAsia" w:ascii="宋体" w:hAnsi="宋体"/>
                <w:strike/>
                <w:dstrike w:val="0"/>
              </w:rPr>
              <w:t>建筑总高度</w:t>
            </w:r>
          </w:p>
        </w:tc>
        <w:tc>
          <w:tcPr>
            <w:tcW w:w="1080" w:type="dxa"/>
            <w:noWrap w:val="0"/>
            <w:vAlign w:val="top"/>
          </w:tcPr>
          <w:p>
            <w:pPr>
              <w:jc w:val="center"/>
              <w:rPr>
                <w:rFonts w:hint="eastAsia" w:ascii="宋体" w:hAnsi="宋体"/>
                <w:strike/>
                <w:dstrike w:val="0"/>
              </w:rPr>
            </w:pPr>
            <w:r>
              <w:rPr>
                <w:rFonts w:hint="eastAsia" w:ascii="宋体" w:hAnsi="宋体"/>
                <w:strike/>
                <w:dstrike w:val="0"/>
              </w:rPr>
              <w:t>米</w:t>
            </w:r>
          </w:p>
        </w:tc>
        <w:tc>
          <w:tcPr>
            <w:tcW w:w="3492" w:type="dxa"/>
            <w:noWrap w:val="0"/>
            <w:vAlign w:val="top"/>
          </w:tcPr>
          <w:p>
            <w:pPr>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left"/>
              <w:rPr>
                <w:rFonts w:hint="eastAsia" w:ascii="宋体" w:hAnsi="宋体"/>
                <w:strike/>
                <w:dstrike w:val="0"/>
              </w:rPr>
            </w:pPr>
          </w:p>
        </w:tc>
        <w:tc>
          <w:tcPr>
            <w:tcW w:w="3960" w:type="dxa"/>
            <w:noWrap w:val="0"/>
            <w:vAlign w:val="top"/>
          </w:tcPr>
          <w:p>
            <w:pPr>
              <w:jc w:val="left"/>
              <w:rPr>
                <w:rFonts w:hint="eastAsia" w:ascii="宋体" w:hAnsi="宋体"/>
                <w:strike/>
                <w:dstrike w:val="0"/>
              </w:rPr>
            </w:pPr>
            <w:r>
              <w:rPr>
                <w:rFonts w:hint="eastAsia" w:ascii="宋体" w:hAnsi="宋体"/>
                <w:strike/>
                <w:dstrike w:val="0"/>
              </w:rPr>
              <w:t>地上层数</w:t>
            </w:r>
          </w:p>
        </w:tc>
        <w:tc>
          <w:tcPr>
            <w:tcW w:w="1080" w:type="dxa"/>
            <w:noWrap w:val="0"/>
            <w:vAlign w:val="top"/>
          </w:tcPr>
          <w:p>
            <w:pPr>
              <w:jc w:val="center"/>
              <w:rPr>
                <w:rFonts w:hint="eastAsia" w:ascii="宋体" w:hAnsi="宋体"/>
                <w:strike/>
                <w:dstrike w:val="0"/>
              </w:rPr>
            </w:pPr>
            <w:r>
              <w:rPr>
                <w:rFonts w:hint="eastAsia" w:ascii="宋体" w:hAnsi="宋体"/>
                <w:strike/>
                <w:dstrike w:val="0"/>
              </w:rPr>
              <w:t>层</w:t>
            </w:r>
          </w:p>
        </w:tc>
        <w:tc>
          <w:tcPr>
            <w:tcW w:w="3492" w:type="dxa"/>
            <w:noWrap w:val="0"/>
            <w:vAlign w:val="top"/>
          </w:tcPr>
          <w:p>
            <w:pPr>
              <w:jc w:val="left"/>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left"/>
              <w:rPr>
                <w:rFonts w:hint="eastAsia" w:ascii="宋体" w:hAnsi="宋体"/>
                <w:strike/>
                <w:dstrike w:val="0"/>
              </w:rPr>
            </w:pPr>
          </w:p>
        </w:tc>
        <w:tc>
          <w:tcPr>
            <w:tcW w:w="3960" w:type="dxa"/>
            <w:noWrap w:val="0"/>
            <w:vAlign w:val="top"/>
          </w:tcPr>
          <w:p>
            <w:pPr>
              <w:jc w:val="left"/>
              <w:rPr>
                <w:rFonts w:hint="eastAsia" w:ascii="宋体" w:hAnsi="宋体"/>
                <w:strike/>
                <w:dstrike w:val="0"/>
              </w:rPr>
            </w:pPr>
            <w:r>
              <w:rPr>
                <w:rFonts w:hint="eastAsia" w:ascii="宋体" w:hAnsi="宋体"/>
                <w:strike/>
                <w:dstrike w:val="0"/>
              </w:rPr>
              <w:t>地下层数</w:t>
            </w:r>
          </w:p>
        </w:tc>
        <w:tc>
          <w:tcPr>
            <w:tcW w:w="1080" w:type="dxa"/>
            <w:noWrap w:val="0"/>
            <w:vAlign w:val="top"/>
          </w:tcPr>
          <w:p>
            <w:pPr>
              <w:jc w:val="center"/>
              <w:rPr>
                <w:rFonts w:hint="eastAsia" w:ascii="宋体" w:hAnsi="宋体"/>
                <w:strike/>
                <w:dstrike w:val="0"/>
              </w:rPr>
            </w:pPr>
            <w:r>
              <w:rPr>
                <w:rFonts w:hint="eastAsia" w:ascii="宋体" w:hAnsi="宋体"/>
                <w:strike/>
                <w:dstrike w:val="0"/>
              </w:rPr>
              <w:t>层</w:t>
            </w:r>
          </w:p>
        </w:tc>
        <w:tc>
          <w:tcPr>
            <w:tcW w:w="3492" w:type="dxa"/>
            <w:noWrap w:val="0"/>
            <w:vAlign w:val="top"/>
          </w:tcPr>
          <w:p>
            <w:pPr>
              <w:jc w:val="left"/>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left"/>
              <w:rPr>
                <w:rFonts w:hint="eastAsia" w:ascii="宋体" w:hAnsi="宋体"/>
                <w:strike/>
                <w:dstrike w:val="0"/>
              </w:rPr>
            </w:pPr>
          </w:p>
        </w:tc>
        <w:tc>
          <w:tcPr>
            <w:tcW w:w="3960" w:type="dxa"/>
            <w:noWrap w:val="0"/>
            <w:vAlign w:val="top"/>
          </w:tcPr>
          <w:p>
            <w:pPr>
              <w:jc w:val="left"/>
              <w:rPr>
                <w:rFonts w:hint="eastAsia" w:ascii="宋体" w:hAnsi="宋体"/>
                <w:strike/>
                <w:dstrike w:val="0"/>
              </w:rPr>
            </w:pPr>
            <w:r>
              <w:rPr>
                <w:rFonts w:hint="eastAsia" w:ascii="宋体" w:hAnsi="宋体"/>
                <w:strike/>
                <w:dstrike w:val="0"/>
              </w:rPr>
              <w:t>电梯</w:t>
            </w:r>
          </w:p>
        </w:tc>
        <w:tc>
          <w:tcPr>
            <w:tcW w:w="1080" w:type="dxa"/>
            <w:noWrap w:val="0"/>
            <w:vAlign w:val="top"/>
          </w:tcPr>
          <w:p>
            <w:pPr>
              <w:jc w:val="center"/>
              <w:rPr>
                <w:rFonts w:hint="eastAsia" w:ascii="宋体" w:hAnsi="宋体"/>
                <w:strike/>
                <w:dstrike w:val="0"/>
              </w:rPr>
            </w:pPr>
            <w:r>
              <w:rPr>
                <w:rFonts w:hint="eastAsia" w:ascii="宋体" w:hAnsi="宋体"/>
                <w:strike/>
                <w:dstrike w:val="0"/>
              </w:rPr>
              <w:t>台</w:t>
            </w:r>
          </w:p>
        </w:tc>
        <w:tc>
          <w:tcPr>
            <w:tcW w:w="3492" w:type="dxa"/>
            <w:noWrap w:val="0"/>
            <w:vAlign w:val="top"/>
          </w:tcPr>
          <w:p>
            <w:pPr>
              <w:jc w:val="left"/>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left"/>
              <w:rPr>
                <w:rFonts w:hint="eastAsia" w:ascii="宋体" w:hAnsi="宋体"/>
                <w:strike/>
                <w:dstrike w:val="0"/>
              </w:rPr>
            </w:pPr>
          </w:p>
        </w:tc>
        <w:tc>
          <w:tcPr>
            <w:tcW w:w="3960" w:type="dxa"/>
            <w:noWrap w:val="0"/>
            <w:vAlign w:val="top"/>
          </w:tcPr>
          <w:p>
            <w:pPr>
              <w:jc w:val="left"/>
              <w:rPr>
                <w:rFonts w:hint="eastAsia" w:ascii="宋体" w:hAnsi="宋体"/>
                <w:strike/>
                <w:dstrike w:val="0"/>
              </w:rPr>
            </w:pPr>
            <w:r>
              <w:rPr>
                <w:rFonts w:hint="eastAsia" w:ascii="宋体" w:hAnsi="宋体"/>
                <w:strike/>
                <w:dstrike w:val="0"/>
              </w:rPr>
              <w:t>楼梯</w:t>
            </w:r>
          </w:p>
        </w:tc>
        <w:tc>
          <w:tcPr>
            <w:tcW w:w="1080" w:type="dxa"/>
            <w:noWrap w:val="0"/>
            <w:vAlign w:val="top"/>
          </w:tcPr>
          <w:p>
            <w:pPr>
              <w:jc w:val="center"/>
              <w:rPr>
                <w:rFonts w:hint="eastAsia" w:ascii="宋体" w:hAnsi="宋体"/>
                <w:strike/>
                <w:dstrike w:val="0"/>
              </w:rPr>
            </w:pPr>
            <w:r>
              <w:rPr>
                <w:rFonts w:hint="eastAsia" w:ascii="宋体" w:hAnsi="宋体"/>
                <w:strike/>
                <w:dstrike w:val="0"/>
              </w:rPr>
              <w:t>樘</w:t>
            </w:r>
          </w:p>
        </w:tc>
        <w:tc>
          <w:tcPr>
            <w:tcW w:w="3492" w:type="dxa"/>
            <w:noWrap w:val="0"/>
            <w:vAlign w:val="top"/>
          </w:tcPr>
          <w:p>
            <w:pPr>
              <w:jc w:val="left"/>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left"/>
              <w:rPr>
                <w:rFonts w:hint="eastAsia" w:ascii="宋体" w:hAnsi="宋体"/>
                <w:strike/>
                <w:dstrike w:val="0"/>
              </w:rPr>
            </w:pPr>
          </w:p>
        </w:tc>
        <w:tc>
          <w:tcPr>
            <w:tcW w:w="3960" w:type="dxa"/>
            <w:noWrap w:val="0"/>
            <w:vAlign w:val="top"/>
          </w:tcPr>
          <w:p>
            <w:pPr>
              <w:jc w:val="left"/>
              <w:rPr>
                <w:rFonts w:hint="eastAsia" w:ascii="宋体" w:hAnsi="宋体"/>
                <w:strike/>
                <w:dstrike w:val="0"/>
              </w:rPr>
            </w:pPr>
            <w:r>
              <w:rPr>
                <w:rFonts w:hint="eastAsia" w:ascii="宋体" w:hAnsi="宋体"/>
                <w:strike/>
                <w:dstrike w:val="0"/>
              </w:rPr>
              <w:t>主入口朝向</w:t>
            </w:r>
          </w:p>
        </w:tc>
        <w:tc>
          <w:tcPr>
            <w:tcW w:w="1080" w:type="dxa"/>
            <w:noWrap w:val="0"/>
            <w:vAlign w:val="top"/>
          </w:tcPr>
          <w:p>
            <w:pPr>
              <w:jc w:val="center"/>
              <w:rPr>
                <w:rFonts w:hint="eastAsia" w:ascii="宋体" w:hAnsi="宋体"/>
                <w:strike/>
                <w:dstrike w:val="0"/>
              </w:rPr>
            </w:pPr>
            <w:r>
              <w:rPr>
                <w:rFonts w:hint="eastAsia" w:ascii="宋体" w:hAnsi="宋体"/>
                <w:strike/>
                <w:dstrike w:val="0"/>
              </w:rPr>
              <w:t>方向</w:t>
            </w:r>
          </w:p>
        </w:tc>
        <w:tc>
          <w:tcPr>
            <w:tcW w:w="3492" w:type="dxa"/>
            <w:noWrap w:val="0"/>
            <w:vAlign w:val="top"/>
          </w:tcPr>
          <w:p>
            <w:pPr>
              <w:jc w:val="left"/>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left"/>
              <w:rPr>
                <w:rFonts w:hint="eastAsia" w:ascii="宋体" w:hAnsi="宋体"/>
                <w:strike/>
                <w:dstrike w:val="0"/>
              </w:rPr>
            </w:pPr>
          </w:p>
        </w:tc>
        <w:tc>
          <w:tcPr>
            <w:tcW w:w="3960" w:type="dxa"/>
            <w:noWrap w:val="0"/>
            <w:vAlign w:val="top"/>
          </w:tcPr>
          <w:p>
            <w:pPr>
              <w:jc w:val="left"/>
              <w:rPr>
                <w:rFonts w:hint="eastAsia" w:ascii="宋体" w:hAnsi="宋体"/>
                <w:strike/>
                <w:dstrike w:val="0"/>
              </w:rPr>
            </w:pPr>
            <w:r>
              <w:rPr>
                <w:rFonts w:hint="eastAsia" w:ascii="宋体" w:hAnsi="宋体"/>
                <w:strike/>
                <w:dstrike w:val="0"/>
              </w:rPr>
              <w:t>无日照采光的房间</w:t>
            </w:r>
          </w:p>
        </w:tc>
        <w:tc>
          <w:tcPr>
            <w:tcW w:w="1080" w:type="dxa"/>
            <w:noWrap w:val="0"/>
            <w:vAlign w:val="top"/>
          </w:tcPr>
          <w:p>
            <w:pPr>
              <w:jc w:val="center"/>
              <w:rPr>
                <w:rFonts w:hint="eastAsia" w:ascii="宋体" w:hAnsi="宋体"/>
                <w:strike/>
                <w:dstrike w:val="0"/>
              </w:rPr>
            </w:pPr>
            <w:r>
              <w:rPr>
                <w:rFonts w:hint="eastAsia" w:ascii="宋体" w:hAnsi="宋体"/>
                <w:strike/>
                <w:dstrike w:val="0"/>
              </w:rPr>
              <w:t>个</w:t>
            </w:r>
          </w:p>
        </w:tc>
        <w:tc>
          <w:tcPr>
            <w:tcW w:w="3492" w:type="dxa"/>
            <w:noWrap w:val="0"/>
            <w:vAlign w:val="top"/>
          </w:tcPr>
          <w:p>
            <w:pPr>
              <w:jc w:val="left"/>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left"/>
              <w:rPr>
                <w:rFonts w:hint="eastAsia" w:ascii="宋体" w:hAnsi="宋体"/>
                <w:strike/>
                <w:dstrike w:val="0"/>
              </w:rPr>
            </w:pPr>
          </w:p>
        </w:tc>
        <w:tc>
          <w:tcPr>
            <w:tcW w:w="3960" w:type="dxa"/>
            <w:noWrap w:val="0"/>
            <w:vAlign w:val="top"/>
          </w:tcPr>
          <w:p>
            <w:pPr>
              <w:jc w:val="left"/>
              <w:rPr>
                <w:rFonts w:hint="eastAsia" w:ascii="宋体" w:hAnsi="宋体"/>
                <w:strike/>
                <w:dstrike w:val="0"/>
              </w:rPr>
            </w:pPr>
          </w:p>
        </w:tc>
        <w:tc>
          <w:tcPr>
            <w:tcW w:w="1080" w:type="dxa"/>
            <w:noWrap w:val="0"/>
            <w:vAlign w:val="top"/>
          </w:tcPr>
          <w:p>
            <w:pPr>
              <w:jc w:val="left"/>
              <w:rPr>
                <w:rFonts w:hint="eastAsia" w:ascii="宋体" w:hAnsi="宋体"/>
                <w:strike/>
                <w:dstrike w:val="0"/>
              </w:rPr>
            </w:pPr>
          </w:p>
        </w:tc>
        <w:tc>
          <w:tcPr>
            <w:tcW w:w="3492" w:type="dxa"/>
            <w:noWrap w:val="0"/>
            <w:vAlign w:val="top"/>
          </w:tcPr>
          <w:p>
            <w:pPr>
              <w:jc w:val="left"/>
              <w:rPr>
                <w:rFonts w:hint="eastAsia" w:ascii="宋体" w:hAnsi="宋体"/>
                <w:strike/>
                <w:dstrike w:val="0"/>
              </w:rPr>
            </w:pPr>
          </w:p>
        </w:tc>
      </w:tr>
    </w:tbl>
    <w:p>
      <w:pPr>
        <w:jc w:val="left"/>
        <w:rPr>
          <w:rFonts w:hint="eastAsia" w:ascii="宋体" w:hAnsi="宋体"/>
          <w:strike/>
          <w:dstrike w:val="0"/>
        </w:rPr>
      </w:pPr>
      <w:r>
        <w:rPr>
          <w:rFonts w:hint="eastAsia" w:ascii="宋体" w:hAnsi="宋体"/>
          <w:strike/>
          <w:dstrike w:val="0"/>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3"/>
        <w:rPr>
          <w:rFonts w:ascii="宋体" w:hAnsi="宋体"/>
        </w:rPr>
      </w:pPr>
      <w:bookmarkStart w:id="36" w:name="_Toc8903"/>
      <w:r>
        <w:rPr>
          <w:rFonts w:hint="eastAsia" w:ascii="宋体" w:hAnsi="宋体"/>
          <w:sz w:val="21"/>
          <w:szCs w:val="21"/>
        </w:rPr>
        <w:t>附件5勘察投标文件编制要求</w:t>
      </w:r>
      <w:bookmarkEnd w:id="33"/>
      <w:bookmarkEnd w:id="34"/>
      <w:bookmarkEnd w:id="36"/>
    </w:p>
    <w:p>
      <w:pPr>
        <w:jc w:val="center"/>
        <w:rPr>
          <w:rFonts w:ascii="宋体" w:hAnsi="宋体"/>
          <w:b/>
          <w:bCs/>
          <w:sz w:val="32"/>
        </w:rPr>
      </w:pPr>
      <w:r>
        <w:rPr>
          <w:rFonts w:hint="eastAsia" w:ascii="宋体" w:hAnsi="宋体"/>
          <w:b/>
          <w:sz w:val="32"/>
        </w:rPr>
        <w:t>勘察</w:t>
      </w:r>
      <w:r>
        <w:rPr>
          <w:rFonts w:hint="eastAsia" w:ascii="宋体" w:hAnsi="宋体"/>
          <w:b/>
          <w:bCs/>
          <w:sz w:val="32"/>
        </w:rPr>
        <w:t>投标文件编制要求</w:t>
      </w:r>
    </w:p>
    <w:p>
      <w:pPr>
        <w:spacing w:line="360" w:lineRule="auto"/>
        <w:jc w:val="center"/>
        <w:rPr>
          <w:rFonts w:ascii="宋体" w:hAnsi="宋体"/>
          <w:sz w:val="24"/>
        </w:rPr>
      </w:pPr>
      <w:r>
        <w:rPr>
          <w:rFonts w:hint="eastAsia" w:ascii="宋体" w:hAnsi="宋体"/>
          <w:sz w:val="24"/>
        </w:rPr>
        <w:t>（只适用于勘察投标）</w:t>
      </w:r>
    </w:p>
    <w:p>
      <w:pPr>
        <w:spacing w:line="360" w:lineRule="auto"/>
        <w:jc w:val="center"/>
        <w:rPr>
          <w:rFonts w:ascii="宋体" w:hAnsi="宋体"/>
          <w:sz w:val="24"/>
        </w:rPr>
      </w:pPr>
    </w:p>
    <w:p>
      <w:pPr>
        <w:spacing w:line="360" w:lineRule="auto"/>
        <w:jc w:val="left"/>
        <w:rPr>
          <w:rFonts w:ascii="宋体" w:hAnsi="宋体"/>
          <w:sz w:val="24"/>
        </w:rPr>
      </w:pPr>
      <w:r>
        <w:rPr>
          <w:rFonts w:hint="eastAsia" w:ascii="宋体" w:hAnsi="宋体"/>
          <w:b/>
          <w:sz w:val="24"/>
        </w:rPr>
        <w:t>1</w:t>
      </w:r>
      <w:r>
        <w:rPr>
          <w:rFonts w:hint="eastAsia" w:ascii="宋体" w:hAnsi="宋体"/>
          <w:b/>
          <w:bCs/>
          <w:sz w:val="24"/>
        </w:rPr>
        <w:t xml:space="preserve">      投标文件</w:t>
      </w:r>
    </w:p>
    <w:p/>
    <w:p>
      <w:pPr>
        <w:spacing w:line="360" w:lineRule="auto"/>
        <w:ind w:left="821" w:hanging="820" w:hangingChars="342"/>
        <w:rPr>
          <w:rFonts w:ascii="宋体" w:hAnsi="宋体"/>
          <w:sz w:val="24"/>
        </w:rPr>
      </w:pPr>
      <w:r>
        <w:rPr>
          <w:rFonts w:hint="eastAsia" w:ascii="宋体" w:hAnsi="宋体"/>
          <w:sz w:val="24"/>
        </w:rPr>
        <w:t>1.1    投标文件由下列资料组成。</w:t>
      </w:r>
    </w:p>
    <w:p>
      <w:pPr>
        <w:spacing w:line="360" w:lineRule="auto"/>
        <w:jc w:val="left"/>
        <w:rPr>
          <w:rFonts w:ascii="宋体" w:hAnsi="宋体"/>
          <w:sz w:val="24"/>
        </w:rPr>
      </w:pPr>
      <w:r>
        <w:rPr>
          <w:rFonts w:hint="eastAsia" w:ascii="宋体" w:hAnsi="宋体"/>
          <w:sz w:val="24"/>
        </w:rPr>
        <w:t xml:space="preserve">   (a) 开标信封。</w:t>
      </w:r>
    </w:p>
    <w:p>
      <w:pPr>
        <w:spacing w:line="360" w:lineRule="auto"/>
        <w:jc w:val="left"/>
        <w:rPr>
          <w:rFonts w:ascii="宋体" w:hAnsi="宋体"/>
          <w:sz w:val="24"/>
        </w:rPr>
      </w:pPr>
      <w:r>
        <w:rPr>
          <w:rFonts w:hint="eastAsia" w:ascii="宋体" w:hAnsi="宋体"/>
          <w:sz w:val="24"/>
        </w:rPr>
        <w:t xml:space="preserve">   (b) 勘察方案。</w:t>
      </w:r>
    </w:p>
    <w:p>
      <w:pPr>
        <w:spacing w:line="360" w:lineRule="auto"/>
        <w:jc w:val="left"/>
        <w:rPr>
          <w:rFonts w:ascii="宋体" w:hAnsi="宋体"/>
          <w:sz w:val="24"/>
        </w:rPr>
      </w:pPr>
      <w:r>
        <w:rPr>
          <w:rFonts w:hint="eastAsia" w:ascii="宋体" w:hAnsi="宋体"/>
          <w:sz w:val="24"/>
        </w:rPr>
        <w:t xml:space="preserve">   (c) 资格审查文件。</w:t>
      </w:r>
    </w:p>
    <w:p>
      <w:pPr>
        <w:pStyle w:val="18"/>
        <w:ind w:left="0" w:leftChars="0" w:right="1470" w:firstLine="360" w:firstLineChars="150"/>
      </w:pPr>
      <w:r>
        <w:rPr>
          <w:rFonts w:hint="eastAsia" w:ascii="宋体" w:hAnsi="宋体"/>
          <w:sz w:val="24"/>
          <w:u w:val="single"/>
        </w:rPr>
        <w:t>(d) 定标资料。</w:t>
      </w:r>
    </w:p>
    <w:p/>
    <w:p>
      <w:pPr>
        <w:spacing w:line="360" w:lineRule="auto"/>
        <w:rPr>
          <w:rFonts w:ascii="宋体" w:hAnsi="宋体"/>
          <w:sz w:val="24"/>
        </w:rPr>
      </w:pPr>
      <w:r>
        <w:rPr>
          <w:rFonts w:hint="eastAsia" w:ascii="宋体" w:hAnsi="宋体"/>
          <w:b/>
          <w:bCs/>
          <w:sz w:val="24"/>
        </w:rPr>
        <w:t>2      保密要求</w:t>
      </w:r>
    </w:p>
    <w:p/>
    <w:p>
      <w:pPr>
        <w:spacing w:line="360" w:lineRule="auto"/>
        <w:ind w:left="821" w:hanging="820" w:hangingChars="342"/>
        <w:jc w:val="left"/>
        <w:rPr>
          <w:rFonts w:ascii="宋体" w:hAnsi="宋体"/>
          <w:sz w:val="24"/>
        </w:rPr>
      </w:pPr>
      <w:r>
        <w:rPr>
          <w:rFonts w:hint="eastAsia" w:ascii="宋体" w:hAnsi="宋体"/>
          <w:sz w:val="24"/>
        </w:rPr>
        <w:t>2.1    投标文件必须隐匿投标人及专业技术人员的名称，</w:t>
      </w:r>
      <w:r>
        <w:rPr>
          <w:rFonts w:hint="eastAsia" w:ascii="宋体" w:hAnsi="宋体"/>
          <w:sz w:val="24"/>
          <w:u w:val="single"/>
        </w:rPr>
        <w:t>除了《投标书》（格式见附录）</w:t>
      </w:r>
      <w:r>
        <w:rPr>
          <w:rFonts w:hint="eastAsia" w:ascii="宋体" w:hAnsi="宋体"/>
          <w:dstrike/>
          <w:sz w:val="24"/>
          <w:u w:val="single"/>
        </w:rPr>
        <w:t>、《联合体投标协议》（格式见附录7）、</w:t>
      </w:r>
      <w:r>
        <w:rPr>
          <w:rFonts w:hint="eastAsia" w:ascii="宋体" w:hAnsi="宋体"/>
          <w:sz w:val="24"/>
          <w:u w:val="single"/>
        </w:rPr>
        <w:t>《投标人声明》、定标资料和资格审查文件外</w:t>
      </w:r>
      <w:r>
        <w:rPr>
          <w:rFonts w:hint="eastAsia" w:ascii="宋体" w:hAnsi="宋体"/>
          <w:sz w:val="24"/>
        </w:rPr>
        <w:t>，投标人不得在投标文件的勘察方案上标注或做任何可以辨认投标人及专业技术人员身份的名称、印章、商标、图形等。</w:t>
      </w:r>
    </w:p>
    <w:p/>
    <w:p>
      <w:pPr>
        <w:spacing w:line="360" w:lineRule="auto"/>
        <w:jc w:val="left"/>
        <w:rPr>
          <w:rFonts w:ascii="宋体" w:hAnsi="宋体"/>
          <w:b/>
          <w:bCs/>
          <w:sz w:val="24"/>
        </w:rPr>
      </w:pPr>
      <w:r>
        <w:rPr>
          <w:rFonts w:hint="eastAsia" w:ascii="宋体" w:hAnsi="宋体"/>
          <w:b/>
          <w:bCs/>
          <w:sz w:val="24"/>
        </w:rPr>
        <w:t>3      开标信封</w:t>
      </w:r>
    </w:p>
    <w:p/>
    <w:p>
      <w:pPr>
        <w:spacing w:line="360" w:lineRule="auto"/>
        <w:ind w:left="821" w:hanging="820" w:hangingChars="342"/>
        <w:rPr>
          <w:rFonts w:ascii="宋体" w:hAnsi="宋体"/>
          <w:sz w:val="24"/>
        </w:rPr>
      </w:pPr>
      <w:r>
        <w:rPr>
          <w:rFonts w:hint="eastAsia" w:ascii="宋体" w:hAnsi="宋体"/>
          <w:sz w:val="24"/>
        </w:rPr>
        <w:t>3.1    开标信封内附填妥并签字盖章的《投标书》（格式见附录</w:t>
      </w:r>
      <w:r>
        <w:rPr>
          <w:rFonts w:hint="eastAsia" w:ascii="宋体" w:hAnsi="宋体"/>
          <w:sz w:val="24"/>
          <w:lang w:val="en-US" w:eastAsia="zh-CN"/>
        </w:rPr>
        <w:t>6</w:t>
      </w:r>
      <w:r>
        <w:rPr>
          <w:rFonts w:hint="eastAsia" w:ascii="宋体" w:hAnsi="宋体"/>
          <w:sz w:val="24"/>
        </w:rPr>
        <w:t>），</w:t>
      </w:r>
      <w:r>
        <w:rPr>
          <w:rFonts w:hint="eastAsia" w:ascii="宋体" w:hAnsi="宋体"/>
          <w:dstrike/>
          <w:sz w:val="24"/>
        </w:rPr>
        <w:t>联合体同时附填妥并签字盖章的《联合体投标协议》（格式见附录7）。未设资格审查环节的项目，还应</w:t>
      </w:r>
      <w:r>
        <w:rPr>
          <w:rFonts w:hint="eastAsia" w:ascii="宋体" w:hAnsi="宋体"/>
          <w:sz w:val="24"/>
        </w:rPr>
        <w:t>提供填妥并盖章的《投标人声明》（格式见附录</w:t>
      </w:r>
      <w:r>
        <w:rPr>
          <w:rFonts w:hint="eastAsia" w:ascii="宋体" w:hAnsi="宋体"/>
          <w:sz w:val="24"/>
          <w:lang w:val="en-US" w:eastAsia="zh-CN"/>
        </w:rPr>
        <w:t>8</w:t>
      </w:r>
      <w:r>
        <w:rPr>
          <w:rFonts w:hint="eastAsia" w:ascii="宋体" w:hAnsi="宋体"/>
          <w:sz w:val="24"/>
        </w:rPr>
        <w:t>）。</w:t>
      </w:r>
    </w:p>
    <w:p/>
    <w:p>
      <w:pPr>
        <w:spacing w:line="360" w:lineRule="auto"/>
        <w:rPr>
          <w:rFonts w:ascii="宋体" w:hAnsi="宋体"/>
          <w:b/>
          <w:sz w:val="24"/>
        </w:rPr>
      </w:pPr>
      <w:r>
        <w:rPr>
          <w:rFonts w:hint="eastAsia" w:ascii="宋体" w:hAnsi="宋体"/>
          <w:b/>
          <w:sz w:val="24"/>
        </w:rPr>
        <w:t>4      勘察方案</w:t>
      </w:r>
    </w:p>
    <w:p/>
    <w:p>
      <w:pPr>
        <w:pStyle w:val="16"/>
        <w:spacing w:line="360" w:lineRule="auto"/>
        <w:ind w:firstLine="0" w:firstLineChars="0"/>
        <w:rPr>
          <w:rFonts w:hAnsi="宋体"/>
          <w:sz w:val="24"/>
          <w:szCs w:val="24"/>
        </w:rPr>
      </w:pPr>
      <w:r>
        <w:rPr>
          <w:rFonts w:hint="eastAsia" w:hAnsi="宋体"/>
          <w:sz w:val="24"/>
          <w:szCs w:val="24"/>
        </w:rPr>
        <w:t>4.1    勘察方案内容（文件大小不得超过500M）：</w:t>
      </w:r>
    </w:p>
    <w:p>
      <w:pPr>
        <w:spacing w:line="360" w:lineRule="auto"/>
        <w:rPr>
          <w:rFonts w:ascii="宋体" w:hAnsi="宋体"/>
          <w:sz w:val="24"/>
        </w:rPr>
      </w:pPr>
      <w:r>
        <w:rPr>
          <w:rFonts w:hAnsi="宋体"/>
          <w:sz w:val="24"/>
        </w:rPr>
        <w:t xml:space="preserve">   (a) </w:t>
      </w:r>
      <w:r>
        <w:rPr>
          <w:rFonts w:hint="eastAsia" w:ascii="宋体" w:hAnsi="宋体"/>
          <w:sz w:val="24"/>
        </w:rPr>
        <w:t>首页：</w:t>
      </w:r>
      <w:r>
        <w:rPr>
          <w:rFonts w:hint="eastAsia" w:ascii="宋体" w:hAnsi="宋体"/>
          <w:sz w:val="24"/>
          <w:u w:val="none"/>
        </w:rPr>
        <w:t>写明项目名称、编制年月</w:t>
      </w:r>
      <w:r>
        <w:rPr>
          <w:rFonts w:hint="eastAsia" w:ascii="宋体" w:hAnsi="宋体"/>
          <w:sz w:val="24"/>
        </w:rPr>
        <w:t>；</w:t>
      </w:r>
    </w:p>
    <w:p>
      <w:pPr>
        <w:pStyle w:val="16"/>
        <w:spacing w:line="360" w:lineRule="auto"/>
        <w:ind w:firstLine="0" w:firstLineChars="0"/>
        <w:rPr>
          <w:rFonts w:hAnsi="宋体"/>
          <w:sz w:val="24"/>
          <w:szCs w:val="24"/>
        </w:rPr>
      </w:pPr>
      <w:r>
        <w:rPr>
          <w:rFonts w:hint="eastAsia" w:hAnsi="宋体"/>
          <w:sz w:val="24"/>
          <w:szCs w:val="24"/>
        </w:rPr>
        <w:t xml:space="preserve">   (b) 目录；</w:t>
      </w:r>
    </w:p>
    <w:p>
      <w:pPr>
        <w:spacing w:line="360" w:lineRule="auto"/>
        <w:ind w:left="821" w:hanging="820" w:hangingChars="342"/>
        <w:rPr>
          <w:rFonts w:ascii="宋体" w:hAnsi="宋体"/>
          <w:dstrike/>
          <w:sz w:val="24"/>
        </w:rPr>
      </w:pPr>
      <w:r>
        <w:rPr>
          <w:rFonts w:hAnsi="宋体"/>
          <w:dstrike/>
          <w:sz w:val="24"/>
        </w:rPr>
        <w:t xml:space="preserve">  </w:t>
      </w:r>
      <w:r>
        <w:rPr>
          <w:rFonts w:hint="eastAsia" w:hAnsi="宋体"/>
          <w:dstrike/>
          <w:sz w:val="24"/>
        </w:rPr>
        <w:t>（</w:t>
      </w:r>
      <w:r>
        <w:rPr>
          <w:rFonts w:hAnsi="宋体"/>
          <w:dstrike/>
          <w:sz w:val="24"/>
        </w:rPr>
        <w:t>c</w:t>
      </w:r>
      <w:r>
        <w:rPr>
          <w:rFonts w:hint="eastAsia" w:hAnsi="宋体"/>
          <w:dstrike/>
          <w:sz w:val="24"/>
        </w:rPr>
        <w:t>）《勘察费报价表》（见附录</w:t>
      </w:r>
      <w:r>
        <w:rPr>
          <w:rFonts w:hAnsi="宋体"/>
          <w:dstrike/>
          <w:sz w:val="24"/>
        </w:rPr>
        <w:t>3</w:t>
      </w:r>
      <w:r>
        <w:rPr>
          <w:rFonts w:hint="eastAsia" w:hAnsi="宋体"/>
          <w:dstrike/>
          <w:sz w:val="24"/>
        </w:rPr>
        <w:t>）</w:t>
      </w:r>
      <w:r>
        <w:rPr>
          <w:rFonts w:hint="eastAsia" w:ascii="宋体" w:hAnsi="宋体"/>
          <w:dstrike/>
          <w:sz w:val="24"/>
        </w:rPr>
        <w:t xml:space="preserve">； </w:t>
      </w:r>
    </w:p>
    <w:p>
      <w:pPr>
        <w:spacing w:line="360" w:lineRule="auto"/>
        <w:ind w:left="818" w:hanging="818" w:hangingChars="341"/>
        <w:rPr>
          <w:rFonts w:ascii="宋体" w:hAnsi="宋体"/>
          <w:dstrike/>
          <w:sz w:val="24"/>
        </w:rPr>
      </w:pPr>
      <w:r>
        <w:rPr>
          <w:rFonts w:hAnsi="宋体"/>
          <w:dstrike/>
          <w:sz w:val="24"/>
        </w:rPr>
        <w:t xml:space="preserve">   (d) </w:t>
      </w:r>
      <w:r>
        <w:rPr>
          <w:rFonts w:hint="eastAsia" w:ascii="宋体" w:hAnsi="宋体"/>
          <w:dstrike/>
          <w:sz w:val="24"/>
        </w:rPr>
        <w:t xml:space="preserve">除上述报价外，如果有另需付费的项目，应详细列明勘察工作和收费标准（内容、数量、单价、合价）； </w:t>
      </w:r>
    </w:p>
    <w:p>
      <w:pPr>
        <w:spacing w:line="360" w:lineRule="auto"/>
        <w:ind w:left="821" w:hanging="820" w:hangingChars="342"/>
        <w:rPr>
          <w:rFonts w:ascii="宋体" w:hAnsi="宋体"/>
          <w:sz w:val="24"/>
        </w:rPr>
      </w:pPr>
      <w:r>
        <w:rPr>
          <w:rFonts w:hAnsi="宋体"/>
          <w:sz w:val="24"/>
        </w:rPr>
        <w:t xml:space="preserve">   (e) </w:t>
      </w:r>
      <w:r>
        <w:rPr>
          <w:rFonts w:hint="eastAsia" w:ascii="宋体" w:hAnsi="宋体"/>
          <w:sz w:val="24"/>
        </w:rPr>
        <w:t>针对项目场地采用的原位试验种类。勘察方案（勘察手段、方法及工艺）及建议，本次勘察的难点及建议；</w:t>
      </w:r>
    </w:p>
    <w:p>
      <w:pPr>
        <w:spacing w:line="360" w:lineRule="auto"/>
        <w:rPr>
          <w:rFonts w:ascii="宋体" w:hAnsi="宋体"/>
          <w:sz w:val="24"/>
        </w:rPr>
      </w:pPr>
      <w:r>
        <w:rPr>
          <w:rFonts w:hAnsi="宋体"/>
          <w:sz w:val="24"/>
        </w:rPr>
        <w:t xml:space="preserve">   (f) </w:t>
      </w:r>
      <w:r>
        <w:rPr>
          <w:rFonts w:hint="eastAsia" w:ascii="宋体" w:hAnsi="宋体"/>
          <w:sz w:val="24"/>
        </w:rPr>
        <w:t>勘察工作流程和相应的工期进度计划；</w:t>
      </w:r>
    </w:p>
    <w:p>
      <w:pPr>
        <w:spacing w:line="360" w:lineRule="auto"/>
        <w:rPr>
          <w:rFonts w:ascii="宋体" w:hAnsi="宋体"/>
          <w:sz w:val="24"/>
        </w:rPr>
      </w:pPr>
      <w:r>
        <w:rPr>
          <w:rFonts w:hAnsi="宋体"/>
          <w:sz w:val="24"/>
        </w:rPr>
        <w:t xml:space="preserve">   (g) </w:t>
      </w:r>
      <w:r>
        <w:rPr>
          <w:rFonts w:hint="eastAsia" w:ascii="宋体" w:hAnsi="宋体"/>
          <w:sz w:val="24"/>
        </w:rPr>
        <w:t>投入本项目的人数、工种、设备；</w:t>
      </w:r>
    </w:p>
    <w:p>
      <w:pPr>
        <w:spacing w:line="360" w:lineRule="auto"/>
        <w:ind w:firstLine="240" w:firstLineChars="100"/>
        <w:rPr>
          <w:rFonts w:hAnsi="宋体"/>
          <w:sz w:val="24"/>
        </w:rPr>
      </w:pPr>
      <w:r>
        <w:rPr>
          <w:rFonts w:hint="eastAsia" w:hAnsi="宋体"/>
          <w:sz w:val="24"/>
        </w:rPr>
        <w:t>（h）质量保证措施；</w:t>
      </w:r>
    </w:p>
    <w:p>
      <w:pPr>
        <w:spacing w:line="360" w:lineRule="auto"/>
        <w:rPr>
          <w:rFonts w:ascii="宋体" w:hAnsi="宋体"/>
          <w:sz w:val="24"/>
        </w:rPr>
      </w:pPr>
      <w:r>
        <w:rPr>
          <w:rFonts w:hAnsi="宋体"/>
          <w:sz w:val="24"/>
        </w:rPr>
        <w:t xml:space="preserve">   (</w:t>
      </w:r>
      <w:r>
        <w:rPr>
          <w:rFonts w:hint="eastAsia" w:hAnsi="宋体"/>
          <w:sz w:val="24"/>
        </w:rPr>
        <w:t>i</w:t>
      </w:r>
      <w:r>
        <w:rPr>
          <w:rFonts w:hAnsi="宋体"/>
          <w:sz w:val="24"/>
        </w:rPr>
        <w:t xml:space="preserve">) </w:t>
      </w:r>
      <w:r>
        <w:rPr>
          <w:rFonts w:hint="eastAsia" w:ascii="宋体" w:hAnsi="宋体"/>
          <w:sz w:val="24"/>
        </w:rPr>
        <w:t>勘察报告综合评价深度，勘察成果文件内容目录；</w:t>
      </w:r>
    </w:p>
    <w:p>
      <w:pPr>
        <w:spacing w:line="360" w:lineRule="auto"/>
        <w:rPr>
          <w:rFonts w:ascii="宋体" w:hAnsi="宋体"/>
          <w:sz w:val="24"/>
        </w:rPr>
      </w:pPr>
      <w:r>
        <w:rPr>
          <w:rFonts w:hAnsi="宋体"/>
          <w:sz w:val="24"/>
        </w:rPr>
        <w:t xml:space="preserve">   (</w:t>
      </w:r>
      <w:r>
        <w:rPr>
          <w:rFonts w:hint="eastAsia" w:hAnsi="宋体"/>
          <w:sz w:val="24"/>
        </w:rPr>
        <w:t>j</w:t>
      </w:r>
      <w:r>
        <w:rPr>
          <w:rFonts w:hAnsi="宋体"/>
          <w:sz w:val="24"/>
        </w:rPr>
        <w:t xml:space="preserve">) </w:t>
      </w:r>
      <w:r>
        <w:rPr>
          <w:rFonts w:hint="eastAsia" w:ascii="宋体" w:hAnsi="宋体"/>
          <w:sz w:val="24"/>
        </w:rPr>
        <w:t>投标人掌握的勘察工作有关的法律法规、标准、规范一览表；</w:t>
      </w:r>
    </w:p>
    <w:p>
      <w:pPr>
        <w:spacing w:line="360" w:lineRule="auto"/>
        <w:rPr>
          <w:rFonts w:ascii="宋体" w:hAnsi="宋体"/>
          <w:sz w:val="24"/>
        </w:rPr>
      </w:pPr>
      <w:r>
        <w:rPr>
          <w:rFonts w:hAnsi="宋体"/>
          <w:sz w:val="24"/>
        </w:rPr>
        <w:t xml:space="preserve">   (</w:t>
      </w:r>
      <w:r>
        <w:rPr>
          <w:rFonts w:hint="eastAsia" w:hAnsi="宋体"/>
          <w:sz w:val="24"/>
        </w:rPr>
        <w:t>k</w:t>
      </w:r>
      <w:r>
        <w:rPr>
          <w:rFonts w:hAnsi="宋体"/>
          <w:sz w:val="24"/>
        </w:rPr>
        <w:t xml:space="preserve">) </w:t>
      </w:r>
      <w:r>
        <w:rPr>
          <w:rFonts w:hint="eastAsia" w:ascii="宋体" w:hAnsi="宋体"/>
          <w:sz w:val="24"/>
        </w:rPr>
        <w:t>需要建设单位、设计单位配合的事项；</w:t>
      </w:r>
    </w:p>
    <w:p>
      <w:pPr>
        <w:spacing w:line="360" w:lineRule="auto"/>
        <w:rPr>
          <w:rFonts w:ascii="宋体" w:hAnsi="宋体"/>
          <w:sz w:val="24"/>
        </w:rPr>
      </w:pPr>
      <w:r>
        <w:rPr>
          <w:rFonts w:hAnsi="宋体"/>
          <w:sz w:val="24"/>
        </w:rPr>
        <w:t xml:space="preserve">   (</w:t>
      </w:r>
      <w:r>
        <w:rPr>
          <w:rFonts w:hint="eastAsia" w:hAnsi="宋体"/>
          <w:sz w:val="24"/>
        </w:rPr>
        <w:t>l</w:t>
      </w:r>
      <w:r>
        <w:rPr>
          <w:rFonts w:hAnsi="宋体"/>
          <w:sz w:val="24"/>
        </w:rPr>
        <w:t xml:space="preserve">) </w:t>
      </w:r>
      <w:r>
        <w:rPr>
          <w:rFonts w:hint="eastAsia" w:ascii="宋体" w:hAnsi="宋体"/>
          <w:sz w:val="24"/>
        </w:rPr>
        <w:t>发生追记行为的相应赔偿办法；</w:t>
      </w:r>
    </w:p>
    <w:p>
      <w:pPr>
        <w:spacing w:line="360" w:lineRule="auto"/>
        <w:ind w:left="821" w:hanging="820" w:hangingChars="342"/>
        <w:rPr>
          <w:rFonts w:ascii="宋体" w:hAnsi="宋体"/>
          <w:dstrike/>
          <w:sz w:val="24"/>
        </w:rPr>
      </w:pPr>
      <w:r>
        <w:rPr>
          <w:rFonts w:hAnsi="宋体"/>
          <w:dstrike/>
          <w:sz w:val="24"/>
        </w:rPr>
        <w:t xml:space="preserve">   (l) </w:t>
      </w:r>
      <w:r>
        <w:rPr>
          <w:rFonts w:hint="eastAsia" w:ascii="宋体" w:hAnsi="宋体"/>
          <w:dstrike/>
          <w:sz w:val="24"/>
        </w:rPr>
        <w:t>投标人参与施工验槽，解决工程设计和施工中与勘察工作有关问题的服务承诺、响应时间、相关费用。</w:t>
      </w:r>
    </w:p>
    <w:p>
      <w:pPr>
        <w:spacing w:line="360" w:lineRule="auto"/>
        <w:rPr>
          <w:rFonts w:ascii="宋体" w:hAnsi="宋体"/>
          <w:sz w:val="24"/>
        </w:rPr>
      </w:pPr>
      <w:r>
        <w:rPr>
          <w:rFonts w:hAnsi="宋体"/>
          <w:sz w:val="24"/>
        </w:rPr>
        <w:t xml:space="preserve">   (m) </w:t>
      </w:r>
      <w:r>
        <w:rPr>
          <w:rFonts w:hint="eastAsia" w:ascii="宋体" w:hAnsi="宋体"/>
          <w:sz w:val="24"/>
        </w:rPr>
        <w:t>技术培训和职业道德教育情况。</w:t>
      </w:r>
    </w:p>
    <w:p>
      <w:pPr>
        <w:spacing w:line="360" w:lineRule="auto"/>
        <w:rPr>
          <w:rFonts w:ascii="宋体" w:hAnsi="宋体"/>
          <w:sz w:val="24"/>
        </w:rPr>
      </w:pPr>
      <w:r>
        <w:rPr>
          <w:rFonts w:hAnsi="宋体"/>
          <w:sz w:val="24"/>
        </w:rPr>
        <w:t xml:space="preserve">   (n) </w:t>
      </w:r>
      <w:r>
        <w:rPr>
          <w:rFonts w:hint="eastAsia" w:ascii="宋体" w:hAnsi="宋体"/>
          <w:sz w:val="24"/>
        </w:rPr>
        <w:t>以往完工项目的资料分类编目、装订、归档保存的情况。</w:t>
      </w:r>
    </w:p>
    <w:p/>
    <w:p>
      <w:pPr>
        <w:spacing w:line="360" w:lineRule="auto"/>
        <w:jc w:val="left"/>
        <w:rPr>
          <w:rFonts w:ascii="宋体" w:hAnsi="宋体"/>
          <w:b/>
          <w:bCs/>
          <w:sz w:val="24"/>
        </w:rPr>
      </w:pPr>
      <w:r>
        <w:rPr>
          <w:rFonts w:hint="eastAsia" w:ascii="宋体" w:hAnsi="宋体"/>
          <w:b/>
          <w:bCs/>
          <w:sz w:val="24"/>
        </w:rPr>
        <w:t>5   资格审查文件</w:t>
      </w:r>
    </w:p>
    <w:p/>
    <w:p>
      <w:pPr>
        <w:pStyle w:val="16"/>
        <w:spacing w:line="360" w:lineRule="auto"/>
        <w:ind w:firstLine="0" w:firstLineChars="0"/>
        <w:rPr>
          <w:rFonts w:hAnsi="宋体"/>
          <w:sz w:val="24"/>
          <w:szCs w:val="24"/>
        </w:rPr>
      </w:pPr>
      <w:r>
        <w:rPr>
          <w:rFonts w:hint="eastAsia" w:hAnsi="宋体"/>
          <w:sz w:val="24"/>
          <w:szCs w:val="24"/>
        </w:rPr>
        <w:t>5.1   资格审查文件内容：</w:t>
      </w:r>
    </w:p>
    <w:p>
      <w:pPr>
        <w:pStyle w:val="16"/>
        <w:spacing w:line="360" w:lineRule="auto"/>
        <w:ind w:firstLine="0" w:firstLineChars="0"/>
        <w:rPr>
          <w:rFonts w:hAnsi="宋体"/>
          <w:sz w:val="24"/>
          <w:szCs w:val="24"/>
        </w:rPr>
      </w:pPr>
      <w:r>
        <w:rPr>
          <w:rFonts w:hint="eastAsia" w:hAnsi="宋体"/>
          <w:sz w:val="24"/>
          <w:szCs w:val="24"/>
        </w:rPr>
        <w:t xml:space="preserve">   (a) 目录；</w:t>
      </w:r>
    </w:p>
    <w:p>
      <w:pPr>
        <w:pStyle w:val="16"/>
        <w:spacing w:line="360" w:lineRule="auto"/>
        <w:ind w:firstLine="0" w:firstLineChars="0"/>
        <w:rPr>
          <w:rFonts w:hAnsi="宋体"/>
          <w:sz w:val="24"/>
          <w:szCs w:val="24"/>
        </w:rPr>
      </w:pPr>
      <w:r>
        <w:rPr>
          <w:rFonts w:hint="eastAsia" w:hAnsi="宋体"/>
          <w:sz w:val="24"/>
          <w:szCs w:val="24"/>
        </w:rPr>
        <w:t xml:space="preserve">   (b) 填妥并签字盖章的《投标书》（投标人无需提供，评标委员会根据“开标信封”中的《投标书》进行评审。投标人再次提供且不一致的，以“开标信封”中的《投标书》为准）；</w:t>
      </w:r>
    </w:p>
    <w:p>
      <w:pPr>
        <w:pStyle w:val="16"/>
        <w:spacing w:line="360" w:lineRule="auto"/>
        <w:ind w:firstLine="360" w:firstLineChars="150"/>
        <w:rPr>
          <w:rFonts w:hAnsi="宋体"/>
          <w:sz w:val="24"/>
          <w:szCs w:val="24"/>
        </w:rPr>
      </w:pPr>
      <w:r>
        <w:rPr>
          <w:rFonts w:hint="eastAsia" w:hAnsi="宋体"/>
          <w:sz w:val="24"/>
          <w:szCs w:val="24"/>
        </w:rPr>
        <w:t>(c) 填妥并签字盖章的《投标人声明》（格式见</w:t>
      </w:r>
      <w:r>
        <w:rPr>
          <w:rFonts w:hint="eastAsia" w:hAnsi="宋体"/>
          <w:sz w:val="24"/>
          <w:szCs w:val="24"/>
          <w:u w:val="single"/>
        </w:rPr>
        <w:t>附录</w:t>
      </w:r>
      <w:r>
        <w:rPr>
          <w:rFonts w:hint="eastAsia" w:hAnsi="宋体"/>
          <w:sz w:val="24"/>
          <w:szCs w:val="24"/>
          <w:u w:val="single"/>
          <w:lang w:val="en-US" w:eastAsia="zh-CN"/>
        </w:rPr>
        <w:t>8</w:t>
      </w:r>
      <w:r>
        <w:rPr>
          <w:rFonts w:hint="eastAsia" w:hAnsi="宋体"/>
          <w:sz w:val="24"/>
          <w:szCs w:val="24"/>
        </w:rPr>
        <w:t>）；</w:t>
      </w:r>
    </w:p>
    <w:p>
      <w:pPr>
        <w:spacing w:line="360" w:lineRule="auto"/>
        <w:ind w:left="821" w:hanging="820" w:hangingChars="342"/>
        <w:rPr>
          <w:rFonts w:ascii="宋体" w:hAnsi="宋体"/>
          <w:dstrike/>
          <w:sz w:val="24"/>
        </w:rPr>
      </w:pPr>
      <w:r>
        <w:rPr>
          <w:rFonts w:hint="eastAsia" w:ascii="宋体" w:hAnsi="宋体"/>
          <w:sz w:val="24"/>
        </w:rPr>
        <w:t xml:space="preserve"> </w:t>
      </w:r>
      <w:r>
        <w:rPr>
          <w:rFonts w:hint="eastAsia" w:ascii="宋体" w:hAnsi="宋体"/>
          <w:dstrike/>
          <w:sz w:val="24"/>
        </w:rPr>
        <w:t xml:space="preserve">  (d) 填妥并签字盖章的《联合体投标协议》（联合体投标人提供）（</w:t>
      </w:r>
      <w:r>
        <w:rPr>
          <w:rFonts w:hint="eastAsia" w:hAnsi="宋体"/>
          <w:dstrike/>
          <w:sz w:val="24"/>
        </w:rPr>
        <w:t>投标人无需提供，评标委员会根据“开标信封”中的《</w:t>
      </w:r>
      <w:r>
        <w:rPr>
          <w:rFonts w:hint="eastAsia" w:ascii="宋体" w:hAnsi="宋体"/>
          <w:dstrike/>
          <w:sz w:val="24"/>
        </w:rPr>
        <w:t>联合体投标协议</w:t>
      </w:r>
      <w:r>
        <w:rPr>
          <w:rFonts w:hint="eastAsia" w:hAnsi="宋体"/>
          <w:dstrike/>
          <w:sz w:val="24"/>
        </w:rPr>
        <w:t>》进行评审。投标人再次提供且不一致的，以“开标信封”中的《</w:t>
      </w:r>
      <w:r>
        <w:rPr>
          <w:rFonts w:hint="eastAsia" w:ascii="宋体" w:hAnsi="宋体"/>
          <w:dstrike/>
          <w:sz w:val="24"/>
        </w:rPr>
        <w:t>联合体投标协议</w:t>
      </w:r>
      <w:r>
        <w:rPr>
          <w:rFonts w:hint="eastAsia" w:hAnsi="宋体"/>
          <w:dstrike/>
          <w:sz w:val="24"/>
        </w:rPr>
        <w:t>》为准</w:t>
      </w:r>
      <w:r>
        <w:rPr>
          <w:rFonts w:hint="eastAsia" w:ascii="宋体" w:hAnsi="宋体"/>
          <w:dstrike/>
          <w:sz w:val="24"/>
        </w:rPr>
        <w:t>）；</w:t>
      </w:r>
    </w:p>
    <w:p>
      <w:pPr>
        <w:spacing w:line="360" w:lineRule="auto"/>
        <w:ind w:left="821" w:hanging="820" w:hangingChars="342"/>
        <w:rPr>
          <w:rFonts w:ascii="宋体" w:hAnsi="宋体"/>
          <w:sz w:val="24"/>
        </w:rPr>
      </w:pPr>
      <w:r>
        <w:rPr>
          <w:rFonts w:hint="eastAsia" w:ascii="宋体" w:hAnsi="宋体"/>
          <w:sz w:val="24"/>
        </w:rPr>
        <w:t xml:space="preserve">   (e) </w:t>
      </w:r>
      <w:r>
        <w:rPr>
          <w:rFonts w:hint="eastAsia" w:hAnsi="宋体"/>
          <w:sz w:val="24"/>
        </w:rPr>
        <w:t>投标人</w:t>
      </w:r>
      <w:r>
        <w:rPr>
          <w:rFonts w:hint="eastAsia" w:ascii="宋体" w:hAnsi="宋体"/>
          <w:sz w:val="24"/>
        </w:rPr>
        <w:t>资质证书；</w:t>
      </w:r>
    </w:p>
    <w:p>
      <w:pPr>
        <w:spacing w:line="360" w:lineRule="auto"/>
        <w:ind w:left="821" w:hanging="820" w:hangingChars="342"/>
        <w:rPr>
          <w:rFonts w:ascii="宋体" w:hAnsi="宋体"/>
          <w:sz w:val="24"/>
        </w:rPr>
      </w:pPr>
      <w:r>
        <w:rPr>
          <w:rFonts w:hint="eastAsia" w:ascii="宋体" w:hAnsi="宋体"/>
          <w:sz w:val="24"/>
        </w:rPr>
        <w:t xml:space="preserve">   (f) </w:t>
      </w:r>
      <w:r>
        <w:rPr>
          <w:rFonts w:hint="eastAsia" w:hAnsi="宋体"/>
          <w:sz w:val="24"/>
        </w:rPr>
        <w:t>申请人已在</w:t>
      </w:r>
      <w:r>
        <w:rPr>
          <w:rFonts w:hint="eastAsia" w:hAnsi="宋体"/>
          <w:sz w:val="24"/>
          <w:u w:val="single"/>
        </w:rPr>
        <w:t>广州市住房和城乡建设局建立企业信用档案，拟委派的项目负责人须是本企业信用档案中的在册人员</w:t>
      </w:r>
      <w:r>
        <w:rPr>
          <w:rFonts w:hint="eastAsia" w:ascii="宋体" w:hAnsi="宋体"/>
          <w:sz w:val="24"/>
        </w:rPr>
        <w:t>；</w:t>
      </w:r>
    </w:p>
    <w:p>
      <w:pPr>
        <w:spacing w:line="360" w:lineRule="auto"/>
        <w:ind w:left="789" w:leftChars="67" w:hanging="648" w:hangingChars="270"/>
        <w:rPr>
          <w:rFonts w:hAnsi="宋体"/>
          <w:sz w:val="24"/>
        </w:rPr>
      </w:pPr>
      <w:r>
        <w:rPr>
          <w:rFonts w:hAnsi="宋体"/>
          <w:sz w:val="24"/>
        </w:rPr>
        <w:t xml:space="preserve"> </w:t>
      </w:r>
      <w:r>
        <w:rPr>
          <w:rFonts w:hint="eastAsia" w:ascii="宋体" w:hAnsi="宋体" w:eastAsia="宋体" w:cs="Times New Roman"/>
          <w:dstrike/>
          <w:sz w:val="24"/>
        </w:rPr>
        <w:t xml:space="preserve"> (g) 投标申请表（附录1）；</w:t>
      </w:r>
    </w:p>
    <w:p>
      <w:pPr>
        <w:spacing w:line="360" w:lineRule="auto"/>
        <w:ind w:left="759" w:leftChars="167" w:hanging="408" w:hangingChars="170"/>
        <w:rPr>
          <w:rFonts w:ascii="宋体" w:hAnsi="宋体"/>
          <w:sz w:val="24"/>
        </w:rPr>
      </w:pPr>
      <w:r>
        <w:rPr>
          <w:rFonts w:hAnsi="宋体"/>
          <w:sz w:val="24"/>
        </w:rPr>
        <w:t xml:space="preserve">(h) </w:t>
      </w:r>
      <w:r>
        <w:rPr>
          <w:rFonts w:hint="eastAsia" w:hAnsi="宋体"/>
          <w:sz w:val="24"/>
        </w:rPr>
        <w:t>拟派</w:t>
      </w:r>
      <w:r>
        <w:rPr>
          <w:rFonts w:hint="eastAsia" w:ascii="宋体" w:hAnsi="宋体"/>
          <w:sz w:val="24"/>
        </w:rPr>
        <w:t>项目负责人注册执业资格证书或职称证书；</w:t>
      </w:r>
    </w:p>
    <w:p>
      <w:pPr>
        <w:spacing w:line="360" w:lineRule="auto"/>
        <w:rPr>
          <w:rFonts w:ascii="宋体" w:hAnsi="宋体"/>
          <w:sz w:val="24"/>
        </w:rPr>
      </w:pPr>
      <w:r>
        <w:rPr>
          <w:rFonts w:hAnsi="宋体"/>
          <w:sz w:val="24"/>
        </w:rPr>
        <w:t xml:space="preserve">  </w:t>
      </w:r>
      <w:r>
        <w:rPr>
          <w:rFonts w:hint="eastAsia" w:ascii="宋体" w:hAnsi="宋体" w:eastAsia="宋体" w:cs="Times New Roman"/>
          <w:dstrike/>
          <w:sz w:val="24"/>
        </w:rPr>
        <w:t xml:space="preserve"> (i) 拟派各专业负责人注册执业资格证书或职称证书及工作简历；</w:t>
      </w:r>
    </w:p>
    <w:p>
      <w:pPr>
        <w:spacing w:line="360" w:lineRule="auto"/>
        <w:rPr>
          <w:rFonts w:ascii="宋体" w:hAnsi="宋体"/>
          <w:sz w:val="24"/>
        </w:rPr>
      </w:pPr>
      <w:r>
        <w:rPr>
          <w:rFonts w:hint="eastAsia" w:ascii="宋体" w:hAnsi="宋体"/>
          <w:sz w:val="24"/>
        </w:rPr>
        <w:t xml:space="preserve">   </w:t>
      </w:r>
      <w:r>
        <w:rPr>
          <w:rFonts w:hAnsi="宋体"/>
          <w:sz w:val="24"/>
        </w:rPr>
        <w:t xml:space="preserve">(j) </w:t>
      </w:r>
      <w:r>
        <w:rPr>
          <w:rFonts w:hint="eastAsia" w:ascii="宋体" w:hAnsi="宋体"/>
          <w:sz w:val="24"/>
        </w:rPr>
        <w:t>投标人认为有必要提供的其他资料。</w:t>
      </w:r>
    </w:p>
    <w:p>
      <w:pPr>
        <w:spacing w:line="360" w:lineRule="auto"/>
        <w:rPr>
          <w:rFonts w:ascii="宋体" w:hAnsi="宋体"/>
          <w:sz w:val="24"/>
        </w:rPr>
      </w:pPr>
      <w:r>
        <w:rPr>
          <w:rFonts w:hAnsi="宋体"/>
          <w:sz w:val="24"/>
        </w:rPr>
        <w:t xml:space="preserve">   </w:t>
      </w:r>
    </w:p>
    <w:p>
      <w:pPr>
        <w:spacing w:line="360" w:lineRule="auto"/>
        <w:ind w:left="611" w:leftChars="15" w:hanging="580" w:hangingChars="242"/>
        <w:rPr>
          <w:rFonts w:ascii="宋体" w:hAnsi="宋体"/>
          <w:sz w:val="24"/>
        </w:rPr>
      </w:pPr>
      <w:r>
        <w:rPr>
          <w:rFonts w:hint="eastAsia" w:ascii="宋体" w:hAnsi="宋体"/>
          <w:sz w:val="24"/>
        </w:rPr>
        <w:t>注：资格审查文件中的</w:t>
      </w:r>
      <w:r>
        <w:rPr>
          <w:rFonts w:hint="eastAsia" w:ascii="Times New Roman" w:hAnsi="宋体" w:eastAsia="宋体" w:cs="Times New Roman"/>
          <w:sz w:val="24"/>
        </w:rPr>
        <w:t>(e)、</w:t>
      </w:r>
      <w:r>
        <w:rPr>
          <w:rFonts w:hint="eastAsia" w:ascii="宋体" w:hAnsi="宋体"/>
          <w:sz w:val="24"/>
        </w:rPr>
        <w:t>(f)</w:t>
      </w:r>
      <w:r>
        <w:rPr>
          <w:rFonts w:hint="eastAsia"/>
        </w:rPr>
        <w:t xml:space="preserve"> </w:t>
      </w:r>
      <w:r>
        <w:rPr>
          <w:rFonts w:hint="eastAsia" w:ascii="宋体" w:hAnsi="宋体"/>
          <w:sz w:val="24"/>
        </w:rPr>
        <w:t>取自广州市住建行业信用管理平台，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p>
      <w:pPr>
        <w:spacing w:line="360" w:lineRule="auto"/>
        <w:ind w:left="489" w:hanging="489" w:hangingChars="203"/>
        <w:rPr>
          <w:rFonts w:ascii="宋体" w:hAnsi="宋体"/>
          <w:b/>
          <w:bCs/>
          <w:sz w:val="24"/>
        </w:rPr>
      </w:pPr>
      <w:r>
        <w:rPr>
          <w:rFonts w:hint="eastAsia" w:ascii="宋体" w:hAnsi="宋体"/>
          <w:b/>
          <w:bCs/>
          <w:sz w:val="24"/>
        </w:rPr>
        <w:t>6    定标资料（</w:t>
      </w:r>
      <w:r>
        <w:rPr>
          <w:rFonts w:hint="eastAsia" w:ascii="宋体" w:hAnsi="宋体"/>
          <w:b/>
          <w:bCs/>
          <w:sz w:val="24"/>
          <w:u w:val="single"/>
          <w:lang w:eastAsia="zh-CN"/>
        </w:rPr>
        <w:t>同投标文件</w:t>
      </w:r>
      <w:r>
        <w:rPr>
          <w:rFonts w:hint="eastAsia" w:ascii="宋体" w:hAnsi="宋体"/>
          <w:b/>
          <w:bCs/>
          <w:sz w:val="24"/>
          <w:u w:val="single"/>
        </w:rPr>
        <w:t>上传至广州公共资源交易中心系统</w:t>
      </w:r>
      <w:r>
        <w:rPr>
          <w:rFonts w:hint="eastAsia" w:ascii="宋体" w:hAnsi="宋体"/>
          <w:b/>
          <w:bCs/>
          <w:sz w:val="24"/>
        </w:rPr>
        <w:t>）</w:t>
      </w:r>
    </w:p>
    <w:p>
      <w:pPr>
        <w:spacing w:line="360" w:lineRule="auto"/>
        <w:ind w:left="330" w:leftChars="157" w:firstLine="96" w:firstLineChars="40"/>
        <w:rPr>
          <w:rFonts w:ascii="宋体" w:hAnsi="宋体"/>
          <w:sz w:val="24"/>
          <w:u w:val="single"/>
        </w:rPr>
      </w:pPr>
      <w:r>
        <w:rPr>
          <w:rFonts w:hint="eastAsia" w:ascii="宋体" w:hAnsi="宋体"/>
          <w:sz w:val="24"/>
          <w:u w:val="single"/>
        </w:rPr>
        <w:t>（a）目录；</w:t>
      </w:r>
    </w:p>
    <w:p>
      <w:pPr>
        <w:spacing w:line="360" w:lineRule="auto"/>
        <w:ind w:left="330" w:leftChars="157" w:firstLine="96" w:firstLineChars="40"/>
        <w:rPr>
          <w:rFonts w:ascii="宋体" w:hAnsi="宋体"/>
          <w:sz w:val="24"/>
          <w:u w:val="single"/>
        </w:rPr>
      </w:pPr>
      <w:r>
        <w:rPr>
          <w:rFonts w:hint="eastAsia" w:ascii="宋体" w:hAnsi="宋体"/>
          <w:sz w:val="24"/>
          <w:u w:val="single"/>
        </w:rPr>
        <w:t>（b）招标文件/合同版本响应承诺书(详见附录1要求)</w:t>
      </w:r>
    </w:p>
    <w:p>
      <w:pPr>
        <w:pStyle w:val="18"/>
        <w:ind w:left="330" w:leftChars="157" w:right="1470" w:firstLine="96" w:firstLineChars="40"/>
        <w:rPr>
          <w:rFonts w:ascii="宋体" w:hAnsi="宋体"/>
          <w:sz w:val="24"/>
          <w:highlight w:val="none"/>
          <w:u w:val="single"/>
        </w:rPr>
      </w:pPr>
      <w:r>
        <w:rPr>
          <w:rFonts w:hint="eastAsia" w:ascii="宋体" w:hAnsi="宋体"/>
          <w:sz w:val="24"/>
          <w:highlight w:val="none"/>
          <w:u w:val="single"/>
        </w:rPr>
        <w:t>（</w:t>
      </w:r>
      <w:r>
        <w:rPr>
          <w:rFonts w:hint="eastAsia" w:ascii="宋体" w:hAnsi="宋体"/>
          <w:sz w:val="24"/>
          <w:highlight w:val="none"/>
          <w:u w:val="single"/>
          <w:lang w:val="en-US" w:eastAsia="zh-CN"/>
        </w:rPr>
        <w:t>c</w:t>
      </w:r>
      <w:r>
        <w:rPr>
          <w:rFonts w:hint="eastAsia" w:ascii="宋体" w:hAnsi="宋体"/>
          <w:sz w:val="24"/>
          <w:highlight w:val="none"/>
          <w:u w:val="single"/>
        </w:rPr>
        <w:t>）《勘察费报价表》（按招标文件要求的格式填写）</w:t>
      </w:r>
    </w:p>
    <w:p>
      <w:pPr>
        <w:pStyle w:val="18"/>
        <w:ind w:left="330" w:leftChars="157" w:right="1470" w:firstLine="96" w:firstLineChars="40"/>
        <w:rPr>
          <w:rFonts w:ascii="宋体" w:hAnsi="宋体"/>
          <w:sz w:val="24"/>
          <w:highlight w:val="none"/>
          <w:u w:val="single"/>
        </w:rPr>
      </w:pPr>
      <w:r>
        <w:rPr>
          <w:rFonts w:hint="eastAsia" w:ascii="宋体" w:hAnsi="宋体"/>
          <w:sz w:val="24"/>
          <w:highlight w:val="none"/>
          <w:u w:val="single"/>
        </w:rPr>
        <w:t>（</w:t>
      </w:r>
      <w:r>
        <w:rPr>
          <w:rFonts w:hint="eastAsia" w:ascii="宋体" w:hAnsi="宋体"/>
          <w:sz w:val="24"/>
          <w:highlight w:val="none"/>
          <w:u w:val="single"/>
          <w:lang w:val="en-US" w:eastAsia="zh-CN"/>
        </w:rPr>
        <w:t>d</w:t>
      </w:r>
      <w:r>
        <w:rPr>
          <w:rFonts w:hint="eastAsia" w:ascii="宋体" w:hAnsi="宋体"/>
          <w:sz w:val="24"/>
          <w:highlight w:val="none"/>
          <w:u w:val="single"/>
        </w:rPr>
        <w:t>）《拟投入本项目人员情况表》（按招标文件要求的格式填写）</w:t>
      </w:r>
    </w:p>
    <w:p>
      <w:pPr>
        <w:pStyle w:val="18"/>
        <w:ind w:left="330" w:leftChars="157" w:right="1470" w:firstLine="96" w:firstLineChars="40"/>
        <w:rPr>
          <w:rFonts w:ascii="宋体" w:hAnsi="宋体"/>
          <w:sz w:val="24"/>
          <w:highlight w:val="none"/>
          <w:u w:val="single"/>
        </w:rPr>
      </w:pPr>
      <w:r>
        <w:rPr>
          <w:rFonts w:hint="eastAsia" w:ascii="宋体" w:hAnsi="宋体"/>
          <w:sz w:val="24"/>
          <w:highlight w:val="none"/>
          <w:u w:val="single"/>
        </w:rPr>
        <w:t>（</w:t>
      </w:r>
      <w:r>
        <w:rPr>
          <w:rFonts w:hint="eastAsia" w:ascii="宋体" w:hAnsi="宋体"/>
          <w:sz w:val="24"/>
          <w:highlight w:val="none"/>
          <w:u w:val="single"/>
          <w:lang w:val="en-US" w:eastAsia="zh-CN"/>
        </w:rPr>
        <w:t>e</w:t>
      </w:r>
      <w:r>
        <w:rPr>
          <w:rFonts w:hint="eastAsia" w:ascii="宋体" w:hAnsi="宋体"/>
          <w:sz w:val="24"/>
          <w:highlight w:val="none"/>
          <w:u w:val="single"/>
        </w:rPr>
        <w:t>）《近5年勘察项目业绩一览表》（按招标文件要求的格式填写）</w:t>
      </w:r>
    </w:p>
    <w:p>
      <w:pPr>
        <w:spacing w:line="360" w:lineRule="auto"/>
        <w:ind w:left="315" w:leftChars="150"/>
        <w:rPr>
          <w:rFonts w:hint="eastAsia" w:ascii="宋体" w:hAnsi="宋体"/>
          <w:sz w:val="24"/>
          <w:u w:val="single"/>
        </w:rPr>
      </w:pPr>
      <w:r>
        <w:rPr>
          <w:rFonts w:hint="eastAsia" w:ascii="宋体" w:hAnsi="宋体"/>
          <w:sz w:val="24"/>
          <w:u w:val="single"/>
        </w:rPr>
        <w:t>（</w:t>
      </w:r>
      <w:r>
        <w:rPr>
          <w:rFonts w:hint="eastAsia" w:ascii="宋体" w:hAnsi="宋体"/>
          <w:sz w:val="24"/>
          <w:u w:val="single"/>
          <w:lang w:val="en-US" w:eastAsia="zh-CN"/>
        </w:rPr>
        <w:t>f</w:t>
      </w:r>
      <w:r>
        <w:rPr>
          <w:rFonts w:hint="eastAsia" w:ascii="宋体" w:hAnsi="宋体"/>
          <w:sz w:val="24"/>
          <w:u w:val="single"/>
        </w:rPr>
        <w:t>）投标人认为需提供的其他相关资料。</w:t>
      </w:r>
    </w:p>
    <w:p>
      <w:pPr>
        <w:pStyle w:val="18"/>
        <w:rPr>
          <w:rFonts w:hint="eastAsia" w:ascii="宋体" w:hAnsi="宋体"/>
          <w:sz w:val="24"/>
          <w:u w:val="single"/>
        </w:rPr>
      </w:pPr>
    </w:p>
    <w:p>
      <w:pPr>
        <w:pStyle w:val="18"/>
        <w:rPr>
          <w:rFonts w:hint="eastAsia" w:ascii="宋体" w:hAnsi="宋体"/>
          <w:sz w:val="24"/>
          <w:u w:val="single"/>
        </w:rPr>
      </w:pPr>
    </w:p>
    <w:p>
      <w:pPr>
        <w:pStyle w:val="18"/>
        <w:rPr>
          <w:rFonts w:hint="eastAsia" w:ascii="宋体" w:hAnsi="宋体"/>
          <w:sz w:val="24"/>
          <w:u w:val="single"/>
        </w:rPr>
      </w:pPr>
    </w:p>
    <w:p>
      <w:pPr>
        <w:pStyle w:val="18"/>
        <w:rPr>
          <w:rFonts w:hint="eastAsia" w:ascii="宋体" w:hAnsi="宋体"/>
          <w:sz w:val="24"/>
          <w:u w:val="single"/>
        </w:rPr>
      </w:pPr>
    </w:p>
    <w:p>
      <w:pPr>
        <w:pStyle w:val="18"/>
        <w:rPr>
          <w:rFonts w:hint="eastAsia" w:ascii="宋体" w:hAnsi="宋体"/>
          <w:sz w:val="24"/>
          <w:u w:val="single"/>
        </w:rPr>
      </w:pPr>
    </w:p>
    <w:p>
      <w:pPr>
        <w:pStyle w:val="3"/>
        <w:spacing w:before="120" w:after="100" w:afterAutospacing="1"/>
        <w:rPr>
          <w:rFonts w:ascii="宋体" w:hAnsi="宋体"/>
          <w:b w:val="0"/>
          <w:bCs w:val="0"/>
        </w:rPr>
      </w:pPr>
      <w:bookmarkStart w:id="37" w:name="_Toc20411"/>
      <w:r>
        <w:rPr>
          <w:rFonts w:hint="eastAsia" w:ascii="宋体" w:hAnsi="宋体"/>
          <w:sz w:val="21"/>
          <w:szCs w:val="21"/>
        </w:rPr>
        <w:t>附录6 投标书</w:t>
      </w:r>
      <w:bookmarkEnd w:id="35"/>
      <w:bookmarkEnd w:id="37"/>
    </w:p>
    <w:p>
      <w:pPr>
        <w:jc w:val="center"/>
        <w:rPr>
          <w:rFonts w:ascii="宋体" w:hAnsi="宋体"/>
          <w:b/>
          <w:bCs/>
          <w:sz w:val="32"/>
        </w:rPr>
      </w:pPr>
      <w:r>
        <w:rPr>
          <w:rFonts w:hint="eastAsia" w:ascii="宋体" w:hAnsi="宋体"/>
          <w:b/>
          <w:bCs/>
          <w:sz w:val="32"/>
        </w:rPr>
        <w:t>投标书</w:t>
      </w:r>
    </w:p>
    <w:p>
      <w:pPr>
        <w:spacing w:line="360" w:lineRule="auto"/>
        <w:jc w:val="left"/>
        <w:rPr>
          <w:rFonts w:ascii="宋体" w:hAnsi="宋体"/>
          <w:sz w:val="24"/>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w:t>
      </w:r>
    </w:p>
    <w:p>
      <w:pPr>
        <w:pStyle w:val="21"/>
        <w:spacing w:line="360" w:lineRule="auto"/>
        <w:rPr>
          <w:rFonts w:hAnsi="宋体"/>
          <w:sz w:val="24"/>
          <w:szCs w:val="24"/>
        </w:rPr>
      </w:pPr>
      <w:r>
        <w:rPr>
          <w:rFonts w:hint="eastAsia" w:hAnsi="宋体"/>
          <w:sz w:val="24"/>
          <w:szCs w:val="24"/>
        </w:rPr>
        <w:t>致：</w:t>
      </w:r>
      <w:r>
        <w:rPr>
          <w:rFonts w:hint="eastAsia" w:hAnsi="宋体"/>
          <w:sz w:val="24"/>
          <w:szCs w:val="24"/>
          <w:u w:val="single"/>
        </w:rPr>
        <w:t xml:space="preserve">                                    </w:t>
      </w:r>
      <w:r>
        <w:rPr>
          <w:rFonts w:hint="eastAsia" w:hAnsi="宋体"/>
          <w:sz w:val="24"/>
          <w:szCs w:val="24"/>
        </w:rPr>
        <w:t>（招标人、招标代理机构名称）</w:t>
      </w:r>
    </w:p>
    <w:p>
      <w:pPr>
        <w:spacing w:line="360" w:lineRule="auto"/>
        <w:jc w:val="left"/>
        <w:rPr>
          <w:rFonts w:ascii="宋体" w:hAnsi="宋体"/>
          <w:sz w:val="24"/>
        </w:rPr>
      </w:pPr>
    </w:p>
    <w:p>
      <w:pPr>
        <w:pStyle w:val="21"/>
        <w:spacing w:line="360" w:lineRule="auto"/>
        <w:ind w:firstLine="420"/>
        <w:rPr>
          <w:rFonts w:hAnsi="宋体"/>
          <w:sz w:val="24"/>
          <w:szCs w:val="24"/>
        </w:rPr>
      </w:pPr>
      <w:r>
        <w:rPr>
          <w:rFonts w:hint="eastAsia" w:hAnsi="宋体"/>
          <w:sz w:val="24"/>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勘察费报价表》的投标总报价，承包本次招标所包含的工作，并承担质量缺陷责任。我方项目负责人为</w:t>
      </w:r>
      <w:r>
        <w:rPr>
          <w:rFonts w:hint="eastAsia" w:hAnsi="宋体"/>
          <w:bCs/>
          <w:sz w:val="24"/>
        </w:rPr>
        <w:t>网上投标登记时选择的项目负责人</w:t>
      </w:r>
      <w:r>
        <w:rPr>
          <w:rFonts w:hint="eastAsia" w:hAnsi="宋体"/>
          <w:sz w:val="24"/>
        </w:rPr>
        <w:t>。如我司成为本项目中标候选人，我司同意并授权招标人将我司投标文件商务部分进行公开。</w:t>
      </w:r>
    </w:p>
    <w:p>
      <w:pPr>
        <w:pStyle w:val="21"/>
        <w:spacing w:line="360" w:lineRule="auto"/>
        <w:ind w:firstLine="420"/>
        <w:rPr>
          <w:rFonts w:hAnsi="宋体"/>
          <w:sz w:val="24"/>
          <w:szCs w:val="24"/>
        </w:rPr>
      </w:pPr>
      <w:r>
        <w:rPr>
          <w:rFonts w:hint="eastAsia" w:hAnsi="宋体"/>
          <w:sz w:val="24"/>
          <w:szCs w:val="24"/>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pPr>
        <w:pStyle w:val="21"/>
        <w:spacing w:line="360" w:lineRule="auto"/>
        <w:ind w:firstLine="420"/>
        <w:rPr>
          <w:rFonts w:hAnsi="宋体"/>
          <w:sz w:val="24"/>
          <w:szCs w:val="24"/>
        </w:rPr>
      </w:pPr>
      <w:r>
        <w:rPr>
          <w:rFonts w:hint="eastAsia" w:hAnsi="宋体"/>
          <w:sz w:val="24"/>
          <w:szCs w:val="24"/>
        </w:rPr>
        <w:t>我方认同招标文件规定的评审规则，遵守评标委员会的裁决结果，并且不会采取妨碍项目进展的行为。我方理解你方没有必须接受你方可能收到的最低标或任何投标的义务。</w:t>
      </w:r>
    </w:p>
    <w:p>
      <w:pPr>
        <w:spacing w:line="360" w:lineRule="auto"/>
        <w:ind w:firstLine="420"/>
        <w:rPr>
          <w:rFonts w:ascii="宋体" w:hAnsi="宋体"/>
          <w:b/>
          <w:bCs/>
          <w:sz w:val="24"/>
          <w:u w:val="single"/>
        </w:rPr>
      </w:pPr>
      <w:r>
        <w:rPr>
          <w:rFonts w:hint="eastAsia" w:ascii="宋体" w:hAnsi="宋体"/>
          <w:b/>
          <w:bCs/>
          <w:sz w:val="24"/>
          <w:u w:val="single"/>
        </w:rPr>
        <w:t>如果我方中标，我方所配备的人员不满足本项目合同条款及勘察任务书要求，我方承诺按合同约定承担违约责任。</w:t>
      </w:r>
      <w:r>
        <w:rPr>
          <w:rFonts w:hint="eastAsia" w:ascii="宋体" w:hAnsi="宋体"/>
          <w:spacing w:val="4"/>
          <w:sz w:val="24"/>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pPr>
        <w:pStyle w:val="21"/>
        <w:spacing w:line="360" w:lineRule="auto"/>
        <w:ind w:firstLine="420"/>
        <w:rPr>
          <w:rFonts w:hAnsi="宋体"/>
          <w:sz w:val="24"/>
          <w:szCs w:val="24"/>
        </w:rPr>
      </w:pPr>
      <w:r>
        <w:rPr>
          <w:rFonts w:hint="eastAsia" w:hAnsi="宋体"/>
          <w:sz w:val="24"/>
          <w:szCs w:val="24"/>
        </w:rPr>
        <w:t>如果我方中标，我方将在合同规定的日期开工，并在竣工时间内，按照上述文件完成项目。</w:t>
      </w:r>
    </w:p>
    <w:p>
      <w:pPr>
        <w:pStyle w:val="21"/>
        <w:spacing w:line="360" w:lineRule="auto"/>
        <w:ind w:firstLine="420"/>
        <w:rPr>
          <w:rFonts w:hAnsi="宋体"/>
          <w:sz w:val="24"/>
          <w:szCs w:val="24"/>
        </w:rPr>
      </w:pPr>
      <w:r>
        <w:rPr>
          <w:rFonts w:hint="eastAsia" w:hAnsi="宋体"/>
          <w:sz w:val="24"/>
          <w:szCs w:val="24"/>
        </w:rPr>
        <w:t>除非制订正式合同协议书并生效，本投标书以及你方中标通知书，应构成你我双方间具有约束力的合同。</w:t>
      </w:r>
    </w:p>
    <w:p>
      <w:pPr>
        <w:spacing w:line="360" w:lineRule="auto"/>
        <w:ind w:firstLine="405"/>
        <w:rPr>
          <w:rFonts w:ascii="宋体" w:hAnsi="宋体"/>
          <w:sz w:val="24"/>
        </w:rPr>
      </w:pPr>
      <w:r>
        <w:rPr>
          <w:rFonts w:hint="eastAsia" w:ascii="宋体" w:hAnsi="宋体"/>
          <w:sz w:val="24"/>
        </w:rPr>
        <w:t>本投标书同时作为法人证明书或法人授权委托书。</w:t>
      </w:r>
    </w:p>
    <w:p>
      <w:pPr>
        <w:spacing w:line="360" w:lineRule="auto"/>
        <w:rPr>
          <w:rFonts w:ascii="宋体" w:hAnsi="宋体"/>
          <w:sz w:val="24"/>
        </w:rPr>
      </w:pPr>
    </w:p>
    <w:p>
      <w:pPr>
        <w:pStyle w:val="21"/>
        <w:spacing w:line="360" w:lineRule="auto"/>
        <w:ind w:firstLine="405"/>
        <w:rPr>
          <w:rFonts w:hAnsi="宋体"/>
          <w:sz w:val="24"/>
          <w:szCs w:val="24"/>
        </w:rPr>
      </w:pPr>
      <w:r>
        <w:rPr>
          <w:rFonts w:hint="eastAsia" w:hAnsi="宋体"/>
          <w:sz w:val="24"/>
          <w:szCs w:val="24"/>
        </w:rPr>
        <w:t>投标人：（盖章）</w:t>
      </w:r>
      <w:r>
        <w:rPr>
          <w:rFonts w:hint="eastAsia" w:hAnsi="宋体"/>
          <w:sz w:val="24"/>
          <w:szCs w:val="24"/>
          <w:u w:val="single"/>
        </w:rPr>
        <w:t xml:space="preserve">                                  </w:t>
      </w:r>
    </w:p>
    <w:p>
      <w:pPr>
        <w:pStyle w:val="21"/>
        <w:spacing w:line="360" w:lineRule="auto"/>
        <w:ind w:firstLine="405"/>
        <w:rPr>
          <w:rFonts w:hAnsi="宋体"/>
          <w:sz w:val="24"/>
          <w:szCs w:val="24"/>
        </w:rPr>
      </w:pPr>
      <w:r>
        <w:rPr>
          <w:rFonts w:hint="eastAsia" w:hAnsi="宋体"/>
          <w:sz w:val="24"/>
          <w:szCs w:val="24"/>
        </w:rPr>
        <w:t>法定代表人：（签字或盖章）</w:t>
      </w:r>
      <w:r>
        <w:rPr>
          <w:rFonts w:hint="eastAsia" w:hAnsi="宋体"/>
          <w:sz w:val="24"/>
          <w:szCs w:val="24"/>
          <w:u w:val="single"/>
        </w:rPr>
        <w:t xml:space="preserve">                        </w:t>
      </w:r>
    </w:p>
    <w:p>
      <w:pPr>
        <w:pStyle w:val="21"/>
        <w:spacing w:line="360" w:lineRule="auto"/>
        <w:ind w:firstLine="405"/>
        <w:rPr>
          <w:rFonts w:hAnsi="宋体"/>
          <w:sz w:val="24"/>
          <w:szCs w:val="24"/>
        </w:rPr>
      </w:pPr>
      <w:r>
        <w:rPr>
          <w:rFonts w:hint="eastAsia" w:hAnsi="宋体"/>
          <w:sz w:val="24"/>
          <w:szCs w:val="24"/>
        </w:rPr>
        <w:t>委托代理人：（签字或盖章）</w:t>
      </w:r>
      <w:r>
        <w:rPr>
          <w:rFonts w:hint="eastAsia" w:hAnsi="宋体"/>
          <w:sz w:val="24"/>
          <w:szCs w:val="24"/>
          <w:u w:val="single"/>
        </w:rPr>
        <w:t xml:space="preserve">                        </w:t>
      </w:r>
    </w:p>
    <w:p>
      <w:pPr>
        <w:pStyle w:val="21"/>
        <w:spacing w:line="360" w:lineRule="auto"/>
        <w:ind w:firstLine="405"/>
        <w:rPr>
          <w:rFonts w:hAnsi="宋体"/>
          <w:sz w:val="24"/>
          <w:szCs w:val="24"/>
        </w:rPr>
      </w:pPr>
      <w:r>
        <w:rPr>
          <w:rFonts w:hint="eastAsia" w:hAnsi="宋体"/>
          <w:sz w:val="24"/>
          <w:szCs w:val="24"/>
        </w:rPr>
        <w:t>项目负责人：（签字或盖章）</w:t>
      </w:r>
      <w:r>
        <w:rPr>
          <w:rFonts w:hint="eastAsia" w:hAnsi="宋体"/>
          <w:sz w:val="24"/>
          <w:szCs w:val="24"/>
          <w:u w:val="single"/>
        </w:rPr>
        <w:t xml:space="preserve">                        </w:t>
      </w:r>
    </w:p>
    <w:p>
      <w:pPr>
        <w:pStyle w:val="21"/>
        <w:spacing w:line="360" w:lineRule="auto"/>
        <w:ind w:firstLine="405"/>
        <w:rPr>
          <w:rFonts w:hAnsi="宋体"/>
          <w:sz w:val="24"/>
          <w:szCs w:val="24"/>
        </w:rPr>
      </w:pPr>
      <w:r>
        <w:rPr>
          <w:rFonts w:hint="eastAsia" w:hAnsi="宋体"/>
          <w:sz w:val="24"/>
          <w:szCs w:val="24"/>
        </w:rPr>
        <w:t>地址：</w:t>
      </w:r>
      <w:r>
        <w:rPr>
          <w:rFonts w:hint="eastAsia" w:hAnsi="宋体"/>
          <w:sz w:val="24"/>
          <w:szCs w:val="24"/>
          <w:u w:val="single"/>
        </w:rPr>
        <w:t xml:space="preserve">                                           </w:t>
      </w:r>
    </w:p>
    <w:p>
      <w:pPr>
        <w:pStyle w:val="21"/>
        <w:spacing w:line="360" w:lineRule="auto"/>
        <w:ind w:firstLine="405"/>
        <w:rPr>
          <w:rFonts w:hAnsi="宋体"/>
          <w:sz w:val="24"/>
          <w:szCs w:val="24"/>
        </w:rPr>
      </w:pPr>
      <w:r>
        <w:rPr>
          <w:rFonts w:hint="eastAsia" w:hAnsi="宋体"/>
          <w:sz w:val="24"/>
          <w:szCs w:val="24"/>
        </w:rPr>
        <w:t>邮政编码：</w:t>
      </w:r>
      <w:r>
        <w:rPr>
          <w:rFonts w:hint="eastAsia" w:hAnsi="宋体"/>
          <w:sz w:val="24"/>
          <w:szCs w:val="24"/>
          <w:u w:val="single"/>
        </w:rPr>
        <w:t xml:space="preserve">                                       </w:t>
      </w:r>
    </w:p>
    <w:p>
      <w:pPr>
        <w:pStyle w:val="21"/>
        <w:spacing w:line="360" w:lineRule="auto"/>
        <w:ind w:firstLine="405"/>
        <w:rPr>
          <w:rFonts w:hAnsi="宋体"/>
          <w:sz w:val="24"/>
          <w:szCs w:val="24"/>
        </w:rPr>
      </w:pPr>
      <w:r>
        <w:rPr>
          <w:rFonts w:hint="eastAsia" w:hAnsi="宋体"/>
          <w:sz w:val="24"/>
          <w:szCs w:val="24"/>
        </w:rPr>
        <w:t>电话/传真：</w:t>
      </w:r>
      <w:r>
        <w:rPr>
          <w:rFonts w:hint="eastAsia" w:hAnsi="宋体"/>
          <w:sz w:val="24"/>
          <w:szCs w:val="24"/>
          <w:u w:val="single"/>
        </w:rPr>
        <w:t xml:space="preserve">                    /FAX              </w:t>
      </w:r>
    </w:p>
    <w:p>
      <w:pPr>
        <w:pStyle w:val="21"/>
        <w:spacing w:line="360" w:lineRule="auto"/>
        <w:ind w:firstLine="405"/>
        <w:rPr>
          <w:rFonts w:hAnsi="宋体"/>
          <w:sz w:val="24"/>
          <w:szCs w:val="24"/>
        </w:rPr>
      </w:pPr>
      <w:r>
        <w:rPr>
          <w:rFonts w:hint="eastAsia" w:hAnsi="宋体"/>
          <w:sz w:val="24"/>
          <w:szCs w:val="24"/>
        </w:rPr>
        <w:t>电子邮箱：</w:t>
      </w:r>
      <w:r>
        <w:rPr>
          <w:rFonts w:hint="eastAsia" w:hAnsi="宋体"/>
          <w:sz w:val="24"/>
          <w:szCs w:val="24"/>
          <w:u w:val="single"/>
        </w:rPr>
        <w:t xml:space="preserve">                                       </w:t>
      </w:r>
    </w:p>
    <w:p>
      <w:pPr>
        <w:pStyle w:val="21"/>
        <w:spacing w:line="360" w:lineRule="auto"/>
        <w:ind w:firstLine="405"/>
        <w:rPr>
          <w:rFonts w:hAnsi="宋体"/>
          <w:sz w:val="24"/>
          <w:szCs w:val="24"/>
        </w:rPr>
      </w:pPr>
      <w:r>
        <w:rPr>
          <w:rFonts w:hint="eastAsia" w:hAnsi="宋体"/>
          <w:sz w:val="24"/>
          <w:szCs w:val="24"/>
        </w:rPr>
        <w:t>开户银行名称、帐号：</w:t>
      </w:r>
      <w:r>
        <w:rPr>
          <w:rFonts w:hint="eastAsia" w:hAnsi="宋体"/>
          <w:sz w:val="24"/>
          <w:szCs w:val="24"/>
          <w:u w:val="single"/>
        </w:rPr>
        <w:t xml:space="preserve">                             </w:t>
      </w:r>
    </w:p>
    <w:p>
      <w:pPr>
        <w:pStyle w:val="21"/>
        <w:spacing w:line="360" w:lineRule="auto"/>
        <w:ind w:firstLine="405"/>
        <w:rPr>
          <w:rFonts w:hAnsi="宋体"/>
          <w:sz w:val="24"/>
          <w:szCs w:val="24"/>
        </w:rPr>
      </w:pPr>
      <w:r>
        <w:rPr>
          <w:rFonts w:hint="eastAsia" w:hAnsi="宋体"/>
          <w:sz w:val="24"/>
          <w:szCs w:val="24"/>
        </w:rPr>
        <w:t>开户行地址/电话：</w:t>
      </w:r>
      <w:r>
        <w:rPr>
          <w:rFonts w:hint="eastAsia" w:hAnsi="宋体"/>
          <w:sz w:val="24"/>
          <w:szCs w:val="24"/>
          <w:u w:val="single"/>
        </w:rPr>
        <w:t xml:space="preserve">                                </w:t>
      </w:r>
    </w:p>
    <w:p>
      <w:pPr>
        <w:pStyle w:val="21"/>
        <w:spacing w:line="360" w:lineRule="auto"/>
        <w:rPr>
          <w:rFonts w:hAnsi="宋体"/>
          <w:sz w:val="24"/>
          <w:szCs w:val="24"/>
        </w:rPr>
      </w:pPr>
    </w:p>
    <w:p>
      <w:pPr>
        <w:pStyle w:val="21"/>
        <w:spacing w:line="360" w:lineRule="auto"/>
        <w:rPr>
          <w:rFonts w:hAnsi="宋体"/>
          <w:sz w:val="24"/>
          <w:szCs w:val="24"/>
        </w:rPr>
      </w:pPr>
      <w:r>
        <w:rPr>
          <w:rFonts w:hint="eastAsia" w:hAnsi="宋体"/>
          <w:sz w:val="24"/>
          <w:szCs w:val="24"/>
        </w:rPr>
        <w:t xml:space="preserve">                                     日期：       年    月    日</w:t>
      </w:r>
    </w:p>
    <w:p>
      <w:pPr>
        <w:pStyle w:val="3"/>
        <w:spacing w:line="360" w:lineRule="auto"/>
        <w:rPr>
          <w:rFonts w:ascii="宋体" w:hAnsi="宋体"/>
          <w:b w:val="0"/>
          <w:bCs w:val="0"/>
          <w:strike/>
          <w:dstrike w:val="0"/>
        </w:rPr>
      </w:pPr>
      <w:r>
        <w:rPr>
          <w:rFonts w:hint="eastAsia" w:ascii="宋体" w:hAnsi="宋体"/>
          <w:sz w:val="24"/>
          <w:szCs w:val="24"/>
        </w:rPr>
        <w:br w:type="page"/>
      </w:r>
      <w:bookmarkStart w:id="38" w:name="_Toc20379"/>
      <w:bookmarkStart w:id="39" w:name="_Toc19602"/>
      <w:r>
        <w:rPr>
          <w:rFonts w:hint="eastAsia" w:ascii="宋体" w:hAnsi="宋体"/>
          <w:strike/>
          <w:dstrike w:val="0"/>
          <w:sz w:val="21"/>
          <w:szCs w:val="21"/>
        </w:rPr>
        <w:t>附录7 联合体共同投标协议</w:t>
      </w:r>
      <w:bookmarkEnd w:id="38"/>
      <w:bookmarkEnd w:id="39"/>
    </w:p>
    <w:p>
      <w:pPr>
        <w:jc w:val="center"/>
        <w:rPr>
          <w:rFonts w:ascii="宋体" w:hAnsi="宋体"/>
          <w:strike/>
          <w:dstrike w:val="0"/>
          <w:sz w:val="24"/>
        </w:rPr>
      </w:pPr>
      <w:r>
        <w:rPr>
          <w:rFonts w:hint="eastAsia" w:ascii="宋体" w:hAnsi="宋体"/>
          <w:b/>
          <w:bCs/>
          <w:strike/>
          <w:dstrike w:val="0"/>
          <w:sz w:val="32"/>
        </w:rPr>
        <w:t>联合体共同投标协议</w:t>
      </w:r>
    </w:p>
    <w:p>
      <w:pPr>
        <w:spacing w:line="360" w:lineRule="auto"/>
        <w:jc w:val="left"/>
        <w:rPr>
          <w:rFonts w:ascii="宋体" w:hAnsi="宋体"/>
          <w:strike/>
          <w:dstrike w:val="0"/>
          <w:sz w:val="24"/>
        </w:rPr>
      </w:pPr>
      <w:r>
        <w:rPr>
          <w:rFonts w:hint="eastAsia" w:ascii="宋体" w:hAnsi="宋体"/>
          <w:strike/>
          <w:dstrike w:val="0"/>
          <w:sz w:val="24"/>
        </w:rPr>
        <w:t>投标项目名称：</w:t>
      </w:r>
      <w:r>
        <w:rPr>
          <w:rFonts w:hint="eastAsia" w:ascii="宋体" w:hAnsi="宋体"/>
          <w:strike/>
          <w:dstrike w:val="0"/>
          <w:sz w:val="24"/>
          <w:u w:val="single"/>
        </w:rPr>
        <w:t xml:space="preserve">                                           </w:t>
      </w:r>
      <w:r>
        <w:rPr>
          <w:rFonts w:hint="eastAsia" w:ascii="宋体" w:hAnsi="宋体"/>
          <w:strike/>
          <w:dstrike w:val="0"/>
          <w:sz w:val="24"/>
        </w:rPr>
        <w:t>。</w:t>
      </w:r>
    </w:p>
    <w:p>
      <w:pPr>
        <w:pStyle w:val="21"/>
        <w:spacing w:line="360" w:lineRule="auto"/>
        <w:rPr>
          <w:rFonts w:hAnsi="宋体"/>
          <w:strike/>
          <w:dstrike w:val="0"/>
          <w:sz w:val="24"/>
          <w:szCs w:val="24"/>
        </w:rPr>
      </w:pPr>
      <w:r>
        <w:rPr>
          <w:rFonts w:hint="eastAsia" w:hAnsi="宋体"/>
          <w:strike/>
          <w:dstrike w:val="0"/>
          <w:sz w:val="24"/>
          <w:szCs w:val="24"/>
        </w:rPr>
        <w:t>致：</w:t>
      </w:r>
      <w:r>
        <w:rPr>
          <w:rFonts w:hint="eastAsia" w:hAnsi="宋体"/>
          <w:strike/>
          <w:dstrike w:val="0"/>
          <w:sz w:val="24"/>
          <w:szCs w:val="24"/>
          <w:u w:val="single"/>
        </w:rPr>
        <w:t xml:space="preserve">                                    </w:t>
      </w:r>
      <w:r>
        <w:rPr>
          <w:rFonts w:hint="eastAsia" w:hAnsi="宋体"/>
          <w:strike/>
          <w:dstrike w:val="0"/>
          <w:sz w:val="24"/>
          <w:szCs w:val="24"/>
        </w:rPr>
        <w:t>（招标人、招标代理机构名称）</w:t>
      </w:r>
    </w:p>
    <w:p>
      <w:pPr>
        <w:spacing w:line="360" w:lineRule="auto"/>
        <w:jc w:val="left"/>
        <w:rPr>
          <w:rFonts w:ascii="宋体" w:hAnsi="宋体"/>
          <w:strike/>
          <w:dstrike w:val="0"/>
          <w:sz w:val="24"/>
        </w:rPr>
      </w:pPr>
    </w:p>
    <w:p>
      <w:pPr>
        <w:spacing w:line="360" w:lineRule="auto"/>
        <w:ind w:firstLine="405"/>
        <w:rPr>
          <w:rFonts w:hint="eastAsia" w:hAnsi="宋体"/>
          <w:strike/>
          <w:dstrike w:val="0"/>
          <w:sz w:val="24"/>
          <w:szCs w:val="24"/>
        </w:rPr>
      </w:pPr>
      <w:r>
        <w:rPr>
          <w:rFonts w:hint="eastAsia" w:hAnsi="宋体"/>
          <w:strike/>
          <w:dstrike w:val="0"/>
          <w:sz w:val="24"/>
          <w:szCs w:val="24"/>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pPr>
        <w:spacing w:line="360" w:lineRule="auto"/>
        <w:ind w:firstLine="405"/>
        <w:rPr>
          <w:rFonts w:hint="eastAsia" w:hAnsi="宋体"/>
          <w:strike/>
          <w:dstrike w:val="0"/>
          <w:sz w:val="24"/>
          <w:szCs w:val="24"/>
        </w:rPr>
      </w:pPr>
      <w:r>
        <w:rPr>
          <w:rFonts w:hint="eastAsia" w:hAnsi="宋体"/>
          <w:strike/>
          <w:dstrike w:val="0"/>
          <w:sz w:val="24"/>
          <w:szCs w:val="24"/>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05"/>
        <w:rPr>
          <w:rFonts w:ascii="宋体" w:hAnsi="宋体"/>
          <w:strike/>
          <w:dstrike w:val="0"/>
          <w:sz w:val="24"/>
        </w:rPr>
      </w:pPr>
      <w:r>
        <w:rPr>
          <w:rFonts w:hint="eastAsia" w:hAnsi="宋体"/>
          <w:strike/>
          <w:dstrike w:val="0"/>
          <w:sz w:val="24"/>
          <w:szCs w:val="24"/>
        </w:rPr>
        <w:t>本投标协议同时作为法人证明书或法人授权委托书</w:t>
      </w:r>
      <w:r>
        <w:rPr>
          <w:rFonts w:hint="eastAsia" w:ascii="宋体" w:hAnsi="宋体"/>
          <w:strike/>
          <w:dstrike w:val="0"/>
          <w:sz w:val="24"/>
        </w:rPr>
        <w:t>。</w:t>
      </w:r>
    </w:p>
    <w:p>
      <w:pPr>
        <w:pStyle w:val="21"/>
        <w:spacing w:line="360" w:lineRule="auto"/>
        <w:ind w:firstLine="405"/>
        <w:rPr>
          <w:rFonts w:hAnsi="宋体"/>
          <w:strike/>
          <w:dstrike w:val="0"/>
          <w:sz w:val="24"/>
          <w:szCs w:val="24"/>
        </w:rPr>
      </w:pPr>
      <w:r>
        <w:rPr>
          <w:rFonts w:hint="eastAsia" w:hAnsi="宋体"/>
          <w:strike/>
          <w:dstrike w:val="0"/>
          <w:sz w:val="24"/>
          <w:szCs w:val="24"/>
        </w:rPr>
        <w:t>投标主办方：（盖章）</w:t>
      </w:r>
      <w:r>
        <w:rPr>
          <w:rFonts w:hint="eastAsia" w:hAnsi="宋体"/>
          <w:strike/>
          <w:dstrike w:val="0"/>
          <w:sz w:val="24"/>
          <w:szCs w:val="24"/>
          <w:u w:val="single"/>
        </w:rPr>
        <w:t xml:space="preserve">                                         </w:t>
      </w:r>
    </w:p>
    <w:p>
      <w:pPr>
        <w:pStyle w:val="21"/>
        <w:spacing w:line="360" w:lineRule="auto"/>
        <w:ind w:firstLine="405"/>
        <w:rPr>
          <w:rFonts w:hAnsi="宋体"/>
          <w:strike/>
          <w:dstrike w:val="0"/>
          <w:sz w:val="24"/>
          <w:szCs w:val="24"/>
        </w:rPr>
      </w:pPr>
      <w:r>
        <w:rPr>
          <w:rFonts w:hint="eastAsia" w:hAnsi="宋体"/>
          <w:strike/>
          <w:dstrike w:val="0"/>
          <w:sz w:val="24"/>
          <w:szCs w:val="24"/>
        </w:rPr>
        <w:t>法定代表人：（签字或盖章）</w:t>
      </w:r>
      <w:r>
        <w:rPr>
          <w:rFonts w:hint="eastAsia" w:hAnsi="宋体"/>
          <w:strike/>
          <w:dstrike w:val="0"/>
          <w:sz w:val="24"/>
          <w:szCs w:val="24"/>
          <w:u w:val="single"/>
        </w:rPr>
        <w:t xml:space="preserve">                                   </w:t>
      </w:r>
    </w:p>
    <w:p>
      <w:pPr>
        <w:pStyle w:val="21"/>
        <w:spacing w:line="360" w:lineRule="auto"/>
        <w:ind w:firstLine="405"/>
        <w:rPr>
          <w:rFonts w:hAnsi="宋体"/>
          <w:strike/>
          <w:dstrike w:val="0"/>
          <w:sz w:val="24"/>
          <w:szCs w:val="24"/>
        </w:rPr>
      </w:pPr>
      <w:r>
        <w:rPr>
          <w:rFonts w:hint="eastAsia" w:hAnsi="宋体"/>
          <w:strike/>
          <w:dstrike w:val="0"/>
          <w:sz w:val="24"/>
          <w:szCs w:val="24"/>
        </w:rPr>
        <w:t>委托代理人：（签字或盖章）</w:t>
      </w:r>
      <w:r>
        <w:rPr>
          <w:rFonts w:hint="eastAsia" w:hAnsi="宋体"/>
          <w:strike/>
          <w:dstrike w:val="0"/>
          <w:sz w:val="24"/>
          <w:szCs w:val="24"/>
          <w:u w:val="single"/>
        </w:rPr>
        <w:t xml:space="preserve">                                   </w:t>
      </w:r>
    </w:p>
    <w:p>
      <w:pPr>
        <w:pStyle w:val="21"/>
        <w:spacing w:line="360" w:lineRule="auto"/>
        <w:ind w:firstLine="405"/>
        <w:rPr>
          <w:rFonts w:hAnsi="宋体"/>
          <w:strike/>
          <w:dstrike w:val="0"/>
          <w:sz w:val="24"/>
          <w:szCs w:val="24"/>
        </w:rPr>
      </w:pPr>
      <w:r>
        <w:rPr>
          <w:rFonts w:hint="eastAsia" w:hAnsi="宋体"/>
          <w:strike/>
          <w:dstrike w:val="0"/>
          <w:sz w:val="24"/>
          <w:szCs w:val="24"/>
        </w:rPr>
        <w:t>地址：</w:t>
      </w:r>
      <w:r>
        <w:rPr>
          <w:rFonts w:hint="eastAsia" w:hAnsi="宋体"/>
          <w:strike/>
          <w:dstrike w:val="0"/>
          <w:sz w:val="24"/>
          <w:szCs w:val="24"/>
          <w:u w:val="single"/>
        </w:rPr>
        <w:t xml:space="preserve">                                                      </w:t>
      </w:r>
    </w:p>
    <w:p>
      <w:pPr>
        <w:pStyle w:val="21"/>
        <w:spacing w:line="360" w:lineRule="auto"/>
        <w:ind w:firstLine="405"/>
        <w:rPr>
          <w:rFonts w:hAnsi="宋体"/>
          <w:strike/>
          <w:dstrike w:val="0"/>
          <w:sz w:val="24"/>
          <w:szCs w:val="24"/>
        </w:rPr>
      </w:pPr>
      <w:r>
        <w:rPr>
          <w:rFonts w:hint="eastAsia" w:hAnsi="宋体"/>
          <w:strike/>
          <w:dstrike w:val="0"/>
          <w:sz w:val="24"/>
          <w:szCs w:val="24"/>
        </w:rPr>
        <w:t>邮政编码：</w:t>
      </w:r>
      <w:r>
        <w:rPr>
          <w:rFonts w:hint="eastAsia" w:hAnsi="宋体"/>
          <w:strike/>
          <w:dstrike w:val="0"/>
          <w:sz w:val="24"/>
          <w:szCs w:val="24"/>
          <w:u w:val="single"/>
        </w:rPr>
        <w:t xml:space="preserve">          </w:t>
      </w:r>
      <w:r>
        <w:rPr>
          <w:rFonts w:hint="eastAsia" w:hAnsi="宋体"/>
          <w:strike/>
          <w:dstrike w:val="0"/>
          <w:sz w:val="24"/>
          <w:szCs w:val="24"/>
        </w:rPr>
        <w:t>电话/传真：</w:t>
      </w:r>
      <w:r>
        <w:rPr>
          <w:rFonts w:hint="eastAsia" w:hAnsi="宋体"/>
          <w:strike/>
          <w:dstrike w:val="0"/>
          <w:sz w:val="24"/>
          <w:szCs w:val="24"/>
          <w:u w:val="single"/>
        </w:rPr>
        <w:t xml:space="preserve">                             </w:t>
      </w:r>
    </w:p>
    <w:p>
      <w:pPr>
        <w:pStyle w:val="21"/>
        <w:spacing w:line="360" w:lineRule="auto"/>
        <w:ind w:firstLine="405"/>
        <w:rPr>
          <w:rFonts w:hAnsi="宋体"/>
          <w:strike/>
          <w:dstrike w:val="0"/>
          <w:sz w:val="24"/>
          <w:szCs w:val="24"/>
        </w:rPr>
      </w:pPr>
      <w:r>
        <w:rPr>
          <w:rFonts w:hint="eastAsia" w:hAnsi="宋体"/>
          <w:strike/>
          <w:dstrike w:val="0"/>
          <w:sz w:val="24"/>
          <w:szCs w:val="24"/>
        </w:rPr>
        <w:t>分工内容：</w:t>
      </w:r>
      <w:r>
        <w:rPr>
          <w:rFonts w:hint="eastAsia" w:hAnsi="宋体"/>
          <w:strike/>
          <w:dstrike w:val="0"/>
          <w:sz w:val="24"/>
          <w:szCs w:val="24"/>
          <w:u w:val="single"/>
        </w:rPr>
        <w:t xml:space="preserve">                                                  </w:t>
      </w:r>
    </w:p>
    <w:p>
      <w:pPr>
        <w:pStyle w:val="21"/>
        <w:spacing w:line="360" w:lineRule="auto"/>
        <w:rPr>
          <w:rFonts w:hAnsi="宋体"/>
          <w:strike/>
          <w:dstrike w:val="0"/>
          <w:sz w:val="24"/>
          <w:szCs w:val="24"/>
        </w:rPr>
      </w:pPr>
    </w:p>
    <w:p>
      <w:pPr>
        <w:pStyle w:val="21"/>
        <w:spacing w:line="360" w:lineRule="auto"/>
        <w:ind w:firstLine="405"/>
        <w:rPr>
          <w:rFonts w:hAnsi="宋体"/>
          <w:strike/>
          <w:dstrike w:val="0"/>
          <w:sz w:val="24"/>
          <w:szCs w:val="24"/>
        </w:rPr>
      </w:pPr>
      <w:r>
        <w:rPr>
          <w:rFonts w:hint="eastAsia" w:hAnsi="宋体"/>
          <w:strike/>
          <w:dstrike w:val="0"/>
          <w:sz w:val="24"/>
          <w:szCs w:val="24"/>
        </w:rPr>
        <w:t>联合体成员：（盖章）</w:t>
      </w:r>
      <w:r>
        <w:rPr>
          <w:rFonts w:hint="eastAsia" w:hAnsi="宋体"/>
          <w:strike/>
          <w:dstrike w:val="0"/>
          <w:sz w:val="24"/>
          <w:szCs w:val="24"/>
          <w:u w:val="single"/>
        </w:rPr>
        <w:t xml:space="preserve">                                         </w:t>
      </w:r>
    </w:p>
    <w:p>
      <w:pPr>
        <w:pStyle w:val="21"/>
        <w:spacing w:line="360" w:lineRule="auto"/>
        <w:ind w:firstLine="405"/>
        <w:rPr>
          <w:rFonts w:hAnsi="宋体"/>
          <w:strike/>
          <w:dstrike w:val="0"/>
          <w:sz w:val="24"/>
          <w:szCs w:val="24"/>
        </w:rPr>
      </w:pPr>
      <w:r>
        <w:rPr>
          <w:rFonts w:hint="eastAsia" w:hAnsi="宋体"/>
          <w:strike/>
          <w:dstrike w:val="0"/>
          <w:sz w:val="24"/>
          <w:szCs w:val="24"/>
        </w:rPr>
        <w:t>法定代表人：（签字或盖章）</w:t>
      </w:r>
      <w:r>
        <w:rPr>
          <w:rFonts w:hint="eastAsia" w:hAnsi="宋体"/>
          <w:strike/>
          <w:dstrike w:val="0"/>
          <w:sz w:val="24"/>
          <w:szCs w:val="24"/>
          <w:u w:val="single"/>
        </w:rPr>
        <w:t xml:space="preserve">                                   </w:t>
      </w:r>
    </w:p>
    <w:p>
      <w:pPr>
        <w:pStyle w:val="21"/>
        <w:spacing w:line="360" w:lineRule="auto"/>
        <w:ind w:firstLine="405"/>
        <w:rPr>
          <w:rFonts w:hAnsi="宋体"/>
          <w:strike/>
          <w:dstrike w:val="0"/>
          <w:sz w:val="24"/>
          <w:szCs w:val="24"/>
        </w:rPr>
      </w:pPr>
      <w:r>
        <w:rPr>
          <w:rFonts w:hint="eastAsia" w:hAnsi="宋体"/>
          <w:strike/>
          <w:dstrike w:val="0"/>
          <w:sz w:val="24"/>
          <w:szCs w:val="24"/>
        </w:rPr>
        <w:t>委托代理人：（签字或盖章）</w:t>
      </w:r>
      <w:r>
        <w:rPr>
          <w:rFonts w:hint="eastAsia" w:hAnsi="宋体"/>
          <w:strike/>
          <w:dstrike w:val="0"/>
          <w:sz w:val="24"/>
          <w:szCs w:val="24"/>
          <w:u w:val="single"/>
        </w:rPr>
        <w:t xml:space="preserve">                                   </w:t>
      </w:r>
    </w:p>
    <w:p>
      <w:pPr>
        <w:pStyle w:val="21"/>
        <w:spacing w:line="360" w:lineRule="auto"/>
        <w:ind w:firstLine="405"/>
        <w:rPr>
          <w:rFonts w:hAnsi="宋体"/>
          <w:strike/>
          <w:dstrike w:val="0"/>
          <w:sz w:val="24"/>
          <w:szCs w:val="24"/>
        </w:rPr>
      </w:pPr>
      <w:r>
        <w:rPr>
          <w:rFonts w:hint="eastAsia" w:hAnsi="宋体"/>
          <w:strike/>
          <w:dstrike w:val="0"/>
          <w:sz w:val="24"/>
          <w:szCs w:val="24"/>
        </w:rPr>
        <w:t>地址：</w:t>
      </w:r>
      <w:r>
        <w:rPr>
          <w:rFonts w:hint="eastAsia" w:hAnsi="宋体"/>
          <w:strike/>
          <w:dstrike w:val="0"/>
          <w:sz w:val="24"/>
          <w:szCs w:val="24"/>
          <w:u w:val="single"/>
        </w:rPr>
        <w:t xml:space="preserve">                                                      </w:t>
      </w:r>
    </w:p>
    <w:p>
      <w:pPr>
        <w:pStyle w:val="21"/>
        <w:spacing w:line="360" w:lineRule="auto"/>
        <w:ind w:firstLine="405"/>
        <w:rPr>
          <w:rFonts w:hAnsi="宋体"/>
          <w:strike/>
          <w:dstrike w:val="0"/>
          <w:sz w:val="24"/>
          <w:szCs w:val="24"/>
        </w:rPr>
      </w:pPr>
      <w:r>
        <w:rPr>
          <w:rFonts w:hint="eastAsia" w:hAnsi="宋体"/>
          <w:strike/>
          <w:dstrike w:val="0"/>
          <w:sz w:val="24"/>
          <w:szCs w:val="24"/>
        </w:rPr>
        <w:t>邮政编码：</w:t>
      </w:r>
      <w:r>
        <w:rPr>
          <w:rFonts w:hint="eastAsia" w:hAnsi="宋体"/>
          <w:strike/>
          <w:dstrike w:val="0"/>
          <w:sz w:val="24"/>
          <w:szCs w:val="24"/>
          <w:u w:val="single"/>
        </w:rPr>
        <w:t xml:space="preserve">          </w:t>
      </w:r>
      <w:r>
        <w:rPr>
          <w:rFonts w:hint="eastAsia" w:hAnsi="宋体"/>
          <w:strike/>
          <w:dstrike w:val="0"/>
          <w:sz w:val="24"/>
          <w:szCs w:val="24"/>
        </w:rPr>
        <w:t>电话/传真：</w:t>
      </w:r>
      <w:r>
        <w:rPr>
          <w:rFonts w:hint="eastAsia" w:hAnsi="宋体"/>
          <w:strike/>
          <w:dstrike w:val="0"/>
          <w:sz w:val="24"/>
          <w:szCs w:val="24"/>
          <w:u w:val="single"/>
        </w:rPr>
        <w:t xml:space="preserve">                             </w:t>
      </w:r>
    </w:p>
    <w:p>
      <w:pPr>
        <w:pStyle w:val="21"/>
        <w:spacing w:line="360" w:lineRule="auto"/>
        <w:ind w:firstLine="405"/>
        <w:rPr>
          <w:rFonts w:hAnsi="宋体"/>
          <w:strike/>
          <w:dstrike w:val="0"/>
          <w:sz w:val="24"/>
          <w:szCs w:val="24"/>
          <w:u w:val="single"/>
        </w:rPr>
      </w:pPr>
      <w:r>
        <w:rPr>
          <w:rFonts w:hint="eastAsia" w:hAnsi="宋体"/>
          <w:strike/>
          <w:dstrike w:val="0"/>
          <w:sz w:val="24"/>
          <w:szCs w:val="24"/>
        </w:rPr>
        <w:t>分工内容：</w:t>
      </w:r>
      <w:r>
        <w:rPr>
          <w:rFonts w:hint="eastAsia" w:hAnsi="宋体"/>
          <w:strike/>
          <w:dstrike w:val="0"/>
          <w:sz w:val="24"/>
          <w:szCs w:val="24"/>
          <w:u w:val="single"/>
        </w:rPr>
        <w:t xml:space="preserve">                                                  </w:t>
      </w:r>
    </w:p>
    <w:p>
      <w:pPr>
        <w:pStyle w:val="21"/>
        <w:spacing w:line="360" w:lineRule="auto"/>
        <w:ind w:firstLine="405"/>
        <w:rPr>
          <w:rFonts w:hAnsi="宋体"/>
          <w:strike/>
          <w:dstrike w:val="0"/>
          <w:sz w:val="24"/>
          <w:szCs w:val="24"/>
          <w:u w:val="single"/>
        </w:rPr>
      </w:pPr>
    </w:p>
    <w:p>
      <w:pPr>
        <w:spacing w:line="360" w:lineRule="auto"/>
        <w:jc w:val="right"/>
        <w:rPr>
          <w:rFonts w:ascii="宋体" w:hAnsi="宋体"/>
          <w:strike/>
          <w:dstrike w:val="0"/>
          <w:sz w:val="24"/>
        </w:rPr>
      </w:pPr>
      <w:r>
        <w:rPr>
          <w:rFonts w:hint="eastAsia" w:ascii="宋体" w:hAnsi="宋体"/>
          <w:strike/>
          <w:dstrike w:val="0"/>
          <w:sz w:val="24"/>
        </w:rPr>
        <w:t>签订日期：   年  月  日</w:t>
      </w:r>
    </w:p>
    <w:p>
      <w:pPr>
        <w:pStyle w:val="3"/>
        <w:spacing w:line="360" w:lineRule="auto"/>
        <w:rPr>
          <w:rFonts w:ascii="宋体" w:hAnsi="宋体"/>
          <w:sz w:val="21"/>
          <w:szCs w:val="21"/>
        </w:rPr>
      </w:pPr>
      <w:bookmarkStart w:id="40" w:name="_Toc24934"/>
      <w:bookmarkStart w:id="41" w:name="_Toc30860"/>
      <w:r>
        <w:rPr>
          <w:rFonts w:hint="eastAsia" w:ascii="宋体" w:hAnsi="宋体"/>
          <w:sz w:val="21"/>
          <w:szCs w:val="21"/>
        </w:rPr>
        <w:t>附录</w:t>
      </w:r>
      <w:r>
        <w:rPr>
          <w:rFonts w:hint="eastAsia" w:ascii="宋体" w:hAnsi="宋体"/>
          <w:sz w:val="21"/>
          <w:szCs w:val="21"/>
          <w:lang w:val="en-US" w:eastAsia="zh-CN"/>
        </w:rPr>
        <w:t>8</w:t>
      </w:r>
      <w:r>
        <w:rPr>
          <w:rFonts w:hint="eastAsia" w:ascii="宋体" w:hAnsi="宋体"/>
          <w:sz w:val="21"/>
          <w:szCs w:val="21"/>
        </w:rPr>
        <w:t xml:space="preserve"> 投标人声明</w:t>
      </w:r>
      <w:bookmarkEnd w:id="40"/>
      <w:bookmarkEnd w:id="41"/>
    </w:p>
    <w:p>
      <w:pPr>
        <w:jc w:val="center"/>
        <w:rPr>
          <w:rFonts w:ascii="宋体" w:hAnsi="宋体"/>
          <w:b/>
          <w:sz w:val="32"/>
        </w:rPr>
      </w:pPr>
      <w:r>
        <w:rPr>
          <w:rFonts w:hint="eastAsia" w:ascii="宋体" w:hAnsi="宋体"/>
          <w:b/>
          <w:sz w:val="32"/>
        </w:rPr>
        <w:t>投标人声明</w:t>
      </w:r>
    </w:p>
    <w:p>
      <w:pPr>
        <w:pStyle w:val="60"/>
        <w:spacing w:line="400" w:lineRule="exact"/>
        <w:rPr>
          <w:rFonts w:ascii="宋体" w:hAnsi="宋体" w:eastAsia="宋体"/>
          <w:color w:val="auto"/>
          <w:sz w:val="24"/>
          <w:szCs w:val="24"/>
        </w:rPr>
      </w:pPr>
    </w:p>
    <w:p>
      <w:pPr>
        <w:pStyle w:val="60"/>
        <w:ind w:firstLine="0"/>
        <w:rPr>
          <w:rFonts w:ascii="宋体" w:hAnsi="宋体" w:eastAsia="宋体"/>
          <w:color w:val="auto"/>
          <w:sz w:val="24"/>
          <w:szCs w:val="24"/>
        </w:rPr>
      </w:pPr>
      <w:r>
        <w:rPr>
          <w:rFonts w:hint="eastAsia" w:ascii="宋体" w:hAnsi="宋体" w:eastAsia="宋体"/>
          <w:color w:val="auto"/>
          <w:sz w:val="24"/>
          <w:szCs w:val="24"/>
        </w:rPr>
        <w:t>广州市住房和城乡建设局、本招标项目招标人及招标监管机构：</w:t>
      </w:r>
    </w:p>
    <w:p>
      <w:pPr>
        <w:pStyle w:val="60"/>
        <w:rPr>
          <w:rFonts w:ascii="宋体" w:hAnsi="宋体" w:eastAsia="宋体"/>
          <w:color w:val="auto"/>
          <w:sz w:val="24"/>
          <w:szCs w:val="24"/>
        </w:rPr>
      </w:pPr>
      <w:r>
        <w:rPr>
          <w:rFonts w:hint="eastAsia" w:ascii="宋体" w:hAnsi="宋体" w:eastAsia="宋体"/>
          <w:color w:val="auto"/>
          <w:sz w:val="24"/>
          <w:szCs w:val="24"/>
        </w:rPr>
        <w:t>本公司就参加</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投标工作，作出郑重声明：我方与招标人过去3年内无合同履约纠纷，不存在第三章第3.11项规定的任何一种情形。</w:t>
      </w:r>
    </w:p>
    <w:p>
      <w:pPr>
        <w:spacing w:line="360" w:lineRule="auto"/>
        <w:rPr>
          <w:rFonts w:ascii="宋体" w:hAnsi="宋体"/>
          <w:sz w:val="24"/>
        </w:rPr>
      </w:pPr>
    </w:p>
    <w:p>
      <w:pPr>
        <w:pStyle w:val="60"/>
        <w:rPr>
          <w:rFonts w:ascii="宋体" w:hAnsi="宋体" w:eastAsia="宋体"/>
          <w:color w:val="auto"/>
          <w:sz w:val="24"/>
          <w:szCs w:val="24"/>
        </w:rPr>
      </w:pPr>
      <w:r>
        <w:rPr>
          <w:rFonts w:hint="eastAsia" w:ascii="宋体" w:hAnsi="宋体" w:eastAsia="宋体"/>
          <w:color w:val="auto"/>
          <w:sz w:val="24"/>
          <w:szCs w:val="24"/>
        </w:rPr>
        <w:t>特此声明。</w:t>
      </w:r>
    </w:p>
    <w:p>
      <w:pPr>
        <w:pStyle w:val="60"/>
        <w:rPr>
          <w:rFonts w:ascii="宋体" w:hAnsi="宋体" w:eastAsia="宋体"/>
          <w:color w:val="auto"/>
          <w:sz w:val="24"/>
          <w:szCs w:val="24"/>
        </w:rPr>
      </w:pPr>
    </w:p>
    <w:p>
      <w:pPr>
        <w:pStyle w:val="59"/>
        <w:ind w:left="0" w:right="1449" w:firstLine="3840" w:firstLineChars="1600"/>
        <w:jc w:val="both"/>
        <w:rPr>
          <w:rFonts w:ascii="宋体" w:hAnsi="宋体" w:eastAsia="宋体"/>
          <w:color w:val="auto"/>
          <w:sz w:val="24"/>
          <w:szCs w:val="24"/>
        </w:rPr>
      </w:pPr>
      <w:r>
        <w:rPr>
          <w:rFonts w:hint="eastAsia" w:ascii="宋体" w:hAnsi="宋体" w:eastAsia="宋体"/>
          <w:color w:val="auto"/>
          <w:sz w:val="24"/>
          <w:szCs w:val="24"/>
        </w:rPr>
        <w:t>投标人：(盖章)</w:t>
      </w:r>
    </w:p>
    <w:p>
      <w:pPr>
        <w:pStyle w:val="60"/>
        <w:ind w:right="1449" w:firstLine="0"/>
        <w:jc w:val="center"/>
        <w:rPr>
          <w:rFonts w:ascii="宋体" w:hAnsi="宋体" w:eastAsia="宋体"/>
          <w:color w:val="auto"/>
          <w:sz w:val="24"/>
          <w:szCs w:val="24"/>
        </w:rPr>
      </w:pPr>
      <w:r>
        <w:rPr>
          <w:rFonts w:hint="eastAsia" w:ascii="宋体" w:hAnsi="宋体" w:eastAsia="宋体"/>
          <w:color w:val="auto"/>
          <w:sz w:val="24"/>
          <w:szCs w:val="24"/>
        </w:rPr>
        <w:t xml:space="preserve">                                          </w:t>
      </w:r>
    </w:p>
    <w:p>
      <w:pPr>
        <w:pStyle w:val="60"/>
        <w:ind w:right="2079" w:firstLine="2160" w:firstLineChars="900"/>
        <w:jc w:val="right"/>
        <w:rPr>
          <w:rFonts w:ascii="宋体" w:hAnsi="宋体" w:eastAsia="宋体"/>
          <w:color w:val="auto"/>
          <w:sz w:val="24"/>
          <w:szCs w:val="24"/>
        </w:rPr>
      </w:pPr>
      <w:r>
        <w:rPr>
          <w:rFonts w:hint="eastAsia" w:ascii="宋体" w:hAnsi="宋体" w:eastAsia="宋体"/>
          <w:color w:val="auto"/>
          <w:sz w:val="24"/>
          <w:szCs w:val="24"/>
        </w:rPr>
        <w:t>年   月   日</w:t>
      </w:r>
    </w:p>
    <w:p>
      <w:pPr>
        <w:spacing w:line="360" w:lineRule="auto"/>
        <w:jc w:val="left"/>
        <w:rPr>
          <w:rFonts w:ascii="宋体" w:hAnsi="宋体"/>
          <w:sz w:val="24"/>
        </w:rPr>
      </w:pPr>
    </w:p>
    <w:p>
      <w:pPr>
        <w:pStyle w:val="21"/>
        <w:spacing w:line="360" w:lineRule="auto"/>
        <w:rPr>
          <w:rFonts w:hAnsi="宋体"/>
          <w:sz w:val="24"/>
          <w:szCs w:val="24"/>
        </w:rPr>
      </w:pPr>
      <w:r>
        <w:rPr>
          <w:rFonts w:hint="eastAsia" w:hAnsi="宋体"/>
          <w:sz w:val="24"/>
          <w:szCs w:val="24"/>
        </w:rPr>
        <w:t xml:space="preserve"> </w:t>
      </w:r>
    </w:p>
    <w:p>
      <w:pPr>
        <w:pStyle w:val="21"/>
        <w:rPr>
          <w:rFonts w:hAnsi="宋体"/>
        </w:rPr>
      </w:pPr>
    </w:p>
    <w:p>
      <w:pPr>
        <w:rPr>
          <w:rFonts w:ascii="宋体" w:hAnsi="宋体"/>
        </w:rPr>
      </w:pPr>
      <w:r>
        <w:rPr>
          <w:rFonts w:hint="eastAsia" w:ascii="宋体" w:hAnsi="宋体"/>
        </w:rPr>
        <w:br w:type="page"/>
      </w:r>
    </w:p>
    <w:p>
      <w:pPr>
        <w:outlineLvl w:val="0"/>
        <w:rPr>
          <w:rFonts w:ascii="宋体" w:hAnsi="宋体"/>
          <w:b/>
          <w:szCs w:val="21"/>
        </w:rPr>
      </w:pPr>
      <w:bookmarkStart w:id="42" w:name="_Toc32146"/>
      <w:bookmarkStart w:id="43" w:name="_Toc13681"/>
      <w:r>
        <w:rPr>
          <w:rFonts w:hint="eastAsia" w:ascii="宋体" w:hAnsi="宋体"/>
          <w:b/>
          <w:szCs w:val="21"/>
        </w:rPr>
        <w:t>附录</w:t>
      </w:r>
      <w:r>
        <w:rPr>
          <w:rFonts w:hint="eastAsia" w:ascii="宋体" w:hAnsi="宋体"/>
          <w:b/>
          <w:szCs w:val="21"/>
          <w:lang w:val="en-US" w:eastAsia="zh-CN"/>
        </w:rPr>
        <w:t>9</w:t>
      </w:r>
      <w:r>
        <w:rPr>
          <w:rFonts w:hint="eastAsia" w:ascii="宋体" w:hAnsi="宋体"/>
          <w:b/>
          <w:szCs w:val="21"/>
        </w:rPr>
        <w:t>资格审查表</w:t>
      </w:r>
      <w:bookmarkEnd w:id="42"/>
      <w:bookmarkEnd w:id="43"/>
    </w:p>
    <w:p>
      <w:pPr>
        <w:pStyle w:val="21"/>
        <w:jc w:val="center"/>
        <w:rPr>
          <w:rFonts w:hAnsi="宋体"/>
          <w:b/>
          <w:sz w:val="32"/>
        </w:rPr>
      </w:pPr>
      <w:r>
        <w:rPr>
          <w:rFonts w:hint="eastAsia" w:hAnsi="宋体"/>
          <w:b/>
          <w:sz w:val="32"/>
        </w:rPr>
        <w:t>资格审查表</w:t>
      </w:r>
    </w:p>
    <w:p>
      <w:pPr>
        <w:pStyle w:val="21"/>
        <w:rPr>
          <w:rFonts w:hAnsi="宋体"/>
          <w:b/>
          <w:sz w:val="24"/>
          <w:szCs w:val="24"/>
        </w:rPr>
      </w:pPr>
      <w:r>
        <w:rPr>
          <w:rFonts w:hint="eastAsia" w:hAnsi="宋体"/>
          <w:sz w:val="24"/>
          <w:szCs w:val="24"/>
        </w:rPr>
        <w:t>项目名称：</w:t>
      </w:r>
    </w:p>
    <w:tbl>
      <w:tblPr>
        <w:tblStyle w:val="3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182"/>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pPr>
              <w:pStyle w:val="21"/>
              <w:jc w:val="center"/>
              <w:rPr>
                <w:rFonts w:hAnsi="宋体"/>
                <w:szCs w:val="21"/>
              </w:rPr>
            </w:pPr>
            <w:r>
              <w:rPr>
                <w:rFonts w:hint="eastAsia" w:hAnsi="宋体"/>
                <w:szCs w:val="21"/>
              </w:rPr>
              <w:t>序号</w:t>
            </w:r>
          </w:p>
        </w:tc>
        <w:tc>
          <w:tcPr>
            <w:tcW w:w="4614" w:type="dxa"/>
            <w:tcBorders>
              <w:top w:val="single" w:color="auto" w:sz="4" w:space="0"/>
              <w:left w:val="single" w:color="auto" w:sz="4" w:space="0"/>
              <w:bottom w:val="single" w:color="auto" w:sz="4" w:space="0"/>
              <w:right w:val="single" w:color="auto" w:sz="4" w:space="0"/>
              <w:tl2br w:val="single" w:color="auto" w:sz="4" w:space="0"/>
            </w:tcBorders>
          </w:tcPr>
          <w:p>
            <w:pPr>
              <w:pStyle w:val="21"/>
              <w:jc w:val="center"/>
              <w:rPr>
                <w:rFonts w:hAnsi="宋体"/>
                <w:szCs w:val="21"/>
              </w:rPr>
            </w:pPr>
            <w:r>
              <w:rPr>
                <w:rFonts w:hint="eastAsia" w:hAnsi="宋体"/>
                <w:szCs w:val="21"/>
              </w:rPr>
              <w:t xml:space="preserve">                      投标人名称</w:t>
            </w:r>
          </w:p>
          <w:p>
            <w:pPr>
              <w:pStyle w:val="21"/>
              <w:rPr>
                <w:rFonts w:hAnsi="宋体"/>
                <w:b/>
                <w:szCs w:val="21"/>
              </w:rPr>
            </w:pPr>
            <w:r>
              <w:rPr>
                <w:rFonts w:hint="eastAsia" w:hAnsi="宋体"/>
                <w:szCs w:val="21"/>
              </w:rPr>
              <w:t>审查项目</w:t>
            </w:r>
          </w:p>
        </w:tc>
        <w:tc>
          <w:tcPr>
            <w:tcW w:w="1182"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275"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134"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pPr>
              <w:pStyle w:val="21"/>
              <w:jc w:val="center"/>
              <w:rPr>
                <w:rFonts w:hAnsi="宋体"/>
                <w:szCs w:val="21"/>
              </w:rPr>
            </w:pPr>
            <w:r>
              <w:rPr>
                <w:rFonts w:hint="eastAsia" w:hAnsi="宋体"/>
                <w:szCs w:val="21"/>
              </w:rPr>
              <w:t>1</w:t>
            </w:r>
          </w:p>
        </w:tc>
        <w:tc>
          <w:tcPr>
            <w:tcW w:w="4614" w:type="dxa"/>
            <w:tcBorders>
              <w:top w:val="single" w:color="auto" w:sz="4" w:space="0"/>
              <w:left w:val="single" w:color="auto" w:sz="4" w:space="0"/>
              <w:bottom w:val="single" w:color="auto" w:sz="4" w:space="0"/>
              <w:right w:val="single" w:color="auto" w:sz="4" w:space="0"/>
            </w:tcBorders>
            <w:vAlign w:val="center"/>
          </w:tcPr>
          <w:p>
            <w:pPr>
              <w:pStyle w:val="21"/>
              <w:rPr>
                <w:rFonts w:hAnsi="宋体"/>
                <w:szCs w:val="21"/>
              </w:rPr>
            </w:pPr>
            <w:r>
              <w:rPr>
                <w:rFonts w:hint="eastAsia" w:hAnsi="宋体"/>
                <w:szCs w:val="21"/>
              </w:rPr>
              <w:t>投标人与招标人过去3年内无合同履约纠纷</w:t>
            </w:r>
            <w:r>
              <w:rPr>
                <w:rFonts w:hint="eastAsia" w:hAnsi="宋体"/>
                <w:szCs w:val="21"/>
                <w:u w:val="single"/>
              </w:rPr>
              <w:t>（根据附录</w:t>
            </w:r>
            <w:r>
              <w:rPr>
                <w:rFonts w:hint="eastAsia" w:hAnsi="宋体"/>
                <w:szCs w:val="21"/>
                <w:u w:val="single"/>
                <w:lang w:val="en-US" w:eastAsia="zh-CN"/>
              </w:rPr>
              <w:t>8</w:t>
            </w:r>
            <w:r>
              <w:rPr>
                <w:rFonts w:hint="eastAsia" w:hAnsi="宋体"/>
                <w:szCs w:val="21"/>
                <w:u w:val="single"/>
              </w:rPr>
              <w:t>《投标人声明》进行评审）</w:t>
            </w:r>
          </w:p>
        </w:tc>
        <w:tc>
          <w:tcPr>
            <w:tcW w:w="1182"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275"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134"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pPr>
              <w:pStyle w:val="21"/>
              <w:jc w:val="center"/>
              <w:rPr>
                <w:rFonts w:hAnsi="宋体"/>
                <w:szCs w:val="21"/>
              </w:rPr>
            </w:pPr>
            <w:r>
              <w:rPr>
                <w:rFonts w:hint="eastAsia" w:hAnsi="宋体"/>
                <w:szCs w:val="21"/>
              </w:rPr>
              <w:t>2</w:t>
            </w:r>
          </w:p>
        </w:tc>
        <w:tc>
          <w:tcPr>
            <w:tcW w:w="4614" w:type="dxa"/>
            <w:tcBorders>
              <w:top w:val="single" w:color="auto" w:sz="4" w:space="0"/>
              <w:left w:val="single" w:color="auto" w:sz="4" w:space="0"/>
              <w:bottom w:val="single" w:color="auto" w:sz="4" w:space="0"/>
              <w:right w:val="single" w:color="auto" w:sz="4" w:space="0"/>
            </w:tcBorders>
            <w:vAlign w:val="center"/>
          </w:tcPr>
          <w:p>
            <w:pPr>
              <w:pStyle w:val="21"/>
              <w:rPr>
                <w:rFonts w:hAnsi="宋体"/>
                <w:szCs w:val="21"/>
              </w:rPr>
            </w:pPr>
            <w:r>
              <w:rPr>
                <w:rFonts w:hint="eastAsia" w:hAnsi="宋体"/>
                <w:szCs w:val="21"/>
              </w:rPr>
              <w:t>投标人的资质满足招标公告规定</w:t>
            </w:r>
          </w:p>
        </w:tc>
        <w:tc>
          <w:tcPr>
            <w:tcW w:w="1182"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275"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134"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Borders>
              <w:top w:val="single" w:color="auto" w:sz="4" w:space="0"/>
              <w:left w:val="single" w:color="auto" w:sz="4" w:space="0"/>
              <w:bottom w:val="single" w:color="auto" w:sz="4" w:space="0"/>
              <w:right w:val="single" w:color="auto" w:sz="4" w:space="0"/>
            </w:tcBorders>
            <w:vAlign w:val="center"/>
          </w:tcPr>
          <w:p>
            <w:pPr>
              <w:pStyle w:val="21"/>
              <w:jc w:val="center"/>
              <w:rPr>
                <w:rFonts w:hint="eastAsia" w:hAnsi="宋体" w:eastAsia="宋体"/>
                <w:szCs w:val="21"/>
                <w:lang w:eastAsia="zh-CN"/>
              </w:rPr>
            </w:pPr>
            <w:r>
              <w:rPr>
                <w:rFonts w:hint="eastAsia" w:hAnsi="宋体"/>
                <w:szCs w:val="21"/>
                <w:lang w:val="en-US" w:eastAsia="zh-CN"/>
              </w:rPr>
              <w:t>3</w:t>
            </w:r>
          </w:p>
        </w:tc>
        <w:tc>
          <w:tcPr>
            <w:tcW w:w="4614" w:type="dxa"/>
            <w:tcBorders>
              <w:top w:val="single" w:color="auto" w:sz="4" w:space="0"/>
              <w:left w:val="single" w:color="auto" w:sz="4" w:space="0"/>
              <w:bottom w:val="single" w:color="auto" w:sz="4" w:space="0"/>
              <w:right w:val="single" w:color="auto" w:sz="4" w:space="0"/>
            </w:tcBorders>
            <w:vAlign w:val="center"/>
          </w:tcPr>
          <w:p>
            <w:pPr>
              <w:pStyle w:val="21"/>
              <w:rPr>
                <w:rFonts w:hAnsi="宋体"/>
                <w:szCs w:val="21"/>
              </w:rPr>
            </w:pPr>
            <w:r>
              <w:rPr>
                <w:rFonts w:hint="eastAsia" w:hAnsi="宋体"/>
                <w:szCs w:val="21"/>
              </w:rPr>
              <w:t>投标人已在广州市住建行业信用管理平台建立企业信用档案，拟委派的项目负责人须</w:t>
            </w:r>
            <w:r>
              <w:rPr>
                <w:rFonts w:hAnsi="宋体"/>
                <w:szCs w:val="21"/>
              </w:rPr>
              <w:t>是本企业</w:t>
            </w:r>
            <w:r>
              <w:rPr>
                <w:rFonts w:hint="eastAsia" w:hAnsi="宋体"/>
                <w:szCs w:val="21"/>
              </w:rPr>
              <w:t>信用</w:t>
            </w:r>
            <w:r>
              <w:rPr>
                <w:rFonts w:hAnsi="宋体"/>
                <w:szCs w:val="21"/>
              </w:rPr>
              <w:t>档案中</w:t>
            </w:r>
            <w:r>
              <w:rPr>
                <w:rFonts w:hint="eastAsia" w:hAnsi="宋体"/>
                <w:szCs w:val="21"/>
              </w:rPr>
              <w:t>的</w:t>
            </w:r>
            <w:r>
              <w:rPr>
                <w:rFonts w:hAnsi="宋体"/>
                <w:szCs w:val="21"/>
              </w:rPr>
              <w:t>在册人员</w:t>
            </w:r>
          </w:p>
        </w:tc>
        <w:tc>
          <w:tcPr>
            <w:tcW w:w="1182"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275"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134"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pPr>
              <w:pStyle w:val="21"/>
              <w:jc w:val="center"/>
              <w:rPr>
                <w:rFonts w:hint="eastAsia" w:hAnsi="宋体"/>
                <w:szCs w:val="21"/>
                <w:lang w:val="en-US" w:eastAsia="zh-CN"/>
              </w:rPr>
            </w:pPr>
            <w:r>
              <w:rPr>
                <w:rFonts w:hint="eastAsia" w:hAnsi="宋体"/>
                <w:szCs w:val="21"/>
                <w:lang w:val="en-US" w:eastAsia="zh-CN"/>
              </w:rPr>
              <w:t>4</w:t>
            </w:r>
          </w:p>
        </w:tc>
        <w:tc>
          <w:tcPr>
            <w:tcW w:w="4614" w:type="dxa"/>
            <w:tcBorders>
              <w:top w:val="single" w:color="auto" w:sz="4" w:space="0"/>
              <w:left w:val="single" w:color="auto" w:sz="4" w:space="0"/>
              <w:bottom w:val="single" w:color="auto" w:sz="4" w:space="0"/>
              <w:right w:val="single" w:color="auto" w:sz="4" w:space="0"/>
            </w:tcBorders>
            <w:vAlign w:val="center"/>
          </w:tcPr>
          <w:p>
            <w:pPr>
              <w:pStyle w:val="21"/>
              <w:rPr>
                <w:rFonts w:hint="eastAsia" w:hAnsi="宋体"/>
                <w:szCs w:val="21"/>
              </w:rPr>
            </w:pPr>
            <w:r>
              <w:rPr>
                <w:rFonts w:hint="eastAsia" w:hAnsi="宋体"/>
                <w:szCs w:val="21"/>
                <w:lang w:val="en-US" w:eastAsia="zh-CN"/>
              </w:rPr>
              <w:t>申请人拟派项目负责人资格满足招标公告规定</w:t>
            </w:r>
          </w:p>
        </w:tc>
        <w:tc>
          <w:tcPr>
            <w:tcW w:w="1182"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275"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134"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pPr>
              <w:pStyle w:val="21"/>
              <w:jc w:val="center"/>
              <w:rPr>
                <w:rFonts w:hint="eastAsia" w:hAnsi="宋体" w:eastAsia="宋体"/>
                <w:szCs w:val="21"/>
                <w:lang w:eastAsia="zh-CN"/>
              </w:rPr>
            </w:pPr>
            <w:r>
              <w:rPr>
                <w:rFonts w:hint="eastAsia" w:hAnsi="宋体"/>
                <w:szCs w:val="21"/>
                <w:lang w:val="en-US" w:eastAsia="zh-CN"/>
              </w:rPr>
              <w:t>5</w:t>
            </w:r>
          </w:p>
        </w:tc>
        <w:tc>
          <w:tcPr>
            <w:tcW w:w="4614" w:type="dxa"/>
            <w:tcBorders>
              <w:top w:val="single" w:color="auto" w:sz="4" w:space="0"/>
              <w:left w:val="single" w:color="auto" w:sz="4" w:space="0"/>
              <w:bottom w:val="single" w:color="auto" w:sz="4" w:space="0"/>
              <w:right w:val="single" w:color="auto" w:sz="4" w:space="0"/>
            </w:tcBorders>
            <w:vAlign w:val="center"/>
          </w:tcPr>
          <w:p>
            <w:pPr>
              <w:pStyle w:val="21"/>
              <w:rPr>
                <w:rFonts w:hAnsi="宋体"/>
                <w:szCs w:val="21"/>
              </w:rPr>
            </w:pPr>
            <w:r>
              <w:rPr>
                <w:rFonts w:hint="eastAsia" w:hAnsi="宋体"/>
                <w:szCs w:val="21"/>
              </w:rPr>
              <w:t>投标人没有第三章第3.11项规定的任何一种情形（根据</w:t>
            </w:r>
            <w:r>
              <w:rPr>
                <w:rFonts w:hint="eastAsia" w:hAnsi="宋体"/>
                <w:szCs w:val="21"/>
                <w:u w:val="single"/>
              </w:rPr>
              <w:t>附录</w:t>
            </w:r>
            <w:r>
              <w:rPr>
                <w:rFonts w:hint="eastAsia" w:hAnsi="宋体"/>
                <w:szCs w:val="21"/>
                <w:u w:val="single"/>
                <w:lang w:val="en-US" w:eastAsia="zh-CN"/>
              </w:rPr>
              <w:t>8</w:t>
            </w:r>
            <w:r>
              <w:rPr>
                <w:rFonts w:hAnsi="宋体"/>
                <w:szCs w:val="21"/>
              </w:rPr>
              <w:t>《</w:t>
            </w:r>
            <w:r>
              <w:rPr>
                <w:rFonts w:hint="eastAsia" w:hAnsi="宋体"/>
                <w:szCs w:val="21"/>
              </w:rPr>
              <w:t>投标人</w:t>
            </w:r>
            <w:r>
              <w:rPr>
                <w:rFonts w:hAnsi="宋体"/>
                <w:szCs w:val="21"/>
              </w:rPr>
              <w:t>声明》</w:t>
            </w:r>
            <w:r>
              <w:rPr>
                <w:rFonts w:hint="eastAsia" w:hAnsi="宋体"/>
                <w:szCs w:val="21"/>
              </w:rPr>
              <w:t>进行</w:t>
            </w:r>
            <w:r>
              <w:rPr>
                <w:rFonts w:hAnsi="宋体"/>
                <w:szCs w:val="21"/>
              </w:rPr>
              <w:t>评审</w:t>
            </w:r>
            <w:r>
              <w:rPr>
                <w:rFonts w:hint="eastAsia" w:hAnsi="宋体"/>
                <w:szCs w:val="21"/>
              </w:rPr>
              <w:t>）</w:t>
            </w:r>
          </w:p>
        </w:tc>
        <w:tc>
          <w:tcPr>
            <w:tcW w:w="1182"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275"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134"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pPr>
              <w:pStyle w:val="21"/>
              <w:jc w:val="center"/>
              <w:rPr>
                <w:rFonts w:hint="default" w:hAnsi="宋体"/>
                <w:szCs w:val="21"/>
                <w:lang w:val="en-US" w:eastAsia="zh-CN"/>
              </w:rPr>
            </w:pPr>
            <w:r>
              <w:rPr>
                <w:rFonts w:hint="eastAsia" w:hAnsi="宋体"/>
                <w:szCs w:val="21"/>
                <w:lang w:val="en-US" w:eastAsia="zh-CN"/>
              </w:rPr>
              <w:t>6</w:t>
            </w:r>
          </w:p>
        </w:tc>
        <w:tc>
          <w:tcPr>
            <w:tcW w:w="4614" w:type="dxa"/>
            <w:tcBorders>
              <w:top w:val="single" w:color="auto" w:sz="4" w:space="0"/>
              <w:left w:val="single" w:color="auto" w:sz="4" w:space="0"/>
              <w:bottom w:val="single" w:color="auto" w:sz="4" w:space="0"/>
              <w:right w:val="single" w:color="auto" w:sz="4" w:space="0"/>
            </w:tcBorders>
            <w:vAlign w:val="center"/>
          </w:tcPr>
          <w:p>
            <w:pPr>
              <w:pStyle w:val="21"/>
              <w:rPr>
                <w:rFonts w:hint="eastAsia" w:hAnsi="宋体" w:cs="宋体"/>
                <w:szCs w:val="21"/>
              </w:rPr>
            </w:pPr>
            <w:r>
              <w:rPr>
                <w:rFonts w:hint="eastAsia" w:hAnsi="宋体" w:cs="宋体"/>
                <w:szCs w:val="21"/>
              </w:rPr>
              <w:t>本项目不接受联合体形式投标</w:t>
            </w:r>
          </w:p>
        </w:tc>
        <w:tc>
          <w:tcPr>
            <w:tcW w:w="1182"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275"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134"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pPr>
              <w:pStyle w:val="21"/>
              <w:jc w:val="center"/>
              <w:rPr>
                <w:rFonts w:hint="eastAsia" w:hAnsi="宋体" w:eastAsia="宋体"/>
                <w:szCs w:val="21"/>
                <w:lang w:eastAsia="zh-CN"/>
              </w:rPr>
            </w:pPr>
            <w:r>
              <w:rPr>
                <w:rFonts w:hint="eastAsia" w:hAnsi="宋体"/>
                <w:szCs w:val="21"/>
                <w:lang w:val="en-US" w:eastAsia="zh-CN"/>
              </w:rPr>
              <w:t>7</w:t>
            </w:r>
          </w:p>
        </w:tc>
        <w:tc>
          <w:tcPr>
            <w:tcW w:w="4614" w:type="dxa"/>
            <w:tcBorders>
              <w:top w:val="single" w:color="auto" w:sz="4" w:space="0"/>
              <w:left w:val="single" w:color="auto" w:sz="4" w:space="0"/>
              <w:bottom w:val="single" w:color="auto" w:sz="4" w:space="0"/>
              <w:right w:val="single" w:color="auto" w:sz="4" w:space="0"/>
            </w:tcBorders>
            <w:vAlign w:val="center"/>
          </w:tcPr>
          <w:p>
            <w:pPr>
              <w:pStyle w:val="21"/>
              <w:rPr>
                <w:rFonts w:hAnsi="宋体"/>
                <w:szCs w:val="21"/>
              </w:rPr>
            </w:pPr>
            <w:r>
              <w:rPr>
                <w:rFonts w:hint="eastAsia" w:hAnsi="宋体" w:cs="宋体"/>
                <w:szCs w:val="21"/>
              </w:rPr>
              <w:t>投标人已按照规定格式和内容签署盖章《投标人声明》</w:t>
            </w:r>
          </w:p>
        </w:tc>
        <w:tc>
          <w:tcPr>
            <w:tcW w:w="1182"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275"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134"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pPr>
              <w:pStyle w:val="21"/>
              <w:jc w:val="center"/>
              <w:rPr>
                <w:rFonts w:hint="eastAsia" w:hAnsi="宋体" w:eastAsia="宋体"/>
                <w:szCs w:val="21"/>
                <w:lang w:eastAsia="zh-CN"/>
              </w:rPr>
            </w:pPr>
            <w:r>
              <w:rPr>
                <w:rFonts w:hint="eastAsia" w:hAnsi="宋体"/>
                <w:szCs w:val="21"/>
                <w:lang w:val="en-US" w:eastAsia="zh-CN"/>
              </w:rPr>
              <w:t>8</w:t>
            </w:r>
          </w:p>
        </w:tc>
        <w:tc>
          <w:tcPr>
            <w:tcW w:w="4614" w:type="dxa"/>
            <w:tcBorders>
              <w:top w:val="single" w:color="auto" w:sz="4" w:space="0"/>
              <w:left w:val="single" w:color="auto" w:sz="4" w:space="0"/>
              <w:bottom w:val="single" w:color="auto" w:sz="4" w:space="0"/>
              <w:right w:val="single" w:color="auto" w:sz="4" w:space="0"/>
            </w:tcBorders>
            <w:vAlign w:val="center"/>
          </w:tcPr>
          <w:p>
            <w:pPr>
              <w:pStyle w:val="21"/>
              <w:rPr>
                <w:rFonts w:hAnsi="宋体"/>
                <w:szCs w:val="21"/>
              </w:rPr>
            </w:pPr>
            <w:r>
              <w:rPr>
                <w:rFonts w:hint="eastAsia" w:hAnsi="宋体"/>
                <w:szCs w:val="21"/>
                <w:u w:val="none"/>
              </w:rPr>
              <w:t>投标人未被列入拖欠农民工工资失信联合惩戒对象名单</w:t>
            </w:r>
            <w:r>
              <w:rPr>
                <w:rFonts w:hint="eastAsia" w:hAnsi="宋体"/>
                <w:szCs w:val="21"/>
              </w:rPr>
              <w:t>（按广州公共资源交易中心交易系统比对结果进行评审）</w:t>
            </w:r>
          </w:p>
        </w:tc>
        <w:tc>
          <w:tcPr>
            <w:tcW w:w="1182"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275"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134"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pPr>
              <w:pStyle w:val="21"/>
              <w:jc w:val="center"/>
              <w:rPr>
                <w:rFonts w:hAnsi="宋体"/>
                <w:szCs w:val="21"/>
              </w:rPr>
            </w:pPr>
            <w:r>
              <w:rPr>
                <w:rFonts w:hint="eastAsia" w:hAnsi="宋体"/>
                <w:szCs w:val="21"/>
              </w:rPr>
              <w:t>结论</w:t>
            </w:r>
          </w:p>
        </w:tc>
        <w:tc>
          <w:tcPr>
            <w:tcW w:w="4614" w:type="dxa"/>
            <w:tcBorders>
              <w:top w:val="single" w:color="auto" w:sz="4" w:space="0"/>
              <w:left w:val="single" w:color="auto" w:sz="4" w:space="0"/>
              <w:bottom w:val="single" w:color="auto" w:sz="4" w:space="0"/>
              <w:right w:val="single" w:color="auto" w:sz="4" w:space="0"/>
            </w:tcBorders>
            <w:vAlign w:val="center"/>
          </w:tcPr>
          <w:p>
            <w:pPr>
              <w:pStyle w:val="21"/>
              <w:rPr>
                <w:rFonts w:hAnsi="宋体"/>
                <w:szCs w:val="21"/>
              </w:rPr>
            </w:pPr>
            <w:r>
              <w:rPr>
                <w:rFonts w:hint="eastAsia" w:hAnsi="宋体"/>
                <w:szCs w:val="21"/>
              </w:rPr>
              <w:t>是否通过并进入下一阶段评审</w:t>
            </w:r>
          </w:p>
        </w:tc>
        <w:tc>
          <w:tcPr>
            <w:tcW w:w="1182"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275"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c>
          <w:tcPr>
            <w:tcW w:w="1134" w:type="dxa"/>
            <w:tcBorders>
              <w:top w:val="single" w:color="auto" w:sz="4" w:space="0"/>
              <w:left w:val="single" w:color="auto" w:sz="4" w:space="0"/>
              <w:bottom w:val="single" w:color="auto" w:sz="4" w:space="0"/>
              <w:right w:val="single" w:color="auto" w:sz="4" w:space="0"/>
            </w:tcBorders>
          </w:tcPr>
          <w:p>
            <w:pPr>
              <w:pStyle w:val="21"/>
              <w:jc w:val="center"/>
              <w:rPr>
                <w:rFonts w:hAnsi="宋体"/>
                <w:b/>
                <w:szCs w:val="21"/>
              </w:rPr>
            </w:pPr>
          </w:p>
        </w:tc>
      </w:tr>
    </w:tbl>
    <w:p>
      <w:pPr>
        <w:tabs>
          <w:tab w:val="left" w:pos="720"/>
        </w:tabs>
        <w:rPr>
          <w:rFonts w:ascii="宋体" w:hAnsi="宋体"/>
          <w:szCs w:val="21"/>
        </w:rPr>
      </w:pPr>
      <w:r>
        <w:rPr>
          <w:rFonts w:hint="eastAsia" w:ascii="宋体" w:hAnsi="宋体"/>
          <w:szCs w:val="21"/>
        </w:rPr>
        <w:t>备注：1、根据本表的审查项目，填“是”或“否”。</w:t>
      </w:r>
    </w:p>
    <w:p>
      <w:pPr>
        <w:tabs>
          <w:tab w:val="left" w:pos="720"/>
        </w:tabs>
        <w:ind w:left="840" w:leftChars="300" w:hanging="210" w:hangingChars="100"/>
        <w:rPr>
          <w:rFonts w:ascii="宋体" w:hAnsi="宋体"/>
          <w:szCs w:val="21"/>
        </w:rPr>
      </w:pPr>
      <w:r>
        <w:rPr>
          <w:rFonts w:hint="eastAsia" w:ascii="宋体" w:hAnsi="宋体"/>
          <w:szCs w:val="21"/>
        </w:rPr>
        <w:t>2、表中出现一个或以上“否”，即该投标人的评审“结论”为“否”，即该投标人不进入下一阶段评审。</w:t>
      </w:r>
    </w:p>
    <w:p>
      <w:pPr>
        <w:tabs>
          <w:tab w:val="left" w:pos="720"/>
        </w:tabs>
        <w:ind w:firstLine="630" w:firstLineChars="300"/>
        <w:rPr>
          <w:rFonts w:ascii="宋体" w:hAnsi="宋体"/>
          <w:szCs w:val="21"/>
        </w:rPr>
      </w:pPr>
      <w:r>
        <w:rPr>
          <w:rFonts w:hint="eastAsia" w:ascii="宋体" w:hAnsi="宋体"/>
          <w:szCs w:val="21"/>
        </w:rPr>
        <w:t>3、表中全部评审结果为“是”，视为同意进入下一阶段评审。</w:t>
      </w:r>
    </w:p>
    <w:p>
      <w:pPr>
        <w:tabs>
          <w:tab w:val="left" w:pos="720"/>
        </w:tabs>
        <w:ind w:left="945" w:leftChars="300" w:hanging="315" w:hangingChars="150"/>
        <w:rPr>
          <w:rFonts w:hint="eastAsia" w:ascii="宋体" w:hAnsi="宋体"/>
          <w:szCs w:val="21"/>
        </w:rPr>
      </w:pPr>
      <w:r>
        <w:rPr>
          <w:rFonts w:hint="eastAsia" w:ascii="宋体" w:hAnsi="宋体"/>
          <w:szCs w:val="21"/>
        </w:rPr>
        <w:t>4、若评委意见不一致时，则按少数服从多数的原则，决定该投标人是否通过资格审查，进入下一阶段评审。</w:t>
      </w:r>
    </w:p>
    <w:p>
      <w:pPr>
        <w:tabs>
          <w:tab w:val="left" w:pos="720"/>
        </w:tabs>
        <w:ind w:left="945" w:leftChars="300" w:hanging="315" w:hangingChars="150"/>
      </w:pPr>
      <w:r>
        <w:rPr>
          <w:rFonts w:hint="eastAsia" w:ascii="宋体" w:hAnsi="宋体"/>
          <w:szCs w:val="21"/>
          <w:lang w:val="en-US" w:eastAsia="zh-CN"/>
        </w:rPr>
        <w:t>5、</w:t>
      </w:r>
      <w:r>
        <w:rPr>
          <w:rFonts w:hint="eastAsia"/>
        </w:rPr>
        <w:t>评委发现资格审查申请文件中含义不明确、对同类问题表述不一致、有明显文字和计算错误的，应当要求投标人作必要的澄清、说明后再判定投标人是否通过资格审查，不得直接认定其不通过资格审查。</w:t>
      </w:r>
    </w:p>
    <w:p>
      <w:pPr>
        <w:pStyle w:val="21"/>
        <w:jc w:val="left"/>
        <w:rPr>
          <w:rFonts w:hAnsi="宋体"/>
          <w:b/>
          <w:szCs w:val="21"/>
        </w:rPr>
      </w:pPr>
      <w:r>
        <w:rPr>
          <w:rFonts w:hint="eastAsia" w:hAnsi="宋体"/>
          <w:szCs w:val="21"/>
        </w:rPr>
        <w:t xml:space="preserve">评委签名：                     </w:t>
      </w:r>
      <w:r>
        <w:rPr>
          <w:rFonts w:hint="eastAsia" w:hAnsi="宋体"/>
          <w:szCs w:val="21"/>
          <w:lang w:val="en-US" w:eastAsia="zh-CN"/>
        </w:rPr>
        <w:t xml:space="preserve">                          </w:t>
      </w:r>
      <w:r>
        <w:rPr>
          <w:rFonts w:hint="eastAsia" w:hAnsi="宋体"/>
          <w:szCs w:val="21"/>
        </w:rPr>
        <w:t>日期：</w:t>
      </w:r>
    </w:p>
    <w:p>
      <w:pPr>
        <w:outlineLvl w:val="0"/>
        <w:rPr>
          <w:rFonts w:ascii="宋体" w:hAnsi="宋体"/>
          <w:b/>
          <w:szCs w:val="21"/>
        </w:rPr>
      </w:pPr>
      <w:r>
        <w:rPr>
          <w:rFonts w:hint="eastAsia" w:ascii="宋体" w:hAnsi="宋体"/>
          <w:b/>
          <w:sz w:val="32"/>
        </w:rPr>
        <w:br w:type="page"/>
      </w:r>
      <w:bookmarkStart w:id="44" w:name="_Toc26953"/>
      <w:bookmarkStart w:id="45" w:name="_Toc25346"/>
      <w:r>
        <w:rPr>
          <w:rFonts w:hint="eastAsia" w:ascii="宋体" w:hAnsi="宋体"/>
          <w:b/>
          <w:szCs w:val="21"/>
        </w:rPr>
        <w:t>附录</w:t>
      </w:r>
      <w:r>
        <w:rPr>
          <w:rFonts w:hint="eastAsia" w:ascii="宋体" w:hAnsi="宋体"/>
          <w:b/>
          <w:szCs w:val="21"/>
          <w:lang w:val="en-US" w:eastAsia="zh-CN"/>
        </w:rPr>
        <w:t>10</w:t>
      </w:r>
      <w:r>
        <w:rPr>
          <w:rFonts w:hint="eastAsia" w:ascii="宋体" w:hAnsi="宋体"/>
          <w:b/>
          <w:szCs w:val="21"/>
        </w:rPr>
        <w:t xml:space="preserve"> </w:t>
      </w:r>
      <w:bookmarkEnd w:id="44"/>
      <w:r>
        <w:rPr>
          <w:rFonts w:hint="eastAsia" w:ascii="宋体" w:hAnsi="宋体"/>
          <w:b/>
          <w:szCs w:val="21"/>
        </w:rPr>
        <w:t>否决性审查表</w:t>
      </w:r>
      <w:bookmarkEnd w:id="45"/>
    </w:p>
    <w:p>
      <w:pPr>
        <w:pStyle w:val="2"/>
        <w:ind w:firstLine="420"/>
      </w:pPr>
    </w:p>
    <w:p>
      <w:pPr>
        <w:pStyle w:val="21"/>
        <w:jc w:val="center"/>
        <w:rPr>
          <w:rFonts w:hAnsi="宋体"/>
          <w:b/>
          <w:sz w:val="32"/>
        </w:rPr>
      </w:pPr>
      <w:r>
        <w:rPr>
          <w:rFonts w:hint="eastAsia" w:hAnsi="宋体"/>
          <w:b/>
          <w:sz w:val="32"/>
        </w:rPr>
        <w:t>否决性审查表</w:t>
      </w:r>
    </w:p>
    <w:p>
      <w:pPr>
        <w:spacing w:line="360" w:lineRule="auto"/>
        <w:rPr>
          <w:rFonts w:ascii="宋体" w:hAnsi="宋体"/>
          <w:sz w:val="24"/>
        </w:rPr>
      </w:pPr>
    </w:p>
    <w:p>
      <w:pPr>
        <w:pStyle w:val="21"/>
        <w:rPr>
          <w:rFonts w:hAnsi="宋体"/>
          <w:b/>
          <w:sz w:val="24"/>
          <w:szCs w:val="24"/>
        </w:rPr>
      </w:pPr>
      <w:r>
        <w:rPr>
          <w:rFonts w:hint="eastAsia" w:hAnsi="宋体"/>
          <w:sz w:val="24"/>
          <w:szCs w:val="24"/>
        </w:rPr>
        <w:t>项目名称：</w:t>
      </w:r>
    </w:p>
    <w:tbl>
      <w:tblPr>
        <w:tblStyle w:val="38"/>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835"/>
        <w:gridCol w:w="4678"/>
        <w:gridCol w:w="851"/>
        <w:gridCol w:w="85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4" w:type="dxa"/>
            <w:tcBorders>
              <w:top w:val="single" w:color="auto" w:sz="4" w:space="0"/>
              <w:left w:val="single" w:color="auto" w:sz="4" w:space="0"/>
              <w:bottom w:val="single" w:color="auto" w:sz="4" w:space="0"/>
              <w:right w:val="single" w:color="auto" w:sz="4" w:space="0"/>
            </w:tcBorders>
            <w:noWrap/>
            <w:vAlign w:val="center"/>
          </w:tcPr>
          <w:p>
            <w:pPr>
              <w:pStyle w:val="21"/>
              <w:jc w:val="center"/>
              <w:rPr>
                <w:rFonts w:hAnsi="宋体"/>
                <w:kern w:val="2"/>
                <w:sz w:val="21"/>
                <w:szCs w:val="21"/>
              </w:rPr>
            </w:pPr>
            <w:r>
              <w:rPr>
                <w:rFonts w:hint="eastAsia" w:hAnsi="宋体"/>
                <w:kern w:val="2"/>
                <w:sz w:val="21"/>
                <w:szCs w:val="21"/>
              </w:rPr>
              <w:t>序号</w:t>
            </w:r>
          </w:p>
        </w:tc>
        <w:tc>
          <w:tcPr>
            <w:tcW w:w="5513" w:type="dxa"/>
            <w:gridSpan w:val="2"/>
            <w:tcBorders>
              <w:top w:val="single" w:color="auto" w:sz="4" w:space="0"/>
              <w:left w:val="single" w:color="auto" w:sz="4" w:space="0"/>
              <w:bottom w:val="single" w:color="auto" w:sz="4" w:space="0"/>
              <w:right w:val="single" w:color="auto" w:sz="4" w:space="0"/>
              <w:tl2br w:val="single" w:color="auto" w:sz="4" w:space="0"/>
            </w:tcBorders>
            <w:noWrap/>
          </w:tcPr>
          <w:p>
            <w:pPr>
              <w:pStyle w:val="21"/>
              <w:jc w:val="center"/>
              <w:rPr>
                <w:kern w:val="2"/>
                <w:sz w:val="21"/>
                <w:szCs w:val="21"/>
              </w:rPr>
            </w:pPr>
            <w:r>
              <w:rPr>
                <w:rFonts w:hint="eastAsia"/>
                <w:kern w:val="2"/>
                <w:sz w:val="21"/>
                <w:szCs w:val="21"/>
              </w:rPr>
              <w:t xml:space="preserve">                      投标人名称</w:t>
            </w:r>
          </w:p>
          <w:p>
            <w:pPr>
              <w:pStyle w:val="21"/>
              <w:rPr>
                <w:rFonts w:hAnsi="宋体"/>
                <w:b/>
                <w:kern w:val="2"/>
                <w:sz w:val="21"/>
                <w:szCs w:val="21"/>
              </w:rPr>
            </w:pPr>
            <w:r>
              <w:rPr>
                <w:rFonts w:hint="eastAsia"/>
                <w:kern w:val="2"/>
                <w:sz w:val="21"/>
                <w:szCs w:val="21"/>
              </w:rPr>
              <w:t>审查项目</w:t>
            </w:r>
          </w:p>
        </w:tc>
        <w:tc>
          <w:tcPr>
            <w:tcW w:w="851"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737"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Borders>
              <w:top w:val="single" w:color="auto" w:sz="4" w:space="0"/>
              <w:left w:val="single" w:color="auto" w:sz="4" w:space="0"/>
              <w:bottom w:val="single" w:color="auto" w:sz="4" w:space="0"/>
              <w:right w:val="single" w:color="auto" w:sz="4" w:space="0"/>
            </w:tcBorders>
            <w:noWrap/>
            <w:vAlign w:val="center"/>
          </w:tcPr>
          <w:p>
            <w:pPr>
              <w:pStyle w:val="21"/>
              <w:jc w:val="center"/>
              <w:rPr>
                <w:rFonts w:hAnsi="宋体"/>
                <w:kern w:val="2"/>
                <w:sz w:val="21"/>
                <w:szCs w:val="21"/>
              </w:rPr>
            </w:pPr>
            <w:r>
              <w:rPr>
                <w:rFonts w:hint="eastAsia" w:hAnsi="宋体"/>
                <w:kern w:val="2"/>
                <w:sz w:val="21"/>
                <w:szCs w:val="21"/>
              </w:rPr>
              <w:t>1</w:t>
            </w:r>
          </w:p>
        </w:tc>
        <w:tc>
          <w:tcPr>
            <w:tcW w:w="835" w:type="dxa"/>
            <w:vMerge w:val="restart"/>
            <w:tcBorders>
              <w:top w:val="single" w:color="auto" w:sz="4" w:space="0"/>
              <w:left w:val="single" w:color="auto" w:sz="4" w:space="0"/>
              <w:right w:val="single" w:color="auto" w:sz="4" w:space="0"/>
            </w:tcBorders>
            <w:noWrap/>
            <w:vAlign w:val="center"/>
          </w:tcPr>
          <w:p>
            <w:pPr>
              <w:pStyle w:val="21"/>
              <w:rPr>
                <w:rFonts w:hAnsi="宋体"/>
                <w:kern w:val="2"/>
                <w:sz w:val="21"/>
                <w:szCs w:val="21"/>
              </w:rPr>
            </w:pPr>
            <w:r>
              <w:rPr>
                <w:rFonts w:hint="eastAsia" w:hAnsi="宋体"/>
                <w:kern w:val="2"/>
                <w:sz w:val="21"/>
                <w:szCs w:val="21"/>
              </w:rPr>
              <w:t>方案</w:t>
            </w:r>
          </w:p>
          <w:p>
            <w:pPr>
              <w:pStyle w:val="21"/>
              <w:rPr>
                <w:rFonts w:hAnsi="宋体"/>
                <w:kern w:val="2"/>
                <w:sz w:val="21"/>
                <w:szCs w:val="21"/>
              </w:rPr>
            </w:pPr>
            <w:r>
              <w:rPr>
                <w:rFonts w:hint="eastAsia" w:hAnsi="宋体"/>
                <w:kern w:val="2"/>
                <w:sz w:val="21"/>
                <w:szCs w:val="21"/>
              </w:rPr>
              <w:t>部份</w:t>
            </w:r>
          </w:p>
        </w:tc>
        <w:tc>
          <w:tcPr>
            <w:tcW w:w="4678" w:type="dxa"/>
            <w:tcBorders>
              <w:top w:val="single" w:color="auto" w:sz="4" w:space="0"/>
              <w:left w:val="single" w:color="auto" w:sz="4" w:space="0"/>
              <w:bottom w:val="single" w:color="auto" w:sz="4" w:space="0"/>
              <w:right w:val="single" w:color="auto" w:sz="4" w:space="0"/>
            </w:tcBorders>
            <w:vAlign w:val="center"/>
          </w:tcPr>
          <w:p>
            <w:pPr>
              <w:pStyle w:val="21"/>
              <w:rPr>
                <w:rFonts w:hAnsi="宋体"/>
                <w:kern w:val="2"/>
                <w:sz w:val="21"/>
                <w:szCs w:val="21"/>
              </w:rPr>
            </w:pPr>
            <w:r>
              <w:rPr>
                <w:rFonts w:hint="eastAsia" w:hAnsi="宋体"/>
                <w:kern w:val="2"/>
                <w:sz w:val="21"/>
                <w:szCs w:val="21"/>
              </w:rPr>
              <w:t>投标人在勘察方案内没有标注名称、印章、商标、图形等记认符号，使人辨认出投标人或其专业技术人员的身份</w:t>
            </w:r>
          </w:p>
        </w:tc>
        <w:tc>
          <w:tcPr>
            <w:tcW w:w="851"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737"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Borders>
              <w:top w:val="single" w:color="auto" w:sz="4" w:space="0"/>
              <w:left w:val="single" w:color="auto" w:sz="4" w:space="0"/>
              <w:bottom w:val="single" w:color="auto" w:sz="4" w:space="0"/>
              <w:right w:val="single" w:color="auto" w:sz="4" w:space="0"/>
            </w:tcBorders>
            <w:noWrap/>
            <w:vAlign w:val="center"/>
          </w:tcPr>
          <w:p>
            <w:pPr>
              <w:pStyle w:val="21"/>
              <w:jc w:val="center"/>
              <w:rPr>
                <w:rFonts w:hAnsi="宋体"/>
                <w:kern w:val="2"/>
                <w:sz w:val="21"/>
                <w:szCs w:val="21"/>
              </w:rPr>
            </w:pPr>
            <w:r>
              <w:rPr>
                <w:rFonts w:hint="eastAsia" w:hAnsi="宋体"/>
                <w:kern w:val="2"/>
                <w:sz w:val="21"/>
                <w:szCs w:val="21"/>
              </w:rPr>
              <w:t>2</w:t>
            </w:r>
          </w:p>
        </w:tc>
        <w:tc>
          <w:tcPr>
            <w:tcW w:w="835" w:type="dxa"/>
            <w:vMerge w:val="continue"/>
            <w:tcBorders>
              <w:left w:val="single" w:color="auto" w:sz="4" w:space="0"/>
              <w:right w:val="single" w:color="auto" w:sz="4" w:space="0"/>
            </w:tcBorders>
            <w:noWrap/>
            <w:vAlign w:val="center"/>
          </w:tcPr>
          <w:p>
            <w:pPr>
              <w:pStyle w:val="21"/>
              <w:rPr>
                <w:rFonts w:hAnsi="宋体"/>
                <w:kern w:val="2"/>
                <w:sz w:val="21"/>
                <w:szCs w:val="21"/>
              </w:rPr>
            </w:pPr>
          </w:p>
        </w:tc>
        <w:tc>
          <w:tcPr>
            <w:tcW w:w="4678" w:type="dxa"/>
            <w:tcBorders>
              <w:top w:val="single" w:color="auto" w:sz="4" w:space="0"/>
              <w:left w:val="single" w:color="auto" w:sz="4" w:space="0"/>
              <w:bottom w:val="single" w:color="auto" w:sz="4" w:space="0"/>
              <w:right w:val="single" w:color="auto" w:sz="4" w:space="0"/>
            </w:tcBorders>
            <w:vAlign w:val="center"/>
          </w:tcPr>
          <w:p>
            <w:pPr>
              <w:pStyle w:val="21"/>
              <w:rPr>
                <w:rFonts w:hAnsi="宋体"/>
                <w:kern w:val="2"/>
                <w:sz w:val="21"/>
                <w:szCs w:val="21"/>
              </w:rPr>
            </w:pPr>
            <w:r>
              <w:rPr>
                <w:rFonts w:hint="eastAsia" w:hAnsi="宋体"/>
                <w:kern w:val="2"/>
                <w:sz w:val="21"/>
                <w:szCs w:val="21"/>
              </w:rPr>
              <w:t>投标人与招标人、评标委员会成员或者其他投标人无串通投标</w:t>
            </w:r>
          </w:p>
        </w:tc>
        <w:tc>
          <w:tcPr>
            <w:tcW w:w="851"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737"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74" w:type="dxa"/>
            <w:tcBorders>
              <w:top w:val="single" w:color="auto" w:sz="4" w:space="0"/>
              <w:left w:val="single" w:color="auto" w:sz="4" w:space="0"/>
              <w:bottom w:val="single" w:color="auto" w:sz="4" w:space="0"/>
              <w:right w:val="single" w:color="auto" w:sz="4" w:space="0"/>
            </w:tcBorders>
            <w:noWrap/>
            <w:vAlign w:val="center"/>
          </w:tcPr>
          <w:p>
            <w:pPr>
              <w:pStyle w:val="21"/>
              <w:jc w:val="center"/>
              <w:rPr>
                <w:rFonts w:hAnsi="宋体"/>
                <w:kern w:val="2"/>
                <w:sz w:val="21"/>
                <w:szCs w:val="21"/>
              </w:rPr>
            </w:pPr>
            <w:r>
              <w:rPr>
                <w:rFonts w:hint="eastAsia" w:hAnsi="宋体"/>
                <w:kern w:val="2"/>
                <w:sz w:val="21"/>
                <w:szCs w:val="21"/>
              </w:rPr>
              <w:t>3</w:t>
            </w:r>
          </w:p>
        </w:tc>
        <w:tc>
          <w:tcPr>
            <w:tcW w:w="835" w:type="dxa"/>
            <w:vMerge w:val="continue"/>
            <w:tcBorders>
              <w:left w:val="single" w:color="auto" w:sz="4" w:space="0"/>
              <w:bottom w:val="single" w:color="auto" w:sz="4" w:space="0"/>
              <w:right w:val="single" w:color="auto" w:sz="4" w:space="0"/>
            </w:tcBorders>
            <w:noWrap/>
            <w:vAlign w:val="center"/>
          </w:tcPr>
          <w:p>
            <w:pPr>
              <w:pStyle w:val="21"/>
              <w:rPr>
                <w:rFonts w:hAnsi="宋体"/>
                <w:kern w:val="2"/>
                <w:sz w:val="21"/>
                <w:szCs w:val="21"/>
              </w:rPr>
            </w:pPr>
          </w:p>
        </w:tc>
        <w:tc>
          <w:tcPr>
            <w:tcW w:w="4678" w:type="dxa"/>
            <w:tcBorders>
              <w:top w:val="single" w:color="auto" w:sz="4" w:space="0"/>
              <w:left w:val="single" w:color="auto" w:sz="4" w:space="0"/>
              <w:bottom w:val="single" w:color="auto" w:sz="4" w:space="0"/>
              <w:right w:val="single" w:color="auto" w:sz="4" w:space="0"/>
            </w:tcBorders>
            <w:vAlign w:val="center"/>
          </w:tcPr>
          <w:p>
            <w:pPr>
              <w:pStyle w:val="21"/>
              <w:rPr>
                <w:rFonts w:hAnsi="宋体"/>
                <w:kern w:val="2"/>
                <w:sz w:val="21"/>
                <w:szCs w:val="21"/>
              </w:rPr>
            </w:pPr>
            <w:r>
              <w:rPr>
                <w:rFonts w:hint="eastAsia" w:hAnsi="宋体"/>
                <w:kern w:val="2"/>
                <w:sz w:val="21"/>
                <w:szCs w:val="21"/>
              </w:rPr>
              <w:t>投标人之间不存在《广东省实施&lt;中华人民共和国招标投标法&gt;》第十六条所禁止的情形的</w:t>
            </w:r>
          </w:p>
        </w:tc>
        <w:tc>
          <w:tcPr>
            <w:tcW w:w="851"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737"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974" w:type="dxa"/>
            <w:tcBorders>
              <w:top w:val="single" w:color="auto" w:sz="4" w:space="0"/>
              <w:left w:val="single" w:color="auto" w:sz="4" w:space="0"/>
              <w:bottom w:val="single" w:color="auto" w:sz="4" w:space="0"/>
              <w:right w:val="single" w:color="auto" w:sz="4" w:space="0"/>
            </w:tcBorders>
            <w:noWrap/>
            <w:vAlign w:val="center"/>
          </w:tcPr>
          <w:p>
            <w:pPr>
              <w:pStyle w:val="21"/>
              <w:jc w:val="center"/>
              <w:rPr>
                <w:rFonts w:hAnsi="宋体"/>
                <w:kern w:val="2"/>
                <w:sz w:val="21"/>
                <w:szCs w:val="21"/>
              </w:rPr>
            </w:pPr>
            <w:r>
              <w:rPr>
                <w:rFonts w:hint="eastAsia" w:hAnsi="宋体"/>
                <w:kern w:val="2"/>
                <w:sz w:val="21"/>
                <w:szCs w:val="21"/>
              </w:rPr>
              <w:t>4</w:t>
            </w:r>
          </w:p>
        </w:tc>
        <w:tc>
          <w:tcPr>
            <w:tcW w:w="835" w:type="dxa"/>
            <w:vMerge w:val="restart"/>
            <w:tcBorders>
              <w:top w:val="single" w:color="auto" w:sz="4" w:space="0"/>
              <w:left w:val="single" w:color="auto" w:sz="4" w:space="0"/>
              <w:right w:val="single" w:color="auto" w:sz="4" w:space="0"/>
            </w:tcBorders>
            <w:noWrap/>
            <w:vAlign w:val="center"/>
          </w:tcPr>
          <w:p>
            <w:pPr>
              <w:pStyle w:val="21"/>
              <w:rPr>
                <w:rFonts w:hAnsi="宋体"/>
                <w:kern w:val="2"/>
                <w:sz w:val="21"/>
                <w:szCs w:val="21"/>
              </w:rPr>
            </w:pPr>
            <w:r>
              <w:rPr>
                <w:rFonts w:hint="eastAsia" w:hAnsi="宋体"/>
                <w:kern w:val="2"/>
                <w:sz w:val="21"/>
                <w:szCs w:val="21"/>
              </w:rPr>
              <w:t>非方</w:t>
            </w:r>
          </w:p>
          <w:p>
            <w:pPr>
              <w:pStyle w:val="21"/>
              <w:rPr>
                <w:rFonts w:hAnsi="宋体"/>
                <w:kern w:val="2"/>
                <w:sz w:val="21"/>
                <w:szCs w:val="21"/>
              </w:rPr>
            </w:pPr>
            <w:r>
              <w:rPr>
                <w:rFonts w:hint="eastAsia" w:hAnsi="宋体"/>
                <w:kern w:val="2"/>
                <w:sz w:val="21"/>
                <w:szCs w:val="21"/>
              </w:rPr>
              <w:t>案部</w:t>
            </w:r>
          </w:p>
          <w:p>
            <w:pPr>
              <w:pStyle w:val="21"/>
              <w:rPr>
                <w:rFonts w:hAnsi="宋体"/>
                <w:kern w:val="2"/>
                <w:sz w:val="21"/>
                <w:szCs w:val="21"/>
              </w:rPr>
            </w:pPr>
            <w:r>
              <w:rPr>
                <w:rFonts w:hint="eastAsia" w:hAnsi="宋体"/>
                <w:kern w:val="2"/>
                <w:sz w:val="21"/>
                <w:szCs w:val="21"/>
              </w:rPr>
              <w:t>份</w:t>
            </w:r>
          </w:p>
        </w:tc>
        <w:tc>
          <w:tcPr>
            <w:tcW w:w="4678" w:type="dxa"/>
            <w:tcBorders>
              <w:top w:val="single" w:color="auto" w:sz="4" w:space="0"/>
              <w:left w:val="single" w:color="auto" w:sz="4" w:space="0"/>
              <w:bottom w:val="single" w:color="auto" w:sz="4" w:space="0"/>
              <w:right w:val="single" w:color="auto" w:sz="4" w:space="0"/>
            </w:tcBorders>
            <w:vAlign w:val="center"/>
          </w:tcPr>
          <w:p>
            <w:pPr>
              <w:pStyle w:val="21"/>
              <w:rPr>
                <w:rFonts w:hint="eastAsia" w:ascii="宋体" w:hAnsi="宋体" w:eastAsia="宋体" w:cs="Times New Roman"/>
                <w:kern w:val="2"/>
                <w:sz w:val="21"/>
                <w:szCs w:val="21"/>
              </w:rPr>
            </w:pPr>
            <w:r>
              <w:rPr>
                <w:rFonts w:hint="eastAsia" w:ascii="宋体" w:hAnsi="宋体" w:eastAsia="宋体" w:cs="Times New Roman"/>
                <w:kern w:val="2"/>
                <w:sz w:val="21"/>
                <w:szCs w:val="21"/>
              </w:rPr>
              <w:t>《投标书》</w:t>
            </w:r>
            <w:r>
              <w:rPr>
                <w:rFonts w:hint="eastAsia" w:hAnsi="宋体" w:cs="Times New Roman"/>
                <w:kern w:val="2"/>
                <w:sz w:val="21"/>
                <w:szCs w:val="21"/>
                <w:lang w:val="en-US" w:eastAsia="zh-CN"/>
              </w:rPr>
              <w:t>按要求</w:t>
            </w:r>
            <w:r>
              <w:rPr>
                <w:rFonts w:hint="eastAsia" w:ascii="宋体" w:hAnsi="宋体" w:eastAsia="宋体" w:cs="Times New Roman"/>
                <w:kern w:val="2"/>
                <w:sz w:val="21"/>
                <w:szCs w:val="21"/>
              </w:rPr>
              <w:t>加盖投标人公章，</w:t>
            </w:r>
            <w:r>
              <w:rPr>
                <w:rFonts w:hint="eastAsia" w:hAnsi="宋体" w:cs="Times New Roman"/>
                <w:kern w:val="2"/>
                <w:sz w:val="21"/>
                <w:szCs w:val="21"/>
                <w:lang w:val="en-US" w:eastAsia="zh-CN"/>
              </w:rPr>
              <w:t>并</w:t>
            </w:r>
            <w:r>
              <w:rPr>
                <w:rFonts w:hint="eastAsia" w:ascii="宋体" w:hAnsi="宋体" w:eastAsia="宋体" w:cs="Times New Roman"/>
                <w:kern w:val="2"/>
                <w:sz w:val="21"/>
                <w:szCs w:val="21"/>
              </w:rPr>
              <w:t>经法定代表人或者其授权代表签字</w:t>
            </w:r>
          </w:p>
        </w:tc>
        <w:tc>
          <w:tcPr>
            <w:tcW w:w="851"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737"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74" w:type="dxa"/>
            <w:tcBorders>
              <w:top w:val="single" w:color="auto" w:sz="4" w:space="0"/>
              <w:left w:val="single" w:color="auto" w:sz="4" w:space="0"/>
              <w:bottom w:val="single" w:color="auto" w:sz="4" w:space="0"/>
              <w:right w:val="single" w:color="auto" w:sz="4" w:space="0"/>
            </w:tcBorders>
            <w:noWrap/>
            <w:vAlign w:val="center"/>
          </w:tcPr>
          <w:p>
            <w:pPr>
              <w:pStyle w:val="21"/>
              <w:jc w:val="center"/>
              <w:rPr>
                <w:rFonts w:hAnsi="宋体"/>
                <w:kern w:val="2"/>
                <w:sz w:val="21"/>
                <w:szCs w:val="21"/>
              </w:rPr>
            </w:pPr>
            <w:r>
              <w:rPr>
                <w:rFonts w:hint="eastAsia" w:hAnsi="宋体"/>
                <w:kern w:val="2"/>
                <w:sz w:val="21"/>
                <w:szCs w:val="21"/>
              </w:rPr>
              <w:t>5</w:t>
            </w:r>
          </w:p>
        </w:tc>
        <w:tc>
          <w:tcPr>
            <w:tcW w:w="835" w:type="dxa"/>
            <w:vMerge w:val="continue"/>
            <w:tcBorders>
              <w:left w:val="single" w:color="auto" w:sz="4" w:space="0"/>
              <w:right w:val="single" w:color="auto" w:sz="4" w:space="0"/>
            </w:tcBorders>
            <w:noWrap/>
            <w:vAlign w:val="center"/>
          </w:tcPr>
          <w:p>
            <w:pPr>
              <w:pStyle w:val="21"/>
              <w:rPr>
                <w:rFonts w:hAnsi="宋体"/>
                <w:kern w:val="2"/>
                <w:sz w:val="21"/>
                <w:szCs w:val="21"/>
              </w:rPr>
            </w:pPr>
          </w:p>
        </w:tc>
        <w:tc>
          <w:tcPr>
            <w:tcW w:w="4678" w:type="dxa"/>
            <w:tcBorders>
              <w:top w:val="single" w:color="auto" w:sz="4" w:space="0"/>
              <w:left w:val="single" w:color="auto" w:sz="4" w:space="0"/>
              <w:bottom w:val="single" w:color="auto" w:sz="4" w:space="0"/>
              <w:right w:val="single" w:color="auto" w:sz="4" w:space="0"/>
            </w:tcBorders>
            <w:vAlign w:val="center"/>
          </w:tcPr>
          <w:p>
            <w:pPr>
              <w:pStyle w:val="21"/>
              <w:rPr>
                <w:rFonts w:hint="eastAsia" w:ascii="宋体" w:hAnsi="宋体" w:eastAsia="宋体" w:cs="Times New Roman"/>
                <w:kern w:val="2"/>
                <w:sz w:val="21"/>
                <w:szCs w:val="21"/>
              </w:rPr>
            </w:pPr>
            <w:r>
              <w:rPr>
                <w:rFonts w:hint="eastAsia" w:ascii="宋体" w:hAnsi="宋体" w:eastAsia="宋体" w:cs="Times New Roman"/>
                <w:kern w:val="2"/>
                <w:sz w:val="21"/>
                <w:szCs w:val="21"/>
              </w:rPr>
              <w:t>《投标书》</w:t>
            </w:r>
            <w:r>
              <w:rPr>
                <w:rFonts w:hint="eastAsia" w:hAnsi="宋体" w:cs="Times New Roman"/>
                <w:kern w:val="2"/>
                <w:sz w:val="21"/>
                <w:szCs w:val="21"/>
                <w:lang w:val="en-US" w:eastAsia="zh-CN"/>
              </w:rPr>
              <w:t>未</w:t>
            </w:r>
            <w:r>
              <w:rPr>
                <w:rFonts w:hint="eastAsia" w:ascii="宋体" w:hAnsi="宋体" w:eastAsia="宋体" w:cs="Times New Roman"/>
                <w:kern w:val="2"/>
                <w:sz w:val="21"/>
                <w:szCs w:val="21"/>
              </w:rPr>
              <w:t>包含有招标人不能接受的偏差，并且投标人</w:t>
            </w:r>
            <w:r>
              <w:rPr>
                <w:rFonts w:hint="eastAsia" w:hAnsi="宋体" w:cs="Times New Roman"/>
                <w:kern w:val="2"/>
                <w:sz w:val="21"/>
                <w:szCs w:val="21"/>
                <w:lang w:val="en-US" w:eastAsia="zh-CN"/>
              </w:rPr>
              <w:t>未</w:t>
            </w:r>
            <w:r>
              <w:rPr>
                <w:rFonts w:hint="eastAsia" w:ascii="宋体" w:hAnsi="宋体" w:eastAsia="宋体" w:cs="Times New Roman"/>
                <w:kern w:val="2"/>
                <w:sz w:val="21"/>
                <w:szCs w:val="21"/>
              </w:rPr>
              <w:t>拒绝书面撤回偏差</w:t>
            </w:r>
          </w:p>
        </w:tc>
        <w:tc>
          <w:tcPr>
            <w:tcW w:w="851"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737"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974" w:type="dxa"/>
            <w:tcBorders>
              <w:top w:val="single" w:color="auto" w:sz="4" w:space="0"/>
              <w:left w:val="single" w:color="auto" w:sz="4" w:space="0"/>
              <w:bottom w:val="single" w:color="auto" w:sz="4" w:space="0"/>
              <w:right w:val="single" w:color="auto" w:sz="4" w:space="0"/>
            </w:tcBorders>
            <w:noWrap/>
            <w:vAlign w:val="center"/>
          </w:tcPr>
          <w:p>
            <w:pPr>
              <w:pStyle w:val="21"/>
              <w:jc w:val="center"/>
              <w:rPr>
                <w:rFonts w:hAnsi="宋体"/>
                <w:kern w:val="2"/>
                <w:sz w:val="21"/>
                <w:szCs w:val="21"/>
              </w:rPr>
            </w:pPr>
            <w:r>
              <w:rPr>
                <w:rFonts w:hint="eastAsia" w:hAnsi="宋体"/>
                <w:kern w:val="2"/>
                <w:sz w:val="21"/>
                <w:szCs w:val="21"/>
              </w:rPr>
              <w:t>6</w:t>
            </w:r>
          </w:p>
        </w:tc>
        <w:tc>
          <w:tcPr>
            <w:tcW w:w="835" w:type="dxa"/>
            <w:vMerge w:val="continue"/>
            <w:tcBorders>
              <w:left w:val="single" w:color="auto" w:sz="4" w:space="0"/>
              <w:right w:val="single" w:color="auto" w:sz="4" w:space="0"/>
            </w:tcBorders>
            <w:noWrap/>
            <w:vAlign w:val="center"/>
          </w:tcPr>
          <w:p>
            <w:pPr>
              <w:pStyle w:val="21"/>
              <w:rPr>
                <w:rFonts w:hAnsi="宋体"/>
                <w:kern w:val="2"/>
                <w:sz w:val="21"/>
                <w:szCs w:val="21"/>
              </w:rPr>
            </w:pPr>
          </w:p>
        </w:tc>
        <w:tc>
          <w:tcPr>
            <w:tcW w:w="4678" w:type="dxa"/>
            <w:tcBorders>
              <w:top w:val="single" w:color="auto" w:sz="4" w:space="0"/>
              <w:left w:val="single" w:color="auto" w:sz="4" w:space="0"/>
              <w:bottom w:val="single" w:color="auto" w:sz="4" w:space="0"/>
              <w:right w:val="single" w:color="auto" w:sz="4" w:space="0"/>
            </w:tcBorders>
            <w:vAlign w:val="center"/>
          </w:tcPr>
          <w:p>
            <w:pPr>
              <w:pStyle w:val="21"/>
              <w:rPr>
                <w:rFonts w:hint="eastAsia" w:ascii="宋体" w:hAnsi="宋体" w:eastAsia="宋体" w:cs="Times New Roman"/>
                <w:kern w:val="2"/>
                <w:sz w:val="21"/>
                <w:szCs w:val="21"/>
              </w:rPr>
            </w:pPr>
            <w:r>
              <w:rPr>
                <w:rFonts w:hint="eastAsia" w:ascii="宋体" w:hAnsi="宋体" w:eastAsia="宋体" w:cs="Times New Roman"/>
                <w:kern w:val="2"/>
                <w:sz w:val="21"/>
                <w:szCs w:val="21"/>
              </w:rPr>
              <w:t>投标人</w:t>
            </w:r>
            <w:r>
              <w:rPr>
                <w:rFonts w:hint="eastAsia" w:hAnsi="宋体" w:cs="Times New Roman"/>
                <w:kern w:val="2"/>
                <w:sz w:val="21"/>
                <w:szCs w:val="21"/>
                <w:lang w:val="en-US" w:eastAsia="zh-CN"/>
              </w:rPr>
              <w:t>没有</w:t>
            </w:r>
            <w:r>
              <w:rPr>
                <w:rFonts w:hint="eastAsia" w:ascii="宋体" w:hAnsi="宋体" w:eastAsia="宋体" w:cs="Times New Roman"/>
                <w:kern w:val="2"/>
                <w:sz w:val="21"/>
                <w:szCs w:val="21"/>
              </w:rPr>
              <w:t>与其他投标人加密打包投标文件电脑机器特征码一致</w:t>
            </w:r>
          </w:p>
        </w:tc>
        <w:tc>
          <w:tcPr>
            <w:tcW w:w="851"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737"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974" w:type="dxa"/>
            <w:tcBorders>
              <w:top w:val="single" w:color="auto" w:sz="4" w:space="0"/>
              <w:left w:val="single" w:color="auto" w:sz="4" w:space="0"/>
              <w:bottom w:val="single" w:color="auto" w:sz="4" w:space="0"/>
              <w:right w:val="single" w:color="auto" w:sz="4" w:space="0"/>
            </w:tcBorders>
            <w:noWrap/>
            <w:vAlign w:val="center"/>
          </w:tcPr>
          <w:p>
            <w:pPr>
              <w:pStyle w:val="21"/>
              <w:jc w:val="center"/>
              <w:rPr>
                <w:rFonts w:hAnsi="宋体"/>
                <w:kern w:val="2"/>
                <w:sz w:val="21"/>
                <w:szCs w:val="21"/>
              </w:rPr>
            </w:pPr>
            <w:r>
              <w:rPr>
                <w:rFonts w:hint="eastAsia" w:hAnsi="宋体"/>
                <w:kern w:val="2"/>
                <w:sz w:val="21"/>
                <w:szCs w:val="21"/>
              </w:rPr>
              <w:t>7</w:t>
            </w:r>
          </w:p>
        </w:tc>
        <w:tc>
          <w:tcPr>
            <w:tcW w:w="835" w:type="dxa"/>
            <w:vMerge w:val="continue"/>
            <w:tcBorders>
              <w:left w:val="single" w:color="auto" w:sz="4" w:space="0"/>
              <w:bottom w:val="single" w:color="auto" w:sz="4" w:space="0"/>
              <w:right w:val="single" w:color="auto" w:sz="4" w:space="0"/>
            </w:tcBorders>
            <w:noWrap/>
            <w:vAlign w:val="center"/>
          </w:tcPr>
          <w:p>
            <w:pPr>
              <w:pStyle w:val="21"/>
              <w:rPr>
                <w:rFonts w:hAnsi="宋体"/>
                <w:kern w:val="2"/>
                <w:sz w:val="21"/>
                <w:szCs w:val="21"/>
              </w:rPr>
            </w:pPr>
          </w:p>
        </w:tc>
        <w:tc>
          <w:tcPr>
            <w:tcW w:w="4678" w:type="dxa"/>
            <w:tcBorders>
              <w:top w:val="single" w:color="auto" w:sz="4" w:space="0"/>
              <w:left w:val="single" w:color="auto" w:sz="4" w:space="0"/>
              <w:bottom w:val="single" w:color="auto" w:sz="4" w:space="0"/>
              <w:right w:val="single" w:color="auto" w:sz="4" w:space="0"/>
            </w:tcBorders>
            <w:vAlign w:val="center"/>
          </w:tcPr>
          <w:p>
            <w:pPr>
              <w:pStyle w:val="21"/>
              <w:rPr>
                <w:rFonts w:hAnsi="宋体"/>
                <w:kern w:val="2"/>
                <w:sz w:val="21"/>
                <w:szCs w:val="21"/>
              </w:rPr>
            </w:pPr>
            <w:r>
              <w:rPr>
                <w:rFonts w:hint="eastAsia" w:ascii="宋体" w:hAnsi="宋体" w:eastAsia="宋体" w:cs="Times New Roman"/>
                <w:kern w:val="2"/>
                <w:sz w:val="21"/>
                <w:szCs w:val="21"/>
              </w:rPr>
              <w:t>投标报价</w:t>
            </w:r>
            <w:r>
              <w:rPr>
                <w:rFonts w:hint="eastAsia" w:hAnsi="宋体" w:cs="Times New Roman"/>
                <w:kern w:val="2"/>
                <w:sz w:val="21"/>
                <w:szCs w:val="21"/>
                <w:lang w:val="en-US" w:eastAsia="zh-CN"/>
              </w:rPr>
              <w:t>未</w:t>
            </w:r>
            <w:r>
              <w:rPr>
                <w:rFonts w:hint="eastAsia" w:ascii="宋体" w:hAnsi="宋体" w:eastAsia="宋体" w:cs="Times New Roman"/>
                <w:kern w:val="2"/>
                <w:sz w:val="21"/>
                <w:szCs w:val="21"/>
              </w:rPr>
              <w:t>高于最高投标限价</w:t>
            </w:r>
          </w:p>
        </w:tc>
        <w:tc>
          <w:tcPr>
            <w:tcW w:w="851"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737"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4" w:type="dxa"/>
            <w:tcBorders>
              <w:top w:val="single" w:color="auto" w:sz="4" w:space="0"/>
              <w:left w:val="single" w:color="auto" w:sz="4" w:space="0"/>
              <w:bottom w:val="single" w:color="auto" w:sz="4" w:space="0"/>
              <w:right w:val="single" w:color="auto" w:sz="4" w:space="0"/>
            </w:tcBorders>
            <w:noWrap/>
            <w:vAlign w:val="center"/>
          </w:tcPr>
          <w:p>
            <w:pPr>
              <w:pStyle w:val="21"/>
              <w:jc w:val="center"/>
              <w:rPr>
                <w:rFonts w:hAnsi="宋体"/>
                <w:kern w:val="2"/>
                <w:sz w:val="21"/>
                <w:szCs w:val="21"/>
              </w:rPr>
            </w:pPr>
            <w:r>
              <w:rPr>
                <w:rFonts w:hint="eastAsia" w:hAnsi="宋体"/>
                <w:kern w:val="2"/>
                <w:sz w:val="21"/>
                <w:szCs w:val="21"/>
              </w:rPr>
              <w:t>结论</w:t>
            </w:r>
          </w:p>
        </w:tc>
        <w:tc>
          <w:tcPr>
            <w:tcW w:w="5513" w:type="dxa"/>
            <w:gridSpan w:val="2"/>
            <w:tcBorders>
              <w:top w:val="single" w:color="auto" w:sz="4" w:space="0"/>
              <w:left w:val="single" w:color="auto" w:sz="4" w:space="0"/>
              <w:bottom w:val="single" w:color="auto" w:sz="4" w:space="0"/>
              <w:right w:val="single" w:color="auto" w:sz="4" w:space="0"/>
            </w:tcBorders>
            <w:noWrap/>
            <w:vAlign w:val="center"/>
          </w:tcPr>
          <w:p>
            <w:pPr>
              <w:pStyle w:val="21"/>
              <w:rPr>
                <w:kern w:val="2"/>
                <w:sz w:val="21"/>
                <w:szCs w:val="21"/>
              </w:rPr>
            </w:pPr>
            <w:r>
              <w:rPr>
                <w:rFonts w:hint="eastAsia"/>
                <w:kern w:val="2"/>
                <w:sz w:val="21"/>
                <w:szCs w:val="21"/>
              </w:rPr>
              <w:t>是否通过并进入下一阶段评审</w:t>
            </w:r>
          </w:p>
        </w:tc>
        <w:tc>
          <w:tcPr>
            <w:tcW w:w="851"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c>
          <w:tcPr>
            <w:tcW w:w="737" w:type="dxa"/>
            <w:tcBorders>
              <w:top w:val="single" w:color="auto" w:sz="4" w:space="0"/>
              <w:left w:val="single" w:color="auto" w:sz="4" w:space="0"/>
              <w:bottom w:val="single" w:color="auto" w:sz="4" w:space="0"/>
              <w:right w:val="single" w:color="auto" w:sz="4" w:space="0"/>
            </w:tcBorders>
            <w:noWrap/>
          </w:tcPr>
          <w:p>
            <w:pPr>
              <w:pStyle w:val="21"/>
              <w:jc w:val="center"/>
              <w:rPr>
                <w:rFonts w:hAnsi="宋体"/>
                <w:b/>
                <w:kern w:val="2"/>
                <w:sz w:val="21"/>
                <w:szCs w:val="21"/>
              </w:rPr>
            </w:pPr>
          </w:p>
        </w:tc>
      </w:tr>
    </w:tbl>
    <w:p>
      <w:pPr>
        <w:tabs>
          <w:tab w:val="left" w:pos="720"/>
        </w:tabs>
        <w:snapToGrid w:val="0"/>
        <w:spacing w:line="360" w:lineRule="auto"/>
        <w:rPr>
          <w:rFonts w:ascii="宋体" w:hAnsi="Courier New"/>
          <w:sz w:val="24"/>
        </w:rPr>
      </w:pPr>
    </w:p>
    <w:p>
      <w:pPr>
        <w:tabs>
          <w:tab w:val="left" w:pos="720"/>
        </w:tabs>
        <w:snapToGrid w:val="0"/>
        <w:spacing w:line="276" w:lineRule="auto"/>
        <w:rPr>
          <w:rFonts w:ascii="宋体" w:hAnsi="Courier New"/>
          <w:sz w:val="24"/>
        </w:rPr>
      </w:pPr>
      <w:r>
        <w:rPr>
          <w:rFonts w:hint="eastAsia" w:ascii="宋体" w:hAnsi="Courier New"/>
          <w:sz w:val="24"/>
        </w:rPr>
        <w:t>备注：1、根据本表的审查项目，填“是”或“否”。</w:t>
      </w:r>
    </w:p>
    <w:p>
      <w:pPr>
        <w:tabs>
          <w:tab w:val="left" w:pos="720"/>
        </w:tabs>
        <w:snapToGrid w:val="0"/>
        <w:spacing w:line="276" w:lineRule="auto"/>
        <w:ind w:left="1" w:firstLine="708" w:firstLineChars="295"/>
        <w:rPr>
          <w:sz w:val="24"/>
        </w:rPr>
      </w:pPr>
      <w:r>
        <w:rPr>
          <w:rFonts w:hint="eastAsia" w:ascii="宋体" w:hAnsi="Courier New"/>
          <w:sz w:val="24"/>
        </w:rPr>
        <w:t>2、表中出现一个或以上“否”，即该投标人的评审“结论”为“否”，即该投标人不进入下一阶段评审</w:t>
      </w:r>
      <w:r>
        <w:rPr>
          <w:rFonts w:hint="eastAsia"/>
          <w:sz w:val="24"/>
        </w:rPr>
        <w:t>。</w:t>
      </w:r>
    </w:p>
    <w:p>
      <w:pPr>
        <w:tabs>
          <w:tab w:val="left" w:pos="720"/>
        </w:tabs>
        <w:snapToGrid w:val="0"/>
        <w:spacing w:line="276" w:lineRule="auto"/>
        <w:ind w:firstLine="708" w:firstLineChars="295"/>
        <w:rPr>
          <w:rFonts w:ascii="宋体" w:hAnsi="Courier New"/>
          <w:sz w:val="24"/>
        </w:rPr>
      </w:pPr>
      <w:r>
        <w:rPr>
          <w:rFonts w:hint="eastAsia" w:ascii="宋体" w:hAnsi="Courier New"/>
          <w:sz w:val="24"/>
        </w:rPr>
        <w:t>3、表中全部评审结果为“是”，视为同意进入下一阶段评审。</w:t>
      </w:r>
    </w:p>
    <w:p>
      <w:pPr>
        <w:tabs>
          <w:tab w:val="left" w:pos="720"/>
        </w:tabs>
        <w:snapToGrid w:val="0"/>
        <w:spacing w:line="276" w:lineRule="auto"/>
        <w:ind w:firstLine="708" w:firstLineChars="295"/>
        <w:rPr>
          <w:rFonts w:ascii="宋体" w:hAnsi="Courier New"/>
          <w:sz w:val="24"/>
        </w:rPr>
      </w:pPr>
      <w:r>
        <w:rPr>
          <w:rFonts w:hint="eastAsia" w:ascii="宋体" w:hAnsi="Courier New"/>
          <w:sz w:val="24"/>
        </w:rPr>
        <w:t>4、若评委意见不一致时，则按少数服从多数的原则，决定该投标人是否通过符合性审查，进入下一阶段评审。</w:t>
      </w:r>
    </w:p>
    <w:p>
      <w:pPr>
        <w:pStyle w:val="21"/>
        <w:spacing w:line="360" w:lineRule="auto"/>
        <w:ind w:left="1" w:firstLine="708" w:firstLineChars="295"/>
        <w:jc w:val="left"/>
        <w:rPr>
          <w:sz w:val="24"/>
          <w:szCs w:val="24"/>
        </w:rPr>
      </w:pPr>
    </w:p>
    <w:p>
      <w:pPr>
        <w:pStyle w:val="21"/>
        <w:spacing w:line="360" w:lineRule="auto"/>
        <w:ind w:left="1" w:firstLine="708" w:firstLineChars="295"/>
        <w:jc w:val="left"/>
        <w:rPr>
          <w:rFonts w:hAnsi="宋体"/>
          <w:b/>
          <w:sz w:val="24"/>
          <w:szCs w:val="24"/>
        </w:rPr>
      </w:pPr>
      <w:r>
        <w:rPr>
          <w:rFonts w:hint="eastAsia"/>
          <w:sz w:val="24"/>
          <w:szCs w:val="24"/>
        </w:rPr>
        <w:t>评委签名：                     日期：</w:t>
      </w:r>
    </w:p>
    <w:p>
      <w:pPr>
        <w:rPr>
          <w:rFonts w:ascii="宋体" w:hAnsi="宋体" w:cs="宋体"/>
        </w:rPr>
      </w:pPr>
    </w:p>
    <w:p>
      <w:pPr>
        <w:pStyle w:val="37"/>
        <w:rPr>
          <w:rFonts w:ascii="宋体" w:hAnsi="宋体" w:cs="宋体"/>
        </w:rPr>
      </w:pPr>
    </w:p>
    <w:p>
      <w:pPr>
        <w:pStyle w:val="37"/>
        <w:rPr>
          <w:rFonts w:ascii="宋体" w:hAnsi="宋体" w:cs="宋体"/>
        </w:rPr>
      </w:pPr>
    </w:p>
    <w:p>
      <w:pPr>
        <w:pStyle w:val="3"/>
        <w:rPr>
          <w:rFonts w:hint="eastAsia" w:ascii="宋体" w:hAnsi="宋体"/>
          <w:b w:val="0"/>
          <w:bCs w:val="0"/>
          <w:strike/>
          <w:dstrike w:val="0"/>
        </w:rPr>
      </w:pPr>
      <w:bookmarkStart w:id="46" w:name="_Toc32827945"/>
      <w:bookmarkStart w:id="47" w:name="_Toc26376"/>
      <w:r>
        <w:rPr>
          <w:rFonts w:hint="eastAsia" w:ascii="宋体" w:hAnsi="宋体"/>
          <w:strike/>
          <w:dstrike w:val="0"/>
          <w:sz w:val="21"/>
          <w:szCs w:val="21"/>
        </w:rPr>
        <w:t>附件10 投票表格</w:t>
      </w:r>
      <w:bookmarkEnd w:id="46"/>
      <w:bookmarkEnd w:id="47"/>
    </w:p>
    <w:p>
      <w:pPr>
        <w:pStyle w:val="21"/>
        <w:jc w:val="center"/>
        <w:rPr>
          <w:rFonts w:hint="eastAsia" w:hAnsi="宋体"/>
          <w:b/>
          <w:strike/>
          <w:dstrike w:val="0"/>
          <w:sz w:val="32"/>
        </w:rPr>
      </w:pPr>
      <w:r>
        <w:rPr>
          <w:rFonts w:hint="eastAsia" w:hAnsi="宋体"/>
          <w:b/>
          <w:strike/>
          <w:dstrike w:val="0"/>
          <w:sz w:val="32"/>
        </w:rPr>
        <w:t>投票表格</w:t>
      </w:r>
    </w:p>
    <w:p>
      <w:pPr>
        <w:rPr>
          <w:rFonts w:hint="eastAsia" w:ascii="宋体" w:hAnsi="宋体"/>
          <w:strike/>
          <w:dstrike w:val="0"/>
          <w:sz w:val="24"/>
        </w:rPr>
      </w:pPr>
    </w:p>
    <w:p>
      <w:pPr>
        <w:spacing w:line="360" w:lineRule="auto"/>
        <w:rPr>
          <w:rFonts w:hint="eastAsia" w:ascii="宋体" w:hAnsi="宋体"/>
          <w:strike/>
          <w:dstrike w:val="0"/>
          <w:sz w:val="24"/>
        </w:rPr>
      </w:pPr>
      <w:r>
        <w:rPr>
          <w:rFonts w:hint="eastAsia" w:ascii="宋体" w:hAnsi="宋体"/>
          <w:strike/>
          <w:dstrike w:val="0"/>
          <w:sz w:val="24"/>
        </w:rPr>
        <w:t>项目名称：</w:t>
      </w:r>
      <w:r>
        <w:rPr>
          <w:rFonts w:hint="eastAsia" w:ascii="宋体" w:hAnsi="宋体"/>
          <w:strike/>
          <w:dstrike w:val="0"/>
          <w:sz w:val="24"/>
          <w:u w:val="single"/>
        </w:rPr>
        <w:t xml:space="preserve">                             </w:t>
      </w:r>
    </w:p>
    <w:p>
      <w:pPr>
        <w:spacing w:line="360" w:lineRule="auto"/>
        <w:rPr>
          <w:rFonts w:hint="eastAsia" w:ascii="宋体" w:hAnsi="宋体"/>
          <w:strike/>
          <w:dstrike w:val="0"/>
          <w:sz w:val="24"/>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pPr>
              <w:spacing w:line="360" w:lineRule="auto"/>
              <w:jc w:val="center"/>
              <w:rPr>
                <w:rFonts w:hint="eastAsia" w:ascii="宋体" w:hAnsi="宋体"/>
                <w:strike/>
                <w:dstrike w:val="0"/>
                <w:sz w:val="24"/>
              </w:rPr>
            </w:pPr>
            <w:r>
              <w:rPr>
                <w:rFonts w:hint="eastAsia" w:ascii="宋体" w:hAnsi="宋体"/>
                <w:strike/>
                <w:dstrike w:val="0"/>
                <w:sz w:val="24"/>
              </w:rPr>
              <w:t>第    轮</w:t>
            </w:r>
          </w:p>
        </w:tc>
        <w:tc>
          <w:tcPr>
            <w:tcW w:w="917" w:type="dxa"/>
            <w:tcBorders>
              <w:top w:val="double" w:color="auto" w:sz="4" w:space="0"/>
              <w:left w:val="single" w:color="auto" w:sz="4" w:space="0"/>
              <w:bottom w:val="double" w:color="auto" w:sz="4" w:space="0"/>
            </w:tcBorders>
            <w:noWrap w:val="0"/>
            <w:vAlign w:val="top"/>
          </w:tcPr>
          <w:p>
            <w:pPr>
              <w:spacing w:line="360" w:lineRule="auto"/>
              <w:rPr>
                <w:rFonts w:hint="eastAsia" w:ascii="宋体" w:hAnsi="宋体"/>
                <w:strike/>
                <w:dstrike w:val="0"/>
                <w:sz w:val="24"/>
              </w:rPr>
            </w:pPr>
          </w:p>
        </w:tc>
        <w:tc>
          <w:tcPr>
            <w:tcW w:w="918" w:type="dxa"/>
            <w:tcBorders>
              <w:top w:val="double" w:color="auto" w:sz="4" w:space="0"/>
              <w:bottom w:val="double" w:color="auto" w:sz="4" w:space="0"/>
            </w:tcBorders>
            <w:noWrap w:val="0"/>
            <w:vAlign w:val="top"/>
          </w:tcPr>
          <w:p>
            <w:pPr>
              <w:spacing w:line="360" w:lineRule="auto"/>
              <w:rPr>
                <w:rFonts w:hint="eastAsia" w:ascii="宋体" w:hAnsi="宋体"/>
                <w:strike/>
                <w:dstrike w:val="0"/>
                <w:sz w:val="24"/>
              </w:rPr>
            </w:pPr>
          </w:p>
        </w:tc>
        <w:tc>
          <w:tcPr>
            <w:tcW w:w="917" w:type="dxa"/>
            <w:tcBorders>
              <w:top w:val="double" w:color="auto" w:sz="4" w:space="0"/>
              <w:bottom w:val="double" w:color="auto" w:sz="4" w:space="0"/>
            </w:tcBorders>
            <w:noWrap w:val="0"/>
            <w:vAlign w:val="top"/>
          </w:tcPr>
          <w:p>
            <w:pPr>
              <w:spacing w:line="360" w:lineRule="auto"/>
              <w:rPr>
                <w:rFonts w:hint="eastAsia" w:ascii="宋体" w:hAnsi="宋体"/>
                <w:strike/>
                <w:dstrike w:val="0"/>
                <w:sz w:val="24"/>
              </w:rPr>
            </w:pPr>
          </w:p>
        </w:tc>
        <w:tc>
          <w:tcPr>
            <w:tcW w:w="918" w:type="dxa"/>
            <w:tcBorders>
              <w:top w:val="double" w:color="auto" w:sz="4" w:space="0"/>
              <w:bottom w:val="double" w:color="auto" w:sz="4" w:space="0"/>
            </w:tcBorders>
            <w:noWrap w:val="0"/>
            <w:vAlign w:val="top"/>
          </w:tcPr>
          <w:p>
            <w:pPr>
              <w:spacing w:line="360" w:lineRule="auto"/>
              <w:rPr>
                <w:rFonts w:hint="eastAsia" w:ascii="宋体" w:hAnsi="宋体"/>
                <w:strike/>
                <w:dstrike w:val="0"/>
                <w:sz w:val="24"/>
              </w:rPr>
            </w:pPr>
          </w:p>
        </w:tc>
        <w:tc>
          <w:tcPr>
            <w:tcW w:w="917" w:type="dxa"/>
            <w:tcBorders>
              <w:top w:val="double" w:color="auto" w:sz="4" w:space="0"/>
              <w:bottom w:val="double" w:color="auto" w:sz="4" w:space="0"/>
            </w:tcBorders>
            <w:noWrap w:val="0"/>
            <w:vAlign w:val="top"/>
          </w:tcPr>
          <w:p>
            <w:pPr>
              <w:spacing w:line="360" w:lineRule="auto"/>
              <w:rPr>
                <w:rFonts w:hint="eastAsia" w:ascii="宋体" w:hAnsi="宋体"/>
                <w:strike/>
                <w:dstrike w:val="0"/>
                <w:sz w:val="24"/>
              </w:rPr>
            </w:pPr>
          </w:p>
        </w:tc>
        <w:tc>
          <w:tcPr>
            <w:tcW w:w="918" w:type="dxa"/>
            <w:tcBorders>
              <w:top w:val="double" w:color="auto" w:sz="4" w:space="0"/>
              <w:bottom w:val="double" w:color="auto" w:sz="4" w:space="0"/>
            </w:tcBorders>
            <w:noWrap w:val="0"/>
            <w:vAlign w:val="top"/>
          </w:tcPr>
          <w:p>
            <w:pPr>
              <w:spacing w:line="360" w:lineRule="auto"/>
              <w:rPr>
                <w:rFonts w:hint="eastAsia" w:ascii="宋体" w:hAnsi="宋体"/>
                <w:strike/>
                <w:dstrike w:val="0"/>
                <w:sz w:val="24"/>
              </w:rPr>
            </w:pPr>
          </w:p>
        </w:tc>
        <w:tc>
          <w:tcPr>
            <w:tcW w:w="917" w:type="dxa"/>
            <w:tcBorders>
              <w:top w:val="double" w:color="auto" w:sz="4" w:space="0"/>
              <w:bottom w:val="double" w:color="auto" w:sz="4" w:space="0"/>
            </w:tcBorders>
            <w:noWrap w:val="0"/>
            <w:vAlign w:val="top"/>
          </w:tcPr>
          <w:p>
            <w:pPr>
              <w:spacing w:line="360" w:lineRule="auto"/>
              <w:rPr>
                <w:rFonts w:hint="eastAsia" w:ascii="宋体" w:hAnsi="宋体"/>
                <w:strike/>
                <w:dstrike w:val="0"/>
                <w:sz w:val="24"/>
              </w:rPr>
            </w:pPr>
          </w:p>
        </w:tc>
        <w:tc>
          <w:tcPr>
            <w:tcW w:w="918" w:type="dxa"/>
            <w:tcBorders>
              <w:top w:val="double" w:color="auto" w:sz="4" w:space="0"/>
              <w:bottom w:val="double" w:color="auto" w:sz="4" w:space="0"/>
              <w:right w:val="double" w:color="auto" w:sz="4" w:space="0"/>
            </w:tcBorders>
            <w:noWrap w:val="0"/>
            <w:vAlign w:val="top"/>
          </w:tcPr>
          <w:p>
            <w:pPr>
              <w:spacing w:line="360" w:lineRule="auto"/>
              <w:rPr>
                <w:rFonts w:hint="eastAsia" w:ascii="宋体" w:hAnsi="宋体"/>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pPr>
              <w:spacing w:line="360" w:lineRule="auto"/>
              <w:jc w:val="center"/>
              <w:rPr>
                <w:rFonts w:hint="eastAsia" w:ascii="宋体" w:hAnsi="宋体"/>
                <w:strike/>
                <w:dstrike w:val="0"/>
                <w:sz w:val="24"/>
              </w:rPr>
            </w:pPr>
            <w:r>
              <w:rPr>
                <w:rFonts w:hint="eastAsia" w:ascii="宋体" w:hAnsi="宋体"/>
                <w:strike/>
                <w:dstrike w:val="0"/>
                <w:sz w:val="24"/>
              </w:rPr>
              <w:t>第    轮</w:t>
            </w:r>
          </w:p>
        </w:tc>
        <w:tc>
          <w:tcPr>
            <w:tcW w:w="1835" w:type="dxa"/>
            <w:gridSpan w:val="2"/>
            <w:tcBorders>
              <w:top w:val="double" w:color="auto" w:sz="4" w:space="0"/>
              <w:left w:val="single" w:color="auto" w:sz="4" w:space="0"/>
              <w:bottom w:val="double" w:color="auto" w:sz="4" w:space="0"/>
            </w:tcBorders>
            <w:noWrap w:val="0"/>
            <w:vAlign w:val="top"/>
          </w:tcPr>
          <w:p>
            <w:pPr>
              <w:spacing w:line="360" w:lineRule="auto"/>
              <w:rPr>
                <w:rFonts w:hint="eastAsia" w:ascii="宋体" w:hAnsi="宋体"/>
                <w:strike/>
                <w:dstrike w:val="0"/>
                <w:sz w:val="24"/>
              </w:rPr>
            </w:pPr>
          </w:p>
        </w:tc>
        <w:tc>
          <w:tcPr>
            <w:tcW w:w="1835" w:type="dxa"/>
            <w:gridSpan w:val="2"/>
            <w:tcBorders>
              <w:top w:val="double" w:color="auto" w:sz="4" w:space="0"/>
              <w:bottom w:val="double" w:color="auto" w:sz="4" w:space="0"/>
            </w:tcBorders>
            <w:noWrap w:val="0"/>
            <w:vAlign w:val="top"/>
          </w:tcPr>
          <w:p>
            <w:pPr>
              <w:spacing w:line="360" w:lineRule="auto"/>
              <w:rPr>
                <w:rFonts w:hint="eastAsia" w:ascii="宋体" w:hAnsi="宋体"/>
                <w:strike/>
                <w:dstrike w:val="0"/>
                <w:sz w:val="24"/>
              </w:rPr>
            </w:pPr>
          </w:p>
        </w:tc>
        <w:tc>
          <w:tcPr>
            <w:tcW w:w="1835" w:type="dxa"/>
            <w:gridSpan w:val="2"/>
            <w:tcBorders>
              <w:top w:val="double" w:color="auto" w:sz="4" w:space="0"/>
              <w:bottom w:val="double" w:color="auto" w:sz="4" w:space="0"/>
            </w:tcBorders>
            <w:noWrap w:val="0"/>
            <w:vAlign w:val="top"/>
          </w:tcPr>
          <w:p>
            <w:pPr>
              <w:spacing w:line="360" w:lineRule="auto"/>
              <w:rPr>
                <w:rFonts w:hint="eastAsia" w:ascii="宋体" w:hAnsi="宋体"/>
                <w:strike/>
                <w:dstrike w:val="0"/>
                <w:sz w:val="24"/>
              </w:rPr>
            </w:pPr>
          </w:p>
        </w:tc>
        <w:tc>
          <w:tcPr>
            <w:tcW w:w="1835" w:type="dxa"/>
            <w:gridSpan w:val="2"/>
            <w:tcBorders>
              <w:top w:val="double" w:color="auto" w:sz="4" w:space="0"/>
              <w:bottom w:val="double" w:color="auto" w:sz="4" w:space="0"/>
              <w:right w:val="double" w:color="auto" w:sz="4" w:space="0"/>
            </w:tcBorders>
            <w:noWrap w:val="0"/>
            <w:vAlign w:val="top"/>
          </w:tcPr>
          <w:p>
            <w:pPr>
              <w:spacing w:line="360" w:lineRule="auto"/>
              <w:rPr>
                <w:rFonts w:hint="eastAsia" w:ascii="宋体" w:hAnsi="宋体"/>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pPr>
              <w:spacing w:line="360" w:lineRule="auto"/>
              <w:jc w:val="center"/>
              <w:rPr>
                <w:rFonts w:hint="eastAsia" w:ascii="宋体" w:hAnsi="宋体"/>
                <w:strike/>
                <w:dstrike w:val="0"/>
                <w:sz w:val="24"/>
              </w:rPr>
            </w:pPr>
            <w:r>
              <w:rPr>
                <w:rFonts w:hint="eastAsia" w:ascii="宋体" w:hAnsi="宋体"/>
                <w:strike/>
                <w:dstrike w:val="0"/>
                <w:sz w:val="24"/>
              </w:rPr>
              <w:t>第    轮</w:t>
            </w:r>
          </w:p>
        </w:tc>
        <w:tc>
          <w:tcPr>
            <w:tcW w:w="3670" w:type="dxa"/>
            <w:gridSpan w:val="4"/>
            <w:tcBorders>
              <w:top w:val="double" w:color="auto" w:sz="4" w:space="0"/>
              <w:left w:val="single" w:color="auto" w:sz="4" w:space="0"/>
              <w:bottom w:val="double" w:color="auto" w:sz="4" w:space="0"/>
            </w:tcBorders>
            <w:noWrap w:val="0"/>
            <w:vAlign w:val="top"/>
          </w:tcPr>
          <w:p>
            <w:pPr>
              <w:spacing w:line="360" w:lineRule="auto"/>
              <w:rPr>
                <w:rFonts w:hint="eastAsia" w:ascii="宋体" w:hAnsi="宋体"/>
                <w:strike/>
                <w:dstrike w:val="0"/>
                <w:sz w:val="24"/>
              </w:rPr>
            </w:pPr>
          </w:p>
        </w:tc>
        <w:tc>
          <w:tcPr>
            <w:tcW w:w="3670" w:type="dxa"/>
            <w:gridSpan w:val="4"/>
            <w:tcBorders>
              <w:top w:val="double" w:color="auto" w:sz="4" w:space="0"/>
              <w:bottom w:val="double" w:color="auto" w:sz="4" w:space="0"/>
              <w:right w:val="double" w:color="auto" w:sz="4" w:space="0"/>
            </w:tcBorders>
            <w:noWrap w:val="0"/>
            <w:vAlign w:val="top"/>
          </w:tcPr>
          <w:p>
            <w:pPr>
              <w:spacing w:line="360" w:lineRule="auto"/>
              <w:rPr>
                <w:rFonts w:hint="eastAsia" w:ascii="宋体" w:hAnsi="宋体"/>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pPr>
              <w:spacing w:line="360" w:lineRule="auto"/>
              <w:jc w:val="center"/>
              <w:rPr>
                <w:rFonts w:hint="eastAsia" w:ascii="宋体" w:hAnsi="宋体"/>
                <w:strike/>
                <w:dstrike w:val="0"/>
                <w:sz w:val="24"/>
              </w:rPr>
            </w:pPr>
            <w:r>
              <w:rPr>
                <w:rFonts w:hint="eastAsia" w:ascii="宋体" w:hAnsi="宋体"/>
                <w:strike/>
                <w:dstrike w:val="0"/>
                <w:sz w:val="24"/>
              </w:rPr>
              <w:t>第    轮</w:t>
            </w:r>
          </w:p>
        </w:tc>
        <w:tc>
          <w:tcPr>
            <w:tcW w:w="7340" w:type="dxa"/>
            <w:gridSpan w:val="8"/>
            <w:tcBorders>
              <w:top w:val="double" w:color="auto" w:sz="4" w:space="0"/>
              <w:left w:val="single" w:color="auto" w:sz="4" w:space="0"/>
              <w:bottom w:val="double" w:color="auto" w:sz="4" w:space="0"/>
              <w:right w:val="double" w:color="auto" w:sz="4" w:space="0"/>
            </w:tcBorders>
            <w:noWrap w:val="0"/>
            <w:vAlign w:val="top"/>
          </w:tcPr>
          <w:p>
            <w:pPr>
              <w:spacing w:line="360" w:lineRule="auto"/>
              <w:rPr>
                <w:rFonts w:hint="eastAsia" w:ascii="宋体" w:hAnsi="宋体"/>
                <w:strike/>
                <w:dstrike w:val="0"/>
                <w:sz w:val="24"/>
              </w:rPr>
            </w:pPr>
          </w:p>
        </w:tc>
      </w:tr>
    </w:tbl>
    <w:p>
      <w:pPr>
        <w:spacing w:line="360" w:lineRule="auto"/>
        <w:rPr>
          <w:rFonts w:ascii="宋体" w:hAnsi="宋体"/>
          <w:strike/>
          <w:dstrike w:val="0"/>
          <w:sz w:val="24"/>
        </w:rPr>
      </w:pPr>
      <w:r>
        <w:rPr>
          <w:rFonts w:hint="eastAsia" w:ascii="宋体" w:hAnsi="宋体"/>
          <w:strike/>
          <w:dstrike w:val="0"/>
          <w:sz w:val="24"/>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cs="Arial"/>
          <w:strike/>
          <w:dstrike w:val="0"/>
          <w:sz w:val="24"/>
        </w:rPr>
        <w:t>以得票多的方案当选为</w:t>
      </w:r>
      <w:r>
        <w:rPr>
          <w:rFonts w:hint="eastAsia" w:ascii="宋体" w:hAnsi="宋体"/>
          <w:strike/>
          <w:dstrike w:val="0"/>
          <w:sz w:val="24"/>
        </w:rPr>
        <w:t>下一轮投票的候选方案</w:t>
      </w:r>
      <w:r>
        <w:rPr>
          <w:rFonts w:hint="eastAsia" w:ascii="宋体" w:hAnsi="宋体" w:cs="Arial"/>
          <w:strike/>
          <w:dstrike w:val="0"/>
          <w:sz w:val="24"/>
        </w:rPr>
        <w:t>。</w:t>
      </w:r>
      <w:r>
        <w:rPr>
          <w:rFonts w:hint="eastAsia" w:ascii="宋体" w:hAnsi="宋体"/>
          <w:strike/>
          <w:dstrike w:val="0"/>
          <w:sz w:val="24"/>
        </w:rPr>
        <w:t>不能进入下一轮的方案，根据本轮得票数量确定名次。</w:t>
      </w:r>
      <w:r>
        <w:rPr>
          <w:rFonts w:hint="eastAsia" w:ascii="宋体" w:hAnsi="宋体" w:cs="Arial"/>
          <w:strike/>
          <w:dstrike w:val="0"/>
          <w:sz w:val="24"/>
        </w:rPr>
        <w:t>遇票数相等不能确定入选下一轮的投标方案时，</w:t>
      </w:r>
      <w:r>
        <w:rPr>
          <w:rFonts w:hint="eastAsia"/>
          <w:strike/>
          <w:dstrike w:val="0"/>
          <w:sz w:val="24"/>
        </w:rPr>
        <w:t>应进行附加投票，以确定名次。</w:t>
      </w:r>
      <w:r>
        <w:rPr>
          <w:rFonts w:hint="eastAsia" w:ascii="宋体" w:hAnsi="宋体"/>
          <w:strike/>
          <w:dstrike w:val="0"/>
          <w:sz w:val="24"/>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spacing w:line="360" w:lineRule="auto"/>
              <w:rPr>
                <w:rFonts w:hint="eastAsia" w:ascii="宋体" w:hAnsi="宋体"/>
                <w:strike/>
                <w:dstrike w:val="0"/>
                <w:sz w:val="24"/>
              </w:rPr>
            </w:pPr>
          </w:p>
        </w:tc>
        <w:tc>
          <w:tcPr>
            <w:tcW w:w="6120" w:type="dxa"/>
            <w:gridSpan w:val="3"/>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spacing w:line="360" w:lineRule="auto"/>
              <w:rPr>
                <w:rFonts w:hint="eastAsia" w:ascii="宋体" w:hAnsi="宋体"/>
                <w:strike/>
                <w:dstrike w:val="0"/>
                <w:sz w:val="24"/>
              </w:rPr>
            </w:pPr>
            <w:r>
              <w:rPr>
                <w:rFonts w:hint="eastAsia" w:ascii="宋体" w:hAnsi="宋体"/>
                <w:strike/>
                <w:dstrike w:val="0"/>
                <w:sz w:val="24"/>
              </w:rPr>
              <w:t>投标人数</w:t>
            </w:r>
          </w:p>
        </w:tc>
        <w:tc>
          <w:tcPr>
            <w:tcW w:w="1980" w:type="dxa"/>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3至4</w:t>
            </w:r>
          </w:p>
        </w:tc>
        <w:tc>
          <w:tcPr>
            <w:tcW w:w="1980" w:type="dxa"/>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5至8</w:t>
            </w:r>
          </w:p>
        </w:tc>
        <w:tc>
          <w:tcPr>
            <w:tcW w:w="2160" w:type="dxa"/>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spacing w:line="360" w:lineRule="auto"/>
              <w:rPr>
                <w:rFonts w:hint="eastAsia" w:ascii="宋体" w:hAnsi="宋体"/>
                <w:strike/>
                <w:dstrike w:val="0"/>
                <w:sz w:val="24"/>
              </w:rPr>
            </w:pPr>
            <w:r>
              <w:rPr>
                <w:rFonts w:hint="eastAsia" w:ascii="宋体" w:hAnsi="宋体"/>
                <w:strike/>
                <w:dstrike w:val="0"/>
                <w:sz w:val="24"/>
              </w:rPr>
              <w:t>第1轮</w:t>
            </w:r>
          </w:p>
        </w:tc>
        <w:tc>
          <w:tcPr>
            <w:tcW w:w="1980" w:type="dxa"/>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2</w:t>
            </w:r>
          </w:p>
        </w:tc>
        <w:tc>
          <w:tcPr>
            <w:tcW w:w="1980" w:type="dxa"/>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4</w:t>
            </w:r>
          </w:p>
        </w:tc>
        <w:tc>
          <w:tcPr>
            <w:tcW w:w="2160" w:type="dxa"/>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spacing w:line="360" w:lineRule="auto"/>
              <w:rPr>
                <w:rFonts w:hint="eastAsia" w:ascii="宋体" w:hAnsi="宋体"/>
                <w:strike/>
                <w:dstrike w:val="0"/>
                <w:sz w:val="24"/>
              </w:rPr>
            </w:pPr>
            <w:r>
              <w:rPr>
                <w:rFonts w:hint="eastAsia" w:ascii="宋体" w:hAnsi="宋体"/>
                <w:strike/>
                <w:dstrike w:val="0"/>
                <w:sz w:val="24"/>
              </w:rPr>
              <w:t>第2轮</w:t>
            </w:r>
          </w:p>
        </w:tc>
        <w:tc>
          <w:tcPr>
            <w:tcW w:w="1980" w:type="dxa"/>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1</w:t>
            </w:r>
          </w:p>
        </w:tc>
        <w:tc>
          <w:tcPr>
            <w:tcW w:w="1980" w:type="dxa"/>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2</w:t>
            </w:r>
          </w:p>
        </w:tc>
        <w:tc>
          <w:tcPr>
            <w:tcW w:w="2160" w:type="dxa"/>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spacing w:line="360" w:lineRule="auto"/>
              <w:rPr>
                <w:rFonts w:hint="eastAsia" w:ascii="宋体" w:hAnsi="宋体"/>
                <w:strike/>
                <w:dstrike w:val="0"/>
                <w:sz w:val="24"/>
              </w:rPr>
            </w:pPr>
            <w:r>
              <w:rPr>
                <w:rFonts w:hint="eastAsia" w:ascii="宋体" w:hAnsi="宋体"/>
                <w:strike/>
                <w:dstrike w:val="0"/>
                <w:sz w:val="24"/>
              </w:rPr>
              <w:t>第3轮</w:t>
            </w:r>
          </w:p>
        </w:tc>
        <w:tc>
          <w:tcPr>
            <w:tcW w:w="1980" w:type="dxa"/>
            <w:noWrap w:val="0"/>
            <w:vAlign w:val="top"/>
          </w:tcPr>
          <w:p>
            <w:pPr>
              <w:spacing w:line="360" w:lineRule="auto"/>
              <w:jc w:val="center"/>
              <w:rPr>
                <w:rFonts w:hint="eastAsia" w:ascii="宋体" w:hAnsi="宋体"/>
                <w:strike/>
                <w:dstrike w:val="0"/>
                <w:sz w:val="24"/>
              </w:rPr>
            </w:pPr>
          </w:p>
        </w:tc>
        <w:tc>
          <w:tcPr>
            <w:tcW w:w="1980" w:type="dxa"/>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1</w:t>
            </w:r>
          </w:p>
        </w:tc>
        <w:tc>
          <w:tcPr>
            <w:tcW w:w="2160" w:type="dxa"/>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spacing w:line="360" w:lineRule="auto"/>
              <w:rPr>
                <w:rFonts w:hint="eastAsia" w:ascii="宋体" w:hAnsi="宋体"/>
                <w:strike/>
                <w:dstrike w:val="0"/>
                <w:sz w:val="24"/>
              </w:rPr>
            </w:pPr>
            <w:r>
              <w:rPr>
                <w:rFonts w:hint="eastAsia" w:ascii="宋体" w:hAnsi="宋体"/>
                <w:strike/>
                <w:dstrike w:val="0"/>
                <w:sz w:val="24"/>
              </w:rPr>
              <w:t>第4轮</w:t>
            </w:r>
          </w:p>
        </w:tc>
        <w:tc>
          <w:tcPr>
            <w:tcW w:w="1980" w:type="dxa"/>
            <w:noWrap w:val="0"/>
            <w:vAlign w:val="top"/>
          </w:tcPr>
          <w:p>
            <w:pPr>
              <w:spacing w:line="360" w:lineRule="auto"/>
              <w:jc w:val="center"/>
              <w:rPr>
                <w:rFonts w:hint="eastAsia" w:ascii="宋体" w:hAnsi="宋体"/>
                <w:strike/>
                <w:dstrike w:val="0"/>
                <w:sz w:val="24"/>
              </w:rPr>
            </w:pPr>
          </w:p>
        </w:tc>
        <w:tc>
          <w:tcPr>
            <w:tcW w:w="1980" w:type="dxa"/>
            <w:noWrap w:val="0"/>
            <w:vAlign w:val="top"/>
          </w:tcPr>
          <w:p>
            <w:pPr>
              <w:spacing w:line="360" w:lineRule="auto"/>
              <w:jc w:val="center"/>
              <w:rPr>
                <w:rFonts w:hint="eastAsia" w:ascii="宋体" w:hAnsi="宋体"/>
                <w:strike/>
                <w:dstrike w:val="0"/>
                <w:sz w:val="24"/>
              </w:rPr>
            </w:pPr>
          </w:p>
        </w:tc>
        <w:tc>
          <w:tcPr>
            <w:tcW w:w="2160" w:type="dxa"/>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1</w:t>
            </w:r>
          </w:p>
        </w:tc>
      </w:tr>
    </w:tbl>
    <w:p>
      <w:pPr>
        <w:spacing w:line="360" w:lineRule="auto"/>
        <w:rPr>
          <w:rFonts w:hint="eastAsia" w:ascii="宋体" w:hAnsi="宋体"/>
          <w:strike/>
          <w:dstrike w:val="0"/>
          <w:sz w:val="24"/>
        </w:rPr>
      </w:pPr>
      <w:r>
        <w:rPr>
          <w:rFonts w:hint="eastAsia" w:ascii="宋体" w:hAnsi="宋体"/>
          <w:strike/>
          <w:dstrike w:val="0"/>
          <w:sz w:val="24"/>
        </w:rPr>
        <w:t xml:space="preserve">    (1) </w:t>
      </w:r>
      <w:r>
        <w:rPr>
          <w:rFonts w:hint="eastAsia" w:ascii="宋体" w:hAnsi="宋体" w:cs="Arial"/>
          <w:strike/>
          <w:dstrike w:val="0"/>
          <w:sz w:val="24"/>
        </w:rPr>
        <w:t>投票结束后，</w:t>
      </w:r>
      <w:r>
        <w:rPr>
          <w:rFonts w:hint="eastAsia" w:ascii="宋体" w:hAnsi="宋体"/>
          <w:strike/>
          <w:dstrike w:val="0"/>
          <w:sz w:val="24"/>
        </w:rPr>
        <w:t>点票人员</w:t>
      </w:r>
      <w:r>
        <w:rPr>
          <w:rFonts w:hint="eastAsia" w:ascii="宋体" w:hAnsi="宋体" w:cs="Arial"/>
          <w:strike/>
          <w:dstrike w:val="0"/>
          <w:sz w:val="24"/>
        </w:rPr>
        <w:t>对投票人数、票数和每票应选方案总数加以核对和统计，作废的选票不得统计，并向</w:t>
      </w:r>
      <w:r>
        <w:rPr>
          <w:rFonts w:hint="eastAsia" w:ascii="宋体" w:hAnsi="宋体"/>
          <w:strike/>
          <w:dstrike w:val="0"/>
          <w:sz w:val="24"/>
        </w:rPr>
        <w:t>评标委员会</w:t>
      </w:r>
      <w:r>
        <w:rPr>
          <w:rFonts w:hint="eastAsia" w:ascii="宋体" w:hAnsi="宋体" w:cs="Arial"/>
          <w:strike/>
          <w:dstrike w:val="0"/>
          <w:sz w:val="24"/>
        </w:rPr>
        <w:t>报告。</w:t>
      </w:r>
    </w:p>
    <w:p>
      <w:pPr>
        <w:spacing w:line="360" w:lineRule="auto"/>
        <w:ind w:firstLine="480"/>
        <w:rPr>
          <w:rFonts w:ascii="宋体" w:hAnsi="宋体"/>
          <w:strike/>
          <w:dstrike w:val="0"/>
          <w:sz w:val="24"/>
        </w:rPr>
      </w:pPr>
      <w:r>
        <w:rPr>
          <w:rFonts w:hint="eastAsia" w:ascii="宋体" w:hAnsi="宋体"/>
          <w:strike/>
          <w:dstrike w:val="0"/>
          <w:sz w:val="24"/>
        </w:rPr>
        <w:t>(2)评标委员会成员应当独立投票，自投票开始至最终排名统计结果公布期间，任何人不得非法干预、影响投票过程，不得透露、协商、改变投票结果，不得使用通信联络工具。</w:t>
      </w:r>
    </w:p>
    <w:p>
      <w:pPr>
        <w:spacing w:line="360" w:lineRule="auto"/>
        <w:ind w:firstLine="480"/>
        <w:rPr>
          <w:rFonts w:hint="eastAsia" w:ascii="宋体" w:hAnsi="宋体"/>
          <w:strike/>
          <w:dstrike w:val="0"/>
          <w:sz w:val="24"/>
        </w:rPr>
      </w:pPr>
    </w:p>
    <w:p>
      <w:pPr>
        <w:spacing w:line="360" w:lineRule="auto"/>
        <w:rPr>
          <w:rFonts w:hint="eastAsia" w:ascii="宋体" w:hAnsi="宋体"/>
          <w:strike/>
          <w:dstrike w:val="0"/>
          <w:sz w:val="24"/>
        </w:rPr>
      </w:pPr>
      <w:r>
        <w:rPr>
          <w:rFonts w:hint="eastAsia" w:ascii="宋体" w:hAnsi="宋体"/>
          <w:strike/>
          <w:dstrike w:val="0"/>
          <w:sz w:val="24"/>
        </w:rPr>
        <w:t>评委签名：                                 日期：     年    月    日</w:t>
      </w:r>
    </w:p>
    <w:p>
      <w:pPr>
        <w:spacing w:line="360" w:lineRule="auto"/>
        <w:rPr>
          <w:rFonts w:hint="eastAsia" w:ascii="宋体" w:hAnsi="宋体"/>
          <w:strike/>
          <w:dstrike w:val="0"/>
          <w:sz w:val="24"/>
        </w:rPr>
      </w:pPr>
    </w:p>
    <w:p>
      <w:pPr>
        <w:rPr>
          <w:rFonts w:ascii="宋体" w:hAnsi="宋体"/>
          <w:strike/>
          <w:dstrike w:val="0"/>
        </w:rPr>
        <w:sectPr>
          <w:footerReference r:id="rId7" w:type="default"/>
          <w:footerReference r:id="rId8" w:type="even"/>
          <w:pgSz w:w="11906" w:h="16838"/>
          <w:pgMar w:top="1440" w:right="1797" w:bottom="1440" w:left="1797" w:header="851" w:footer="992" w:gutter="0"/>
          <w:cols w:space="720" w:num="1"/>
          <w:docGrid w:type="lines" w:linePitch="312" w:charSpace="0"/>
        </w:sectPr>
      </w:pPr>
    </w:p>
    <w:p>
      <w:pPr>
        <w:pStyle w:val="3"/>
        <w:rPr>
          <w:rFonts w:hint="eastAsia" w:ascii="宋体" w:hAnsi="宋体"/>
          <w:strike/>
          <w:dstrike w:val="0"/>
          <w:sz w:val="21"/>
          <w:szCs w:val="21"/>
        </w:rPr>
      </w:pPr>
      <w:bookmarkStart w:id="48" w:name="_Toc22368"/>
      <w:bookmarkStart w:id="49" w:name="_Toc32827946"/>
      <w:r>
        <w:rPr>
          <w:rFonts w:hint="eastAsia" w:ascii="宋体" w:hAnsi="宋体"/>
          <w:strike/>
          <w:dstrike w:val="0"/>
          <w:sz w:val="21"/>
          <w:szCs w:val="21"/>
        </w:rPr>
        <w:t>附录11 投标汇总表格</w:t>
      </w:r>
      <w:bookmarkEnd w:id="48"/>
      <w:bookmarkEnd w:id="49"/>
    </w:p>
    <w:p>
      <w:pPr>
        <w:jc w:val="center"/>
        <w:rPr>
          <w:rFonts w:hint="eastAsia" w:ascii="宋体" w:hAnsi="宋体"/>
          <w:b/>
          <w:strike/>
          <w:dstrike w:val="0"/>
          <w:sz w:val="32"/>
        </w:rPr>
      </w:pPr>
      <w:r>
        <w:rPr>
          <w:rFonts w:hint="eastAsia" w:ascii="宋体" w:hAnsi="宋体"/>
          <w:b/>
          <w:strike/>
          <w:dstrike w:val="0"/>
          <w:sz w:val="32"/>
        </w:rPr>
        <w:t>投票汇总表格</w:t>
      </w:r>
    </w:p>
    <w:p>
      <w:pPr>
        <w:rPr>
          <w:rFonts w:hint="eastAsia" w:ascii="宋体" w:hAnsi="宋体"/>
          <w:strike/>
          <w:dstrike w:val="0"/>
          <w:sz w:val="24"/>
        </w:rPr>
      </w:pPr>
      <w:r>
        <w:rPr>
          <w:rFonts w:hint="eastAsia" w:ascii="宋体" w:hAnsi="宋体"/>
          <w:strike/>
          <w:dstrike w:val="0"/>
          <w:sz w:val="24"/>
        </w:rPr>
        <w:t>项目名称：                                                                                       日期：       年    月    日</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方案编号</w:t>
            </w:r>
          </w:p>
        </w:tc>
        <w:tc>
          <w:tcPr>
            <w:tcW w:w="1420" w:type="dxa"/>
            <w:vMerge w:val="restart"/>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第一轮得票</w:t>
            </w:r>
          </w:p>
        </w:tc>
        <w:tc>
          <w:tcPr>
            <w:tcW w:w="1420" w:type="dxa"/>
            <w:vMerge w:val="restart"/>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第二轮得票</w:t>
            </w:r>
          </w:p>
        </w:tc>
        <w:tc>
          <w:tcPr>
            <w:tcW w:w="1420" w:type="dxa"/>
            <w:vMerge w:val="restart"/>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第三轮得票</w:t>
            </w:r>
          </w:p>
        </w:tc>
        <w:tc>
          <w:tcPr>
            <w:tcW w:w="1420" w:type="dxa"/>
            <w:vMerge w:val="restart"/>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第四轮得票</w:t>
            </w:r>
          </w:p>
        </w:tc>
        <w:tc>
          <w:tcPr>
            <w:tcW w:w="2708" w:type="dxa"/>
            <w:gridSpan w:val="4"/>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每轮得票相同的排序</w:t>
            </w:r>
          </w:p>
        </w:tc>
        <w:tc>
          <w:tcPr>
            <w:tcW w:w="1275" w:type="dxa"/>
            <w:vMerge w:val="restart"/>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排列名次</w:t>
            </w:r>
          </w:p>
        </w:tc>
        <w:tc>
          <w:tcPr>
            <w:tcW w:w="3045" w:type="dxa"/>
            <w:vMerge w:val="restart"/>
            <w:noWrap w:val="0"/>
            <w:vAlign w:val="top"/>
          </w:tcPr>
          <w:p>
            <w:pPr>
              <w:spacing w:line="360" w:lineRule="auto"/>
              <w:jc w:val="center"/>
              <w:rPr>
                <w:rFonts w:hint="eastAsia" w:ascii="宋体" w:hAnsi="宋体"/>
                <w:strike/>
                <w:dstrike w:val="0"/>
                <w:sz w:val="24"/>
              </w:rPr>
            </w:pPr>
            <w:r>
              <w:rPr>
                <w:rFonts w:hint="eastAsia" w:ascii="宋体" w:hAnsi="宋体"/>
                <w:strike/>
                <w:dstrike w:val="0"/>
                <w:sz w:val="24"/>
              </w:rPr>
              <w:t>投标人名称</w:t>
            </w:r>
          </w:p>
          <w:p>
            <w:pPr>
              <w:spacing w:line="360" w:lineRule="auto"/>
              <w:jc w:val="center"/>
              <w:rPr>
                <w:rFonts w:hint="eastAsia" w:ascii="宋体" w:hAnsi="宋体"/>
                <w:strike/>
                <w:dstrike w:val="0"/>
                <w:sz w:val="24"/>
              </w:rPr>
            </w:pPr>
            <w:r>
              <w:rPr>
                <w:rFonts w:hint="eastAsia" w:ascii="宋体" w:hAnsi="宋体"/>
                <w:strike/>
                <w:dstrike w:val="0"/>
                <w:sz w:val="24"/>
              </w:rPr>
              <w:t>（建筑师）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noWrap w:val="0"/>
            <w:vAlign w:val="top"/>
          </w:tcPr>
          <w:p>
            <w:pPr>
              <w:spacing w:line="360" w:lineRule="auto"/>
              <w:jc w:val="center"/>
              <w:rPr>
                <w:rFonts w:hint="eastAsia" w:ascii="宋体" w:hAnsi="宋体"/>
                <w:strike/>
                <w:dstrike w:val="0"/>
              </w:rPr>
            </w:pPr>
          </w:p>
        </w:tc>
        <w:tc>
          <w:tcPr>
            <w:tcW w:w="1420" w:type="dxa"/>
            <w:vMerge w:val="continue"/>
            <w:noWrap w:val="0"/>
            <w:vAlign w:val="top"/>
          </w:tcPr>
          <w:p>
            <w:pPr>
              <w:spacing w:line="360" w:lineRule="auto"/>
              <w:jc w:val="center"/>
              <w:rPr>
                <w:rFonts w:hint="eastAsia" w:ascii="宋体" w:hAnsi="宋体"/>
                <w:strike/>
                <w:dstrike w:val="0"/>
              </w:rPr>
            </w:pPr>
          </w:p>
        </w:tc>
        <w:tc>
          <w:tcPr>
            <w:tcW w:w="1420" w:type="dxa"/>
            <w:vMerge w:val="continue"/>
            <w:noWrap w:val="0"/>
            <w:vAlign w:val="top"/>
          </w:tcPr>
          <w:p>
            <w:pPr>
              <w:spacing w:line="360" w:lineRule="auto"/>
              <w:jc w:val="center"/>
              <w:rPr>
                <w:rFonts w:hint="eastAsia" w:ascii="宋体" w:hAnsi="宋体"/>
                <w:strike/>
                <w:dstrike w:val="0"/>
              </w:rPr>
            </w:pPr>
          </w:p>
        </w:tc>
        <w:tc>
          <w:tcPr>
            <w:tcW w:w="1420" w:type="dxa"/>
            <w:vMerge w:val="continue"/>
            <w:noWrap w:val="0"/>
            <w:vAlign w:val="top"/>
          </w:tcPr>
          <w:p>
            <w:pPr>
              <w:spacing w:line="360" w:lineRule="auto"/>
              <w:jc w:val="center"/>
              <w:rPr>
                <w:rFonts w:hint="eastAsia" w:ascii="宋体" w:hAnsi="宋体"/>
                <w:strike/>
                <w:dstrike w:val="0"/>
              </w:rPr>
            </w:pPr>
          </w:p>
        </w:tc>
        <w:tc>
          <w:tcPr>
            <w:tcW w:w="1420" w:type="dxa"/>
            <w:vMerge w:val="continue"/>
            <w:noWrap w:val="0"/>
            <w:vAlign w:val="top"/>
          </w:tcPr>
          <w:p>
            <w:pPr>
              <w:spacing w:line="360" w:lineRule="auto"/>
              <w:jc w:val="center"/>
              <w:rPr>
                <w:rFonts w:hint="eastAsia" w:ascii="宋体" w:hAnsi="宋体"/>
                <w:strike/>
                <w:dstrike w:val="0"/>
              </w:rPr>
            </w:pPr>
          </w:p>
        </w:tc>
        <w:tc>
          <w:tcPr>
            <w:tcW w:w="677" w:type="dxa"/>
            <w:noWrap w:val="0"/>
            <w:vAlign w:val="top"/>
          </w:tcPr>
          <w:p>
            <w:pPr>
              <w:spacing w:line="360" w:lineRule="auto"/>
              <w:jc w:val="center"/>
              <w:rPr>
                <w:rFonts w:hint="eastAsia" w:ascii="宋体" w:hAnsi="宋体"/>
                <w:strike/>
                <w:dstrike w:val="0"/>
              </w:rPr>
            </w:pPr>
            <w:r>
              <w:rPr>
                <w:rFonts w:hint="eastAsia" w:ascii="宋体" w:hAnsi="宋体"/>
                <w:strike/>
                <w:dstrike w:val="0"/>
              </w:rPr>
              <w:t>1</w:t>
            </w:r>
          </w:p>
        </w:tc>
        <w:tc>
          <w:tcPr>
            <w:tcW w:w="677" w:type="dxa"/>
            <w:noWrap w:val="0"/>
            <w:vAlign w:val="top"/>
          </w:tcPr>
          <w:p>
            <w:pPr>
              <w:spacing w:line="360" w:lineRule="auto"/>
              <w:jc w:val="center"/>
              <w:rPr>
                <w:rFonts w:hint="eastAsia" w:ascii="宋体" w:hAnsi="宋体"/>
                <w:strike/>
                <w:dstrike w:val="0"/>
              </w:rPr>
            </w:pPr>
            <w:r>
              <w:rPr>
                <w:rFonts w:hint="eastAsia" w:ascii="宋体" w:hAnsi="宋体"/>
                <w:strike/>
                <w:dstrike w:val="0"/>
              </w:rPr>
              <w:t>2</w:t>
            </w:r>
          </w:p>
        </w:tc>
        <w:tc>
          <w:tcPr>
            <w:tcW w:w="677" w:type="dxa"/>
            <w:noWrap w:val="0"/>
            <w:vAlign w:val="top"/>
          </w:tcPr>
          <w:p>
            <w:pPr>
              <w:spacing w:line="360" w:lineRule="auto"/>
              <w:jc w:val="center"/>
              <w:rPr>
                <w:rFonts w:hint="eastAsia" w:ascii="宋体" w:hAnsi="宋体"/>
                <w:strike/>
                <w:dstrike w:val="0"/>
              </w:rPr>
            </w:pPr>
            <w:r>
              <w:rPr>
                <w:rFonts w:hint="eastAsia" w:ascii="宋体" w:hAnsi="宋体"/>
                <w:strike/>
                <w:dstrike w:val="0"/>
              </w:rPr>
              <w:t>3</w:t>
            </w:r>
          </w:p>
        </w:tc>
        <w:tc>
          <w:tcPr>
            <w:tcW w:w="677" w:type="dxa"/>
            <w:noWrap w:val="0"/>
            <w:vAlign w:val="top"/>
          </w:tcPr>
          <w:p>
            <w:pPr>
              <w:spacing w:line="360" w:lineRule="auto"/>
              <w:jc w:val="center"/>
              <w:rPr>
                <w:rFonts w:hint="eastAsia" w:ascii="宋体" w:hAnsi="宋体"/>
                <w:strike/>
                <w:dstrike w:val="0"/>
              </w:rPr>
            </w:pPr>
            <w:r>
              <w:rPr>
                <w:rFonts w:hint="eastAsia" w:ascii="宋体" w:hAnsi="宋体"/>
                <w:strike/>
                <w:dstrike w:val="0"/>
              </w:rPr>
              <w:t>4</w:t>
            </w:r>
          </w:p>
        </w:tc>
        <w:tc>
          <w:tcPr>
            <w:tcW w:w="1275" w:type="dxa"/>
            <w:vMerge w:val="continue"/>
            <w:noWrap w:val="0"/>
            <w:vAlign w:val="top"/>
          </w:tcPr>
          <w:p>
            <w:pPr>
              <w:spacing w:line="360" w:lineRule="auto"/>
              <w:jc w:val="center"/>
              <w:rPr>
                <w:rFonts w:hint="eastAsia" w:ascii="宋体" w:hAnsi="宋体"/>
                <w:strike/>
                <w:dstrike w:val="0"/>
              </w:rPr>
            </w:pPr>
          </w:p>
        </w:tc>
        <w:tc>
          <w:tcPr>
            <w:tcW w:w="3045" w:type="dxa"/>
            <w:vMerge w:val="continue"/>
            <w:noWrap w:val="0"/>
            <w:vAlign w:val="top"/>
          </w:tcPr>
          <w:p>
            <w:pPr>
              <w:spacing w:line="360" w:lineRule="auto"/>
              <w:jc w:val="center"/>
              <w:rPr>
                <w:rFonts w:hint="eastAsia"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noWrap w:val="0"/>
            <w:vAlign w:val="top"/>
          </w:tcPr>
          <w:p>
            <w:pPr>
              <w:spacing w:line="480" w:lineRule="auto"/>
              <w:jc w:val="center"/>
              <w:rPr>
                <w:rFonts w:hint="eastAsia" w:ascii="宋体" w:hAnsi="宋体"/>
                <w:strike/>
                <w:dstrike w:val="0"/>
                <w:snapToGrid w:val="0"/>
                <w:kern w:val="0"/>
                <w:szCs w:val="21"/>
              </w:rPr>
            </w:pPr>
            <w:r>
              <w:rPr>
                <w:rFonts w:hint="eastAsia" w:ascii="宋体" w:hAnsi="宋体"/>
                <w:strike/>
                <w:dstrike w:val="0"/>
                <w:snapToGrid w:val="0"/>
                <w:kern w:val="0"/>
                <w:szCs w:val="21"/>
              </w:rPr>
              <w:t>1</w:t>
            </w: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1275" w:type="dxa"/>
            <w:noWrap w:val="0"/>
            <w:vAlign w:val="top"/>
          </w:tcPr>
          <w:p>
            <w:pPr>
              <w:spacing w:line="480" w:lineRule="auto"/>
              <w:rPr>
                <w:rFonts w:hint="eastAsia" w:ascii="宋体" w:hAnsi="宋体"/>
                <w:strike/>
                <w:dstrike w:val="0"/>
                <w:snapToGrid w:val="0"/>
                <w:kern w:val="0"/>
                <w:szCs w:val="21"/>
              </w:rPr>
            </w:pPr>
          </w:p>
        </w:tc>
        <w:tc>
          <w:tcPr>
            <w:tcW w:w="3045" w:type="dxa"/>
            <w:noWrap w:val="0"/>
            <w:vAlign w:val="top"/>
          </w:tcPr>
          <w:p>
            <w:pPr>
              <w:spacing w:line="480" w:lineRule="auto"/>
              <w:rPr>
                <w:rFonts w:hint="eastAsia" w:ascii="宋体" w:hAnsi="宋体"/>
                <w:strike/>
                <w:dstrike w:val="0"/>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spacing w:line="480" w:lineRule="auto"/>
              <w:jc w:val="center"/>
              <w:rPr>
                <w:rFonts w:hint="eastAsia" w:ascii="宋体" w:hAnsi="宋体"/>
                <w:strike/>
                <w:dstrike w:val="0"/>
                <w:snapToGrid w:val="0"/>
                <w:kern w:val="0"/>
                <w:szCs w:val="21"/>
              </w:rPr>
            </w:pPr>
            <w:r>
              <w:rPr>
                <w:rFonts w:hint="eastAsia" w:ascii="宋体" w:hAnsi="宋体"/>
                <w:strike/>
                <w:dstrike w:val="0"/>
                <w:snapToGrid w:val="0"/>
                <w:kern w:val="0"/>
                <w:szCs w:val="21"/>
              </w:rPr>
              <w:t>2</w:t>
            </w: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1275" w:type="dxa"/>
            <w:noWrap w:val="0"/>
            <w:vAlign w:val="top"/>
          </w:tcPr>
          <w:p>
            <w:pPr>
              <w:spacing w:line="480" w:lineRule="auto"/>
              <w:rPr>
                <w:rFonts w:hint="eastAsia" w:ascii="宋体" w:hAnsi="宋体"/>
                <w:strike/>
                <w:dstrike w:val="0"/>
                <w:snapToGrid w:val="0"/>
                <w:kern w:val="0"/>
                <w:szCs w:val="21"/>
              </w:rPr>
            </w:pPr>
          </w:p>
        </w:tc>
        <w:tc>
          <w:tcPr>
            <w:tcW w:w="3045" w:type="dxa"/>
            <w:noWrap w:val="0"/>
            <w:vAlign w:val="top"/>
          </w:tcPr>
          <w:p>
            <w:pPr>
              <w:spacing w:line="480" w:lineRule="auto"/>
              <w:rPr>
                <w:rFonts w:hint="eastAsia" w:ascii="宋体" w:hAnsi="宋体"/>
                <w:strike/>
                <w:dstrike w:val="0"/>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spacing w:line="480" w:lineRule="auto"/>
              <w:jc w:val="center"/>
              <w:rPr>
                <w:rFonts w:hint="eastAsia" w:ascii="宋体" w:hAnsi="宋体"/>
                <w:strike/>
                <w:dstrike w:val="0"/>
                <w:snapToGrid w:val="0"/>
                <w:kern w:val="0"/>
                <w:szCs w:val="21"/>
              </w:rPr>
            </w:pPr>
            <w:r>
              <w:rPr>
                <w:rFonts w:hint="eastAsia" w:ascii="宋体" w:hAnsi="宋体"/>
                <w:strike/>
                <w:dstrike w:val="0"/>
                <w:snapToGrid w:val="0"/>
                <w:kern w:val="0"/>
                <w:szCs w:val="21"/>
              </w:rPr>
              <w:t>3</w:t>
            </w: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1275" w:type="dxa"/>
            <w:noWrap w:val="0"/>
            <w:vAlign w:val="top"/>
          </w:tcPr>
          <w:p>
            <w:pPr>
              <w:spacing w:line="480" w:lineRule="auto"/>
              <w:rPr>
                <w:rFonts w:hint="eastAsia" w:ascii="宋体" w:hAnsi="宋体"/>
                <w:strike/>
                <w:dstrike w:val="0"/>
                <w:snapToGrid w:val="0"/>
                <w:kern w:val="0"/>
                <w:szCs w:val="21"/>
              </w:rPr>
            </w:pPr>
          </w:p>
        </w:tc>
        <w:tc>
          <w:tcPr>
            <w:tcW w:w="3045" w:type="dxa"/>
            <w:noWrap w:val="0"/>
            <w:vAlign w:val="top"/>
          </w:tcPr>
          <w:p>
            <w:pPr>
              <w:spacing w:line="480" w:lineRule="auto"/>
              <w:rPr>
                <w:rFonts w:hint="eastAsia" w:ascii="宋体" w:hAnsi="宋体"/>
                <w:strike/>
                <w:dstrike w:val="0"/>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spacing w:line="480" w:lineRule="auto"/>
              <w:jc w:val="center"/>
              <w:rPr>
                <w:rFonts w:hint="eastAsia" w:ascii="宋体" w:hAnsi="宋体"/>
                <w:strike/>
                <w:dstrike w:val="0"/>
                <w:snapToGrid w:val="0"/>
                <w:kern w:val="0"/>
                <w:szCs w:val="21"/>
              </w:rPr>
            </w:pPr>
            <w:r>
              <w:rPr>
                <w:rFonts w:hint="eastAsia" w:ascii="宋体" w:hAnsi="宋体"/>
                <w:strike/>
                <w:dstrike w:val="0"/>
                <w:snapToGrid w:val="0"/>
                <w:kern w:val="0"/>
                <w:szCs w:val="21"/>
              </w:rPr>
              <w:t>4</w:t>
            </w: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1275" w:type="dxa"/>
            <w:noWrap w:val="0"/>
            <w:vAlign w:val="top"/>
          </w:tcPr>
          <w:p>
            <w:pPr>
              <w:spacing w:line="480" w:lineRule="auto"/>
              <w:rPr>
                <w:rFonts w:hint="eastAsia" w:ascii="宋体" w:hAnsi="宋体"/>
                <w:strike/>
                <w:dstrike w:val="0"/>
                <w:snapToGrid w:val="0"/>
                <w:kern w:val="0"/>
                <w:szCs w:val="21"/>
              </w:rPr>
            </w:pPr>
          </w:p>
        </w:tc>
        <w:tc>
          <w:tcPr>
            <w:tcW w:w="3045" w:type="dxa"/>
            <w:noWrap w:val="0"/>
            <w:vAlign w:val="top"/>
          </w:tcPr>
          <w:p>
            <w:pPr>
              <w:spacing w:line="480" w:lineRule="auto"/>
              <w:rPr>
                <w:rFonts w:hint="eastAsia" w:ascii="宋体" w:hAnsi="宋体"/>
                <w:strike/>
                <w:dstrike w:val="0"/>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spacing w:line="480" w:lineRule="auto"/>
              <w:jc w:val="center"/>
              <w:rPr>
                <w:rFonts w:hint="eastAsia" w:ascii="宋体" w:hAnsi="宋体"/>
                <w:strike/>
                <w:dstrike w:val="0"/>
                <w:snapToGrid w:val="0"/>
                <w:kern w:val="0"/>
                <w:szCs w:val="21"/>
              </w:rPr>
            </w:pPr>
            <w:r>
              <w:rPr>
                <w:rFonts w:hint="eastAsia" w:ascii="宋体" w:hAnsi="宋体"/>
                <w:strike/>
                <w:dstrike w:val="0"/>
                <w:snapToGrid w:val="0"/>
                <w:kern w:val="0"/>
                <w:szCs w:val="21"/>
              </w:rPr>
              <w:t>5</w:t>
            </w: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1275" w:type="dxa"/>
            <w:noWrap w:val="0"/>
            <w:vAlign w:val="top"/>
          </w:tcPr>
          <w:p>
            <w:pPr>
              <w:spacing w:line="480" w:lineRule="auto"/>
              <w:rPr>
                <w:rFonts w:hint="eastAsia" w:ascii="宋体" w:hAnsi="宋体"/>
                <w:strike/>
                <w:dstrike w:val="0"/>
                <w:snapToGrid w:val="0"/>
                <w:kern w:val="0"/>
                <w:szCs w:val="21"/>
              </w:rPr>
            </w:pPr>
          </w:p>
        </w:tc>
        <w:tc>
          <w:tcPr>
            <w:tcW w:w="3045" w:type="dxa"/>
            <w:noWrap w:val="0"/>
            <w:vAlign w:val="top"/>
          </w:tcPr>
          <w:p>
            <w:pPr>
              <w:spacing w:line="480" w:lineRule="auto"/>
              <w:rPr>
                <w:rFonts w:hint="eastAsia" w:ascii="宋体" w:hAnsi="宋体"/>
                <w:strike/>
                <w:dstrike w:val="0"/>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spacing w:line="480" w:lineRule="auto"/>
              <w:jc w:val="center"/>
              <w:rPr>
                <w:rFonts w:hint="eastAsia" w:ascii="宋体" w:hAnsi="宋体"/>
                <w:strike/>
                <w:dstrike w:val="0"/>
                <w:snapToGrid w:val="0"/>
                <w:kern w:val="0"/>
                <w:szCs w:val="21"/>
              </w:rPr>
            </w:pPr>
            <w:r>
              <w:rPr>
                <w:rFonts w:hint="eastAsia" w:ascii="宋体" w:hAnsi="宋体"/>
                <w:strike/>
                <w:dstrike w:val="0"/>
                <w:snapToGrid w:val="0"/>
                <w:kern w:val="0"/>
                <w:szCs w:val="21"/>
              </w:rPr>
              <w:t>6</w:t>
            </w: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1275" w:type="dxa"/>
            <w:noWrap w:val="0"/>
            <w:vAlign w:val="top"/>
          </w:tcPr>
          <w:p>
            <w:pPr>
              <w:spacing w:line="480" w:lineRule="auto"/>
              <w:rPr>
                <w:rFonts w:hint="eastAsia" w:ascii="宋体" w:hAnsi="宋体"/>
                <w:strike/>
                <w:dstrike w:val="0"/>
                <w:snapToGrid w:val="0"/>
                <w:kern w:val="0"/>
                <w:szCs w:val="21"/>
              </w:rPr>
            </w:pPr>
          </w:p>
        </w:tc>
        <w:tc>
          <w:tcPr>
            <w:tcW w:w="3045" w:type="dxa"/>
            <w:noWrap w:val="0"/>
            <w:vAlign w:val="top"/>
          </w:tcPr>
          <w:p>
            <w:pPr>
              <w:spacing w:line="480" w:lineRule="auto"/>
              <w:rPr>
                <w:rFonts w:hint="eastAsia" w:ascii="宋体" w:hAnsi="宋体"/>
                <w:strike/>
                <w:dstrike w:val="0"/>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spacing w:line="480" w:lineRule="auto"/>
              <w:jc w:val="center"/>
              <w:rPr>
                <w:rFonts w:hint="eastAsia" w:ascii="宋体" w:hAnsi="宋体"/>
                <w:strike/>
                <w:dstrike w:val="0"/>
                <w:snapToGrid w:val="0"/>
                <w:kern w:val="0"/>
                <w:szCs w:val="21"/>
              </w:rPr>
            </w:pPr>
            <w:r>
              <w:rPr>
                <w:rFonts w:hint="eastAsia" w:ascii="宋体" w:hAnsi="宋体"/>
                <w:strike/>
                <w:dstrike w:val="0"/>
                <w:snapToGrid w:val="0"/>
                <w:kern w:val="0"/>
                <w:szCs w:val="21"/>
              </w:rPr>
              <w:t>…</w:t>
            </w: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1420" w:type="dxa"/>
            <w:noWrap w:val="0"/>
            <w:vAlign w:val="bottom"/>
          </w:tcPr>
          <w:p>
            <w:pPr>
              <w:spacing w:line="480" w:lineRule="auto"/>
              <w:jc w:val="center"/>
              <w:rPr>
                <w:rFonts w:hint="eastAsia" w:ascii="宋体" w:hAnsi="宋体"/>
                <w:strike/>
                <w:dstrike w:val="0"/>
                <w:snapToGrid w:val="0"/>
                <w:kern w:val="0"/>
                <w:szCs w:val="21"/>
              </w:rPr>
            </w:pPr>
          </w:p>
        </w:tc>
        <w:tc>
          <w:tcPr>
            <w:tcW w:w="1420"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top"/>
          </w:tcPr>
          <w:p>
            <w:pPr>
              <w:spacing w:line="480" w:lineRule="auto"/>
              <w:rPr>
                <w:rFonts w:hint="eastAsia" w:ascii="宋体" w:hAnsi="宋体"/>
                <w:strike/>
                <w:dstrike w:val="0"/>
                <w:snapToGrid w:val="0"/>
                <w:kern w:val="0"/>
                <w:szCs w:val="21"/>
              </w:rPr>
            </w:pPr>
          </w:p>
        </w:tc>
        <w:tc>
          <w:tcPr>
            <w:tcW w:w="677" w:type="dxa"/>
            <w:noWrap w:val="0"/>
            <w:vAlign w:val="bottom"/>
          </w:tcPr>
          <w:p>
            <w:pPr>
              <w:spacing w:line="480" w:lineRule="auto"/>
              <w:rPr>
                <w:rFonts w:hint="eastAsia" w:ascii="宋体" w:hAnsi="宋体"/>
                <w:strike/>
                <w:dstrike w:val="0"/>
                <w:snapToGrid w:val="0"/>
                <w:kern w:val="0"/>
                <w:szCs w:val="21"/>
              </w:rPr>
            </w:pPr>
          </w:p>
        </w:tc>
        <w:tc>
          <w:tcPr>
            <w:tcW w:w="677" w:type="dxa"/>
            <w:noWrap w:val="0"/>
            <w:vAlign w:val="bottom"/>
          </w:tcPr>
          <w:p>
            <w:pPr>
              <w:spacing w:line="480" w:lineRule="auto"/>
              <w:rPr>
                <w:rFonts w:hint="eastAsia" w:ascii="宋体" w:hAnsi="宋体"/>
                <w:strike/>
                <w:dstrike w:val="0"/>
                <w:snapToGrid w:val="0"/>
                <w:kern w:val="0"/>
                <w:szCs w:val="21"/>
              </w:rPr>
            </w:pPr>
          </w:p>
        </w:tc>
        <w:tc>
          <w:tcPr>
            <w:tcW w:w="1275" w:type="dxa"/>
            <w:noWrap w:val="0"/>
            <w:vAlign w:val="bottom"/>
          </w:tcPr>
          <w:p>
            <w:pPr>
              <w:spacing w:line="480" w:lineRule="auto"/>
              <w:jc w:val="center"/>
              <w:rPr>
                <w:rFonts w:hint="eastAsia" w:ascii="宋体" w:hAnsi="宋体"/>
                <w:strike/>
                <w:dstrike w:val="0"/>
                <w:snapToGrid w:val="0"/>
                <w:kern w:val="0"/>
                <w:szCs w:val="21"/>
              </w:rPr>
            </w:pPr>
          </w:p>
        </w:tc>
        <w:tc>
          <w:tcPr>
            <w:tcW w:w="3045" w:type="dxa"/>
            <w:noWrap w:val="0"/>
            <w:vAlign w:val="bottom"/>
          </w:tcPr>
          <w:p>
            <w:pPr>
              <w:spacing w:line="480" w:lineRule="auto"/>
              <w:jc w:val="center"/>
              <w:rPr>
                <w:rFonts w:hint="eastAsia" w:ascii="宋体" w:hAnsi="宋体"/>
                <w:strike/>
                <w:dstrike w:val="0"/>
                <w:snapToGrid w:val="0"/>
                <w:kern w:val="0"/>
                <w:szCs w:val="21"/>
              </w:rPr>
            </w:pPr>
          </w:p>
        </w:tc>
      </w:tr>
    </w:tbl>
    <w:p>
      <w:pPr>
        <w:jc w:val="right"/>
        <w:rPr>
          <w:rFonts w:hint="eastAsia" w:ascii="宋体" w:hAnsi="宋体"/>
          <w:strike/>
          <w:dstrike w:val="0"/>
        </w:rPr>
      </w:pPr>
      <w:r>
        <w:rPr>
          <w:rFonts w:hint="eastAsia" w:ascii="宋体" w:hAnsi="宋体"/>
          <w:strike/>
          <w:dstrike w:val="0"/>
        </w:rPr>
        <w:t xml:space="preserve">           评标委员会全体成员签字：</w:t>
      </w:r>
    </w:p>
    <w:p>
      <w:pPr>
        <w:pStyle w:val="37"/>
        <w:rPr>
          <w:rFonts w:hint="eastAsia"/>
        </w:rPr>
      </w:pPr>
    </w:p>
    <w:p>
      <w:pPr>
        <w:rPr>
          <w:rFonts w:hint="eastAsia" w:ascii="宋体" w:hAnsi="宋体"/>
          <w:strike/>
          <w:dstrike w:val="0"/>
        </w:rPr>
      </w:pPr>
    </w:p>
    <w:p>
      <w:pPr>
        <w:pStyle w:val="3"/>
        <w:spacing w:before="0" w:after="0" w:line="360" w:lineRule="auto"/>
        <w:rPr>
          <w:rFonts w:ascii="宋体" w:hAnsi="宋体"/>
          <w:sz w:val="21"/>
          <w:szCs w:val="21"/>
        </w:rPr>
      </w:pPr>
      <w:bookmarkStart w:id="50" w:name="_Toc1229"/>
      <w:bookmarkStart w:id="51" w:name="_Toc18100"/>
      <w:r>
        <w:rPr>
          <w:rFonts w:hint="eastAsia" w:ascii="宋体" w:hAnsi="宋体"/>
          <w:sz w:val="21"/>
          <w:szCs w:val="21"/>
        </w:rPr>
        <w:t>附录</w:t>
      </w:r>
      <w:r>
        <w:rPr>
          <w:rFonts w:hint="eastAsia" w:ascii="宋体" w:hAnsi="宋体"/>
          <w:sz w:val="21"/>
          <w:szCs w:val="21"/>
          <w:lang w:val="en-US" w:eastAsia="zh-CN"/>
        </w:rPr>
        <w:t>12</w:t>
      </w:r>
      <w:r>
        <w:rPr>
          <w:rFonts w:hint="eastAsia" w:ascii="宋体" w:hAnsi="宋体"/>
          <w:sz w:val="21"/>
          <w:szCs w:val="21"/>
          <w:lang w:eastAsia="zh-CN"/>
        </w:rPr>
        <w:t>勘察方案</w:t>
      </w:r>
      <w:r>
        <w:rPr>
          <w:rFonts w:hint="eastAsia" w:ascii="宋体" w:hAnsi="宋体"/>
          <w:sz w:val="21"/>
          <w:szCs w:val="21"/>
        </w:rPr>
        <w:t>评审记录表</w:t>
      </w:r>
      <w:bookmarkEnd w:id="50"/>
      <w:bookmarkEnd w:id="51"/>
    </w:p>
    <w:p>
      <w:pPr>
        <w:jc w:val="center"/>
        <w:rPr>
          <w:rFonts w:ascii="宋体" w:hAnsi="宋体"/>
          <w:sz w:val="24"/>
        </w:rPr>
      </w:pPr>
      <w:bookmarkStart w:id="52" w:name="_Hlk111651171"/>
      <w:r>
        <w:rPr>
          <w:rFonts w:hint="eastAsia" w:ascii="宋体" w:hAnsi="宋体"/>
          <w:b/>
          <w:bCs/>
          <w:sz w:val="32"/>
        </w:rPr>
        <w:t>勘察方案评审记录表</w:t>
      </w:r>
      <w:bookmarkEnd w:id="52"/>
    </w:p>
    <w:p>
      <w:pPr>
        <w:spacing w:line="360" w:lineRule="auto"/>
        <w:jc w:val="left"/>
        <w:rPr>
          <w:rFonts w:ascii="宋体" w:hAnsi="宋体"/>
          <w:sz w:val="24"/>
        </w:rPr>
      </w:pPr>
      <w:r>
        <w:rPr>
          <w:rFonts w:hint="eastAsia" w:ascii="宋体" w:hAnsi="宋体"/>
          <w:sz w:val="24"/>
        </w:rPr>
        <w:t xml:space="preserve">项目名称：                                                                           </w:t>
      </w:r>
      <w:r>
        <w:rPr>
          <w:rFonts w:ascii="宋体" w:hAnsi="宋体"/>
          <w:sz w:val="24"/>
        </w:rPr>
        <w:t xml:space="preserve">       </w:t>
      </w:r>
      <w:r>
        <w:rPr>
          <w:rFonts w:hint="eastAsia" w:ascii="宋体" w:hAnsi="宋体"/>
          <w:sz w:val="24"/>
        </w:rPr>
        <w:t>方案编号:</w:t>
      </w:r>
    </w:p>
    <w:tbl>
      <w:tblPr>
        <w:tblStyle w:val="38"/>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879"/>
        <w:gridCol w:w="212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序号</w:t>
            </w:r>
          </w:p>
        </w:tc>
        <w:tc>
          <w:tcPr>
            <w:tcW w:w="78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主要评判因素</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优点</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存在缺陷或签订合同前应注意和澄清事项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highlight w:val="none"/>
                <w:lang w:val="zh-TW"/>
              </w:rPr>
            </w:pPr>
            <w:r>
              <w:rPr>
                <w:rFonts w:hint="eastAsia" w:ascii="宋体" w:hAnsi="宋体" w:cs="宋体"/>
                <w:sz w:val="24"/>
                <w:highlight w:val="none"/>
                <w:lang w:val="zh-TW"/>
              </w:rPr>
              <w:t>1服务方案</w:t>
            </w:r>
          </w:p>
        </w:tc>
        <w:tc>
          <w:tcPr>
            <w:tcW w:w="7879" w:type="dxa"/>
            <w:tcBorders>
              <w:top w:val="single" w:color="auto" w:sz="4" w:space="0"/>
              <w:left w:val="single" w:color="auto" w:sz="4" w:space="0"/>
              <w:bottom w:val="single" w:color="auto" w:sz="4" w:space="0"/>
              <w:right w:val="single" w:color="auto" w:sz="4" w:space="0"/>
            </w:tcBorders>
            <w:vAlign w:val="center"/>
          </w:tcPr>
          <w:p>
            <w:pPr>
              <w:pStyle w:val="56"/>
              <w:numPr>
                <w:ilvl w:val="0"/>
                <w:numId w:val="5"/>
              </w:numPr>
              <w:spacing w:line="276" w:lineRule="auto"/>
              <w:ind w:firstLineChars="0"/>
              <w:rPr>
                <w:rFonts w:ascii="宋体" w:hAnsi="宋体" w:cs="宋体"/>
                <w:kern w:val="2"/>
                <w:sz w:val="24"/>
                <w:highlight w:val="none"/>
                <w:lang w:val="zh-TW" w:eastAsia="zh-TW"/>
              </w:rPr>
            </w:pPr>
            <w:r>
              <w:rPr>
                <w:rFonts w:hint="eastAsia" w:ascii="宋体" w:hAnsi="宋体" w:cs="宋体"/>
                <w:kern w:val="2"/>
                <w:sz w:val="24"/>
                <w:highlight w:val="none"/>
                <w:lang w:val="zh-TW"/>
              </w:rPr>
              <w:t>针对项目场地等实际情况，提出完整的服务方案及建议。</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highlight w:val="none"/>
                <w:lang w:val="zh-TW"/>
              </w:rPr>
            </w:pPr>
            <w:r>
              <w:rPr>
                <w:rFonts w:hint="eastAsia" w:ascii="宋体" w:hAnsi="宋体" w:cs="宋体"/>
                <w:sz w:val="24"/>
                <w:highlight w:val="none"/>
                <w:lang w:val="zh-TW"/>
              </w:rPr>
              <w:t>2质量保证措施</w:t>
            </w:r>
          </w:p>
        </w:tc>
        <w:tc>
          <w:tcPr>
            <w:tcW w:w="7879"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276" w:lineRule="auto"/>
              <w:rPr>
                <w:rFonts w:ascii="宋体" w:hAnsi="宋体" w:cs="宋体"/>
                <w:sz w:val="24"/>
                <w:highlight w:val="none"/>
                <w:lang w:val="zh-TW"/>
              </w:rPr>
            </w:pPr>
            <w:r>
              <w:rPr>
                <w:rFonts w:hint="eastAsia" w:ascii="宋体" w:hAnsi="宋体" w:cs="宋体"/>
                <w:sz w:val="24"/>
                <w:highlight w:val="none"/>
                <w:lang w:val="zh-TW"/>
              </w:rPr>
              <w:t>提出质量保证措施，措施切实可行、针对强。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highlight w:val="none"/>
                <w:lang w:val="zh-TW"/>
              </w:rPr>
            </w:pPr>
            <w:r>
              <w:rPr>
                <w:rFonts w:hint="eastAsia" w:ascii="宋体" w:hAnsi="宋体" w:cs="宋体"/>
                <w:sz w:val="24"/>
                <w:highlight w:val="none"/>
                <w:lang w:val="zh-TW"/>
              </w:rPr>
              <w:t>3 机械设备的配置</w:t>
            </w:r>
          </w:p>
        </w:tc>
        <w:tc>
          <w:tcPr>
            <w:tcW w:w="7879" w:type="dxa"/>
            <w:tcBorders>
              <w:top w:val="single" w:color="auto" w:sz="4" w:space="0"/>
              <w:left w:val="single" w:color="auto" w:sz="4" w:space="0"/>
              <w:bottom w:val="single" w:color="auto" w:sz="4" w:space="0"/>
              <w:right w:val="single" w:color="auto" w:sz="4" w:space="0"/>
            </w:tcBorders>
            <w:vAlign w:val="center"/>
          </w:tcPr>
          <w:p>
            <w:pPr>
              <w:pStyle w:val="56"/>
              <w:numPr>
                <w:ilvl w:val="0"/>
                <w:numId w:val="7"/>
              </w:numPr>
              <w:spacing w:line="276" w:lineRule="auto"/>
              <w:ind w:firstLineChars="0"/>
              <w:rPr>
                <w:rFonts w:ascii="宋体" w:hAnsi="宋体"/>
                <w:kern w:val="2"/>
                <w:sz w:val="24"/>
                <w:highlight w:val="none"/>
                <w:lang w:val="zh-CN"/>
              </w:rPr>
            </w:pPr>
            <w:r>
              <w:rPr>
                <w:rFonts w:hint="eastAsia" w:ascii="宋体" w:hAnsi="宋体"/>
                <w:kern w:val="2"/>
                <w:sz w:val="24"/>
                <w:highlight w:val="none"/>
                <w:lang w:val="zh-CN"/>
              </w:rPr>
              <w:t>机械设备的配置符合招标文件、勘察任务书要求；</w:t>
            </w:r>
          </w:p>
          <w:p>
            <w:pPr>
              <w:pStyle w:val="56"/>
              <w:numPr>
                <w:ilvl w:val="0"/>
                <w:numId w:val="7"/>
              </w:numPr>
              <w:spacing w:line="276" w:lineRule="auto"/>
              <w:ind w:firstLineChars="0"/>
              <w:rPr>
                <w:rFonts w:ascii="宋体" w:hAnsi="宋体" w:cs="宋体"/>
                <w:kern w:val="2"/>
                <w:sz w:val="24"/>
                <w:highlight w:val="none"/>
                <w:lang w:val="zh-TW" w:eastAsia="zh-TW"/>
              </w:rPr>
            </w:pPr>
            <w:r>
              <w:rPr>
                <w:rFonts w:hint="eastAsia" w:ascii="宋体" w:hAnsi="宋体"/>
                <w:kern w:val="2"/>
                <w:sz w:val="24"/>
                <w:highlight w:val="none"/>
                <w:lang w:val="zh-CN"/>
              </w:rPr>
              <w:t>机械设备配置齐全、充足、先进</w:t>
            </w:r>
            <w:r>
              <w:rPr>
                <w:rFonts w:hint="eastAsia" w:ascii="宋体" w:hAnsi="宋体" w:cs="宋体"/>
                <w:kern w:val="2"/>
                <w:sz w:val="24"/>
                <w:highlight w:val="none"/>
                <w:lang w:val="zh-TW"/>
              </w:rPr>
              <w:t>。</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highlight w:val="none"/>
                <w:lang w:val="zh-TW"/>
              </w:rPr>
            </w:pPr>
            <w:r>
              <w:rPr>
                <w:rFonts w:hint="eastAsia" w:ascii="宋体" w:hAnsi="宋体" w:cs="宋体"/>
                <w:sz w:val="24"/>
                <w:highlight w:val="none"/>
                <w:lang w:val="zh-TW"/>
              </w:rPr>
              <w:t>4工期进度计划</w:t>
            </w:r>
          </w:p>
        </w:tc>
        <w:tc>
          <w:tcPr>
            <w:tcW w:w="7879" w:type="dxa"/>
            <w:tcBorders>
              <w:top w:val="single" w:color="auto" w:sz="4" w:space="0"/>
              <w:left w:val="single" w:color="auto" w:sz="4" w:space="0"/>
              <w:bottom w:val="single" w:color="auto" w:sz="4" w:space="0"/>
              <w:right w:val="single" w:color="auto" w:sz="4" w:space="0"/>
            </w:tcBorders>
            <w:vAlign w:val="center"/>
          </w:tcPr>
          <w:p>
            <w:pPr>
              <w:widowControl/>
              <w:spacing w:line="276" w:lineRule="auto"/>
              <w:textAlignment w:val="center"/>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sz w:val="24"/>
                <w:highlight w:val="none"/>
                <w:lang w:val="zh-CN"/>
              </w:rPr>
              <w:t>工期进度计划符合招标文件、勘察任务书要求</w:t>
            </w:r>
            <w:r>
              <w:rPr>
                <w:rFonts w:hint="eastAsia" w:ascii="宋体" w:hAnsi="宋体" w:cs="宋体"/>
                <w:kern w:val="0"/>
                <w:sz w:val="24"/>
                <w:highlight w:val="none"/>
              </w:rPr>
              <w:t>；</w:t>
            </w:r>
          </w:p>
          <w:p>
            <w:pPr>
              <w:widowControl/>
              <w:spacing w:line="276" w:lineRule="auto"/>
              <w:textAlignment w:val="center"/>
              <w:rPr>
                <w:rFonts w:ascii="宋体" w:hAnsi="宋体" w:cs="宋体"/>
                <w:kern w:val="0"/>
                <w:sz w:val="24"/>
                <w:highlight w:val="none"/>
              </w:rPr>
            </w:pPr>
            <w:r>
              <w:rPr>
                <w:rFonts w:hint="eastAsia" w:ascii="宋体" w:hAnsi="宋体" w:cs="宋体"/>
                <w:kern w:val="0"/>
                <w:sz w:val="24"/>
                <w:highlight w:val="none"/>
              </w:rPr>
              <w:t>2、工期计划合理，可行。</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highlight w:val="none"/>
                <w:lang w:val="zh-TW"/>
              </w:rPr>
            </w:pPr>
            <w:r>
              <w:rPr>
                <w:rFonts w:hint="eastAsia" w:ascii="宋体" w:hAnsi="宋体" w:cs="宋体"/>
                <w:sz w:val="24"/>
                <w:highlight w:val="none"/>
                <w:lang w:val="zh-TW"/>
              </w:rPr>
              <w:t>5项目重点难点分析</w:t>
            </w:r>
          </w:p>
        </w:tc>
        <w:tc>
          <w:tcPr>
            <w:tcW w:w="7879" w:type="dxa"/>
            <w:tcBorders>
              <w:top w:val="single" w:color="auto" w:sz="4" w:space="0"/>
              <w:left w:val="single" w:color="auto" w:sz="4" w:space="0"/>
              <w:bottom w:val="single" w:color="auto" w:sz="4" w:space="0"/>
              <w:right w:val="single" w:color="auto" w:sz="4" w:space="0"/>
            </w:tcBorders>
            <w:vAlign w:val="center"/>
          </w:tcPr>
          <w:p>
            <w:pPr>
              <w:pStyle w:val="56"/>
              <w:numPr>
                <w:ilvl w:val="0"/>
                <w:numId w:val="8"/>
              </w:numPr>
              <w:spacing w:line="276" w:lineRule="auto"/>
              <w:ind w:firstLineChars="0"/>
              <w:rPr>
                <w:rFonts w:ascii="宋体" w:hAnsi="宋体"/>
                <w:kern w:val="2"/>
                <w:sz w:val="24"/>
                <w:highlight w:val="none"/>
              </w:rPr>
            </w:pPr>
            <w:r>
              <w:rPr>
                <w:rFonts w:hint="eastAsia" w:ascii="宋体" w:hAnsi="宋体" w:cs="宋体"/>
                <w:kern w:val="2"/>
                <w:sz w:val="24"/>
                <w:highlight w:val="none"/>
                <w:lang w:val="zh-TW"/>
              </w:rPr>
              <w:t>针对本次超前钻中的重点难点进行分析，并提出相应的解决办法。</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2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综合评价</w:t>
            </w:r>
          </w:p>
        </w:tc>
        <w:tc>
          <w:tcPr>
            <w:tcW w:w="787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综合评价等级：囗合格  囗不合格</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不合格原因：</w:t>
            </w:r>
          </w:p>
        </w:tc>
      </w:tr>
    </w:tbl>
    <w:p>
      <w:pPr>
        <w:widowControl/>
        <w:rPr>
          <w:rFonts w:ascii="宋体" w:hAnsi="宋体" w:cs="宋体"/>
          <w:kern w:val="0"/>
          <w:sz w:val="24"/>
          <w:szCs w:val="21"/>
        </w:rPr>
      </w:pPr>
      <w:r>
        <w:rPr>
          <w:rFonts w:hint="eastAsia" w:ascii="宋体" w:hAnsi="宋体" w:cs="宋体"/>
          <w:kern w:val="0"/>
          <w:sz w:val="24"/>
          <w:szCs w:val="21"/>
        </w:rPr>
        <w:t>注：1.本表适用于评标专家独立评审使用。</w:t>
      </w:r>
    </w:p>
    <w:p>
      <w:pPr>
        <w:widowControl/>
        <w:ind w:firstLine="480" w:firstLineChars="200"/>
        <w:rPr>
          <w:rFonts w:ascii="宋体" w:hAnsi="宋体" w:cs="宋体"/>
          <w:kern w:val="0"/>
          <w:sz w:val="24"/>
          <w:szCs w:val="21"/>
        </w:rPr>
      </w:pPr>
      <w:r>
        <w:rPr>
          <w:rFonts w:hint="eastAsia" w:ascii="宋体" w:hAnsi="宋体" w:cs="宋体"/>
          <w:kern w:val="0"/>
          <w:sz w:val="24"/>
          <w:szCs w:val="21"/>
        </w:rPr>
        <w:t>2.指出各评标要素的优点、存在缺陷或签订合同前应注意和澄清事项。</w:t>
      </w:r>
    </w:p>
    <w:p>
      <w:pPr>
        <w:widowControl/>
        <w:ind w:firstLine="480" w:firstLineChars="200"/>
        <w:rPr>
          <w:rFonts w:hint="eastAsia" w:ascii="宋体" w:hAnsi="宋体" w:cs="宋体"/>
          <w:kern w:val="0"/>
          <w:sz w:val="24"/>
          <w:szCs w:val="21"/>
        </w:rPr>
      </w:pPr>
      <w:r>
        <w:rPr>
          <w:rFonts w:hint="eastAsia" w:ascii="宋体" w:hAnsi="宋体" w:cs="宋体"/>
          <w:kern w:val="0"/>
          <w:sz w:val="24"/>
          <w:szCs w:val="21"/>
        </w:rPr>
        <w:t>3.综合评价等级分为合格或不合格两个等级，不合格仅限于投标文件违反国家强制性条文标准的情形或出现招标文件否决性条款规定的情形。</w:t>
      </w:r>
    </w:p>
    <w:p>
      <w:pPr>
        <w:pStyle w:val="18"/>
        <w:rPr>
          <w:rFonts w:hint="eastAsia" w:ascii="宋体" w:hAnsi="宋体" w:cs="宋体"/>
          <w:kern w:val="0"/>
          <w:sz w:val="24"/>
          <w:szCs w:val="21"/>
        </w:rPr>
      </w:pPr>
    </w:p>
    <w:p>
      <w:pPr>
        <w:pStyle w:val="18"/>
        <w:rPr>
          <w:rFonts w:hint="eastAsia" w:ascii="宋体" w:hAnsi="宋体" w:cs="宋体"/>
          <w:kern w:val="0"/>
          <w:sz w:val="24"/>
          <w:szCs w:val="21"/>
        </w:rPr>
      </w:pPr>
    </w:p>
    <w:p>
      <w:pPr>
        <w:pStyle w:val="2"/>
        <w:ind w:firstLine="0" w:firstLineChars="0"/>
        <w:rPr>
          <w:rFonts w:ascii="宋体" w:hAnsi="宋体"/>
          <w:sz w:val="24"/>
        </w:rPr>
        <w:sectPr>
          <w:footerReference r:id="rId9" w:type="default"/>
          <w:pgSz w:w="16838" w:h="11906" w:orient="landscape"/>
          <w:pgMar w:top="1440" w:right="1440" w:bottom="1469" w:left="1440" w:header="851" w:footer="992" w:gutter="0"/>
          <w:cols w:space="720" w:num="1"/>
          <w:docGrid w:linePitch="312" w:charSpace="0"/>
        </w:sectPr>
      </w:pPr>
      <w:r>
        <w:rPr>
          <w:rFonts w:hint="eastAsia" w:ascii="宋体" w:hAnsi="宋体"/>
          <w:sz w:val="24"/>
        </w:rPr>
        <w:t>评委签名：                                                                            日期：       年    月    日</w:t>
      </w:r>
    </w:p>
    <w:p>
      <w:pPr>
        <w:pStyle w:val="3"/>
        <w:rPr>
          <w:rFonts w:ascii="宋体" w:hAnsi="宋体"/>
          <w:strike/>
          <w:dstrike w:val="0"/>
          <w:sz w:val="21"/>
          <w:szCs w:val="21"/>
        </w:rPr>
      </w:pPr>
      <w:bookmarkStart w:id="53" w:name="_Toc26912"/>
      <w:bookmarkStart w:id="54" w:name="_Toc26136"/>
      <w:r>
        <w:rPr>
          <w:rFonts w:hint="eastAsia" w:ascii="宋体" w:hAnsi="宋体"/>
          <w:strike/>
          <w:dstrike w:val="0"/>
          <w:sz w:val="21"/>
          <w:szCs w:val="21"/>
        </w:rPr>
        <w:t>附录</w:t>
      </w:r>
      <w:r>
        <w:rPr>
          <w:rFonts w:hint="eastAsia" w:ascii="宋体" w:hAnsi="宋体"/>
          <w:strike/>
          <w:dstrike w:val="0"/>
          <w:sz w:val="21"/>
          <w:szCs w:val="21"/>
          <w:lang w:val="en-US" w:eastAsia="zh-CN"/>
        </w:rPr>
        <w:t>13</w:t>
      </w:r>
      <w:r>
        <w:rPr>
          <w:rFonts w:hint="eastAsia" w:ascii="宋体" w:hAnsi="宋体"/>
          <w:strike/>
          <w:dstrike w:val="0"/>
          <w:sz w:val="21"/>
          <w:szCs w:val="21"/>
        </w:rPr>
        <w:t>投标方案评语</w:t>
      </w:r>
      <w:bookmarkEnd w:id="53"/>
      <w:bookmarkEnd w:id="54"/>
    </w:p>
    <w:p>
      <w:pPr>
        <w:jc w:val="center"/>
        <w:rPr>
          <w:rFonts w:ascii="宋体" w:hAnsi="宋体"/>
          <w:strike/>
          <w:dstrike w:val="0"/>
          <w:sz w:val="24"/>
        </w:rPr>
      </w:pPr>
      <w:r>
        <w:rPr>
          <w:rFonts w:hint="eastAsia" w:ascii="宋体" w:hAnsi="宋体"/>
          <w:b/>
          <w:bCs/>
          <w:strike/>
          <w:dstrike w:val="0"/>
          <w:sz w:val="32"/>
        </w:rPr>
        <w:t>投标方案评语</w:t>
      </w:r>
    </w:p>
    <w:p>
      <w:pPr>
        <w:rPr>
          <w:rFonts w:ascii="宋体" w:hAnsi="宋体"/>
          <w:strike/>
          <w:dstrike w:val="0"/>
          <w:sz w:val="24"/>
        </w:rPr>
      </w:pPr>
      <w:r>
        <w:rPr>
          <w:rFonts w:hint="eastAsia" w:ascii="宋体" w:hAnsi="宋体"/>
          <w:strike/>
          <w:dstrike w:val="0"/>
          <w:sz w:val="24"/>
        </w:rPr>
        <w:t>项目名称：</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7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92" w:type="dxa"/>
            <w:vAlign w:val="center"/>
          </w:tcPr>
          <w:p>
            <w:pPr>
              <w:jc w:val="center"/>
              <w:rPr>
                <w:rFonts w:ascii="宋体" w:hAnsi="宋体"/>
                <w:strike/>
                <w:dstrike w:val="0"/>
                <w:sz w:val="24"/>
              </w:rPr>
            </w:pPr>
            <w:r>
              <w:rPr>
                <w:rFonts w:hint="eastAsia" w:ascii="宋体" w:hAnsi="宋体"/>
                <w:strike/>
                <w:dstrike w:val="0"/>
                <w:sz w:val="24"/>
              </w:rPr>
              <w:t>方案编号</w:t>
            </w:r>
          </w:p>
        </w:tc>
        <w:tc>
          <w:tcPr>
            <w:tcW w:w="7824" w:type="dxa"/>
            <w:vAlign w:val="center"/>
          </w:tcPr>
          <w:p>
            <w:pPr>
              <w:jc w:val="center"/>
              <w:rPr>
                <w:rFonts w:ascii="宋体" w:hAnsi="宋体"/>
                <w:strike/>
                <w:dstrike w:val="0"/>
                <w:sz w:val="24"/>
              </w:rPr>
            </w:pPr>
            <w:r>
              <w:rPr>
                <w:rFonts w:hint="eastAsia" w:ascii="宋体" w:hAnsi="宋体"/>
                <w:strike/>
                <w:dstrike w:val="0"/>
                <w:sz w:val="24"/>
              </w:rPr>
              <w:t>评    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2" w:type="dxa"/>
          </w:tcPr>
          <w:p>
            <w:pPr>
              <w:rPr>
                <w:rFonts w:ascii="宋体" w:hAnsi="宋体"/>
                <w:strike/>
                <w:dstrike w:val="0"/>
              </w:rPr>
            </w:pPr>
          </w:p>
        </w:tc>
        <w:tc>
          <w:tcPr>
            <w:tcW w:w="7824" w:type="dxa"/>
          </w:tcPr>
          <w:p>
            <w:pPr>
              <w:jc w:val="center"/>
              <w:rPr>
                <w:rFonts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2" w:type="dxa"/>
          </w:tcPr>
          <w:p>
            <w:pPr>
              <w:rPr>
                <w:rFonts w:ascii="宋体" w:hAnsi="宋体"/>
                <w:strike/>
                <w:dstrike w:val="0"/>
              </w:rPr>
            </w:pPr>
          </w:p>
        </w:tc>
        <w:tc>
          <w:tcPr>
            <w:tcW w:w="7824" w:type="dxa"/>
          </w:tcPr>
          <w:p>
            <w:pPr>
              <w:jc w:val="center"/>
              <w:rPr>
                <w:rFonts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2" w:type="dxa"/>
          </w:tcPr>
          <w:p>
            <w:pPr>
              <w:rPr>
                <w:rFonts w:ascii="宋体" w:hAnsi="宋体"/>
                <w:strike/>
                <w:dstrike w:val="0"/>
              </w:rPr>
            </w:pPr>
          </w:p>
        </w:tc>
        <w:tc>
          <w:tcPr>
            <w:tcW w:w="7824" w:type="dxa"/>
          </w:tcPr>
          <w:p>
            <w:pPr>
              <w:jc w:val="center"/>
              <w:rPr>
                <w:rFonts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2" w:type="dxa"/>
          </w:tcPr>
          <w:p>
            <w:pPr>
              <w:rPr>
                <w:rFonts w:ascii="宋体" w:hAnsi="宋体"/>
                <w:strike/>
                <w:dstrike w:val="0"/>
              </w:rPr>
            </w:pPr>
          </w:p>
        </w:tc>
        <w:tc>
          <w:tcPr>
            <w:tcW w:w="7824" w:type="dxa"/>
          </w:tcPr>
          <w:p>
            <w:pPr>
              <w:jc w:val="center"/>
              <w:rPr>
                <w:rFonts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2" w:type="dxa"/>
          </w:tcPr>
          <w:p>
            <w:pPr>
              <w:rPr>
                <w:rFonts w:ascii="宋体" w:hAnsi="宋体"/>
                <w:strike/>
                <w:dstrike w:val="0"/>
              </w:rPr>
            </w:pPr>
          </w:p>
        </w:tc>
        <w:tc>
          <w:tcPr>
            <w:tcW w:w="7824" w:type="dxa"/>
          </w:tcPr>
          <w:p>
            <w:pPr>
              <w:jc w:val="center"/>
              <w:rPr>
                <w:rFonts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2" w:type="dxa"/>
          </w:tcPr>
          <w:p>
            <w:pPr>
              <w:rPr>
                <w:rFonts w:ascii="宋体" w:hAnsi="宋体"/>
                <w:strike/>
                <w:dstrike w:val="0"/>
              </w:rPr>
            </w:pPr>
          </w:p>
        </w:tc>
        <w:tc>
          <w:tcPr>
            <w:tcW w:w="7824" w:type="dxa"/>
          </w:tcPr>
          <w:p>
            <w:pPr>
              <w:jc w:val="center"/>
              <w:rPr>
                <w:rFonts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2" w:type="dxa"/>
          </w:tcPr>
          <w:p>
            <w:pPr>
              <w:rPr>
                <w:rFonts w:ascii="宋体" w:hAnsi="宋体"/>
                <w:strike/>
                <w:dstrike w:val="0"/>
              </w:rPr>
            </w:pPr>
          </w:p>
        </w:tc>
        <w:tc>
          <w:tcPr>
            <w:tcW w:w="7824" w:type="dxa"/>
          </w:tcPr>
          <w:p>
            <w:pPr>
              <w:jc w:val="center"/>
              <w:rPr>
                <w:rFonts w:ascii="宋体" w:hAnsi="宋体"/>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2" w:type="dxa"/>
          </w:tcPr>
          <w:p>
            <w:pPr>
              <w:rPr>
                <w:rFonts w:ascii="宋体" w:hAnsi="宋体"/>
                <w:strike/>
                <w:dstrike w:val="0"/>
              </w:rPr>
            </w:pPr>
          </w:p>
        </w:tc>
        <w:tc>
          <w:tcPr>
            <w:tcW w:w="7824" w:type="dxa"/>
          </w:tcPr>
          <w:p>
            <w:pPr>
              <w:jc w:val="center"/>
              <w:rPr>
                <w:rFonts w:ascii="宋体" w:hAnsi="宋体"/>
                <w:strike/>
                <w:dstrike w:val="0"/>
              </w:rPr>
            </w:pPr>
          </w:p>
        </w:tc>
      </w:tr>
    </w:tbl>
    <w:p>
      <w:pPr>
        <w:rPr>
          <w:rFonts w:ascii="宋体" w:hAnsi="宋体"/>
          <w:strike/>
          <w:dstrike w:val="0"/>
          <w:sz w:val="24"/>
        </w:rPr>
      </w:pPr>
    </w:p>
    <w:p>
      <w:pPr>
        <w:rPr>
          <w:rFonts w:ascii="宋体" w:hAnsi="宋体"/>
          <w:strike/>
          <w:dstrike w:val="0"/>
          <w:sz w:val="24"/>
        </w:rPr>
      </w:pPr>
      <w:r>
        <w:rPr>
          <w:rFonts w:hint="eastAsia" w:ascii="宋体" w:hAnsi="宋体"/>
          <w:strike/>
          <w:dstrike w:val="0"/>
          <w:sz w:val="24"/>
        </w:rPr>
        <w:t>评委签名：                                 日期：       年    月    日</w:t>
      </w: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rPr>
          <w:rFonts w:ascii="宋体" w:hAnsi="宋体"/>
          <w:b/>
          <w:bCs/>
        </w:rPr>
      </w:pPr>
    </w:p>
    <w:p>
      <w:pPr>
        <w:pStyle w:val="3"/>
        <w:spacing w:before="0" w:after="0" w:line="360" w:lineRule="auto"/>
        <w:rPr>
          <w:rFonts w:ascii="宋体" w:hAnsi="宋体"/>
          <w:sz w:val="21"/>
          <w:szCs w:val="21"/>
        </w:rPr>
      </w:pPr>
      <w:bookmarkStart w:id="55" w:name="_Toc5808"/>
      <w:bookmarkStart w:id="56" w:name="_Toc72409733"/>
      <w:bookmarkStart w:id="57" w:name="_Toc6402"/>
      <w:r>
        <w:rPr>
          <w:rFonts w:hint="eastAsia" w:ascii="宋体" w:hAnsi="宋体"/>
          <w:sz w:val="21"/>
          <w:szCs w:val="21"/>
        </w:rPr>
        <w:t>附录</w:t>
      </w:r>
      <w:r>
        <w:rPr>
          <w:rFonts w:hint="eastAsia" w:ascii="宋体" w:hAnsi="宋体"/>
          <w:sz w:val="21"/>
          <w:szCs w:val="21"/>
          <w:lang w:val="en-US" w:eastAsia="zh-CN"/>
        </w:rPr>
        <w:t>14</w:t>
      </w:r>
      <w:r>
        <w:rPr>
          <w:rFonts w:hint="eastAsia" w:ascii="宋体" w:hAnsi="宋体"/>
          <w:sz w:val="21"/>
          <w:szCs w:val="21"/>
        </w:rPr>
        <w:t xml:space="preserve"> </w:t>
      </w:r>
      <w:r>
        <w:rPr>
          <w:rFonts w:hint="eastAsia" w:ascii="宋体" w:hAnsi="宋体"/>
          <w:sz w:val="21"/>
          <w:szCs w:val="21"/>
          <w:lang w:eastAsia="zh-CN"/>
        </w:rPr>
        <w:t>勘察</w:t>
      </w:r>
      <w:r>
        <w:rPr>
          <w:rFonts w:hint="eastAsia" w:ascii="宋体" w:hAnsi="宋体"/>
          <w:sz w:val="21"/>
          <w:szCs w:val="21"/>
        </w:rPr>
        <w:t>任务书</w:t>
      </w:r>
      <w:bookmarkEnd w:id="55"/>
    </w:p>
    <w:p>
      <w:pPr>
        <w:pStyle w:val="2"/>
        <w:spacing w:line="360" w:lineRule="auto"/>
        <w:ind w:firstLine="0" w:firstLineChars="0"/>
        <w:jc w:val="center"/>
        <w:rPr>
          <w:rFonts w:ascii="宋体" w:hAnsi="宋体"/>
          <w:b/>
          <w:bCs/>
        </w:rPr>
      </w:pPr>
      <w:r>
        <w:rPr>
          <w:rFonts w:hint="eastAsia" w:ascii="宋体" w:hAnsi="宋体" w:cs="宋体"/>
          <w:b/>
          <w:bCs/>
          <w:sz w:val="32"/>
        </w:rPr>
        <w:t>勘察任务书</w:t>
      </w:r>
    </w:p>
    <w:p>
      <w:pPr>
        <w:spacing w:line="360" w:lineRule="auto"/>
        <w:jc w:val="center"/>
        <w:rPr>
          <w:sz w:val="28"/>
          <w:szCs w:val="36"/>
        </w:rPr>
      </w:pPr>
      <w:bookmarkStart w:id="58" w:name="_TOC_250021"/>
      <w:bookmarkEnd w:id="58"/>
      <w:bookmarkStart w:id="59" w:name="_TOC_250022"/>
      <w:bookmarkEnd w:id="59"/>
      <w:r>
        <w:rPr>
          <w:rFonts w:hint="eastAsia"/>
          <w:sz w:val="28"/>
          <w:szCs w:val="36"/>
        </w:rPr>
        <w:t>另册。</w:t>
      </w:r>
    </w:p>
    <w:bookmarkEnd w:id="56"/>
    <w:p>
      <w:pPr>
        <w:widowControl/>
        <w:spacing w:beforeAutospacing="1" w:afterAutospacing="1"/>
        <w:jc w:val="left"/>
        <w:rPr>
          <w:rFonts w:ascii="黑体" w:hAnsi="宋体" w:eastAsia="黑体"/>
          <w:snapToGrid w:val="0"/>
          <w:kern w:val="0"/>
          <w:sz w:val="30"/>
          <w:highlight w:val="yellow"/>
        </w:rPr>
        <w:sectPr>
          <w:pgSz w:w="11906" w:h="16838"/>
          <w:pgMar w:top="1440" w:right="1469" w:bottom="1440" w:left="1440" w:header="851" w:footer="828" w:gutter="0"/>
          <w:cols w:space="720" w:num="1"/>
          <w:docGrid w:linePitch="312" w:charSpace="0"/>
        </w:sectPr>
      </w:pPr>
    </w:p>
    <w:bookmarkEnd w:id="57"/>
    <w:p>
      <w:pPr>
        <w:pStyle w:val="3"/>
        <w:spacing w:line="360" w:lineRule="auto"/>
        <w:rPr>
          <w:rFonts w:ascii="宋体" w:hAnsi="宋体"/>
          <w:u w:val="single"/>
        </w:rPr>
      </w:pPr>
      <w:bookmarkStart w:id="60" w:name="_Toc14814"/>
      <w:bookmarkStart w:id="61" w:name="_Toc5102"/>
      <w:r>
        <w:rPr>
          <w:rFonts w:hint="eastAsia" w:ascii="宋体" w:hAnsi="宋体"/>
          <w:sz w:val="21"/>
          <w:szCs w:val="21"/>
        </w:rPr>
        <w:t>附录</w:t>
      </w:r>
      <w:r>
        <w:rPr>
          <w:rFonts w:hint="eastAsia" w:ascii="宋体" w:hAnsi="宋体"/>
          <w:sz w:val="21"/>
          <w:szCs w:val="21"/>
          <w:lang w:val="en-US" w:eastAsia="zh-CN"/>
        </w:rPr>
        <w:t>15</w:t>
      </w:r>
      <w:r>
        <w:rPr>
          <w:rFonts w:hint="eastAsia" w:ascii="宋体" w:hAnsi="宋体"/>
          <w:sz w:val="21"/>
          <w:szCs w:val="21"/>
        </w:rPr>
        <w:t>定标委员会的组成</w:t>
      </w:r>
      <w:bookmarkEnd w:id="60"/>
      <w:bookmarkEnd w:id="61"/>
    </w:p>
    <w:p>
      <w:pPr>
        <w:jc w:val="center"/>
        <w:rPr>
          <w:rFonts w:ascii="宋体" w:hAnsi="宋体"/>
          <w:b/>
          <w:sz w:val="32"/>
        </w:rPr>
      </w:pPr>
      <w:r>
        <w:rPr>
          <w:rFonts w:hint="eastAsia" w:ascii="宋体" w:hAnsi="宋体"/>
          <w:b/>
          <w:sz w:val="32"/>
        </w:rPr>
        <w:t>定标委员会的组成</w:t>
      </w:r>
    </w:p>
    <w:p>
      <w:pPr>
        <w:pStyle w:val="33"/>
        <w:snapToGrid w:val="0"/>
        <w:spacing w:before="0" w:beforeAutospacing="0" w:after="0" w:afterAutospacing="0" w:line="360" w:lineRule="auto"/>
        <w:ind w:firstLine="424" w:firstLineChars="202"/>
        <w:rPr>
          <w:rFonts w:hAnsi="宋体"/>
          <w:sz w:val="21"/>
          <w:szCs w:val="21"/>
          <w:shd w:val="clear" w:color="auto" w:fill="FFFFFF"/>
        </w:rPr>
      </w:pPr>
    </w:p>
    <w:p>
      <w:pPr>
        <w:spacing w:line="360" w:lineRule="auto"/>
        <w:ind w:firstLine="482" w:firstLineChars="200"/>
        <w:rPr>
          <w:rFonts w:ascii="宋体" w:hAnsi="宋体"/>
          <w:b/>
          <w:kern w:val="0"/>
          <w:sz w:val="24"/>
          <w:shd w:val="clear" w:color="auto" w:fill="FFFFFF"/>
        </w:rPr>
      </w:pPr>
      <w:r>
        <w:rPr>
          <w:rFonts w:hint="eastAsia" w:ascii="宋体" w:hAnsi="宋体"/>
          <w:b/>
          <w:kern w:val="0"/>
          <w:sz w:val="24"/>
          <w:shd w:val="clear" w:color="auto" w:fill="FFFFFF"/>
        </w:rPr>
        <w:t>（1）定标委员会由招标人按规定组建，成员数量为5人。</w:t>
      </w:r>
    </w:p>
    <w:p>
      <w:pPr>
        <w:spacing w:line="360" w:lineRule="auto"/>
        <w:ind w:firstLine="482" w:firstLineChars="200"/>
        <w:rPr>
          <w:rFonts w:ascii="宋体" w:hAnsi="宋体"/>
          <w:b/>
          <w:kern w:val="0"/>
          <w:sz w:val="24"/>
          <w:shd w:val="clear" w:color="auto" w:fill="FFFFFF"/>
        </w:rPr>
      </w:pPr>
      <w:r>
        <w:rPr>
          <w:rFonts w:hint="eastAsia" w:ascii="宋体" w:hAnsi="宋体"/>
          <w:b/>
          <w:kern w:val="0"/>
          <w:sz w:val="24"/>
          <w:shd w:val="clear" w:color="auto" w:fill="FFFFFF"/>
        </w:rPr>
        <w:t>（2）定标时间和地点</w:t>
      </w:r>
    </w:p>
    <w:p>
      <w:pPr>
        <w:spacing w:line="360" w:lineRule="auto"/>
        <w:ind w:firstLine="482" w:firstLineChars="200"/>
        <w:rPr>
          <w:rFonts w:ascii="宋体" w:hAnsi="宋体"/>
          <w:b/>
          <w:kern w:val="0"/>
          <w:sz w:val="24"/>
          <w:shd w:val="clear" w:color="auto" w:fill="FFFFFF"/>
        </w:rPr>
      </w:pPr>
      <w:r>
        <w:rPr>
          <w:rFonts w:hint="eastAsia" w:ascii="宋体" w:hAnsi="宋体"/>
          <w:b/>
          <w:kern w:val="0"/>
          <w:sz w:val="24"/>
          <w:shd w:val="clear" w:color="auto" w:fill="FFFFFF"/>
        </w:rPr>
        <w:t>合格的中标候选人（入围定标环节的投标人）公示结束后10个工作日内，在广州公共资源交易中心举行定标会议，招标人按规定程序完成定标工作。</w:t>
      </w:r>
    </w:p>
    <w:p>
      <w:pPr>
        <w:pStyle w:val="33"/>
        <w:snapToGrid w:val="0"/>
        <w:spacing w:before="0" w:beforeAutospacing="0" w:after="0" w:afterAutospacing="0" w:line="360" w:lineRule="auto"/>
        <w:ind w:firstLine="426" w:firstLineChars="202"/>
        <w:rPr>
          <w:rFonts w:hAnsi="宋体"/>
          <w:b/>
          <w:sz w:val="21"/>
          <w:szCs w:val="21"/>
          <w:shd w:val="clear" w:color="auto" w:fill="FFFFFF"/>
        </w:rPr>
      </w:pPr>
    </w:p>
    <w:p>
      <w:pPr>
        <w:pStyle w:val="33"/>
        <w:snapToGrid w:val="0"/>
        <w:spacing w:before="0" w:beforeAutospacing="0" w:after="0" w:afterAutospacing="0" w:line="360" w:lineRule="auto"/>
        <w:ind w:firstLine="426" w:firstLineChars="202"/>
        <w:rPr>
          <w:rFonts w:hAnsi="宋体"/>
          <w:b/>
          <w:sz w:val="21"/>
          <w:szCs w:val="21"/>
          <w:shd w:val="clear" w:color="auto" w:fill="FFFFFF"/>
        </w:rPr>
      </w:pPr>
    </w:p>
    <w:p>
      <w:pPr>
        <w:pStyle w:val="33"/>
        <w:snapToGrid w:val="0"/>
        <w:spacing w:before="0" w:beforeAutospacing="0" w:after="0" w:afterAutospacing="0" w:line="360" w:lineRule="auto"/>
        <w:ind w:firstLine="426" w:firstLineChars="202"/>
        <w:rPr>
          <w:rFonts w:hAnsi="宋体"/>
          <w:b/>
          <w:sz w:val="21"/>
          <w:szCs w:val="21"/>
          <w:shd w:val="clear" w:color="auto" w:fill="FFFFFF"/>
        </w:rPr>
      </w:pPr>
    </w:p>
    <w:p/>
    <w:p>
      <w:pPr>
        <w:pStyle w:val="3"/>
        <w:rPr>
          <w:rFonts w:ascii="宋体" w:hAnsi="宋体"/>
          <w:sz w:val="21"/>
          <w:szCs w:val="21"/>
        </w:rPr>
        <w:sectPr>
          <w:headerReference r:id="rId10" w:type="default"/>
          <w:footerReference r:id="rId11" w:type="default"/>
          <w:footerReference r:id="rId12" w:type="even"/>
          <w:pgSz w:w="11906" w:h="16838"/>
          <w:pgMar w:top="1440" w:right="1469" w:bottom="1440" w:left="1440" w:header="851" w:footer="992" w:gutter="0"/>
          <w:cols w:space="720" w:num="1"/>
          <w:docGrid w:linePitch="312" w:charSpace="0"/>
        </w:sectPr>
      </w:pPr>
    </w:p>
    <w:p>
      <w:pPr>
        <w:pStyle w:val="3"/>
        <w:spacing w:before="0" w:after="0" w:line="360" w:lineRule="auto"/>
        <w:rPr>
          <w:rFonts w:ascii="宋体" w:hAnsi="宋体"/>
          <w:b w:val="0"/>
          <w:sz w:val="21"/>
          <w:szCs w:val="21"/>
          <w:shd w:val="clear" w:color="auto" w:fill="FFFFFF"/>
        </w:rPr>
      </w:pPr>
      <w:bookmarkStart w:id="62" w:name="_Toc2512"/>
      <w:bookmarkStart w:id="63" w:name="_Toc9203"/>
      <w:r>
        <w:rPr>
          <w:rFonts w:hint="eastAsia" w:ascii="宋体" w:hAnsi="宋体"/>
          <w:sz w:val="21"/>
          <w:szCs w:val="21"/>
        </w:rPr>
        <w:t>附录1</w:t>
      </w:r>
      <w:r>
        <w:rPr>
          <w:rFonts w:hint="eastAsia" w:ascii="宋体" w:hAnsi="宋体"/>
          <w:sz w:val="21"/>
          <w:szCs w:val="21"/>
          <w:lang w:val="en-US" w:eastAsia="zh-CN"/>
        </w:rPr>
        <w:t>6</w:t>
      </w:r>
      <w:r>
        <w:rPr>
          <w:rFonts w:hint="eastAsia" w:ascii="宋体" w:hAnsi="宋体"/>
          <w:sz w:val="21"/>
          <w:szCs w:val="21"/>
        </w:rPr>
        <w:t>定标原则</w:t>
      </w:r>
      <w:bookmarkEnd w:id="62"/>
      <w:bookmarkEnd w:id="63"/>
    </w:p>
    <w:p>
      <w:pPr>
        <w:jc w:val="center"/>
        <w:rPr>
          <w:rFonts w:ascii="宋体" w:hAnsi="宋体"/>
          <w:b/>
          <w:sz w:val="32"/>
        </w:rPr>
      </w:pPr>
      <w:r>
        <w:rPr>
          <w:rFonts w:hint="eastAsia" w:ascii="宋体" w:hAnsi="宋体"/>
          <w:b/>
          <w:sz w:val="32"/>
        </w:rPr>
        <w:t>定标原则</w:t>
      </w:r>
    </w:p>
    <w:p>
      <w:pPr>
        <w:spacing w:line="360" w:lineRule="auto"/>
        <w:ind w:firstLine="482" w:firstLineChars="200"/>
        <w:rPr>
          <w:rFonts w:ascii="宋体" w:hAnsi="宋体"/>
          <w:b/>
          <w:kern w:val="0"/>
          <w:sz w:val="24"/>
          <w:shd w:val="clear" w:color="auto" w:fill="FFFFFF"/>
        </w:rPr>
      </w:pPr>
      <w:r>
        <w:rPr>
          <w:rFonts w:hint="eastAsia" w:ascii="宋体" w:hAnsi="宋体"/>
          <w:b/>
          <w:kern w:val="0"/>
          <w:sz w:val="24"/>
          <w:shd w:val="clear" w:color="auto" w:fill="FFFFFF"/>
        </w:rPr>
        <w:t>1.定标规则</w:t>
      </w:r>
    </w:p>
    <w:p>
      <w:pPr>
        <w:spacing w:line="360" w:lineRule="auto"/>
        <w:ind w:firstLine="482" w:firstLineChars="200"/>
        <w:rPr>
          <w:rFonts w:ascii="宋体" w:hAnsi="宋体"/>
          <w:b/>
          <w:kern w:val="0"/>
          <w:sz w:val="24"/>
          <w:shd w:val="clear" w:color="auto" w:fill="FFFFFF"/>
        </w:rPr>
      </w:pPr>
      <w:r>
        <w:rPr>
          <w:rFonts w:hint="eastAsia" w:ascii="宋体" w:hAnsi="宋体"/>
          <w:b/>
          <w:kern w:val="0"/>
          <w:sz w:val="24"/>
          <w:shd w:val="clear" w:color="auto" w:fill="FFFFFF"/>
        </w:rPr>
        <w:t>本项目采用直接票决定标法，定标方法如下：</w:t>
      </w:r>
    </w:p>
    <w:p>
      <w:pPr>
        <w:spacing w:line="360" w:lineRule="auto"/>
        <w:ind w:firstLine="482" w:firstLineChars="200"/>
        <w:rPr>
          <w:rFonts w:ascii="宋体" w:hAnsi="宋体"/>
          <w:b/>
          <w:kern w:val="0"/>
          <w:sz w:val="24"/>
          <w:shd w:val="clear" w:color="auto" w:fill="FFFFFF"/>
        </w:rPr>
      </w:pPr>
      <w:r>
        <w:rPr>
          <w:rFonts w:hint="eastAsia" w:ascii="宋体" w:hAnsi="宋体"/>
          <w:b/>
          <w:kern w:val="0"/>
          <w:sz w:val="24"/>
          <w:shd w:val="clear" w:color="auto" w:fill="FFFFFF"/>
        </w:rPr>
        <w:t>1.1定标委员会对各合格的入围定标环节的投标人进行审查。</w:t>
      </w:r>
    </w:p>
    <w:p>
      <w:pPr>
        <w:spacing w:line="360" w:lineRule="auto"/>
        <w:ind w:firstLine="482" w:firstLineChars="200"/>
        <w:rPr>
          <w:rFonts w:ascii="宋体" w:hAnsi="宋体"/>
          <w:b/>
          <w:kern w:val="0"/>
          <w:sz w:val="24"/>
          <w:shd w:val="clear" w:color="auto" w:fill="FFFFFF"/>
        </w:rPr>
      </w:pPr>
      <w:r>
        <w:rPr>
          <w:rFonts w:hint="eastAsia" w:ascii="宋体" w:hAnsi="宋体"/>
          <w:b/>
          <w:kern w:val="0"/>
          <w:sz w:val="24"/>
          <w:shd w:val="clear" w:color="auto" w:fill="FFFFFF"/>
        </w:rPr>
        <w:t>1.2定标投票开始后，发放选票，由定标委员会参考定标因素及定标辅助资料进行投票排名，定标委员会应推荐一人为定标委员会组长，主持当次定标会议。</w:t>
      </w:r>
    </w:p>
    <w:p>
      <w:pPr>
        <w:spacing w:line="360" w:lineRule="auto"/>
        <w:ind w:firstLine="482" w:firstLineChars="200"/>
        <w:rPr>
          <w:rFonts w:ascii="宋体" w:hAnsi="宋体"/>
          <w:b/>
          <w:kern w:val="0"/>
          <w:sz w:val="24"/>
          <w:shd w:val="clear" w:color="auto" w:fill="FFFFFF"/>
        </w:rPr>
      </w:pPr>
      <w:r>
        <w:rPr>
          <w:rFonts w:hint="eastAsia" w:ascii="宋体" w:hAnsi="宋体"/>
          <w:b/>
          <w:kern w:val="0"/>
          <w:sz w:val="24"/>
          <w:shd w:val="clear" w:color="auto" w:fill="FFFFFF"/>
        </w:rPr>
        <w:t>1.3定标辅助资料为投标人提交的投标文件、评标过程资料及定标文件。</w:t>
      </w:r>
    </w:p>
    <w:p>
      <w:pPr>
        <w:spacing w:line="360" w:lineRule="auto"/>
        <w:ind w:firstLine="482" w:firstLineChars="200"/>
        <w:rPr>
          <w:rFonts w:ascii="宋体" w:hAnsi="宋体"/>
          <w:b/>
          <w:kern w:val="0"/>
          <w:sz w:val="24"/>
          <w:shd w:val="clear" w:color="auto" w:fill="FFFFFF"/>
        </w:rPr>
      </w:pPr>
      <w:r>
        <w:rPr>
          <w:rFonts w:hint="eastAsia" w:ascii="宋体" w:hAnsi="宋体"/>
          <w:b/>
          <w:kern w:val="0"/>
          <w:sz w:val="24"/>
          <w:shd w:val="clear" w:color="auto" w:fill="FFFFFF"/>
        </w:rPr>
        <w:t>1.4定标委员会根据定标因素及定标辅助资料进行记名投票+撰写评语，确定中标人，定标因素如下：</w:t>
      </w:r>
    </w:p>
    <w:p>
      <w:pPr>
        <w:pStyle w:val="33"/>
        <w:numPr>
          <w:ilvl w:val="0"/>
          <w:numId w:val="9"/>
        </w:numPr>
        <w:snapToGrid w:val="0"/>
        <w:spacing w:before="0" w:beforeAutospacing="0" w:after="0" w:afterAutospacing="0" w:line="360" w:lineRule="auto"/>
        <w:ind w:left="0" w:firstLine="482" w:firstLineChars="200"/>
        <w:rPr>
          <w:rFonts w:hAnsi="宋体"/>
          <w:b/>
          <w:highlight w:val="none"/>
          <w:shd w:val="clear" w:color="auto" w:fill="FFFFFF"/>
        </w:rPr>
      </w:pPr>
      <w:r>
        <w:rPr>
          <w:rFonts w:hint="eastAsia" w:hAnsi="宋体"/>
          <w:b/>
          <w:shd w:val="clear" w:color="auto" w:fill="FFFFFF"/>
        </w:rPr>
        <w:t>方案因素：包括但不限于对勘察方案、勘察的难点及建议等进行评审。（详见《</w:t>
      </w:r>
      <w:r>
        <w:rPr>
          <w:rFonts w:hint="eastAsia" w:hAnsi="宋体"/>
          <w:b/>
          <w:highlight w:val="none"/>
          <w:shd w:val="clear" w:color="auto" w:fill="FFFFFF"/>
          <w:lang w:eastAsia="zh-CN"/>
        </w:rPr>
        <w:t>勘察</w:t>
      </w:r>
      <w:r>
        <w:rPr>
          <w:rFonts w:hint="eastAsia" w:hAnsi="宋体"/>
          <w:b/>
          <w:highlight w:val="none"/>
          <w:shd w:val="clear" w:color="auto" w:fill="FFFFFF"/>
        </w:rPr>
        <w:t>方案评审记录表》）</w:t>
      </w:r>
    </w:p>
    <w:p>
      <w:pPr>
        <w:pStyle w:val="33"/>
        <w:numPr>
          <w:ilvl w:val="0"/>
          <w:numId w:val="9"/>
        </w:numPr>
        <w:snapToGrid w:val="0"/>
        <w:spacing w:before="0" w:beforeAutospacing="0" w:after="0" w:afterAutospacing="0" w:line="360" w:lineRule="auto"/>
        <w:ind w:left="0" w:firstLine="482" w:firstLineChars="200"/>
        <w:rPr>
          <w:rFonts w:hAnsi="宋体"/>
          <w:b/>
          <w:highlight w:val="none"/>
          <w:shd w:val="clear" w:color="auto" w:fill="FFFFFF"/>
        </w:rPr>
      </w:pPr>
      <w:r>
        <w:rPr>
          <w:rFonts w:hint="eastAsia" w:hAnsi="宋体"/>
          <w:b/>
          <w:highlight w:val="none"/>
          <w:shd w:val="clear" w:color="auto" w:fill="FFFFFF"/>
        </w:rPr>
        <w:t>资信及团队因素：投标人近</w:t>
      </w:r>
      <w:r>
        <w:rPr>
          <w:rFonts w:hAnsi="宋体"/>
          <w:b/>
          <w:highlight w:val="none"/>
          <w:shd w:val="clear" w:color="auto" w:fill="FFFFFF"/>
        </w:rPr>
        <w:t>5</w:t>
      </w:r>
      <w:r>
        <w:rPr>
          <w:rFonts w:hint="eastAsia" w:hAnsi="宋体"/>
          <w:b/>
          <w:highlight w:val="none"/>
          <w:shd w:val="clear" w:color="auto" w:fill="FFFFFF"/>
        </w:rPr>
        <w:t>年勘察类项目业绩情况、拟委派项目负责人及团队成员的综合能力</w:t>
      </w:r>
      <w:r>
        <w:rPr>
          <w:rFonts w:hint="eastAsia" w:hAnsi="宋体"/>
          <w:b/>
          <w:highlight w:val="none"/>
          <w:shd w:val="clear" w:color="auto" w:fill="FFFFFF"/>
          <w:lang w:eastAsia="zh-CN"/>
        </w:rPr>
        <w:t>；</w:t>
      </w:r>
    </w:p>
    <w:p>
      <w:pPr>
        <w:pStyle w:val="33"/>
        <w:numPr>
          <w:ilvl w:val="0"/>
          <w:numId w:val="9"/>
        </w:numPr>
        <w:snapToGrid w:val="0"/>
        <w:spacing w:before="0" w:beforeAutospacing="0" w:after="0" w:afterAutospacing="0" w:line="360" w:lineRule="auto"/>
        <w:ind w:left="0" w:firstLine="482" w:firstLineChars="200"/>
        <w:rPr>
          <w:rFonts w:hAnsi="宋体"/>
          <w:b/>
          <w:shd w:val="clear" w:color="auto" w:fill="FFFFFF"/>
        </w:rPr>
      </w:pPr>
      <w:r>
        <w:rPr>
          <w:rFonts w:hint="eastAsia" w:hAnsi="宋体"/>
          <w:b/>
          <w:shd w:val="clear" w:color="auto" w:fill="FFFFFF"/>
        </w:rPr>
        <w:t>价格因素：包括但不限于投标报价合理性，项目成本控制风险等进行评审</w:t>
      </w:r>
      <w:r>
        <w:rPr>
          <w:rFonts w:hAnsi="宋体"/>
          <w:b/>
          <w:shd w:val="clear" w:color="auto" w:fill="FFFFFF"/>
        </w:rPr>
        <w:t>。</w:t>
      </w:r>
    </w:p>
    <w:p>
      <w:pPr>
        <w:pStyle w:val="33"/>
        <w:snapToGrid w:val="0"/>
        <w:spacing w:before="0" w:beforeAutospacing="0" w:after="0" w:afterAutospacing="0" w:line="360" w:lineRule="auto"/>
        <w:ind w:firstLine="487" w:firstLineChars="202"/>
        <w:rPr>
          <w:rFonts w:hAnsi="宋体"/>
          <w:b/>
          <w:shd w:val="clear" w:color="auto" w:fill="FFFFFF"/>
        </w:rPr>
      </w:pPr>
      <w:r>
        <w:rPr>
          <w:rFonts w:hint="eastAsia" w:hAnsi="宋体"/>
          <w:b/>
          <w:shd w:val="clear" w:color="auto" w:fill="FFFFFF"/>
        </w:rPr>
        <w:t>1.5投票规则：定标委员会在评标委员会评审的基础上，根据定标因素及定标辅助资料，对各投标人进行综合比较后，对进入定标阶段的合格中标候选人以差额选举逐轮淘汰的记名投票方式确定中标人。选票格式及票决方式详见附录1</w:t>
      </w:r>
      <w:r>
        <w:rPr>
          <w:rFonts w:hint="eastAsia" w:hAnsi="宋体"/>
          <w:b/>
          <w:shd w:val="clear" w:color="auto" w:fill="FFFFFF"/>
          <w:lang w:val="en-US" w:eastAsia="zh-CN"/>
        </w:rPr>
        <w:t>7</w:t>
      </w:r>
      <w:r>
        <w:rPr>
          <w:rFonts w:hint="eastAsia" w:hAnsi="宋体"/>
          <w:b/>
          <w:shd w:val="clear" w:color="auto" w:fill="FFFFFF"/>
        </w:rPr>
        <w:t>。</w:t>
      </w:r>
    </w:p>
    <w:p>
      <w:pPr>
        <w:spacing w:line="360" w:lineRule="auto"/>
        <w:ind w:firstLine="482" w:firstLineChars="200"/>
        <w:rPr>
          <w:rFonts w:ascii="宋体" w:hAnsi="宋体"/>
          <w:b/>
          <w:kern w:val="0"/>
          <w:sz w:val="24"/>
          <w:shd w:val="clear" w:color="auto" w:fill="FFFFFF"/>
        </w:rPr>
      </w:pPr>
      <w:r>
        <w:rPr>
          <w:rFonts w:hint="eastAsia" w:ascii="宋体" w:hAnsi="宋体"/>
          <w:b/>
          <w:kern w:val="0"/>
          <w:sz w:val="24"/>
          <w:shd w:val="clear" w:color="auto" w:fill="FFFFFF"/>
        </w:rPr>
        <w:t>1.6定标委员会中的各定标委员应独立投票，可以弃权，当弃权票数达到定标委员会人数50%或以上时，本次定标会无效，招标人应重新招标。</w:t>
      </w:r>
    </w:p>
    <w:p>
      <w:pPr>
        <w:spacing w:line="360" w:lineRule="auto"/>
        <w:ind w:firstLine="482" w:firstLineChars="200"/>
        <w:rPr>
          <w:rFonts w:ascii="宋体" w:hAnsi="宋体"/>
          <w:b/>
          <w:kern w:val="0"/>
          <w:sz w:val="24"/>
          <w:shd w:val="clear" w:color="auto" w:fill="FFFFFF"/>
        </w:rPr>
      </w:pPr>
      <w:r>
        <w:rPr>
          <w:rFonts w:hint="eastAsia" w:ascii="宋体" w:hAnsi="宋体"/>
          <w:b/>
          <w:kern w:val="0"/>
          <w:sz w:val="24"/>
          <w:shd w:val="clear" w:color="auto" w:fill="FFFFFF"/>
        </w:rPr>
        <w:t>1.7定标委员会编写定标报告，并由全体成员确认签署，对定标结论持有异议的成员应以书面方式阐述其不同意见和理由。</w:t>
      </w:r>
    </w:p>
    <w:p>
      <w:pPr>
        <w:spacing w:line="360" w:lineRule="auto"/>
        <w:ind w:firstLine="482" w:firstLineChars="200"/>
        <w:rPr>
          <w:rFonts w:ascii="宋体" w:hAnsi="宋体"/>
          <w:b/>
          <w:kern w:val="0"/>
          <w:sz w:val="24"/>
          <w:shd w:val="clear" w:color="auto" w:fill="FFFFFF"/>
        </w:rPr>
      </w:pPr>
      <w:r>
        <w:rPr>
          <w:rFonts w:hint="eastAsia" w:ascii="宋体" w:hAnsi="宋体"/>
          <w:b/>
          <w:kern w:val="0"/>
          <w:sz w:val="24"/>
          <w:shd w:val="clear" w:color="auto" w:fill="FFFFFF"/>
        </w:rPr>
        <w:t>2.定标后出现中标人不符合法定情形的，招标人可从其他合格的入围定标环节的投标人中采用原定标办法，由原定标委员会确定中标人，也可以重新招标。</w:t>
      </w:r>
    </w:p>
    <w:p>
      <w:pPr>
        <w:spacing w:line="360" w:lineRule="auto"/>
        <w:ind w:firstLine="482" w:firstLineChars="200"/>
        <w:rPr>
          <w:rFonts w:ascii="宋体" w:hAnsi="宋体"/>
          <w:b/>
          <w:kern w:val="0"/>
          <w:sz w:val="24"/>
          <w:shd w:val="clear" w:color="auto" w:fill="FFFFFF"/>
        </w:rPr>
      </w:pPr>
      <w:r>
        <w:rPr>
          <w:rFonts w:hint="eastAsia" w:ascii="宋体" w:hAnsi="宋体"/>
          <w:b/>
          <w:kern w:val="0"/>
          <w:sz w:val="24"/>
          <w:shd w:val="clear" w:color="auto" w:fill="FFFFFF"/>
        </w:rPr>
        <w:t>3.因质疑或投诉生效，需要重新评标或定标的，评标、定标信息（含业绩、奖项等）仍以投标截止时投标人的信息为准。因特殊原因需要延长投标有效期，投标人拒绝延长投标有效期的，仍参与评标、定标，但不被推荐为中标人。</w:t>
      </w:r>
    </w:p>
    <w:p>
      <w:pPr>
        <w:spacing w:line="360" w:lineRule="auto"/>
        <w:ind w:firstLine="482" w:firstLineChars="200"/>
        <w:rPr>
          <w:rFonts w:ascii="宋体" w:hAnsi="宋体"/>
          <w:b/>
          <w:kern w:val="0"/>
          <w:sz w:val="24"/>
          <w:shd w:val="clear" w:color="auto" w:fill="FFFFFF"/>
        </w:rPr>
      </w:pPr>
      <w:r>
        <w:rPr>
          <w:rFonts w:hint="eastAsia" w:ascii="宋体" w:hAnsi="宋体"/>
          <w:b/>
          <w:kern w:val="0"/>
          <w:sz w:val="24"/>
          <w:shd w:val="clear" w:color="auto" w:fill="FFFFFF"/>
        </w:rPr>
        <w:t>4.投标人如在本项目中存在串通投标、弄虚作假、行贿情形且在评标过程中未被发现的，其投标不改变本项目评标结果。招标人按照《中华人民共和国招标投标法实施条例》第五十五条的规定确定中标人或重新招标。</w:t>
      </w:r>
    </w:p>
    <w:p>
      <w:pPr>
        <w:pStyle w:val="3"/>
        <w:rPr>
          <w:rFonts w:hAnsi="宋体"/>
          <w:sz w:val="21"/>
          <w:szCs w:val="21"/>
          <w:highlight w:val="none"/>
        </w:rPr>
      </w:pPr>
      <w:r>
        <w:rPr>
          <w:rFonts w:hint="eastAsia" w:hAnsi="宋体"/>
          <w:b/>
          <w:shd w:val="clear" w:color="auto" w:fill="FFFFFF"/>
        </w:rPr>
        <w:br w:type="page"/>
      </w:r>
      <w:bookmarkStart w:id="64" w:name="_Toc20297"/>
      <w:r>
        <w:rPr>
          <w:rFonts w:hint="eastAsia" w:hAnsi="宋体"/>
          <w:sz w:val="21"/>
          <w:szCs w:val="21"/>
        </w:rPr>
        <w:t>附录</w:t>
      </w:r>
      <w:r>
        <w:rPr>
          <w:rFonts w:hint="eastAsia" w:ascii="宋体" w:hAnsi="宋体"/>
          <w:sz w:val="21"/>
          <w:szCs w:val="21"/>
          <w:lang w:val="en-US" w:eastAsia="zh-CN"/>
        </w:rPr>
        <w:t>17</w:t>
      </w:r>
      <w:r>
        <w:rPr>
          <w:rFonts w:hint="eastAsia" w:ascii="宋体" w:hAnsi="宋体" w:eastAsia="宋体" w:cs="宋体"/>
          <w:sz w:val="21"/>
          <w:szCs w:val="21"/>
        </w:rPr>
        <w:t>-1</w:t>
      </w:r>
      <w:r>
        <w:rPr>
          <w:rFonts w:hint="eastAsia" w:ascii="宋体" w:hAnsi="宋体"/>
          <w:sz w:val="21"/>
          <w:szCs w:val="21"/>
        </w:rPr>
        <w:t>定标评语</w:t>
      </w:r>
      <w:bookmarkEnd w:id="64"/>
    </w:p>
    <w:p>
      <w:pPr>
        <w:spacing w:before="400"/>
        <w:jc w:val="center"/>
        <w:rPr>
          <w:rFonts w:ascii="宋体" w:hAnsi="宋体"/>
          <w:b/>
          <w:sz w:val="32"/>
          <w:szCs w:val="32"/>
          <w:highlight w:val="none"/>
        </w:rPr>
      </w:pPr>
      <w:r>
        <w:rPr>
          <w:rFonts w:hint="eastAsia" w:ascii="宋体" w:hAnsi="宋体"/>
          <w:b/>
          <w:sz w:val="32"/>
          <w:szCs w:val="32"/>
          <w:highlight w:val="none"/>
        </w:rPr>
        <w:t>定标评语</w:t>
      </w:r>
    </w:p>
    <w:p>
      <w:pPr>
        <w:spacing w:before="240" w:line="360" w:lineRule="auto"/>
        <w:rPr>
          <w:rFonts w:ascii="宋体" w:hAnsi="宋体"/>
          <w:szCs w:val="21"/>
          <w:highlight w:val="none"/>
        </w:rPr>
      </w:pPr>
      <w:r>
        <w:rPr>
          <w:rFonts w:hint="eastAsia" w:ascii="宋体" w:hAnsi="宋体"/>
          <w:szCs w:val="21"/>
          <w:highlight w:val="none"/>
        </w:rPr>
        <w:t>项目名称：</w:t>
      </w:r>
      <w:r>
        <w:rPr>
          <w:rFonts w:hint="eastAsia" w:ascii="宋体" w:hAnsi="宋体"/>
          <w:szCs w:val="21"/>
          <w:highlight w:val="none"/>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2410"/>
        <w:gridCol w:w="1417"/>
        <w:gridCol w:w="3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646" w:type="dxa"/>
            <w:tcBorders>
              <w:top w:val="single" w:color="auto" w:sz="4" w:space="0"/>
              <w:left w:val="single" w:color="auto" w:sz="4" w:space="0"/>
              <w:bottom w:val="single" w:color="auto" w:sz="4" w:space="0"/>
              <w:right w:val="single" w:color="auto" w:sz="4" w:space="0"/>
              <w:tl2br w:val="single" w:color="auto" w:sz="4" w:space="0"/>
            </w:tcBorders>
            <w:vAlign w:val="center"/>
          </w:tcPr>
          <w:p>
            <w:pPr>
              <w:jc w:val="center"/>
              <w:rPr>
                <w:rFonts w:ascii="宋体" w:hAnsi="宋体"/>
                <w:szCs w:val="21"/>
              </w:rPr>
            </w:pPr>
            <w:r>
              <w:rPr>
                <w:rFonts w:hint="eastAsia" w:ascii="宋体" w:hAnsi="宋体"/>
                <w:szCs w:val="21"/>
              </w:rPr>
              <w:t xml:space="preserve">       项目</w:t>
            </w:r>
          </w:p>
          <w:p>
            <w:pPr>
              <w:rPr>
                <w:rFonts w:ascii="宋体" w:hAnsi="宋体"/>
                <w:szCs w:val="21"/>
              </w:rPr>
            </w:pPr>
            <w:r>
              <w:rPr>
                <w:rFonts w:hint="eastAsia" w:ascii="宋体" w:hAnsi="宋体"/>
                <w:szCs w:val="21"/>
              </w:rPr>
              <w:t>方案编号</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合格中标候选人名称</w:t>
            </w:r>
          </w:p>
        </w:tc>
        <w:tc>
          <w:tcPr>
            <w:tcW w:w="486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评语（针对</w:t>
            </w:r>
            <w:r>
              <w:rPr>
                <w:rFonts w:hint="eastAsia"/>
              </w:rPr>
              <w:t>方案因素、资信及团队因素</w:t>
            </w:r>
            <w:r>
              <w:rPr>
                <w:rFonts w:hint="eastAsia"/>
                <w:lang w:eastAsia="zh-CN"/>
              </w:rPr>
              <w:t>、</w:t>
            </w:r>
            <w:r>
              <w:rPr>
                <w:rFonts w:hint="eastAsia"/>
              </w:rPr>
              <w:t>价格因素撰写评语</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64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4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Cs w:val="22"/>
              </w:rPr>
            </w:pPr>
            <w:r>
              <w:rPr>
                <w:rFonts w:hint="eastAsia"/>
              </w:rPr>
              <w:t>方案因素</w:t>
            </w:r>
          </w:p>
        </w:tc>
        <w:tc>
          <w:tcPr>
            <w:tcW w:w="3443" w:type="dxa"/>
            <w:tcBorders>
              <w:top w:val="single" w:color="auto" w:sz="4" w:space="0"/>
              <w:left w:val="single" w:color="auto" w:sz="4" w:space="0"/>
              <w:bottom w:val="single" w:color="auto" w:sz="4" w:space="0"/>
              <w:right w:val="single" w:color="auto" w:sz="4" w:space="0"/>
            </w:tcBorders>
            <w:vAlign w:val="center"/>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资信及团队因素</w:t>
            </w:r>
          </w:p>
        </w:tc>
        <w:tc>
          <w:tcPr>
            <w:tcW w:w="3443" w:type="dxa"/>
            <w:tcBorders>
              <w:top w:val="single" w:color="auto" w:sz="4" w:space="0"/>
              <w:left w:val="single" w:color="auto" w:sz="4" w:space="0"/>
              <w:bottom w:val="single" w:color="auto" w:sz="4" w:space="0"/>
              <w:right w:val="single" w:color="auto" w:sz="4" w:space="0"/>
            </w:tcBorders>
            <w:vAlign w:val="center"/>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Cs w:val="22"/>
              </w:rPr>
            </w:pPr>
            <w:r>
              <w:rPr>
                <w:rFonts w:hint="eastAsia"/>
              </w:rPr>
              <w:t>价格因素</w:t>
            </w:r>
          </w:p>
        </w:tc>
        <w:tc>
          <w:tcPr>
            <w:tcW w:w="3443" w:type="dxa"/>
            <w:tcBorders>
              <w:top w:val="single" w:color="auto" w:sz="4" w:space="0"/>
              <w:left w:val="single" w:color="auto" w:sz="4" w:space="0"/>
              <w:bottom w:val="single" w:color="auto" w:sz="4" w:space="0"/>
              <w:right w:val="single" w:color="auto" w:sz="4" w:space="0"/>
            </w:tcBorders>
            <w:vAlign w:val="center"/>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restart"/>
            <w:tcBorders>
              <w:top w:val="single" w:color="auto" w:sz="4" w:space="0"/>
              <w:left w:val="single" w:color="auto" w:sz="4" w:space="0"/>
              <w:right w:val="single" w:color="auto" w:sz="4" w:space="0"/>
            </w:tcBorders>
            <w:vAlign w:val="center"/>
          </w:tcPr>
          <w:p>
            <w:pPr>
              <w:widowControl/>
              <w:jc w:val="center"/>
              <w:rPr>
                <w:rFonts w:ascii="宋体" w:hAnsi="宋体"/>
                <w:szCs w:val="21"/>
              </w:rPr>
            </w:pPr>
          </w:p>
        </w:tc>
        <w:tc>
          <w:tcPr>
            <w:tcW w:w="2410" w:type="dxa"/>
            <w:vMerge w:val="restart"/>
            <w:tcBorders>
              <w:top w:val="single" w:color="auto" w:sz="4" w:space="0"/>
              <w:left w:val="single" w:color="auto" w:sz="4" w:space="0"/>
              <w:right w:val="single" w:color="auto" w:sz="4" w:space="0"/>
            </w:tcBorders>
            <w:vAlign w:val="center"/>
          </w:tcPr>
          <w:p>
            <w:pPr>
              <w:widowControl/>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Cs w:val="22"/>
              </w:rPr>
            </w:pPr>
            <w:r>
              <w:rPr>
                <w:rFonts w:hint="eastAsia"/>
              </w:rPr>
              <w:t>方案因素</w:t>
            </w:r>
          </w:p>
        </w:tc>
        <w:tc>
          <w:tcPr>
            <w:tcW w:w="3443" w:type="dxa"/>
            <w:tcBorders>
              <w:top w:val="single" w:color="auto" w:sz="4" w:space="0"/>
              <w:left w:val="single" w:color="auto" w:sz="4" w:space="0"/>
              <w:bottom w:val="single" w:color="auto" w:sz="4" w:space="0"/>
              <w:right w:val="single" w:color="auto" w:sz="4" w:space="0"/>
            </w:tcBorders>
            <w:vAlign w:val="center"/>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vAlign w:val="center"/>
          </w:tcPr>
          <w:p>
            <w:pPr>
              <w:widowControl/>
              <w:jc w:val="center"/>
              <w:rPr>
                <w:rFonts w:ascii="宋体" w:hAnsi="宋体"/>
                <w:szCs w:val="21"/>
              </w:rPr>
            </w:pPr>
          </w:p>
        </w:tc>
        <w:tc>
          <w:tcPr>
            <w:tcW w:w="2410"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资信及团队因素</w:t>
            </w:r>
          </w:p>
        </w:tc>
        <w:tc>
          <w:tcPr>
            <w:tcW w:w="3443" w:type="dxa"/>
            <w:tcBorders>
              <w:top w:val="single" w:color="auto" w:sz="4" w:space="0"/>
              <w:left w:val="single" w:color="auto" w:sz="4" w:space="0"/>
              <w:bottom w:val="single" w:color="auto" w:sz="4" w:space="0"/>
              <w:right w:val="single" w:color="auto" w:sz="4" w:space="0"/>
            </w:tcBorders>
            <w:vAlign w:val="center"/>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vAlign w:val="center"/>
          </w:tcPr>
          <w:p>
            <w:pPr>
              <w:widowControl/>
              <w:jc w:val="center"/>
              <w:rPr>
                <w:rFonts w:ascii="宋体" w:hAnsi="宋体"/>
                <w:szCs w:val="21"/>
              </w:rPr>
            </w:pPr>
          </w:p>
        </w:tc>
        <w:tc>
          <w:tcPr>
            <w:tcW w:w="2410"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Cs w:val="22"/>
              </w:rPr>
            </w:pPr>
            <w:r>
              <w:rPr>
                <w:rFonts w:hint="eastAsia"/>
              </w:rPr>
              <w:t>价格因素</w:t>
            </w:r>
          </w:p>
        </w:tc>
        <w:tc>
          <w:tcPr>
            <w:tcW w:w="3443" w:type="dxa"/>
            <w:tcBorders>
              <w:top w:val="single" w:color="auto" w:sz="4" w:space="0"/>
              <w:left w:val="single" w:color="auto" w:sz="4" w:space="0"/>
              <w:bottom w:val="single" w:color="auto" w:sz="4" w:space="0"/>
              <w:right w:val="single" w:color="auto" w:sz="4" w:space="0"/>
            </w:tcBorders>
            <w:vAlign w:val="center"/>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restart"/>
            <w:tcBorders>
              <w:top w:val="single" w:color="auto" w:sz="4" w:space="0"/>
              <w:left w:val="single" w:color="auto" w:sz="4" w:space="0"/>
              <w:right w:val="single" w:color="auto" w:sz="4" w:space="0"/>
            </w:tcBorders>
            <w:vAlign w:val="center"/>
          </w:tcPr>
          <w:p>
            <w:pPr>
              <w:widowControl/>
              <w:jc w:val="center"/>
              <w:rPr>
                <w:rFonts w:ascii="宋体" w:hAnsi="宋体"/>
                <w:szCs w:val="21"/>
              </w:rPr>
            </w:pPr>
          </w:p>
        </w:tc>
        <w:tc>
          <w:tcPr>
            <w:tcW w:w="2410" w:type="dxa"/>
            <w:vMerge w:val="restart"/>
            <w:tcBorders>
              <w:top w:val="single" w:color="auto" w:sz="4" w:space="0"/>
              <w:left w:val="single" w:color="auto" w:sz="4" w:space="0"/>
              <w:right w:val="single" w:color="auto" w:sz="4" w:space="0"/>
            </w:tcBorders>
            <w:vAlign w:val="center"/>
          </w:tcPr>
          <w:p>
            <w:pPr>
              <w:widowControl/>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Cs w:val="22"/>
              </w:rPr>
            </w:pPr>
            <w:r>
              <w:rPr>
                <w:rFonts w:hint="eastAsia"/>
              </w:rPr>
              <w:t>方案因素</w:t>
            </w:r>
          </w:p>
        </w:tc>
        <w:tc>
          <w:tcPr>
            <w:tcW w:w="3443" w:type="dxa"/>
            <w:tcBorders>
              <w:top w:val="single" w:color="auto" w:sz="4" w:space="0"/>
              <w:left w:val="single" w:color="auto" w:sz="4" w:space="0"/>
              <w:bottom w:val="single" w:color="auto" w:sz="4" w:space="0"/>
              <w:right w:val="single" w:color="auto" w:sz="4" w:space="0"/>
            </w:tcBorders>
            <w:vAlign w:val="center"/>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2410"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资信及团队因素</w:t>
            </w:r>
          </w:p>
        </w:tc>
        <w:tc>
          <w:tcPr>
            <w:tcW w:w="3443" w:type="dxa"/>
            <w:tcBorders>
              <w:top w:val="single" w:color="auto" w:sz="4" w:space="0"/>
              <w:left w:val="single" w:color="auto" w:sz="4" w:space="0"/>
              <w:bottom w:val="single" w:color="auto" w:sz="4" w:space="0"/>
              <w:right w:val="single" w:color="auto" w:sz="4" w:space="0"/>
            </w:tcBorders>
            <w:vAlign w:val="center"/>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2410"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Cs w:val="22"/>
              </w:rPr>
            </w:pPr>
            <w:r>
              <w:rPr>
                <w:rFonts w:hint="eastAsia"/>
              </w:rPr>
              <w:t>价格因素</w:t>
            </w:r>
          </w:p>
        </w:tc>
        <w:tc>
          <w:tcPr>
            <w:tcW w:w="3443" w:type="dxa"/>
            <w:tcBorders>
              <w:top w:val="single" w:color="auto" w:sz="4" w:space="0"/>
              <w:left w:val="single" w:color="auto" w:sz="4" w:space="0"/>
              <w:bottom w:val="single" w:color="auto" w:sz="4" w:space="0"/>
              <w:right w:val="single" w:color="auto" w:sz="4" w:space="0"/>
            </w:tcBorders>
            <w:vAlign w:val="center"/>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tcBorders>
              <w:left w:val="single" w:color="auto" w:sz="4" w:space="0"/>
              <w:right w:val="single" w:color="auto" w:sz="4" w:space="0"/>
            </w:tcBorders>
            <w:vAlign w:val="center"/>
          </w:tcPr>
          <w:p>
            <w:pPr>
              <w:widowControl/>
              <w:jc w:val="left"/>
              <w:rPr>
                <w:rFonts w:ascii="宋体" w:hAnsi="宋体"/>
                <w:szCs w:val="21"/>
              </w:rPr>
            </w:pPr>
            <w:r>
              <w:rPr>
                <w:rFonts w:hint="eastAsia" w:ascii="宋体" w:hAnsi="宋体"/>
                <w:szCs w:val="21"/>
              </w:rPr>
              <w:t>……</w:t>
            </w:r>
          </w:p>
        </w:tc>
        <w:tc>
          <w:tcPr>
            <w:tcW w:w="2410" w:type="dxa"/>
            <w:tcBorders>
              <w:left w:val="single" w:color="auto" w:sz="4" w:space="0"/>
              <w:right w:val="single" w:color="auto" w:sz="4" w:space="0"/>
            </w:tcBorders>
            <w:vAlign w:val="center"/>
          </w:tcPr>
          <w:p>
            <w:pPr>
              <w:widowControl/>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r>
              <w:rPr>
                <w:rFonts w:hint="eastAsia"/>
              </w:rPr>
              <w:t>……</w:t>
            </w:r>
          </w:p>
        </w:tc>
        <w:tc>
          <w:tcPr>
            <w:tcW w:w="3443" w:type="dxa"/>
            <w:tcBorders>
              <w:top w:val="single" w:color="auto" w:sz="4" w:space="0"/>
              <w:left w:val="single" w:color="auto" w:sz="4" w:space="0"/>
              <w:bottom w:val="single" w:color="auto" w:sz="4" w:space="0"/>
              <w:right w:val="single" w:color="auto" w:sz="4" w:space="0"/>
            </w:tcBorders>
            <w:vAlign w:val="center"/>
          </w:tcPr>
          <w:p>
            <w:pPr>
              <w:rPr>
                <w:szCs w:val="22"/>
              </w:rPr>
            </w:pPr>
          </w:p>
        </w:tc>
      </w:tr>
    </w:tbl>
    <w:p>
      <w:pPr>
        <w:spacing w:line="360" w:lineRule="auto"/>
        <w:ind w:firstLine="420" w:firstLineChars="200"/>
        <w:rPr>
          <w:rFonts w:ascii="宋体" w:hAnsi="宋体"/>
        </w:rPr>
      </w:pPr>
      <w:r>
        <w:rPr>
          <w:rFonts w:hint="eastAsia" w:ascii="宋体" w:hAnsi="宋体"/>
          <w:szCs w:val="21"/>
        </w:rPr>
        <w:t xml:space="preserve"> </w:t>
      </w:r>
    </w:p>
    <w:p>
      <w:pPr>
        <w:spacing w:line="360" w:lineRule="auto"/>
        <w:rPr>
          <w:rFonts w:ascii="宋体" w:hAnsi="宋体"/>
          <w:szCs w:val="21"/>
        </w:rPr>
      </w:pPr>
    </w:p>
    <w:p>
      <w:pPr>
        <w:pStyle w:val="33"/>
        <w:snapToGrid w:val="0"/>
        <w:spacing w:before="0" w:beforeAutospacing="0" w:after="0" w:afterAutospacing="0" w:line="360" w:lineRule="auto"/>
        <w:rPr>
          <w:rFonts w:hAnsi="宋体"/>
          <w:b/>
          <w:shd w:val="clear" w:color="auto" w:fill="FFFFFF"/>
        </w:rPr>
      </w:pPr>
      <w:r>
        <w:rPr>
          <w:rFonts w:hint="eastAsia" w:hAnsi="宋体"/>
          <w:szCs w:val="21"/>
        </w:rPr>
        <w:t>签名：                                 日期：     年    月    日</w:t>
      </w:r>
    </w:p>
    <w:p>
      <w:pPr>
        <w:pStyle w:val="3"/>
        <w:rPr>
          <w:rFonts w:hint="eastAsia" w:hAnsi="宋体" w:eastAsia="宋体"/>
          <w:b/>
          <w:sz w:val="32"/>
          <w:lang w:eastAsia="zh-CN"/>
        </w:rPr>
      </w:pPr>
      <w:r>
        <w:rPr>
          <w:rFonts w:hAnsi="宋体"/>
          <w:b/>
          <w:sz w:val="32"/>
        </w:rPr>
        <w:br w:type="page"/>
      </w:r>
      <w:bookmarkStart w:id="65" w:name="_Toc31155"/>
      <w:r>
        <w:rPr>
          <w:rFonts w:hint="eastAsia" w:hAnsi="宋体"/>
          <w:sz w:val="21"/>
          <w:szCs w:val="21"/>
        </w:rPr>
        <w:t>附录</w:t>
      </w:r>
      <w:r>
        <w:rPr>
          <w:rFonts w:hint="eastAsia" w:ascii="宋体" w:hAnsi="宋体"/>
          <w:sz w:val="21"/>
          <w:szCs w:val="21"/>
          <w:lang w:val="en-US" w:eastAsia="zh-CN"/>
        </w:rPr>
        <w:t>17</w:t>
      </w:r>
      <w:r>
        <w:rPr>
          <w:rFonts w:hint="eastAsia" w:hAnsi="宋体"/>
          <w:sz w:val="21"/>
          <w:szCs w:val="21"/>
        </w:rPr>
        <w:t>-</w:t>
      </w:r>
      <w:r>
        <w:rPr>
          <w:rFonts w:hint="eastAsia" w:ascii="宋体" w:hAnsi="宋体" w:eastAsia="宋体" w:cs="宋体"/>
          <w:sz w:val="21"/>
          <w:szCs w:val="21"/>
        </w:rPr>
        <w:t>2</w:t>
      </w:r>
      <w:r>
        <w:rPr>
          <w:rFonts w:hint="eastAsia" w:ascii="宋体" w:hAnsi="宋体" w:eastAsia="宋体"/>
          <w:sz w:val="21"/>
          <w:szCs w:val="21"/>
          <w:lang w:eastAsia="zh-CN"/>
        </w:rPr>
        <w:t>投票表格及投票汇总表格</w:t>
      </w:r>
      <w:bookmarkEnd w:id="65"/>
    </w:p>
    <w:p>
      <w:pPr>
        <w:pStyle w:val="33"/>
        <w:snapToGrid w:val="0"/>
        <w:spacing w:before="0" w:beforeAutospacing="0" w:after="0" w:afterAutospacing="0" w:line="360" w:lineRule="auto"/>
        <w:ind w:firstLine="649" w:firstLineChars="202"/>
        <w:jc w:val="center"/>
        <w:rPr>
          <w:rFonts w:hAnsi="宋体"/>
          <w:b/>
          <w:sz w:val="32"/>
        </w:rPr>
      </w:pPr>
      <w:r>
        <w:rPr>
          <w:rFonts w:hint="eastAsia" w:hAnsi="宋体"/>
          <w:b/>
          <w:sz w:val="32"/>
        </w:rPr>
        <w:t>投票表格</w:t>
      </w:r>
    </w:p>
    <w:p>
      <w:pPr>
        <w:spacing w:line="360" w:lineRule="auto"/>
        <w:rPr>
          <w:rFonts w:ascii="宋体" w:hAnsi="宋体"/>
          <w:sz w:val="24"/>
        </w:rPr>
      </w:pPr>
      <w:r>
        <w:rPr>
          <w:rFonts w:hint="eastAsia" w:ascii="宋体" w:hAnsi="宋体"/>
          <w:sz w:val="24"/>
        </w:rPr>
        <w:t>项目名称：</w:t>
      </w:r>
      <w:r>
        <w:rPr>
          <w:rFonts w:hint="eastAsia" w:ascii="宋体" w:hAnsi="宋体"/>
          <w:sz w:val="24"/>
          <w:u w:val="single"/>
        </w:rPr>
        <w:t xml:space="preserve">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48"/>
        <w:gridCol w:w="1224"/>
        <w:gridCol w:w="1224"/>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第    轮</w:t>
            </w:r>
          </w:p>
        </w:tc>
        <w:tc>
          <w:tcPr>
            <w:tcW w:w="2448" w:type="dxa"/>
            <w:tcBorders>
              <w:top w:val="double" w:color="auto" w:sz="4" w:space="0"/>
              <w:left w:val="single" w:color="auto" w:sz="4" w:space="0"/>
              <w:bottom w:val="double" w:color="auto" w:sz="4" w:space="0"/>
            </w:tcBorders>
          </w:tcPr>
          <w:p>
            <w:pPr>
              <w:spacing w:line="360" w:lineRule="auto"/>
              <w:rPr>
                <w:rFonts w:ascii="宋体" w:hAnsi="宋体"/>
                <w:sz w:val="24"/>
              </w:rPr>
            </w:pPr>
          </w:p>
        </w:tc>
        <w:tc>
          <w:tcPr>
            <w:tcW w:w="2448" w:type="dxa"/>
            <w:gridSpan w:val="2"/>
            <w:tcBorders>
              <w:top w:val="double" w:color="auto" w:sz="4" w:space="0"/>
              <w:left w:val="single" w:color="auto" w:sz="4" w:space="0"/>
              <w:bottom w:val="double" w:color="auto" w:sz="4" w:space="0"/>
            </w:tcBorders>
          </w:tcPr>
          <w:p>
            <w:pPr>
              <w:spacing w:line="360" w:lineRule="auto"/>
              <w:rPr>
                <w:rFonts w:ascii="宋体" w:hAnsi="宋体"/>
                <w:sz w:val="24"/>
              </w:rPr>
            </w:pPr>
          </w:p>
        </w:tc>
        <w:tc>
          <w:tcPr>
            <w:tcW w:w="2449" w:type="dxa"/>
            <w:tcBorders>
              <w:top w:val="double" w:color="auto" w:sz="4" w:space="0"/>
              <w:left w:val="single" w:color="auto" w:sz="4" w:space="0"/>
              <w:bottom w:val="doub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第    轮</w:t>
            </w:r>
          </w:p>
        </w:tc>
        <w:tc>
          <w:tcPr>
            <w:tcW w:w="3672" w:type="dxa"/>
            <w:gridSpan w:val="2"/>
            <w:tcBorders>
              <w:top w:val="double" w:color="auto" w:sz="4" w:space="0"/>
              <w:left w:val="single" w:color="auto" w:sz="4" w:space="0"/>
              <w:bottom w:val="double" w:color="auto" w:sz="4" w:space="0"/>
              <w:right w:val="double" w:color="auto" w:sz="4" w:space="0"/>
            </w:tcBorders>
          </w:tcPr>
          <w:p>
            <w:pPr>
              <w:spacing w:line="360" w:lineRule="auto"/>
              <w:rPr>
                <w:rFonts w:ascii="宋体" w:hAnsi="宋体"/>
                <w:sz w:val="24"/>
              </w:rPr>
            </w:pPr>
          </w:p>
        </w:tc>
        <w:tc>
          <w:tcPr>
            <w:tcW w:w="3673" w:type="dxa"/>
            <w:gridSpan w:val="2"/>
            <w:tcBorders>
              <w:top w:val="double" w:color="auto" w:sz="4" w:space="0"/>
              <w:left w:val="single" w:color="auto" w:sz="4" w:space="0"/>
              <w:bottom w:val="double" w:color="auto" w:sz="4" w:space="0"/>
              <w:right w:val="doub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第    轮</w:t>
            </w:r>
          </w:p>
        </w:tc>
        <w:tc>
          <w:tcPr>
            <w:tcW w:w="7345" w:type="dxa"/>
            <w:gridSpan w:val="4"/>
            <w:tcBorders>
              <w:top w:val="double" w:color="auto" w:sz="4" w:space="0"/>
              <w:left w:val="single" w:color="auto" w:sz="4" w:space="0"/>
              <w:bottom w:val="double" w:color="auto" w:sz="4" w:space="0"/>
              <w:right w:val="double" w:color="auto" w:sz="4" w:space="0"/>
            </w:tcBorders>
          </w:tcPr>
          <w:p>
            <w:pPr>
              <w:spacing w:line="360" w:lineRule="auto"/>
              <w:rPr>
                <w:rFonts w:ascii="宋体" w:hAnsi="宋体"/>
                <w:sz w:val="24"/>
              </w:rPr>
            </w:pPr>
          </w:p>
        </w:tc>
      </w:tr>
    </w:tbl>
    <w:p>
      <w:pPr>
        <w:spacing w:line="360" w:lineRule="auto"/>
        <w:rPr>
          <w:rFonts w:ascii="宋体" w:hAnsi="宋体"/>
          <w:sz w:val="24"/>
        </w:rPr>
      </w:pPr>
      <w:r>
        <w:rPr>
          <w:rFonts w:hint="eastAsia" w:ascii="宋体" w:hAnsi="宋体"/>
          <w:sz w:val="24"/>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cs="Arial"/>
          <w:sz w:val="24"/>
        </w:rPr>
        <w:t>以得票多的方案当选为</w:t>
      </w:r>
      <w:r>
        <w:rPr>
          <w:rFonts w:hint="eastAsia" w:ascii="宋体" w:hAnsi="宋体"/>
          <w:sz w:val="24"/>
        </w:rPr>
        <w:t>下一轮投票的候选方案</w:t>
      </w:r>
      <w:r>
        <w:rPr>
          <w:rFonts w:hint="eastAsia" w:ascii="宋体" w:hAnsi="宋体" w:cs="Arial"/>
          <w:sz w:val="24"/>
        </w:rPr>
        <w:t>。</w:t>
      </w:r>
      <w:r>
        <w:rPr>
          <w:rFonts w:hint="eastAsia" w:ascii="宋体" w:hAnsi="宋体"/>
          <w:sz w:val="24"/>
        </w:rPr>
        <w:t>不能进入下一轮的方案，根据本轮得票数量确定名次。</w:t>
      </w:r>
      <w:r>
        <w:rPr>
          <w:rFonts w:hint="eastAsia" w:ascii="宋体" w:hAnsi="宋体" w:cs="Arial"/>
          <w:sz w:val="24"/>
        </w:rPr>
        <w:t>遇票数相等不能确定入选下一轮的投标方案时，</w:t>
      </w:r>
      <w:r>
        <w:rPr>
          <w:rFonts w:hint="eastAsia" w:ascii="宋体" w:hAnsi="宋体"/>
          <w:sz w:val="24"/>
        </w:rPr>
        <w:t>应进行附加投票，以确定名次。每轮正式投票允许选择投标方案总数如下：</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06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jc w:val="center"/>
              <w:rPr>
                <w:rFonts w:ascii="宋体" w:hAnsi="宋体"/>
                <w:sz w:val="24"/>
              </w:rPr>
            </w:pPr>
          </w:p>
        </w:tc>
        <w:tc>
          <w:tcPr>
            <w:tcW w:w="6120" w:type="dxa"/>
            <w:gridSpan w:val="2"/>
          </w:tcPr>
          <w:p>
            <w:pPr>
              <w:jc w:val="center"/>
              <w:rPr>
                <w:rFonts w:ascii="宋体" w:hAnsi="宋体"/>
                <w:sz w:val="24"/>
              </w:rPr>
            </w:pPr>
            <w:r>
              <w:rPr>
                <w:rFonts w:hint="eastAsia" w:ascii="宋体" w:hAnsi="宋体"/>
                <w:sz w:val="24"/>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jc w:val="center"/>
              <w:rPr>
                <w:rFonts w:ascii="宋体" w:hAnsi="宋体"/>
                <w:sz w:val="24"/>
              </w:rPr>
            </w:pPr>
            <w:r>
              <w:rPr>
                <w:rFonts w:hint="eastAsia" w:ascii="宋体" w:hAnsi="宋体"/>
                <w:sz w:val="24"/>
              </w:rPr>
              <w:t>投标人数</w:t>
            </w:r>
          </w:p>
        </w:tc>
        <w:tc>
          <w:tcPr>
            <w:tcW w:w="3060" w:type="dxa"/>
          </w:tcPr>
          <w:p>
            <w:pPr>
              <w:jc w:val="center"/>
              <w:rPr>
                <w:rFonts w:ascii="宋体" w:hAnsi="宋体"/>
                <w:sz w:val="24"/>
              </w:rPr>
            </w:pPr>
            <w:r>
              <w:rPr>
                <w:rFonts w:hint="eastAsia" w:ascii="宋体" w:hAnsi="宋体"/>
                <w:sz w:val="24"/>
              </w:rPr>
              <w:t xml:space="preserve">3 </w:t>
            </w:r>
          </w:p>
        </w:tc>
        <w:tc>
          <w:tcPr>
            <w:tcW w:w="3060" w:type="dxa"/>
          </w:tcPr>
          <w:p>
            <w:pPr>
              <w:jc w:val="center"/>
              <w:rPr>
                <w:rFonts w:ascii="宋体" w:hAnsi="宋体"/>
                <w:sz w:val="24"/>
              </w:rPr>
            </w:pPr>
            <w:r>
              <w:rPr>
                <w:rFonts w:hint="eastAsia" w:ascii="宋体" w:hAnsi="宋体"/>
                <w:sz w:val="24"/>
              </w:rPr>
              <w:t>4名及以上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jc w:val="center"/>
              <w:rPr>
                <w:rFonts w:ascii="宋体" w:hAnsi="宋体"/>
                <w:sz w:val="24"/>
              </w:rPr>
            </w:pPr>
            <w:r>
              <w:rPr>
                <w:rFonts w:hint="eastAsia" w:ascii="宋体" w:hAnsi="宋体"/>
                <w:sz w:val="24"/>
              </w:rPr>
              <w:t>第1轮</w:t>
            </w:r>
          </w:p>
        </w:tc>
        <w:tc>
          <w:tcPr>
            <w:tcW w:w="3060" w:type="dxa"/>
          </w:tcPr>
          <w:p>
            <w:pPr>
              <w:jc w:val="center"/>
              <w:rPr>
                <w:rFonts w:ascii="宋体" w:hAnsi="宋体"/>
                <w:sz w:val="24"/>
              </w:rPr>
            </w:pPr>
            <w:r>
              <w:rPr>
                <w:rFonts w:hint="eastAsia" w:ascii="宋体" w:hAnsi="宋体"/>
                <w:sz w:val="24"/>
              </w:rPr>
              <w:t>2</w:t>
            </w:r>
          </w:p>
        </w:tc>
        <w:tc>
          <w:tcPr>
            <w:tcW w:w="3060" w:type="dxa"/>
          </w:tcPr>
          <w:p>
            <w:pPr>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jc w:val="center"/>
              <w:rPr>
                <w:rFonts w:ascii="宋体" w:hAnsi="宋体"/>
                <w:sz w:val="24"/>
              </w:rPr>
            </w:pPr>
            <w:r>
              <w:rPr>
                <w:rFonts w:hint="eastAsia" w:ascii="宋体" w:hAnsi="宋体"/>
                <w:sz w:val="24"/>
              </w:rPr>
              <w:t>第2轮</w:t>
            </w:r>
          </w:p>
        </w:tc>
        <w:tc>
          <w:tcPr>
            <w:tcW w:w="3060" w:type="dxa"/>
          </w:tcPr>
          <w:p>
            <w:pPr>
              <w:jc w:val="center"/>
              <w:rPr>
                <w:rFonts w:ascii="宋体" w:hAnsi="宋体"/>
                <w:sz w:val="24"/>
              </w:rPr>
            </w:pPr>
            <w:r>
              <w:rPr>
                <w:rFonts w:hint="eastAsia" w:ascii="宋体" w:hAnsi="宋体"/>
                <w:sz w:val="24"/>
              </w:rPr>
              <w:t>1</w:t>
            </w:r>
          </w:p>
        </w:tc>
        <w:tc>
          <w:tcPr>
            <w:tcW w:w="3060" w:type="dxa"/>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jc w:val="center"/>
              <w:rPr>
                <w:rFonts w:ascii="宋体" w:hAnsi="宋体"/>
                <w:sz w:val="24"/>
              </w:rPr>
            </w:pPr>
            <w:r>
              <w:rPr>
                <w:rFonts w:hint="eastAsia" w:ascii="宋体" w:hAnsi="宋体"/>
                <w:sz w:val="24"/>
              </w:rPr>
              <w:t>第3轮</w:t>
            </w:r>
          </w:p>
        </w:tc>
        <w:tc>
          <w:tcPr>
            <w:tcW w:w="3060" w:type="dxa"/>
          </w:tcPr>
          <w:p>
            <w:pPr>
              <w:jc w:val="center"/>
              <w:rPr>
                <w:rFonts w:ascii="宋体" w:hAnsi="宋体"/>
                <w:sz w:val="24"/>
              </w:rPr>
            </w:pPr>
          </w:p>
        </w:tc>
        <w:tc>
          <w:tcPr>
            <w:tcW w:w="3060" w:type="dxa"/>
          </w:tcPr>
          <w:p>
            <w:pPr>
              <w:jc w:val="center"/>
              <w:rPr>
                <w:rFonts w:ascii="宋体" w:hAnsi="宋体"/>
                <w:sz w:val="24"/>
              </w:rPr>
            </w:pPr>
            <w:r>
              <w:rPr>
                <w:rFonts w:hint="eastAsia" w:ascii="宋体" w:hAnsi="宋体"/>
                <w:sz w:val="24"/>
              </w:rPr>
              <w:t>1</w:t>
            </w:r>
          </w:p>
        </w:tc>
      </w:tr>
    </w:tbl>
    <w:p>
      <w:pPr>
        <w:spacing w:line="360" w:lineRule="auto"/>
        <w:ind w:firstLine="480"/>
        <w:rPr>
          <w:rFonts w:ascii="宋体" w:hAnsi="宋体"/>
          <w:sz w:val="24"/>
        </w:rPr>
      </w:pPr>
      <w:r>
        <w:rPr>
          <w:rFonts w:hint="eastAsia" w:ascii="宋体" w:hAnsi="宋体"/>
          <w:sz w:val="24"/>
        </w:rPr>
        <w:t>(1)投票结束后，点票人员对投票人数、票数和每票应选方案总数加以核对和统计，作废的选票不得统计，并向定标委员会报告。</w:t>
      </w:r>
    </w:p>
    <w:p>
      <w:pPr>
        <w:spacing w:line="360" w:lineRule="auto"/>
        <w:ind w:firstLine="480"/>
        <w:rPr>
          <w:rFonts w:ascii="宋体" w:hAnsi="宋体"/>
          <w:sz w:val="24"/>
        </w:rPr>
      </w:pPr>
      <w:r>
        <w:rPr>
          <w:rFonts w:hint="eastAsia" w:ascii="宋体" w:hAnsi="宋体"/>
          <w:sz w:val="24"/>
        </w:rPr>
        <w:t>(2)定标委员会成员应当独立投票，自投票开始至最终排名统计结果公布期间，任何人不得非法干预、影响投票过程，不得透露、协商、改变投票结果，不得使用通信联络工具。</w:t>
      </w:r>
    </w:p>
    <w:p>
      <w:pPr>
        <w:spacing w:line="360" w:lineRule="auto"/>
        <w:rPr>
          <w:rFonts w:ascii="宋体" w:hAnsi="宋体"/>
          <w:sz w:val="24"/>
        </w:rPr>
      </w:pPr>
      <w:r>
        <w:rPr>
          <w:rFonts w:hint="eastAsia" w:ascii="宋体" w:hAnsi="宋体"/>
          <w:sz w:val="24"/>
        </w:rPr>
        <w:t>签名：                              日期：     年    月    日</w:t>
      </w:r>
    </w:p>
    <w:p>
      <w:pPr>
        <w:rPr>
          <w:rFonts w:ascii="宋体" w:hAnsi="宋体"/>
        </w:rPr>
        <w:sectPr>
          <w:pgSz w:w="11906" w:h="16838"/>
          <w:pgMar w:top="1440" w:right="1469" w:bottom="1440" w:left="1440" w:header="851" w:footer="992" w:gutter="0"/>
          <w:cols w:space="720" w:num="1"/>
          <w:docGrid w:linePitch="312" w:charSpace="0"/>
        </w:sectPr>
      </w:pPr>
    </w:p>
    <w:p>
      <w:pPr>
        <w:jc w:val="center"/>
        <w:rPr>
          <w:rFonts w:ascii="宋体" w:hAnsi="宋体"/>
          <w:b/>
          <w:sz w:val="32"/>
        </w:rPr>
      </w:pPr>
      <w:r>
        <w:rPr>
          <w:rFonts w:hint="eastAsia" w:ascii="宋体" w:hAnsi="宋体"/>
          <w:b/>
          <w:sz w:val="32"/>
        </w:rPr>
        <w:t>投票汇总表格</w:t>
      </w:r>
    </w:p>
    <w:p>
      <w:pPr>
        <w:rPr>
          <w:rFonts w:ascii="宋体" w:hAnsi="宋体"/>
          <w:sz w:val="24"/>
        </w:rPr>
      </w:pPr>
      <w:r>
        <w:rPr>
          <w:rFonts w:hint="eastAsia" w:ascii="宋体" w:hAnsi="宋体"/>
          <w:sz w:val="24"/>
        </w:rPr>
        <w:t>项目名称：                                     日期：       年    月    日</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556"/>
        <w:gridCol w:w="1555"/>
        <w:gridCol w:w="1555"/>
        <w:gridCol w:w="567"/>
        <w:gridCol w:w="567"/>
        <w:gridCol w:w="567"/>
        <w:gridCol w:w="57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5" w:type="dxa"/>
            <w:vMerge w:val="restart"/>
            <w:vAlign w:val="center"/>
          </w:tcPr>
          <w:p>
            <w:pPr>
              <w:jc w:val="center"/>
              <w:rPr>
                <w:rFonts w:ascii="宋体" w:hAnsi="宋体"/>
                <w:sz w:val="24"/>
              </w:rPr>
            </w:pPr>
            <w:r>
              <w:rPr>
                <w:rFonts w:hint="eastAsia" w:ascii="宋体" w:hAnsi="宋体"/>
                <w:sz w:val="24"/>
              </w:rPr>
              <w:t>投标人名称</w:t>
            </w:r>
          </w:p>
        </w:tc>
        <w:tc>
          <w:tcPr>
            <w:tcW w:w="1556" w:type="dxa"/>
            <w:vMerge w:val="restart"/>
            <w:vAlign w:val="center"/>
          </w:tcPr>
          <w:p>
            <w:pPr>
              <w:jc w:val="center"/>
              <w:rPr>
                <w:rFonts w:ascii="宋体" w:hAnsi="宋体"/>
                <w:sz w:val="24"/>
              </w:rPr>
            </w:pPr>
            <w:r>
              <w:rPr>
                <w:rFonts w:hint="eastAsia" w:ascii="宋体" w:hAnsi="宋体"/>
                <w:sz w:val="24"/>
              </w:rPr>
              <w:t>第一轮得票</w:t>
            </w:r>
          </w:p>
        </w:tc>
        <w:tc>
          <w:tcPr>
            <w:tcW w:w="1555" w:type="dxa"/>
            <w:vMerge w:val="restart"/>
            <w:vAlign w:val="center"/>
          </w:tcPr>
          <w:p>
            <w:pPr>
              <w:jc w:val="center"/>
              <w:rPr>
                <w:rFonts w:ascii="宋体" w:hAnsi="宋体"/>
                <w:sz w:val="24"/>
              </w:rPr>
            </w:pPr>
            <w:r>
              <w:rPr>
                <w:rFonts w:hint="eastAsia" w:ascii="宋体" w:hAnsi="宋体"/>
                <w:sz w:val="24"/>
              </w:rPr>
              <w:t>第二轮得票</w:t>
            </w:r>
          </w:p>
        </w:tc>
        <w:tc>
          <w:tcPr>
            <w:tcW w:w="1555" w:type="dxa"/>
            <w:vMerge w:val="restart"/>
            <w:vAlign w:val="center"/>
          </w:tcPr>
          <w:p>
            <w:pPr>
              <w:jc w:val="center"/>
              <w:rPr>
                <w:rFonts w:ascii="宋体" w:hAnsi="宋体"/>
                <w:sz w:val="24"/>
              </w:rPr>
            </w:pPr>
            <w:r>
              <w:rPr>
                <w:rFonts w:hint="eastAsia" w:ascii="宋体" w:hAnsi="宋体"/>
                <w:sz w:val="24"/>
              </w:rPr>
              <w:t>第三轮得票</w:t>
            </w:r>
          </w:p>
        </w:tc>
        <w:tc>
          <w:tcPr>
            <w:tcW w:w="2275" w:type="dxa"/>
            <w:gridSpan w:val="4"/>
            <w:vAlign w:val="center"/>
          </w:tcPr>
          <w:p>
            <w:pPr>
              <w:jc w:val="center"/>
              <w:rPr>
                <w:rFonts w:ascii="宋体" w:hAnsi="宋体"/>
                <w:sz w:val="24"/>
              </w:rPr>
            </w:pPr>
            <w:r>
              <w:rPr>
                <w:rFonts w:hint="eastAsia" w:ascii="宋体" w:hAnsi="宋体"/>
                <w:sz w:val="24"/>
              </w:rPr>
              <w:t>每轮得票相同的排序</w:t>
            </w:r>
          </w:p>
        </w:tc>
        <w:tc>
          <w:tcPr>
            <w:tcW w:w="1071" w:type="dxa"/>
            <w:vMerge w:val="restart"/>
            <w:vAlign w:val="center"/>
          </w:tcPr>
          <w:p>
            <w:pPr>
              <w:jc w:val="center"/>
              <w:rPr>
                <w:rFonts w:ascii="宋体" w:hAnsi="宋体"/>
                <w:sz w:val="24"/>
              </w:rPr>
            </w:pPr>
            <w:r>
              <w:rPr>
                <w:rFonts w:hint="eastAsia" w:ascii="宋体" w:hAnsi="宋体"/>
                <w:sz w:val="24"/>
              </w:rPr>
              <w:t>排列名次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95" w:type="dxa"/>
            <w:vMerge w:val="continue"/>
            <w:vAlign w:val="center"/>
          </w:tcPr>
          <w:p>
            <w:pPr>
              <w:rPr>
                <w:rFonts w:ascii="宋体" w:hAnsi="宋体"/>
              </w:rPr>
            </w:pPr>
          </w:p>
        </w:tc>
        <w:tc>
          <w:tcPr>
            <w:tcW w:w="1556" w:type="dxa"/>
            <w:vMerge w:val="continue"/>
            <w:vAlign w:val="center"/>
          </w:tcPr>
          <w:p>
            <w:pPr>
              <w:rPr>
                <w:rFonts w:ascii="宋体" w:hAnsi="宋体"/>
              </w:rPr>
            </w:pPr>
          </w:p>
        </w:tc>
        <w:tc>
          <w:tcPr>
            <w:tcW w:w="1555" w:type="dxa"/>
            <w:vMerge w:val="continue"/>
            <w:vAlign w:val="center"/>
          </w:tcPr>
          <w:p>
            <w:pPr>
              <w:rPr>
                <w:rFonts w:ascii="宋体" w:hAnsi="宋体"/>
              </w:rPr>
            </w:pPr>
          </w:p>
        </w:tc>
        <w:tc>
          <w:tcPr>
            <w:tcW w:w="1555" w:type="dxa"/>
            <w:vMerge w:val="continue"/>
            <w:vAlign w:val="center"/>
          </w:tcPr>
          <w:p>
            <w:pPr>
              <w:rPr>
                <w:rFonts w:ascii="宋体" w:hAnsi="宋体"/>
              </w:rPr>
            </w:pPr>
          </w:p>
        </w:tc>
        <w:tc>
          <w:tcPr>
            <w:tcW w:w="567" w:type="dxa"/>
            <w:vAlign w:val="center"/>
          </w:tcPr>
          <w:p>
            <w:pPr>
              <w:jc w:val="center"/>
              <w:rPr>
                <w:rFonts w:ascii="宋体" w:hAnsi="宋体"/>
              </w:rPr>
            </w:pPr>
            <w:r>
              <w:rPr>
                <w:rFonts w:hint="eastAsia" w:ascii="宋体" w:hAnsi="宋体"/>
              </w:rPr>
              <w:t>1</w:t>
            </w:r>
          </w:p>
        </w:tc>
        <w:tc>
          <w:tcPr>
            <w:tcW w:w="567" w:type="dxa"/>
            <w:vAlign w:val="center"/>
          </w:tcPr>
          <w:p>
            <w:pPr>
              <w:jc w:val="center"/>
              <w:rPr>
                <w:rFonts w:ascii="宋体" w:hAnsi="宋体"/>
              </w:rPr>
            </w:pPr>
            <w:r>
              <w:rPr>
                <w:rFonts w:hint="eastAsia" w:ascii="宋体" w:hAnsi="宋体"/>
              </w:rPr>
              <w:t>2</w:t>
            </w:r>
          </w:p>
        </w:tc>
        <w:tc>
          <w:tcPr>
            <w:tcW w:w="567" w:type="dxa"/>
            <w:vAlign w:val="center"/>
          </w:tcPr>
          <w:p>
            <w:pPr>
              <w:jc w:val="center"/>
              <w:rPr>
                <w:rFonts w:ascii="宋体" w:hAnsi="宋体"/>
              </w:rPr>
            </w:pPr>
            <w:r>
              <w:rPr>
                <w:rFonts w:hint="eastAsia" w:ascii="宋体" w:hAnsi="宋体"/>
              </w:rPr>
              <w:t>3</w:t>
            </w:r>
          </w:p>
        </w:tc>
        <w:tc>
          <w:tcPr>
            <w:tcW w:w="574" w:type="dxa"/>
            <w:vAlign w:val="center"/>
          </w:tcPr>
          <w:p>
            <w:pPr>
              <w:jc w:val="center"/>
              <w:rPr>
                <w:rFonts w:ascii="宋体" w:hAnsi="宋体"/>
              </w:rPr>
            </w:pPr>
            <w:r>
              <w:rPr>
                <w:rFonts w:hint="eastAsia" w:ascii="宋体" w:hAnsi="宋体"/>
              </w:rPr>
              <w:t>4</w:t>
            </w:r>
          </w:p>
        </w:tc>
        <w:tc>
          <w:tcPr>
            <w:tcW w:w="1071" w:type="dxa"/>
            <w:vMerge w:val="continue"/>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95" w:type="dxa"/>
            <w:vAlign w:val="center"/>
          </w:tcPr>
          <w:p>
            <w:pPr>
              <w:jc w:val="center"/>
              <w:rPr>
                <w:rFonts w:ascii="宋体" w:hAnsi="宋体"/>
                <w:snapToGrid w:val="0"/>
                <w:kern w:val="0"/>
                <w:szCs w:val="21"/>
              </w:rPr>
            </w:pPr>
          </w:p>
        </w:tc>
        <w:tc>
          <w:tcPr>
            <w:tcW w:w="1556" w:type="dxa"/>
            <w:vAlign w:val="center"/>
          </w:tcPr>
          <w:p>
            <w:pPr>
              <w:jc w:val="center"/>
              <w:rPr>
                <w:rFonts w:ascii="宋体" w:hAnsi="宋体"/>
                <w:snapToGrid w:val="0"/>
                <w:kern w:val="0"/>
                <w:szCs w:val="21"/>
              </w:rPr>
            </w:pPr>
          </w:p>
        </w:tc>
        <w:tc>
          <w:tcPr>
            <w:tcW w:w="1555" w:type="dxa"/>
            <w:vAlign w:val="center"/>
          </w:tcPr>
          <w:p>
            <w:pPr>
              <w:jc w:val="center"/>
              <w:rPr>
                <w:rFonts w:ascii="宋体" w:hAnsi="宋体"/>
                <w:snapToGrid w:val="0"/>
                <w:kern w:val="0"/>
                <w:szCs w:val="21"/>
              </w:rPr>
            </w:pPr>
          </w:p>
        </w:tc>
        <w:tc>
          <w:tcPr>
            <w:tcW w:w="1555"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74" w:type="dxa"/>
            <w:vAlign w:val="center"/>
          </w:tcPr>
          <w:p>
            <w:pPr>
              <w:jc w:val="center"/>
              <w:rPr>
                <w:rFonts w:ascii="宋体" w:hAnsi="宋体"/>
                <w:snapToGrid w:val="0"/>
                <w:kern w:val="0"/>
                <w:szCs w:val="21"/>
              </w:rPr>
            </w:pPr>
          </w:p>
        </w:tc>
        <w:tc>
          <w:tcPr>
            <w:tcW w:w="1071" w:type="dxa"/>
            <w:vAlign w:val="center"/>
          </w:tcPr>
          <w:p>
            <w:pPr>
              <w:jc w:val="center"/>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95" w:type="dxa"/>
            <w:vAlign w:val="center"/>
          </w:tcPr>
          <w:p>
            <w:pPr>
              <w:jc w:val="center"/>
              <w:rPr>
                <w:rFonts w:ascii="宋体" w:hAnsi="宋体"/>
                <w:snapToGrid w:val="0"/>
                <w:kern w:val="0"/>
                <w:szCs w:val="21"/>
              </w:rPr>
            </w:pPr>
          </w:p>
        </w:tc>
        <w:tc>
          <w:tcPr>
            <w:tcW w:w="1556" w:type="dxa"/>
            <w:vAlign w:val="center"/>
          </w:tcPr>
          <w:p>
            <w:pPr>
              <w:jc w:val="center"/>
              <w:rPr>
                <w:rFonts w:ascii="宋体" w:hAnsi="宋体"/>
                <w:snapToGrid w:val="0"/>
                <w:kern w:val="0"/>
                <w:szCs w:val="21"/>
              </w:rPr>
            </w:pPr>
          </w:p>
        </w:tc>
        <w:tc>
          <w:tcPr>
            <w:tcW w:w="1555" w:type="dxa"/>
            <w:vAlign w:val="center"/>
          </w:tcPr>
          <w:p>
            <w:pPr>
              <w:jc w:val="center"/>
              <w:rPr>
                <w:rFonts w:ascii="宋体" w:hAnsi="宋体"/>
                <w:snapToGrid w:val="0"/>
                <w:kern w:val="0"/>
                <w:szCs w:val="21"/>
              </w:rPr>
            </w:pPr>
          </w:p>
        </w:tc>
        <w:tc>
          <w:tcPr>
            <w:tcW w:w="1555"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74" w:type="dxa"/>
            <w:vAlign w:val="center"/>
          </w:tcPr>
          <w:p>
            <w:pPr>
              <w:jc w:val="center"/>
              <w:rPr>
                <w:rFonts w:ascii="宋体" w:hAnsi="宋体"/>
                <w:snapToGrid w:val="0"/>
                <w:kern w:val="0"/>
                <w:szCs w:val="21"/>
              </w:rPr>
            </w:pPr>
          </w:p>
        </w:tc>
        <w:tc>
          <w:tcPr>
            <w:tcW w:w="1071" w:type="dxa"/>
            <w:vAlign w:val="center"/>
          </w:tcPr>
          <w:p>
            <w:pPr>
              <w:jc w:val="center"/>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95" w:type="dxa"/>
            <w:vAlign w:val="center"/>
          </w:tcPr>
          <w:p>
            <w:pPr>
              <w:jc w:val="center"/>
              <w:rPr>
                <w:rFonts w:ascii="宋体" w:hAnsi="宋体"/>
                <w:snapToGrid w:val="0"/>
                <w:kern w:val="0"/>
                <w:szCs w:val="21"/>
              </w:rPr>
            </w:pPr>
          </w:p>
        </w:tc>
        <w:tc>
          <w:tcPr>
            <w:tcW w:w="1556" w:type="dxa"/>
            <w:vAlign w:val="center"/>
          </w:tcPr>
          <w:p>
            <w:pPr>
              <w:jc w:val="center"/>
              <w:rPr>
                <w:rFonts w:ascii="宋体" w:hAnsi="宋体"/>
                <w:snapToGrid w:val="0"/>
                <w:kern w:val="0"/>
                <w:szCs w:val="21"/>
              </w:rPr>
            </w:pPr>
          </w:p>
        </w:tc>
        <w:tc>
          <w:tcPr>
            <w:tcW w:w="1555" w:type="dxa"/>
            <w:vAlign w:val="center"/>
          </w:tcPr>
          <w:p>
            <w:pPr>
              <w:jc w:val="center"/>
              <w:rPr>
                <w:rFonts w:ascii="宋体" w:hAnsi="宋体"/>
                <w:snapToGrid w:val="0"/>
                <w:kern w:val="0"/>
                <w:szCs w:val="21"/>
              </w:rPr>
            </w:pPr>
          </w:p>
        </w:tc>
        <w:tc>
          <w:tcPr>
            <w:tcW w:w="1555"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74" w:type="dxa"/>
            <w:vAlign w:val="center"/>
          </w:tcPr>
          <w:p>
            <w:pPr>
              <w:jc w:val="center"/>
              <w:rPr>
                <w:rFonts w:ascii="宋体" w:hAnsi="宋体"/>
                <w:snapToGrid w:val="0"/>
                <w:kern w:val="0"/>
                <w:szCs w:val="21"/>
              </w:rPr>
            </w:pPr>
          </w:p>
        </w:tc>
        <w:tc>
          <w:tcPr>
            <w:tcW w:w="1071" w:type="dxa"/>
            <w:vAlign w:val="center"/>
          </w:tcPr>
          <w:p>
            <w:pPr>
              <w:jc w:val="center"/>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95" w:type="dxa"/>
            <w:vAlign w:val="center"/>
          </w:tcPr>
          <w:p>
            <w:pPr>
              <w:jc w:val="center"/>
              <w:rPr>
                <w:rFonts w:ascii="宋体" w:hAnsi="宋体"/>
                <w:snapToGrid w:val="0"/>
                <w:kern w:val="0"/>
                <w:szCs w:val="21"/>
              </w:rPr>
            </w:pPr>
          </w:p>
        </w:tc>
        <w:tc>
          <w:tcPr>
            <w:tcW w:w="1556" w:type="dxa"/>
            <w:vAlign w:val="center"/>
          </w:tcPr>
          <w:p>
            <w:pPr>
              <w:jc w:val="center"/>
              <w:rPr>
                <w:rFonts w:ascii="宋体" w:hAnsi="宋体"/>
                <w:snapToGrid w:val="0"/>
                <w:kern w:val="0"/>
                <w:szCs w:val="21"/>
              </w:rPr>
            </w:pPr>
          </w:p>
        </w:tc>
        <w:tc>
          <w:tcPr>
            <w:tcW w:w="1555" w:type="dxa"/>
            <w:vAlign w:val="center"/>
          </w:tcPr>
          <w:p>
            <w:pPr>
              <w:jc w:val="center"/>
              <w:rPr>
                <w:rFonts w:ascii="宋体" w:hAnsi="宋体"/>
                <w:snapToGrid w:val="0"/>
                <w:kern w:val="0"/>
                <w:szCs w:val="21"/>
              </w:rPr>
            </w:pPr>
          </w:p>
        </w:tc>
        <w:tc>
          <w:tcPr>
            <w:tcW w:w="1555"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74" w:type="dxa"/>
            <w:vAlign w:val="center"/>
          </w:tcPr>
          <w:p>
            <w:pPr>
              <w:jc w:val="center"/>
              <w:rPr>
                <w:rFonts w:ascii="宋体" w:hAnsi="宋体"/>
                <w:snapToGrid w:val="0"/>
                <w:kern w:val="0"/>
                <w:szCs w:val="21"/>
              </w:rPr>
            </w:pPr>
          </w:p>
        </w:tc>
        <w:tc>
          <w:tcPr>
            <w:tcW w:w="1071" w:type="dxa"/>
            <w:vAlign w:val="center"/>
          </w:tcPr>
          <w:p>
            <w:pPr>
              <w:jc w:val="center"/>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95" w:type="dxa"/>
            <w:vAlign w:val="center"/>
          </w:tcPr>
          <w:p>
            <w:pPr>
              <w:jc w:val="center"/>
              <w:rPr>
                <w:rFonts w:ascii="宋体" w:hAnsi="宋体"/>
                <w:snapToGrid w:val="0"/>
                <w:kern w:val="0"/>
                <w:szCs w:val="21"/>
              </w:rPr>
            </w:pPr>
          </w:p>
        </w:tc>
        <w:tc>
          <w:tcPr>
            <w:tcW w:w="1556" w:type="dxa"/>
            <w:vAlign w:val="center"/>
          </w:tcPr>
          <w:p>
            <w:pPr>
              <w:jc w:val="center"/>
              <w:rPr>
                <w:rFonts w:ascii="宋体" w:hAnsi="宋体"/>
                <w:snapToGrid w:val="0"/>
                <w:kern w:val="0"/>
                <w:szCs w:val="21"/>
              </w:rPr>
            </w:pPr>
          </w:p>
        </w:tc>
        <w:tc>
          <w:tcPr>
            <w:tcW w:w="1555" w:type="dxa"/>
            <w:vAlign w:val="center"/>
          </w:tcPr>
          <w:p>
            <w:pPr>
              <w:jc w:val="center"/>
              <w:rPr>
                <w:rFonts w:ascii="宋体" w:hAnsi="宋体"/>
                <w:snapToGrid w:val="0"/>
                <w:kern w:val="0"/>
                <w:szCs w:val="21"/>
              </w:rPr>
            </w:pPr>
          </w:p>
        </w:tc>
        <w:tc>
          <w:tcPr>
            <w:tcW w:w="1555"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74" w:type="dxa"/>
            <w:vAlign w:val="center"/>
          </w:tcPr>
          <w:p>
            <w:pPr>
              <w:jc w:val="center"/>
              <w:rPr>
                <w:rFonts w:ascii="宋体" w:hAnsi="宋体"/>
                <w:snapToGrid w:val="0"/>
                <w:kern w:val="0"/>
                <w:szCs w:val="21"/>
              </w:rPr>
            </w:pPr>
          </w:p>
        </w:tc>
        <w:tc>
          <w:tcPr>
            <w:tcW w:w="1071" w:type="dxa"/>
            <w:vAlign w:val="center"/>
          </w:tcPr>
          <w:p>
            <w:pPr>
              <w:jc w:val="center"/>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95" w:type="dxa"/>
            <w:vAlign w:val="center"/>
          </w:tcPr>
          <w:p>
            <w:pPr>
              <w:jc w:val="center"/>
              <w:rPr>
                <w:rFonts w:ascii="宋体" w:hAnsi="宋体"/>
                <w:snapToGrid w:val="0"/>
                <w:kern w:val="0"/>
                <w:szCs w:val="21"/>
              </w:rPr>
            </w:pPr>
          </w:p>
        </w:tc>
        <w:tc>
          <w:tcPr>
            <w:tcW w:w="1556" w:type="dxa"/>
            <w:vAlign w:val="center"/>
          </w:tcPr>
          <w:p>
            <w:pPr>
              <w:jc w:val="center"/>
              <w:rPr>
                <w:rFonts w:ascii="宋体" w:hAnsi="宋体"/>
                <w:snapToGrid w:val="0"/>
                <w:kern w:val="0"/>
                <w:szCs w:val="21"/>
              </w:rPr>
            </w:pPr>
          </w:p>
        </w:tc>
        <w:tc>
          <w:tcPr>
            <w:tcW w:w="1555" w:type="dxa"/>
            <w:vAlign w:val="center"/>
          </w:tcPr>
          <w:p>
            <w:pPr>
              <w:jc w:val="center"/>
              <w:rPr>
                <w:rFonts w:ascii="宋体" w:hAnsi="宋体"/>
                <w:snapToGrid w:val="0"/>
                <w:kern w:val="0"/>
                <w:szCs w:val="21"/>
              </w:rPr>
            </w:pPr>
          </w:p>
        </w:tc>
        <w:tc>
          <w:tcPr>
            <w:tcW w:w="1555"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74" w:type="dxa"/>
            <w:vAlign w:val="center"/>
          </w:tcPr>
          <w:p>
            <w:pPr>
              <w:jc w:val="center"/>
              <w:rPr>
                <w:rFonts w:ascii="宋体" w:hAnsi="宋体"/>
                <w:snapToGrid w:val="0"/>
                <w:kern w:val="0"/>
                <w:szCs w:val="21"/>
              </w:rPr>
            </w:pPr>
          </w:p>
        </w:tc>
        <w:tc>
          <w:tcPr>
            <w:tcW w:w="1071" w:type="dxa"/>
            <w:vAlign w:val="center"/>
          </w:tcPr>
          <w:p>
            <w:pPr>
              <w:jc w:val="center"/>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95" w:type="dxa"/>
            <w:vAlign w:val="center"/>
          </w:tcPr>
          <w:p>
            <w:pPr>
              <w:jc w:val="center"/>
              <w:rPr>
                <w:rFonts w:ascii="宋体" w:hAnsi="宋体"/>
                <w:snapToGrid w:val="0"/>
                <w:kern w:val="0"/>
                <w:szCs w:val="21"/>
              </w:rPr>
            </w:pPr>
          </w:p>
        </w:tc>
        <w:tc>
          <w:tcPr>
            <w:tcW w:w="1556" w:type="dxa"/>
            <w:vAlign w:val="center"/>
          </w:tcPr>
          <w:p>
            <w:pPr>
              <w:jc w:val="center"/>
              <w:rPr>
                <w:rFonts w:ascii="宋体" w:hAnsi="宋体"/>
                <w:snapToGrid w:val="0"/>
                <w:kern w:val="0"/>
                <w:szCs w:val="21"/>
              </w:rPr>
            </w:pPr>
          </w:p>
        </w:tc>
        <w:tc>
          <w:tcPr>
            <w:tcW w:w="1555" w:type="dxa"/>
            <w:vAlign w:val="center"/>
          </w:tcPr>
          <w:p>
            <w:pPr>
              <w:jc w:val="center"/>
              <w:rPr>
                <w:rFonts w:ascii="宋体" w:hAnsi="宋体"/>
                <w:snapToGrid w:val="0"/>
                <w:kern w:val="0"/>
                <w:szCs w:val="21"/>
              </w:rPr>
            </w:pPr>
          </w:p>
        </w:tc>
        <w:tc>
          <w:tcPr>
            <w:tcW w:w="1555"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67" w:type="dxa"/>
            <w:vAlign w:val="center"/>
          </w:tcPr>
          <w:p>
            <w:pPr>
              <w:jc w:val="center"/>
              <w:rPr>
                <w:rFonts w:ascii="宋体" w:hAnsi="宋体"/>
                <w:snapToGrid w:val="0"/>
                <w:kern w:val="0"/>
                <w:szCs w:val="21"/>
              </w:rPr>
            </w:pPr>
          </w:p>
        </w:tc>
        <w:tc>
          <w:tcPr>
            <w:tcW w:w="574" w:type="dxa"/>
            <w:vAlign w:val="center"/>
          </w:tcPr>
          <w:p>
            <w:pPr>
              <w:jc w:val="center"/>
              <w:rPr>
                <w:rFonts w:ascii="宋体" w:hAnsi="宋体"/>
                <w:snapToGrid w:val="0"/>
                <w:kern w:val="0"/>
                <w:szCs w:val="21"/>
              </w:rPr>
            </w:pPr>
          </w:p>
        </w:tc>
        <w:tc>
          <w:tcPr>
            <w:tcW w:w="1071" w:type="dxa"/>
            <w:vAlign w:val="center"/>
          </w:tcPr>
          <w:p>
            <w:pPr>
              <w:jc w:val="center"/>
              <w:rPr>
                <w:rFonts w:ascii="宋体" w:hAnsi="宋体"/>
                <w:snapToGrid w:val="0"/>
                <w:kern w:val="0"/>
                <w:szCs w:val="21"/>
              </w:rPr>
            </w:pPr>
          </w:p>
        </w:tc>
      </w:tr>
    </w:tbl>
    <w:p>
      <w:pPr>
        <w:rPr>
          <w:rFonts w:ascii="宋体" w:hAnsi="宋体"/>
        </w:rPr>
      </w:pPr>
      <w:r>
        <w:rPr>
          <w:rFonts w:hint="eastAsia" w:ascii="宋体" w:hAnsi="宋体"/>
        </w:rPr>
        <w:t xml:space="preserve"> 定标委员会全体成员签名：</w:t>
      </w:r>
    </w:p>
    <w:p>
      <w:pPr>
        <w:pStyle w:val="33"/>
        <w:snapToGrid w:val="0"/>
        <w:spacing w:before="0" w:beforeAutospacing="0" w:after="0" w:afterAutospacing="0" w:line="360" w:lineRule="auto"/>
        <w:ind w:firstLine="426" w:firstLineChars="202"/>
        <w:rPr>
          <w:rFonts w:hAnsi="宋体"/>
          <w:b/>
          <w:sz w:val="21"/>
          <w:szCs w:val="21"/>
          <w:shd w:val="clear" w:color="auto" w:fill="FFFFFF"/>
        </w:rPr>
      </w:pPr>
    </w:p>
    <w:p>
      <w:pPr>
        <w:pStyle w:val="3"/>
        <w:rPr>
          <w:rFonts w:ascii="宋体" w:hAnsi="宋体"/>
          <w:sz w:val="21"/>
          <w:szCs w:val="21"/>
        </w:rPr>
      </w:pPr>
      <w:r>
        <w:rPr>
          <w:rFonts w:hAnsi="宋体"/>
          <w:b w:val="0"/>
          <w:szCs w:val="21"/>
          <w:shd w:val="clear" w:color="auto" w:fill="FFFFFF"/>
        </w:rPr>
        <w:br w:type="page"/>
      </w:r>
      <w:bookmarkStart w:id="66" w:name="_Toc23356"/>
      <w:bookmarkStart w:id="67" w:name="_Toc31078"/>
      <w:bookmarkStart w:id="68" w:name="_Toc9509"/>
      <w:r>
        <w:rPr>
          <w:rFonts w:hint="eastAsia" w:ascii="宋体" w:hAnsi="宋体"/>
          <w:sz w:val="21"/>
          <w:szCs w:val="21"/>
        </w:rPr>
        <w:t>附录1</w:t>
      </w:r>
      <w:r>
        <w:rPr>
          <w:rFonts w:hint="eastAsia" w:ascii="宋体" w:hAnsi="宋体"/>
          <w:sz w:val="21"/>
          <w:szCs w:val="21"/>
          <w:lang w:val="en-US" w:eastAsia="zh-CN"/>
        </w:rPr>
        <w:t>8</w:t>
      </w:r>
      <w:r>
        <w:rPr>
          <w:rFonts w:hint="eastAsia" w:ascii="宋体" w:hAnsi="宋体"/>
          <w:sz w:val="21"/>
          <w:szCs w:val="21"/>
        </w:rPr>
        <w:t xml:space="preserve"> 法定代表人证明书</w:t>
      </w:r>
      <w:bookmarkEnd w:id="66"/>
      <w:bookmarkEnd w:id="67"/>
      <w:bookmarkEnd w:id="68"/>
    </w:p>
    <w:p>
      <w:pPr>
        <w:jc w:val="center"/>
        <w:rPr>
          <w:rFonts w:ascii="宋体" w:hAnsi="宋体" w:cs="宋体"/>
          <w:b/>
          <w:sz w:val="36"/>
          <w:szCs w:val="36"/>
        </w:rPr>
      </w:pPr>
      <w:r>
        <w:rPr>
          <w:rFonts w:hint="eastAsia" w:ascii="宋体" w:hAnsi="宋体" w:cs="宋体"/>
          <w:b/>
          <w:sz w:val="36"/>
          <w:szCs w:val="36"/>
        </w:rPr>
        <w:t xml:space="preserve"> </w:t>
      </w:r>
    </w:p>
    <w:p>
      <w:pPr>
        <w:jc w:val="center"/>
        <w:rPr>
          <w:rFonts w:ascii="宋体" w:hAnsi="宋体" w:cs="宋体"/>
          <w:b/>
          <w:sz w:val="36"/>
          <w:szCs w:val="36"/>
        </w:rPr>
      </w:pPr>
      <w:r>
        <w:rPr>
          <w:rFonts w:hint="eastAsia" w:ascii="宋体" w:hAnsi="宋体" w:cs="宋体"/>
          <w:b/>
          <w:sz w:val="36"/>
          <w:szCs w:val="36"/>
        </w:rPr>
        <w:t>法定代表人证明书</w:t>
      </w:r>
    </w:p>
    <w:p>
      <w:pPr>
        <w:tabs>
          <w:tab w:val="left" w:pos="1800"/>
        </w:tabs>
        <w:spacing w:line="480" w:lineRule="auto"/>
        <w:ind w:firstLine="480" w:firstLineChars="200"/>
        <w:rPr>
          <w:rFonts w:ascii="宋体" w:hAnsi="宋体" w:cs="宋体"/>
          <w:sz w:val="24"/>
          <w:u w:val="single"/>
        </w:rPr>
      </w:pPr>
      <w:r>
        <w:rPr>
          <w:rFonts w:hint="eastAsia" w:ascii="宋体" w:hAnsi="宋体" w:cs="宋体"/>
          <w:sz w:val="24"/>
        </w:rPr>
        <w:t>单位名称：</w:t>
      </w:r>
      <w:r>
        <w:rPr>
          <w:rFonts w:hint="eastAsia" w:ascii="宋体" w:hAnsi="宋体" w:cs="宋体"/>
          <w:sz w:val="24"/>
          <w:u w:val="single"/>
        </w:rPr>
        <w:t xml:space="preserve">                                                       </w:t>
      </w:r>
    </w:p>
    <w:p>
      <w:pPr>
        <w:tabs>
          <w:tab w:val="left" w:pos="1800"/>
        </w:tabs>
        <w:spacing w:line="48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tabs>
          <w:tab w:val="left" w:pos="1800"/>
        </w:tabs>
        <w:spacing w:line="480" w:lineRule="auto"/>
        <w:ind w:firstLine="480" w:firstLineChars="200"/>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 xml:space="preserve"> </w:t>
      </w:r>
    </w:p>
    <w:p>
      <w:pPr>
        <w:tabs>
          <w:tab w:val="left" w:pos="1800"/>
        </w:tabs>
        <w:spacing w:line="480" w:lineRule="auto"/>
        <w:ind w:firstLine="480" w:firstLineChars="200"/>
        <w:rPr>
          <w:rFonts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的法定代表人。</w:t>
      </w:r>
    </w:p>
    <w:p>
      <w:pPr>
        <w:tabs>
          <w:tab w:val="left" w:pos="1800"/>
        </w:tabs>
        <w:spacing w:line="360" w:lineRule="auto"/>
        <w:ind w:firstLine="480" w:firstLineChars="200"/>
        <w:rPr>
          <w:rFonts w:ascii="宋体" w:hAnsi="宋体" w:cs="宋体"/>
          <w:sz w:val="24"/>
        </w:rPr>
      </w:pPr>
    </w:p>
    <w:p>
      <w:pPr>
        <w:tabs>
          <w:tab w:val="left" w:pos="1800"/>
        </w:tabs>
        <w:spacing w:line="360" w:lineRule="auto"/>
        <w:ind w:firstLine="480" w:firstLineChars="200"/>
        <w:rPr>
          <w:rFonts w:ascii="宋体" w:hAnsi="宋体" w:cs="宋体"/>
          <w:sz w:val="24"/>
        </w:rPr>
      </w:pPr>
      <w:r>
        <w:rPr>
          <w:rFonts w:hint="eastAsia" w:ascii="宋体" w:hAnsi="宋体" w:cs="宋体"/>
          <w:sz w:val="24"/>
        </w:rPr>
        <w:t xml:space="preserve">特此证明。        </w:t>
      </w:r>
    </w:p>
    <w:p>
      <w:pPr>
        <w:tabs>
          <w:tab w:val="left" w:pos="1800"/>
        </w:tabs>
        <w:spacing w:line="360" w:lineRule="auto"/>
        <w:ind w:firstLine="420" w:firstLineChars="200"/>
        <w:rPr>
          <w:rFonts w:ascii="宋体" w:hAnsi="宋体" w:cs="宋体"/>
        </w:rPr>
      </w:pPr>
    </w:p>
    <w:p>
      <w:pPr>
        <w:pStyle w:val="21"/>
        <w:spacing w:line="480" w:lineRule="auto"/>
        <w:rPr>
          <w:rFonts w:ascii="等线" w:hAnsi="等线" w:eastAsia="等线"/>
          <w:sz w:val="24"/>
        </w:rPr>
      </w:pPr>
    </w:p>
    <w:p>
      <w:pPr>
        <w:tabs>
          <w:tab w:val="left" w:pos="1800"/>
        </w:tabs>
        <w:spacing w:line="480" w:lineRule="auto"/>
        <w:ind w:firstLine="480" w:firstLineChars="200"/>
        <w:jc w:val="center"/>
        <w:rPr>
          <w:rFonts w:ascii="宋体" w:hAnsi="宋体" w:cs="宋体"/>
          <w:sz w:val="24"/>
          <w:u w:val="single"/>
        </w:rPr>
      </w:pPr>
      <w:r>
        <w:rPr>
          <w:rFonts w:hint="eastAsia" w:ascii="宋体" w:hAnsi="宋体" w:cs="宋体"/>
          <w:sz w:val="24"/>
        </w:rPr>
        <w:t xml:space="preserve">              投标人（盖章）：</w:t>
      </w:r>
      <w:r>
        <w:rPr>
          <w:rFonts w:hint="eastAsia" w:ascii="宋体" w:hAnsi="宋体" w:cs="宋体"/>
          <w:sz w:val="24"/>
          <w:u w:val="single"/>
        </w:rPr>
        <w:t xml:space="preserve">                   </w:t>
      </w:r>
    </w:p>
    <w:p>
      <w:pPr>
        <w:pStyle w:val="21"/>
        <w:tabs>
          <w:tab w:val="left" w:pos="540"/>
        </w:tabs>
        <w:spacing w:line="480" w:lineRule="auto"/>
        <w:ind w:firstLine="480" w:firstLineChars="200"/>
        <w:jc w:val="right"/>
        <w:rPr>
          <w:rFonts w:ascii="等线" w:hAnsi="等线" w:eastAsia="等线"/>
          <w:sz w:val="24"/>
          <w:szCs w:val="24"/>
          <w:u w:val="single"/>
        </w:rPr>
      </w:pPr>
      <w:r>
        <w:rPr>
          <w:rFonts w:hint="eastAsia" w:hAnsi="宋体" w:cs="宋体"/>
          <w:sz w:val="24"/>
          <w:szCs w:val="24"/>
        </w:rPr>
        <w:t>日    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rPr>
          <w:rFonts w:ascii="等线" w:hAnsi="等线" w:eastAsia="等线"/>
          <w:sz w:val="28"/>
          <w:szCs w:val="28"/>
        </w:rPr>
      </w:pPr>
    </w:p>
    <w:p>
      <w:pPr>
        <w:spacing w:line="360" w:lineRule="auto"/>
        <w:rPr>
          <w:rFonts w:ascii="等线" w:hAnsi="等线" w:eastAsia="等线"/>
          <w:b/>
          <w:sz w:val="36"/>
          <w:szCs w:val="36"/>
        </w:rPr>
      </w:pPr>
      <w:r>
        <w:rPr>
          <w:rFonts w:ascii="等线" w:hAnsi="等线" w:eastAsia="等线"/>
          <w:b/>
          <w:sz w:val="36"/>
          <w:szCs w:val="36"/>
        </w:rPr>
        <w:br w:type="page"/>
      </w:r>
      <w:bookmarkStart w:id="69" w:name="_Toc24460"/>
    </w:p>
    <w:p>
      <w:pPr>
        <w:outlineLvl w:val="0"/>
        <w:rPr>
          <w:rFonts w:ascii="宋体" w:hAnsi="宋体" w:cs="宋体"/>
          <w:b/>
          <w:kern w:val="0"/>
          <w:sz w:val="24"/>
          <w:shd w:val="clear" w:color="auto" w:fill="FFFFFF"/>
        </w:rPr>
      </w:pPr>
      <w:bookmarkStart w:id="70" w:name="_Toc13040"/>
      <w:bookmarkStart w:id="71" w:name="_Toc28458"/>
      <w:r>
        <w:rPr>
          <w:rFonts w:hint="eastAsia" w:ascii="宋体" w:hAnsi="宋体"/>
          <w:b/>
          <w:bCs/>
          <w:kern w:val="44"/>
          <w:szCs w:val="21"/>
        </w:rPr>
        <w:t>附录1</w:t>
      </w:r>
      <w:r>
        <w:rPr>
          <w:rFonts w:hint="eastAsia" w:ascii="宋体" w:hAnsi="宋体"/>
          <w:b/>
          <w:bCs/>
          <w:kern w:val="44"/>
          <w:szCs w:val="21"/>
          <w:lang w:val="en-US" w:eastAsia="zh-CN"/>
        </w:rPr>
        <w:t>9</w:t>
      </w:r>
      <w:r>
        <w:rPr>
          <w:rFonts w:hint="eastAsia" w:ascii="宋体" w:hAnsi="宋体"/>
          <w:b/>
          <w:bCs/>
          <w:kern w:val="44"/>
          <w:szCs w:val="21"/>
        </w:rPr>
        <w:t>授权委托书</w:t>
      </w:r>
      <w:bookmarkEnd w:id="69"/>
      <w:bookmarkEnd w:id="70"/>
      <w:bookmarkEnd w:id="71"/>
    </w:p>
    <w:p>
      <w:pPr>
        <w:rPr>
          <w:rFonts w:ascii="等线" w:hAnsi="等线" w:eastAsia="等线"/>
          <w:b/>
          <w:sz w:val="36"/>
          <w:szCs w:val="36"/>
        </w:rPr>
      </w:pPr>
    </w:p>
    <w:p>
      <w:pPr>
        <w:jc w:val="center"/>
        <w:rPr>
          <w:rFonts w:ascii="宋体" w:hAnsi="宋体" w:cs="宋体"/>
          <w:b/>
          <w:sz w:val="36"/>
          <w:szCs w:val="36"/>
        </w:rPr>
      </w:pPr>
      <w:r>
        <w:rPr>
          <w:rFonts w:hint="eastAsia" w:ascii="宋体" w:hAnsi="宋体" w:cs="宋体"/>
          <w:b/>
          <w:sz w:val="36"/>
          <w:szCs w:val="36"/>
        </w:rPr>
        <w:t xml:space="preserve">  授权委托书</w:t>
      </w:r>
    </w:p>
    <w:p>
      <w:pPr>
        <w:spacing w:line="480" w:lineRule="auto"/>
        <w:jc w:val="left"/>
        <w:rPr>
          <w:rFonts w:ascii="宋体" w:hAnsi="宋体" w:cs="宋体"/>
          <w:sz w:val="24"/>
          <w:u w:val="single"/>
        </w:rPr>
      </w:pPr>
      <w:r>
        <w:rPr>
          <w:rFonts w:hint="eastAsia" w:ascii="宋体" w:hAnsi="宋体" w:cs="宋体"/>
          <w:sz w:val="24"/>
        </w:rPr>
        <w:t>致：招标人</w:t>
      </w:r>
      <w:r>
        <w:rPr>
          <w:rFonts w:hint="eastAsia" w:ascii="宋体" w:hAnsi="宋体" w:cs="宋体"/>
          <w:sz w:val="24"/>
          <w:u w:val="single"/>
        </w:rPr>
        <w:t xml:space="preserve"> </w:t>
      </w:r>
    </w:p>
    <w:p>
      <w:pPr>
        <w:tabs>
          <w:tab w:val="left" w:pos="1800"/>
          <w:tab w:val="left" w:pos="4860"/>
        </w:tabs>
        <w:spacing w:line="480" w:lineRule="auto"/>
        <w:ind w:firstLine="480" w:firstLineChars="200"/>
        <w:rPr>
          <w:rFonts w:ascii="宋体" w:hAnsi="宋体" w:cs="宋体"/>
          <w:sz w:val="24"/>
        </w:rPr>
      </w:pPr>
      <w:r>
        <w:rPr>
          <w:rFonts w:hint="eastAsia" w:ascii="宋体" w:hAnsi="宋体" w:cs="宋体"/>
          <w:sz w:val="24"/>
        </w:rPr>
        <w:t>本授权书宣告：</w:t>
      </w:r>
      <w:r>
        <w:rPr>
          <w:rFonts w:hint="eastAsia" w:ascii="宋体" w:hAnsi="宋体" w:cs="宋体"/>
          <w:sz w:val="24"/>
          <w:u w:val="single"/>
        </w:rPr>
        <w:t xml:space="preserve">(投标申请人) (单位法人职务) (姓名) </w:t>
      </w:r>
      <w:r>
        <w:rPr>
          <w:rFonts w:hint="eastAsia" w:ascii="宋体" w:hAnsi="宋体" w:cs="宋体"/>
          <w:sz w:val="24"/>
        </w:rPr>
        <w:t>合法地代表我单位，授权</w:t>
      </w:r>
      <w:r>
        <w:rPr>
          <w:rFonts w:hint="eastAsia" w:ascii="宋体" w:hAnsi="宋体" w:cs="宋体"/>
          <w:sz w:val="24"/>
          <w:u w:val="single"/>
        </w:rPr>
        <w:t>(被授权人所在单位详细名称)</w:t>
      </w:r>
      <w:r>
        <w:rPr>
          <w:rFonts w:hint="eastAsia" w:ascii="宋体" w:hAnsi="宋体" w:cs="宋体"/>
          <w:sz w:val="24"/>
        </w:rPr>
        <w:t xml:space="preserve"> 的 </w:t>
      </w:r>
      <w:r>
        <w:rPr>
          <w:rFonts w:hint="eastAsia" w:ascii="宋体" w:hAnsi="宋体" w:cs="宋体"/>
          <w:sz w:val="24"/>
          <w:u w:val="single"/>
        </w:rPr>
        <w:t xml:space="preserve">(被授权人职务) (姓名) </w:t>
      </w:r>
      <w:r>
        <w:rPr>
          <w:rFonts w:hint="eastAsia" w:ascii="宋体" w:hAnsi="宋体" w:cs="宋体"/>
          <w:sz w:val="24"/>
        </w:rPr>
        <w:t>为我单位代理人，该代理人有权在</w:t>
      </w:r>
      <w:r>
        <w:rPr>
          <w:rFonts w:hint="eastAsia" w:ascii="宋体" w:hAnsi="宋体" w:cs="宋体"/>
          <w:sz w:val="24"/>
          <w:u w:val="single"/>
        </w:rPr>
        <w:t xml:space="preserve">     </w:t>
      </w:r>
      <w:r>
        <w:rPr>
          <w:rFonts w:hint="eastAsia" w:ascii="宋体" w:hAnsi="宋体"/>
          <w:sz w:val="24"/>
          <w:u w:val="single"/>
        </w:rPr>
        <w:t xml:space="preserve">项目名称    </w:t>
      </w:r>
      <w:r>
        <w:rPr>
          <w:rFonts w:hint="eastAsia" w:ascii="宋体" w:hAnsi="宋体" w:cs="宋体"/>
          <w:sz w:val="24"/>
        </w:rPr>
        <w:t>的投标活动中，以我单位的名义签署投标书和投标文件，与招标人(或业主)协商，签订合同书以及执行一切与此有关的事项。</w:t>
      </w:r>
    </w:p>
    <w:p>
      <w:pPr>
        <w:rPr>
          <w:rFonts w:ascii="宋体" w:hAnsi="宋体" w:cs="宋体"/>
          <w:sz w:val="24"/>
        </w:rPr>
      </w:pPr>
    </w:p>
    <w:p>
      <w:pPr>
        <w:rPr>
          <w:rFonts w:ascii="宋体" w:hAnsi="宋体" w:cs="宋体"/>
          <w:sz w:val="24"/>
        </w:rPr>
      </w:pPr>
    </w:p>
    <w:p>
      <w:pPr>
        <w:rPr>
          <w:rFonts w:ascii="宋体" w:hAnsi="宋体" w:cs="宋体"/>
          <w:sz w:val="24"/>
        </w:rPr>
      </w:pPr>
    </w:p>
    <w:tbl>
      <w:tblPr>
        <w:tblStyle w:val="38"/>
        <w:tblW w:w="0" w:type="auto"/>
        <w:tblInd w:w="3108" w:type="dxa"/>
        <w:tblLayout w:type="fixed"/>
        <w:tblCellMar>
          <w:top w:w="0" w:type="dxa"/>
          <w:left w:w="108" w:type="dxa"/>
          <w:bottom w:w="0" w:type="dxa"/>
          <w:right w:w="108" w:type="dxa"/>
        </w:tblCellMar>
      </w:tblPr>
      <w:tblGrid>
        <w:gridCol w:w="2040"/>
        <w:gridCol w:w="3952"/>
      </w:tblGrid>
      <w:tr>
        <w:tblPrEx>
          <w:tblCellMar>
            <w:top w:w="0" w:type="dxa"/>
            <w:left w:w="108" w:type="dxa"/>
            <w:bottom w:w="0" w:type="dxa"/>
            <w:right w:w="108" w:type="dxa"/>
          </w:tblCellMar>
        </w:tblPrEx>
        <w:trPr>
          <w:trHeight w:val="923" w:hRule="atLeast"/>
        </w:trPr>
        <w:tc>
          <w:tcPr>
            <w:tcW w:w="2040" w:type="dxa"/>
            <w:vAlign w:val="bottom"/>
          </w:tcPr>
          <w:p>
            <w:pPr>
              <w:spacing w:line="0" w:lineRule="atLeast"/>
              <w:rPr>
                <w:rFonts w:ascii="宋体" w:hAnsi="宋体" w:cs="宋体"/>
                <w:sz w:val="24"/>
              </w:rPr>
            </w:pPr>
            <w:r>
              <w:rPr>
                <w:rFonts w:hint="eastAsia" w:ascii="宋体" w:hAnsi="宋体" w:cs="宋体"/>
                <w:sz w:val="24"/>
              </w:rPr>
              <w:t>投    标    人：</w:t>
            </w:r>
          </w:p>
        </w:tc>
        <w:tc>
          <w:tcPr>
            <w:tcW w:w="3952" w:type="dxa"/>
            <w:vAlign w:val="bottom"/>
          </w:tcPr>
          <w:p>
            <w:pPr>
              <w:spacing w:line="0" w:lineRule="atLeast"/>
              <w:rPr>
                <w:rFonts w:ascii="宋体" w:hAnsi="宋体" w:cs="宋体"/>
                <w:sz w:val="24"/>
                <w:u w:val="single"/>
              </w:rPr>
            </w:pPr>
            <w:r>
              <w:rPr>
                <w:rFonts w:hint="eastAsia" w:ascii="宋体" w:hAnsi="宋体" w:cs="宋体"/>
                <w:sz w:val="24"/>
                <w:u w:val="single"/>
              </w:rPr>
              <w:t xml:space="preserve">        (全称)  (盖章)     </w:t>
            </w:r>
          </w:p>
        </w:tc>
      </w:tr>
      <w:tr>
        <w:tblPrEx>
          <w:tblCellMar>
            <w:top w:w="0" w:type="dxa"/>
            <w:left w:w="108" w:type="dxa"/>
            <w:bottom w:w="0" w:type="dxa"/>
            <w:right w:w="108" w:type="dxa"/>
          </w:tblCellMar>
        </w:tblPrEx>
        <w:trPr>
          <w:trHeight w:val="828" w:hRule="atLeast"/>
        </w:trPr>
        <w:tc>
          <w:tcPr>
            <w:tcW w:w="2040" w:type="dxa"/>
            <w:vAlign w:val="bottom"/>
          </w:tcPr>
          <w:p>
            <w:pPr>
              <w:spacing w:line="0" w:lineRule="atLeast"/>
              <w:rPr>
                <w:rFonts w:ascii="宋体" w:hAnsi="宋体" w:cs="宋体"/>
                <w:sz w:val="24"/>
              </w:rPr>
            </w:pPr>
            <w:r>
              <w:rPr>
                <w:rFonts w:hint="eastAsia" w:ascii="宋体" w:hAnsi="宋体" w:cs="宋体"/>
                <w:sz w:val="24"/>
              </w:rPr>
              <w:t>法 定 代 表 人：</w:t>
            </w:r>
          </w:p>
        </w:tc>
        <w:tc>
          <w:tcPr>
            <w:tcW w:w="3952" w:type="dxa"/>
            <w:vAlign w:val="bottom"/>
          </w:tcPr>
          <w:p>
            <w:pPr>
              <w:spacing w:line="0" w:lineRule="atLeast"/>
              <w:rPr>
                <w:rFonts w:ascii="宋体" w:hAnsi="宋体" w:cs="宋体"/>
                <w:sz w:val="24"/>
                <w:u w:val="single"/>
              </w:rPr>
            </w:pPr>
            <w:r>
              <w:rPr>
                <w:rFonts w:hint="eastAsia" w:ascii="宋体" w:hAnsi="宋体" w:cs="宋体"/>
                <w:sz w:val="24"/>
                <w:u w:val="single"/>
              </w:rPr>
              <w:t xml:space="preserve">          (</w:t>
            </w:r>
            <w:r>
              <w:rPr>
                <w:rFonts w:hint="eastAsia" w:hAnsi="宋体"/>
                <w:sz w:val="24"/>
                <w:u w:val="single"/>
              </w:rPr>
              <w:t>签字或盖章</w:t>
            </w:r>
            <w:r>
              <w:rPr>
                <w:rFonts w:hint="eastAsia" w:ascii="宋体" w:hAnsi="宋体" w:cs="宋体"/>
                <w:sz w:val="24"/>
                <w:u w:val="single"/>
              </w:rPr>
              <w:t xml:space="preserve">)        </w:t>
            </w:r>
          </w:p>
        </w:tc>
      </w:tr>
      <w:tr>
        <w:tblPrEx>
          <w:tblCellMar>
            <w:top w:w="0" w:type="dxa"/>
            <w:left w:w="108" w:type="dxa"/>
            <w:bottom w:w="0" w:type="dxa"/>
            <w:right w:w="108" w:type="dxa"/>
          </w:tblCellMar>
        </w:tblPrEx>
        <w:trPr>
          <w:trHeight w:val="980" w:hRule="atLeast"/>
        </w:trPr>
        <w:tc>
          <w:tcPr>
            <w:tcW w:w="2040" w:type="dxa"/>
            <w:vAlign w:val="bottom"/>
          </w:tcPr>
          <w:p>
            <w:pPr>
              <w:spacing w:line="0" w:lineRule="atLeast"/>
              <w:rPr>
                <w:rFonts w:ascii="宋体" w:hAnsi="宋体" w:cs="宋体"/>
                <w:sz w:val="24"/>
              </w:rPr>
            </w:pPr>
            <w:r>
              <w:rPr>
                <w:rFonts w:hint="eastAsia" w:ascii="宋体" w:hAnsi="宋体" w:cs="宋体"/>
                <w:sz w:val="24"/>
              </w:rPr>
              <w:t>被授权的代理人：</w:t>
            </w:r>
          </w:p>
        </w:tc>
        <w:tc>
          <w:tcPr>
            <w:tcW w:w="3952" w:type="dxa"/>
            <w:vAlign w:val="bottom"/>
          </w:tcPr>
          <w:p>
            <w:pPr>
              <w:spacing w:line="0" w:lineRule="atLeast"/>
              <w:rPr>
                <w:rFonts w:ascii="宋体" w:hAnsi="宋体" w:cs="宋体"/>
                <w:sz w:val="24"/>
                <w:u w:val="single"/>
              </w:rPr>
            </w:pPr>
            <w:r>
              <w:rPr>
                <w:rFonts w:hint="eastAsia" w:ascii="宋体" w:hAnsi="宋体" w:cs="宋体"/>
                <w:sz w:val="24"/>
                <w:u w:val="single"/>
              </w:rPr>
              <w:t xml:space="preserve">          (</w:t>
            </w:r>
            <w:r>
              <w:rPr>
                <w:rFonts w:hint="eastAsia" w:hAnsi="宋体"/>
                <w:sz w:val="24"/>
                <w:u w:val="single"/>
              </w:rPr>
              <w:t>签字或盖章</w:t>
            </w:r>
            <w:r>
              <w:rPr>
                <w:rFonts w:hint="eastAsia" w:ascii="宋体" w:hAnsi="宋体" w:cs="宋体"/>
                <w:sz w:val="24"/>
                <w:u w:val="single"/>
              </w:rPr>
              <w:t xml:space="preserve">)        </w:t>
            </w:r>
          </w:p>
        </w:tc>
      </w:tr>
      <w:tr>
        <w:tblPrEx>
          <w:tblCellMar>
            <w:top w:w="0" w:type="dxa"/>
            <w:left w:w="108" w:type="dxa"/>
            <w:bottom w:w="0" w:type="dxa"/>
            <w:right w:w="108" w:type="dxa"/>
          </w:tblCellMar>
        </w:tblPrEx>
        <w:trPr>
          <w:trHeight w:val="801" w:hRule="atLeast"/>
        </w:trPr>
        <w:tc>
          <w:tcPr>
            <w:tcW w:w="2040" w:type="dxa"/>
            <w:vAlign w:val="bottom"/>
          </w:tcPr>
          <w:p>
            <w:pPr>
              <w:spacing w:line="0" w:lineRule="atLeast"/>
              <w:rPr>
                <w:rFonts w:ascii="宋体" w:hAnsi="宋体" w:cs="宋体"/>
                <w:sz w:val="24"/>
              </w:rPr>
            </w:pPr>
            <w:r>
              <w:rPr>
                <w:rFonts w:hint="eastAsia" w:ascii="宋体" w:hAnsi="宋体" w:cs="宋体"/>
                <w:sz w:val="24"/>
              </w:rPr>
              <w:t>日          期：</w:t>
            </w:r>
          </w:p>
        </w:tc>
        <w:tc>
          <w:tcPr>
            <w:tcW w:w="3952" w:type="dxa"/>
            <w:vAlign w:val="bottom"/>
          </w:tcPr>
          <w:p>
            <w:pPr>
              <w:spacing w:line="0" w:lineRule="atLeas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tc>
      </w:tr>
    </w:tbl>
    <w:p>
      <w:pPr>
        <w:spacing w:line="360" w:lineRule="auto"/>
        <w:rPr>
          <w:rFonts w:ascii="等线" w:hAnsi="等线" w:eastAsia="等线"/>
          <w:spacing w:val="12"/>
          <w:u w:val="single"/>
        </w:rPr>
      </w:pPr>
    </w:p>
    <w:p>
      <w:pPr>
        <w:spacing w:line="360" w:lineRule="auto"/>
        <w:ind w:firstLine="530" w:firstLineChars="200"/>
        <w:rPr>
          <w:rFonts w:hint="eastAsia" w:ascii="宋体" w:hAnsi="宋体" w:cs="宋体"/>
          <w:b/>
          <w:bCs/>
          <w:spacing w:val="12"/>
          <w:sz w:val="24"/>
          <w:u w:val="single"/>
        </w:rPr>
      </w:pPr>
      <w:r>
        <w:rPr>
          <w:rFonts w:hint="eastAsia" w:ascii="宋体" w:hAnsi="宋体" w:cs="宋体"/>
          <w:b/>
          <w:bCs/>
          <w:spacing w:val="12"/>
          <w:sz w:val="24"/>
          <w:u w:val="single"/>
        </w:rPr>
        <w:t>注：投标文件如由授权代理人签署，则应按本授权书格式提供授权书；投标文件如全部由法定代表人签署，则无须提供授权书。</w:t>
      </w:r>
    </w:p>
    <w:p>
      <w:pPr>
        <w:pStyle w:val="18"/>
        <w:rPr>
          <w:rFonts w:hint="eastAsia" w:ascii="宋体" w:hAnsi="宋体" w:cs="宋体"/>
          <w:b/>
          <w:bCs/>
          <w:spacing w:val="12"/>
          <w:sz w:val="24"/>
          <w:u w:val="single"/>
        </w:rPr>
      </w:pPr>
    </w:p>
    <w:p>
      <w:pPr>
        <w:pStyle w:val="18"/>
        <w:rPr>
          <w:rFonts w:hint="eastAsia" w:ascii="宋体" w:hAnsi="宋体" w:cs="宋体"/>
          <w:b/>
          <w:bCs/>
          <w:spacing w:val="12"/>
          <w:sz w:val="24"/>
          <w:u w:val="single"/>
        </w:rPr>
      </w:pPr>
    </w:p>
    <w:p>
      <w:pPr>
        <w:pStyle w:val="18"/>
        <w:rPr>
          <w:rFonts w:hint="eastAsia" w:ascii="宋体" w:hAnsi="宋体" w:cs="宋体"/>
          <w:b/>
          <w:bCs/>
          <w:spacing w:val="12"/>
          <w:sz w:val="24"/>
          <w:u w:val="single"/>
        </w:rPr>
      </w:pPr>
    </w:p>
    <w:p>
      <w:pPr>
        <w:pStyle w:val="18"/>
        <w:rPr>
          <w:rFonts w:hint="eastAsia" w:ascii="宋体" w:hAnsi="宋体" w:cs="宋体"/>
          <w:b/>
          <w:bCs/>
          <w:spacing w:val="12"/>
          <w:sz w:val="24"/>
          <w:u w:val="single"/>
        </w:rPr>
      </w:pPr>
    </w:p>
    <w:p>
      <w:pPr>
        <w:pStyle w:val="18"/>
        <w:rPr>
          <w:rFonts w:hint="eastAsia" w:ascii="宋体" w:hAnsi="宋体" w:cs="宋体"/>
          <w:b/>
          <w:bCs/>
          <w:spacing w:val="12"/>
          <w:sz w:val="24"/>
          <w:u w:val="single"/>
        </w:rPr>
      </w:pPr>
    </w:p>
    <w:p>
      <w:pPr>
        <w:pStyle w:val="18"/>
        <w:rPr>
          <w:rFonts w:hint="eastAsia" w:ascii="宋体" w:hAnsi="宋体" w:cs="宋体"/>
          <w:b/>
          <w:bCs/>
          <w:spacing w:val="12"/>
          <w:sz w:val="24"/>
          <w:u w:val="single"/>
        </w:rPr>
      </w:pPr>
    </w:p>
    <w:p>
      <w:pPr>
        <w:pStyle w:val="18"/>
        <w:rPr>
          <w:rFonts w:hint="eastAsia" w:ascii="宋体" w:hAnsi="宋体" w:cs="宋体"/>
          <w:b/>
          <w:bCs/>
          <w:spacing w:val="12"/>
          <w:sz w:val="24"/>
          <w:u w:val="single"/>
        </w:rPr>
      </w:pPr>
    </w:p>
    <w:p>
      <w:pPr>
        <w:pStyle w:val="18"/>
        <w:rPr>
          <w:rFonts w:hint="eastAsia" w:ascii="宋体" w:hAnsi="宋体" w:cs="宋体"/>
          <w:b/>
          <w:bCs/>
          <w:spacing w:val="12"/>
          <w:sz w:val="24"/>
          <w:u w:val="single"/>
        </w:rPr>
      </w:pPr>
    </w:p>
    <w:p>
      <w:pPr>
        <w:pStyle w:val="18"/>
        <w:rPr>
          <w:rFonts w:hint="eastAsia" w:ascii="宋体" w:hAnsi="宋体" w:cs="宋体"/>
          <w:b/>
          <w:bCs/>
          <w:spacing w:val="12"/>
          <w:sz w:val="24"/>
          <w:u w:val="single"/>
        </w:rPr>
      </w:pPr>
    </w:p>
    <w:p>
      <w:pPr>
        <w:outlineLvl w:val="0"/>
        <w:rPr>
          <w:rFonts w:hint="eastAsia" w:ascii="宋体" w:hAnsi="宋体" w:eastAsia="宋体" w:cs="宋体"/>
          <w:b/>
          <w:bCs/>
          <w:color w:val="auto"/>
          <w:sz w:val="32"/>
          <w:szCs w:val="32"/>
          <w:lang w:val="zh-CN" w:eastAsia="zh-CN"/>
        </w:rPr>
      </w:pPr>
      <w:bookmarkStart w:id="72" w:name="_Toc6708"/>
      <w:r>
        <w:rPr>
          <w:rFonts w:hint="eastAsia" w:ascii="宋体" w:hAnsi="宋体"/>
          <w:b/>
          <w:bCs/>
          <w:kern w:val="44"/>
          <w:szCs w:val="21"/>
        </w:rPr>
        <w:t>附录</w:t>
      </w:r>
      <w:r>
        <w:rPr>
          <w:rFonts w:hint="eastAsia" w:ascii="宋体" w:hAnsi="宋体"/>
          <w:b/>
          <w:bCs/>
          <w:kern w:val="44"/>
          <w:szCs w:val="21"/>
          <w:lang w:val="en-US" w:eastAsia="zh-CN"/>
        </w:rPr>
        <w:t>20</w:t>
      </w:r>
      <w:r>
        <w:rPr>
          <w:rFonts w:hint="eastAsia" w:ascii="宋体" w:hAnsi="宋体" w:eastAsia="宋体" w:cs="宋体"/>
          <w:b/>
          <w:bCs/>
          <w:color w:val="auto"/>
          <w:sz w:val="24"/>
          <w:szCs w:val="24"/>
          <w:highlight w:val="none"/>
          <w:lang w:eastAsia="zh-CN"/>
        </w:rPr>
        <w:t>中小企业声明函</w:t>
      </w:r>
      <w:bookmarkEnd w:id="72"/>
    </w:p>
    <w:p>
      <w:pPr>
        <w:pStyle w:val="36"/>
        <w:ind w:firstLine="0"/>
        <w:jc w:val="center"/>
        <w:rPr>
          <w:rFonts w:hint="eastAsia" w:ascii="宋体" w:hAnsi="宋体" w:cs="宋体"/>
          <w:b/>
          <w:bCs/>
          <w:color w:val="auto"/>
          <w:sz w:val="36"/>
          <w:szCs w:val="36"/>
          <w:lang w:val="zh-CN"/>
        </w:rPr>
      </w:pPr>
      <w:r>
        <w:rPr>
          <w:rFonts w:hint="eastAsia" w:ascii="宋体" w:hAnsi="宋体" w:cs="宋体"/>
          <w:b/>
          <w:bCs/>
          <w:color w:val="auto"/>
          <w:sz w:val="36"/>
          <w:szCs w:val="36"/>
          <w:lang w:val="zh-CN"/>
        </w:rPr>
        <w:t>中小企业声明函</w:t>
      </w: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rPr>
      </w:pPr>
      <w:r>
        <w:rPr>
          <w:rFonts w:hint="eastAsia" w:ascii="宋体" w:hAnsi="宋体" w:cs="宋体"/>
          <w:color w:val="auto"/>
          <w:sz w:val="24"/>
          <w:szCs w:val="24"/>
        </w:rPr>
        <w:t>本企业郑重声明，根据《关于印发中小企业划型标准规定的通知》（工信部联企业〔2011〕300号）的规定，本企业具体情况如下：</w:t>
      </w: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rPr>
      </w:pPr>
      <w:r>
        <w:rPr>
          <w:rFonts w:hint="eastAsia" w:ascii="宋体" w:hAnsi="宋体" w:cs="宋体"/>
          <w:color w:val="auto"/>
          <w:sz w:val="24"/>
          <w:szCs w:val="24"/>
        </w:rPr>
        <w:t>本企业属于建筑业行业；营业收入为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color w:val="auto"/>
          <w:sz w:val="24"/>
          <w:szCs w:val="24"/>
          <w:u w:val="single"/>
        </w:rPr>
        <w:t xml:space="preserve">      </w:t>
      </w:r>
      <w:r>
        <w:rPr>
          <w:rFonts w:hint="eastAsia" w:ascii="宋体" w:hAnsi="宋体" w:cs="宋体"/>
          <w:color w:val="auto"/>
          <w:sz w:val="24"/>
          <w:szCs w:val="24"/>
        </w:rPr>
        <w:t>（中型企业、小型企业、微型企业）；</w:t>
      </w: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rPr>
      </w:pPr>
      <w:r>
        <w:rPr>
          <w:rFonts w:hint="eastAsia" w:ascii="宋体" w:hAnsi="宋体" w:cs="宋体"/>
          <w:color w:val="auto"/>
          <w:sz w:val="24"/>
          <w:szCs w:val="24"/>
        </w:rPr>
        <w:t xml:space="preserve">依据《政府采购促进中小企业发展管理办法》的规定，本企业不属于大企业的分支机构，不存在控股股东为大企业的情形，也不存在与大企业的负责人为同一人的情形。 </w:t>
      </w: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rPr>
      </w:pPr>
      <w:r>
        <w:rPr>
          <w:rFonts w:hint="eastAsia" w:ascii="宋体" w:hAnsi="宋体" w:cs="宋体"/>
          <w:color w:val="auto"/>
          <w:sz w:val="24"/>
          <w:szCs w:val="24"/>
        </w:rPr>
        <w:t xml:space="preserve">本企业对上述声明内容的真实性负责。如有虚假，将依法承担相应责任。 </w:t>
      </w: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rPr>
      </w:pPr>
    </w:p>
    <w:p>
      <w:pPr>
        <w:pStyle w:val="36"/>
        <w:keepNext w:val="0"/>
        <w:keepLines w:val="0"/>
        <w:pageBreakBefore w:val="0"/>
        <w:widowControl w:val="0"/>
        <w:tabs>
          <w:tab w:val="left" w:pos="5387"/>
        </w:tabs>
        <w:kinsoku/>
        <w:wordWrap/>
        <w:overflowPunct/>
        <w:topLinePunct w:val="0"/>
        <w:autoSpaceDE/>
        <w:autoSpaceDN/>
        <w:bidi w:val="0"/>
        <w:adjustRightInd/>
        <w:snapToGrid/>
        <w:spacing w:line="360" w:lineRule="auto"/>
        <w:ind w:firstLine="0"/>
        <w:jc w:val="left"/>
        <w:textAlignment w:val="auto"/>
        <w:rPr>
          <w:rFonts w:hint="eastAsia" w:ascii="宋体" w:hAnsi="宋体" w:cs="宋体"/>
          <w:color w:val="auto"/>
          <w:sz w:val="24"/>
          <w:szCs w:val="24"/>
        </w:rPr>
      </w:pPr>
      <w:r>
        <w:rPr>
          <w:rFonts w:hint="eastAsia" w:ascii="宋体" w:hAnsi="宋体" w:cs="宋体"/>
          <w:color w:val="auto"/>
          <w:sz w:val="24"/>
          <w:szCs w:val="24"/>
        </w:rPr>
        <w:t xml:space="preserve">                               企业名称（盖章）：</w:t>
      </w:r>
    </w:p>
    <w:p>
      <w:pPr>
        <w:pStyle w:val="36"/>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hint="eastAsia" w:ascii="宋体" w:hAnsi="宋体" w:cs="宋体"/>
          <w:color w:val="auto"/>
          <w:sz w:val="24"/>
          <w:szCs w:val="24"/>
        </w:rPr>
      </w:pPr>
      <w:r>
        <w:rPr>
          <w:rFonts w:hint="eastAsia" w:ascii="宋体" w:hAnsi="宋体" w:cs="宋体"/>
          <w:color w:val="auto"/>
          <w:sz w:val="24"/>
          <w:szCs w:val="24"/>
        </w:rPr>
        <w:t xml:space="preserve">                                          日 期：</w:t>
      </w: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rPr>
      </w:pPr>
      <w:r>
        <w:rPr>
          <w:rFonts w:hint="eastAsia" w:ascii="宋体" w:hAnsi="宋体" w:cs="宋体"/>
          <w:color w:val="auto"/>
          <w:sz w:val="24"/>
          <w:szCs w:val="24"/>
        </w:rPr>
        <w:t>注：</w:t>
      </w: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rPr>
      </w:pPr>
      <w:r>
        <w:rPr>
          <w:rFonts w:hint="eastAsia" w:ascii="宋体" w:hAnsi="宋体" w:cs="宋体"/>
          <w:color w:val="auto"/>
          <w:sz w:val="24"/>
          <w:szCs w:val="24"/>
        </w:rPr>
        <w:t>1、营业收入、资产总额填报上一年度数据，无上一年度数据的新成立企业可不填报。</w:t>
      </w: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rPr>
      </w:pPr>
      <w:r>
        <w:rPr>
          <w:rFonts w:hint="eastAsia" w:ascii="宋体" w:hAnsi="宋体" w:cs="宋体"/>
          <w:color w:val="auto"/>
          <w:sz w:val="24"/>
          <w:szCs w:val="24"/>
        </w:rPr>
        <w:t>2、《中小企业声明函》须按照本函格式填写，否则评标委员会有权视其为非中小企业，不享受免于提交投标保证金的优惠政策。</w:t>
      </w: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3、招标人、招标代理机构将按有关规定公开《中小企业声明函》。</w:t>
      </w: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pPr>
        <w:outlineLvl w:val="0"/>
        <w:rPr>
          <w:rFonts w:hint="eastAsia" w:ascii="宋体" w:hAnsi="宋体" w:eastAsia="宋体" w:cs="宋体"/>
          <w:b/>
          <w:bCs/>
          <w:color w:val="auto"/>
          <w:sz w:val="32"/>
          <w:szCs w:val="32"/>
          <w:lang w:val="zh-CN" w:eastAsia="zh-CN"/>
        </w:rPr>
      </w:pPr>
      <w:bookmarkStart w:id="73" w:name="_Toc29509"/>
      <w:r>
        <w:rPr>
          <w:rFonts w:hint="eastAsia" w:ascii="宋体" w:hAnsi="宋体"/>
          <w:b/>
          <w:bCs/>
          <w:kern w:val="44"/>
          <w:szCs w:val="21"/>
        </w:rPr>
        <w:t>附录</w:t>
      </w:r>
      <w:r>
        <w:rPr>
          <w:rFonts w:hint="eastAsia" w:ascii="宋体" w:hAnsi="宋体"/>
          <w:b/>
          <w:bCs/>
          <w:kern w:val="44"/>
          <w:szCs w:val="21"/>
          <w:lang w:val="en-US" w:eastAsia="zh-CN"/>
        </w:rPr>
        <w:t>21</w:t>
      </w:r>
      <w:r>
        <w:rPr>
          <w:rFonts w:hint="eastAsia" w:ascii="宋体" w:hAnsi="宋体" w:eastAsia="宋体" w:cs="宋体"/>
          <w:b/>
          <w:bCs/>
          <w:color w:val="auto"/>
          <w:sz w:val="24"/>
          <w:szCs w:val="24"/>
          <w:highlight w:val="none"/>
          <w:lang w:eastAsia="zh-CN"/>
        </w:rPr>
        <w:t>关于投标保证金的承诺</w:t>
      </w:r>
      <w:bookmarkEnd w:id="73"/>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pPr>
        <w:pStyle w:val="21"/>
        <w:spacing w:line="360" w:lineRule="auto"/>
        <w:ind w:firstLine="643" w:firstLineChars="200"/>
        <w:jc w:val="center"/>
        <w:rPr>
          <w:rFonts w:hint="eastAsia" w:hAnsi="宋体" w:cs="宋体"/>
          <w:color w:val="auto"/>
          <w:sz w:val="32"/>
          <w:szCs w:val="32"/>
        </w:rPr>
      </w:pPr>
      <w:r>
        <w:rPr>
          <w:rFonts w:hint="eastAsia" w:hAnsi="宋体" w:cs="宋体"/>
          <w:b/>
          <w:bCs/>
          <w:color w:val="auto"/>
          <w:sz w:val="32"/>
          <w:szCs w:val="32"/>
        </w:rPr>
        <w:t>关于投标保证金的承诺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本招标项目招标人及招标监管机构：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本公司就参加</w:t>
      </w:r>
      <w:r>
        <w:rPr>
          <w:rFonts w:hint="eastAsia" w:ascii="宋体" w:hAnsi="宋体" w:eastAsia="宋体" w:cs="宋体"/>
          <w:color w:val="auto"/>
          <w:sz w:val="24"/>
          <w:szCs w:val="24"/>
          <w:u w:val="single"/>
        </w:rPr>
        <w:t xml:space="preserve">      （招标项目名称）     </w:t>
      </w:r>
      <w:r>
        <w:rPr>
          <w:rFonts w:hint="eastAsia" w:ascii="宋体" w:hAnsi="宋体" w:eastAsia="宋体" w:cs="宋体"/>
          <w:color w:val="auto"/>
          <w:sz w:val="24"/>
          <w:szCs w:val="24"/>
        </w:rPr>
        <w:t>项目的投标工作，作出郑重声明：</w:t>
      </w: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eastAsia="宋体" w:cs="宋体"/>
          <w:color w:val="auto"/>
          <w:kern w:val="0"/>
          <w:sz w:val="24"/>
          <w:szCs w:val="24"/>
          <w:lang w:val="zh-CN"/>
        </w:rPr>
        <w:t>一旦发生符合招标文件规定的不予退还投标保证金情形的，将</w:t>
      </w:r>
      <w:r>
        <w:rPr>
          <w:rFonts w:hint="eastAsia" w:ascii="宋体" w:hAnsi="宋体" w:eastAsia="宋体" w:cs="宋体"/>
          <w:color w:val="auto"/>
          <w:sz w:val="24"/>
          <w:szCs w:val="24"/>
        </w:rPr>
        <w:t>按照招标人的要求，在收到招标人通知补交</w:t>
      </w:r>
      <w:r>
        <w:rPr>
          <w:rFonts w:hint="eastAsia" w:ascii="宋体" w:hAnsi="宋体" w:eastAsia="宋体" w:cs="宋体"/>
          <w:color w:val="auto"/>
          <w:kern w:val="0"/>
          <w:sz w:val="24"/>
          <w:szCs w:val="24"/>
          <w:lang w:val="zh-CN"/>
        </w:rPr>
        <w:t>投标保证金</w:t>
      </w:r>
      <w:r>
        <w:rPr>
          <w:rFonts w:hint="eastAsia" w:ascii="宋体" w:hAnsi="宋体" w:eastAsia="宋体" w:cs="宋体"/>
          <w:color w:val="auto"/>
          <w:sz w:val="24"/>
          <w:szCs w:val="24"/>
        </w:rPr>
        <w:t>之日起7个日历天内向招标人足额补交投标保证金。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本公司违反上述保证的，将被视为虚假承诺，按相关规定进行信用记录。本公司对失信行为产生的一切后果已知悉，并承担由此产生的相应责任。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　　（盖章）</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期：    </w:t>
      </w:r>
    </w:p>
    <w:p>
      <w:pPr>
        <w:tabs>
          <w:tab w:val="left" w:pos="720"/>
        </w:tabs>
        <w:snapToGrid w:val="0"/>
        <w:spacing w:line="360" w:lineRule="auto"/>
        <w:jc w:val="center"/>
        <w:rPr>
          <w:rStyle w:val="73"/>
          <w:color w:val="auto"/>
          <w:sz w:val="32"/>
          <w:szCs w:val="32"/>
          <w:highlight w:val="none"/>
        </w:rPr>
      </w:pPr>
    </w:p>
    <w:p>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pPr>
        <w:pStyle w:val="18"/>
        <w:rPr>
          <w:rFonts w:hint="eastAsia" w:ascii="宋体" w:hAnsi="宋体" w:cs="宋体"/>
          <w:b/>
          <w:bCs/>
          <w:spacing w:val="12"/>
          <w:sz w:val="24"/>
          <w:u w:val="single"/>
        </w:rPr>
      </w:pPr>
    </w:p>
    <w:p>
      <w:pPr>
        <w:pStyle w:val="18"/>
        <w:rPr>
          <w:rFonts w:hint="eastAsia" w:ascii="宋体" w:hAnsi="宋体" w:cs="宋体"/>
          <w:b/>
          <w:bCs/>
          <w:spacing w:val="12"/>
          <w:sz w:val="24"/>
          <w:u w:val="single"/>
        </w:rPr>
      </w:pPr>
    </w:p>
    <w:p>
      <w:pPr>
        <w:pStyle w:val="18"/>
        <w:rPr>
          <w:rFonts w:hint="eastAsia" w:ascii="宋体" w:hAnsi="宋体" w:cs="宋体"/>
          <w:b/>
          <w:bCs/>
          <w:spacing w:val="12"/>
          <w:sz w:val="24"/>
          <w:u w:val="single"/>
        </w:rPr>
      </w:pPr>
    </w:p>
    <w:p>
      <w:pPr>
        <w:pStyle w:val="18"/>
        <w:rPr>
          <w:rFonts w:hint="eastAsia" w:ascii="宋体" w:hAnsi="宋体" w:cs="宋体"/>
          <w:b/>
          <w:bCs/>
          <w:spacing w:val="12"/>
          <w:sz w:val="24"/>
          <w:u w:val="single"/>
        </w:rPr>
      </w:pPr>
    </w:p>
    <w:p>
      <w:pPr>
        <w:pStyle w:val="18"/>
        <w:rPr>
          <w:rFonts w:hint="eastAsia" w:ascii="宋体" w:hAnsi="宋体" w:cs="宋体"/>
          <w:b/>
          <w:bCs/>
          <w:spacing w:val="12"/>
          <w:sz w:val="24"/>
          <w:u w:val="single"/>
        </w:rPr>
      </w:pPr>
    </w:p>
    <w:p>
      <w:pPr>
        <w:pStyle w:val="3"/>
        <w:tabs>
          <w:tab w:val="left" w:pos="5245"/>
        </w:tabs>
        <w:rPr>
          <w:rFonts w:ascii="宋体" w:hAnsi="宋体"/>
          <w:sz w:val="21"/>
          <w:szCs w:val="21"/>
        </w:rPr>
      </w:pPr>
      <w:bookmarkStart w:id="74" w:name="_Toc7160"/>
      <w:r>
        <w:rPr>
          <w:rFonts w:hint="eastAsia" w:ascii="宋体" w:hAnsi="宋体"/>
          <w:sz w:val="21"/>
          <w:szCs w:val="21"/>
        </w:rPr>
        <w:t>附录</w:t>
      </w:r>
      <w:r>
        <w:rPr>
          <w:rFonts w:hint="eastAsia" w:ascii="宋体" w:hAnsi="宋体"/>
          <w:sz w:val="21"/>
          <w:szCs w:val="21"/>
          <w:lang w:val="en-US" w:eastAsia="zh-CN"/>
        </w:rPr>
        <w:t>22</w:t>
      </w:r>
      <w:r>
        <w:rPr>
          <w:rFonts w:hint="eastAsia" w:ascii="宋体" w:hAnsi="宋体"/>
          <w:sz w:val="21"/>
          <w:szCs w:val="21"/>
        </w:rPr>
        <w:t>拟投入本项目人员情况表</w:t>
      </w:r>
      <w:bookmarkEnd w:id="74"/>
    </w:p>
    <w:p>
      <w:pPr>
        <w:jc w:val="center"/>
        <w:rPr>
          <w:rFonts w:ascii="宋体" w:hAnsi="宋体"/>
          <w:b/>
          <w:sz w:val="36"/>
          <w:szCs w:val="36"/>
        </w:rPr>
      </w:pPr>
      <w:r>
        <w:rPr>
          <w:rFonts w:hint="eastAsia" w:ascii="宋体" w:hAnsi="宋体"/>
          <w:b/>
          <w:sz w:val="36"/>
          <w:szCs w:val="36"/>
        </w:rPr>
        <w:t>拟投入本项目人员情况表</w:t>
      </w:r>
    </w:p>
    <w:tbl>
      <w:tblPr>
        <w:tblStyle w:val="38"/>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468"/>
        <w:gridCol w:w="2359"/>
        <w:gridCol w:w="767"/>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姓名</w:t>
            </w: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lang w:eastAsia="zh-Hans"/>
              </w:rPr>
              <w:t>在本项目中拟认职务</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职务、执业资格、专业职称</w:t>
            </w:r>
          </w:p>
        </w:tc>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工龄（年）</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主要作品、业绩、著作名称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r>
              <w:rPr>
                <w:rFonts w:hint="eastAsia" w:ascii="宋体" w:hAnsi="宋体"/>
                <w:szCs w:val="21"/>
                <w:lang w:val="en-US" w:eastAsia="zh-CN"/>
              </w:rPr>
              <w:t>1</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lang w:eastAsia="zh-Hans"/>
              </w:rPr>
              <w:t>项目负责人</w:t>
            </w:r>
          </w:p>
        </w:tc>
        <w:tc>
          <w:tcPr>
            <w:tcW w:w="23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（按招标公告要求）</w:t>
            </w:r>
          </w:p>
        </w:tc>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r>
              <w:rPr>
                <w:rFonts w:hint="eastAsia" w:ascii="宋体" w:hAnsi="宋体"/>
                <w:szCs w:val="21"/>
                <w:lang w:val="en-US" w:eastAsia="zh-CN"/>
              </w:rPr>
              <w:t>2</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Cs w:val="21"/>
              </w:rPr>
              <w:t>…</w:t>
            </w:r>
          </w:p>
        </w:tc>
        <w:tc>
          <w:tcPr>
            <w:tcW w:w="2359" w:type="dxa"/>
            <w:tcBorders>
              <w:top w:val="single" w:color="auto" w:sz="4" w:space="0"/>
              <w:left w:val="single" w:color="auto" w:sz="4" w:space="0"/>
              <w:bottom w:val="single" w:color="auto" w:sz="4" w:space="0"/>
              <w:right w:val="single" w:color="auto" w:sz="4" w:space="0"/>
            </w:tcBorders>
            <w:vAlign w:val="center"/>
          </w:tcPr>
          <w:p/>
        </w:tc>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r>
              <w:rPr>
                <w:rFonts w:hint="eastAsia" w:ascii="宋体" w:hAnsi="宋体"/>
                <w:szCs w:val="21"/>
                <w:lang w:val="en-US" w:eastAsia="zh-CN"/>
              </w:rPr>
              <w:t>3</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Cs w:val="21"/>
              </w:rPr>
              <w:t>…</w:t>
            </w:r>
          </w:p>
        </w:tc>
        <w:tc>
          <w:tcPr>
            <w:tcW w:w="23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tc>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r>
              <w:rPr>
                <w:rFonts w:hint="eastAsia" w:ascii="宋体" w:hAnsi="宋体"/>
                <w:szCs w:val="21"/>
                <w:lang w:val="en-US" w:eastAsia="zh-CN"/>
              </w:rPr>
              <w:t>4</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Cs w:val="21"/>
              </w:rPr>
              <w:t>…</w:t>
            </w:r>
          </w:p>
        </w:tc>
        <w:tc>
          <w:tcPr>
            <w:tcW w:w="23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tc>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r>
              <w:rPr>
                <w:rFonts w:hint="eastAsia" w:ascii="宋体" w:hAnsi="宋体"/>
                <w:szCs w:val="21"/>
                <w:lang w:val="en-US" w:eastAsia="zh-CN"/>
              </w:rPr>
              <w:t>5</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rPr>
            </w:pPr>
            <w:r>
              <w:rPr>
                <w:rFonts w:hint="eastAsia" w:ascii="宋体" w:hAnsi="宋体"/>
                <w:szCs w:val="21"/>
              </w:rPr>
              <w:t>…</w:t>
            </w:r>
          </w:p>
        </w:tc>
        <w:tc>
          <w:tcPr>
            <w:tcW w:w="23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tc>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r>
              <w:rPr>
                <w:rFonts w:hint="eastAsia" w:ascii="宋体" w:hAnsi="宋体"/>
                <w:szCs w:val="21"/>
                <w:lang w:val="en-US" w:eastAsia="zh-CN"/>
              </w:rPr>
              <w:t>6</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rPr>
            </w:pPr>
            <w:r>
              <w:rPr>
                <w:rFonts w:hint="eastAsia" w:ascii="宋体" w:hAnsi="宋体"/>
                <w:szCs w:val="21"/>
              </w:rPr>
              <w:t>…</w:t>
            </w:r>
          </w:p>
        </w:tc>
        <w:tc>
          <w:tcPr>
            <w:tcW w:w="23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trike/>
                <w:szCs w:val="21"/>
              </w:rPr>
            </w:pPr>
          </w:p>
        </w:tc>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rPr>
            </w:pPr>
            <w:r>
              <w:rPr>
                <w:rFonts w:hint="eastAsia" w:ascii="宋体" w:hAnsi="宋体"/>
                <w:szCs w:val="21"/>
              </w:rPr>
              <w:t>…</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spacing w:line="360" w:lineRule="auto"/>
        <w:ind w:firstLine="420"/>
        <w:rPr>
          <w:rFonts w:ascii="宋体" w:hAnsi="宋体"/>
          <w:u w:val="single"/>
        </w:rPr>
      </w:pPr>
    </w:p>
    <w:p>
      <w:pPr>
        <w:spacing w:line="360" w:lineRule="auto"/>
        <w:ind w:firstLine="420"/>
        <w:rPr>
          <w:rFonts w:ascii="宋体" w:hAnsi="宋体"/>
          <w:szCs w:val="21"/>
          <w:u w:val="single"/>
        </w:rPr>
      </w:pPr>
      <w:r>
        <w:rPr>
          <w:rFonts w:hint="eastAsia" w:ascii="宋体" w:hAnsi="宋体"/>
          <w:szCs w:val="21"/>
          <w:u w:val="single"/>
        </w:rPr>
        <w:t>注：1、本表后附投入人员的工作简历、</w:t>
      </w:r>
      <w:r>
        <w:rPr>
          <w:rFonts w:hint="eastAsia" w:ascii="宋体" w:hAnsi="宋体"/>
          <w:szCs w:val="21"/>
          <w:u w:val="single"/>
          <w:lang w:eastAsia="zh-Hans"/>
        </w:rPr>
        <w:t>毕业证</w:t>
      </w:r>
      <w:r>
        <w:rPr>
          <w:rFonts w:hint="eastAsia" w:ascii="宋体" w:hAnsi="宋体"/>
          <w:szCs w:val="21"/>
          <w:u w:val="single"/>
        </w:rPr>
        <w:t>、</w:t>
      </w:r>
      <w:r>
        <w:rPr>
          <w:rFonts w:hint="eastAsia" w:ascii="宋体" w:hAnsi="宋体"/>
          <w:szCs w:val="21"/>
          <w:u w:val="single"/>
          <w:lang w:eastAsia="zh-Hans"/>
        </w:rPr>
        <w:t>职称证</w:t>
      </w:r>
      <w:r>
        <w:rPr>
          <w:rFonts w:ascii="宋体" w:hAnsi="宋体"/>
          <w:szCs w:val="21"/>
          <w:u w:val="single"/>
          <w:lang w:eastAsia="zh-Hans"/>
        </w:rPr>
        <w:t>、</w:t>
      </w:r>
      <w:r>
        <w:rPr>
          <w:rFonts w:hint="eastAsia" w:ascii="宋体" w:hAnsi="宋体"/>
          <w:szCs w:val="21"/>
          <w:u w:val="single"/>
          <w:lang w:eastAsia="zh-Hans"/>
        </w:rPr>
        <w:t>（如有）等证件</w:t>
      </w:r>
      <w:r>
        <w:rPr>
          <w:rFonts w:hint="eastAsia" w:ascii="宋体" w:hAnsi="宋体"/>
          <w:szCs w:val="21"/>
          <w:u w:val="single"/>
        </w:rPr>
        <w:t>扫描件。</w:t>
      </w:r>
    </w:p>
    <w:p>
      <w:pPr>
        <w:numPr>
          <w:ilvl w:val="0"/>
          <w:numId w:val="10"/>
        </w:numPr>
        <w:spacing w:line="360" w:lineRule="auto"/>
        <w:ind w:firstLine="840" w:firstLineChars="400"/>
        <w:rPr>
          <w:rFonts w:ascii="宋体" w:hAnsi="宋体"/>
          <w:szCs w:val="21"/>
          <w:highlight w:val="none"/>
          <w:u w:val="single"/>
        </w:rPr>
      </w:pPr>
      <w:r>
        <w:rPr>
          <w:rFonts w:hint="eastAsia" w:ascii="宋体" w:hAnsi="宋体"/>
          <w:szCs w:val="21"/>
          <w:highlight w:val="none"/>
          <w:u w:val="single"/>
        </w:rPr>
        <w:t>本表的人员要求作为定标的重要组成部分。</w:t>
      </w:r>
    </w:p>
    <w:p>
      <w:pPr>
        <w:pStyle w:val="18"/>
        <w:numPr>
          <w:ilvl w:val="0"/>
          <w:numId w:val="10"/>
        </w:numPr>
        <w:spacing w:after="0" w:line="360" w:lineRule="auto"/>
        <w:ind w:left="0" w:leftChars="0" w:right="-73" w:rightChars="-35" w:firstLine="840"/>
        <w:rPr>
          <w:rFonts w:ascii="宋体" w:hAnsi="宋体"/>
          <w:szCs w:val="21"/>
          <w:highlight w:val="none"/>
          <w:u w:val="single"/>
        </w:rPr>
      </w:pPr>
      <w:r>
        <w:rPr>
          <w:rFonts w:hint="eastAsia" w:ascii="宋体" w:hAnsi="宋体"/>
          <w:szCs w:val="21"/>
          <w:highlight w:val="none"/>
          <w:u w:val="single"/>
        </w:rPr>
        <w:t>须提供</w:t>
      </w:r>
      <w:r>
        <w:rPr>
          <w:rFonts w:hint="eastAsia" w:ascii="宋体" w:hAnsi="宋体"/>
          <w:szCs w:val="21"/>
          <w:highlight w:val="none"/>
          <w:u w:val="single"/>
          <w:lang w:eastAsia="zh-Hans"/>
        </w:rPr>
        <w:t>项目成员</w:t>
      </w:r>
      <w:r>
        <w:rPr>
          <w:rFonts w:hint="eastAsia" w:ascii="宋体" w:hAnsi="宋体"/>
          <w:szCs w:val="21"/>
          <w:highlight w:val="none"/>
          <w:u w:val="single"/>
        </w:rPr>
        <w:t>202</w:t>
      </w:r>
      <w:r>
        <w:rPr>
          <w:rFonts w:hint="eastAsia" w:ascii="宋体" w:hAnsi="宋体"/>
          <w:szCs w:val="21"/>
          <w:highlight w:val="none"/>
          <w:u w:val="single"/>
          <w:lang w:val="en-US" w:eastAsia="zh-CN"/>
        </w:rPr>
        <w:t>3</w:t>
      </w:r>
      <w:r>
        <w:rPr>
          <w:rFonts w:hint="eastAsia" w:ascii="宋体" w:hAnsi="宋体"/>
          <w:szCs w:val="21"/>
          <w:highlight w:val="none"/>
          <w:u w:val="single"/>
        </w:rPr>
        <w:t>年</w:t>
      </w:r>
      <w:r>
        <w:rPr>
          <w:rFonts w:hint="eastAsia" w:ascii="宋体" w:hAnsi="宋体"/>
          <w:szCs w:val="21"/>
          <w:highlight w:val="none"/>
          <w:u w:val="single"/>
          <w:lang w:val="en-US" w:eastAsia="zh-CN"/>
        </w:rPr>
        <w:t>7</w:t>
      </w:r>
      <w:r>
        <w:rPr>
          <w:rFonts w:hint="eastAsia" w:ascii="宋体" w:hAnsi="宋体"/>
          <w:szCs w:val="21"/>
          <w:highlight w:val="none"/>
          <w:u w:val="single"/>
        </w:rPr>
        <w:t>月</w:t>
      </w:r>
      <w:r>
        <w:rPr>
          <w:rFonts w:hint="eastAsia" w:ascii="宋体" w:hAnsi="宋体"/>
          <w:szCs w:val="21"/>
          <w:highlight w:val="none"/>
          <w:u w:val="single"/>
          <w:lang w:eastAsia="zh-Hans"/>
        </w:rPr>
        <w:t>在投标人单位或投标人非独立法人的分支机构（不含投标人的子公司）的社保证明文件扫描件（若当地政府部门允许企业在疫情期间缓缴社会保险费且投标人未缴纳的，投标人可提供当地政府部门允许缓缴社保的相关文件作为缴纳社保的证明，确定中标人后，招标人将核实中标人拟派人员的社保补缴情况）</w:t>
      </w:r>
    </w:p>
    <w:p>
      <w:pPr>
        <w:pStyle w:val="18"/>
        <w:spacing w:line="360" w:lineRule="auto"/>
        <w:ind w:left="0" w:leftChars="0" w:right="1470" w:firstLine="850" w:firstLineChars="405"/>
        <w:rPr>
          <w:rFonts w:ascii="宋体" w:hAnsi="宋体"/>
          <w:szCs w:val="21"/>
          <w:highlight w:val="none"/>
          <w:u w:val="single"/>
        </w:rPr>
      </w:pPr>
      <w:r>
        <w:rPr>
          <w:rFonts w:ascii="宋体" w:hAnsi="宋体"/>
          <w:szCs w:val="21"/>
          <w:highlight w:val="none"/>
          <w:u w:val="single"/>
        </w:rPr>
        <w:t>4、</w:t>
      </w:r>
      <w:r>
        <w:rPr>
          <w:rFonts w:hint="eastAsia" w:ascii="宋体" w:hAnsi="宋体"/>
          <w:szCs w:val="21"/>
          <w:highlight w:val="none"/>
          <w:u w:val="single"/>
          <w:lang w:eastAsia="zh-Hans"/>
        </w:rPr>
        <w:t>团队成员</w:t>
      </w:r>
      <w:r>
        <w:rPr>
          <w:rFonts w:ascii="宋体" w:hAnsi="宋体"/>
          <w:szCs w:val="21"/>
          <w:highlight w:val="none"/>
          <w:u w:val="single"/>
          <w:lang w:eastAsia="zh-Hans"/>
        </w:rPr>
        <w:t>（</w:t>
      </w:r>
      <w:r>
        <w:rPr>
          <w:rFonts w:hint="eastAsia" w:ascii="宋体" w:hAnsi="宋体"/>
          <w:szCs w:val="21"/>
          <w:highlight w:val="none"/>
          <w:u w:val="single"/>
          <w:lang w:eastAsia="zh-Hans"/>
        </w:rPr>
        <w:t>负责人除外</w:t>
      </w:r>
      <w:r>
        <w:rPr>
          <w:rFonts w:ascii="宋体" w:hAnsi="宋体"/>
          <w:szCs w:val="21"/>
          <w:highlight w:val="none"/>
          <w:u w:val="single"/>
          <w:lang w:eastAsia="zh-Hans"/>
        </w:rPr>
        <w:t>）</w:t>
      </w:r>
      <w:r>
        <w:rPr>
          <w:rFonts w:hint="eastAsia" w:ascii="宋体" w:hAnsi="宋体"/>
          <w:szCs w:val="21"/>
          <w:highlight w:val="none"/>
          <w:u w:val="single"/>
          <w:lang w:eastAsia="zh-Hans"/>
        </w:rPr>
        <w:t>主要人员不少于</w:t>
      </w:r>
      <w:r>
        <w:rPr>
          <w:rFonts w:ascii="宋体" w:hAnsi="宋体"/>
          <w:szCs w:val="21"/>
          <w:highlight w:val="none"/>
          <w:u w:val="single"/>
          <w:lang w:eastAsia="zh-Hans"/>
        </w:rPr>
        <w:t>5</w:t>
      </w:r>
      <w:r>
        <w:rPr>
          <w:rFonts w:hint="eastAsia" w:ascii="宋体" w:hAnsi="宋体"/>
          <w:szCs w:val="21"/>
          <w:highlight w:val="none"/>
          <w:u w:val="single"/>
          <w:lang w:eastAsia="zh-Hans"/>
        </w:rPr>
        <w:t>人</w:t>
      </w:r>
      <w:r>
        <w:rPr>
          <w:rFonts w:ascii="宋体" w:hAnsi="宋体"/>
          <w:szCs w:val="21"/>
          <w:highlight w:val="none"/>
          <w:u w:val="single"/>
          <w:lang w:eastAsia="zh-Hans"/>
        </w:rPr>
        <w:t>（</w:t>
      </w:r>
      <w:r>
        <w:rPr>
          <w:rFonts w:hint="eastAsia" w:ascii="宋体" w:hAnsi="宋体"/>
          <w:szCs w:val="21"/>
          <w:highlight w:val="none"/>
          <w:u w:val="single"/>
          <w:lang w:eastAsia="zh-Hans"/>
        </w:rPr>
        <w:t>含</w:t>
      </w:r>
      <w:r>
        <w:rPr>
          <w:rFonts w:ascii="宋体" w:hAnsi="宋体"/>
          <w:szCs w:val="21"/>
          <w:highlight w:val="none"/>
          <w:u w:val="single"/>
          <w:lang w:eastAsia="zh-Hans"/>
        </w:rPr>
        <w:t>5</w:t>
      </w:r>
      <w:r>
        <w:rPr>
          <w:rFonts w:hint="eastAsia" w:ascii="宋体" w:hAnsi="宋体"/>
          <w:szCs w:val="21"/>
          <w:highlight w:val="none"/>
          <w:u w:val="single"/>
          <w:lang w:eastAsia="zh-Hans"/>
        </w:rPr>
        <w:t>人</w:t>
      </w:r>
      <w:r>
        <w:rPr>
          <w:rFonts w:ascii="宋体" w:hAnsi="宋体"/>
          <w:szCs w:val="21"/>
          <w:highlight w:val="none"/>
          <w:u w:val="single"/>
          <w:lang w:eastAsia="zh-Hans"/>
        </w:rPr>
        <w:t>）。</w:t>
      </w:r>
    </w:p>
    <w:p>
      <w:pPr>
        <w:pStyle w:val="18"/>
        <w:ind w:left="1470" w:leftChars="0" w:right="1470"/>
      </w:pPr>
    </w:p>
    <w:p>
      <w:pPr>
        <w:pStyle w:val="18"/>
        <w:ind w:left="1470" w:leftChars="0" w:right="1470"/>
      </w:pPr>
    </w:p>
    <w:p>
      <w:pPr>
        <w:pStyle w:val="59"/>
        <w:ind w:left="0" w:right="1449" w:firstLine="3840" w:firstLineChars="1600"/>
        <w:jc w:val="right"/>
        <w:rPr>
          <w:rFonts w:ascii="宋体" w:hAnsi="宋体" w:eastAsia="宋体"/>
          <w:color w:val="auto"/>
          <w:sz w:val="24"/>
          <w:szCs w:val="24"/>
        </w:rPr>
      </w:pPr>
      <w:r>
        <w:rPr>
          <w:rFonts w:hint="eastAsia" w:ascii="宋体" w:hAnsi="宋体" w:eastAsia="宋体"/>
          <w:color w:val="auto"/>
          <w:sz w:val="24"/>
          <w:szCs w:val="24"/>
        </w:rPr>
        <w:t>投标人：(盖章)</w:t>
      </w:r>
    </w:p>
    <w:p>
      <w:pPr>
        <w:pStyle w:val="59"/>
        <w:ind w:left="0" w:right="66" w:firstLine="5952" w:firstLineChars="2480"/>
        <w:jc w:val="left"/>
        <w:rPr>
          <w:rFonts w:ascii="宋体" w:hAnsi="宋体" w:eastAsia="宋体"/>
          <w:color w:val="auto"/>
          <w:sz w:val="24"/>
          <w:szCs w:val="24"/>
        </w:rPr>
      </w:pPr>
      <w:r>
        <w:rPr>
          <w:rFonts w:hint="eastAsia" w:ascii="宋体" w:hAnsi="宋体" w:eastAsia="宋体"/>
          <w:color w:val="auto"/>
          <w:sz w:val="24"/>
          <w:szCs w:val="24"/>
        </w:rPr>
        <w:t>日 期：</w:t>
      </w:r>
    </w:p>
    <w:p>
      <w:pPr>
        <w:adjustRightInd w:val="0"/>
        <w:snapToGrid w:val="0"/>
        <w:spacing w:line="360" w:lineRule="auto"/>
      </w:pPr>
      <w:r>
        <w:br w:type="page"/>
      </w:r>
      <w:bookmarkStart w:id="75" w:name="_Toc72409734"/>
      <w:bookmarkStart w:id="76" w:name="_Toc71718317"/>
      <w:bookmarkStart w:id="77" w:name="_Toc71718392"/>
      <w:r>
        <w:rPr>
          <w:rFonts w:hint="eastAsia"/>
        </w:rPr>
        <w:t>附录</w:t>
      </w:r>
      <w:r>
        <w:rPr>
          <w:rFonts w:hint="eastAsia"/>
          <w:lang w:val="en-US" w:eastAsia="zh-CN"/>
        </w:rPr>
        <w:t>22</w:t>
      </w:r>
      <w:r>
        <w:t>-1</w:t>
      </w:r>
      <w:bookmarkEnd w:id="75"/>
      <w:bookmarkEnd w:id="76"/>
      <w:bookmarkEnd w:id="77"/>
    </w:p>
    <w:p>
      <w:pPr>
        <w:adjustRightInd w:val="0"/>
        <w:snapToGrid w:val="0"/>
        <w:spacing w:line="360" w:lineRule="auto"/>
        <w:jc w:val="center"/>
        <w:outlineLvl w:val="2"/>
        <w:rPr>
          <w:rFonts w:ascii="黑体" w:hAnsi="宋体" w:eastAsia="黑体"/>
          <w:b/>
          <w:snapToGrid w:val="0"/>
          <w:kern w:val="0"/>
          <w:sz w:val="30"/>
        </w:rPr>
      </w:pPr>
      <w:bookmarkStart w:id="78" w:name="_Toc72409736"/>
      <w:bookmarkStart w:id="79" w:name="_Toc71718394"/>
      <w:bookmarkStart w:id="80" w:name="_Toc71718319"/>
      <w:r>
        <w:rPr>
          <w:rFonts w:hint="eastAsia" w:ascii="黑体" w:hAnsi="宋体" w:eastAsia="黑体"/>
          <w:b/>
          <w:snapToGrid w:val="0"/>
          <w:kern w:val="0"/>
          <w:sz w:val="30"/>
        </w:rPr>
        <w:t>项目负责人情况表</w:t>
      </w:r>
      <w:bookmarkEnd w:id="78"/>
      <w:bookmarkEnd w:id="79"/>
      <w:bookmarkEnd w:id="80"/>
    </w:p>
    <w:tbl>
      <w:tblPr>
        <w:tblStyle w:val="38"/>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866"/>
        <w:gridCol w:w="792"/>
        <w:gridCol w:w="938"/>
        <w:gridCol w:w="536"/>
        <w:gridCol w:w="784"/>
        <w:gridCol w:w="687"/>
        <w:gridCol w:w="585"/>
        <w:gridCol w:w="675"/>
        <w:gridCol w:w="840"/>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3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r>
              <w:rPr>
                <w:rFonts w:hint="eastAsia" w:ascii="宋体" w:hAnsi="宋体"/>
                <w:kern w:val="0"/>
                <w:szCs w:val="21"/>
              </w:rPr>
              <w:t>姓名</w:t>
            </w:r>
          </w:p>
        </w:tc>
        <w:tc>
          <w:tcPr>
            <w:tcW w:w="1730"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r>
              <w:rPr>
                <w:rFonts w:hint="eastAsia" w:ascii="宋体" w:hAnsi="宋体"/>
                <w:kern w:val="0"/>
                <w:szCs w:val="21"/>
              </w:rPr>
              <w:t>性别</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r>
              <w:rPr>
                <w:rFonts w:hint="eastAsia" w:ascii="宋体" w:hAnsi="宋体"/>
                <w:kern w:val="0"/>
                <w:szCs w:val="21"/>
              </w:rPr>
              <w:t>年龄</w:t>
            </w:r>
          </w:p>
        </w:tc>
        <w:tc>
          <w:tcPr>
            <w:tcW w:w="144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3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r>
              <w:rPr>
                <w:rFonts w:hint="eastAsia" w:ascii="宋体" w:hAnsi="宋体"/>
                <w:kern w:val="0"/>
                <w:szCs w:val="21"/>
              </w:rPr>
              <w:t>学历</w:t>
            </w:r>
          </w:p>
        </w:tc>
        <w:tc>
          <w:tcPr>
            <w:tcW w:w="1730"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r>
              <w:rPr>
                <w:rFonts w:hint="eastAsia" w:ascii="宋体" w:hAnsi="宋体"/>
                <w:kern w:val="0"/>
                <w:szCs w:val="21"/>
              </w:rPr>
              <w:t>专业</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r>
              <w:rPr>
                <w:rFonts w:hint="eastAsia" w:ascii="宋体" w:hAnsi="宋体"/>
                <w:kern w:val="0"/>
                <w:szCs w:val="21"/>
              </w:rPr>
              <w:t>证书号</w:t>
            </w:r>
          </w:p>
        </w:tc>
        <w:tc>
          <w:tcPr>
            <w:tcW w:w="144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53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r>
              <w:rPr>
                <w:rFonts w:hint="eastAsia" w:ascii="宋体" w:hAnsi="宋体"/>
                <w:kern w:val="0"/>
                <w:szCs w:val="21"/>
              </w:rPr>
              <w:t>职务</w:t>
            </w:r>
          </w:p>
        </w:tc>
        <w:tc>
          <w:tcPr>
            <w:tcW w:w="1730"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r>
              <w:rPr>
                <w:rFonts w:hint="eastAsia" w:ascii="宋体" w:hAnsi="宋体"/>
                <w:kern w:val="0"/>
                <w:szCs w:val="21"/>
              </w:rPr>
              <w:t>职称</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r>
              <w:rPr>
                <w:rFonts w:hint="eastAsia" w:ascii="宋体" w:hAnsi="宋体"/>
                <w:kern w:val="0"/>
                <w:szCs w:val="21"/>
              </w:rPr>
              <w:t>工作年限</w:t>
            </w:r>
          </w:p>
        </w:tc>
        <w:tc>
          <w:tcPr>
            <w:tcW w:w="144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8816" w:type="dxa"/>
            <w:gridSpan w:val="11"/>
            <w:tcBorders>
              <w:top w:val="single" w:color="auto" w:sz="4" w:space="0"/>
              <w:left w:val="single" w:color="auto" w:sz="4" w:space="0"/>
              <w:bottom w:val="single" w:color="auto" w:sz="4" w:space="0"/>
              <w:right w:val="single" w:color="auto" w:sz="4" w:space="0"/>
            </w:tcBorders>
          </w:tcPr>
          <w:p>
            <w:pPr>
              <w:spacing w:before="120" w:beforeLines="50" w:after="100" w:afterAutospacing="1" w:line="360" w:lineRule="auto"/>
              <w:rPr>
                <w:rFonts w:ascii="宋体" w:hAnsi="宋体"/>
                <w:kern w:val="0"/>
                <w:szCs w:val="21"/>
              </w:rPr>
            </w:pPr>
            <w:r>
              <w:rPr>
                <w:rFonts w:hint="eastAsia" w:ascii="宋体" w:hAnsi="宋体"/>
                <w:kern w:val="0"/>
                <w:szCs w:val="21"/>
              </w:rPr>
              <w:t>主要工作经历（包括起止年限、单位名称、从事的工作内容、单位职务）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81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kern w:val="0"/>
                <w:szCs w:val="21"/>
              </w:rPr>
            </w:pPr>
            <w:r>
              <w:rPr>
                <w:rFonts w:hint="eastAsia" w:ascii="宋体" w:hAnsi="宋体"/>
                <w:kern w:val="0"/>
                <w:szCs w:val="21"/>
              </w:rPr>
              <w:t>主要项目业绩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kern w:val="0"/>
                <w:szCs w:val="21"/>
              </w:rPr>
            </w:pPr>
            <w:r>
              <w:rPr>
                <w:rFonts w:hint="eastAsia" w:ascii="宋体" w:hAnsi="宋体"/>
                <w:kern w:val="0"/>
                <w:szCs w:val="21"/>
              </w:rPr>
              <w:t>序号</w:t>
            </w:r>
          </w:p>
        </w:tc>
        <w:tc>
          <w:tcPr>
            <w:tcW w:w="165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kern w:val="0"/>
                <w:szCs w:val="21"/>
              </w:rPr>
            </w:pPr>
            <w:r>
              <w:rPr>
                <w:rFonts w:hint="eastAsia" w:ascii="宋体" w:hAnsi="宋体"/>
                <w:kern w:val="0"/>
                <w:szCs w:val="21"/>
              </w:rPr>
              <w:t>项目名称</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kern w:val="0"/>
                <w:szCs w:val="21"/>
              </w:rPr>
            </w:pPr>
            <w:r>
              <w:rPr>
                <w:rFonts w:hint="eastAsia" w:ascii="宋体" w:hAnsi="宋体"/>
                <w:kern w:val="0"/>
                <w:szCs w:val="21"/>
              </w:rPr>
              <w:t>建设单位</w:t>
            </w:r>
          </w:p>
        </w:tc>
        <w:tc>
          <w:tcPr>
            <w:tcW w:w="1471"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kern w:val="0"/>
                <w:szCs w:val="21"/>
              </w:rPr>
            </w:pPr>
            <w:r>
              <w:rPr>
                <w:rFonts w:hint="eastAsia" w:ascii="宋体" w:hAnsi="宋体"/>
                <w:kern w:val="0"/>
                <w:szCs w:val="21"/>
              </w:rPr>
              <w:t>勘察类型</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kern w:val="0"/>
                <w:szCs w:val="21"/>
              </w:rPr>
            </w:pPr>
            <w:r>
              <w:rPr>
                <w:rFonts w:hint="eastAsia" w:ascii="宋体" w:hAnsi="宋体"/>
                <w:kern w:val="0"/>
                <w:szCs w:val="21"/>
              </w:rPr>
              <w:t>起止时间</w:t>
            </w:r>
          </w:p>
        </w:tc>
        <w:tc>
          <w:tcPr>
            <w:tcW w:w="2281"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kern w:val="0"/>
                <w:szCs w:val="21"/>
              </w:rPr>
            </w:pPr>
            <w:r>
              <w:rPr>
                <w:rFonts w:hint="eastAsia" w:ascii="宋体" w:hAnsi="宋体"/>
                <w:kern w:val="0"/>
                <w:szCs w:val="21"/>
              </w:rPr>
              <w:t>本人在该项目中主要完成的工作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360" w:lineRule="auto"/>
              <w:jc w:val="left"/>
              <w:rPr>
                <w:rFonts w:ascii="宋体" w:hAnsi="宋体"/>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line="360" w:lineRule="auto"/>
              <w:jc w:val="left"/>
              <w:rPr>
                <w:rFonts w:ascii="宋体" w:hAnsi="宋体"/>
                <w:kern w:val="0"/>
                <w:szCs w:val="21"/>
              </w:rPr>
            </w:pPr>
          </w:p>
        </w:tc>
        <w:tc>
          <w:tcPr>
            <w:tcW w:w="1474" w:type="dxa"/>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line="360" w:lineRule="auto"/>
              <w:jc w:val="left"/>
              <w:rPr>
                <w:rFonts w:ascii="宋体" w:hAnsi="宋体"/>
                <w:kern w:val="0"/>
                <w:szCs w:val="21"/>
              </w:rPr>
            </w:pPr>
          </w:p>
        </w:tc>
        <w:tc>
          <w:tcPr>
            <w:tcW w:w="1471" w:type="dxa"/>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line="360" w:lineRule="auto"/>
              <w:jc w:val="left"/>
              <w:rPr>
                <w:rFonts w:ascii="宋体" w:hAnsi="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line="360" w:lineRule="auto"/>
              <w:jc w:val="left"/>
              <w:rPr>
                <w:rFonts w:ascii="宋体" w:hAnsi="宋体"/>
                <w:kern w:val="0"/>
                <w:szCs w:val="21"/>
              </w:rPr>
            </w:pPr>
          </w:p>
        </w:tc>
        <w:tc>
          <w:tcPr>
            <w:tcW w:w="2281" w:type="dxa"/>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line="360" w:lineRule="auto"/>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360" w:lineRule="auto"/>
              <w:jc w:val="left"/>
              <w:rPr>
                <w:rFonts w:ascii="宋体" w:hAnsi="宋体"/>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line="360" w:lineRule="auto"/>
              <w:jc w:val="left"/>
              <w:rPr>
                <w:rFonts w:ascii="宋体" w:hAnsi="宋体"/>
                <w:kern w:val="0"/>
                <w:szCs w:val="21"/>
              </w:rPr>
            </w:pPr>
          </w:p>
        </w:tc>
        <w:tc>
          <w:tcPr>
            <w:tcW w:w="1474" w:type="dxa"/>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line="360" w:lineRule="auto"/>
              <w:jc w:val="left"/>
              <w:rPr>
                <w:rFonts w:ascii="宋体" w:hAnsi="宋体"/>
                <w:kern w:val="0"/>
                <w:szCs w:val="21"/>
              </w:rPr>
            </w:pPr>
          </w:p>
        </w:tc>
        <w:tc>
          <w:tcPr>
            <w:tcW w:w="1471" w:type="dxa"/>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line="360" w:lineRule="auto"/>
              <w:jc w:val="left"/>
              <w:rPr>
                <w:rFonts w:ascii="宋体" w:hAnsi="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line="360" w:lineRule="auto"/>
              <w:jc w:val="left"/>
              <w:rPr>
                <w:rFonts w:ascii="宋体" w:hAnsi="宋体"/>
                <w:kern w:val="0"/>
                <w:szCs w:val="21"/>
              </w:rPr>
            </w:pPr>
          </w:p>
        </w:tc>
        <w:tc>
          <w:tcPr>
            <w:tcW w:w="2281" w:type="dxa"/>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line="360" w:lineRule="auto"/>
              <w:jc w:val="left"/>
              <w:rPr>
                <w:rFonts w:ascii="宋体" w:hAnsi="宋体"/>
                <w:kern w:val="0"/>
                <w:szCs w:val="21"/>
              </w:rPr>
            </w:pPr>
          </w:p>
        </w:tc>
      </w:tr>
    </w:tbl>
    <w:p>
      <w:pPr>
        <w:spacing w:before="100" w:beforeAutospacing="1" w:line="360" w:lineRule="auto"/>
        <w:jc w:val="left"/>
        <w:rPr>
          <w:rFonts w:ascii="宋体" w:hAnsi="宋体"/>
          <w:kern w:val="0"/>
          <w:szCs w:val="21"/>
          <w:highlight w:val="none"/>
        </w:rPr>
      </w:pPr>
      <w:r>
        <w:rPr>
          <w:rFonts w:hint="eastAsia" w:ascii="宋体" w:hAnsi="宋体"/>
          <w:kern w:val="0"/>
          <w:szCs w:val="21"/>
        </w:rPr>
        <w:t>备</w:t>
      </w:r>
      <w:r>
        <w:rPr>
          <w:rFonts w:hint="eastAsia" w:ascii="宋体" w:hAnsi="宋体"/>
          <w:kern w:val="0"/>
          <w:szCs w:val="21"/>
          <w:highlight w:val="none"/>
        </w:rPr>
        <w:t>注：</w:t>
      </w:r>
    </w:p>
    <w:p>
      <w:pPr>
        <w:pStyle w:val="65"/>
        <w:numPr>
          <w:ilvl w:val="0"/>
          <w:numId w:val="11"/>
        </w:numPr>
        <w:spacing w:after="100" w:afterAutospacing="1" w:line="360" w:lineRule="auto"/>
        <w:ind w:left="0" w:firstLine="567" w:firstLineChars="0"/>
        <w:jc w:val="left"/>
        <w:rPr>
          <w:rFonts w:ascii="宋体" w:hAnsi="宋体"/>
          <w:szCs w:val="21"/>
          <w:highlight w:val="none"/>
        </w:rPr>
      </w:pPr>
      <w:r>
        <w:rPr>
          <w:rFonts w:hint="eastAsia" w:ascii="宋体" w:hAnsi="宋体"/>
          <w:szCs w:val="21"/>
          <w:highlight w:val="none"/>
        </w:rPr>
        <w:t>项目负责人需要填写此表。</w:t>
      </w:r>
    </w:p>
    <w:p>
      <w:pPr>
        <w:pStyle w:val="65"/>
        <w:numPr>
          <w:ilvl w:val="0"/>
          <w:numId w:val="11"/>
        </w:numPr>
        <w:spacing w:before="100" w:beforeAutospacing="1" w:after="100" w:afterAutospacing="1" w:line="360" w:lineRule="auto"/>
        <w:ind w:left="0" w:firstLine="567" w:firstLineChars="0"/>
        <w:jc w:val="left"/>
        <w:rPr>
          <w:rFonts w:ascii="宋体" w:hAnsi="宋体"/>
          <w:szCs w:val="21"/>
          <w:highlight w:val="none"/>
        </w:rPr>
      </w:pPr>
      <w:r>
        <w:rPr>
          <w:rFonts w:hint="eastAsia" w:ascii="宋体" w:hAnsi="宋体"/>
          <w:szCs w:val="21"/>
          <w:highlight w:val="none"/>
        </w:rPr>
        <w:t>提供毕业证、职称证、资格证（如有）等证件复印件。</w:t>
      </w:r>
    </w:p>
    <w:p>
      <w:pPr>
        <w:pStyle w:val="65"/>
        <w:numPr>
          <w:ilvl w:val="0"/>
          <w:numId w:val="11"/>
        </w:numPr>
        <w:spacing w:before="100" w:beforeAutospacing="1" w:after="100" w:afterAutospacing="1" w:line="360" w:lineRule="auto"/>
        <w:ind w:left="0" w:firstLine="567" w:firstLineChars="0"/>
        <w:jc w:val="left"/>
        <w:rPr>
          <w:rFonts w:ascii="宋体" w:hAnsi="宋体"/>
          <w:szCs w:val="21"/>
          <w:highlight w:val="none"/>
        </w:rPr>
      </w:pPr>
      <w:r>
        <w:rPr>
          <w:rFonts w:hint="eastAsia" w:ascii="宋体" w:hAnsi="宋体"/>
          <w:szCs w:val="21"/>
          <w:highlight w:val="none"/>
        </w:rPr>
        <w:t>项目负责人主要项目经验证明：近5年来，承接过</w:t>
      </w:r>
      <w:r>
        <w:rPr>
          <w:rFonts w:hint="eastAsia" w:ascii="宋体" w:hAnsi="宋体"/>
          <w:bCs/>
          <w:highlight w:val="none"/>
          <w:lang w:eastAsia="zh-Hans"/>
        </w:rPr>
        <w:t>全国范围内</w:t>
      </w:r>
      <w:r>
        <w:rPr>
          <w:rFonts w:hint="eastAsia" w:ascii="宋体" w:hAnsi="宋体"/>
          <w:bCs/>
          <w:highlight w:val="none"/>
        </w:rPr>
        <w:t>超前钻</w:t>
      </w:r>
      <w:r>
        <w:rPr>
          <w:rFonts w:hint="eastAsia" w:ascii="宋体" w:hAnsi="宋体"/>
          <w:bCs/>
          <w:highlight w:val="none"/>
          <w:lang w:eastAsia="zh-CN"/>
        </w:rPr>
        <w:t>或初勘或详勘</w:t>
      </w:r>
      <w:r>
        <w:rPr>
          <w:rFonts w:hint="eastAsia" w:ascii="宋体" w:hAnsi="宋体"/>
          <w:bCs/>
          <w:highlight w:val="none"/>
        </w:rPr>
        <w:t>类业绩</w:t>
      </w:r>
      <w:r>
        <w:rPr>
          <w:rFonts w:hint="eastAsia" w:ascii="宋体" w:hAnsi="宋体"/>
          <w:szCs w:val="21"/>
          <w:highlight w:val="none"/>
        </w:rPr>
        <w:t>，须提供勘察合同关键页、中标通知书（如有）。业绩总数提供不超过5个</w:t>
      </w:r>
      <w:r>
        <w:rPr>
          <w:rFonts w:hint="eastAsia"/>
          <w:bCs/>
          <w:highlight w:val="none"/>
        </w:rPr>
        <w:t>，超过取前</w:t>
      </w:r>
      <w:r>
        <w:rPr>
          <w:bCs/>
          <w:highlight w:val="none"/>
        </w:rPr>
        <w:t>5</w:t>
      </w:r>
      <w:r>
        <w:rPr>
          <w:rFonts w:hint="eastAsia"/>
          <w:bCs/>
          <w:highlight w:val="none"/>
        </w:rPr>
        <w:t>个有效业绩</w:t>
      </w:r>
      <w:r>
        <w:rPr>
          <w:rFonts w:hint="eastAsia" w:ascii="宋体" w:hAnsi="宋体"/>
          <w:szCs w:val="21"/>
          <w:highlight w:val="none"/>
        </w:rPr>
        <w:t>。</w:t>
      </w:r>
    </w:p>
    <w:p>
      <w:pPr>
        <w:numPr>
          <w:ilvl w:val="0"/>
          <w:numId w:val="11"/>
        </w:numPr>
        <w:spacing w:line="360" w:lineRule="auto"/>
        <w:ind w:left="0" w:firstLine="567"/>
        <w:rPr>
          <w:bCs/>
          <w:highlight w:val="none"/>
        </w:rPr>
      </w:pPr>
      <w:r>
        <w:rPr>
          <w:rFonts w:hint="eastAsia"/>
          <w:bCs/>
          <w:highlight w:val="none"/>
        </w:rPr>
        <w:t>时间范围从本项目招标文件发布之日开始时间倒推。</w:t>
      </w:r>
    </w:p>
    <w:p>
      <w:pPr>
        <w:numPr>
          <w:ilvl w:val="0"/>
          <w:numId w:val="11"/>
        </w:numPr>
        <w:spacing w:line="360" w:lineRule="auto"/>
        <w:ind w:left="0" w:firstLine="567"/>
        <w:rPr>
          <w:bCs/>
          <w:highlight w:val="none"/>
        </w:rPr>
      </w:pPr>
      <w:r>
        <w:rPr>
          <w:rFonts w:hint="eastAsia"/>
          <w:highlight w:val="none"/>
        </w:rPr>
        <w:t>业绩时间以合同签订之日为准。</w:t>
      </w:r>
    </w:p>
    <w:p>
      <w:pPr>
        <w:pStyle w:val="65"/>
        <w:numPr>
          <w:ilvl w:val="0"/>
          <w:numId w:val="11"/>
        </w:numPr>
        <w:spacing w:before="100" w:beforeAutospacing="1" w:after="100" w:afterAutospacing="1" w:line="360" w:lineRule="auto"/>
        <w:ind w:left="0" w:firstLine="567" w:firstLineChars="0"/>
        <w:jc w:val="left"/>
        <w:rPr>
          <w:rFonts w:ascii="宋体" w:hAnsi="宋体"/>
          <w:szCs w:val="21"/>
        </w:rPr>
      </w:pPr>
      <w:r>
        <w:rPr>
          <w:rFonts w:hint="eastAsia" w:ascii="宋体" w:hAnsi="宋体"/>
          <w:szCs w:val="21"/>
          <w:highlight w:val="none"/>
        </w:rPr>
        <w:t>项目负责人主要项目业绩，只要业绩文件能体现该人参与该项目即视为其业绩，不受</w:t>
      </w:r>
      <w:r>
        <w:rPr>
          <w:rFonts w:hint="eastAsia" w:ascii="宋体" w:hAnsi="宋体"/>
          <w:szCs w:val="21"/>
        </w:rPr>
        <w:t>限该人聘用单位。</w:t>
      </w:r>
    </w:p>
    <w:p>
      <w:pPr>
        <w:pStyle w:val="59"/>
        <w:ind w:left="0" w:right="1449" w:firstLine="3840" w:firstLineChars="1600"/>
        <w:jc w:val="right"/>
        <w:rPr>
          <w:rFonts w:ascii="宋体" w:hAnsi="宋体" w:eastAsia="宋体"/>
          <w:color w:val="auto"/>
          <w:sz w:val="24"/>
          <w:szCs w:val="24"/>
        </w:rPr>
      </w:pPr>
      <w:r>
        <w:rPr>
          <w:rFonts w:hint="eastAsia" w:ascii="宋体" w:hAnsi="宋体" w:eastAsia="宋体"/>
          <w:color w:val="auto"/>
          <w:sz w:val="24"/>
          <w:szCs w:val="24"/>
        </w:rPr>
        <w:t>投标人：(盖章)</w:t>
      </w:r>
    </w:p>
    <w:p>
      <w:pPr>
        <w:pStyle w:val="59"/>
        <w:ind w:left="0" w:right="1449" w:firstLine="5952" w:firstLineChars="2480"/>
        <w:jc w:val="left"/>
        <w:rPr>
          <w:rFonts w:ascii="宋体" w:hAnsi="宋体" w:eastAsia="宋体"/>
          <w:color w:val="auto"/>
          <w:sz w:val="24"/>
          <w:szCs w:val="24"/>
        </w:rPr>
      </w:pPr>
      <w:r>
        <w:rPr>
          <w:rFonts w:hint="eastAsia" w:ascii="宋体" w:hAnsi="宋体" w:eastAsia="宋体"/>
          <w:color w:val="auto"/>
          <w:sz w:val="24"/>
          <w:szCs w:val="24"/>
        </w:rPr>
        <w:t>日期：</w:t>
      </w:r>
    </w:p>
    <w:p>
      <w:pPr>
        <w:pStyle w:val="3"/>
        <w:spacing w:line="360" w:lineRule="auto"/>
        <w:rPr>
          <w:rFonts w:ascii="宋体" w:hAnsi="宋体"/>
          <w:sz w:val="21"/>
          <w:szCs w:val="21"/>
        </w:rPr>
      </w:pPr>
      <w:r>
        <w:rPr>
          <w:b w:val="0"/>
          <w:bCs w:val="0"/>
        </w:rPr>
        <w:br w:type="page"/>
      </w:r>
      <w:bookmarkStart w:id="81" w:name="_Toc72409737"/>
      <w:bookmarkStart w:id="82" w:name="_Toc32475"/>
      <w:r>
        <w:rPr>
          <w:rFonts w:hint="eastAsia" w:ascii="宋体" w:hAnsi="宋体"/>
          <w:sz w:val="21"/>
          <w:szCs w:val="21"/>
        </w:rPr>
        <w:t>附录</w:t>
      </w:r>
      <w:r>
        <w:rPr>
          <w:rFonts w:hint="eastAsia" w:ascii="宋体" w:hAnsi="宋体"/>
          <w:sz w:val="21"/>
          <w:szCs w:val="21"/>
          <w:lang w:val="en-US" w:eastAsia="zh-CN"/>
        </w:rPr>
        <w:t>23</w:t>
      </w:r>
      <w:r>
        <w:rPr>
          <w:rFonts w:hint="eastAsia" w:ascii="宋体" w:hAnsi="宋体"/>
          <w:sz w:val="21"/>
          <w:szCs w:val="21"/>
        </w:rPr>
        <w:t xml:space="preserve"> 近5年勘察项目业绩一览表</w:t>
      </w:r>
      <w:bookmarkEnd w:id="81"/>
      <w:bookmarkEnd w:id="82"/>
    </w:p>
    <w:p>
      <w:pPr>
        <w:adjustRightInd w:val="0"/>
        <w:snapToGrid w:val="0"/>
        <w:spacing w:line="360" w:lineRule="auto"/>
        <w:jc w:val="center"/>
        <w:outlineLvl w:val="2"/>
        <w:rPr>
          <w:rFonts w:ascii="黑体" w:hAnsi="宋体" w:eastAsia="黑体"/>
          <w:b/>
          <w:snapToGrid w:val="0"/>
          <w:kern w:val="0"/>
          <w:sz w:val="30"/>
        </w:rPr>
      </w:pPr>
      <w:bookmarkStart w:id="83" w:name="_Toc71718321"/>
      <w:bookmarkStart w:id="84" w:name="_Toc72409738"/>
      <w:bookmarkStart w:id="85" w:name="_Toc71718396"/>
      <w:r>
        <w:rPr>
          <w:rFonts w:hint="eastAsia" w:ascii="黑体" w:hAnsi="宋体" w:eastAsia="黑体"/>
          <w:b/>
          <w:snapToGrid w:val="0"/>
          <w:kern w:val="0"/>
          <w:sz w:val="30"/>
        </w:rPr>
        <w:t>近5年</w:t>
      </w:r>
      <w:bookmarkStart w:id="86" w:name="_Toc513153078"/>
      <w:bookmarkStart w:id="87" w:name="_Toc57849263"/>
      <w:bookmarkStart w:id="88" w:name="_Hlk59461735"/>
      <w:r>
        <w:rPr>
          <w:rFonts w:hint="eastAsia" w:ascii="黑体" w:hAnsi="宋体" w:eastAsia="黑体"/>
          <w:b/>
          <w:snapToGrid w:val="0"/>
          <w:kern w:val="0"/>
          <w:sz w:val="30"/>
        </w:rPr>
        <w:t>勘察项目业绩一览表</w:t>
      </w:r>
      <w:bookmarkEnd w:id="83"/>
      <w:bookmarkEnd w:id="84"/>
      <w:bookmarkEnd w:id="85"/>
      <w:bookmarkEnd w:id="86"/>
      <w:bookmarkEnd w:id="87"/>
      <w:bookmarkEnd w:id="88"/>
    </w:p>
    <w:tbl>
      <w:tblPr>
        <w:tblStyle w:val="38"/>
        <w:tblW w:w="908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489"/>
        <w:gridCol w:w="1434"/>
        <w:gridCol w:w="1434"/>
        <w:gridCol w:w="1342"/>
        <w:gridCol w:w="1084"/>
        <w:gridCol w:w="889"/>
        <w:gridCol w:w="1108"/>
        <w:gridCol w:w="130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tcBorders>
              <w:top w:val="single" w:color="000000" w:sz="8" w:space="0"/>
              <w:left w:val="single" w:color="000000" w:sz="8" w:space="0"/>
              <w:bottom w:val="single" w:color="000000" w:sz="4" w:space="0"/>
              <w:right w:val="single" w:color="000000" w:sz="4" w:space="0"/>
            </w:tcBorders>
            <w:vAlign w:val="center"/>
          </w:tcPr>
          <w:p>
            <w:pPr>
              <w:pStyle w:val="70"/>
              <w:spacing w:before="0" w:after="0" w:line="240" w:lineRule="auto"/>
              <w:rPr>
                <w:rFonts w:ascii="宋体" w:hAnsi="宋体" w:eastAsia="宋体"/>
                <w:szCs w:val="18"/>
              </w:rPr>
            </w:pPr>
            <w:r>
              <w:rPr>
                <w:rFonts w:hint="eastAsia" w:ascii="宋体" w:hAnsi="宋体" w:eastAsia="宋体"/>
                <w:szCs w:val="18"/>
              </w:rPr>
              <w:t>序号</w:t>
            </w:r>
          </w:p>
        </w:tc>
        <w:tc>
          <w:tcPr>
            <w:tcW w:w="1434" w:type="dxa"/>
            <w:tcBorders>
              <w:top w:val="single" w:color="000000" w:sz="8" w:space="0"/>
              <w:left w:val="single" w:color="000000" w:sz="4" w:space="0"/>
              <w:bottom w:val="single" w:color="000000" w:sz="4" w:space="0"/>
              <w:right w:val="single" w:color="000000" w:sz="4" w:space="0"/>
            </w:tcBorders>
            <w:vAlign w:val="center"/>
          </w:tcPr>
          <w:p>
            <w:pPr>
              <w:pStyle w:val="70"/>
              <w:spacing w:before="0" w:after="0" w:line="240" w:lineRule="auto"/>
              <w:rPr>
                <w:rFonts w:ascii="宋体" w:hAnsi="宋体" w:eastAsia="宋体"/>
                <w:szCs w:val="18"/>
              </w:rPr>
            </w:pPr>
            <w:r>
              <w:rPr>
                <w:rFonts w:hint="eastAsia" w:ascii="宋体" w:hAnsi="宋体" w:eastAsia="宋体"/>
                <w:szCs w:val="18"/>
              </w:rPr>
              <w:t>工程名称</w:t>
            </w:r>
          </w:p>
        </w:tc>
        <w:tc>
          <w:tcPr>
            <w:tcW w:w="1434" w:type="dxa"/>
            <w:tcBorders>
              <w:top w:val="single" w:color="000000" w:sz="8" w:space="0"/>
              <w:left w:val="single" w:color="000000" w:sz="4" w:space="0"/>
              <w:bottom w:val="single" w:color="000000" w:sz="4" w:space="0"/>
              <w:right w:val="single" w:color="000000" w:sz="4" w:space="0"/>
            </w:tcBorders>
            <w:vAlign w:val="center"/>
          </w:tcPr>
          <w:p>
            <w:pPr>
              <w:pStyle w:val="70"/>
              <w:spacing w:before="0" w:after="0" w:line="240" w:lineRule="auto"/>
              <w:rPr>
                <w:rFonts w:ascii="宋体" w:hAnsi="宋体" w:eastAsia="宋体"/>
                <w:szCs w:val="18"/>
              </w:rPr>
            </w:pPr>
            <w:r>
              <w:rPr>
                <w:rFonts w:hint="eastAsia" w:ascii="宋体" w:hAnsi="宋体" w:eastAsia="宋体"/>
                <w:szCs w:val="18"/>
              </w:rPr>
              <w:t>建设单位</w:t>
            </w:r>
          </w:p>
        </w:tc>
        <w:tc>
          <w:tcPr>
            <w:tcW w:w="1342" w:type="dxa"/>
            <w:tcBorders>
              <w:top w:val="single" w:color="000000" w:sz="8" w:space="0"/>
              <w:left w:val="single" w:color="000000" w:sz="4" w:space="0"/>
              <w:bottom w:val="single" w:color="000000" w:sz="4" w:space="0"/>
              <w:right w:val="single" w:color="000000" w:sz="4" w:space="0"/>
            </w:tcBorders>
            <w:vAlign w:val="center"/>
          </w:tcPr>
          <w:p>
            <w:pPr>
              <w:pStyle w:val="70"/>
              <w:spacing w:before="0" w:after="0" w:line="240" w:lineRule="auto"/>
              <w:rPr>
                <w:rFonts w:ascii="宋体" w:hAnsi="宋体" w:eastAsia="宋体"/>
                <w:szCs w:val="18"/>
              </w:rPr>
            </w:pPr>
            <w:r>
              <w:rPr>
                <w:rFonts w:hint="eastAsia" w:ascii="宋体" w:hAnsi="宋体" w:eastAsia="宋体"/>
                <w:szCs w:val="18"/>
              </w:rPr>
              <w:t>建设地点</w:t>
            </w:r>
          </w:p>
        </w:tc>
        <w:tc>
          <w:tcPr>
            <w:tcW w:w="1084" w:type="dxa"/>
            <w:tcBorders>
              <w:top w:val="single" w:color="000000" w:sz="8" w:space="0"/>
              <w:left w:val="single" w:color="000000" w:sz="4" w:space="0"/>
              <w:bottom w:val="single" w:color="000000" w:sz="4" w:space="0"/>
              <w:right w:val="single" w:color="000000" w:sz="4" w:space="0"/>
            </w:tcBorders>
            <w:vAlign w:val="center"/>
          </w:tcPr>
          <w:p>
            <w:pPr>
              <w:pStyle w:val="70"/>
              <w:spacing w:before="0" w:after="0" w:line="240" w:lineRule="auto"/>
              <w:rPr>
                <w:rFonts w:ascii="宋体" w:hAnsi="宋体" w:eastAsia="宋体"/>
                <w:szCs w:val="18"/>
              </w:rPr>
            </w:pPr>
            <w:r>
              <w:rPr>
                <w:rFonts w:hint="eastAsia" w:ascii="宋体" w:hAnsi="宋体" w:eastAsia="宋体"/>
                <w:szCs w:val="18"/>
              </w:rPr>
              <w:t>建设规模</w:t>
            </w:r>
          </w:p>
          <w:p>
            <w:pPr>
              <w:pStyle w:val="70"/>
              <w:spacing w:before="0" w:after="0" w:line="240" w:lineRule="auto"/>
              <w:rPr>
                <w:rFonts w:ascii="宋体" w:hAnsi="宋体" w:eastAsia="宋体"/>
                <w:szCs w:val="18"/>
              </w:rPr>
            </w:pPr>
            <w:r>
              <w:rPr>
                <w:rFonts w:hint="eastAsia" w:ascii="宋体" w:hAnsi="宋体" w:eastAsia="宋体"/>
                <w:szCs w:val="18"/>
              </w:rPr>
              <w:t>(万平米)</w:t>
            </w:r>
          </w:p>
        </w:tc>
        <w:tc>
          <w:tcPr>
            <w:tcW w:w="889" w:type="dxa"/>
            <w:tcBorders>
              <w:top w:val="single" w:color="000000" w:sz="8" w:space="0"/>
              <w:left w:val="single" w:color="000000" w:sz="4" w:space="0"/>
              <w:bottom w:val="single" w:color="000000" w:sz="4" w:space="0"/>
              <w:right w:val="single" w:color="000000" w:sz="4" w:space="0"/>
            </w:tcBorders>
            <w:vAlign w:val="center"/>
          </w:tcPr>
          <w:p>
            <w:pPr>
              <w:pStyle w:val="70"/>
              <w:spacing w:before="0" w:after="0" w:line="240" w:lineRule="auto"/>
              <w:rPr>
                <w:rFonts w:ascii="宋体" w:hAnsi="宋体" w:eastAsia="宋体"/>
                <w:szCs w:val="18"/>
              </w:rPr>
            </w:pPr>
            <w:r>
              <w:rPr>
                <w:rFonts w:hint="eastAsia" w:ascii="宋体" w:hAnsi="宋体" w:eastAsia="宋体"/>
                <w:szCs w:val="18"/>
              </w:rPr>
              <w:t>项目起始时间</w:t>
            </w:r>
          </w:p>
        </w:tc>
        <w:tc>
          <w:tcPr>
            <w:tcW w:w="1108" w:type="dxa"/>
            <w:tcBorders>
              <w:top w:val="single" w:color="000000" w:sz="8" w:space="0"/>
              <w:left w:val="single" w:color="000000" w:sz="4" w:space="0"/>
              <w:bottom w:val="single" w:color="000000" w:sz="4" w:space="0"/>
              <w:right w:val="single" w:color="000000" w:sz="4" w:space="0"/>
            </w:tcBorders>
            <w:vAlign w:val="center"/>
          </w:tcPr>
          <w:p>
            <w:pPr>
              <w:pStyle w:val="70"/>
              <w:spacing w:before="0" w:after="0" w:line="240" w:lineRule="auto"/>
              <w:rPr>
                <w:rFonts w:ascii="宋体" w:hAnsi="宋体" w:eastAsia="宋体"/>
                <w:szCs w:val="18"/>
              </w:rPr>
            </w:pPr>
            <w:r>
              <w:rPr>
                <w:rFonts w:hint="eastAsia" w:ascii="宋体" w:hAnsi="宋体" w:eastAsia="宋体"/>
                <w:szCs w:val="18"/>
              </w:rPr>
              <w:t>勘察阶段</w:t>
            </w:r>
          </w:p>
        </w:tc>
        <w:tc>
          <w:tcPr>
            <w:tcW w:w="1309" w:type="dxa"/>
            <w:tcBorders>
              <w:top w:val="single" w:color="000000" w:sz="8" w:space="0"/>
              <w:left w:val="single" w:color="000000" w:sz="4" w:space="0"/>
              <w:bottom w:val="single" w:color="000000" w:sz="4" w:space="0"/>
              <w:right w:val="single" w:color="000000" w:sz="8" w:space="0"/>
            </w:tcBorders>
            <w:vAlign w:val="center"/>
          </w:tcPr>
          <w:p>
            <w:pPr>
              <w:pStyle w:val="70"/>
              <w:spacing w:before="0" w:after="0" w:line="240" w:lineRule="auto"/>
              <w:rPr>
                <w:rFonts w:ascii="宋体" w:hAnsi="宋体" w:eastAsia="宋体"/>
                <w:szCs w:val="18"/>
              </w:rPr>
            </w:pPr>
            <w:r>
              <w:rPr>
                <w:rFonts w:hint="eastAsia" w:ascii="宋体" w:hAnsi="宋体" w:eastAsia="宋体"/>
                <w:szCs w:val="18"/>
              </w:rPr>
              <w:t>负责人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tcBorders>
              <w:top w:val="single" w:color="000000" w:sz="4" w:space="0"/>
              <w:left w:val="single" w:color="000000" w:sz="8"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08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889"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108"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09" w:type="dxa"/>
            <w:tcBorders>
              <w:top w:val="single" w:color="000000" w:sz="4" w:space="0"/>
              <w:left w:val="single" w:color="000000" w:sz="4" w:space="0"/>
              <w:bottom w:val="single" w:color="000000" w:sz="4" w:space="0"/>
              <w:right w:val="single" w:color="000000" w:sz="8" w:space="0"/>
            </w:tcBorders>
          </w:tcPr>
          <w:p>
            <w:pPr>
              <w:pStyle w:val="70"/>
              <w:jc w:val="both"/>
              <w:rPr>
                <w:b/>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tcBorders>
              <w:top w:val="single" w:color="000000" w:sz="4" w:space="0"/>
              <w:left w:val="single" w:color="000000" w:sz="8"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08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889"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108"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09" w:type="dxa"/>
            <w:tcBorders>
              <w:top w:val="single" w:color="000000" w:sz="4" w:space="0"/>
              <w:left w:val="single" w:color="000000" w:sz="4" w:space="0"/>
              <w:bottom w:val="single" w:color="000000" w:sz="4" w:space="0"/>
              <w:right w:val="single" w:color="000000" w:sz="8" w:space="0"/>
            </w:tcBorders>
          </w:tcPr>
          <w:p>
            <w:pPr>
              <w:pStyle w:val="70"/>
              <w:jc w:val="both"/>
              <w:rPr>
                <w:b/>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tcBorders>
              <w:top w:val="single" w:color="000000" w:sz="4" w:space="0"/>
              <w:left w:val="single" w:color="000000" w:sz="8"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08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889"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108"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09" w:type="dxa"/>
            <w:tcBorders>
              <w:top w:val="single" w:color="000000" w:sz="4" w:space="0"/>
              <w:left w:val="single" w:color="000000" w:sz="4" w:space="0"/>
              <w:bottom w:val="single" w:color="000000" w:sz="4" w:space="0"/>
              <w:right w:val="single" w:color="000000" w:sz="8" w:space="0"/>
            </w:tcBorders>
          </w:tcPr>
          <w:p>
            <w:pPr>
              <w:pStyle w:val="70"/>
              <w:jc w:val="both"/>
              <w:rPr>
                <w:b/>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tcBorders>
              <w:top w:val="single" w:color="000000" w:sz="4" w:space="0"/>
              <w:left w:val="single" w:color="000000" w:sz="8"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08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889"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108"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09" w:type="dxa"/>
            <w:tcBorders>
              <w:top w:val="single" w:color="000000" w:sz="4" w:space="0"/>
              <w:left w:val="single" w:color="000000" w:sz="4" w:space="0"/>
              <w:bottom w:val="single" w:color="000000" w:sz="4" w:space="0"/>
              <w:right w:val="single" w:color="000000" w:sz="8" w:space="0"/>
            </w:tcBorders>
          </w:tcPr>
          <w:p>
            <w:pPr>
              <w:pStyle w:val="70"/>
              <w:jc w:val="both"/>
              <w:rPr>
                <w:b/>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tcBorders>
              <w:top w:val="single" w:color="000000" w:sz="4" w:space="0"/>
              <w:left w:val="single" w:color="000000" w:sz="8"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08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889"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108"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09" w:type="dxa"/>
            <w:tcBorders>
              <w:top w:val="single" w:color="000000" w:sz="4" w:space="0"/>
              <w:left w:val="single" w:color="000000" w:sz="4" w:space="0"/>
              <w:bottom w:val="single" w:color="000000" w:sz="4" w:space="0"/>
              <w:right w:val="single" w:color="000000" w:sz="8" w:space="0"/>
            </w:tcBorders>
          </w:tcPr>
          <w:p>
            <w:pPr>
              <w:pStyle w:val="70"/>
              <w:jc w:val="both"/>
              <w:rPr>
                <w:b/>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tcBorders>
              <w:top w:val="single" w:color="000000" w:sz="4" w:space="0"/>
              <w:left w:val="single" w:color="000000" w:sz="8"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08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889"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108"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09" w:type="dxa"/>
            <w:tcBorders>
              <w:top w:val="single" w:color="000000" w:sz="4" w:space="0"/>
              <w:left w:val="single" w:color="000000" w:sz="4" w:space="0"/>
              <w:bottom w:val="single" w:color="000000" w:sz="4" w:space="0"/>
              <w:right w:val="single" w:color="000000" w:sz="8" w:space="0"/>
            </w:tcBorders>
          </w:tcPr>
          <w:p>
            <w:pPr>
              <w:pStyle w:val="70"/>
              <w:jc w:val="both"/>
              <w:rPr>
                <w:b/>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tcBorders>
              <w:top w:val="single" w:color="000000" w:sz="4" w:space="0"/>
              <w:left w:val="single" w:color="000000" w:sz="8"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08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889"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108"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09" w:type="dxa"/>
            <w:tcBorders>
              <w:top w:val="single" w:color="000000" w:sz="4" w:space="0"/>
              <w:left w:val="single" w:color="000000" w:sz="4" w:space="0"/>
              <w:bottom w:val="single" w:color="000000" w:sz="4" w:space="0"/>
              <w:right w:val="single" w:color="000000" w:sz="8" w:space="0"/>
            </w:tcBorders>
          </w:tcPr>
          <w:p>
            <w:pPr>
              <w:pStyle w:val="70"/>
              <w:jc w:val="both"/>
              <w:rPr>
                <w:b/>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tcBorders>
              <w:top w:val="single" w:color="000000" w:sz="4" w:space="0"/>
              <w:left w:val="single" w:color="000000" w:sz="8"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08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889"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108"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09" w:type="dxa"/>
            <w:tcBorders>
              <w:top w:val="single" w:color="000000" w:sz="4" w:space="0"/>
              <w:left w:val="single" w:color="000000" w:sz="4" w:space="0"/>
              <w:bottom w:val="single" w:color="000000" w:sz="4" w:space="0"/>
              <w:right w:val="single" w:color="000000" w:sz="8" w:space="0"/>
            </w:tcBorders>
          </w:tcPr>
          <w:p>
            <w:pPr>
              <w:pStyle w:val="70"/>
              <w:jc w:val="both"/>
              <w:rPr>
                <w:b/>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tcBorders>
              <w:top w:val="single" w:color="000000" w:sz="4" w:space="0"/>
              <w:left w:val="single" w:color="000000" w:sz="8"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08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889"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108"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09" w:type="dxa"/>
            <w:tcBorders>
              <w:top w:val="single" w:color="000000" w:sz="4" w:space="0"/>
              <w:left w:val="single" w:color="000000" w:sz="4" w:space="0"/>
              <w:bottom w:val="single" w:color="000000" w:sz="4" w:space="0"/>
              <w:right w:val="single" w:color="000000" w:sz="8" w:space="0"/>
            </w:tcBorders>
          </w:tcPr>
          <w:p>
            <w:pPr>
              <w:pStyle w:val="70"/>
              <w:jc w:val="both"/>
              <w:rPr>
                <w:b/>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tcBorders>
              <w:top w:val="single" w:color="000000" w:sz="4" w:space="0"/>
              <w:left w:val="single" w:color="000000" w:sz="8"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08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889"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108"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09" w:type="dxa"/>
            <w:tcBorders>
              <w:top w:val="single" w:color="000000" w:sz="4" w:space="0"/>
              <w:left w:val="single" w:color="000000" w:sz="4" w:space="0"/>
              <w:bottom w:val="single" w:color="000000" w:sz="4" w:space="0"/>
              <w:right w:val="single" w:color="000000" w:sz="8" w:space="0"/>
            </w:tcBorders>
          </w:tcPr>
          <w:p>
            <w:pPr>
              <w:pStyle w:val="70"/>
              <w:jc w:val="both"/>
              <w:rPr>
                <w:b/>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tcBorders>
              <w:top w:val="single" w:color="000000" w:sz="4" w:space="0"/>
              <w:left w:val="single" w:color="000000" w:sz="8"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084"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889"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108" w:type="dxa"/>
            <w:tcBorders>
              <w:top w:val="single" w:color="000000" w:sz="4" w:space="0"/>
              <w:left w:val="single" w:color="000000" w:sz="4" w:space="0"/>
              <w:bottom w:val="single" w:color="000000" w:sz="4" w:space="0"/>
              <w:right w:val="single" w:color="000000" w:sz="4" w:space="0"/>
            </w:tcBorders>
            <w:vAlign w:val="center"/>
          </w:tcPr>
          <w:p>
            <w:pPr>
              <w:pStyle w:val="70"/>
              <w:jc w:val="both"/>
              <w:rPr>
                <w:b/>
              </w:rPr>
            </w:pPr>
          </w:p>
        </w:tc>
        <w:tc>
          <w:tcPr>
            <w:tcW w:w="1309" w:type="dxa"/>
            <w:tcBorders>
              <w:top w:val="single" w:color="000000" w:sz="4" w:space="0"/>
              <w:left w:val="single" w:color="000000" w:sz="4" w:space="0"/>
              <w:bottom w:val="single" w:color="000000" w:sz="4" w:space="0"/>
              <w:right w:val="single" w:color="000000" w:sz="8" w:space="0"/>
            </w:tcBorders>
          </w:tcPr>
          <w:p>
            <w:pPr>
              <w:pStyle w:val="70"/>
              <w:jc w:val="both"/>
              <w:rPr>
                <w:b/>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tcBorders>
              <w:top w:val="single" w:color="000000" w:sz="4" w:space="0"/>
              <w:left w:val="single" w:color="000000" w:sz="8" w:space="0"/>
              <w:bottom w:val="single" w:color="000000" w:sz="8"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8" w:space="0"/>
              <w:right w:val="single" w:color="000000" w:sz="4" w:space="0"/>
            </w:tcBorders>
            <w:vAlign w:val="center"/>
          </w:tcPr>
          <w:p>
            <w:pPr>
              <w:pStyle w:val="70"/>
              <w:jc w:val="both"/>
              <w:rPr>
                <w:b/>
              </w:rPr>
            </w:pPr>
          </w:p>
        </w:tc>
        <w:tc>
          <w:tcPr>
            <w:tcW w:w="1434" w:type="dxa"/>
            <w:tcBorders>
              <w:top w:val="single" w:color="000000" w:sz="4" w:space="0"/>
              <w:left w:val="single" w:color="000000" w:sz="4" w:space="0"/>
              <w:bottom w:val="single" w:color="000000" w:sz="8" w:space="0"/>
              <w:right w:val="single" w:color="000000" w:sz="4" w:space="0"/>
            </w:tcBorders>
            <w:vAlign w:val="center"/>
          </w:tcPr>
          <w:p>
            <w:pPr>
              <w:pStyle w:val="70"/>
              <w:jc w:val="both"/>
              <w:rPr>
                <w:b/>
              </w:rPr>
            </w:pPr>
          </w:p>
        </w:tc>
        <w:tc>
          <w:tcPr>
            <w:tcW w:w="1342" w:type="dxa"/>
            <w:tcBorders>
              <w:top w:val="single" w:color="000000" w:sz="4" w:space="0"/>
              <w:left w:val="single" w:color="000000" w:sz="4" w:space="0"/>
              <w:bottom w:val="single" w:color="000000" w:sz="8" w:space="0"/>
              <w:right w:val="single" w:color="000000" w:sz="4" w:space="0"/>
            </w:tcBorders>
            <w:vAlign w:val="center"/>
          </w:tcPr>
          <w:p>
            <w:pPr>
              <w:pStyle w:val="70"/>
              <w:jc w:val="both"/>
              <w:rPr>
                <w:b/>
              </w:rPr>
            </w:pPr>
          </w:p>
        </w:tc>
        <w:tc>
          <w:tcPr>
            <w:tcW w:w="1084" w:type="dxa"/>
            <w:tcBorders>
              <w:top w:val="single" w:color="000000" w:sz="4" w:space="0"/>
              <w:left w:val="single" w:color="000000" w:sz="4" w:space="0"/>
              <w:bottom w:val="single" w:color="000000" w:sz="8" w:space="0"/>
              <w:right w:val="single" w:color="000000" w:sz="4" w:space="0"/>
            </w:tcBorders>
            <w:vAlign w:val="center"/>
          </w:tcPr>
          <w:p>
            <w:pPr>
              <w:pStyle w:val="70"/>
              <w:jc w:val="both"/>
              <w:rPr>
                <w:b/>
              </w:rPr>
            </w:pPr>
          </w:p>
        </w:tc>
        <w:tc>
          <w:tcPr>
            <w:tcW w:w="889" w:type="dxa"/>
            <w:tcBorders>
              <w:top w:val="single" w:color="000000" w:sz="4" w:space="0"/>
              <w:left w:val="single" w:color="000000" w:sz="4" w:space="0"/>
              <w:bottom w:val="single" w:color="000000" w:sz="8" w:space="0"/>
              <w:right w:val="single" w:color="000000" w:sz="4" w:space="0"/>
            </w:tcBorders>
            <w:vAlign w:val="center"/>
          </w:tcPr>
          <w:p>
            <w:pPr>
              <w:pStyle w:val="70"/>
              <w:jc w:val="both"/>
              <w:rPr>
                <w:b/>
              </w:rPr>
            </w:pPr>
          </w:p>
        </w:tc>
        <w:tc>
          <w:tcPr>
            <w:tcW w:w="1108" w:type="dxa"/>
            <w:tcBorders>
              <w:top w:val="single" w:color="000000" w:sz="4" w:space="0"/>
              <w:left w:val="single" w:color="000000" w:sz="4" w:space="0"/>
              <w:bottom w:val="single" w:color="000000" w:sz="8" w:space="0"/>
              <w:right w:val="single" w:color="000000" w:sz="4" w:space="0"/>
            </w:tcBorders>
            <w:vAlign w:val="center"/>
          </w:tcPr>
          <w:p>
            <w:pPr>
              <w:pStyle w:val="70"/>
              <w:jc w:val="both"/>
              <w:rPr>
                <w:b/>
              </w:rPr>
            </w:pPr>
          </w:p>
        </w:tc>
        <w:tc>
          <w:tcPr>
            <w:tcW w:w="1309" w:type="dxa"/>
            <w:tcBorders>
              <w:top w:val="single" w:color="000000" w:sz="4" w:space="0"/>
              <w:left w:val="single" w:color="000000" w:sz="4" w:space="0"/>
              <w:bottom w:val="single" w:color="000000" w:sz="8" w:space="0"/>
              <w:right w:val="single" w:color="000000" w:sz="8" w:space="0"/>
            </w:tcBorders>
          </w:tcPr>
          <w:p>
            <w:pPr>
              <w:pStyle w:val="70"/>
              <w:jc w:val="both"/>
              <w:rPr>
                <w:b/>
              </w:rPr>
            </w:pPr>
          </w:p>
        </w:tc>
      </w:tr>
    </w:tbl>
    <w:p>
      <w:pPr>
        <w:spacing w:before="240"/>
        <w:rPr>
          <w:bCs/>
        </w:rPr>
      </w:pPr>
      <w:r>
        <w:rPr>
          <w:rFonts w:hint="eastAsia"/>
          <w:bCs/>
        </w:rPr>
        <w:t>备注：</w:t>
      </w:r>
      <w:r>
        <w:rPr>
          <w:bCs/>
        </w:rPr>
        <w:t xml:space="preserve"> </w:t>
      </w:r>
    </w:p>
    <w:p>
      <w:pPr>
        <w:spacing w:line="360" w:lineRule="auto"/>
        <w:ind w:firstLine="424" w:firstLineChars="202"/>
        <w:rPr>
          <w:rFonts w:ascii="宋体" w:hAnsi="宋体"/>
          <w:bCs/>
          <w:highlight w:val="none"/>
        </w:rPr>
      </w:pPr>
      <w:r>
        <w:rPr>
          <w:rFonts w:ascii="宋体" w:hAnsi="宋体"/>
          <w:bCs/>
        </w:rPr>
        <w:t>1</w:t>
      </w:r>
      <w:r>
        <w:rPr>
          <w:rFonts w:hint="eastAsia" w:ascii="宋体" w:hAnsi="宋体"/>
          <w:bCs/>
        </w:rPr>
        <w:t>、项目业绩指：投标人至</w:t>
      </w:r>
      <w:r>
        <w:rPr>
          <w:rFonts w:hint="eastAsia" w:ascii="宋体" w:hAnsi="宋体"/>
          <w:bCs/>
          <w:highlight w:val="none"/>
        </w:rPr>
        <w:t>今承接过的</w:t>
      </w:r>
      <w:r>
        <w:rPr>
          <w:rFonts w:hint="eastAsia" w:ascii="宋体" w:hAnsi="宋体"/>
          <w:bCs/>
          <w:highlight w:val="none"/>
          <w:lang w:eastAsia="zh-Hans"/>
        </w:rPr>
        <w:t>全国范围内</w:t>
      </w:r>
      <w:r>
        <w:rPr>
          <w:rFonts w:hint="eastAsia" w:ascii="宋体" w:hAnsi="宋体"/>
          <w:bCs/>
          <w:highlight w:val="none"/>
        </w:rPr>
        <w:t>超前钻</w:t>
      </w:r>
      <w:r>
        <w:rPr>
          <w:rFonts w:hint="eastAsia" w:ascii="宋体" w:hAnsi="宋体"/>
          <w:bCs/>
          <w:highlight w:val="none"/>
          <w:lang w:eastAsia="zh-CN"/>
        </w:rPr>
        <w:t>或初勘或详勘</w:t>
      </w:r>
      <w:r>
        <w:rPr>
          <w:rFonts w:hint="eastAsia" w:ascii="宋体" w:hAnsi="宋体"/>
          <w:bCs/>
          <w:highlight w:val="none"/>
        </w:rPr>
        <w:t>类业绩，应出具相关合同原件（封面、签字页及包含其所承担部分的工程规模的内容部分）的影印件（并提供用户信息备查）或其他证明材料。业绩总数提供不超过</w:t>
      </w:r>
      <w:r>
        <w:rPr>
          <w:rFonts w:ascii="宋体" w:hAnsi="宋体"/>
          <w:bCs/>
          <w:highlight w:val="none"/>
        </w:rPr>
        <w:t>5</w:t>
      </w:r>
      <w:r>
        <w:rPr>
          <w:rFonts w:hint="eastAsia" w:ascii="宋体" w:hAnsi="宋体"/>
          <w:bCs/>
          <w:highlight w:val="none"/>
        </w:rPr>
        <w:t>个，超过取前</w:t>
      </w:r>
      <w:r>
        <w:rPr>
          <w:rFonts w:ascii="宋体" w:hAnsi="宋体"/>
          <w:bCs/>
          <w:highlight w:val="none"/>
        </w:rPr>
        <w:t>5</w:t>
      </w:r>
      <w:r>
        <w:rPr>
          <w:rFonts w:hint="eastAsia" w:ascii="宋体" w:hAnsi="宋体"/>
          <w:bCs/>
          <w:highlight w:val="none"/>
        </w:rPr>
        <w:t>个有效业绩。</w:t>
      </w:r>
    </w:p>
    <w:p>
      <w:pPr>
        <w:spacing w:line="360" w:lineRule="auto"/>
        <w:ind w:firstLine="424" w:firstLineChars="202"/>
        <w:rPr>
          <w:rFonts w:ascii="宋体" w:hAnsi="宋体"/>
          <w:bCs/>
          <w:highlight w:val="none"/>
        </w:rPr>
      </w:pPr>
      <w:r>
        <w:rPr>
          <w:rFonts w:ascii="宋体" w:hAnsi="宋体"/>
          <w:bCs/>
          <w:highlight w:val="none"/>
        </w:rPr>
        <w:t>2</w:t>
      </w:r>
      <w:r>
        <w:rPr>
          <w:rFonts w:hint="eastAsia" w:ascii="宋体" w:hAnsi="宋体"/>
          <w:bCs/>
          <w:highlight w:val="none"/>
        </w:rPr>
        <w:t>、时间范围从本项目招标文件发布之日开始时间倒推。</w:t>
      </w:r>
    </w:p>
    <w:p>
      <w:pPr>
        <w:pStyle w:val="18"/>
        <w:spacing w:after="0" w:line="360" w:lineRule="auto"/>
        <w:ind w:left="0" w:leftChars="0" w:right="1470" w:firstLine="424" w:firstLineChars="202"/>
        <w:rPr>
          <w:rFonts w:ascii="宋体" w:hAnsi="宋体"/>
          <w:highlight w:val="none"/>
        </w:rPr>
      </w:pPr>
      <w:r>
        <w:rPr>
          <w:rFonts w:ascii="宋体" w:hAnsi="宋体"/>
          <w:highlight w:val="none"/>
        </w:rPr>
        <w:t>3</w:t>
      </w:r>
      <w:r>
        <w:rPr>
          <w:rFonts w:hint="eastAsia" w:ascii="宋体" w:hAnsi="宋体"/>
          <w:highlight w:val="none"/>
        </w:rPr>
        <w:t>、业绩时间以合同签订之日为准。</w:t>
      </w:r>
    </w:p>
    <w:p>
      <w:pPr>
        <w:spacing w:line="360" w:lineRule="auto"/>
        <w:ind w:firstLine="424" w:firstLineChars="202"/>
        <w:rPr>
          <w:bCs/>
          <w:highlight w:val="none"/>
        </w:rPr>
      </w:pPr>
      <w:r>
        <w:rPr>
          <w:rFonts w:ascii="宋体" w:hAnsi="宋体"/>
          <w:bCs/>
          <w:highlight w:val="none"/>
        </w:rPr>
        <w:t>4</w:t>
      </w:r>
      <w:r>
        <w:rPr>
          <w:rFonts w:hint="eastAsia" w:ascii="宋体" w:hAnsi="宋体"/>
          <w:bCs/>
          <w:highlight w:val="none"/>
        </w:rPr>
        <w:t>、投标人务必确保本表内容的真实性，如有隐瞒，后果自负</w:t>
      </w:r>
      <w:r>
        <w:rPr>
          <w:rFonts w:hint="eastAsia"/>
          <w:bCs/>
          <w:highlight w:val="none"/>
        </w:rPr>
        <w:t>。</w:t>
      </w:r>
    </w:p>
    <w:p>
      <w:pPr>
        <w:pStyle w:val="33"/>
        <w:snapToGrid w:val="0"/>
        <w:spacing w:before="0" w:beforeAutospacing="0" w:after="0" w:afterAutospacing="0" w:line="360" w:lineRule="auto"/>
        <w:ind w:firstLine="426" w:firstLineChars="202"/>
        <w:rPr>
          <w:b/>
          <w:sz w:val="21"/>
          <w:szCs w:val="21"/>
          <w:shd w:val="clear" w:color="auto" w:fill="FFFFFF"/>
        </w:rPr>
      </w:pPr>
    </w:p>
    <w:p>
      <w:pPr>
        <w:pStyle w:val="33"/>
        <w:snapToGrid w:val="0"/>
        <w:spacing w:before="0" w:beforeAutospacing="0" w:after="0" w:afterAutospacing="0" w:line="360" w:lineRule="auto"/>
        <w:ind w:firstLine="426" w:firstLineChars="202"/>
        <w:rPr>
          <w:b/>
          <w:sz w:val="21"/>
          <w:szCs w:val="21"/>
          <w:shd w:val="clear" w:color="auto" w:fill="FFFFFF"/>
        </w:rPr>
      </w:pPr>
    </w:p>
    <w:p>
      <w:pPr>
        <w:pStyle w:val="2"/>
        <w:spacing w:line="360" w:lineRule="auto"/>
        <w:ind w:firstLine="0" w:firstLineChars="0"/>
        <w:outlineLvl w:val="0"/>
        <w:rPr>
          <w:rFonts w:hAnsi="宋体"/>
          <w:b/>
          <w:szCs w:val="21"/>
          <w:shd w:val="clear" w:color="auto" w:fill="FFFFFF"/>
        </w:rPr>
      </w:pPr>
    </w:p>
    <w:sectPr>
      <w:pgSz w:w="11906" w:h="16838"/>
      <w:pgMar w:top="1440" w:right="1469" w:bottom="1440" w:left="1440" w:header="851" w:footer="992" w:gutter="0"/>
      <w:cols w:space="720" w:num="1"/>
      <w:docGrid w:linePitch="321" w:charSpace="8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00" w:usb3="00000000" w:csb0="00040000" w:csb1="00000000"/>
  </w:font>
  <w:font w:name="EU-F1">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0"/>
      </w:rPr>
    </w:pPr>
    <w:r>
      <w:fldChar w:fldCharType="begin"/>
    </w:r>
    <w:r>
      <w:rPr>
        <w:rStyle w:val="40"/>
      </w:rPr>
      <w:instrText xml:space="preserve">PAGE  </w:instrText>
    </w:r>
    <w:r>
      <w:fldChar w:fldCharType="separate"/>
    </w:r>
    <w:r>
      <w:rPr>
        <w:rStyle w:val="40"/>
      </w:rPr>
      <w:t>21</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285115"/>
              <wp:effectExtent l="0" t="0" r="0" b="0"/>
              <wp:wrapNone/>
              <wp:docPr id="2" name="文本框 4"/>
              <wp:cNvGraphicFramePr/>
              <a:graphic xmlns:a="http://schemas.openxmlformats.org/drawingml/2006/main">
                <a:graphicData uri="http://schemas.microsoft.com/office/word/2010/wordprocessingShape">
                  <wps:wsp>
                    <wps:cNvSpPr txBox="1"/>
                    <wps:spPr bwMode="auto">
                      <a:xfrm>
                        <a:off x="0" y="0"/>
                        <a:ext cx="114300" cy="285115"/>
                      </a:xfrm>
                      <a:prstGeom prst="rect">
                        <a:avLst/>
                      </a:prstGeom>
                      <a:noFill/>
                      <a:ln>
                        <a:noFill/>
                      </a:ln>
                    </wps:spPr>
                    <wps:txbx>
                      <w:txbxContent>
                        <w:p>
                          <w:pPr>
                            <w:pStyle w:val="25"/>
                            <w:rPr>
                              <w:rStyle w:val="40"/>
                            </w:rPr>
                          </w:pPr>
                          <w:r>
                            <w:fldChar w:fldCharType="begin"/>
                          </w:r>
                          <w:r>
                            <w:rPr>
                              <w:rStyle w:val="40"/>
                            </w:rPr>
                            <w:instrText xml:space="preserve">PAGE  </w:instrText>
                          </w:r>
                          <w:r>
                            <w:fldChar w:fldCharType="separate"/>
                          </w:r>
                          <w:r>
                            <w:rPr>
                              <w:rStyle w:val="40"/>
                            </w:rPr>
                            <w:t>1</w:t>
                          </w:r>
                          <w:r>
                            <w:fldChar w:fldCharType="end"/>
                          </w:r>
                        </w:p>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22.45pt;width:9pt;mso-position-horizontal:center;mso-position-horizontal-relative:margin;mso-wrap-style:none;z-index:251659264;mso-width-relative:page;mso-height-relative:page;" filled="f" stroked="f" coordsize="21600,21600" o:gfxdata="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wZfC9AA&#10;AAADAQAADwAAAAAAAAABACAAAAAiAAAAZHJzL2Rvd25yZXYueG1sUEsBAhQAFAAAAAgAh07iQDex&#10;zdnuAQAA0gMAAA4AAAAAAAAAAQAgAAAAHwEAAGRycy9lMm9Eb2MueG1sUEsFBgAAAAAGAAYAWQEA&#10;AH8FAAAAAA==&#10;">
              <v:fill on="f" focussize="0,0"/>
              <v:stroke on="f"/>
              <v:imagedata o:title=""/>
              <o:lock v:ext="edit" aspectratio="f"/>
              <v:textbox inset="0mm,0mm,0mm,0mm" style="mso-fit-shape-to-text:t;">
                <w:txbxContent>
                  <w:p>
                    <w:pPr>
                      <w:pStyle w:val="25"/>
                      <w:rPr>
                        <w:rStyle w:val="40"/>
                      </w:rPr>
                    </w:pPr>
                    <w:r>
                      <w:fldChar w:fldCharType="begin"/>
                    </w:r>
                    <w:r>
                      <w:rPr>
                        <w:rStyle w:val="40"/>
                      </w:rPr>
                      <w:instrText xml:space="preserve">PAGE  </w:instrText>
                    </w:r>
                    <w:r>
                      <w:fldChar w:fldCharType="separate"/>
                    </w:r>
                    <w:r>
                      <w:rPr>
                        <w:rStyle w:val="40"/>
                      </w:rPr>
                      <w:t>1</w:t>
                    </w:r>
                    <w: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300" cy="285115"/>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14300" cy="285115"/>
                      </a:xfrm>
                      <a:prstGeom prst="rect">
                        <a:avLst/>
                      </a:prstGeom>
                      <a:noFill/>
                      <a:ln>
                        <a:noFill/>
                      </a:ln>
                      <a:effectLst/>
                    </wps:spPr>
                    <wps:txbx>
                      <w:txbxContent>
                        <w:p>
                          <w:pPr>
                            <w:pStyle w:val="25"/>
                            <w:rPr>
                              <w:rStyle w:val="40"/>
                            </w:rPr>
                          </w:pPr>
                          <w:r>
                            <w:fldChar w:fldCharType="begin"/>
                          </w:r>
                          <w:r>
                            <w:rPr>
                              <w:rStyle w:val="40"/>
                            </w:rPr>
                            <w:instrText xml:space="preserve">PAGE  </w:instrText>
                          </w:r>
                          <w:r>
                            <w:fldChar w:fldCharType="separate"/>
                          </w:r>
                          <w:r>
                            <w:rPr>
                              <w:rStyle w:val="40"/>
                            </w:rP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2.45pt;width:9pt;mso-position-horizontal:center;mso-position-horizontal-relative:margin;mso-wrap-style:none;z-index:251660288;mso-width-relative:page;mso-height-relative:page;" filled="f" stroked="f" coordsize="21600,21600" o:gfxdata="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L&#10;Bl8L0AAAAAMBAAAPAAAAAAAAAAEAIAAAACIAAABkcnMvZG93bnJldi54bWxQSwECFAAUAAAACACH&#10;TuJAwHHsGvMBAADgAwAADgAAAAAAAAABACAAAAAfAQAAZHJzL2Uyb0RvYy54bWxQSwUGAAAAAAYA&#10;BgBZAQAAhAUAAAAA&#10;">
              <v:fill on="f" focussize="0,0"/>
              <v:stroke on="f"/>
              <v:imagedata o:title=""/>
              <o:lock v:ext="edit" aspectratio="f"/>
              <v:textbox inset="0mm,0mm,0mm,0mm" style="mso-fit-shape-to-text:t;">
                <w:txbxContent>
                  <w:p>
                    <w:pPr>
                      <w:pStyle w:val="25"/>
                      <w:rPr>
                        <w:rStyle w:val="40"/>
                      </w:rPr>
                    </w:pPr>
                    <w:r>
                      <w:fldChar w:fldCharType="begin"/>
                    </w:r>
                    <w:r>
                      <w:rPr>
                        <w:rStyle w:val="40"/>
                      </w:rPr>
                      <w:instrText xml:space="preserve">PAGE  </w:instrText>
                    </w:r>
                    <w:r>
                      <w:fldChar w:fldCharType="separate"/>
                    </w:r>
                    <w:r>
                      <w:rPr>
                        <w:rStyle w:val="40"/>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0"/>
      </w:rPr>
    </w:pPr>
    <w:r>
      <w:fldChar w:fldCharType="begin"/>
    </w:r>
    <w:r>
      <w:rPr>
        <w:rStyle w:val="40"/>
      </w:rPr>
      <w:instrText xml:space="preserve">PAGE  </w:instrText>
    </w:r>
    <w:r>
      <w:fldChar w:fldCharType="separate"/>
    </w:r>
    <w:r>
      <w:rPr>
        <w:rStyle w:val="40"/>
      </w:rPr>
      <w:t>52</w:t>
    </w:r>
    <w:r>
      <w:fldChar w:fldCharType="end"/>
    </w:r>
  </w:p>
  <w:p>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0"/>
      </w:rPr>
    </w:pPr>
    <w:r>
      <w:fldChar w:fldCharType="begin"/>
    </w:r>
    <w:r>
      <w:rPr>
        <w:rStyle w:val="40"/>
      </w:rPr>
      <w:instrText xml:space="preserve">PAGE  </w:instrText>
    </w:r>
    <w:r>
      <w:fldChar w:fldCharType="separate"/>
    </w:r>
    <w:r>
      <w:rPr>
        <w:rStyle w:val="40"/>
      </w:rPr>
      <w:t>21</w:t>
    </w:r>
    <w:r>
      <w:fldChar w:fldCharType="end"/>
    </w:r>
  </w:p>
  <w:p>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44</w:t>
    </w:r>
    <w:r>
      <w:fldChar w:fldCharType="end"/>
    </w:r>
  </w:p>
  <w:p>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0"/>
      </w:rPr>
    </w:pPr>
    <w:r>
      <w:fldChar w:fldCharType="begin"/>
    </w:r>
    <w:r>
      <w:rPr>
        <w:rStyle w:val="40"/>
      </w:rPr>
      <w:instrText xml:space="preserve">PAGE  </w:instrText>
    </w:r>
    <w:r>
      <w:fldChar w:fldCharType="separate"/>
    </w:r>
    <w:r>
      <w:rPr>
        <w:rStyle w:val="40"/>
      </w:rPr>
      <w:t>53</w:t>
    </w:r>
    <w:r>
      <w:fldChar w:fldCharType="end"/>
    </w:r>
  </w:p>
  <w:p>
    <w:pPr>
      <w:pStyle w:val="2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0"/>
      </w:rPr>
    </w:pPr>
    <w:r>
      <w:fldChar w:fldCharType="begin"/>
    </w:r>
    <w:r>
      <w:rPr>
        <w:rStyle w:val="40"/>
      </w:rPr>
      <w:instrText xml:space="preserve">PAGE  </w:instrText>
    </w:r>
    <w:r>
      <w:fldChar w:fldCharType="separate"/>
    </w:r>
    <w:r>
      <w:rPr>
        <w:rStyle w:val="40"/>
      </w:rPr>
      <w:t>21</w:t>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5B490"/>
    <w:multiLevelType w:val="multilevel"/>
    <w:tmpl w:val="B965B490"/>
    <w:lvl w:ilvl="0" w:tentative="0">
      <w:start w:val="1"/>
      <w:numFmt w:val="chineseCountingThousand"/>
      <w:pStyle w:val="61"/>
      <w:lvlText w:val="第%1章"/>
      <w:lvlJc w:val="left"/>
      <w:pPr>
        <w:tabs>
          <w:tab w:val="left" w:pos="0"/>
        </w:tabs>
        <w:ind w:left="6552" w:hanging="432"/>
      </w:pPr>
      <w:rPr>
        <w:rFonts w:hint="eastAsia"/>
      </w:rPr>
    </w:lvl>
    <w:lvl w:ilvl="1" w:tentative="0">
      <w:start w:val="1"/>
      <w:numFmt w:val="decimal"/>
      <w:lvlRestart w:val="0"/>
      <w:pStyle w:val="68"/>
      <w:isLgl/>
      <w:lvlText w:val="%1.%2"/>
      <w:lvlJc w:val="left"/>
      <w:pPr>
        <w:tabs>
          <w:tab w:val="left" w:pos="567"/>
        </w:tabs>
        <w:ind w:left="1134" w:hanging="1134"/>
      </w:pPr>
      <w:rPr>
        <w:rFonts w:hint="eastAsia"/>
      </w:rPr>
    </w:lvl>
    <w:lvl w:ilvl="2" w:tentative="0">
      <w:start w:val="1"/>
      <w:numFmt w:val="decimal"/>
      <w:isLgl/>
      <w:lvlText w:val="%1.%2.%3"/>
      <w:lvlJc w:val="left"/>
      <w:pPr>
        <w:tabs>
          <w:tab w:val="left" w:pos="0"/>
        </w:tabs>
        <w:ind w:left="567" w:hanging="567"/>
      </w:pPr>
      <w:rPr>
        <w:rFonts w:hint="eastAsia"/>
      </w:rPr>
    </w:lvl>
    <w:lvl w:ilvl="3" w:tentative="0">
      <w:start w:val="1"/>
      <w:numFmt w:val="decimal"/>
      <w:lvlText w:val="%1.%2.%3.%4"/>
      <w:lvlJc w:val="left"/>
      <w:pPr>
        <w:tabs>
          <w:tab w:val="left" w:pos="0"/>
        </w:tabs>
        <w:ind w:left="864" w:hanging="864"/>
      </w:pPr>
      <w:rPr>
        <w:rFonts w:hint="eastAsia"/>
      </w:rPr>
    </w:lvl>
    <w:lvl w:ilvl="4" w:tentative="0">
      <w:start w:val="1"/>
      <w:numFmt w:val="decimal"/>
      <w:lvlText w:val="%1.%2.%3.%4.%5"/>
      <w:lvlJc w:val="left"/>
      <w:pPr>
        <w:tabs>
          <w:tab w:val="left" w:pos="0"/>
        </w:tabs>
        <w:ind w:left="1008" w:hanging="1008"/>
      </w:pPr>
      <w:rPr>
        <w:rFonts w:hint="eastAsia"/>
      </w:rPr>
    </w:lvl>
    <w:lvl w:ilvl="5" w:tentative="0">
      <w:start w:val="1"/>
      <w:numFmt w:val="decimal"/>
      <w:lvlText w:val="%1.%2.%3.%4.%5.%6"/>
      <w:lvlJc w:val="left"/>
      <w:pPr>
        <w:tabs>
          <w:tab w:val="left" w:pos="0"/>
        </w:tabs>
        <w:ind w:left="1152" w:hanging="1152"/>
      </w:pPr>
      <w:rPr>
        <w:rFonts w:hint="eastAsia"/>
      </w:rPr>
    </w:lvl>
    <w:lvl w:ilvl="6" w:tentative="0">
      <w:start w:val="1"/>
      <w:numFmt w:val="decimal"/>
      <w:lvlText w:val="%1.%2.%3.%4.%5.%6.%7"/>
      <w:lvlJc w:val="left"/>
      <w:pPr>
        <w:tabs>
          <w:tab w:val="left" w:pos="0"/>
        </w:tabs>
        <w:ind w:left="1296" w:hanging="1296"/>
      </w:pPr>
      <w:rPr>
        <w:rFonts w:hint="eastAsia"/>
      </w:rPr>
    </w:lvl>
    <w:lvl w:ilvl="7" w:tentative="0">
      <w:start w:val="1"/>
      <w:numFmt w:val="decimal"/>
      <w:lvlText w:val="%1.%2.%3.%4.%5.%6.%7.%8"/>
      <w:lvlJc w:val="left"/>
      <w:pPr>
        <w:tabs>
          <w:tab w:val="left" w:pos="0"/>
        </w:tabs>
        <w:ind w:left="1440" w:hanging="1440"/>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1">
    <w:nsid w:val="E3BB0ACA"/>
    <w:multiLevelType w:val="multilevel"/>
    <w:tmpl w:val="E3BB0ACA"/>
    <w:lvl w:ilvl="0" w:tentative="0">
      <w:start w:val="1"/>
      <w:numFmt w:val="decimal"/>
      <w:lvlText w:val="（%1）"/>
      <w:lvlJc w:val="left"/>
      <w:pPr>
        <w:tabs>
          <w:tab w:val="left" w:pos="1093"/>
        </w:tabs>
        <w:ind w:left="1093" w:hanging="608"/>
      </w:pPr>
    </w:lvl>
    <w:lvl w:ilvl="1" w:tentative="0">
      <w:start w:val="1"/>
      <w:numFmt w:val="lowerLetter"/>
      <w:lvlText w:val="%2)"/>
      <w:lvlJc w:val="left"/>
      <w:pPr>
        <w:tabs>
          <w:tab w:val="left" w:pos="1325"/>
        </w:tabs>
        <w:ind w:left="1325" w:hanging="420"/>
      </w:pPr>
    </w:lvl>
    <w:lvl w:ilvl="2" w:tentative="0">
      <w:start w:val="1"/>
      <w:numFmt w:val="lowerRoman"/>
      <w:lvlText w:val="%3."/>
      <w:lvlJc w:val="right"/>
      <w:pPr>
        <w:tabs>
          <w:tab w:val="left" w:pos="1745"/>
        </w:tabs>
        <w:ind w:left="1745" w:hanging="420"/>
      </w:pPr>
    </w:lvl>
    <w:lvl w:ilvl="3" w:tentative="0">
      <w:start w:val="1"/>
      <w:numFmt w:val="decimal"/>
      <w:lvlText w:val="%4."/>
      <w:lvlJc w:val="left"/>
      <w:pPr>
        <w:tabs>
          <w:tab w:val="left" w:pos="2165"/>
        </w:tabs>
        <w:ind w:left="2165" w:hanging="420"/>
      </w:pPr>
    </w:lvl>
    <w:lvl w:ilvl="4" w:tentative="0">
      <w:start w:val="1"/>
      <w:numFmt w:val="lowerLetter"/>
      <w:lvlText w:val="%5)"/>
      <w:lvlJc w:val="left"/>
      <w:pPr>
        <w:tabs>
          <w:tab w:val="left" w:pos="2585"/>
        </w:tabs>
        <w:ind w:left="2585" w:hanging="420"/>
      </w:pPr>
    </w:lvl>
    <w:lvl w:ilvl="5" w:tentative="0">
      <w:start w:val="1"/>
      <w:numFmt w:val="lowerRoman"/>
      <w:lvlText w:val="%6."/>
      <w:lvlJc w:val="right"/>
      <w:pPr>
        <w:tabs>
          <w:tab w:val="left" w:pos="3005"/>
        </w:tabs>
        <w:ind w:left="3005" w:hanging="420"/>
      </w:pPr>
    </w:lvl>
    <w:lvl w:ilvl="6" w:tentative="0">
      <w:start w:val="1"/>
      <w:numFmt w:val="decimal"/>
      <w:lvlText w:val="%7."/>
      <w:lvlJc w:val="left"/>
      <w:pPr>
        <w:tabs>
          <w:tab w:val="left" w:pos="3425"/>
        </w:tabs>
        <w:ind w:left="3425" w:hanging="420"/>
      </w:pPr>
    </w:lvl>
    <w:lvl w:ilvl="7" w:tentative="0">
      <w:start w:val="1"/>
      <w:numFmt w:val="lowerLetter"/>
      <w:lvlText w:val="%8)"/>
      <w:lvlJc w:val="left"/>
      <w:pPr>
        <w:tabs>
          <w:tab w:val="left" w:pos="3845"/>
        </w:tabs>
        <w:ind w:left="3845" w:hanging="420"/>
      </w:pPr>
    </w:lvl>
    <w:lvl w:ilvl="8" w:tentative="0">
      <w:start w:val="1"/>
      <w:numFmt w:val="lowerRoman"/>
      <w:lvlText w:val="%9."/>
      <w:lvlJc w:val="right"/>
      <w:pPr>
        <w:tabs>
          <w:tab w:val="left" w:pos="4265"/>
        </w:tabs>
        <w:ind w:left="4265" w:hanging="420"/>
      </w:pPr>
    </w:lvl>
  </w:abstractNum>
  <w:abstractNum w:abstractNumId="2">
    <w:nsid w:val="1CE650B7"/>
    <w:multiLevelType w:val="multilevel"/>
    <w:tmpl w:val="1CE650B7"/>
    <w:lvl w:ilvl="0" w:tentative="0">
      <w:start w:val="1"/>
      <w:numFmt w:val="decimal"/>
      <w:lvlText w:val="%1、"/>
      <w:lvlJc w:val="left"/>
      <w:pPr>
        <w:ind w:left="320" w:hanging="32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
    <w:nsid w:val="259905B5"/>
    <w:multiLevelType w:val="multilevel"/>
    <w:tmpl w:val="259905B5"/>
    <w:lvl w:ilvl="0" w:tentative="0">
      <w:start w:val="1"/>
      <w:numFmt w:val="chineseCountingThousand"/>
      <w:suff w:val="space"/>
      <w:lvlText w:val="第%1章"/>
      <w:lvlJc w:val="left"/>
      <w:pPr>
        <w:tabs>
          <w:tab w:val="left" w:pos="0"/>
        </w:tabs>
        <w:ind w:left="567" w:hanging="279"/>
      </w:pPr>
      <w:rPr>
        <w:rFonts w:hint="eastAsia" w:ascii="宋体" w:hAnsi="宋体" w:eastAsia="宋体"/>
        <w:b/>
        <w:i w:val="0"/>
        <w:spacing w:val="0"/>
        <w:position w:val="0"/>
        <w:sz w:val="44"/>
      </w:rPr>
    </w:lvl>
    <w:lvl w:ilvl="1" w:tentative="0">
      <w:start w:val="1"/>
      <w:numFmt w:val="decimal"/>
      <w:suff w:val="space"/>
      <w:lvlText w:val="%2."/>
      <w:lvlJc w:val="left"/>
      <w:pPr>
        <w:tabs>
          <w:tab w:val="left" w:pos="0"/>
        </w:tabs>
        <w:ind w:left="454" w:hanging="454"/>
      </w:pPr>
      <w:rPr>
        <w:rFonts w:hint="eastAsia" w:ascii="宋体" w:hAnsi="宋体" w:eastAsia="宋体"/>
        <w:b/>
        <w:i w:val="0"/>
        <w:sz w:val="32"/>
      </w:rPr>
    </w:lvl>
    <w:lvl w:ilvl="2" w:tentative="0">
      <w:start w:val="1"/>
      <w:numFmt w:val="decimal"/>
      <w:suff w:val="space"/>
      <w:lvlText w:val="%2.%3"/>
      <w:lvlJc w:val="left"/>
      <w:pPr>
        <w:tabs>
          <w:tab w:val="left" w:pos="0"/>
        </w:tabs>
        <w:ind w:left="454" w:hanging="454"/>
      </w:pPr>
      <w:rPr>
        <w:rFonts w:hint="eastAsia" w:ascii="宋体" w:hAnsi="宋体" w:eastAsia="宋体"/>
        <w:b/>
        <w:i w:val="0"/>
        <w:sz w:val="28"/>
      </w:rPr>
    </w:lvl>
    <w:lvl w:ilvl="3" w:tentative="0">
      <w:start w:val="1"/>
      <w:numFmt w:val="decimal"/>
      <w:pStyle w:val="6"/>
      <w:suff w:val="space"/>
      <w:lvlText w:val="%2.%3.%4"/>
      <w:lvlJc w:val="left"/>
      <w:pPr>
        <w:tabs>
          <w:tab w:val="left" w:pos="0"/>
        </w:tabs>
        <w:ind w:left="284" w:hanging="284"/>
      </w:pPr>
      <w:rPr>
        <w:rFonts w:hint="eastAsia" w:ascii="宋体" w:hAnsi="宋体" w:eastAsia="宋体"/>
        <w:b/>
        <w:i w:val="0"/>
        <w:sz w:val="28"/>
      </w:rPr>
    </w:lvl>
    <w:lvl w:ilvl="4" w:tentative="0">
      <w:start w:val="1"/>
      <w:numFmt w:val="decimal"/>
      <w:pStyle w:val="7"/>
      <w:isLgl/>
      <w:suff w:val="space"/>
      <w:lvlText w:val="%2.%3.%4.%5"/>
      <w:lvlJc w:val="left"/>
      <w:pPr>
        <w:tabs>
          <w:tab w:val="left" w:pos="0"/>
        </w:tabs>
        <w:ind w:left="284" w:hanging="284"/>
      </w:pPr>
      <w:rPr>
        <w:rFonts w:hint="eastAsia" w:ascii="宋体" w:hAnsi="宋体" w:eastAsia="宋体"/>
        <w:b/>
        <w:i w:val="0"/>
        <w:strike w:val="0"/>
        <w:dstrike w:val="0"/>
        <w:sz w:val="28"/>
      </w:rPr>
    </w:lvl>
    <w:lvl w:ilvl="5" w:tentative="0">
      <w:start w:val="1"/>
      <w:numFmt w:val="decimal"/>
      <w:lvlRestart w:val="0"/>
      <w:suff w:val="space"/>
      <w:lvlText w:val="1.1.1.1.1.%6%5"/>
      <w:lvlJc w:val="left"/>
      <w:pPr>
        <w:tabs>
          <w:tab w:val="left" w:pos="0"/>
        </w:tabs>
        <w:ind w:left="0" w:firstLine="0"/>
      </w:pPr>
      <w:rPr>
        <w:rFonts w:hint="eastAsia" w:ascii="宋体" w:hAnsi="宋体" w:eastAsia="宋体"/>
        <w:b/>
        <w:i w:val="0"/>
        <w:sz w:val="28"/>
      </w:rPr>
    </w:lvl>
    <w:lvl w:ilvl="6" w:tentative="0">
      <w:start w:val="1"/>
      <w:numFmt w:val="none"/>
      <w:pStyle w:val="8"/>
      <w:suff w:val="nothing"/>
      <w:lvlText w:val=""/>
      <w:lvlJc w:val="left"/>
      <w:pPr>
        <w:tabs>
          <w:tab w:val="left" w:pos="0"/>
        </w:tabs>
        <w:ind w:left="0" w:firstLine="0"/>
      </w:pPr>
      <w:rPr>
        <w:rFonts w:hint="eastAsia"/>
      </w:rPr>
    </w:lvl>
    <w:lvl w:ilvl="7" w:tentative="0">
      <w:start w:val="1"/>
      <w:numFmt w:val="none"/>
      <w:pStyle w:val="9"/>
      <w:suff w:val="nothing"/>
      <w:lvlText w:val=""/>
      <w:lvlJc w:val="left"/>
      <w:pPr>
        <w:tabs>
          <w:tab w:val="left" w:pos="0"/>
        </w:tabs>
        <w:ind w:left="0" w:firstLine="0"/>
      </w:pPr>
      <w:rPr>
        <w:rFonts w:hint="eastAsia"/>
      </w:rPr>
    </w:lvl>
    <w:lvl w:ilvl="8" w:tentative="0">
      <w:start w:val="1"/>
      <w:numFmt w:val="none"/>
      <w:pStyle w:val="10"/>
      <w:suff w:val="nothing"/>
      <w:lvlText w:val=""/>
      <w:lvlJc w:val="left"/>
      <w:pPr>
        <w:tabs>
          <w:tab w:val="left" w:pos="0"/>
        </w:tabs>
        <w:ind w:left="0" w:firstLine="0"/>
      </w:pPr>
      <w:rPr>
        <w:rFonts w:hint="eastAsia"/>
      </w:rPr>
    </w:lvl>
  </w:abstractNum>
  <w:abstractNum w:abstractNumId="4">
    <w:nsid w:val="27D97804"/>
    <w:multiLevelType w:val="multilevel"/>
    <w:tmpl w:val="27D97804"/>
    <w:lvl w:ilvl="0" w:tentative="0">
      <w:start w:val="1"/>
      <w:numFmt w:val="decimal"/>
      <w:lvlText w:val="%1、"/>
      <w:lvlJc w:val="left"/>
      <w:pPr>
        <w:ind w:left="320" w:hanging="32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5">
    <w:nsid w:val="33255FBD"/>
    <w:multiLevelType w:val="multilevel"/>
    <w:tmpl w:val="33255FBD"/>
    <w:lvl w:ilvl="0" w:tentative="0">
      <w:start w:val="1"/>
      <w:numFmt w:val="decimal"/>
      <w:suff w:val="nothing"/>
      <w:lvlText w:val="%1、"/>
      <w:lvlJc w:val="left"/>
      <w:pPr>
        <w:ind w:left="7225" w:hanging="420"/>
      </w:pPr>
      <w:rPr>
        <w:rFonts w:ascii="宋体" w:hAnsi="宋体" w:eastAsia="宋体" w:cs="Times New Roman"/>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5DF549AE"/>
    <w:multiLevelType w:val="multilevel"/>
    <w:tmpl w:val="5DF549A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0856FA1"/>
    <w:multiLevelType w:val="singleLevel"/>
    <w:tmpl w:val="60856FA1"/>
    <w:lvl w:ilvl="0" w:tentative="0">
      <w:start w:val="2"/>
      <w:numFmt w:val="decimal"/>
      <w:suff w:val="nothing"/>
      <w:lvlText w:val="%1、"/>
      <w:lvlJc w:val="left"/>
    </w:lvl>
  </w:abstractNum>
  <w:abstractNum w:abstractNumId="8">
    <w:nsid w:val="6876443A"/>
    <w:multiLevelType w:val="multilevel"/>
    <w:tmpl w:val="6876443A"/>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696233D7"/>
    <w:multiLevelType w:val="multilevel"/>
    <w:tmpl w:val="696233D7"/>
    <w:lvl w:ilvl="0" w:tentative="0">
      <w:start w:val="1"/>
      <w:numFmt w:val="decimal"/>
      <w:lvlText w:val="%1、"/>
      <w:lvlJc w:val="left"/>
      <w:pPr>
        <w:ind w:left="360" w:hanging="36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0">
    <w:nsid w:val="6D55C038"/>
    <w:multiLevelType w:val="singleLevel"/>
    <w:tmpl w:val="6D55C038"/>
    <w:lvl w:ilvl="0" w:tentative="0">
      <w:start w:val="13"/>
      <w:numFmt w:val="decimal"/>
      <w:suff w:val="nothing"/>
      <w:lvlText w:val="（%1）"/>
      <w:lvlJc w:val="left"/>
      <w:pPr>
        <w:tabs>
          <w:tab w:val="left" w:pos="0"/>
        </w:tabs>
        <w:ind w:left="0" w:firstLine="0"/>
      </w:pPr>
    </w:lvl>
  </w:abstractNum>
  <w:num w:numId="1">
    <w:abstractNumId w:val="3"/>
  </w:num>
  <w:num w:numId="2">
    <w:abstractNumId w:val="0"/>
  </w:num>
  <w:num w:numId="3">
    <w:abstractNumId w:val="8"/>
  </w:num>
  <w:num w:numId="4">
    <w:abstractNumId w:val="1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7"/>
  <w:drawingGridVerticalSpacing w:val="160"/>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iOTA2NzVhNmYxMTBlNjQwYjcwYTJiNWI2ZTc0YzEifQ=="/>
  </w:docVars>
  <w:rsids>
    <w:rsidRoot w:val="00172A27"/>
    <w:rsid w:val="00000A29"/>
    <w:rsid w:val="0001108A"/>
    <w:rsid w:val="00012944"/>
    <w:rsid w:val="0001416C"/>
    <w:rsid w:val="00023045"/>
    <w:rsid w:val="000253C9"/>
    <w:rsid w:val="000271D8"/>
    <w:rsid w:val="000275C0"/>
    <w:rsid w:val="000424CF"/>
    <w:rsid w:val="00045495"/>
    <w:rsid w:val="00054DD1"/>
    <w:rsid w:val="0006243F"/>
    <w:rsid w:val="0007074E"/>
    <w:rsid w:val="000719F4"/>
    <w:rsid w:val="00082E33"/>
    <w:rsid w:val="00090830"/>
    <w:rsid w:val="00095A71"/>
    <w:rsid w:val="000B054B"/>
    <w:rsid w:val="000B4270"/>
    <w:rsid w:val="000C3776"/>
    <w:rsid w:val="000D37D2"/>
    <w:rsid w:val="000E6E9E"/>
    <w:rsid w:val="000F35A0"/>
    <w:rsid w:val="001032CA"/>
    <w:rsid w:val="00106AD7"/>
    <w:rsid w:val="0011490A"/>
    <w:rsid w:val="00117092"/>
    <w:rsid w:val="00126E03"/>
    <w:rsid w:val="00127F3B"/>
    <w:rsid w:val="00131141"/>
    <w:rsid w:val="0013194E"/>
    <w:rsid w:val="001341C1"/>
    <w:rsid w:val="001377F4"/>
    <w:rsid w:val="0014045F"/>
    <w:rsid w:val="00140C82"/>
    <w:rsid w:val="00143E2D"/>
    <w:rsid w:val="00143F5B"/>
    <w:rsid w:val="00146108"/>
    <w:rsid w:val="0014765D"/>
    <w:rsid w:val="001520FB"/>
    <w:rsid w:val="001656AF"/>
    <w:rsid w:val="0016574D"/>
    <w:rsid w:val="00172A27"/>
    <w:rsid w:val="00174579"/>
    <w:rsid w:val="00177D72"/>
    <w:rsid w:val="001A16B9"/>
    <w:rsid w:val="001A2B6F"/>
    <w:rsid w:val="001A33AB"/>
    <w:rsid w:val="001A6D16"/>
    <w:rsid w:val="001B3237"/>
    <w:rsid w:val="001B4176"/>
    <w:rsid w:val="001C72CC"/>
    <w:rsid w:val="001E3271"/>
    <w:rsid w:val="001E4F8E"/>
    <w:rsid w:val="001E6851"/>
    <w:rsid w:val="001F4408"/>
    <w:rsid w:val="001F4E93"/>
    <w:rsid w:val="00204CF4"/>
    <w:rsid w:val="00212102"/>
    <w:rsid w:val="00214052"/>
    <w:rsid w:val="00234196"/>
    <w:rsid w:val="00237906"/>
    <w:rsid w:val="002408E6"/>
    <w:rsid w:val="002410AE"/>
    <w:rsid w:val="002423CE"/>
    <w:rsid w:val="00260551"/>
    <w:rsid w:val="0026078F"/>
    <w:rsid w:val="00261D86"/>
    <w:rsid w:val="0026260F"/>
    <w:rsid w:val="00265AD0"/>
    <w:rsid w:val="00275B35"/>
    <w:rsid w:val="00276A91"/>
    <w:rsid w:val="00277397"/>
    <w:rsid w:val="00277808"/>
    <w:rsid w:val="00281714"/>
    <w:rsid w:val="00281A85"/>
    <w:rsid w:val="00283527"/>
    <w:rsid w:val="00284E4C"/>
    <w:rsid w:val="002943BE"/>
    <w:rsid w:val="002A4210"/>
    <w:rsid w:val="002A7223"/>
    <w:rsid w:val="002B18F1"/>
    <w:rsid w:val="002B3017"/>
    <w:rsid w:val="002B4708"/>
    <w:rsid w:val="002D68E1"/>
    <w:rsid w:val="002D6D04"/>
    <w:rsid w:val="002E0518"/>
    <w:rsid w:val="002E113E"/>
    <w:rsid w:val="002E52E3"/>
    <w:rsid w:val="002F192C"/>
    <w:rsid w:val="00303B4E"/>
    <w:rsid w:val="00306093"/>
    <w:rsid w:val="0031664D"/>
    <w:rsid w:val="00317285"/>
    <w:rsid w:val="00321584"/>
    <w:rsid w:val="00332CC3"/>
    <w:rsid w:val="00334137"/>
    <w:rsid w:val="00344460"/>
    <w:rsid w:val="0034763E"/>
    <w:rsid w:val="0035310E"/>
    <w:rsid w:val="0035599B"/>
    <w:rsid w:val="003572DC"/>
    <w:rsid w:val="00367DD3"/>
    <w:rsid w:val="003712CF"/>
    <w:rsid w:val="0037232B"/>
    <w:rsid w:val="00374DE1"/>
    <w:rsid w:val="00376028"/>
    <w:rsid w:val="0039760B"/>
    <w:rsid w:val="003A197E"/>
    <w:rsid w:val="003A2C78"/>
    <w:rsid w:val="003B0161"/>
    <w:rsid w:val="003B5207"/>
    <w:rsid w:val="003C0CEF"/>
    <w:rsid w:val="003D1383"/>
    <w:rsid w:val="003D5D04"/>
    <w:rsid w:val="003E22C8"/>
    <w:rsid w:val="00402A0D"/>
    <w:rsid w:val="00414FA8"/>
    <w:rsid w:val="00426B12"/>
    <w:rsid w:val="00441C85"/>
    <w:rsid w:val="004441E6"/>
    <w:rsid w:val="004514E8"/>
    <w:rsid w:val="004735AF"/>
    <w:rsid w:val="00474BEB"/>
    <w:rsid w:val="0047741E"/>
    <w:rsid w:val="0049246E"/>
    <w:rsid w:val="004C564E"/>
    <w:rsid w:val="004F1405"/>
    <w:rsid w:val="0050197C"/>
    <w:rsid w:val="00501E88"/>
    <w:rsid w:val="00507AED"/>
    <w:rsid w:val="00513552"/>
    <w:rsid w:val="00517B45"/>
    <w:rsid w:val="0054559F"/>
    <w:rsid w:val="00551A7D"/>
    <w:rsid w:val="005758D5"/>
    <w:rsid w:val="00585C66"/>
    <w:rsid w:val="00587B80"/>
    <w:rsid w:val="005A7A08"/>
    <w:rsid w:val="005A7F97"/>
    <w:rsid w:val="005C1A10"/>
    <w:rsid w:val="005C3463"/>
    <w:rsid w:val="005C4AE6"/>
    <w:rsid w:val="005C57ED"/>
    <w:rsid w:val="005D3679"/>
    <w:rsid w:val="005D58ED"/>
    <w:rsid w:val="005F79C3"/>
    <w:rsid w:val="005F7FD9"/>
    <w:rsid w:val="0060133B"/>
    <w:rsid w:val="0060238C"/>
    <w:rsid w:val="00605FC1"/>
    <w:rsid w:val="006155F3"/>
    <w:rsid w:val="00623DDD"/>
    <w:rsid w:val="006253C0"/>
    <w:rsid w:val="006349CD"/>
    <w:rsid w:val="006435B9"/>
    <w:rsid w:val="0064505B"/>
    <w:rsid w:val="006520EC"/>
    <w:rsid w:val="00656A16"/>
    <w:rsid w:val="00660A06"/>
    <w:rsid w:val="00661B8F"/>
    <w:rsid w:val="0067472B"/>
    <w:rsid w:val="00684557"/>
    <w:rsid w:val="00694267"/>
    <w:rsid w:val="006947DC"/>
    <w:rsid w:val="006955EE"/>
    <w:rsid w:val="006A0D45"/>
    <w:rsid w:val="006A36AB"/>
    <w:rsid w:val="006A40BF"/>
    <w:rsid w:val="006C50E8"/>
    <w:rsid w:val="006D1D80"/>
    <w:rsid w:val="006D446B"/>
    <w:rsid w:val="006D633C"/>
    <w:rsid w:val="006D7B06"/>
    <w:rsid w:val="006E3275"/>
    <w:rsid w:val="006F15CB"/>
    <w:rsid w:val="006F7AFE"/>
    <w:rsid w:val="00706199"/>
    <w:rsid w:val="00713D70"/>
    <w:rsid w:val="00715A59"/>
    <w:rsid w:val="007172B2"/>
    <w:rsid w:val="00723BE1"/>
    <w:rsid w:val="007279A8"/>
    <w:rsid w:val="0075010E"/>
    <w:rsid w:val="007565F0"/>
    <w:rsid w:val="00756B6D"/>
    <w:rsid w:val="0075702A"/>
    <w:rsid w:val="0077085A"/>
    <w:rsid w:val="00772BF7"/>
    <w:rsid w:val="0078084B"/>
    <w:rsid w:val="00781F93"/>
    <w:rsid w:val="00797055"/>
    <w:rsid w:val="007A3654"/>
    <w:rsid w:val="007A580D"/>
    <w:rsid w:val="007A758A"/>
    <w:rsid w:val="007A79E5"/>
    <w:rsid w:val="007A7C56"/>
    <w:rsid w:val="007B11F9"/>
    <w:rsid w:val="007B6A93"/>
    <w:rsid w:val="007C30FB"/>
    <w:rsid w:val="007C4956"/>
    <w:rsid w:val="007C5610"/>
    <w:rsid w:val="007C6D78"/>
    <w:rsid w:val="007D0E8C"/>
    <w:rsid w:val="007E06C5"/>
    <w:rsid w:val="007E2F74"/>
    <w:rsid w:val="007E443D"/>
    <w:rsid w:val="007E7A75"/>
    <w:rsid w:val="008035D5"/>
    <w:rsid w:val="00804CAD"/>
    <w:rsid w:val="008470EC"/>
    <w:rsid w:val="00850E2C"/>
    <w:rsid w:val="00854392"/>
    <w:rsid w:val="008557AD"/>
    <w:rsid w:val="008614C8"/>
    <w:rsid w:val="00863EEB"/>
    <w:rsid w:val="00863F58"/>
    <w:rsid w:val="00880236"/>
    <w:rsid w:val="008A5A19"/>
    <w:rsid w:val="008B26F7"/>
    <w:rsid w:val="008B7FE9"/>
    <w:rsid w:val="008C08F1"/>
    <w:rsid w:val="008D51DB"/>
    <w:rsid w:val="008F098F"/>
    <w:rsid w:val="008F1084"/>
    <w:rsid w:val="008F2AA9"/>
    <w:rsid w:val="008F3C1C"/>
    <w:rsid w:val="008F44CF"/>
    <w:rsid w:val="008F634F"/>
    <w:rsid w:val="008F7FBD"/>
    <w:rsid w:val="009019F7"/>
    <w:rsid w:val="00905D40"/>
    <w:rsid w:val="00915C14"/>
    <w:rsid w:val="00920E5A"/>
    <w:rsid w:val="009311DA"/>
    <w:rsid w:val="00941D82"/>
    <w:rsid w:val="00942A41"/>
    <w:rsid w:val="00944BF2"/>
    <w:rsid w:val="009516FA"/>
    <w:rsid w:val="00952B88"/>
    <w:rsid w:val="00962277"/>
    <w:rsid w:val="0097089B"/>
    <w:rsid w:val="00972AA3"/>
    <w:rsid w:val="00980362"/>
    <w:rsid w:val="0098366B"/>
    <w:rsid w:val="009852DA"/>
    <w:rsid w:val="00992737"/>
    <w:rsid w:val="009B2173"/>
    <w:rsid w:val="009C7EC5"/>
    <w:rsid w:val="009D4414"/>
    <w:rsid w:val="009D7BC0"/>
    <w:rsid w:val="009E0D57"/>
    <w:rsid w:val="009E6E15"/>
    <w:rsid w:val="009F4062"/>
    <w:rsid w:val="009F4FCF"/>
    <w:rsid w:val="00A0100F"/>
    <w:rsid w:val="00A01B94"/>
    <w:rsid w:val="00A04732"/>
    <w:rsid w:val="00A076E9"/>
    <w:rsid w:val="00A279F1"/>
    <w:rsid w:val="00A318FE"/>
    <w:rsid w:val="00A32581"/>
    <w:rsid w:val="00A4412E"/>
    <w:rsid w:val="00A57820"/>
    <w:rsid w:val="00A62108"/>
    <w:rsid w:val="00A705E4"/>
    <w:rsid w:val="00A70E51"/>
    <w:rsid w:val="00A7297F"/>
    <w:rsid w:val="00A7399B"/>
    <w:rsid w:val="00A74A8E"/>
    <w:rsid w:val="00A77576"/>
    <w:rsid w:val="00A77D8C"/>
    <w:rsid w:val="00A90960"/>
    <w:rsid w:val="00A93E29"/>
    <w:rsid w:val="00AA18BA"/>
    <w:rsid w:val="00AA72D3"/>
    <w:rsid w:val="00AB4639"/>
    <w:rsid w:val="00AD01BD"/>
    <w:rsid w:val="00AD3A5E"/>
    <w:rsid w:val="00AD58F1"/>
    <w:rsid w:val="00AD6370"/>
    <w:rsid w:val="00AE299A"/>
    <w:rsid w:val="00AE3EBF"/>
    <w:rsid w:val="00AE4255"/>
    <w:rsid w:val="00AF19E6"/>
    <w:rsid w:val="00AF1F51"/>
    <w:rsid w:val="00AF55AE"/>
    <w:rsid w:val="00B01E0F"/>
    <w:rsid w:val="00B115B7"/>
    <w:rsid w:val="00B177EC"/>
    <w:rsid w:val="00B20CB3"/>
    <w:rsid w:val="00B317DD"/>
    <w:rsid w:val="00B3635A"/>
    <w:rsid w:val="00B42176"/>
    <w:rsid w:val="00B452A9"/>
    <w:rsid w:val="00B45ACA"/>
    <w:rsid w:val="00B45E63"/>
    <w:rsid w:val="00B52074"/>
    <w:rsid w:val="00B52ADB"/>
    <w:rsid w:val="00B56E70"/>
    <w:rsid w:val="00B60228"/>
    <w:rsid w:val="00B636E1"/>
    <w:rsid w:val="00B646B4"/>
    <w:rsid w:val="00B70B7D"/>
    <w:rsid w:val="00B81DA2"/>
    <w:rsid w:val="00B82F7A"/>
    <w:rsid w:val="00B85AA2"/>
    <w:rsid w:val="00B90429"/>
    <w:rsid w:val="00B9226A"/>
    <w:rsid w:val="00BA405C"/>
    <w:rsid w:val="00BA539C"/>
    <w:rsid w:val="00BB11C2"/>
    <w:rsid w:val="00BB1B9D"/>
    <w:rsid w:val="00BB3B44"/>
    <w:rsid w:val="00BC61F7"/>
    <w:rsid w:val="00BE123F"/>
    <w:rsid w:val="00BE34E5"/>
    <w:rsid w:val="00BE4C0E"/>
    <w:rsid w:val="00BE4ED3"/>
    <w:rsid w:val="00C0304E"/>
    <w:rsid w:val="00C21B2A"/>
    <w:rsid w:val="00C26260"/>
    <w:rsid w:val="00C3197F"/>
    <w:rsid w:val="00C33CA4"/>
    <w:rsid w:val="00C37095"/>
    <w:rsid w:val="00C37A49"/>
    <w:rsid w:val="00C5721C"/>
    <w:rsid w:val="00C627F6"/>
    <w:rsid w:val="00C65310"/>
    <w:rsid w:val="00C72AE2"/>
    <w:rsid w:val="00C76DB6"/>
    <w:rsid w:val="00C82007"/>
    <w:rsid w:val="00C84899"/>
    <w:rsid w:val="00C872D1"/>
    <w:rsid w:val="00C91FDF"/>
    <w:rsid w:val="00CA15FF"/>
    <w:rsid w:val="00CB652F"/>
    <w:rsid w:val="00CB7311"/>
    <w:rsid w:val="00CC2763"/>
    <w:rsid w:val="00CC31C3"/>
    <w:rsid w:val="00CD50BF"/>
    <w:rsid w:val="00CE189E"/>
    <w:rsid w:val="00CE19F7"/>
    <w:rsid w:val="00CE789C"/>
    <w:rsid w:val="00CF20EA"/>
    <w:rsid w:val="00CF534E"/>
    <w:rsid w:val="00D016A5"/>
    <w:rsid w:val="00D03580"/>
    <w:rsid w:val="00D17AD8"/>
    <w:rsid w:val="00D46022"/>
    <w:rsid w:val="00D46842"/>
    <w:rsid w:val="00D530E8"/>
    <w:rsid w:val="00D55295"/>
    <w:rsid w:val="00D65E19"/>
    <w:rsid w:val="00D90FA0"/>
    <w:rsid w:val="00D97FE4"/>
    <w:rsid w:val="00DB50AE"/>
    <w:rsid w:val="00DD722A"/>
    <w:rsid w:val="00DD7D7A"/>
    <w:rsid w:val="00DE41DF"/>
    <w:rsid w:val="00DE5712"/>
    <w:rsid w:val="00DF04A6"/>
    <w:rsid w:val="00E05F00"/>
    <w:rsid w:val="00E20BAE"/>
    <w:rsid w:val="00E23E42"/>
    <w:rsid w:val="00E24456"/>
    <w:rsid w:val="00E35F0B"/>
    <w:rsid w:val="00E40987"/>
    <w:rsid w:val="00E44FF3"/>
    <w:rsid w:val="00E46B38"/>
    <w:rsid w:val="00E56873"/>
    <w:rsid w:val="00E742EE"/>
    <w:rsid w:val="00E87CB2"/>
    <w:rsid w:val="00E902EC"/>
    <w:rsid w:val="00E939A2"/>
    <w:rsid w:val="00EB4356"/>
    <w:rsid w:val="00EB6BAD"/>
    <w:rsid w:val="00EC0CA8"/>
    <w:rsid w:val="00EC33F7"/>
    <w:rsid w:val="00ED21C7"/>
    <w:rsid w:val="00EE0404"/>
    <w:rsid w:val="00EE6322"/>
    <w:rsid w:val="00EF1828"/>
    <w:rsid w:val="00F050DE"/>
    <w:rsid w:val="00F1571B"/>
    <w:rsid w:val="00F16EDA"/>
    <w:rsid w:val="00F318EE"/>
    <w:rsid w:val="00F43FAA"/>
    <w:rsid w:val="00F57A39"/>
    <w:rsid w:val="00F61F07"/>
    <w:rsid w:val="00F62091"/>
    <w:rsid w:val="00F64E57"/>
    <w:rsid w:val="00F727E8"/>
    <w:rsid w:val="00F76876"/>
    <w:rsid w:val="00F82266"/>
    <w:rsid w:val="00F84591"/>
    <w:rsid w:val="00F86801"/>
    <w:rsid w:val="00F94BB6"/>
    <w:rsid w:val="00F95EE3"/>
    <w:rsid w:val="00FB22B9"/>
    <w:rsid w:val="00FC6CDB"/>
    <w:rsid w:val="00FC7299"/>
    <w:rsid w:val="00FE703E"/>
    <w:rsid w:val="00FF1032"/>
    <w:rsid w:val="00FF7EC6"/>
    <w:rsid w:val="0186237B"/>
    <w:rsid w:val="02BF26BC"/>
    <w:rsid w:val="03363B3F"/>
    <w:rsid w:val="034A13FF"/>
    <w:rsid w:val="04206B24"/>
    <w:rsid w:val="05E76189"/>
    <w:rsid w:val="08801C77"/>
    <w:rsid w:val="08BA7844"/>
    <w:rsid w:val="08EC0910"/>
    <w:rsid w:val="0B0578F2"/>
    <w:rsid w:val="0E2A50F7"/>
    <w:rsid w:val="0E4D638C"/>
    <w:rsid w:val="0EE04661"/>
    <w:rsid w:val="12576A32"/>
    <w:rsid w:val="12921F85"/>
    <w:rsid w:val="12A4138C"/>
    <w:rsid w:val="13C116B2"/>
    <w:rsid w:val="13E204DC"/>
    <w:rsid w:val="178F5BC9"/>
    <w:rsid w:val="17EE6D9B"/>
    <w:rsid w:val="18165096"/>
    <w:rsid w:val="190D0E86"/>
    <w:rsid w:val="192E2C89"/>
    <w:rsid w:val="19932EBE"/>
    <w:rsid w:val="19EF4641"/>
    <w:rsid w:val="1AAE64F9"/>
    <w:rsid w:val="1C696C9C"/>
    <w:rsid w:val="1C8104AC"/>
    <w:rsid w:val="1D661F2A"/>
    <w:rsid w:val="1D9301ED"/>
    <w:rsid w:val="1E7923C3"/>
    <w:rsid w:val="1E9D6EFF"/>
    <w:rsid w:val="1EBB5CC9"/>
    <w:rsid w:val="1F3B5EB7"/>
    <w:rsid w:val="1FFD0170"/>
    <w:rsid w:val="210A381D"/>
    <w:rsid w:val="229D227F"/>
    <w:rsid w:val="23BD477B"/>
    <w:rsid w:val="257B63AB"/>
    <w:rsid w:val="25A94246"/>
    <w:rsid w:val="25D3066A"/>
    <w:rsid w:val="26177D8E"/>
    <w:rsid w:val="26E338A8"/>
    <w:rsid w:val="27BF08DC"/>
    <w:rsid w:val="289B69F7"/>
    <w:rsid w:val="295F2944"/>
    <w:rsid w:val="29E200A4"/>
    <w:rsid w:val="2A200B13"/>
    <w:rsid w:val="2C5C579C"/>
    <w:rsid w:val="2D357138"/>
    <w:rsid w:val="2D956903"/>
    <w:rsid w:val="2ECB5F87"/>
    <w:rsid w:val="2ED806D4"/>
    <w:rsid w:val="305F28FE"/>
    <w:rsid w:val="31647711"/>
    <w:rsid w:val="3186059C"/>
    <w:rsid w:val="32423554"/>
    <w:rsid w:val="3365757E"/>
    <w:rsid w:val="344D4279"/>
    <w:rsid w:val="34720985"/>
    <w:rsid w:val="34AF09B6"/>
    <w:rsid w:val="34BD5B51"/>
    <w:rsid w:val="34C07B0B"/>
    <w:rsid w:val="350E20B8"/>
    <w:rsid w:val="35471847"/>
    <w:rsid w:val="36FB2A34"/>
    <w:rsid w:val="37A50620"/>
    <w:rsid w:val="39A1439E"/>
    <w:rsid w:val="3AE752AF"/>
    <w:rsid w:val="3B275853"/>
    <w:rsid w:val="3B472350"/>
    <w:rsid w:val="3B71303F"/>
    <w:rsid w:val="3C356086"/>
    <w:rsid w:val="3C8144F5"/>
    <w:rsid w:val="3C902712"/>
    <w:rsid w:val="3CCC55A6"/>
    <w:rsid w:val="3D0170D6"/>
    <w:rsid w:val="3D1F6457"/>
    <w:rsid w:val="3D774E86"/>
    <w:rsid w:val="3D976A52"/>
    <w:rsid w:val="3DF501F7"/>
    <w:rsid w:val="3E6E7921"/>
    <w:rsid w:val="3E782E95"/>
    <w:rsid w:val="3F4259F2"/>
    <w:rsid w:val="3FFF52FB"/>
    <w:rsid w:val="407D7A33"/>
    <w:rsid w:val="413212AF"/>
    <w:rsid w:val="415A32FB"/>
    <w:rsid w:val="41FA7928"/>
    <w:rsid w:val="432111A1"/>
    <w:rsid w:val="44D51F86"/>
    <w:rsid w:val="46287CDF"/>
    <w:rsid w:val="46360243"/>
    <w:rsid w:val="46BF7BF3"/>
    <w:rsid w:val="472C0B26"/>
    <w:rsid w:val="480E71B8"/>
    <w:rsid w:val="485F6737"/>
    <w:rsid w:val="488962FE"/>
    <w:rsid w:val="48A54C54"/>
    <w:rsid w:val="4A217E36"/>
    <w:rsid w:val="4B506292"/>
    <w:rsid w:val="4B970F64"/>
    <w:rsid w:val="4C6E4433"/>
    <w:rsid w:val="4C762AF2"/>
    <w:rsid w:val="4C980A78"/>
    <w:rsid w:val="4D1027B6"/>
    <w:rsid w:val="4E611347"/>
    <w:rsid w:val="4FA30993"/>
    <w:rsid w:val="50D27B29"/>
    <w:rsid w:val="52C60346"/>
    <w:rsid w:val="536721EF"/>
    <w:rsid w:val="55511FDA"/>
    <w:rsid w:val="55FD322B"/>
    <w:rsid w:val="5AAD6924"/>
    <w:rsid w:val="5AD324F8"/>
    <w:rsid w:val="5BCB0915"/>
    <w:rsid w:val="5BE64C89"/>
    <w:rsid w:val="5C435718"/>
    <w:rsid w:val="5C976615"/>
    <w:rsid w:val="5D384B78"/>
    <w:rsid w:val="5D515CDF"/>
    <w:rsid w:val="5F227CE3"/>
    <w:rsid w:val="5F384AC5"/>
    <w:rsid w:val="5F970455"/>
    <w:rsid w:val="624A5AF3"/>
    <w:rsid w:val="62A56E85"/>
    <w:rsid w:val="660F359A"/>
    <w:rsid w:val="6621477F"/>
    <w:rsid w:val="66C81E47"/>
    <w:rsid w:val="68C304D7"/>
    <w:rsid w:val="68CA4FBE"/>
    <w:rsid w:val="6934505D"/>
    <w:rsid w:val="6A217E42"/>
    <w:rsid w:val="6A6F29ED"/>
    <w:rsid w:val="6AAD64A7"/>
    <w:rsid w:val="6B42698A"/>
    <w:rsid w:val="6BCF257E"/>
    <w:rsid w:val="6C9A446D"/>
    <w:rsid w:val="6E242F18"/>
    <w:rsid w:val="6EA8199D"/>
    <w:rsid w:val="6EAC305B"/>
    <w:rsid w:val="6FCD6D08"/>
    <w:rsid w:val="717474BC"/>
    <w:rsid w:val="71A72701"/>
    <w:rsid w:val="71AD15EF"/>
    <w:rsid w:val="725E5C74"/>
    <w:rsid w:val="73785597"/>
    <w:rsid w:val="73BD76C4"/>
    <w:rsid w:val="74F739FC"/>
    <w:rsid w:val="75D73611"/>
    <w:rsid w:val="76034D53"/>
    <w:rsid w:val="76433B47"/>
    <w:rsid w:val="77B05545"/>
    <w:rsid w:val="788C0F7A"/>
    <w:rsid w:val="7B707D38"/>
    <w:rsid w:val="7C3C56A8"/>
    <w:rsid w:val="7D6E4570"/>
    <w:rsid w:val="7DE95B7F"/>
    <w:rsid w:val="7E841EF8"/>
    <w:rsid w:val="7F5F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3"/>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100" w:beforeAutospacing="1" w:after="100" w:afterAutospacing="1"/>
      <w:jc w:val="left"/>
      <w:outlineLvl w:val="1"/>
    </w:pPr>
    <w:rPr>
      <w:rFonts w:ascii="宋体"/>
      <w:b/>
      <w:kern w:val="0"/>
      <w:sz w:val="36"/>
      <w:szCs w:val="36"/>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5"/>
    <w:next w:val="2"/>
    <w:qFormat/>
    <w:uiPriority w:val="0"/>
    <w:pPr>
      <w:numPr>
        <w:ilvl w:val="3"/>
        <w:numId w:val="1"/>
      </w:numPr>
      <w:spacing w:before="50" w:beforeLines="50" w:after="50" w:afterLines="50" w:line="360" w:lineRule="auto"/>
      <w:jc w:val="center"/>
      <w:outlineLvl w:val="3"/>
    </w:pPr>
    <w:rPr>
      <w:rFonts w:ascii="Arial" w:hAnsi="Arial"/>
      <w:b w:val="0"/>
      <w:bCs w:val="0"/>
      <w:sz w:val="24"/>
      <w:szCs w:val="24"/>
    </w:rPr>
  </w:style>
  <w:style w:type="paragraph" w:styleId="7">
    <w:name w:val="heading 5"/>
    <w:basedOn w:val="6"/>
    <w:next w:val="2"/>
    <w:qFormat/>
    <w:uiPriority w:val="0"/>
    <w:pPr>
      <w:numPr>
        <w:ilvl w:val="4"/>
      </w:numPr>
      <w:spacing w:line="240" w:lineRule="exact"/>
      <w:outlineLvl w:val="4"/>
    </w:pPr>
  </w:style>
  <w:style w:type="paragraph" w:styleId="8">
    <w:name w:val="heading 7"/>
    <w:basedOn w:val="1"/>
    <w:next w:val="2"/>
    <w:qFormat/>
    <w:uiPriority w:val="0"/>
    <w:pPr>
      <w:keepNext/>
      <w:keepLines/>
      <w:numPr>
        <w:ilvl w:val="6"/>
        <w:numId w:val="1"/>
      </w:numPr>
      <w:spacing w:before="240" w:after="64" w:line="319" w:lineRule="auto"/>
      <w:outlineLvl w:val="6"/>
    </w:pPr>
    <w:rPr>
      <w:b/>
      <w:sz w:val="24"/>
      <w:szCs w:val="20"/>
    </w:rPr>
  </w:style>
  <w:style w:type="paragraph" w:styleId="9">
    <w:name w:val="heading 8"/>
    <w:basedOn w:val="1"/>
    <w:next w:val="2"/>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0">
    <w:name w:val="heading 9"/>
    <w:basedOn w:val="1"/>
    <w:next w:val="2"/>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44"/>
    <w:qFormat/>
    <w:uiPriority w:val="0"/>
    <w:pPr>
      <w:ind w:firstLine="200" w:firstLineChars="200"/>
    </w:pPr>
  </w:style>
  <w:style w:type="paragraph" w:styleId="11">
    <w:name w:val="toc 7"/>
    <w:basedOn w:val="1"/>
    <w:next w:val="1"/>
    <w:unhideWhenUsed/>
    <w:qFormat/>
    <w:uiPriority w:val="39"/>
    <w:pPr>
      <w:ind w:left="1260"/>
      <w:jc w:val="left"/>
    </w:pPr>
    <w:rPr>
      <w:rFonts w:asciiTheme="minorHAnsi" w:eastAsiaTheme="minorHAnsi"/>
      <w:sz w:val="18"/>
      <w:szCs w:val="18"/>
    </w:rPr>
  </w:style>
  <w:style w:type="paragraph" w:styleId="12">
    <w:name w:val="caption"/>
    <w:basedOn w:val="1"/>
    <w:next w:val="1"/>
    <w:qFormat/>
    <w:uiPriority w:val="0"/>
    <w:rPr>
      <w:rFonts w:ascii="Arial" w:hAnsi="Arial" w:eastAsia="黑体" w:cs="Arial"/>
      <w:sz w:val="20"/>
      <w:szCs w:val="20"/>
    </w:rPr>
  </w:style>
  <w:style w:type="paragraph" w:styleId="13">
    <w:name w:val="annotation text"/>
    <w:basedOn w:val="1"/>
    <w:link w:val="45"/>
    <w:qFormat/>
    <w:uiPriority w:val="99"/>
    <w:pPr>
      <w:jc w:val="left"/>
    </w:pPr>
  </w:style>
  <w:style w:type="paragraph" w:styleId="14">
    <w:name w:val="Body Text 3"/>
    <w:basedOn w:val="1"/>
    <w:qFormat/>
    <w:uiPriority w:val="0"/>
    <w:pPr>
      <w:spacing w:after="120"/>
    </w:pPr>
    <w:rPr>
      <w:sz w:val="16"/>
      <w:szCs w:val="16"/>
    </w:rPr>
  </w:style>
  <w:style w:type="paragraph" w:styleId="15">
    <w:name w:val="Body Text"/>
    <w:basedOn w:val="1"/>
    <w:next w:val="1"/>
    <w:link w:val="46"/>
    <w:qFormat/>
    <w:uiPriority w:val="0"/>
    <w:pPr>
      <w:pBdr>
        <w:top w:val="single" w:color="auto" w:sz="4" w:space="1"/>
      </w:pBdr>
    </w:pPr>
    <w:rPr>
      <w:b/>
      <w:bCs/>
    </w:rPr>
  </w:style>
  <w:style w:type="paragraph" w:styleId="16">
    <w:name w:val="Body Text Indent"/>
    <w:basedOn w:val="1"/>
    <w:next w:val="17"/>
    <w:link w:val="47"/>
    <w:qFormat/>
    <w:uiPriority w:val="0"/>
    <w:pPr>
      <w:ind w:firstLine="200" w:firstLineChars="200"/>
    </w:pPr>
    <w:rPr>
      <w:rFonts w:ascii="宋体"/>
      <w:sz w:val="30"/>
      <w:szCs w:val="20"/>
    </w:rPr>
  </w:style>
  <w:style w:type="paragraph" w:styleId="17">
    <w:name w:val="envelope return"/>
    <w:basedOn w:val="1"/>
    <w:qFormat/>
    <w:uiPriority w:val="0"/>
    <w:pPr>
      <w:snapToGrid w:val="0"/>
    </w:pPr>
    <w:rPr>
      <w:rFonts w:ascii="Arial" w:hAnsi="Arial" w:eastAsia="宋体" w:cs="Times New Roman"/>
      <w:szCs w:val="24"/>
      <w:lang w:bidi="ar-SA"/>
    </w:rPr>
  </w:style>
  <w:style w:type="paragraph" w:styleId="18">
    <w:name w:val="Block Text"/>
    <w:basedOn w:val="1"/>
    <w:unhideWhenUsed/>
    <w:qFormat/>
    <w:uiPriority w:val="99"/>
    <w:pPr>
      <w:spacing w:after="120"/>
      <w:ind w:left="1440" w:leftChars="700" w:right="1440" w:rightChars="700"/>
    </w:pPr>
  </w:style>
  <w:style w:type="paragraph" w:styleId="19">
    <w:name w:val="toc 5"/>
    <w:basedOn w:val="1"/>
    <w:next w:val="1"/>
    <w:unhideWhenUsed/>
    <w:qFormat/>
    <w:uiPriority w:val="39"/>
    <w:pPr>
      <w:ind w:left="840"/>
      <w:jc w:val="left"/>
    </w:pPr>
    <w:rPr>
      <w:rFonts w:asciiTheme="minorHAnsi" w:eastAsiaTheme="minorHAnsi"/>
      <w:sz w:val="18"/>
      <w:szCs w:val="18"/>
    </w:rPr>
  </w:style>
  <w:style w:type="paragraph" w:styleId="20">
    <w:name w:val="toc 3"/>
    <w:basedOn w:val="1"/>
    <w:next w:val="1"/>
    <w:unhideWhenUsed/>
    <w:qFormat/>
    <w:uiPriority w:val="39"/>
    <w:pPr>
      <w:ind w:left="420"/>
      <w:jc w:val="left"/>
    </w:pPr>
    <w:rPr>
      <w:rFonts w:asciiTheme="minorHAnsi" w:eastAsiaTheme="minorHAnsi"/>
      <w:i/>
      <w:iCs/>
      <w:sz w:val="20"/>
      <w:szCs w:val="20"/>
    </w:rPr>
  </w:style>
  <w:style w:type="paragraph" w:styleId="21">
    <w:name w:val="Plain Text"/>
    <w:basedOn w:val="1"/>
    <w:next w:val="1"/>
    <w:link w:val="48"/>
    <w:qFormat/>
    <w:uiPriority w:val="0"/>
    <w:rPr>
      <w:rFonts w:ascii="宋体"/>
      <w:szCs w:val="20"/>
    </w:rPr>
  </w:style>
  <w:style w:type="paragraph" w:styleId="22">
    <w:name w:val="toc 8"/>
    <w:basedOn w:val="1"/>
    <w:next w:val="1"/>
    <w:unhideWhenUsed/>
    <w:qFormat/>
    <w:uiPriority w:val="39"/>
    <w:pPr>
      <w:ind w:left="1470"/>
      <w:jc w:val="left"/>
    </w:pPr>
    <w:rPr>
      <w:rFonts w:asciiTheme="minorHAnsi" w:eastAsiaTheme="minorHAnsi"/>
      <w:sz w:val="18"/>
      <w:szCs w:val="18"/>
    </w:rPr>
  </w:style>
  <w:style w:type="paragraph" w:styleId="23">
    <w:name w:val="Date"/>
    <w:basedOn w:val="1"/>
    <w:next w:val="1"/>
    <w:qFormat/>
    <w:uiPriority w:val="0"/>
    <w:pPr>
      <w:ind w:left="2500" w:leftChars="2500"/>
    </w:pPr>
  </w:style>
  <w:style w:type="paragraph" w:styleId="24">
    <w:name w:val="Balloon Text"/>
    <w:basedOn w:val="1"/>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39"/>
    <w:pPr>
      <w:spacing w:before="120" w:after="120"/>
      <w:jc w:val="left"/>
    </w:pPr>
    <w:rPr>
      <w:rFonts w:asciiTheme="minorHAnsi" w:eastAsiaTheme="minorHAnsi"/>
      <w:b/>
      <w:bCs/>
      <w:caps/>
      <w:sz w:val="20"/>
      <w:szCs w:val="20"/>
    </w:rPr>
  </w:style>
  <w:style w:type="paragraph" w:styleId="28">
    <w:name w:val="toc 4"/>
    <w:basedOn w:val="1"/>
    <w:next w:val="1"/>
    <w:unhideWhenUsed/>
    <w:qFormat/>
    <w:uiPriority w:val="39"/>
    <w:pPr>
      <w:ind w:left="630"/>
      <w:jc w:val="left"/>
    </w:pPr>
    <w:rPr>
      <w:rFonts w:asciiTheme="minorHAnsi" w:eastAsiaTheme="minorHAnsi"/>
      <w:sz w:val="18"/>
      <w:szCs w:val="18"/>
    </w:rPr>
  </w:style>
  <w:style w:type="paragraph" w:styleId="29">
    <w:name w:val="footnote text"/>
    <w:basedOn w:val="1"/>
    <w:link w:val="49"/>
    <w:unhideWhenUsed/>
    <w:qFormat/>
    <w:uiPriority w:val="0"/>
    <w:pPr>
      <w:snapToGrid w:val="0"/>
      <w:jc w:val="left"/>
    </w:pPr>
    <w:rPr>
      <w:kern w:val="0"/>
      <w:sz w:val="18"/>
      <w:szCs w:val="20"/>
    </w:rPr>
  </w:style>
  <w:style w:type="paragraph" w:styleId="30">
    <w:name w:val="toc 6"/>
    <w:basedOn w:val="1"/>
    <w:next w:val="1"/>
    <w:unhideWhenUsed/>
    <w:qFormat/>
    <w:uiPriority w:val="39"/>
    <w:pPr>
      <w:ind w:left="1050"/>
      <w:jc w:val="left"/>
    </w:pPr>
    <w:rPr>
      <w:rFonts w:asciiTheme="minorHAnsi" w:eastAsiaTheme="minorHAnsi"/>
      <w:sz w:val="18"/>
      <w:szCs w:val="18"/>
    </w:rPr>
  </w:style>
  <w:style w:type="paragraph" w:styleId="31">
    <w:name w:val="toc 2"/>
    <w:next w:val="1"/>
    <w:qFormat/>
    <w:uiPriority w:val="0"/>
    <w:pPr>
      <w:widowControl w:val="0"/>
      <w:ind w:left="210"/>
    </w:pPr>
    <w:rPr>
      <w:rFonts w:hAnsi="Times New Roman" w:cs="Times New Roman" w:asciiTheme="minorHAnsi" w:eastAsiaTheme="minorHAnsi"/>
      <w:smallCaps/>
      <w:kern w:val="2"/>
      <w:lang w:val="en-US" w:eastAsia="zh-CN" w:bidi="ar-SA"/>
    </w:rPr>
  </w:style>
  <w:style w:type="paragraph" w:styleId="32">
    <w:name w:val="toc 9"/>
    <w:basedOn w:val="1"/>
    <w:next w:val="1"/>
    <w:unhideWhenUsed/>
    <w:qFormat/>
    <w:uiPriority w:val="39"/>
    <w:pPr>
      <w:ind w:left="1680"/>
      <w:jc w:val="left"/>
    </w:pPr>
    <w:rPr>
      <w:rFonts w:asciiTheme="minorHAnsi" w:eastAsiaTheme="minorHAnsi"/>
      <w:sz w:val="18"/>
      <w:szCs w:val="18"/>
    </w:rPr>
  </w:style>
  <w:style w:type="paragraph" w:styleId="33">
    <w:name w:val="Normal (Web)"/>
    <w:basedOn w:val="1"/>
    <w:qFormat/>
    <w:uiPriority w:val="0"/>
    <w:pPr>
      <w:widowControl/>
      <w:spacing w:before="100" w:beforeAutospacing="1" w:after="100" w:afterAutospacing="1"/>
      <w:jc w:val="left"/>
    </w:pPr>
    <w:rPr>
      <w:rFonts w:ascii="宋体"/>
      <w:kern w:val="0"/>
      <w:sz w:val="24"/>
    </w:rPr>
  </w:style>
  <w:style w:type="paragraph" w:styleId="34">
    <w:name w:val="Title"/>
    <w:basedOn w:val="1"/>
    <w:next w:val="1"/>
    <w:qFormat/>
    <w:uiPriority w:val="0"/>
    <w:pPr>
      <w:spacing w:before="240" w:after="60"/>
      <w:jc w:val="center"/>
      <w:outlineLvl w:val="0"/>
    </w:pPr>
    <w:rPr>
      <w:rFonts w:ascii="Cambria" w:hAnsi="Cambria"/>
      <w:b/>
      <w:bCs/>
      <w:sz w:val="32"/>
      <w:szCs w:val="32"/>
    </w:rPr>
  </w:style>
  <w:style w:type="paragraph" w:styleId="35">
    <w:name w:val="annotation subject"/>
    <w:basedOn w:val="13"/>
    <w:next w:val="13"/>
    <w:qFormat/>
    <w:uiPriority w:val="0"/>
    <w:rPr>
      <w:b/>
      <w:bCs/>
    </w:rPr>
  </w:style>
  <w:style w:type="paragraph" w:styleId="36">
    <w:name w:val="Body Text First Indent"/>
    <w:basedOn w:val="15"/>
    <w:link w:val="50"/>
    <w:unhideWhenUsed/>
    <w:qFormat/>
    <w:uiPriority w:val="99"/>
    <w:pPr>
      <w:pBdr>
        <w:top w:val="none" w:color="auto" w:sz="0" w:space="0"/>
      </w:pBdr>
      <w:spacing w:after="120"/>
      <w:ind w:firstLine="420" w:firstLineChars="100"/>
    </w:pPr>
    <w:rPr>
      <w:b w:val="0"/>
      <w:bCs w:val="0"/>
    </w:rPr>
  </w:style>
  <w:style w:type="paragraph" w:styleId="37">
    <w:name w:val="Body Text First Indent 2"/>
    <w:basedOn w:val="16"/>
    <w:link w:val="51"/>
    <w:unhideWhenUsed/>
    <w:qFormat/>
    <w:uiPriority w:val="99"/>
    <w:pPr>
      <w:spacing w:after="120"/>
      <w:ind w:left="420" w:leftChars="200" w:firstLine="420"/>
    </w:pPr>
    <w:rPr>
      <w:sz w:val="21"/>
      <w:szCs w:val="24"/>
    </w:rPr>
  </w:style>
  <w:style w:type="character" w:styleId="40">
    <w:name w:val="page number"/>
    <w:basedOn w:val="39"/>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character" w:customStyle="1" w:styleId="44">
    <w:name w:val="正文缩进 字符"/>
    <w:link w:val="2"/>
    <w:qFormat/>
    <w:uiPriority w:val="0"/>
    <w:rPr>
      <w:kern w:val="2"/>
      <w:sz w:val="21"/>
      <w:szCs w:val="24"/>
    </w:rPr>
  </w:style>
  <w:style w:type="character" w:customStyle="1" w:styleId="45">
    <w:name w:val="批注文字 字符"/>
    <w:link w:val="13"/>
    <w:qFormat/>
    <w:uiPriority w:val="99"/>
    <w:rPr>
      <w:kern w:val="2"/>
      <w:sz w:val="21"/>
      <w:szCs w:val="24"/>
    </w:rPr>
  </w:style>
  <w:style w:type="character" w:customStyle="1" w:styleId="46">
    <w:name w:val="正文文本 字符"/>
    <w:link w:val="15"/>
    <w:qFormat/>
    <w:uiPriority w:val="0"/>
    <w:rPr>
      <w:b/>
      <w:bCs/>
      <w:kern w:val="2"/>
      <w:sz w:val="21"/>
      <w:szCs w:val="24"/>
    </w:rPr>
  </w:style>
  <w:style w:type="character" w:customStyle="1" w:styleId="47">
    <w:name w:val="正文文本缩进 字符"/>
    <w:link w:val="16"/>
    <w:qFormat/>
    <w:uiPriority w:val="0"/>
    <w:rPr>
      <w:rFonts w:ascii="宋体"/>
      <w:kern w:val="2"/>
      <w:sz w:val="30"/>
    </w:rPr>
  </w:style>
  <w:style w:type="character" w:customStyle="1" w:styleId="48">
    <w:name w:val="纯文本 字符"/>
    <w:link w:val="21"/>
    <w:qFormat/>
    <w:uiPriority w:val="0"/>
    <w:rPr>
      <w:rFonts w:ascii="宋体"/>
      <w:kern w:val="2"/>
      <w:sz w:val="21"/>
    </w:rPr>
  </w:style>
  <w:style w:type="character" w:customStyle="1" w:styleId="49">
    <w:name w:val="脚注文本 字符"/>
    <w:link w:val="29"/>
    <w:qFormat/>
    <w:uiPriority w:val="0"/>
    <w:rPr>
      <w:sz w:val="18"/>
    </w:rPr>
  </w:style>
  <w:style w:type="character" w:customStyle="1" w:styleId="50">
    <w:name w:val="正文首行缩进 字符"/>
    <w:link w:val="36"/>
    <w:qFormat/>
    <w:uiPriority w:val="0"/>
  </w:style>
  <w:style w:type="character" w:customStyle="1" w:styleId="51">
    <w:name w:val="正文首行缩进 2 字符"/>
    <w:link w:val="37"/>
    <w:semiHidden/>
    <w:qFormat/>
    <w:uiPriority w:val="99"/>
    <w:rPr>
      <w:rFonts w:ascii="宋体"/>
      <w:kern w:val="2"/>
      <w:sz w:val="21"/>
      <w:szCs w:val="24"/>
    </w:rPr>
  </w:style>
  <w:style w:type="character" w:customStyle="1" w:styleId="52">
    <w:name w:val="NormalCharacter"/>
    <w:qFormat/>
    <w:uiPriority w:val="0"/>
  </w:style>
  <w:style w:type="character" w:customStyle="1" w:styleId="53">
    <w:name w:val="泉州师院正文 Char"/>
    <w:link w:val="54"/>
    <w:qFormat/>
    <w:uiPriority w:val="0"/>
    <w:rPr>
      <w:sz w:val="24"/>
      <w:szCs w:val="24"/>
    </w:rPr>
  </w:style>
  <w:style w:type="paragraph" w:customStyle="1" w:styleId="54">
    <w:name w:val="泉州师院正文"/>
    <w:basedOn w:val="1"/>
    <w:link w:val="53"/>
    <w:qFormat/>
    <w:uiPriority w:val="0"/>
    <w:pPr>
      <w:spacing w:line="360" w:lineRule="auto"/>
      <w:ind w:firstLine="480" w:firstLineChars="200"/>
    </w:pPr>
    <w:rPr>
      <w:kern w:val="0"/>
      <w:sz w:val="24"/>
    </w:rPr>
  </w:style>
  <w:style w:type="character" w:customStyle="1" w:styleId="55">
    <w:name w:val="列出段落 字符"/>
    <w:link w:val="56"/>
    <w:qFormat/>
    <w:locked/>
    <w:uiPriority w:val="0"/>
    <w:rPr>
      <w:rFonts w:ascii="Calibri" w:hAnsi="Calibri"/>
      <w:kern w:val="2"/>
      <w:sz w:val="21"/>
      <w:szCs w:val="22"/>
    </w:rPr>
  </w:style>
  <w:style w:type="paragraph" w:styleId="56">
    <w:name w:val="List Paragraph"/>
    <w:basedOn w:val="1"/>
    <w:link w:val="55"/>
    <w:qFormat/>
    <w:uiPriority w:val="0"/>
    <w:pPr>
      <w:ind w:firstLine="420" w:firstLineChars="200"/>
    </w:pPr>
    <w:rPr>
      <w:rFonts w:ascii="Calibri" w:hAnsi="Calibri"/>
      <w:szCs w:val="22"/>
    </w:rPr>
  </w:style>
  <w:style w:type="paragraph" w:customStyle="1" w:styleId="5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8">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9">
    <w:name w:val="发文落款"/>
    <w:basedOn w:val="60"/>
    <w:qFormat/>
    <w:uiPriority w:val="0"/>
    <w:pPr>
      <w:ind w:left="4094" w:right="607" w:firstLine="0"/>
      <w:jc w:val="center"/>
    </w:pPr>
  </w:style>
  <w:style w:type="paragraph" w:customStyle="1" w:styleId="60">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61">
    <w:name w:val="样式 标题 1 + 方正小标宋简体 二号 非加粗 段前: 0 磅 段后: 0 磅 行距: 1.5 倍行距"/>
    <w:qFormat/>
    <w:uiPriority w:val="0"/>
    <w:pPr>
      <w:keepNext/>
      <w:keepLines/>
      <w:widowControl w:val="0"/>
      <w:numPr>
        <w:ilvl w:val="0"/>
        <w:numId w:val="2"/>
      </w:numPr>
      <w:spacing w:line="360" w:lineRule="auto"/>
      <w:ind w:firstLine="200"/>
      <w:jc w:val="center"/>
      <w:outlineLvl w:val="0"/>
    </w:pPr>
    <w:rPr>
      <w:rFonts w:ascii="Times New Roman" w:hAnsi="Times New Roman" w:eastAsia="方正小标宋简体" w:cs="宋体"/>
      <w:kern w:val="44"/>
      <w:sz w:val="44"/>
      <w:lang w:val="en-US" w:eastAsia="zh-CN" w:bidi="ar-SA"/>
    </w:rPr>
  </w:style>
  <w:style w:type="paragraph" w:customStyle="1" w:styleId="62">
    <w:name w:val="Table Paragraph"/>
    <w:basedOn w:val="1"/>
    <w:qFormat/>
    <w:uiPriority w:val="1"/>
    <w:pPr>
      <w:jc w:val="left"/>
    </w:pPr>
    <w:rPr>
      <w:rFonts w:eastAsia="Calibri"/>
      <w:kern w:val="0"/>
      <w:sz w:val="22"/>
      <w:szCs w:val="22"/>
      <w:lang w:eastAsia="en-US"/>
    </w:rPr>
  </w:style>
  <w:style w:type="paragraph" w:customStyle="1" w:styleId="63">
    <w:name w:val="正文缩进1"/>
    <w:basedOn w:val="1"/>
    <w:qFormat/>
    <w:uiPriority w:val="0"/>
    <w:pPr>
      <w:ind w:firstLine="420"/>
    </w:pPr>
  </w:style>
  <w:style w:type="paragraph" w:customStyle="1" w:styleId="64">
    <w:name w:val="文二"/>
    <w:basedOn w:val="1"/>
    <w:qFormat/>
    <w:uiPriority w:val="0"/>
    <w:pPr>
      <w:jc w:val="left"/>
    </w:pPr>
    <w:rPr>
      <w:rFonts w:ascii="宋体"/>
      <w:szCs w:val="21"/>
    </w:rPr>
  </w:style>
  <w:style w:type="paragraph" w:customStyle="1" w:styleId="65">
    <w:name w:val="列出段落6"/>
    <w:basedOn w:val="1"/>
    <w:qFormat/>
    <w:uiPriority w:val="99"/>
    <w:pPr>
      <w:ind w:firstLine="420" w:firstLineChars="200"/>
    </w:pPr>
    <w:rPr>
      <w:szCs w:val="20"/>
    </w:rPr>
  </w:style>
  <w:style w:type="paragraph" w:customStyle="1" w:styleId="66">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样式 标题 2 + 段前: 1 行 段后: 1 行1"/>
    <w:qFormat/>
    <w:uiPriority w:val="0"/>
    <w:pPr>
      <w:keepNext/>
      <w:keepLines/>
      <w:widowControl w:val="0"/>
      <w:numPr>
        <w:ilvl w:val="1"/>
        <w:numId w:val="2"/>
      </w:numPr>
      <w:spacing w:before="100" w:beforeLines="100" w:after="100" w:afterLines="100" w:line="360" w:lineRule="auto"/>
      <w:ind w:firstLine="0"/>
      <w:contextualSpacing/>
      <w:outlineLvl w:val="1"/>
    </w:pPr>
    <w:rPr>
      <w:rFonts w:ascii="Times New Roman" w:hAnsi="Times New Roman" w:eastAsia="黑体" w:cs="宋体"/>
      <w:sz w:val="30"/>
      <w:lang w:val="en-US" w:eastAsia="zh-CN" w:bidi="ar-SA"/>
    </w:rPr>
  </w:style>
  <w:style w:type="paragraph" w:customStyle="1" w:styleId="69">
    <w:name w:val="Char"/>
    <w:basedOn w:val="1"/>
    <w:qFormat/>
    <w:uiPriority w:val="0"/>
    <w:pPr>
      <w:widowControl/>
      <w:spacing w:line="400" w:lineRule="exact"/>
      <w:jc w:val="center"/>
    </w:pPr>
    <w:rPr>
      <w:sz w:val="24"/>
    </w:rPr>
  </w:style>
  <w:style w:type="paragraph" w:customStyle="1" w:styleId="70">
    <w:name w:val="表头"/>
    <w:basedOn w:val="1"/>
    <w:qFormat/>
    <w:uiPriority w:val="0"/>
    <w:pPr>
      <w:adjustRightInd w:val="0"/>
      <w:snapToGrid w:val="0"/>
      <w:spacing w:before="160" w:after="60" w:line="312" w:lineRule="exact"/>
      <w:jc w:val="center"/>
    </w:pPr>
    <w:rPr>
      <w:rFonts w:ascii="EU-F1" w:eastAsia="黑体"/>
      <w:szCs w:val="21"/>
    </w:rPr>
  </w:style>
  <w:style w:type="paragraph" w:customStyle="1" w:styleId="71">
    <w:name w:val="样式 宋体 行距: 1.5 倍行距"/>
    <w:basedOn w:val="1"/>
    <w:qFormat/>
    <w:uiPriority w:val="0"/>
    <w:pPr>
      <w:jc w:val="center"/>
    </w:pPr>
    <w:rPr>
      <w:b/>
    </w:rPr>
  </w:style>
  <w:style w:type="paragraph" w:customStyle="1" w:styleId="72">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73">
    <w:name w:val="标题 1 Char"/>
    <w:link w:val="3"/>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C31F12-2107-4F28-9B49-D3F4F706559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69</Pages>
  <Words>32319</Words>
  <Characters>34107</Characters>
  <Lines>263</Lines>
  <Paragraphs>74</Paragraphs>
  <TotalTime>9</TotalTime>
  <ScaleCrop>false</ScaleCrop>
  <LinksUpToDate>false</LinksUpToDate>
  <CharactersWithSpaces>38295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2022-12-09T05:18:00Z</dcterms:created>
  <dc:creator>1</dc:creator>
  <cp:lastModifiedBy>HE</cp:lastModifiedBy>
  <cp:lastPrinted>2022-08-17T07:41:00Z</cp:lastPrinted>
  <dcterms:modified xsi:type="dcterms:W3CDTF">2023-08-10T16:26:05Z</dcterms:modified>
  <dc:title>版本2004-9-30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7EFE46AEC77C43478FB6A95C417B7EEE_13</vt:lpwstr>
  </property>
</Properties>
</file>