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before="312" w:beforeLines="100" w:line="360" w:lineRule="auto"/>
        <w:jc w:val="center"/>
        <w:outlineLvl w:val="0"/>
        <w:rPr>
          <w:rFonts w:ascii="宋体"/>
          <w:b/>
          <w:color w:val="auto"/>
          <w:sz w:val="32"/>
          <w:szCs w:val="32"/>
          <w:highlight w:val="none"/>
        </w:rPr>
      </w:pPr>
      <w:r>
        <w:rPr>
          <w:rFonts w:hint="eastAsia" w:ascii="宋体" w:hAnsi="宋体"/>
          <w:b/>
          <w:color w:val="auto"/>
          <w:sz w:val="32"/>
          <w:szCs w:val="32"/>
          <w:highlight w:val="none"/>
        </w:rPr>
        <w:t>广东省茂名市茂名茂南产业转移工业园安全智慧园区建设项目(茂南区智慧应急指挥平台)招标公告</w:t>
      </w:r>
    </w:p>
    <w:p>
      <w:pPr>
        <w:spacing w:line="360" w:lineRule="auto"/>
        <w:ind w:firstLine="482" w:firstLineChars="200"/>
        <w:jc w:val="left"/>
        <w:outlineLvl w:val="1"/>
        <w:rPr>
          <w:rFonts w:ascii="宋体"/>
          <w:b/>
          <w:bCs/>
          <w:color w:val="auto"/>
          <w:kern w:val="0"/>
          <w:sz w:val="24"/>
          <w:highlight w:val="none"/>
        </w:rPr>
      </w:pPr>
      <w:r>
        <w:rPr>
          <w:rFonts w:ascii="宋体" w:hAnsi="宋体"/>
          <w:b/>
          <w:bCs/>
          <w:color w:val="auto"/>
          <w:kern w:val="0"/>
          <w:sz w:val="24"/>
          <w:highlight w:val="none"/>
        </w:rPr>
        <w:t>1.</w:t>
      </w:r>
      <w:r>
        <w:rPr>
          <w:rFonts w:hint="eastAsia" w:ascii="宋体" w:hAnsi="宋体"/>
          <w:b/>
          <w:bCs/>
          <w:color w:val="auto"/>
          <w:kern w:val="0"/>
          <w:sz w:val="24"/>
          <w:highlight w:val="none"/>
        </w:rPr>
        <w:t>招标条件</w:t>
      </w:r>
    </w:p>
    <w:p>
      <w:pPr>
        <w:spacing w:line="360" w:lineRule="auto"/>
        <w:ind w:firstLine="480" w:firstLineChars="200"/>
        <w:jc w:val="left"/>
        <w:rPr>
          <w:rFonts w:hAnsi="宋体"/>
          <w:color w:val="auto"/>
          <w:sz w:val="24"/>
          <w:highlight w:val="none"/>
        </w:rPr>
      </w:pPr>
      <w:r>
        <w:rPr>
          <w:rFonts w:hint="eastAsia" w:ascii="宋体" w:hAnsi="宋体"/>
          <w:color w:val="auto"/>
          <w:sz w:val="24"/>
          <w:szCs w:val="24"/>
          <w:highlight w:val="none"/>
        </w:rPr>
        <w:t>本招标项目</w:t>
      </w:r>
      <w:r>
        <w:rPr>
          <w:rFonts w:hint="eastAsia" w:ascii="宋体" w:hAnsi="宋体"/>
          <w:color w:val="auto"/>
          <w:sz w:val="24"/>
          <w:szCs w:val="24"/>
          <w:highlight w:val="none"/>
          <w:u w:val="single"/>
        </w:rPr>
        <w:t>广东省茂名市茂名茂南产业转移工业园安全智慧园区建设项目(茂南区智慧应急指挥平台)</w:t>
      </w:r>
      <w:r>
        <w:rPr>
          <w:rFonts w:hint="eastAsia" w:ascii="宋体" w:hAnsi="宋体"/>
          <w:color w:val="auto"/>
          <w:sz w:val="24"/>
          <w:szCs w:val="24"/>
          <w:highlight w:val="none"/>
        </w:rPr>
        <w:t>。招标人为</w:t>
      </w:r>
      <w:r>
        <w:rPr>
          <w:rFonts w:hint="eastAsia" w:ascii="宋体" w:hAnsi="宋体"/>
          <w:color w:val="auto"/>
          <w:sz w:val="24"/>
          <w:szCs w:val="24"/>
          <w:highlight w:val="none"/>
          <w:u w:val="single"/>
        </w:rPr>
        <w:t>茂名市茂南石化工业园管理中心</w:t>
      </w:r>
      <w:r>
        <w:rPr>
          <w:rFonts w:hint="eastAsia" w:ascii="宋体" w:hAnsi="宋体"/>
          <w:color w:val="auto"/>
          <w:sz w:val="24"/>
          <w:szCs w:val="24"/>
          <w:highlight w:val="none"/>
        </w:rPr>
        <w:t>，建设资金来自</w:t>
      </w:r>
      <w:r>
        <w:rPr>
          <w:rFonts w:hint="eastAsia" w:ascii="宋体" w:hAnsi="宋体"/>
          <w:color w:val="auto"/>
          <w:sz w:val="24"/>
          <w:szCs w:val="24"/>
          <w:highlight w:val="none"/>
          <w:u w:val="single"/>
        </w:rPr>
        <w:t>建设资金除争取债券资金和上级补助资金及融资贷款资金支持外，其余由区财政统筹解决</w:t>
      </w:r>
      <w:r>
        <w:rPr>
          <w:rFonts w:hint="eastAsia" w:ascii="宋体" w:hAnsi="宋体" w:cs="宋体"/>
          <w:bCs/>
          <w:color w:val="auto"/>
          <w:kern w:val="0"/>
          <w:sz w:val="24"/>
          <w:highlight w:val="none"/>
        </w:rPr>
        <w:t>。项目已具备招标条件，现对该项目进行公开招标</w:t>
      </w:r>
      <w:r>
        <w:rPr>
          <w:rFonts w:ascii="宋体" w:cs="宋体"/>
          <w:bCs/>
          <w:color w:val="auto"/>
          <w:kern w:val="0"/>
          <w:sz w:val="24"/>
          <w:highlight w:val="none"/>
        </w:rPr>
        <w:t>,</w:t>
      </w:r>
      <w:r>
        <w:rPr>
          <w:rFonts w:hint="eastAsia" w:hAnsi="宋体"/>
          <w:color w:val="auto"/>
          <w:sz w:val="24"/>
          <w:highlight w:val="none"/>
        </w:rPr>
        <w:t>诚邀具备相应资格条件的单位参加本项目的投标。</w:t>
      </w:r>
    </w:p>
    <w:p>
      <w:pPr>
        <w:spacing w:line="360" w:lineRule="auto"/>
        <w:ind w:firstLine="482" w:firstLineChars="200"/>
        <w:jc w:val="left"/>
        <w:outlineLvl w:val="1"/>
        <w:rPr>
          <w:rFonts w:ascii="宋体" w:hAnsi="宋体"/>
          <w:b/>
          <w:bCs/>
          <w:color w:val="auto"/>
          <w:kern w:val="0"/>
          <w:sz w:val="24"/>
          <w:highlight w:val="none"/>
        </w:rPr>
      </w:pPr>
      <w:r>
        <w:rPr>
          <w:rFonts w:ascii="宋体" w:hAnsi="宋体"/>
          <w:b/>
          <w:bCs/>
          <w:color w:val="auto"/>
          <w:kern w:val="0"/>
          <w:sz w:val="24"/>
          <w:highlight w:val="none"/>
        </w:rPr>
        <w:t>2.</w:t>
      </w:r>
      <w:r>
        <w:rPr>
          <w:rFonts w:hint="eastAsia" w:ascii="宋体" w:hAnsi="宋体"/>
          <w:b/>
          <w:bCs/>
          <w:color w:val="auto"/>
          <w:kern w:val="0"/>
          <w:sz w:val="24"/>
          <w:highlight w:val="none"/>
        </w:rPr>
        <w:t>项目概况与招标范围</w:t>
      </w:r>
    </w:p>
    <w:p>
      <w:pPr>
        <w:spacing w:line="360" w:lineRule="auto"/>
        <w:ind w:firstLine="480" w:firstLineChars="200"/>
        <w:jc w:val="left"/>
        <w:rPr>
          <w:rFonts w:ascii="宋体" w:cs="宋体"/>
          <w:color w:val="auto"/>
          <w:kern w:val="0"/>
          <w:sz w:val="24"/>
          <w:highlight w:val="none"/>
        </w:rPr>
      </w:pPr>
      <w:r>
        <w:rPr>
          <w:rFonts w:ascii="宋体" w:hAnsi="宋体" w:cs="宋体"/>
          <w:color w:val="auto"/>
          <w:kern w:val="0"/>
          <w:sz w:val="24"/>
          <w:highlight w:val="none"/>
        </w:rPr>
        <w:t>2.1</w:t>
      </w:r>
      <w:r>
        <w:rPr>
          <w:rFonts w:hint="eastAsia" w:ascii="宋体" w:hAnsi="宋体" w:cs="宋体"/>
          <w:color w:val="auto"/>
          <w:kern w:val="0"/>
          <w:sz w:val="24"/>
          <w:highlight w:val="none"/>
        </w:rPr>
        <w:t>项目名称：广东省茂名市茂名茂南产业转移工业园安全智慧园区建设项目(茂南区智慧应急指挥平台)</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2.2</w:t>
      </w:r>
      <w:r>
        <w:rPr>
          <w:rFonts w:hint="eastAsia" w:ascii="宋体" w:hAnsi="宋体" w:cs="宋体"/>
          <w:color w:val="auto"/>
          <w:kern w:val="0"/>
          <w:sz w:val="24"/>
          <w:highlight w:val="none"/>
        </w:rPr>
        <w:t>项目地点：广东省茂名市</w:t>
      </w:r>
    </w:p>
    <w:p>
      <w:pPr>
        <w:spacing w:line="360" w:lineRule="auto"/>
        <w:ind w:firstLine="480" w:firstLineChars="200"/>
        <w:jc w:val="left"/>
        <w:rPr>
          <w:rFonts w:ascii="宋体" w:cs="宋体"/>
          <w:color w:val="auto"/>
          <w:kern w:val="0"/>
          <w:sz w:val="24"/>
          <w:highlight w:val="none"/>
        </w:rPr>
      </w:pPr>
      <w:bookmarkStart w:id="0" w:name="_Hlk117968208"/>
      <w:r>
        <w:rPr>
          <w:rFonts w:ascii="宋体" w:hAnsi="宋体" w:cs="宋体"/>
          <w:color w:val="auto"/>
          <w:kern w:val="0"/>
          <w:sz w:val="24"/>
          <w:highlight w:val="none"/>
        </w:rPr>
        <w:t>2.3</w:t>
      </w:r>
      <w:r>
        <w:rPr>
          <w:rFonts w:hint="eastAsia" w:ascii="宋体" w:hAnsi="宋体" w:cs="宋体"/>
          <w:color w:val="auto"/>
          <w:kern w:val="0"/>
          <w:sz w:val="24"/>
          <w:highlight w:val="none"/>
        </w:rPr>
        <w:t>工程概况：采用统筹、集约、开放、高效的设计理念，着力破解茂南区指挥中心智慧化过程中出现的问题，充分运用新一代信息技术，为建立统一指挥、运转高效的应急机制提供基础支撑，全面提高茂南区应急管理能力，有效预防应急自然灾害、事故灾难、公共卫生事件和社会安全事件等各类突发事件，减少突发公共事件造成的经济损失和人民生命财产损失。</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2.4</w:t>
      </w:r>
      <w:r>
        <w:rPr>
          <w:rFonts w:hint="eastAsia" w:ascii="宋体" w:hAnsi="宋体" w:cs="宋体"/>
          <w:color w:val="auto"/>
          <w:kern w:val="0"/>
          <w:sz w:val="24"/>
          <w:highlight w:val="none"/>
        </w:rPr>
        <w:t>招标范围及内容：基础工程的主要工作内容如下：</w:t>
      </w:r>
    </w:p>
    <w:bookmarkEnd w:id="0"/>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（1）指挥中心场所改造</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（2）指挥中心场所配套设施</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（3）应急指挥平台建设</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（4）指挥中心信息化设备建设</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（5）防溺水视频监控系统</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（6）网络安全建设</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2.5</w:t>
      </w:r>
      <w:r>
        <w:rPr>
          <w:rFonts w:hint="eastAsia" w:ascii="宋体" w:hAnsi="宋体" w:cs="宋体"/>
          <w:color w:val="auto"/>
          <w:kern w:val="0"/>
          <w:sz w:val="24"/>
          <w:highlight w:val="none"/>
        </w:rPr>
        <w:t>建设期：</w:t>
      </w:r>
      <w:r>
        <w:rPr>
          <w:rFonts w:hint="eastAsia" w:ascii="宋体" w:hAnsi="宋体" w:cs="宋体"/>
          <w:color w:val="auto"/>
          <w:kern w:val="0"/>
          <w:sz w:val="24"/>
          <w:highlight w:val="none"/>
          <w:lang w:val="en-US" w:eastAsia="zh-CN"/>
        </w:rPr>
        <w:t>6</w:t>
      </w:r>
      <w:bookmarkStart w:id="4" w:name="_GoBack"/>
      <w:bookmarkEnd w:id="4"/>
      <w:r>
        <w:rPr>
          <w:rFonts w:hint="eastAsia" w:ascii="宋体" w:hAnsi="宋体" w:cs="宋体"/>
          <w:color w:val="auto"/>
          <w:kern w:val="0"/>
          <w:sz w:val="24"/>
          <w:highlight w:val="none"/>
        </w:rPr>
        <w:t>个月。</w:t>
      </w:r>
    </w:p>
    <w:p>
      <w:pPr>
        <w:spacing w:line="360" w:lineRule="auto"/>
        <w:ind w:firstLine="480" w:firstLineChars="200"/>
        <w:jc w:val="left"/>
        <w:rPr>
          <w:rFonts w:ascii="宋体" w:hAnsi="宋体" w:cs="宋体"/>
          <w:color w:val="auto"/>
          <w:kern w:val="0"/>
          <w:sz w:val="24"/>
          <w:highlight w:val="none"/>
        </w:rPr>
      </w:pPr>
      <w:r>
        <w:rPr>
          <w:rFonts w:ascii="宋体" w:hAnsi="宋体" w:cs="宋体"/>
          <w:color w:val="auto"/>
          <w:kern w:val="0"/>
          <w:sz w:val="24"/>
          <w:highlight w:val="none"/>
        </w:rPr>
        <w:t>2.6</w:t>
      </w:r>
      <w:r>
        <w:rPr>
          <w:rFonts w:hint="eastAsia" w:ascii="宋体" w:hAnsi="宋体" w:cs="宋体"/>
          <w:color w:val="auto"/>
          <w:kern w:val="0"/>
          <w:sz w:val="24"/>
          <w:highlight w:val="none"/>
        </w:rPr>
        <w:t>本项目类型为：信息网络类</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2.7招标控制价：</w:t>
      </w:r>
      <w:r>
        <w:rPr>
          <w:rFonts w:ascii="宋体" w:hAnsi="宋体" w:cs="宋体"/>
          <w:color w:val="auto"/>
          <w:kern w:val="0"/>
          <w:sz w:val="24"/>
          <w:highlight w:val="none"/>
        </w:rPr>
        <w:t>63</w:t>
      </w:r>
      <w:r>
        <w:rPr>
          <w:rFonts w:hint="eastAsia" w:ascii="宋体" w:hAnsi="宋体" w:cs="宋体"/>
          <w:color w:val="auto"/>
          <w:kern w:val="0"/>
          <w:sz w:val="24"/>
          <w:highlight w:val="none"/>
        </w:rPr>
        <w:t>00000.00元。</w:t>
      </w:r>
    </w:p>
    <w:p>
      <w:pPr>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2.8评标办法：评定分离（综合评标法）</w:t>
      </w:r>
    </w:p>
    <w:p>
      <w:pPr>
        <w:spacing w:line="360" w:lineRule="auto"/>
        <w:ind w:firstLine="482" w:firstLineChars="200"/>
        <w:jc w:val="left"/>
        <w:outlineLvl w:val="1"/>
        <w:rPr>
          <w:rFonts w:ascii="宋体" w:hAnsi="宋体"/>
          <w:b/>
          <w:bCs/>
          <w:color w:val="auto"/>
          <w:kern w:val="0"/>
          <w:sz w:val="24"/>
          <w:highlight w:val="none"/>
        </w:rPr>
      </w:pPr>
      <w:r>
        <w:rPr>
          <w:rFonts w:ascii="宋体" w:hAnsi="宋体"/>
          <w:b/>
          <w:bCs/>
          <w:color w:val="auto"/>
          <w:kern w:val="0"/>
          <w:sz w:val="24"/>
          <w:highlight w:val="none"/>
        </w:rPr>
        <w:t>3.</w:t>
      </w:r>
      <w:r>
        <w:rPr>
          <w:rFonts w:hint="eastAsia" w:ascii="宋体" w:hAnsi="宋体"/>
          <w:b/>
          <w:bCs/>
          <w:color w:val="auto"/>
          <w:kern w:val="0"/>
          <w:sz w:val="24"/>
          <w:highlight w:val="none"/>
        </w:rPr>
        <w:t>投标人资格要求</w:t>
      </w:r>
    </w:p>
    <w:p>
      <w:pPr>
        <w:widowControl/>
        <w:spacing w:line="360" w:lineRule="auto"/>
        <w:ind w:left="479" w:leftChars="228"/>
        <w:jc w:val="left"/>
        <w:rPr>
          <w:rFonts w:ascii="宋体" w:hAnsi="宋体" w:cs="宋体"/>
          <w:color w:val="auto"/>
          <w:kern w:val="0"/>
          <w:sz w:val="24"/>
          <w:szCs w:val="24"/>
          <w:highlight w:val="none"/>
          <w:lang w:bidi="ar"/>
        </w:rPr>
      </w:pPr>
      <w:r>
        <w:rPr>
          <w:rFonts w:ascii="宋体" w:hAnsi="宋体" w:cs="宋体"/>
          <w:color w:val="auto"/>
          <w:kern w:val="0"/>
          <w:sz w:val="24"/>
          <w:highlight w:val="none"/>
        </w:rPr>
        <w:t>3.1</w:t>
      </w:r>
      <w:r>
        <w:rPr>
          <w:rFonts w:hint="eastAsia" w:ascii="宋体" w:hAnsi="宋体" w:cs="宋体"/>
          <w:color w:val="auto"/>
          <w:kern w:val="0"/>
          <w:sz w:val="24"/>
          <w:highlight w:val="none"/>
        </w:rPr>
        <w:t>投标人须具有独立承担民事责任的能力：在中华人民共和国境内注册的法人或其他组织或自然人，投标时提交有效的营业执照（或事业法人登记证或身份证等相关证明）副本复印件。本项目接受分公司投标，投标人如为非独立法人，即由合法法人依法建立的分公司，须提供总公司的营业执照副本复印件及总公司对分公司出具的有效授权书复印件。若投标人为分公司，则在获得其总公司授权后允许使用总公司及其授权分公司持有的相关资质证书</w:t>
      </w:r>
      <w:r>
        <w:rPr>
          <w:rFonts w:hint="eastAsia" w:ascii="宋体" w:hAnsi="宋体" w:cs="宋体"/>
          <w:color w:val="auto"/>
          <w:kern w:val="0"/>
          <w:sz w:val="24"/>
          <w:szCs w:val="24"/>
          <w:highlight w:val="none"/>
          <w:lang w:bidi="ar"/>
        </w:rPr>
        <w:t>；</w:t>
      </w:r>
    </w:p>
    <w:p>
      <w:pPr>
        <w:widowControl/>
        <w:spacing w:line="360" w:lineRule="auto"/>
        <w:ind w:left="479" w:leftChars="228"/>
        <w:jc w:val="left"/>
        <w:rPr>
          <w:rFonts w:ascii="宋体" w:hAnsi="宋体" w:cs="宋体"/>
          <w:bCs/>
          <w:color w:val="auto"/>
          <w:spacing w:val="10"/>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2</w:t>
      </w:r>
      <w:r>
        <w:rPr>
          <w:rFonts w:hint="eastAsia" w:ascii="宋体" w:hAnsi="宋体" w:cs="宋体"/>
          <w:bCs/>
          <w:color w:val="auto"/>
          <w:spacing w:val="10"/>
          <w:sz w:val="24"/>
          <w:highlight w:val="none"/>
        </w:rPr>
        <w:t>“信用中国”网站（www.creditchina.gov.cn)查询：投标人被人民法院列为失信被执行人的，投标活动依法予以限制，不接受其投标；</w:t>
      </w:r>
    </w:p>
    <w:p>
      <w:pPr>
        <w:widowControl/>
        <w:spacing w:line="360" w:lineRule="auto"/>
        <w:ind w:left="479" w:leftChars="228"/>
        <w:jc w:val="left"/>
        <w:rPr>
          <w:rFonts w:ascii="宋体" w:hAnsi="宋体" w:cs="宋体"/>
          <w:color w:val="auto"/>
          <w:sz w:val="24"/>
          <w:highlight w:val="none"/>
        </w:rPr>
      </w:pPr>
      <w:r>
        <w:rPr>
          <w:rFonts w:ascii="宋体" w:hAnsi="宋体" w:cs="宋体"/>
          <w:color w:val="auto"/>
          <w:kern w:val="0"/>
          <w:sz w:val="24"/>
          <w:highlight w:val="none"/>
        </w:rPr>
        <w:t>3.</w:t>
      </w:r>
      <w:r>
        <w:rPr>
          <w:rFonts w:hint="eastAsia" w:ascii="宋体" w:hAnsi="宋体" w:cs="宋体"/>
          <w:color w:val="auto"/>
          <w:kern w:val="0"/>
          <w:sz w:val="24"/>
          <w:highlight w:val="none"/>
        </w:rPr>
        <w:t>3</w:t>
      </w:r>
      <w:r>
        <w:rPr>
          <w:rFonts w:hint="eastAsia" w:ascii="宋体" w:hAnsi="宋体" w:cs="宋体"/>
          <w:color w:val="auto"/>
          <w:kern w:val="0"/>
          <w:sz w:val="24"/>
          <w:szCs w:val="24"/>
          <w:highlight w:val="none"/>
          <w:lang w:bidi="ar"/>
        </w:rPr>
        <w:t>根据广州公共资源交易中心要求，投标人在投标登记前应已在广州公共资源交易中心办理企业信息登记，企业信息登记的办理详见广州公共资源交易中心网站服务指南栏目；</w:t>
      </w:r>
    </w:p>
    <w:p>
      <w:pPr>
        <w:spacing w:line="360" w:lineRule="auto"/>
        <w:ind w:firstLine="480"/>
        <w:rPr>
          <w:rFonts w:ascii="宋体" w:cs="宋体"/>
          <w:color w:val="auto"/>
          <w:kern w:val="0"/>
          <w:sz w:val="24"/>
          <w:highlight w:val="none"/>
        </w:rPr>
      </w:pPr>
      <w:r>
        <w:rPr>
          <w:rFonts w:hint="eastAsia" w:ascii="宋体" w:hAnsi="宋体" w:cs="宋体"/>
          <w:color w:val="auto"/>
          <w:sz w:val="24"/>
          <w:highlight w:val="none"/>
        </w:rPr>
        <w:t>3.4</w:t>
      </w:r>
      <w:r>
        <w:rPr>
          <w:rFonts w:hint="eastAsia" w:ascii="宋体" w:hAnsi="宋体" w:cs="宋体"/>
          <w:color w:val="auto"/>
          <w:kern w:val="0"/>
          <w:sz w:val="24"/>
          <w:highlight w:val="none"/>
        </w:rPr>
        <w:t>本次招标</w:t>
      </w:r>
      <w:r>
        <w:rPr>
          <w:rFonts w:hint="eastAsia" w:ascii="宋体" w:hAnsi="宋体" w:cs="宋体"/>
          <w:b/>
          <w:bCs/>
          <w:color w:val="auto"/>
          <w:kern w:val="0"/>
          <w:sz w:val="24"/>
          <w:szCs w:val="24"/>
          <w:highlight w:val="none"/>
          <w:u w:val="single"/>
        </w:rPr>
        <w:t>（不接受）</w:t>
      </w:r>
      <w:r>
        <w:rPr>
          <w:rFonts w:hint="eastAsia" w:ascii="宋体" w:hAnsi="宋体" w:cs="宋体"/>
          <w:color w:val="auto"/>
          <w:kern w:val="0"/>
          <w:sz w:val="24"/>
          <w:highlight w:val="none"/>
        </w:rPr>
        <w:t>联合体投标。</w:t>
      </w:r>
    </w:p>
    <w:p>
      <w:pPr>
        <w:spacing w:line="360" w:lineRule="auto"/>
        <w:ind w:firstLine="482" w:firstLineChars="200"/>
        <w:jc w:val="left"/>
        <w:outlineLvl w:val="1"/>
        <w:rPr>
          <w:rFonts w:ascii="宋体" w:hAnsi="宋体"/>
          <w:b/>
          <w:bCs/>
          <w:color w:val="auto"/>
          <w:kern w:val="0"/>
          <w:sz w:val="24"/>
          <w:highlight w:val="none"/>
        </w:rPr>
      </w:pPr>
      <w:r>
        <w:rPr>
          <w:rFonts w:ascii="宋体" w:hAnsi="宋体"/>
          <w:b/>
          <w:bCs/>
          <w:color w:val="auto"/>
          <w:kern w:val="0"/>
          <w:sz w:val="24"/>
          <w:highlight w:val="none"/>
        </w:rPr>
        <w:t>4</w:t>
      </w:r>
      <w:r>
        <w:rPr>
          <w:rFonts w:hint="eastAsia" w:ascii="宋体" w:hAnsi="宋体"/>
          <w:b/>
          <w:bCs/>
          <w:color w:val="auto"/>
          <w:kern w:val="0"/>
          <w:sz w:val="24"/>
          <w:highlight w:val="none"/>
        </w:rPr>
        <w:t>.招标文件的获取</w:t>
      </w:r>
    </w:p>
    <w:p>
      <w:pPr>
        <w:adjustRightInd w:val="0"/>
        <w:snapToGrid w:val="0"/>
        <w:spacing w:line="360" w:lineRule="auto"/>
        <w:ind w:firstLine="480" w:firstLineChars="200"/>
        <w:rPr>
          <w:rFonts w:hAnsi="宋体"/>
          <w:color w:val="auto"/>
          <w:sz w:val="24"/>
          <w:szCs w:val="24"/>
          <w:highlight w:val="none"/>
        </w:rPr>
      </w:pPr>
      <w:r>
        <w:rPr>
          <w:rFonts w:hint="eastAsia" w:ascii="宋体" w:hAnsi="宋体" w:cs="宋体"/>
          <w:color w:val="auto"/>
          <w:sz w:val="24"/>
          <w:szCs w:val="24"/>
          <w:highlight w:val="none"/>
        </w:rPr>
        <w:t>凡有意参加投标者，请于2023年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日至2023年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日，每日上午9：30时至11：00时，下午</w:t>
      </w:r>
      <w:r>
        <w:rPr>
          <w:rFonts w:hint="eastAsia" w:ascii="宋体" w:hAnsi="宋体"/>
          <w:bCs/>
          <w:color w:val="auto"/>
          <w:sz w:val="24"/>
          <w:highlight w:val="none"/>
        </w:rPr>
        <w:t>14：30时至16：00时（北京时间，下同），由企业</w:t>
      </w:r>
      <w:r>
        <w:rPr>
          <w:rFonts w:hint="eastAsia" w:ascii="宋体" w:hAnsi="宋体"/>
          <w:bCs/>
          <w:color w:val="auto"/>
          <w:sz w:val="24"/>
          <w:highlight w:val="none"/>
          <w:lang w:eastAsia="zh-CN"/>
        </w:rPr>
        <w:t>法定代表人（或分支机构负责人）</w:t>
      </w:r>
      <w:r>
        <w:rPr>
          <w:rFonts w:hint="eastAsia" w:ascii="宋体" w:hAnsi="宋体"/>
          <w:bCs/>
          <w:color w:val="auto"/>
          <w:sz w:val="24"/>
          <w:highlight w:val="none"/>
        </w:rPr>
        <w:t>或授权代表持如下资料到广东长盛工程项目管理有限公司（广东省茂名市高凉中路中海大厦1104室）投标登</w:t>
      </w:r>
      <w:r>
        <w:rPr>
          <w:rFonts w:hint="eastAsia" w:ascii="宋体" w:hAnsi="宋体" w:cs="宋体"/>
          <w:color w:val="auto"/>
          <w:sz w:val="24"/>
          <w:szCs w:val="24"/>
          <w:highlight w:val="none"/>
        </w:rPr>
        <w:t>记，</w:t>
      </w:r>
      <w:r>
        <w:rPr>
          <w:rFonts w:hint="eastAsia" w:ascii="宋体" w:hAnsi="宋体"/>
          <w:bCs/>
          <w:color w:val="auto"/>
          <w:sz w:val="24"/>
          <w:highlight w:val="none"/>
        </w:rPr>
        <w:t>投标登记资料详见《附件1》，投标登记资料一式两份装订成册，复印件均需加盖公章</w:t>
      </w:r>
      <w:r>
        <w:rPr>
          <w:rFonts w:hint="eastAsia" w:ascii="宋体" w:hAnsi="宋体"/>
          <w:bCs/>
          <w:color w:val="auto"/>
          <w:sz w:val="24"/>
          <w:highlight w:val="none"/>
          <w:lang w:eastAsia="zh-CN"/>
        </w:rPr>
        <w:t>（</w:t>
      </w:r>
      <w:r>
        <w:rPr>
          <w:rFonts w:hint="eastAsia" w:ascii="宋体" w:hAnsi="宋体"/>
          <w:bCs/>
          <w:color w:val="auto"/>
          <w:sz w:val="24"/>
          <w:highlight w:val="none"/>
          <w:lang w:val="en-US" w:eastAsia="zh-CN"/>
        </w:rPr>
        <w:t>如分支机构获得总公司授权后，可盖分支机构公章</w:t>
      </w:r>
      <w:r>
        <w:rPr>
          <w:rFonts w:hint="eastAsia" w:ascii="宋体" w:hAnsi="宋体"/>
          <w:bCs/>
          <w:color w:val="auto"/>
          <w:sz w:val="24"/>
          <w:highlight w:val="none"/>
          <w:lang w:eastAsia="zh-CN"/>
        </w:rPr>
        <w:t>）</w:t>
      </w:r>
      <w:r>
        <w:rPr>
          <w:rFonts w:hint="eastAsia" w:ascii="宋体" w:hAnsi="宋体"/>
          <w:bCs/>
          <w:color w:val="auto"/>
          <w:sz w:val="24"/>
          <w:highlight w:val="none"/>
        </w:rPr>
        <w:t>，原件核对；投标登记申请表（原件一式两份，加盖公章，单独提供，广州公共资源交易中心网http://www.gzggzy.cn/可下载）。招标文件资料费1000元，登记时缴纳，缴纳后不退</w:t>
      </w:r>
      <w:r>
        <w:rPr>
          <w:rFonts w:hint="eastAsia" w:ascii="宋体" w:hAnsi="宋体" w:cs="宋体"/>
          <w:color w:val="auto"/>
          <w:sz w:val="24"/>
          <w:szCs w:val="24"/>
          <w:highlight w:val="none"/>
          <w:shd w:val="clear" w:color="auto" w:fill="FFFFFF"/>
        </w:rPr>
        <w:t>。</w:t>
      </w:r>
    </w:p>
    <w:p>
      <w:pPr>
        <w:spacing w:line="360" w:lineRule="auto"/>
        <w:ind w:firstLine="482" w:firstLineChars="200"/>
        <w:jc w:val="left"/>
        <w:outlineLvl w:val="1"/>
        <w:rPr>
          <w:rFonts w:ascii="宋体" w:hAnsi="宋体"/>
          <w:b/>
          <w:bCs/>
          <w:color w:val="auto"/>
          <w:kern w:val="0"/>
          <w:sz w:val="24"/>
          <w:highlight w:val="none"/>
        </w:rPr>
      </w:pPr>
      <w:r>
        <w:rPr>
          <w:rFonts w:ascii="宋体" w:hAnsi="宋体"/>
          <w:b/>
          <w:bCs/>
          <w:color w:val="auto"/>
          <w:kern w:val="0"/>
          <w:sz w:val="24"/>
          <w:highlight w:val="none"/>
        </w:rPr>
        <w:t>5</w:t>
      </w:r>
      <w:r>
        <w:rPr>
          <w:rFonts w:hint="eastAsia" w:ascii="宋体" w:hAnsi="宋体"/>
          <w:b/>
          <w:bCs/>
          <w:color w:val="auto"/>
          <w:kern w:val="0"/>
          <w:sz w:val="24"/>
          <w:highlight w:val="none"/>
        </w:rPr>
        <w:t>.投标注意事项</w:t>
      </w:r>
    </w:p>
    <w:p>
      <w:pPr>
        <w:spacing w:line="360" w:lineRule="auto"/>
        <w:ind w:firstLine="480" w:firstLineChars="200"/>
        <w:jc w:val="left"/>
        <w:rPr>
          <w:rFonts w:hAnsi="宋体"/>
          <w:bCs/>
          <w:color w:val="auto"/>
          <w:sz w:val="24"/>
          <w:szCs w:val="24"/>
          <w:highlight w:val="none"/>
        </w:rPr>
      </w:pPr>
      <w:r>
        <w:rPr>
          <w:rFonts w:hAnsi="宋体"/>
          <w:bCs/>
          <w:color w:val="auto"/>
          <w:sz w:val="24"/>
          <w:szCs w:val="24"/>
          <w:highlight w:val="none"/>
        </w:rPr>
        <w:t>5.1</w:t>
      </w:r>
      <w:r>
        <w:rPr>
          <w:rFonts w:hint="eastAsia" w:ascii="宋体"/>
          <w:color w:val="auto"/>
          <w:sz w:val="24"/>
          <w:szCs w:val="24"/>
          <w:highlight w:val="none"/>
        </w:rPr>
        <w:t>开标时要求投标人（联合体投标的指牵头人）的</w:t>
      </w:r>
      <w:r>
        <w:rPr>
          <w:rFonts w:hint="eastAsia" w:ascii="宋体"/>
          <w:color w:val="auto"/>
          <w:sz w:val="24"/>
          <w:szCs w:val="24"/>
          <w:highlight w:val="none"/>
          <w:lang w:eastAsia="zh-CN"/>
        </w:rPr>
        <w:t>法定代表人（或分支机构负责人）</w:t>
      </w:r>
      <w:r>
        <w:rPr>
          <w:rFonts w:hint="eastAsia" w:ascii="宋体"/>
          <w:color w:val="auto"/>
          <w:sz w:val="24"/>
          <w:szCs w:val="24"/>
          <w:highlight w:val="none"/>
        </w:rPr>
        <w:t>或其授权代理人准时参加开标会，且需在开标截止时间前进场做签到工作,开标时手持本人身份证原件、</w:t>
      </w:r>
      <w:r>
        <w:rPr>
          <w:rFonts w:hint="eastAsia" w:ascii="宋体"/>
          <w:color w:val="auto"/>
          <w:sz w:val="24"/>
          <w:szCs w:val="24"/>
          <w:highlight w:val="none"/>
          <w:lang w:eastAsia="zh-CN"/>
        </w:rPr>
        <w:t>法定代表人（或分支机构负责人）</w:t>
      </w:r>
      <w:r>
        <w:rPr>
          <w:rFonts w:hint="eastAsia" w:ascii="宋体"/>
          <w:color w:val="auto"/>
          <w:sz w:val="24"/>
          <w:szCs w:val="24"/>
          <w:highlight w:val="none"/>
        </w:rPr>
        <w:t>身份证明书原件、法人授权委托证明书原件（</w:t>
      </w:r>
      <w:r>
        <w:rPr>
          <w:rFonts w:hint="eastAsia" w:ascii="宋体"/>
          <w:color w:val="auto"/>
          <w:sz w:val="24"/>
          <w:szCs w:val="24"/>
          <w:highlight w:val="none"/>
          <w:lang w:eastAsia="zh-CN"/>
        </w:rPr>
        <w:t>法定代表人（或分支机构负责人）</w:t>
      </w:r>
      <w:r>
        <w:rPr>
          <w:rFonts w:hint="eastAsia" w:ascii="宋体"/>
          <w:color w:val="auto"/>
          <w:sz w:val="24"/>
          <w:szCs w:val="24"/>
          <w:highlight w:val="none"/>
        </w:rPr>
        <w:t>出席开标会的，则无需提供）</w:t>
      </w:r>
      <w:r>
        <w:rPr>
          <w:rFonts w:hint="eastAsia" w:hAnsi="宋体"/>
          <w:bCs/>
          <w:color w:val="auto"/>
          <w:sz w:val="24"/>
          <w:szCs w:val="24"/>
          <w:highlight w:val="none"/>
        </w:rPr>
        <w:t>。</w:t>
      </w:r>
    </w:p>
    <w:p>
      <w:pPr>
        <w:pStyle w:val="9"/>
        <w:ind w:firstLine="442"/>
        <w:rPr>
          <w:b/>
          <w:bCs/>
          <w:color w:val="auto"/>
          <w:sz w:val="20"/>
          <w:szCs w:val="21"/>
          <w:highlight w:val="none"/>
        </w:rPr>
      </w:pPr>
      <w:r>
        <w:rPr>
          <w:rFonts w:hint="eastAsia" w:ascii="宋体" w:hAnsi="宋体" w:cs="宋体"/>
          <w:b/>
          <w:bCs/>
          <w:color w:val="auto"/>
          <w:sz w:val="22"/>
          <w:highlight w:val="none"/>
        </w:rPr>
        <w:t>注：联合体投标，由牵头人办理。</w:t>
      </w:r>
    </w:p>
    <w:p>
      <w:pPr>
        <w:spacing w:line="360" w:lineRule="auto"/>
        <w:ind w:firstLine="482" w:firstLineChars="200"/>
        <w:jc w:val="left"/>
        <w:outlineLvl w:val="1"/>
        <w:rPr>
          <w:rFonts w:ascii="宋体" w:hAnsi="宋体"/>
          <w:b/>
          <w:bCs/>
          <w:color w:val="auto"/>
          <w:kern w:val="0"/>
          <w:sz w:val="24"/>
          <w:highlight w:val="none"/>
        </w:rPr>
      </w:pPr>
      <w:bookmarkStart w:id="1" w:name="_Toc4059"/>
      <w:r>
        <w:rPr>
          <w:rFonts w:ascii="宋体" w:hAnsi="宋体"/>
          <w:b/>
          <w:bCs/>
          <w:color w:val="auto"/>
          <w:kern w:val="0"/>
          <w:sz w:val="24"/>
          <w:highlight w:val="none"/>
        </w:rPr>
        <w:t>6</w:t>
      </w:r>
      <w:r>
        <w:rPr>
          <w:rFonts w:hint="eastAsia" w:ascii="宋体" w:hAnsi="宋体"/>
          <w:b/>
          <w:bCs/>
          <w:color w:val="auto"/>
          <w:kern w:val="0"/>
          <w:sz w:val="24"/>
          <w:highlight w:val="none"/>
        </w:rPr>
        <w:t>.发布公告日期、递交投标文件时间、开标时间和定标时间：</w:t>
      </w:r>
      <w:bookmarkEnd w:id="1"/>
    </w:p>
    <w:p>
      <w:pPr>
        <w:widowControl/>
        <w:adjustRightInd w:val="0"/>
        <w:snapToGrid w:val="0"/>
        <w:spacing w:line="360" w:lineRule="auto"/>
        <w:ind w:firstLine="480" w:firstLineChars="200"/>
        <w:rPr>
          <w:rFonts w:ascii="宋体" w:hAnsi="宋体" w:cs="宋体"/>
          <w:color w:val="auto"/>
          <w:sz w:val="24"/>
          <w:szCs w:val="24"/>
          <w:highlight w:val="none"/>
          <w:shd w:val="clear" w:color="auto" w:fill="FFFFFF"/>
        </w:rPr>
      </w:pPr>
      <w:bookmarkStart w:id="2" w:name="_Toc14501"/>
      <w:bookmarkStart w:id="3" w:name="_Toc32568"/>
      <w:r>
        <w:rPr>
          <w:rFonts w:hint="eastAsia" w:ascii="宋体" w:hAnsi="宋体" w:cs="宋体"/>
          <w:color w:val="auto"/>
          <w:sz w:val="24"/>
          <w:szCs w:val="24"/>
          <w:highlight w:val="none"/>
          <w:shd w:val="clear" w:color="auto" w:fill="FFFFFF"/>
        </w:rPr>
        <w:t>6.1 投标文件递交的截止时间(投标截止时间)：</w:t>
      </w:r>
      <w:r>
        <w:rPr>
          <w:rFonts w:hint="eastAsia" w:ascii="宋体" w:hAnsi="宋体" w:cs="宋体"/>
          <w:color w:val="auto"/>
          <w:sz w:val="24"/>
          <w:szCs w:val="24"/>
          <w:highlight w:val="none"/>
          <w:u w:val="single"/>
          <w:shd w:val="clear" w:color="auto" w:fill="FFFFFF"/>
        </w:rPr>
        <w:t>2023</w:t>
      </w:r>
      <w:r>
        <w:rPr>
          <w:rFonts w:hint="eastAsia" w:ascii="宋体" w:hAnsi="宋体" w:cs="宋体"/>
          <w:color w:val="auto"/>
          <w:sz w:val="24"/>
          <w:szCs w:val="24"/>
          <w:highlight w:val="none"/>
          <w:shd w:val="clear" w:color="auto" w:fill="FFFFFF"/>
        </w:rPr>
        <w:t>年</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月</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日</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时</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分。</w:t>
      </w:r>
    </w:p>
    <w:p>
      <w:pPr>
        <w:adjustRightInd w:val="0"/>
        <w:snapToGrid w:val="0"/>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szCs w:val="24"/>
          <w:highlight w:val="none"/>
          <w:shd w:val="clear" w:color="auto" w:fill="FFFFFF"/>
        </w:rPr>
        <w:t>6.2 投标文件递交地址：投标人应于投标截止时间前将投标文件密封送达广州公共资源交易中心</w:t>
      </w:r>
      <w:r>
        <w:rPr>
          <w:rFonts w:hint="eastAsia" w:ascii="宋体" w:hAnsi="宋体" w:cs="宋体"/>
          <w:color w:val="auto"/>
          <w:sz w:val="24"/>
          <w:szCs w:val="24"/>
          <w:highlight w:val="none"/>
          <w:u w:val="single"/>
          <w:shd w:val="clear" w:color="auto" w:fill="FFFFFF"/>
        </w:rPr>
        <w:t xml:space="preserve">   </w:t>
      </w:r>
      <w:r>
        <w:rPr>
          <w:rFonts w:hint="eastAsia" w:ascii="宋体" w:hAnsi="宋体" w:cs="宋体"/>
          <w:color w:val="auto"/>
          <w:sz w:val="24"/>
          <w:szCs w:val="24"/>
          <w:highlight w:val="none"/>
          <w:shd w:val="clear" w:color="auto" w:fill="FFFFFF"/>
        </w:rPr>
        <w:t>开标室（地址：广州市天河区天润路333号）。</w:t>
      </w:r>
    </w:p>
    <w:p>
      <w:pPr>
        <w:pStyle w:val="9"/>
        <w:ind w:firstLine="480"/>
        <w:rPr>
          <w:color w:val="auto"/>
          <w:highlight w:val="none"/>
        </w:rPr>
      </w:pPr>
      <w:r>
        <w:rPr>
          <w:rFonts w:hint="eastAsia" w:ascii="宋体" w:hAnsi="宋体" w:cs="宋体"/>
          <w:color w:val="auto"/>
          <w:sz w:val="24"/>
          <w:szCs w:val="24"/>
          <w:highlight w:val="none"/>
          <w:shd w:val="clear" w:color="auto" w:fill="FFFFFF"/>
        </w:rPr>
        <w:t>6.3 开标时间：同投标截止时间。</w:t>
      </w:r>
    </w:p>
    <w:p>
      <w:pPr>
        <w:spacing w:line="360" w:lineRule="auto"/>
        <w:ind w:firstLine="480" w:firstLineChars="200"/>
        <w:rPr>
          <w:rFonts w:ascii="宋体" w:hAnsi="宋体" w:cs="宋体"/>
          <w:bCs/>
          <w:color w:val="auto"/>
          <w:spacing w:val="10"/>
          <w:sz w:val="24"/>
          <w:szCs w:val="24"/>
          <w:highlight w:val="none"/>
        </w:rPr>
      </w:pPr>
      <w:r>
        <w:rPr>
          <w:rFonts w:hint="eastAsia" w:ascii="宋体" w:hAnsi="宋体" w:cs="宋体"/>
          <w:color w:val="auto"/>
          <w:sz w:val="24"/>
          <w:szCs w:val="24"/>
          <w:highlight w:val="none"/>
          <w:shd w:val="clear" w:color="auto" w:fill="FFFFFF"/>
        </w:rPr>
        <w:t xml:space="preserve">6.4 </w:t>
      </w:r>
      <w:r>
        <w:rPr>
          <w:rFonts w:hint="eastAsia" w:ascii="宋体" w:hAnsi="宋体" w:cs="宋体"/>
          <w:bCs/>
          <w:color w:val="auto"/>
          <w:spacing w:val="10"/>
          <w:sz w:val="24"/>
          <w:szCs w:val="24"/>
          <w:highlight w:val="none"/>
        </w:rPr>
        <w:t>定标时间：</w:t>
      </w:r>
      <w:r>
        <w:rPr>
          <w:rFonts w:hint="eastAsia" w:ascii="宋体" w:hAnsi="宋体" w:cs="宋体"/>
          <w:bCs/>
          <w:color w:val="auto"/>
          <w:spacing w:val="10"/>
          <w:sz w:val="24"/>
          <w:szCs w:val="24"/>
          <w:highlight w:val="none"/>
          <w:u w:val="single"/>
        </w:rPr>
        <w:t>具体时间由招标人另行通知</w:t>
      </w:r>
      <w:r>
        <w:rPr>
          <w:rFonts w:hint="eastAsia" w:ascii="宋体" w:hAnsi="宋体" w:cs="宋体"/>
          <w:bCs/>
          <w:color w:val="auto"/>
          <w:spacing w:val="10"/>
          <w:sz w:val="24"/>
          <w:szCs w:val="24"/>
          <w:highlight w:val="none"/>
        </w:rPr>
        <w:t>；</w:t>
      </w:r>
    </w:p>
    <w:p>
      <w:pPr>
        <w:tabs>
          <w:tab w:val="left" w:pos="360"/>
        </w:tabs>
        <w:adjustRightInd w:val="0"/>
        <w:snapToGrid w:val="0"/>
        <w:spacing w:line="360" w:lineRule="auto"/>
        <w:ind w:firstLine="480" w:firstLineChars="200"/>
        <w:rPr>
          <w:rFonts w:ascii="宋体" w:hAnsi="宋体" w:cs="宋体"/>
          <w:color w:val="auto"/>
          <w:sz w:val="24"/>
          <w:szCs w:val="24"/>
          <w:highlight w:val="none"/>
          <w:shd w:val="clear" w:color="auto" w:fill="FFFFFF"/>
        </w:rPr>
      </w:pPr>
      <w:r>
        <w:rPr>
          <w:rFonts w:hint="eastAsia" w:ascii="宋体" w:hAnsi="宋体" w:cs="宋体"/>
          <w:color w:val="auto"/>
          <w:sz w:val="24"/>
          <w:highlight w:val="none"/>
        </w:rPr>
        <w:t>地点：广东省茂名市高凉中路中海大厦1104房评标室。</w:t>
      </w:r>
    </w:p>
    <w:bookmarkEnd w:id="2"/>
    <w:bookmarkEnd w:id="3"/>
    <w:p>
      <w:pPr>
        <w:spacing w:line="360" w:lineRule="auto"/>
        <w:ind w:firstLine="520" w:firstLineChars="200"/>
        <w:rPr>
          <w:rFonts w:ascii="宋体" w:hAnsi="宋体" w:cs="宋体"/>
          <w:bCs/>
          <w:color w:val="auto"/>
          <w:spacing w:val="10"/>
          <w:sz w:val="24"/>
          <w:szCs w:val="24"/>
          <w:highlight w:val="none"/>
        </w:rPr>
      </w:pPr>
      <w:r>
        <w:rPr>
          <w:rFonts w:hint="eastAsia" w:ascii="宋体" w:hAnsi="宋体" w:cs="宋体"/>
          <w:bCs/>
          <w:color w:val="auto"/>
          <w:spacing w:val="10"/>
          <w:sz w:val="24"/>
          <w:szCs w:val="24"/>
          <w:highlight w:val="none"/>
        </w:rPr>
        <w:t xml:space="preserve">6.5 </w:t>
      </w:r>
      <w:r>
        <w:rPr>
          <w:rFonts w:hint="eastAsia" w:ascii="宋体" w:hAnsi="宋体" w:cs="宋体"/>
          <w:color w:val="auto"/>
          <w:sz w:val="24"/>
          <w:highlight w:val="none"/>
        </w:rPr>
        <w:t>逾期送达的或者未送达指定地点的投标文件，招标人不予受理。</w:t>
      </w:r>
    </w:p>
    <w:p>
      <w:pPr>
        <w:spacing w:line="360" w:lineRule="auto"/>
        <w:ind w:firstLine="482" w:firstLineChars="200"/>
        <w:jc w:val="left"/>
        <w:rPr>
          <w:rFonts w:ascii="宋体" w:cs="宋体"/>
          <w:color w:val="auto"/>
          <w:kern w:val="0"/>
          <w:sz w:val="24"/>
          <w:szCs w:val="32"/>
          <w:highlight w:val="none"/>
        </w:rPr>
      </w:pPr>
      <w:r>
        <w:rPr>
          <w:rFonts w:ascii="宋体" w:hAnsi="宋体"/>
          <w:b/>
          <w:bCs/>
          <w:color w:val="auto"/>
          <w:kern w:val="0"/>
          <w:sz w:val="24"/>
          <w:highlight w:val="none"/>
        </w:rPr>
        <w:t>7</w:t>
      </w:r>
      <w:r>
        <w:rPr>
          <w:rFonts w:hint="eastAsia" w:ascii="宋体" w:hAnsi="宋体"/>
          <w:b/>
          <w:bCs/>
          <w:color w:val="auto"/>
          <w:kern w:val="0"/>
          <w:sz w:val="24"/>
          <w:highlight w:val="none"/>
        </w:rPr>
        <w:t>、发布公告的媒体：</w:t>
      </w:r>
      <w:r>
        <w:rPr>
          <w:rFonts w:hint="eastAsia" w:ascii="宋体" w:hAnsi="宋体" w:cs="宋体"/>
          <w:color w:val="auto"/>
          <w:kern w:val="0"/>
          <w:sz w:val="24"/>
          <w:szCs w:val="32"/>
          <w:highlight w:val="none"/>
        </w:rPr>
        <w:t>本次招标公告在</w:t>
      </w:r>
      <w:r>
        <w:rPr>
          <w:rFonts w:hint="eastAsia" w:ascii="宋体" w:hAnsi="宋体" w:cs="宋体"/>
          <w:color w:val="auto"/>
          <w:kern w:val="0"/>
          <w:sz w:val="24"/>
          <w:szCs w:val="32"/>
          <w:highlight w:val="none"/>
          <w:u w:val="single"/>
        </w:rPr>
        <w:t>广州公共资源交易中心网</w:t>
      </w:r>
      <w:r>
        <w:rPr>
          <w:rFonts w:hint="eastAsia" w:ascii="宋体" w:hAnsi="宋体" w:cs="宋体"/>
          <w:color w:val="auto"/>
          <w:kern w:val="0"/>
          <w:sz w:val="24"/>
          <w:szCs w:val="32"/>
          <w:highlight w:val="none"/>
        </w:rPr>
        <w:t>发布。</w:t>
      </w:r>
    </w:p>
    <w:p>
      <w:pPr>
        <w:spacing w:line="360" w:lineRule="auto"/>
        <w:ind w:firstLine="482" w:firstLineChars="200"/>
        <w:jc w:val="left"/>
        <w:rPr>
          <w:rFonts w:ascii="宋体"/>
          <w:b/>
          <w:color w:val="auto"/>
          <w:kern w:val="0"/>
          <w:sz w:val="24"/>
          <w:highlight w:val="none"/>
        </w:rPr>
      </w:pPr>
      <w:r>
        <w:rPr>
          <w:rFonts w:ascii="宋体" w:hAnsi="宋体"/>
          <w:b/>
          <w:color w:val="auto"/>
          <w:kern w:val="0"/>
          <w:sz w:val="24"/>
          <w:highlight w:val="none"/>
        </w:rPr>
        <w:t>8</w:t>
      </w:r>
      <w:r>
        <w:rPr>
          <w:rFonts w:hint="eastAsia" w:ascii="宋体" w:hAnsi="宋体"/>
          <w:b/>
          <w:color w:val="auto"/>
          <w:kern w:val="0"/>
          <w:sz w:val="24"/>
          <w:highlight w:val="none"/>
        </w:rPr>
        <w:t>、联系方式：</w:t>
      </w:r>
    </w:p>
    <w:p>
      <w:pPr>
        <w:spacing w:line="360" w:lineRule="auto"/>
        <w:ind w:firstLine="480" w:firstLineChars="200"/>
        <w:jc w:val="left"/>
        <w:rPr>
          <w:rFonts w:ascii="宋体"/>
          <w:bCs/>
          <w:color w:val="auto"/>
          <w:kern w:val="0"/>
          <w:sz w:val="24"/>
          <w:szCs w:val="32"/>
          <w:highlight w:val="none"/>
        </w:rPr>
      </w:pPr>
      <w:r>
        <w:rPr>
          <w:rFonts w:hint="eastAsia" w:ascii="宋体" w:hAnsi="宋体"/>
          <w:bCs/>
          <w:color w:val="auto"/>
          <w:kern w:val="0"/>
          <w:sz w:val="24"/>
          <w:szCs w:val="32"/>
          <w:highlight w:val="none"/>
        </w:rPr>
        <w:t>招标人：茂名市茂南石化工业园管理中心</w:t>
      </w:r>
    </w:p>
    <w:p>
      <w:pPr>
        <w:spacing w:line="360" w:lineRule="auto"/>
        <w:ind w:firstLine="480" w:firstLineChars="200"/>
        <w:jc w:val="left"/>
        <w:rPr>
          <w:rFonts w:ascii="宋体" w:hAnsi="宋体"/>
          <w:bCs/>
          <w:color w:val="auto"/>
          <w:kern w:val="0"/>
          <w:sz w:val="24"/>
          <w:szCs w:val="32"/>
          <w:highlight w:val="none"/>
        </w:rPr>
      </w:pPr>
      <w:r>
        <w:rPr>
          <w:rFonts w:hint="eastAsia" w:ascii="宋体" w:hAnsi="宋体"/>
          <w:bCs/>
          <w:color w:val="auto"/>
          <w:kern w:val="0"/>
          <w:sz w:val="24"/>
          <w:szCs w:val="32"/>
          <w:highlight w:val="none"/>
        </w:rPr>
        <w:t>联系人：何先生</w:t>
      </w:r>
    </w:p>
    <w:p>
      <w:pPr>
        <w:spacing w:line="360" w:lineRule="auto"/>
        <w:ind w:firstLine="480" w:firstLineChars="200"/>
        <w:jc w:val="left"/>
        <w:rPr>
          <w:rFonts w:ascii="宋体"/>
          <w:bCs/>
          <w:color w:val="auto"/>
          <w:kern w:val="0"/>
          <w:sz w:val="24"/>
          <w:szCs w:val="32"/>
          <w:highlight w:val="none"/>
        </w:rPr>
      </w:pPr>
      <w:r>
        <w:rPr>
          <w:rFonts w:hint="eastAsia" w:ascii="宋体" w:hAnsi="宋体"/>
          <w:bCs/>
          <w:color w:val="auto"/>
          <w:kern w:val="0"/>
          <w:sz w:val="24"/>
          <w:szCs w:val="32"/>
          <w:highlight w:val="none"/>
        </w:rPr>
        <w:t>联系电话：</w:t>
      </w:r>
      <w:r>
        <w:rPr>
          <w:rFonts w:hint="eastAsia" w:ascii="宋体" w:hAnsi="宋体"/>
          <w:bCs/>
          <w:color w:val="auto"/>
          <w:kern w:val="0"/>
          <w:sz w:val="24"/>
          <w:highlight w:val="none"/>
        </w:rPr>
        <w:t>0668-2200159</w:t>
      </w:r>
    </w:p>
    <w:p>
      <w:pPr>
        <w:spacing w:line="360" w:lineRule="auto"/>
        <w:ind w:firstLine="480" w:firstLineChars="200"/>
        <w:jc w:val="left"/>
        <w:rPr>
          <w:rFonts w:hint="eastAsia" w:ascii="宋体" w:hAnsi="宋体" w:cs="宋体"/>
          <w:color w:val="auto"/>
          <w:sz w:val="24"/>
          <w:szCs w:val="24"/>
          <w:highlight w:val="none"/>
        </w:rPr>
      </w:pPr>
      <w:r>
        <w:rPr>
          <w:rFonts w:hint="eastAsia" w:ascii="宋体" w:hAnsi="宋体"/>
          <w:bCs/>
          <w:color w:val="auto"/>
          <w:kern w:val="0"/>
          <w:sz w:val="24"/>
          <w:highlight w:val="none"/>
        </w:rPr>
        <w:t>招标代理：</w:t>
      </w:r>
      <w:r>
        <w:rPr>
          <w:rFonts w:hint="eastAsia" w:ascii="宋体" w:hAnsi="宋体" w:cs="宋体"/>
          <w:color w:val="auto"/>
          <w:sz w:val="24"/>
          <w:szCs w:val="24"/>
          <w:highlight w:val="none"/>
        </w:rPr>
        <w:t>广东长盛工程项目管理有限公司</w:t>
      </w:r>
    </w:p>
    <w:p>
      <w:pPr>
        <w:spacing w:line="360" w:lineRule="auto"/>
        <w:ind w:firstLine="480" w:firstLineChars="200"/>
        <w:jc w:val="left"/>
        <w:rPr>
          <w:rFonts w:hint="default" w:ascii="宋体" w:hAnsi="宋体" w:cs="宋体"/>
          <w:color w:val="auto"/>
          <w:sz w:val="24"/>
          <w:szCs w:val="24"/>
          <w:highlight w:val="none"/>
          <w:shd w:val="clear" w:color="auto" w:fill="auto"/>
          <w:lang w:val="en-US" w:eastAsia="zh-CN"/>
        </w:rPr>
      </w:pPr>
      <w:r>
        <w:rPr>
          <w:rFonts w:ascii="宋体" w:hAnsi="宋体" w:cs="宋体"/>
          <w:color w:val="auto"/>
          <w:sz w:val="24"/>
          <w:szCs w:val="24"/>
          <w:highlight w:val="none"/>
          <w:shd w:val="clear" w:color="auto" w:fill="auto"/>
        </w:rPr>
        <w:t>联系人：</w:t>
      </w:r>
      <w:r>
        <w:rPr>
          <w:rFonts w:hint="eastAsia" w:ascii="宋体" w:hAnsi="宋体" w:cs="宋体"/>
          <w:color w:val="auto"/>
          <w:sz w:val="24"/>
          <w:szCs w:val="24"/>
          <w:highlight w:val="none"/>
          <w:shd w:val="clear" w:color="auto" w:fill="auto"/>
          <w:lang w:val="en-US" w:eastAsia="zh-CN"/>
        </w:rPr>
        <w:t>陈小姐</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 xml:space="preserve">    </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 xml:space="preserve">  </w:t>
      </w:r>
      <w:r>
        <w:rPr>
          <w:rFonts w:ascii="宋体" w:hAnsi="宋体" w:cs="宋体"/>
          <w:color w:val="auto"/>
          <w:sz w:val="24"/>
          <w:szCs w:val="24"/>
          <w:highlight w:val="none"/>
          <w:shd w:val="clear" w:color="auto" w:fill="auto"/>
        </w:rPr>
        <w:t xml:space="preserve"> </w:t>
      </w:r>
      <w:r>
        <w:rPr>
          <w:rFonts w:hint="eastAsia" w:ascii="宋体" w:hAnsi="宋体" w:cs="宋体"/>
          <w:color w:val="auto"/>
          <w:sz w:val="24"/>
          <w:szCs w:val="24"/>
          <w:highlight w:val="none"/>
          <w:shd w:val="clear" w:color="auto" w:fill="auto"/>
        </w:rPr>
        <w:t>联系电话</w:t>
      </w:r>
      <w:r>
        <w:rPr>
          <w:rFonts w:ascii="宋体" w:hAnsi="宋体" w:cs="宋体"/>
          <w:color w:val="auto"/>
          <w:sz w:val="24"/>
          <w:szCs w:val="24"/>
          <w:highlight w:val="none"/>
          <w:shd w:val="clear" w:color="auto" w:fill="auto"/>
        </w:rPr>
        <w:t>：</w:t>
      </w:r>
      <w:r>
        <w:rPr>
          <w:rFonts w:hint="eastAsia" w:ascii="宋体" w:hAnsi="宋体" w:cs="宋体"/>
          <w:color w:val="auto"/>
          <w:sz w:val="24"/>
          <w:szCs w:val="24"/>
          <w:highlight w:val="none"/>
          <w:shd w:val="clear" w:color="auto" w:fill="auto"/>
          <w:lang w:eastAsia="zh-CN"/>
        </w:rPr>
        <w:t>0668-2907995</w:t>
      </w:r>
      <w:r>
        <w:rPr>
          <w:rFonts w:hint="eastAsia" w:ascii="宋体" w:hAnsi="宋体" w:cs="宋体"/>
          <w:color w:val="auto"/>
          <w:sz w:val="24"/>
          <w:szCs w:val="24"/>
          <w:highlight w:val="none"/>
          <w:shd w:val="clear" w:color="auto" w:fill="auto"/>
          <w:lang w:val="en-US" w:eastAsia="zh-CN"/>
        </w:rPr>
        <w:t>/18218046771</w:t>
      </w:r>
    </w:p>
    <w:p>
      <w:pPr>
        <w:pStyle w:val="9"/>
        <w:ind w:firstLine="480"/>
        <w:rPr>
          <w:rFonts w:ascii="宋体" w:cs="宋体"/>
          <w:color w:val="auto"/>
          <w:kern w:val="0"/>
          <w:sz w:val="24"/>
          <w:highlight w:val="none"/>
        </w:rPr>
      </w:pPr>
    </w:p>
    <w:p>
      <w:pPr>
        <w:spacing w:line="360" w:lineRule="auto"/>
        <w:ind w:firstLine="480" w:firstLineChars="200"/>
        <w:jc w:val="left"/>
        <w:rPr>
          <w:rFonts w:ascii="宋体" w:cs="宋体"/>
          <w:color w:val="auto"/>
          <w:kern w:val="0"/>
          <w:sz w:val="24"/>
          <w:highlight w:val="none"/>
          <w:u w:val="single"/>
        </w:rPr>
      </w:pPr>
      <w:r>
        <w:rPr>
          <w:rFonts w:hint="eastAsia" w:ascii="宋体" w:cs="宋体"/>
          <w:color w:val="auto"/>
          <w:kern w:val="0"/>
          <w:sz w:val="24"/>
          <w:highlight w:val="none"/>
        </w:rPr>
        <w:t xml:space="preserve">                                  招标人： </w:t>
      </w:r>
      <w:r>
        <w:rPr>
          <w:rFonts w:hint="eastAsia" w:ascii="宋体" w:cs="宋体"/>
          <w:color w:val="auto"/>
          <w:kern w:val="0"/>
          <w:sz w:val="24"/>
          <w:highlight w:val="none"/>
          <w:u w:val="single"/>
        </w:rPr>
        <w:t>茂名市茂南石化工业园管理中心</w:t>
      </w:r>
      <w:r>
        <w:rPr>
          <w:rFonts w:hint="eastAsia" w:ascii="宋体" w:cs="宋体"/>
          <w:color w:val="auto"/>
          <w:kern w:val="0"/>
          <w:sz w:val="24"/>
          <w:highlight w:val="none"/>
        </w:rPr>
        <w:t>（盖章）</w:t>
      </w:r>
    </w:p>
    <w:p>
      <w:pPr>
        <w:spacing w:line="360" w:lineRule="auto"/>
        <w:ind w:firstLine="480" w:firstLineChars="200"/>
        <w:jc w:val="left"/>
        <w:rPr>
          <w:rFonts w:ascii="宋体" w:cs="宋体"/>
          <w:color w:val="auto"/>
          <w:kern w:val="0"/>
          <w:sz w:val="24"/>
          <w:highlight w:val="none"/>
        </w:rPr>
      </w:pPr>
      <w:r>
        <w:rPr>
          <w:rFonts w:hint="eastAsia"/>
          <w:color w:val="auto"/>
          <w:sz w:val="24"/>
          <w:highlight w:val="none"/>
        </w:rPr>
        <w:t xml:space="preserve">                                            日期： </w:t>
      </w:r>
      <w:r>
        <w:rPr>
          <w:rFonts w:hint="eastAsia" w:ascii="宋体" w:hAnsi="宋体" w:cs="宋体"/>
          <w:bCs/>
          <w:color w:val="auto"/>
          <w:spacing w:val="10"/>
          <w:sz w:val="24"/>
          <w:szCs w:val="24"/>
          <w:highlight w:val="none"/>
        </w:rPr>
        <w:t>2023年    月   日</w:t>
      </w:r>
    </w:p>
    <w:p>
      <w:pPr>
        <w:spacing w:line="360" w:lineRule="auto"/>
        <w:ind w:firstLine="480" w:firstLineChars="200"/>
        <w:jc w:val="left"/>
        <w:rPr>
          <w:rFonts w:ascii="宋体" w:cs="宋体"/>
          <w:color w:val="auto"/>
          <w:kern w:val="0"/>
          <w:sz w:val="24"/>
          <w:highlight w:val="none"/>
        </w:rPr>
      </w:pPr>
    </w:p>
    <w:p>
      <w:pPr>
        <w:spacing w:line="360" w:lineRule="auto"/>
        <w:ind w:firstLine="480" w:firstLineChars="200"/>
        <w:jc w:val="left"/>
        <w:rPr>
          <w:rFonts w:ascii="宋体" w:cs="宋体"/>
          <w:color w:val="auto"/>
          <w:kern w:val="0"/>
          <w:sz w:val="24"/>
          <w:highlight w:val="none"/>
        </w:rPr>
      </w:pPr>
    </w:p>
    <w:p>
      <w:pPr>
        <w:rPr>
          <w:rFonts w:ascii="宋体" w:hAnsi="宋体"/>
          <w:color w:val="auto"/>
          <w:sz w:val="28"/>
          <w:szCs w:val="28"/>
          <w:highlight w:val="none"/>
        </w:rPr>
        <w:sectPr>
          <w:footerReference r:id="rId3" w:type="default"/>
          <w:pgSz w:w="11907" w:h="16840"/>
          <w:pgMar w:top="851" w:right="851" w:bottom="777" w:left="851" w:header="851" w:footer="851" w:gutter="0"/>
          <w:pgNumType w:start="1"/>
          <w:cols w:space="720" w:num="1"/>
          <w:docGrid w:type="lines" w:linePitch="312" w:charSpace="0"/>
        </w:sectPr>
      </w:pPr>
    </w:p>
    <w:p>
      <w:pPr>
        <w:pStyle w:val="9"/>
        <w:tabs>
          <w:tab w:val="left" w:pos="432"/>
        </w:tabs>
        <w:rPr>
          <w:color w:val="auto"/>
          <w:highlight w:val="none"/>
        </w:rPr>
      </w:pPr>
      <w:r>
        <w:rPr>
          <w:rFonts w:hint="eastAsia"/>
          <w:color w:val="auto"/>
          <w:highlight w:val="none"/>
        </w:rPr>
        <w:t>附件1：</w:t>
      </w:r>
    </w:p>
    <w:p>
      <w:pPr>
        <w:jc w:val="center"/>
        <w:rPr>
          <w:rFonts w:ascii="宋体" w:hAnsi="宋体"/>
          <w:b/>
          <w:color w:val="auto"/>
          <w:sz w:val="24"/>
          <w:highlight w:val="none"/>
        </w:rPr>
      </w:pPr>
      <w:r>
        <w:rPr>
          <w:rFonts w:hint="eastAsia" w:ascii="宋体" w:hAnsi="宋体"/>
          <w:b/>
          <w:color w:val="auto"/>
          <w:sz w:val="24"/>
          <w:highlight w:val="none"/>
        </w:rPr>
        <w:t>投标申请人投标登记资料一览表</w:t>
      </w:r>
    </w:p>
    <w:p>
      <w:pPr>
        <w:pStyle w:val="2"/>
        <w:overflowPunct w:val="0"/>
        <w:autoSpaceDE w:val="0"/>
        <w:autoSpaceDN w:val="0"/>
        <w:adjustRightInd w:val="0"/>
        <w:snapToGrid w:val="0"/>
        <w:spacing w:before="120" w:line="240" w:lineRule="exact"/>
        <w:rPr>
          <w:color w:val="auto"/>
          <w:highlight w:val="none"/>
        </w:rPr>
      </w:pPr>
      <w:r>
        <w:rPr>
          <w:rFonts w:hint="eastAsia" w:hAnsi="宋体"/>
          <w:color w:val="auto"/>
          <w:sz w:val="18"/>
          <w:szCs w:val="18"/>
          <w:highlight w:val="none"/>
        </w:rPr>
        <w:t>项目名称:                                                      投标登记：单位（盖章）</w:t>
      </w:r>
    </w:p>
    <w:tbl>
      <w:tblPr>
        <w:tblStyle w:val="27"/>
        <w:tblW w:w="98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160"/>
        <w:gridCol w:w="3112"/>
        <w:gridCol w:w="900"/>
        <w:gridCol w:w="1077"/>
        <w:gridCol w:w="514"/>
        <w:gridCol w:w="942"/>
        <w:gridCol w:w="7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1" w:hRule="atLeast"/>
          <w:tblHeader/>
          <w:jc w:val="center"/>
        </w:trPr>
        <w:tc>
          <w:tcPr>
            <w:tcW w:w="9896" w:type="dxa"/>
            <w:gridSpan w:val="8"/>
            <w:tcBorders>
              <w:top w:val="double" w:color="auto" w:sz="4" w:space="0"/>
              <w:left w:val="double" w:color="auto" w:sz="4" w:space="0"/>
              <w:bottom w:val="nil"/>
              <w:right w:val="double" w:color="auto" w:sz="4" w:space="0"/>
            </w:tcBorders>
            <w:vAlign w:val="center"/>
          </w:tcPr>
          <w:p>
            <w:pPr>
              <w:snapToGrid w:val="0"/>
              <w:spacing w:line="260" w:lineRule="exact"/>
              <w:ind w:right="102"/>
              <w:rPr>
                <w:rFonts w:ascii="宋体" w:hAnsi="宋体"/>
                <w:color w:val="auto"/>
                <w:szCs w:val="21"/>
                <w:highlight w:val="none"/>
              </w:rPr>
            </w:pPr>
            <w:r>
              <w:rPr>
                <w:rFonts w:hint="eastAsia" w:ascii="宋体" w:hAnsi="宋体" w:cs="宋体"/>
                <w:b/>
                <w:bCs/>
                <w:color w:val="auto"/>
                <w:szCs w:val="21"/>
                <w:highlight w:val="none"/>
              </w:rPr>
              <w:t>审核确认:招标人或招标代理机构接收资料人员与投标申请人代表对以下资料共同核对，审核情况属实。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blHeader/>
          <w:jc w:val="center"/>
        </w:trPr>
        <w:tc>
          <w:tcPr>
            <w:tcW w:w="2628" w:type="dxa"/>
            <w:gridSpan w:val="2"/>
            <w:tcBorders>
              <w:top w:val="nil"/>
              <w:left w:val="double" w:color="auto" w:sz="4" w:space="0"/>
              <w:bottom w:val="double" w:color="auto" w:sz="4" w:space="0"/>
              <w:right w:val="nil"/>
            </w:tcBorders>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招标人或招标代理机构接收资料人员签名:</w:t>
            </w:r>
          </w:p>
        </w:tc>
        <w:tc>
          <w:tcPr>
            <w:tcW w:w="4012" w:type="dxa"/>
            <w:gridSpan w:val="2"/>
            <w:tcBorders>
              <w:top w:val="nil"/>
              <w:left w:val="nil"/>
              <w:bottom w:val="double" w:color="auto" w:sz="4" w:space="0"/>
              <w:right w:val="nil"/>
            </w:tcBorders>
            <w:vAlign w:val="center"/>
          </w:tcPr>
          <w:p>
            <w:pPr>
              <w:spacing w:line="260" w:lineRule="exact"/>
              <w:rPr>
                <w:rFonts w:ascii="宋体" w:hAnsi="宋体" w:cs="宋体"/>
                <w:b/>
                <w:bCs/>
                <w:color w:val="auto"/>
                <w:szCs w:val="21"/>
                <w:highlight w:val="none"/>
              </w:rPr>
            </w:pPr>
          </w:p>
        </w:tc>
        <w:tc>
          <w:tcPr>
            <w:tcW w:w="1591" w:type="dxa"/>
            <w:gridSpan w:val="2"/>
            <w:tcBorders>
              <w:top w:val="nil"/>
              <w:left w:val="nil"/>
              <w:bottom w:val="double" w:color="auto" w:sz="4" w:space="0"/>
              <w:right w:val="nil"/>
            </w:tcBorders>
            <w:vAlign w:val="center"/>
          </w:tcPr>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委托代理人</w:t>
            </w:r>
          </w:p>
          <w:p>
            <w:pPr>
              <w:spacing w:line="260" w:lineRule="exact"/>
              <w:rPr>
                <w:rFonts w:ascii="宋体" w:hAnsi="宋体" w:cs="宋体"/>
                <w:b/>
                <w:bCs/>
                <w:color w:val="auto"/>
                <w:szCs w:val="21"/>
                <w:highlight w:val="none"/>
              </w:rPr>
            </w:pPr>
            <w:r>
              <w:rPr>
                <w:rFonts w:hint="eastAsia" w:ascii="宋体" w:hAnsi="宋体" w:cs="宋体"/>
                <w:b/>
                <w:bCs/>
                <w:color w:val="auto"/>
                <w:szCs w:val="21"/>
                <w:highlight w:val="none"/>
              </w:rPr>
              <w:t>签名:</w:t>
            </w:r>
          </w:p>
        </w:tc>
        <w:tc>
          <w:tcPr>
            <w:tcW w:w="1665" w:type="dxa"/>
            <w:gridSpan w:val="2"/>
            <w:tcBorders>
              <w:top w:val="nil"/>
              <w:left w:val="nil"/>
              <w:bottom w:val="double" w:color="auto" w:sz="4" w:space="0"/>
              <w:right w:val="double" w:color="auto" w:sz="4" w:space="0"/>
            </w:tcBorders>
            <w:vAlign w:val="center"/>
          </w:tcPr>
          <w:p>
            <w:pPr>
              <w:spacing w:line="260" w:lineRule="exact"/>
              <w:rPr>
                <w:rFonts w:ascii="宋体" w:hAnsi="宋体" w:cs="宋体"/>
                <w:b/>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9" w:hRule="atLeast"/>
          <w:tblHeader/>
          <w:jc w:val="center"/>
        </w:trPr>
        <w:tc>
          <w:tcPr>
            <w:tcW w:w="468" w:type="dxa"/>
            <w:vMerge w:val="restart"/>
            <w:tcBorders>
              <w:top w:val="double" w:color="auto" w:sz="4" w:space="0"/>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序号</w:t>
            </w:r>
          </w:p>
        </w:tc>
        <w:tc>
          <w:tcPr>
            <w:tcW w:w="5272" w:type="dxa"/>
            <w:gridSpan w:val="2"/>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项目</w:t>
            </w:r>
          </w:p>
        </w:tc>
        <w:tc>
          <w:tcPr>
            <w:tcW w:w="900" w:type="dxa"/>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内页码</w:t>
            </w:r>
          </w:p>
        </w:tc>
        <w:tc>
          <w:tcPr>
            <w:tcW w:w="1077" w:type="dxa"/>
            <w:vMerge w:val="restart"/>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b/>
                <w:color w:val="auto"/>
                <w:szCs w:val="21"/>
                <w:highlight w:val="none"/>
              </w:rPr>
              <w:t>投标登记提交资料要求</w:t>
            </w:r>
          </w:p>
        </w:tc>
        <w:tc>
          <w:tcPr>
            <w:tcW w:w="1456" w:type="dxa"/>
            <w:gridSpan w:val="2"/>
            <w:tcBorders>
              <w:top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审核情况</w:t>
            </w:r>
          </w:p>
        </w:tc>
        <w:tc>
          <w:tcPr>
            <w:tcW w:w="723" w:type="dxa"/>
            <w:vMerge w:val="restart"/>
            <w:tcBorders>
              <w:top w:val="double" w:color="auto" w:sz="4" w:space="0"/>
              <w:righ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jc w:val="center"/>
        </w:trPr>
        <w:tc>
          <w:tcPr>
            <w:tcW w:w="468" w:type="dxa"/>
            <w:vMerge w:val="continue"/>
            <w:tcBorders>
              <w:left w:val="double" w:color="auto" w:sz="4" w:space="0"/>
            </w:tcBorders>
            <w:vAlign w:val="center"/>
          </w:tcPr>
          <w:p>
            <w:pPr>
              <w:spacing w:line="260" w:lineRule="exact"/>
              <w:jc w:val="center"/>
              <w:rPr>
                <w:rFonts w:ascii="宋体" w:hAnsi="宋体"/>
                <w:color w:val="auto"/>
                <w:szCs w:val="21"/>
                <w:highlight w:val="none"/>
              </w:rPr>
            </w:pPr>
          </w:p>
        </w:tc>
        <w:tc>
          <w:tcPr>
            <w:tcW w:w="5272" w:type="dxa"/>
            <w:gridSpan w:val="2"/>
            <w:vMerge w:val="continue"/>
            <w:vAlign w:val="center"/>
          </w:tcPr>
          <w:p>
            <w:pPr>
              <w:spacing w:line="260" w:lineRule="exact"/>
              <w:jc w:val="center"/>
              <w:rPr>
                <w:rFonts w:ascii="宋体" w:hAnsi="宋体"/>
                <w:color w:val="auto"/>
                <w:szCs w:val="21"/>
                <w:highlight w:val="none"/>
              </w:rPr>
            </w:pPr>
          </w:p>
        </w:tc>
        <w:tc>
          <w:tcPr>
            <w:tcW w:w="900" w:type="dxa"/>
            <w:vMerge w:val="continue"/>
            <w:vAlign w:val="center"/>
          </w:tcPr>
          <w:p>
            <w:pPr>
              <w:spacing w:line="260" w:lineRule="exact"/>
              <w:jc w:val="center"/>
              <w:rPr>
                <w:rFonts w:ascii="宋体" w:hAnsi="宋体"/>
                <w:color w:val="auto"/>
                <w:szCs w:val="21"/>
                <w:highlight w:val="none"/>
              </w:rPr>
            </w:pPr>
          </w:p>
        </w:tc>
        <w:tc>
          <w:tcPr>
            <w:tcW w:w="1077" w:type="dxa"/>
            <w:vMerge w:val="continue"/>
            <w:vAlign w:val="center"/>
          </w:tcPr>
          <w:p>
            <w:pPr>
              <w:spacing w:line="260" w:lineRule="exact"/>
              <w:jc w:val="center"/>
              <w:rPr>
                <w:rFonts w:ascii="宋体" w:hAnsi="宋体"/>
                <w:color w:val="auto"/>
                <w:szCs w:val="21"/>
                <w:highlight w:val="none"/>
              </w:rPr>
            </w:pPr>
          </w:p>
        </w:tc>
        <w:tc>
          <w:tcPr>
            <w:tcW w:w="1456" w:type="dxa"/>
            <w:gridSpan w:val="2"/>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（此栏不需申请人填写）</w:t>
            </w:r>
          </w:p>
        </w:tc>
        <w:tc>
          <w:tcPr>
            <w:tcW w:w="723" w:type="dxa"/>
            <w:vMerge w:val="continue"/>
            <w:tcBorders>
              <w:right w:val="double" w:color="auto" w:sz="4" w:space="0"/>
            </w:tcBorders>
            <w:vAlign w:val="center"/>
          </w:tcPr>
          <w:p>
            <w:pPr>
              <w:spacing w:line="26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07"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1</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投标登记申请表（不用装订）；</w:t>
            </w:r>
          </w:p>
        </w:tc>
        <w:tc>
          <w:tcPr>
            <w:tcW w:w="900" w:type="dxa"/>
            <w:vAlign w:val="center"/>
          </w:tcPr>
          <w:p>
            <w:pPr>
              <w:spacing w:line="260" w:lineRule="exact"/>
              <w:ind w:left="2" w:leftChars="-5" w:hanging="12" w:hangingChars="6"/>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2</w:t>
            </w:r>
          </w:p>
        </w:tc>
        <w:tc>
          <w:tcPr>
            <w:tcW w:w="5272" w:type="dxa"/>
            <w:gridSpan w:val="2"/>
            <w:vAlign w:val="center"/>
          </w:tcPr>
          <w:p>
            <w:pPr>
              <w:spacing w:line="260" w:lineRule="exact"/>
              <w:rPr>
                <w:rFonts w:ascii="宋体" w:hAnsi="宋体"/>
                <w:color w:val="auto"/>
                <w:szCs w:val="21"/>
                <w:highlight w:val="none"/>
              </w:rPr>
            </w:pPr>
            <w:r>
              <w:rPr>
                <w:rFonts w:hint="eastAsia" w:ascii="宋体" w:hAnsi="宋体"/>
                <w:color w:val="auto"/>
                <w:szCs w:val="21"/>
                <w:highlight w:val="none"/>
              </w:rPr>
              <w:t>投标申请公函（见附件2，同以下资料装订为一本）；</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8"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3</w:t>
            </w:r>
          </w:p>
        </w:tc>
        <w:tc>
          <w:tcPr>
            <w:tcW w:w="5272" w:type="dxa"/>
            <w:gridSpan w:val="2"/>
            <w:vAlign w:val="center"/>
          </w:tcPr>
          <w:p>
            <w:pPr>
              <w:spacing w:line="260" w:lineRule="exact"/>
              <w:rPr>
                <w:rFonts w:ascii="宋体" w:hAnsi="宋体"/>
                <w:color w:val="auto"/>
                <w:szCs w:val="21"/>
                <w:highlight w:val="none"/>
              </w:rPr>
            </w:pPr>
            <w:r>
              <w:rPr>
                <w:rFonts w:ascii="宋体" w:hAnsi="宋体"/>
                <w:color w:val="auto"/>
                <w:szCs w:val="21"/>
                <w:highlight w:val="none"/>
              </w:rPr>
              <w:t>（法人投标登记时）企业</w:t>
            </w:r>
            <w:r>
              <w:rPr>
                <w:rFonts w:hint="eastAsia" w:ascii="宋体" w:hAnsi="宋体"/>
                <w:color w:val="auto"/>
                <w:szCs w:val="21"/>
                <w:highlight w:val="none"/>
                <w:lang w:eastAsia="zh-CN"/>
              </w:rPr>
              <w:t>法定代表人（或分支机构负责人）</w:t>
            </w:r>
            <w:r>
              <w:rPr>
                <w:rFonts w:ascii="宋体" w:hAnsi="宋体"/>
                <w:color w:val="auto"/>
                <w:szCs w:val="21"/>
                <w:highlight w:val="none"/>
              </w:rPr>
              <w:t>证明书、</w:t>
            </w:r>
            <w:r>
              <w:rPr>
                <w:rFonts w:hint="eastAsia" w:ascii="宋体" w:hAnsi="宋体"/>
                <w:color w:val="auto"/>
                <w:szCs w:val="21"/>
                <w:highlight w:val="none"/>
                <w:lang w:eastAsia="zh-CN"/>
              </w:rPr>
              <w:t>法定代表人（或分支机构负责人）</w:t>
            </w:r>
            <w:r>
              <w:rPr>
                <w:rFonts w:ascii="宋体" w:hAnsi="宋体"/>
                <w:color w:val="auto"/>
                <w:szCs w:val="21"/>
                <w:highlight w:val="none"/>
              </w:rPr>
              <w:t>身份证复印件；(</w:t>
            </w:r>
            <w:r>
              <w:rPr>
                <w:rFonts w:hint="eastAsia" w:ascii="宋体" w:hAnsi="宋体"/>
                <w:color w:val="auto"/>
                <w:szCs w:val="21"/>
                <w:highlight w:val="none"/>
                <w:lang w:val="en-US" w:eastAsia="zh-CN"/>
              </w:rPr>
              <w:t>委托代理人</w:t>
            </w:r>
            <w:r>
              <w:rPr>
                <w:rFonts w:ascii="宋体" w:hAnsi="宋体"/>
                <w:color w:val="auto"/>
                <w:szCs w:val="21"/>
                <w:highlight w:val="none"/>
              </w:rPr>
              <w:t>投标登记时)企业</w:t>
            </w:r>
            <w:r>
              <w:rPr>
                <w:rFonts w:hint="eastAsia" w:ascii="宋体" w:hAnsi="宋体"/>
                <w:color w:val="auto"/>
                <w:szCs w:val="21"/>
                <w:highlight w:val="none"/>
                <w:lang w:eastAsia="zh-CN"/>
              </w:rPr>
              <w:t>法定代表人（或分支机构负责人）</w:t>
            </w:r>
            <w:r>
              <w:rPr>
                <w:rFonts w:ascii="宋体" w:hAnsi="宋体"/>
                <w:color w:val="auto"/>
                <w:szCs w:val="21"/>
                <w:highlight w:val="none"/>
              </w:rPr>
              <w:t>证明书、授权委托书、</w:t>
            </w:r>
            <w:r>
              <w:rPr>
                <w:rFonts w:hint="eastAsia" w:ascii="宋体" w:hAnsi="宋体"/>
                <w:color w:val="auto"/>
                <w:szCs w:val="21"/>
                <w:highlight w:val="none"/>
                <w:lang w:eastAsia="zh-CN"/>
              </w:rPr>
              <w:t>法定代表人（或分支机构负责人）</w:t>
            </w:r>
            <w:r>
              <w:rPr>
                <w:rFonts w:ascii="宋体" w:hAnsi="宋体"/>
                <w:color w:val="auto"/>
                <w:szCs w:val="21"/>
                <w:highlight w:val="none"/>
              </w:rPr>
              <w:t>、被委托代理人身份证复印件</w:t>
            </w:r>
            <w:r>
              <w:rPr>
                <w:rFonts w:hint="eastAsia" w:ascii="宋体" w:hAnsi="宋体"/>
                <w:color w:val="auto"/>
                <w:szCs w:val="21"/>
                <w:highlight w:val="none"/>
              </w:rPr>
              <w:t>；</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3"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4</w:t>
            </w:r>
          </w:p>
        </w:tc>
        <w:tc>
          <w:tcPr>
            <w:tcW w:w="5272" w:type="dxa"/>
            <w:gridSpan w:val="2"/>
            <w:vAlign w:val="center"/>
          </w:tcPr>
          <w:p>
            <w:pPr>
              <w:spacing w:line="260" w:lineRule="exact"/>
              <w:rPr>
                <w:rFonts w:hint="eastAsia" w:ascii="宋体" w:hAnsi="宋体" w:eastAsia="宋体"/>
                <w:color w:val="auto"/>
                <w:szCs w:val="21"/>
                <w:highlight w:val="none"/>
                <w:lang w:eastAsia="zh-CN"/>
              </w:rPr>
            </w:pPr>
            <w:r>
              <w:rPr>
                <w:rFonts w:hint="eastAsia" w:ascii="宋体" w:hAnsi="宋体"/>
                <w:color w:val="auto"/>
                <w:szCs w:val="21"/>
                <w:highlight w:val="none"/>
              </w:rPr>
              <w:t>企业营业执照副本复印件</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总公司</w:t>
            </w:r>
            <w:r>
              <w:rPr>
                <w:rFonts w:hint="eastAsia" w:ascii="宋体" w:hAnsi="宋体"/>
                <w:color w:val="auto"/>
                <w:szCs w:val="21"/>
                <w:highlight w:val="none"/>
                <w:lang w:eastAsia="zh-CN"/>
              </w:rPr>
              <w:t>）；</w:t>
            </w:r>
            <w:r>
              <w:rPr>
                <w:rFonts w:hint="eastAsia" w:ascii="宋体" w:hAnsi="宋体"/>
                <w:color w:val="auto"/>
                <w:szCs w:val="21"/>
                <w:highlight w:val="none"/>
                <w:lang w:val="en-US" w:eastAsia="zh-CN"/>
              </w:rPr>
              <w:t>如分支结构还需要提供总公司授权书、总公司营业执照、分支机构营业执照</w:t>
            </w:r>
            <w:r>
              <w:rPr>
                <w:rFonts w:hint="eastAsia" w:ascii="宋体" w:hAnsi="宋体"/>
                <w:color w:val="auto"/>
                <w:szCs w:val="21"/>
                <w:highlight w:val="none"/>
              </w:rPr>
              <w:t>复印件</w:t>
            </w:r>
            <w:r>
              <w:rPr>
                <w:rFonts w:hint="eastAsia" w:ascii="宋体" w:hAnsi="宋体"/>
                <w:color w:val="auto"/>
                <w:szCs w:val="21"/>
                <w:highlight w:val="none"/>
                <w:lang w:eastAsia="zh-CN"/>
              </w:rPr>
              <w:t>。</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原件备查</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3" w:hRule="atLeast"/>
          <w:jc w:val="center"/>
        </w:trPr>
        <w:tc>
          <w:tcPr>
            <w:tcW w:w="468" w:type="dxa"/>
            <w:tcBorders>
              <w:left w:val="double" w:color="auto" w:sz="4" w:space="0"/>
            </w:tcBorders>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5</w:t>
            </w:r>
          </w:p>
        </w:tc>
        <w:tc>
          <w:tcPr>
            <w:tcW w:w="5272" w:type="dxa"/>
            <w:gridSpan w:val="2"/>
            <w:vAlign w:val="center"/>
          </w:tcPr>
          <w:p>
            <w:pPr>
              <w:spacing w:line="260" w:lineRule="exact"/>
              <w:rPr>
                <w:rFonts w:hint="eastAsia" w:ascii="宋体" w:hAnsi="宋体" w:eastAsia="宋体"/>
                <w:color w:val="auto"/>
                <w:szCs w:val="21"/>
                <w:highlight w:val="none"/>
                <w:lang w:eastAsia="zh-CN"/>
              </w:rPr>
            </w:pPr>
            <w:r>
              <w:rPr>
                <w:rFonts w:hint="eastAsia" w:ascii="宋体" w:hAnsi="宋体"/>
                <w:color w:val="auto"/>
                <w:szCs w:val="21"/>
                <w:highlight w:val="none"/>
              </w:rPr>
              <w:t>提供“信用中国”网站（www.creditchina.gov.cn)查询证明</w:t>
            </w:r>
            <w:r>
              <w:rPr>
                <w:rFonts w:hint="eastAsia" w:ascii="宋体" w:hAnsi="宋体"/>
                <w:color w:val="auto"/>
                <w:szCs w:val="21"/>
                <w:highlight w:val="none"/>
                <w:lang w:eastAsia="zh-CN"/>
              </w:rPr>
              <w:t>。</w:t>
            </w:r>
          </w:p>
        </w:tc>
        <w:tc>
          <w:tcPr>
            <w:tcW w:w="900" w:type="dxa"/>
            <w:vAlign w:val="center"/>
          </w:tcPr>
          <w:p>
            <w:pPr>
              <w:spacing w:line="260" w:lineRule="exact"/>
              <w:rPr>
                <w:rFonts w:ascii="宋体" w:hAnsi="宋体"/>
                <w:color w:val="auto"/>
                <w:szCs w:val="21"/>
                <w:highlight w:val="none"/>
              </w:rPr>
            </w:pPr>
          </w:p>
        </w:tc>
        <w:tc>
          <w:tcPr>
            <w:tcW w:w="1077" w:type="dxa"/>
            <w:vAlign w:val="center"/>
          </w:tcPr>
          <w:p>
            <w:pPr>
              <w:spacing w:line="260" w:lineRule="exact"/>
              <w:jc w:val="center"/>
              <w:rPr>
                <w:rFonts w:ascii="宋体" w:hAnsi="宋体"/>
                <w:color w:val="auto"/>
                <w:szCs w:val="21"/>
                <w:highlight w:val="none"/>
              </w:rPr>
            </w:pPr>
            <w:r>
              <w:rPr>
                <w:rFonts w:hint="eastAsia" w:ascii="宋体" w:hAnsi="宋体"/>
                <w:color w:val="auto"/>
                <w:szCs w:val="21"/>
                <w:highlight w:val="none"/>
              </w:rPr>
              <w:t>打印件</w:t>
            </w:r>
          </w:p>
        </w:tc>
        <w:tc>
          <w:tcPr>
            <w:tcW w:w="1456" w:type="dxa"/>
            <w:gridSpan w:val="2"/>
            <w:vAlign w:val="center"/>
          </w:tcPr>
          <w:p>
            <w:pPr>
              <w:spacing w:line="260" w:lineRule="exact"/>
              <w:rPr>
                <w:rFonts w:ascii="宋体" w:hAnsi="宋体"/>
                <w:color w:val="auto"/>
                <w:szCs w:val="21"/>
                <w:highlight w:val="none"/>
              </w:rPr>
            </w:pPr>
          </w:p>
        </w:tc>
        <w:tc>
          <w:tcPr>
            <w:tcW w:w="723" w:type="dxa"/>
            <w:tcBorders>
              <w:right w:val="double" w:color="auto" w:sz="4" w:space="0"/>
            </w:tcBorders>
            <w:vAlign w:val="center"/>
          </w:tcPr>
          <w:p>
            <w:pPr>
              <w:spacing w:line="260" w:lineRule="exact"/>
              <w:rPr>
                <w:rFonts w:ascii="宋体" w:hAnsi="宋体"/>
                <w:color w:val="auto"/>
                <w:szCs w:val="21"/>
                <w:highlight w:val="none"/>
              </w:rPr>
            </w:pPr>
          </w:p>
        </w:tc>
      </w:tr>
    </w:tbl>
    <w:p>
      <w:pPr>
        <w:widowControl/>
        <w:ind w:left="630" w:hanging="630" w:hangingChars="300"/>
        <w:jc w:val="left"/>
        <w:rPr>
          <w:rFonts w:ascii="宋体" w:hAnsi="宋体" w:cs="宋体"/>
          <w:bCs/>
          <w:color w:val="auto"/>
          <w:szCs w:val="21"/>
          <w:highlight w:val="none"/>
        </w:rPr>
      </w:pPr>
      <w:r>
        <w:rPr>
          <w:rFonts w:hint="eastAsia" w:ascii="宋体" w:hAnsi="宋体" w:cs="宋体"/>
          <w:bCs/>
          <w:color w:val="auto"/>
          <w:szCs w:val="21"/>
          <w:highlight w:val="none"/>
        </w:rPr>
        <w:t>注: 1、本表一式两份，一份附于投标登记资料内首页，作为投标登记资料目录，另一份交回投标申请人代表。两份表格中每页的“审核确认”栏均需双方签署。</w:t>
      </w:r>
    </w:p>
    <w:p>
      <w:pPr>
        <w:widowControl/>
        <w:ind w:left="630" w:leftChars="200" w:hanging="210" w:hangingChars="100"/>
        <w:jc w:val="left"/>
        <w:rPr>
          <w:rFonts w:ascii="宋体" w:hAnsi="宋体" w:cs="宋体"/>
          <w:bCs/>
          <w:color w:val="auto"/>
          <w:szCs w:val="21"/>
          <w:highlight w:val="none"/>
        </w:rPr>
      </w:pPr>
      <w:r>
        <w:rPr>
          <w:rFonts w:hint="eastAsia" w:ascii="宋体" w:hAnsi="宋体" w:cs="宋体"/>
          <w:bCs/>
          <w:color w:val="auto"/>
          <w:szCs w:val="21"/>
          <w:highlight w:val="none"/>
        </w:rPr>
        <w:t>2、本表原件审核情况栏及备注栏须留空，由招标人或招标代理机构收资料人员审核后填写。</w:t>
      </w:r>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3、本表中有修改情况，须经招标人或招标代理机构接收资料人员和投标单位代表共同签署。</w:t>
      </w:r>
    </w:p>
    <w:p>
      <w:pPr>
        <w:ind w:firstLine="420" w:firstLineChars="200"/>
        <w:rPr>
          <w:rFonts w:ascii="宋体" w:hAnsi="宋体" w:cs="宋体"/>
          <w:bCs/>
          <w:color w:val="auto"/>
          <w:szCs w:val="21"/>
          <w:highlight w:val="none"/>
        </w:rPr>
      </w:pPr>
      <w:r>
        <w:rPr>
          <w:rFonts w:hint="eastAsia" w:ascii="宋体" w:hAnsi="宋体" w:cs="宋体"/>
          <w:bCs/>
          <w:color w:val="auto"/>
          <w:szCs w:val="21"/>
          <w:highlight w:val="none"/>
        </w:rPr>
        <w:t>4、所有复印件加盖公章（原件备查），成员资料盖己方公章，全部资料牵头方加盖公章。</w:t>
      </w:r>
    </w:p>
    <w:p>
      <w:pPr>
        <w:ind w:firstLine="420" w:firstLineChars="200"/>
        <w:rPr>
          <w:rFonts w:ascii="宋体" w:hAnsi="宋体" w:cs="宋体"/>
          <w:color w:val="auto"/>
          <w:highlight w:val="none"/>
        </w:rPr>
        <w:sectPr>
          <w:pgSz w:w="11906" w:h="16838"/>
          <w:pgMar w:top="1418" w:right="1134" w:bottom="1418" w:left="1134" w:header="851" w:footer="770" w:gutter="0"/>
          <w:cols w:space="720" w:num="1"/>
          <w:docGrid w:type="lines" w:linePitch="312" w:charSpace="0"/>
        </w:sectPr>
      </w:pPr>
      <w:r>
        <w:rPr>
          <w:rFonts w:hint="eastAsia" w:ascii="宋体" w:hAnsi="宋体" w:cs="宋体"/>
          <w:bCs/>
          <w:color w:val="auto"/>
          <w:szCs w:val="21"/>
          <w:highlight w:val="none"/>
        </w:rPr>
        <w:t>5、如以上资料不符，则不予接受登记。</w:t>
      </w:r>
    </w:p>
    <w:p>
      <w:pPr>
        <w:rPr>
          <w:rFonts w:ascii="宋体" w:hAnsi="宋体"/>
          <w:color w:val="auto"/>
          <w:sz w:val="24"/>
          <w:highlight w:val="none"/>
        </w:rPr>
      </w:pPr>
      <w:r>
        <w:rPr>
          <w:rFonts w:hint="eastAsia" w:ascii="宋体" w:hAnsi="宋体"/>
          <w:color w:val="auto"/>
          <w:sz w:val="24"/>
          <w:highlight w:val="none"/>
        </w:rPr>
        <w:t>附件2:</w:t>
      </w:r>
    </w:p>
    <w:p>
      <w:pPr>
        <w:jc w:val="center"/>
        <w:rPr>
          <w:rFonts w:ascii="宋体" w:hAnsi="宋体"/>
          <w:b/>
          <w:color w:val="auto"/>
          <w:sz w:val="24"/>
          <w:highlight w:val="none"/>
        </w:rPr>
      </w:pPr>
      <w:r>
        <w:rPr>
          <w:rFonts w:hint="eastAsia" w:ascii="宋体" w:hAnsi="宋体"/>
          <w:b/>
          <w:color w:val="auto"/>
          <w:sz w:val="24"/>
          <w:highlight w:val="none"/>
        </w:rPr>
        <w:t>投标申请公函</w:t>
      </w:r>
    </w:p>
    <w:p>
      <w:pPr>
        <w:spacing w:line="360" w:lineRule="auto"/>
        <w:jc w:val="left"/>
        <w:rPr>
          <w:rFonts w:ascii="宋体" w:hAnsi="宋体"/>
          <w:color w:val="auto"/>
          <w:sz w:val="24"/>
          <w:highlight w:val="none"/>
        </w:rPr>
      </w:pPr>
      <w:r>
        <w:rPr>
          <w:rFonts w:hint="eastAsia" w:ascii="宋体" w:hAnsi="宋体"/>
          <w:color w:val="auto"/>
          <w:sz w:val="24"/>
          <w:highlight w:val="none"/>
        </w:rPr>
        <w:t> </w:t>
      </w:r>
    </w:p>
    <w:p>
      <w:pPr>
        <w:widowControl/>
        <w:snapToGrid w:val="0"/>
        <w:spacing w:line="360" w:lineRule="auto"/>
        <w:rPr>
          <w:rFonts w:ascii="宋体" w:hAnsi="宋体" w:cs="宋体"/>
          <w:color w:val="auto"/>
          <w:sz w:val="24"/>
          <w:highlight w:val="none"/>
          <w:u w:val="single"/>
        </w:rPr>
      </w:pPr>
      <w:r>
        <w:rPr>
          <w:rFonts w:hint="eastAsia" w:ascii="宋体" w:hAnsi="宋体"/>
          <w:color w:val="auto"/>
          <w:sz w:val="24"/>
          <w:highlight w:val="none"/>
        </w:rPr>
        <w:t>致招标人:</w:t>
      </w:r>
      <w:r>
        <w:rPr>
          <w:rFonts w:hint="eastAsia" w:ascii="宋体" w:hAnsi="宋体" w:cs="宋体"/>
          <w:color w:val="auto"/>
          <w:sz w:val="24"/>
          <w:highlight w:val="none"/>
          <w:u w:val="single"/>
        </w:rPr>
        <w:t xml:space="preserve">                             </w:t>
      </w:r>
    </w:p>
    <w:p>
      <w:pPr>
        <w:spacing w:line="360" w:lineRule="auto"/>
        <w:rPr>
          <w:rFonts w:ascii="宋体" w:hAnsi="宋体"/>
          <w:color w:val="auto"/>
          <w:sz w:val="24"/>
          <w:highlight w:val="none"/>
        </w:rPr>
      </w:pP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按照资格条件的要求，我们递交有关资料文件，以便贵单位审查我们参加“</w:t>
      </w:r>
      <w:r>
        <w:rPr>
          <w:rFonts w:hint="eastAsia" w:ascii="宋体" w:hAnsi="宋体"/>
          <w:color w:val="auto"/>
          <w:sz w:val="24"/>
          <w:highlight w:val="none"/>
          <w:u w:val="single"/>
        </w:rPr>
        <w:t xml:space="preserve">（项目名称） </w:t>
      </w:r>
      <w:r>
        <w:rPr>
          <w:rFonts w:hint="eastAsia" w:ascii="宋体" w:hAnsi="宋体"/>
          <w:color w:val="auto"/>
          <w:sz w:val="24"/>
          <w:highlight w:val="none"/>
        </w:rPr>
        <w:t>投标资格。</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 xml:space="preserve">此申请是 </w:t>
      </w:r>
      <w:r>
        <w:rPr>
          <w:rFonts w:hint="eastAsia" w:ascii="宋体" w:hAnsi="宋体"/>
          <w:color w:val="auto"/>
          <w:sz w:val="24"/>
          <w:highlight w:val="none"/>
          <w:u w:val="single"/>
        </w:rPr>
        <w:t>（投标申请人名称）</w:t>
      </w:r>
      <w:r>
        <w:rPr>
          <w:rFonts w:hint="eastAsia" w:ascii="宋体" w:hAnsi="宋体"/>
          <w:color w:val="auto"/>
          <w:sz w:val="24"/>
          <w:highlight w:val="none"/>
        </w:rPr>
        <w:t>以</w:t>
      </w:r>
      <w:r>
        <w:rPr>
          <w:rFonts w:hint="eastAsia" w:ascii="宋体" w:hAnsi="宋体"/>
          <w:color w:val="auto"/>
          <w:sz w:val="24"/>
          <w:highlight w:val="none"/>
          <w:u w:val="single"/>
        </w:rPr>
        <w:t>（</w:t>
      </w:r>
      <w:r>
        <w:rPr>
          <w:rFonts w:hint="eastAsia" w:ascii="宋体" w:hAnsi="宋体"/>
          <w:snapToGrid w:val="0"/>
          <w:color w:val="auto"/>
          <w:sz w:val="24"/>
          <w:highlight w:val="none"/>
          <w:u w:val="single"/>
        </w:rPr>
        <w:t>委托代理人姓名</w:t>
      </w:r>
      <w:r>
        <w:rPr>
          <w:rFonts w:hint="eastAsia" w:ascii="宋体" w:hAnsi="宋体"/>
          <w:color w:val="auto"/>
          <w:sz w:val="24"/>
          <w:highlight w:val="none"/>
          <w:u w:val="single"/>
        </w:rPr>
        <w:t>）</w:t>
      </w:r>
      <w:r>
        <w:rPr>
          <w:rFonts w:hint="eastAsia" w:ascii="宋体" w:hAnsi="宋体"/>
          <w:color w:val="auto"/>
          <w:sz w:val="24"/>
          <w:highlight w:val="none"/>
        </w:rPr>
        <w:t>为全权代表身份递交的。</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我们保证所有提交的资料是真实可靠的，并为提交的资料负有相应的法律责任。</w:t>
      </w:r>
    </w:p>
    <w:p>
      <w:pPr>
        <w:spacing w:line="480" w:lineRule="auto"/>
        <w:ind w:firstLine="480" w:firstLineChars="200"/>
        <w:rPr>
          <w:rFonts w:ascii="宋体" w:hAnsi="宋体"/>
          <w:color w:val="auto"/>
          <w:sz w:val="24"/>
          <w:highlight w:val="none"/>
        </w:rPr>
      </w:pPr>
      <w:r>
        <w:rPr>
          <w:rFonts w:hint="eastAsia" w:ascii="宋体" w:hAnsi="宋体"/>
          <w:color w:val="auto"/>
          <w:sz w:val="24"/>
          <w:highlight w:val="none"/>
        </w:rPr>
        <w:t>我们理解招标人有权拒绝任何申请，而无需由招标人承担任何责任。</w:t>
      </w: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p>
    <w:p>
      <w:pPr>
        <w:jc w:val="left"/>
        <w:rPr>
          <w:rFonts w:ascii="宋体" w:hAnsi="宋体"/>
          <w:color w:val="auto"/>
          <w:sz w:val="24"/>
          <w:highlight w:val="none"/>
        </w:rPr>
      </w:pPr>
      <w:r>
        <w:rPr>
          <w:rFonts w:hint="eastAsia" w:ascii="宋体" w:hAnsi="宋体"/>
          <w:color w:val="auto"/>
          <w:sz w:val="24"/>
          <w:highlight w:val="none"/>
        </w:rPr>
        <w:t>投标申请人名称:（盖章）</w:t>
      </w:r>
    </w:p>
    <w:p>
      <w:pPr>
        <w:pStyle w:val="9"/>
        <w:tabs>
          <w:tab w:val="left" w:pos="432"/>
        </w:tabs>
        <w:ind w:firstLine="480"/>
        <w:rPr>
          <w:rFonts w:ascii="宋体" w:hAnsi="宋体"/>
          <w:color w:val="auto"/>
          <w:sz w:val="24"/>
          <w:highlight w:val="none"/>
        </w:rPr>
      </w:pPr>
    </w:p>
    <w:p>
      <w:pPr>
        <w:pStyle w:val="9"/>
        <w:tabs>
          <w:tab w:val="left" w:pos="432"/>
        </w:tabs>
        <w:ind w:firstLine="480"/>
        <w:rPr>
          <w:rFonts w:ascii="宋体" w:hAnsi="宋体"/>
          <w:color w:val="auto"/>
          <w:sz w:val="24"/>
          <w:highlight w:val="none"/>
        </w:rPr>
      </w:pPr>
    </w:p>
    <w:p>
      <w:pPr>
        <w:pStyle w:val="9"/>
        <w:tabs>
          <w:tab w:val="left" w:pos="432"/>
        </w:tabs>
        <w:ind w:firstLine="0" w:firstLineChars="0"/>
        <w:rPr>
          <w:rFonts w:ascii="宋体" w:hAnsi="宋体"/>
          <w:color w:val="auto"/>
          <w:sz w:val="24"/>
          <w:highlight w:val="none"/>
        </w:rPr>
      </w:pPr>
      <w:r>
        <w:rPr>
          <w:rFonts w:hint="eastAsia" w:ascii="宋体" w:hAnsi="宋体"/>
          <w:color w:val="auto"/>
          <w:sz w:val="24"/>
          <w:highlight w:val="none"/>
          <w:lang w:eastAsia="zh-CN"/>
        </w:rPr>
        <w:t>法定代表人（或分支机构负责人）</w:t>
      </w:r>
      <w:r>
        <w:rPr>
          <w:rFonts w:hint="eastAsia" w:ascii="宋体" w:hAnsi="宋体"/>
          <w:color w:val="auto"/>
          <w:sz w:val="24"/>
          <w:highlight w:val="none"/>
        </w:rPr>
        <w:t>（签章）：</w:t>
      </w:r>
    </w:p>
    <w:p>
      <w:pPr>
        <w:rPr>
          <w:rFonts w:ascii="宋体" w:hAnsi="宋体"/>
          <w:color w:val="auto"/>
          <w:sz w:val="24"/>
          <w:highlight w:val="none"/>
        </w:rPr>
      </w:pPr>
    </w:p>
    <w:p>
      <w:pPr>
        <w:rPr>
          <w:rFonts w:ascii="宋体" w:hAnsi="宋体"/>
          <w:color w:val="auto"/>
          <w:sz w:val="24"/>
          <w:highlight w:val="none"/>
        </w:rPr>
      </w:pPr>
    </w:p>
    <w:p>
      <w:pPr>
        <w:rPr>
          <w:rFonts w:ascii="宋体" w:hAnsi="宋体"/>
          <w:color w:val="auto"/>
          <w:sz w:val="24"/>
          <w:highlight w:val="none"/>
        </w:rPr>
      </w:pPr>
      <w:r>
        <w:rPr>
          <w:rFonts w:hint="eastAsia" w:ascii="宋体" w:hAnsi="宋体"/>
          <w:color w:val="auto"/>
          <w:sz w:val="24"/>
          <w:highlight w:val="none"/>
        </w:rPr>
        <w:t>委托代理人（签字）:</w:t>
      </w:r>
    </w:p>
    <w:p>
      <w:pPr>
        <w:rPr>
          <w:rFonts w:ascii="宋体" w:hAnsi="宋体"/>
          <w:color w:val="auto"/>
          <w:sz w:val="24"/>
          <w:highlight w:val="none"/>
        </w:rPr>
      </w:pPr>
    </w:p>
    <w:p>
      <w:pPr>
        <w:rPr>
          <w:rFonts w:ascii="宋体" w:hAnsi="宋体" w:cs="宋体"/>
          <w:color w:val="auto"/>
          <w:sz w:val="28"/>
          <w:szCs w:val="28"/>
          <w:highlight w:val="none"/>
        </w:rPr>
        <w:sectPr>
          <w:pgSz w:w="11906" w:h="16838"/>
          <w:pgMar w:top="1418" w:right="708" w:bottom="1246" w:left="1418" w:header="851" w:footer="964" w:gutter="0"/>
          <w:cols w:space="720" w:num="1"/>
          <w:docGrid w:type="lines" w:linePitch="312" w:charSpace="0"/>
        </w:sectPr>
      </w:pPr>
      <w:r>
        <w:rPr>
          <w:rFonts w:hint="eastAsia" w:ascii="宋体" w:hAnsi="宋体"/>
          <w:color w:val="auto"/>
          <w:sz w:val="24"/>
          <w:highlight w:val="none"/>
        </w:rPr>
        <w:t>申请日期:2023年   月   日</w:t>
      </w:r>
    </w:p>
    <w:p>
      <w:pPr>
        <w:rPr>
          <w:rFonts w:ascii="宋体" w:hAnsi="宋体"/>
          <w:color w:val="auto"/>
          <w:sz w:val="28"/>
          <w:szCs w:val="28"/>
          <w:highlight w:val="none"/>
        </w:rPr>
      </w:pPr>
      <w:r>
        <w:rPr>
          <w:rFonts w:hint="eastAsia" w:ascii="宋体" w:hAnsi="宋体"/>
          <w:color w:val="auto"/>
          <w:sz w:val="28"/>
          <w:szCs w:val="28"/>
          <w:highlight w:val="none"/>
        </w:rPr>
        <w:t>附件</w:t>
      </w:r>
    </w:p>
    <w:p>
      <w:pPr>
        <w:jc w:val="center"/>
        <w:rPr>
          <w:rFonts w:ascii="宋体" w:hAnsi="宋体"/>
          <w:color w:val="auto"/>
          <w:sz w:val="28"/>
          <w:szCs w:val="28"/>
          <w:highlight w:val="none"/>
        </w:rPr>
      </w:pPr>
      <w:r>
        <w:rPr>
          <w:rFonts w:hint="eastAsia" w:ascii="宋体" w:hAnsi="宋体"/>
          <w:color w:val="auto"/>
          <w:sz w:val="28"/>
          <w:szCs w:val="28"/>
          <w:highlight w:val="none"/>
          <w:u w:val="single"/>
        </w:rPr>
        <w:t>广东省茂名市茂名茂南产业转移工业园安全智慧园区建设项目(茂南区智慧应急指挥平台)</w:t>
      </w:r>
      <w:r>
        <w:rPr>
          <w:rFonts w:hint="eastAsia" w:ascii="宋体" w:hAnsi="宋体"/>
          <w:color w:val="auto"/>
          <w:sz w:val="28"/>
          <w:szCs w:val="28"/>
          <w:highlight w:val="none"/>
        </w:rPr>
        <w:t>拒绝投标单位名单（部分）</w:t>
      </w:r>
    </w:p>
    <w:tbl>
      <w:tblPr>
        <w:tblStyle w:val="27"/>
        <w:tblW w:w="0" w:type="auto"/>
        <w:tblInd w:w="8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0"/>
        <w:gridCol w:w="3645"/>
        <w:gridCol w:w="2055"/>
        <w:gridCol w:w="2055"/>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序号</w:t>
            </w:r>
          </w:p>
        </w:tc>
        <w:tc>
          <w:tcPr>
            <w:tcW w:w="3645" w:type="dxa"/>
            <w:vMerge w:val="restart"/>
            <w:tcBorders>
              <w:top w:val="single" w:color="auto" w:sz="4" w:space="0"/>
              <w:left w:val="nil"/>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单位</w:t>
            </w:r>
          </w:p>
        </w:tc>
        <w:tc>
          <w:tcPr>
            <w:tcW w:w="4110" w:type="dxa"/>
            <w:gridSpan w:val="2"/>
            <w:tcBorders>
              <w:top w:val="single" w:color="auto" w:sz="4" w:space="0"/>
              <w:left w:val="nil"/>
              <w:bottom w:val="single" w:color="auto" w:sz="4" w:space="0"/>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拒绝投标期</w:t>
            </w:r>
          </w:p>
        </w:tc>
        <w:tc>
          <w:tcPr>
            <w:tcW w:w="1080" w:type="dxa"/>
            <w:vMerge w:val="restart"/>
            <w:tcBorders>
              <w:top w:val="single" w:color="auto" w:sz="4" w:space="0"/>
              <w:left w:val="nil"/>
              <w:right w:val="single" w:color="auto" w:sz="4" w:space="0"/>
            </w:tcBorders>
            <w:vAlign w:val="center"/>
          </w:tcPr>
          <w:p>
            <w:pPr>
              <w:jc w:val="center"/>
              <w:rPr>
                <w:rFonts w:ascii="宋体" w:hAnsi="宋体"/>
                <w:color w:val="auto"/>
                <w:sz w:val="28"/>
                <w:szCs w:val="28"/>
                <w:highlight w:val="none"/>
              </w:rPr>
            </w:pPr>
            <w:r>
              <w:rPr>
                <w:rFonts w:hint="eastAsia" w:ascii="宋体" w:hAnsi="宋体"/>
                <w:color w:val="auto"/>
                <w:sz w:val="28"/>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auto"/>
                <w:sz w:val="28"/>
                <w:szCs w:val="28"/>
                <w:highlight w:val="none"/>
              </w:rPr>
            </w:pPr>
          </w:p>
        </w:tc>
        <w:tc>
          <w:tcPr>
            <w:tcW w:w="3645" w:type="dxa"/>
            <w:vMerge w:val="continue"/>
            <w:tcBorders>
              <w:top w:val="single" w:color="auto" w:sz="4" w:space="0"/>
              <w:left w:val="nil"/>
              <w:bottom w:val="single" w:color="auto" w:sz="4" w:space="0"/>
              <w:right w:val="single" w:color="auto" w:sz="4" w:space="0"/>
            </w:tcBorders>
            <w:vAlign w:val="center"/>
          </w:tcPr>
          <w:p>
            <w:pPr>
              <w:widowControl/>
              <w:jc w:val="left"/>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起始日期</w:t>
            </w:r>
          </w:p>
        </w:tc>
        <w:tc>
          <w:tcPr>
            <w:tcW w:w="2055"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截止日期</w:t>
            </w:r>
          </w:p>
        </w:tc>
        <w:tc>
          <w:tcPr>
            <w:tcW w:w="1080" w:type="dxa"/>
            <w:vMerge w:val="continue"/>
            <w:tcBorders>
              <w:left w:val="nil"/>
              <w:bottom w:val="single" w:color="auto" w:sz="4" w:space="0"/>
              <w:right w:val="single" w:color="auto" w:sz="4" w:space="0"/>
            </w:tcBorders>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w:t>
            </w:r>
          </w:p>
        </w:tc>
        <w:tc>
          <w:tcPr>
            <w:tcW w:w="3645"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jc w:val="cente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2</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3</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4</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5</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6</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7</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8</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9</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10</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11</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12</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380" w:type="dxa"/>
            <w:tcBorders>
              <w:top w:val="single" w:color="auto" w:sz="4" w:space="0"/>
              <w:left w:val="single" w:color="auto" w:sz="4" w:space="0"/>
              <w:bottom w:val="single" w:color="auto" w:sz="4" w:space="0"/>
              <w:right w:val="single" w:color="auto" w:sz="4" w:space="0"/>
            </w:tcBorders>
          </w:tcPr>
          <w:p>
            <w:pPr>
              <w:jc w:val="center"/>
              <w:rPr>
                <w:rFonts w:ascii="宋体" w:hAnsi="宋体"/>
                <w:color w:val="auto"/>
                <w:sz w:val="28"/>
                <w:szCs w:val="28"/>
                <w:highlight w:val="none"/>
              </w:rPr>
            </w:pPr>
            <w:r>
              <w:rPr>
                <w:rFonts w:hint="eastAsia" w:ascii="宋体" w:hAnsi="宋体"/>
                <w:color w:val="auto"/>
                <w:sz w:val="28"/>
                <w:szCs w:val="28"/>
                <w:highlight w:val="none"/>
              </w:rPr>
              <w:t>13</w:t>
            </w:r>
          </w:p>
        </w:tc>
        <w:tc>
          <w:tcPr>
            <w:tcW w:w="364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2055"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c>
          <w:tcPr>
            <w:tcW w:w="1080" w:type="dxa"/>
            <w:tcBorders>
              <w:top w:val="single" w:color="auto" w:sz="4" w:space="0"/>
              <w:left w:val="nil"/>
              <w:bottom w:val="single" w:color="auto" w:sz="4" w:space="0"/>
              <w:right w:val="single" w:color="auto" w:sz="4" w:space="0"/>
            </w:tcBorders>
          </w:tcPr>
          <w:p>
            <w:pPr>
              <w:rPr>
                <w:rFonts w:ascii="宋体" w:hAnsi="宋体"/>
                <w:color w:val="auto"/>
                <w:sz w:val="28"/>
                <w:szCs w:val="28"/>
                <w:highlight w:val="none"/>
              </w:rPr>
            </w:pPr>
          </w:p>
        </w:tc>
      </w:tr>
    </w:tbl>
    <w:p>
      <w:pPr>
        <w:adjustRightInd w:val="0"/>
        <w:snapToGrid w:val="0"/>
        <w:ind w:left="1120" w:hanging="1120" w:hangingChars="400"/>
        <w:rPr>
          <w:rFonts w:ascii="宋体" w:hAnsi="宋体"/>
          <w:color w:val="auto"/>
          <w:sz w:val="28"/>
          <w:szCs w:val="28"/>
          <w:highlight w:val="none"/>
          <w:u w:val="single"/>
        </w:rPr>
      </w:pPr>
      <w:r>
        <w:rPr>
          <w:rFonts w:hint="eastAsia" w:ascii="宋体" w:hAnsi="宋体"/>
          <w:color w:val="auto"/>
          <w:sz w:val="28"/>
          <w:szCs w:val="28"/>
          <w:highlight w:val="none"/>
        </w:rPr>
        <w:t>说明：1.在拒绝投标期内，拒绝上述单位参与</w:t>
      </w:r>
      <w:r>
        <w:rPr>
          <w:rFonts w:hint="eastAsia" w:ascii="宋体" w:hAnsi="宋体"/>
          <w:color w:val="auto"/>
          <w:sz w:val="28"/>
          <w:szCs w:val="28"/>
          <w:highlight w:val="none"/>
          <w:u w:val="single"/>
        </w:rPr>
        <w:t>广东省茂名市茂名茂南产业转移工业园安全智慧园区建设项目(茂南区智慧应急指挥平台)</w:t>
      </w:r>
      <w:r>
        <w:rPr>
          <w:rFonts w:hint="eastAsia" w:ascii="宋体" w:hAnsi="宋体"/>
          <w:color w:val="auto"/>
          <w:sz w:val="28"/>
          <w:szCs w:val="28"/>
          <w:highlight w:val="none"/>
        </w:rPr>
        <w:t>的投标。</w:t>
      </w:r>
    </w:p>
    <w:p>
      <w:pPr>
        <w:spacing w:line="360" w:lineRule="auto"/>
        <w:ind w:firstLine="840" w:firstLineChars="300"/>
        <w:jc w:val="left"/>
        <w:rPr>
          <w:rFonts w:ascii="宋体" w:hAnsi="宋体"/>
          <w:color w:val="auto"/>
          <w:sz w:val="28"/>
          <w:szCs w:val="28"/>
          <w:highlight w:val="none"/>
        </w:rPr>
      </w:pPr>
      <w:r>
        <w:rPr>
          <w:rFonts w:hint="eastAsia" w:ascii="宋体" w:hAnsi="宋体"/>
          <w:color w:val="auto"/>
          <w:sz w:val="28"/>
          <w:szCs w:val="28"/>
          <w:highlight w:val="none"/>
        </w:rPr>
        <w:t>2.若上述单位及拒绝期限发生变化的，则以最新书面文件为准。</w:t>
      </w:r>
    </w:p>
    <w:p>
      <w:pPr>
        <w:spacing w:line="360" w:lineRule="auto"/>
        <w:ind w:firstLine="840" w:firstLineChars="300"/>
        <w:jc w:val="left"/>
      </w:pPr>
      <w:r>
        <w:rPr>
          <w:rFonts w:hint="eastAsia" w:ascii="宋体" w:hAnsi="宋体"/>
          <w:color w:val="auto"/>
          <w:sz w:val="28"/>
          <w:szCs w:val="28"/>
          <w:highlight w:val="none"/>
        </w:rPr>
        <w:t>3.上述单位名单未含被人民法院列为失信被执行人企业。</w:t>
      </w:r>
    </w:p>
    <w:sectPr>
      <w:headerReference r:id="rId4" w:type="default"/>
      <w:footerReference r:id="rId5" w:type="default"/>
      <w:pgSz w:w="11906" w:h="16838"/>
      <w:pgMar w:top="1440" w:right="1080" w:bottom="1440" w:left="1080" w:header="851" w:footer="567" w:gutter="0"/>
      <w:pgNumType w:fmt="decimal"/>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pict>
        <v:shape id="文本框 9" o:spid="_x0000_s104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o+UsAgAAV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yr+j5SwCAABVBAAADgAAAAAAAAABACAAAAAfAQAAZHJzL2Uyb0RvYy54bWxQSwUGAAAAAAYA&#10;BgBZAQAAvQUAAAAA&#10;">
          <v:path/>
          <v:fill on="f" focussize="0,0"/>
          <v:stroke on="f" weight="0.5pt"/>
          <v:imagedata o:title=""/>
          <o:lock v:ext="edit" aspectratio="f"/>
          <v:textbox inset="0mm,0mm,0mm,0mm" style="mso-fit-shape-to-text:t;">
            <w:txbxContent>
              <w:p>
                <w:pPr>
                  <w:pStyle w:val="20"/>
                </w:pPr>
                <w:r>
                  <w:fldChar w:fldCharType="begin"/>
                </w:r>
                <w:r>
                  <w:instrText xml:space="preserve"> PAGE  \* MERGEFORMAT </w:instrText>
                </w:r>
                <w:r>
                  <w:fldChar w:fldCharType="separate"/>
                </w:r>
                <w:r>
                  <w:t>38</w:t>
                </w:r>
                <w:r>
                  <w:fldChar w:fldCharType="end"/>
                </w:r>
              </w:p>
            </w:txbxContent>
          </v:textbox>
        </v:shape>
      </w:pict>
    </w:r>
    <w:r>
      <w:pict>
        <v:rect id="矩形 1026" o:spid="_x0000_s1048" o:spt="1" style="position:absolute;left:0pt;margin-top:0pt;height:12.05pt;width:9.05pt;mso-position-horizontal:center;mso-position-horizontal-relative:margin;mso-wrap-style:none;z-index:251660288;mso-width-relative:page;mso-height-relative:page;" filled="f" stroked="f" coordsize="21600,21600" o:gfxdata="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B+X+MR0QAAAAMBAAAPAAAAAAAAAAEAIAAAACIAAABkcnMvZG93bnJl&#10;di54bWxQSwECFAAUAAAACACHTuJABZbvocsBAACbAwAADgAAAAAAAAABACAAAAAgAQAAZHJzL2Uy&#10;b0RvYy54bWxQSwUGAAAAAAYABgBZAQAAXQUAAAAA&#10;">
          <v:path/>
          <v:fill on="f" focussize="0,0"/>
          <v:stroke on="f"/>
          <v:imagedata o:title=""/>
          <o:lock v:ext="edit" aspectratio="f"/>
          <v:textbox inset="0mm,0mm,0mm,0mm" style="mso-fit-shape-to-text:t;">
            <w:txbxContent>
              <w:p/>
            </w:txbxContent>
          </v:textbox>
        </v:rect>
      </w:pict>
    </w:r>
    <w:r>
      <w:pict>
        <v:rect id="Rectangle 28" o:spid="_x0000_s1047" o:spt="1"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DS/0sLQAAAAAwEAAA8AAAAAAAAAAQAgAAAAIgAAAGRycy9kb3ducmV2LnhtbFBLAQIUABQA&#10;AAAIAIdO4kA52TK7+AEAAPkDAAAOAAAAAAAAAAEAIAAAAB8BAABkcnMvZTJvRG9jLnhtbFBLBQYA&#10;AAAABgAGAFkBAACJBQAAAAA=&#10;">
          <v:path/>
          <v:fill on="f" focussize="0,0"/>
          <v:stroke on="f"/>
          <v:imagedata o:title=""/>
          <o:lock v:ext="edit" aspectratio="f"/>
          <v:textbox inset="0mm,0mm,0mm,0mm" style="mso-fit-shape-to-text:t;">
            <w:txbxContent>
              <w:p>
                <w:pPr>
                  <w:snapToGrid w:val="0"/>
                  <w:rPr>
                    <w:sz w:val="18"/>
                  </w:rPr>
                </w:pPr>
              </w:p>
            </w:txbxContent>
          </v:textbox>
        </v:rect>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rPr>
        <w:sz w:val="18"/>
      </w:rPr>
      <w:pict>
        <v:shape id="_x0000_s1042" o:spid="_x0000_s1042"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0"/>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Q3MDg1NWVhNDNhZjA0NzhjMDEwMmYzZWE3OGVlYjUifQ=="/>
  </w:docVars>
  <w:rsids>
    <w:rsidRoot w:val="00000000"/>
    <w:rsid w:val="000D1931"/>
    <w:rsid w:val="04D01847"/>
    <w:rsid w:val="04F456B3"/>
    <w:rsid w:val="073F35C0"/>
    <w:rsid w:val="07EF46DA"/>
    <w:rsid w:val="08AC2F0A"/>
    <w:rsid w:val="0A5B1A20"/>
    <w:rsid w:val="0E03231F"/>
    <w:rsid w:val="102F7F25"/>
    <w:rsid w:val="10E57B7F"/>
    <w:rsid w:val="10EE19D3"/>
    <w:rsid w:val="11463A80"/>
    <w:rsid w:val="116E3238"/>
    <w:rsid w:val="119A7465"/>
    <w:rsid w:val="182E57D0"/>
    <w:rsid w:val="1D4D67EE"/>
    <w:rsid w:val="1F7B5071"/>
    <w:rsid w:val="215426A9"/>
    <w:rsid w:val="24455956"/>
    <w:rsid w:val="297A6819"/>
    <w:rsid w:val="2A1E657F"/>
    <w:rsid w:val="322C4019"/>
    <w:rsid w:val="353F3786"/>
    <w:rsid w:val="38804133"/>
    <w:rsid w:val="397E380F"/>
    <w:rsid w:val="3B571B87"/>
    <w:rsid w:val="42B84F0D"/>
    <w:rsid w:val="48084421"/>
    <w:rsid w:val="487046F4"/>
    <w:rsid w:val="4AAF0B85"/>
    <w:rsid w:val="4C923A0F"/>
    <w:rsid w:val="4F3C6B23"/>
    <w:rsid w:val="509533C5"/>
    <w:rsid w:val="52B94123"/>
    <w:rsid w:val="55DC290C"/>
    <w:rsid w:val="568D446F"/>
    <w:rsid w:val="5918652E"/>
    <w:rsid w:val="5B1B5A03"/>
    <w:rsid w:val="5B593BB3"/>
    <w:rsid w:val="60572659"/>
    <w:rsid w:val="681E586F"/>
    <w:rsid w:val="6A8B4D69"/>
    <w:rsid w:val="6FA36EEE"/>
    <w:rsid w:val="715511EF"/>
    <w:rsid w:val="71973F9C"/>
    <w:rsid w:val="7DA9575F"/>
    <w:rsid w:val="7EB8225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 w:semiHidden="0" w:name="heading 3" w:locked="1"/>
    <w:lsdException w:qFormat="1" w:unhideWhenUsed="0" w:uiPriority="0" w:semiHidden="0" w:name="heading 4" w:locked="1"/>
    <w:lsdException w:qFormat="1" w:unhideWhenUsed="0" w:uiPriority="0" w:semiHidden="0"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0" w:semiHidden="0" w:name="toc 4" w:locked="1"/>
    <w:lsdException w:qFormat="1" w:unhideWhenUsed="0" w:uiPriority="0" w:semiHidden="0" w:name="toc 5" w:locked="1"/>
    <w:lsdException w:uiPriority="39" w:name="toc 6" w:locked="1"/>
    <w:lsdException w:uiPriority="39" w:name="toc 7" w:locked="1"/>
    <w:lsdException w:uiPriority="39" w:name="toc 8" w:locked="1"/>
    <w:lsdException w:uiPriority="39" w:name="toc 9" w:locked="1"/>
    <w:lsdException w:qFormat="1" w:unhideWhenUsed="0" w:uiPriority="0" w:semiHidden="0"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0" w:semiHidden="0" w:name="annotation reference" w:locked="1"/>
    <w:lsdException w:uiPriority="99" w:name="line number" w:locked="1"/>
    <w:lsdException w:uiPriority="99" w:name="page number" w:locked="1"/>
    <w:lsdException w:uiPriority="99" w:name="endnote reference" w:locked="1"/>
    <w:lsdException w:qFormat="1" w:uiPriority="99" w:semiHidden="0"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semiHidden="0" w:name="Default Paragraph Font"/>
    <w:lsdException w:qFormat="1" w:unhideWhenUsed="0" w:uiPriority="99" w:semiHidden="0" w:name="Body Text"/>
    <w:lsdException w:qFormat="1" w:uiPriority="0"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qFormat="1" w:unhideWhenUsed="0" w:uiPriority="99" w:semiHidden="0" w:name="Salutation"/>
    <w:lsdException w:qFormat="1" w:unhideWhenUsed="0" w:uiPriority="99" w:semiHidden="0" w:name="Date"/>
    <w:lsdException w:qFormat="1" w:unhideWhenUsed="0" w:uiPriority="99" w:semiHidden="0" w:name="Body Text First Indent"/>
    <w:lsdException w:uiPriority="99" w:name="Body Text First Indent 2" w:locked="1"/>
    <w:lsdException w:uiPriority="99" w:name="Note Heading" w:locked="1"/>
    <w:lsdException w:uiPriority="99" w:name="Body Text 2" w:locked="1"/>
    <w:lsdException w:uiPriority="99" w:name="Body Text 3" w:locked="1"/>
    <w:lsdException w:qFormat="1" w:unhideWhenUsed="0" w:uiPriority="0" w:semiHidden="0"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ocked="1"/>
    <w:lsdException w:qFormat="1" w:unhideWhenUsed="0" w:uiPriority="99" w:semiHidden="0" w:name="Strong"/>
    <w:lsdException w:qFormat="1" w:unhideWhenUsed="0" w:uiPriority="20" w:semiHidden="0" w:name="Emphasis" w:locked="1"/>
    <w:lsdException w:qFormat="1" w:unhideWhenUsed="0" w:uiPriority="99" w:semiHidden="0" w:name="Document Map"/>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4">
    <w:name w:val="heading 1"/>
    <w:basedOn w:val="1"/>
    <w:next w:val="1"/>
    <w:link w:val="42"/>
    <w:qFormat/>
    <w:uiPriority w:val="99"/>
    <w:pPr>
      <w:keepNext/>
      <w:keepLines/>
      <w:spacing w:before="340" w:after="330" w:line="578" w:lineRule="auto"/>
      <w:outlineLvl w:val="0"/>
    </w:pPr>
    <w:rPr>
      <w:b/>
      <w:bCs/>
      <w:kern w:val="44"/>
      <w:sz w:val="44"/>
      <w:szCs w:val="44"/>
    </w:rPr>
  </w:style>
  <w:style w:type="paragraph" w:styleId="5">
    <w:name w:val="heading 2"/>
    <w:basedOn w:val="1"/>
    <w:next w:val="1"/>
    <w:link w:val="41"/>
    <w:qFormat/>
    <w:uiPriority w:val="99"/>
    <w:pPr>
      <w:keepNext/>
      <w:keepLines/>
      <w:spacing w:before="260" w:after="260" w:line="416" w:lineRule="auto"/>
      <w:outlineLvl w:val="1"/>
    </w:pPr>
    <w:rPr>
      <w:rFonts w:ascii="Arial" w:hAnsi="Arial" w:eastAsia="黑体"/>
      <w:sz w:val="32"/>
      <w:szCs w:val="32"/>
    </w:rPr>
  </w:style>
  <w:style w:type="paragraph" w:styleId="6">
    <w:name w:val="heading 3"/>
    <w:basedOn w:val="1"/>
    <w:next w:val="1"/>
    <w:qFormat/>
    <w:locked/>
    <w:uiPriority w:val="9"/>
    <w:pPr>
      <w:keepNext/>
      <w:keepLines/>
      <w:spacing w:before="260" w:after="260" w:line="416" w:lineRule="auto"/>
      <w:outlineLvl w:val="2"/>
    </w:pPr>
    <w:rPr>
      <w:b/>
      <w:bCs/>
      <w:sz w:val="32"/>
      <w:szCs w:val="32"/>
    </w:rPr>
  </w:style>
  <w:style w:type="paragraph" w:styleId="7">
    <w:name w:val="heading 4"/>
    <w:basedOn w:val="1"/>
    <w:next w:val="1"/>
    <w:qFormat/>
    <w:locked/>
    <w:uiPriority w:val="0"/>
    <w:pPr>
      <w:keepNext/>
      <w:keepLines/>
      <w:spacing w:before="280" w:beforeLines="0" w:after="290" w:afterLines="0" w:line="372" w:lineRule="auto"/>
      <w:outlineLvl w:val="3"/>
    </w:pPr>
    <w:rPr>
      <w:rFonts w:ascii="Cambria" w:hAnsi="Cambria"/>
      <w:b/>
      <w:bCs/>
      <w:sz w:val="28"/>
      <w:szCs w:val="28"/>
    </w:rPr>
  </w:style>
  <w:style w:type="paragraph" w:styleId="8">
    <w:name w:val="heading 5"/>
    <w:basedOn w:val="1"/>
    <w:next w:val="1"/>
    <w:qFormat/>
    <w:locked/>
    <w:uiPriority w:val="0"/>
    <w:pPr>
      <w:keepNext/>
      <w:keepLines/>
      <w:spacing w:before="280" w:beforeLines="0" w:after="290" w:afterLines="0" w:line="372" w:lineRule="auto"/>
      <w:outlineLvl w:val="4"/>
    </w:pPr>
    <w:rPr>
      <w:b/>
      <w:bCs/>
      <w:sz w:val="28"/>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Plain Text"/>
    <w:basedOn w:val="1"/>
    <w:next w:val="3"/>
    <w:link w:val="44"/>
    <w:qFormat/>
    <w:uiPriority w:val="99"/>
    <w:pPr>
      <w:widowControl/>
      <w:ind w:left="1800" w:hanging="360"/>
      <w:jc w:val="left"/>
    </w:pPr>
    <w:rPr>
      <w:rFonts w:ascii="宋体" w:hAnsi="Courier New"/>
      <w:kern w:val="0"/>
      <w:sz w:val="24"/>
      <w:szCs w:val="20"/>
    </w:rPr>
  </w:style>
  <w:style w:type="paragraph" w:customStyle="1" w:styleId="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styleId="9">
    <w:name w:val="Normal Indent"/>
    <w:basedOn w:val="1"/>
    <w:qFormat/>
    <w:locked/>
    <w:uiPriority w:val="0"/>
    <w:pPr>
      <w:ind w:firstLine="420" w:firstLineChars="200"/>
    </w:pPr>
  </w:style>
  <w:style w:type="paragraph" w:styleId="10">
    <w:name w:val="Document Map"/>
    <w:basedOn w:val="1"/>
    <w:link w:val="52"/>
    <w:qFormat/>
    <w:uiPriority w:val="99"/>
    <w:rPr>
      <w:rFonts w:ascii="宋体"/>
      <w:sz w:val="18"/>
      <w:szCs w:val="20"/>
    </w:rPr>
  </w:style>
  <w:style w:type="paragraph" w:styleId="11">
    <w:name w:val="Salutation"/>
    <w:basedOn w:val="1"/>
    <w:next w:val="1"/>
    <w:link w:val="36"/>
    <w:qFormat/>
    <w:uiPriority w:val="99"/>
    <w:rPr>
      <w:sz w:val="24"/>
      <w:szCs w:val="20"/>
    </w:rPr>
  </w:style>
  <w:style w:type="paragraph" w:styleId="12">
    <w:name w:val="Body Text"/>
    <w:basedOn w:val="1"/>
    <w:link w:val="40"/>
    <w:qFormat/>
    <w:uiPriority w:val="99"/>
    <w:pPr>
      <w:spacing w:after="120"/>
    </w:pPr>
    <w:rPr>
      <w:sz w:val="22"/>
      <w:szCs w:val="20"/>
    </w:rPr>
  </w:style>
  <w:style w:type="paragraph" w:styleId="13">
    <w:name w:val="Body Text Indent"/>
    <w:basedOn w:val="1"/>
    <w:link w:val="58"/>
    <w:unhideWhenUsed/>
    <w:qFormat/>
    <w:locked/>
    <w:uiPriority w:val="0"/>
    <w:pPr>
      <w:spacing w:after="120"/>
      <w:ind w:left="420" w:leftChars="200"/>
    </w:pPr>
    <w:rPr>
      <w:szCs w:val="20"/>
    </w:rPr>
  </w:style>
  <w:style w:type="paragraph" w:styleId="14">
    <w:name w:val="toc 5"/>
    <w:basedOn w:val="1"/>
    <w:next w:val="1"/>
    <w:qFormat/>
    <w:locked/>
    <w:uiPriority w:val="0"/>
    <w:pPr>
      <w:tabs>
        <w:tab w:val="right" w:leader="dot" w:pos="8296"/>
      </w:tabs>
      <w:ind w:left="1050" w:leftChars="500"/>
    </w:pPr>
  </w:style>
  <w:style w:type="paragraph" w:styleId="15">
    <w:name w:val="toc 3"/>
    <w:basedOn w:val="1"/>
    <w:next w:val="1"/>
    <w:qFormat/>
    <w:uiPriority w:val="99"/>
    <w:pPr>
      <w:widowControl/>
      <w:spacing w:after="100" w:line="276" w:lineRule="auto"/>
      <w:ind w:left="440"/>
      <w:jc w:val="left"/>
    </w:pPr>
    <w:rPr>
      <w:rFonts w:ascii="Calibri" w:hAnsi="Calibri"/>
      <w:kern w:val="0"/>
      <w:sz w:val="22"/>
    </w:rPr>
  </w:style>
  <w:style w:type="paragraph" w:styleId="16">
    <w:name w:val="Date"/>
    <w:basedOn w:val="1"/>
    <w:next w:val="1"/>
    <w:link w:val="45"/>
    <w:qFormat/>
    <w:uiPriority w:val="99"/>
    <w:rPr>
      <w:sz w:val="24"/>
      <w:szCs w:val="20"/>
    </w:rPr>
  </w:style>
  <w:style w:type="paragraph" w:styleId="17">
    <w:name w:val="Body Text Indent 2"/>
    <w:basedOn w:val="1"/>
    <w:qFormat/>
    <w:locked/>
    <w:uiPriority w:val="0"/>
    <w:pPr>
      <w:spacing w:after="120" w:afterLines="0" w:line="480" w:lineRule="auto"/>
      <w:ind w:left="420" w:leftChars="200"/>
    </w:pPr>
    <w:rPr>
      <w:rFonts w:ascii="Times New Roman" w:hAnsi="Times New Roman"/>
      <w:sz w:val="24"/>
      <w:szCs w:val="24"/>
    </w:rPr>
  </w:style>
  <w:style w:type="paragraph" w:styleId="18">
    <w:name w:val="endnote text"/>
    <w:basedOn w:val="1"/>
    <w:unhideWhenUsed/>
    <w:qFormat/>
    <w:locked/>
    <w:uiPriority w:val="99"/>
    <w:rPr>
      <w:sz w:val="20"/>
      <w:szCs w:val="20"/>
    </w:rPr>
  </w:style>
  <w:style w:type="paragraph" w:styleId="19">
    <w:name w:val="Balloon Text"/>
    <w:basedOn w:val="1"/>
    <w:link w:val="39"/>
    <w:qFormat/>
    <w:uiPriority w:val="99"/>
    <w:rPr>
      <w:kern w:val="0"/>
      <w:sz w:val="18"/>
      <w:szCs w:val="20"/>
    </w:rPr>
  </w:style>
  <w:style w:type="paragraph" w:styleId="20">
    <w:name w:val="footer"/>
    <w:basedOn w:val="1"/>
    <w:link w:val="49"/>
    <w:qFormat/>
    <w:uiPriority w:val="99"/>
    <w:pPr>
      <w:tabs>
        <w:tab w:val="center" w:pos="4153"/>
        <w:tab w:val="right" w:pos="8306"/>
      </w:tabs>
      <w:snapToGrid w:val="0"/>
      <w:jc w:val="left"/>
    </w:pPr>
    <w:rPr>
      <w:kern w:val="0"/>
      <w:sz w:val="18"/>
      <w:szCs w:val="20"/>
    </w:rPr>
  </w:style>
  <w:style w:type="paragraph" w:styleId="21">
    <w:name w:val="header"/>
    <w:basedOn w:val="1"/>
    <w:link w:val="53"/>
    <w:qFormat/>
    <w:uiPriority w:val="99"/>
    <w:pPr>
      <w:pBdr>
        <w:bottom w:val="single" w:color="auto" w:sz="6" w:space="1"/>
      </w:pBdr>
      <w:tabs>
        <w:tab w:val="center" w:pos="4153"/>
        <w:tab w:val="right" w:pos="8306"/>
      </w:tabs>
      <w:snapToGrid w:val="0"/>
      <w:jc w:val="center"/>
    </w:pPr>
    <w:rPr>
      <w:kern w:val="0"/>
      <w:sz w:val="18"/>
      <w:szCs w:val="20"/>
    </w:rPr>
  </w:style>
  <w:style w:type="paragraph" w:styleId="22">
    <w:name w:val="toc 1"/>
    <w:basedOn w:val="1"/>
    <w:next w:val="1"/>
    <w:qFormat/>
    <w:uiPriority w:val="99"/>
    <w:pPr>
      <w:widowControl/>
      <w:spacing w:after="100" w:line="276" w:lineRule="auto"/>
      <w:jc w:val="left"/>
    </w:pPr>
    <w:rPr>
      <w:rFonts w:ascii="Calibri" w:hAnsi="Calibri"/>
      <w:kern w:val="0"/>
      <w:sz w:val="22"/>
    </w:rPr>
  </w:style>
  <w:style w:type="paragraph" w:styleId="23">
    <w:name w:val="toc 4"/>
    <w:basedOn w:val="1"/>
    <w:next w:val="1"/>
    <w:qFormat/>
    <w:locked/>
    <w:uiPriority w:val="0"/>
    <w:pPr>
      <w:tabs>
        <w:tab w:val="left" w:pos="1890"/>
        <w:tab w:val="right" w:leader="dot" w:pos="8296"/>
      </w:tabs>
      <w:ind w:left="630" w:leftChars="300"/>
    </w:pPr>
  </w:style>
  <w:style w:type="paragraph" w:styleId="24">
    <w:name w:val="toc 2"/>
    <w:basedOn w:val="1"/>
    <w:next w:val="1"/>
    <w:qFormat/>
    <w:uiPriority w:val="99"/>
    <w:pPr>
      <w:widowControl/>
      <w:spacing w:after="100" w:line="276" w:lineRule="auto"/>
      <w:ind w:left="220"/>
      <w:jc w:val="left"/>
    </w:pPr>
    <w:rPr>
      <w:rFonts w:ascii="Calibri" w:hAnsi="Calibri"/>
      <w:kern w:val="0"/>
      <w:sz w:val="22"/>
    </w:rPr>
  </w:style>
  <w:style w:type="paragraph" w:styleId="25">
    <w:name w:val="Normal (Web)"/>
    <w:basedOn w:val="1"/>
    <w:qFormat/>
    <w:uiPriority w:val="99"/>
    <w:pPr>
      <w:widowControl/>
      <w:spacing w:before="100" w:beforeAutospacing="1" w:after="100" w:afterAutospacing="1"/>
      <w:jc w:val="left"/>
    </w:pPr>
    <w:rPr>
      <w:rFonts w:ascii="宋体" w:hAnsi="宋体"/>
      <w:kern w:val="0"/>
      <w:sz w:val="30"/>
      <w:szCs w:val="24"/>
    </w:rPr>
  </w:style>
  <w:style w:type="paragraph" w:styleId="26">
    <w:name w:val="Body Text First Indent"/>
    <w:basedOn w:val="12"/>
    <w:link w:val="43"/>
    <w:qFormat/>
    <w:uiPriority w:val="99"/>
    <w:pPr>
      <w:ind w:firstLine="420" w:firstLineChars="100"/>
    </w:pPr>
    <w:rPr>
      <w:sz w:val="24"/>
    </w:rPr>
  </w:style>
  <w:style w:type="table" w:styleId="28">
    <w:name w:val="Table Grid"/>
    <w:basedOn w:val="27"/>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0">
    <w:name w:val="Strong"/>
    <w:basedOn w:val="29"/>
    <w:qFormat/>
    <w:uiPriority w:val="99"/>
    <w:rPr>
      <w:rFonts w:cs="Times New Roman"/>
      <w:b/>
    </w:rPr>
  </w:style>
  <w:style w:type="character" w:styleId="31">
    <w:name w:val="FollowedHyperlink"/>
    <w:qFormat/>
    <w:locked/>
    <w:uiPriority w:val="99"/>
    <w:rPr>
      <w:rFonts w:cs="Times New Roman"/>
      <w:color w:val="800080"/>
      <w:u w:val="none"/>
    </w:rPr>
  </w:style>
  <w:style w:type="character" w:styleId="32">
    <w:name w:val="Hyperlink"/>
    <w:basedOn w:val="29"/>
    <w:qFormat/>
    <w:uiPriority w:val="99"/>
    <w:rPr>
      <w:rFonts w:cs="Times New Roman"/>
      <w:color w:val="0000FF"/>
      <w:u w:val="single"/>
    </w:rPr>
  </w:style>
  <w:style w:type="character" w:styleId="33">
    <w:name w:val="annotation reference"/>
    <w:qFormat/>
    <w:locked/>
    <w:uiPriority w:val="0"/>
    <w:rPr>
      <w:rFonts w:cs="Times New Roman"/>
      <w:sz w:val="21"/>
      <w:szCs w:val="21"/>
    </w:rPr>
  </w:style>
  <w:style w:type="character" w:customStyle="1" w:styleId="34">
    <w:name w:val="正文文本 Char"/>
    <w:semiHidden/>
    <w:qFormat/>
    <w:locked/>
    <w:uiPriority w:val="99"/>
    <w:rPr>
      <w:kern w:val="2"/>
      <w:sz w:val="22"/>
    </w:rPr>
  </w:style>
  <w:style w:type="character" w:customStyle="1" w:styleId="35">
    <w:name w:val="称呼 Char"/>
    <w:qFormat/>
    <w:locked/>
    <w:uiPriority w:val="99"/>
    <w:rPr>
      <w:rFonts w:ascii="Times New Roman" w:hAnsi="Times New Roman"/>
      <w:kern w:val="2"/>
      <w:sz w:val="24"/>
    </w:rPr>
  </w:style>
  <w:style w:type="character" w:customStyle="1" w:styleId="36">
    <w:name w:val="称呼 Char1"/>
    <w:link w:val="11"/>
    <w:semiHidden/>
    <w:qFormat/>
    <w:locked/>
    <w:uiPriority w:val="99"/>
    <w:rPr>
      <w:rFonts w:cs="Times New Roman"/>
    </w:rPr>
  </w:style>
  <w:style w:type="character" w:customStyle="1" w:styleId="37">
    <w:name w:val="文档结构图 Char"/>
    <w:semiHidden/>
    <w:qFormat/>
    <w:locked/>
    <w:uiPriority w:val="99"/>
    <w:rPr>
      <w:rFonts w:ascii="宋体"/>
      <w:kern w:val="2"/>
      <w:sz w:val="18"/>
    </w:rPr>
  </w:style>
  <w:style w:type="character" w:customStyle="1" w:styleId="38">
    <w:name w:val="日期 Char"/>
    <w:qFormat/>
    <w:locked/>
    <w:uiPriority w:val="99"/>
    <w:rPr>
      <w:rFonts w:ascii="Times New Roman" w:hAnsi="Times New Roman"/>
      <w:kern w:val="2"/>
      <w:sz w:val="24"/>
    </w:rPr>
  </w:style>
  <w:style w:type="character" w:customStyle="1" w:styleId="39">
    <w:name w:val="批注框文本 Char1"/>
    <w:link w:val="19"/>
    <w:semiHidden/>
    <w:qFormat/>
    <w:locked/>
    <w:uiPriority w:val="99"/>
    <w:rPr>
      <w:rFonts w:cs="Times New Roman"/>
      <w:sz w:val="2"/>
    </w:rPr>
  </w:style>
  <w:style w:type="character" w:customStyle="1" w:styleId="40">
    <w:name w:val="正文文本 Char1"/>
    <w:link w:val="12"/>
    <w:semiHidden/>
    <w:qFormat/>
    <w:locked/>
    <w:uiPriority w:val="99"/>
    <w:rPr>
      <w:rFonts w:cs="Times New Roman"/>
    </w:rPr>
  </w:style>
  <w:style w:type="character" w:customStyle="1" w:styleId="41">
    <w:name w:val="标题 2 Char"/>
    <w:link w:val="5"/>
    <w:qFormat/>
    <w:locked/>
    <w:uiPriority w:val="99"/>
    <w:rPr>
      <w:rFonts w:ascii="Arial" w:hAnsi="Arial" w:eastAsia="黑体" w:cs="Times New Roman"/>
      <w:b/>
      <w:kern w:val="2"/>
      <w:sz w:val="32"/>
    </w:rPr>
  </w:style>
  <w:style w:type="character" w:customStyle="1" w:styleId="42">
    <w:name w:val="标题 1 Char"/>
    <w:link w:val="4"/>
    <w:qFormat/>
    <w:locked/>
    <w:uiPriority w:val="99"/>
    <w:rPr>
      <w:rFonts w:cs="Times New Roman"/>
      <w:b/>
      <w:kern w:val="44"/>
      <w:sz w:val="44"/>
    </w:rPr>
  </w:style>
  <w:style w:type="character" w:customStyle="1" w:styleId="43">
    <w:name w:val="正文首行缩进 Char1"/>
    <w:link w:val="26"/>
    <w:semiHidden/>
    <w:qFormat/>
    <w:locked/>
    <w:uiPriority w:val="99"/>
    <w:rPr>
      <w:rFonts w:cs="Times New Roman"/>
      <w:kern w:val="2"/>
      <w:sz w:val="22"/>
    </w:rPr>
  </w:style>
  <w:style w:type="character" w:customStyle="1" w:styleId="44">
    <w:name w:val="纯文本 Char1"/>
    <w:link w:val="2"/>
    <w:semiHidden/>
    <w:qFormat/>
    <w:locked/>
    <w:uiPriority w:val="99"/>
    <w:rPr>
      <w:rFonts w:ascii="宋体" w:hAnsi="Courier New" w:cs="Courier New"/>
      <w:sz w:val="21"/>
      <w:szCs w:val="21"/>
    </w:rPr>
  </w:style>
  <w:style w:type="character" w:customStyle="1" w:styleId="45">
    <w:name w:val="日期 Char1"/>
    <w:link w:val="16"/>
    <w:semiHidden/>
    <w:qFormat/>
    <w:locked/>
    <w:uiPriority w:val="99"/>
    <w:rPr>
      <w:rFonts w:cs="Times New Roman"/>
    </w:rPr>
  </w:style>
  <w:style w:type="character" w:customStyle="1" w:styleId="46">
    <w:name w:val="页眉 Char"/>
    <w:qFormat/>
    <w:locked/>
    <w:uiPriority w:val="99"/>
    <w:rPr>
      <w:sz w:val="18"/>
    </w:rPr>
  </w:style>
  <w:style w:type="character" w:customStyle="1" w:styleId="47">
    <w:name w:val="纯文本 Char"/>
    <w:qFormat/>
    <w:locked/>
    <w:uiPriority w:val="99"/>
    <w:rPr>
      <w:rFonts w:ascii="宋体" w:hAnsi="Courier New"/>
      <w:sz w:val="24"/>
    </w:rPr>
  </w:style>
  <w:style w:type="character" w:customStyle="1" w:styleId="48">
    <w:name w:val="页脚 Char"/>
    <w:qFormat/>
    <w:locked/>
    <w:uiPriority w:val="99"/>
    <w:rPr>
      <w:sz w:val="18"/>
    </w:rPr>
  </w:style>
  <w:style w:type="character" w:customStyle="1" w:styleId="49">
    <w:name w:val="页脚 Char1"/>
    <w:link w:val="20"/>
    <w:semiHidden/>
    <w:qFormat/>
    <w:locked/>
    <w:uiPriority w:val="99"/>
    <w:rPr>
      <w:rFonts w:cs="Times New Roman"/>
      <w:sz w:val="18"/>
      <w:szCs w:val="18"/>
    </w:rPr>
  </w:style>
  <w:style w:type="character" w:customStyle="1" w:styleId="50">
    <w:name w:val="批注框文本 Char"/>
    <w:semiHidden/>
    <w:qFormat/>
    <w:locked/>
    <w:uiPriority w:val="99"/>
    <w:rPr>
      <w:sz w:val="18"/>
    </w:rPr>
  </w:style>
  <w:style w:type="character" w:customStyle="1" w:styleId="51">
    <w:name w:val="正文首行缩进 Char"/>
    <w:qFormat/>
    <w:locked/>
    <w:uiPriority w:val="99"/>
    <w:rPr>
      <w:rFonts w:ascii="Times New Roman" w:hAnsi="Times New Roman"/>
      <w:kern w:val="2"/>
      <w:sz w:val="24"/>
    </w:rPr>
  </w:style>
  <w:style w:type="character" w:customStyle="1" w:styleId="52">
    <w:name w:val="文档结构图 Char1"/>
    <w:link w:val="10"/>
    <w:semiHidden/>
    <w:qFormat/>
    <w:locked/>
    <w:uiPriority w:val="99"/>
    <w:rPr>
      <w:rFonts w:cs="Times New Roman"/>
      <w:sz w:val="2"/>
    </w:rPr>
  </w:style>
  <w:style w:type="character" w:customStyle="1" w:styleId="53">
    <w:name w:val="页眉 Char1"/>
    <w:link w:val="21"/>
    <w:semiHidden/>
    <w:qFormat/>
    <w:locked/>
    <w:uiPriority w:val="99"/>
    <w:rPr>
      <w:rFonts w:cs="Times New Roman"/>
      <w:sz w:val="18"/>
      <w:szCs w:val="18"/>
    </w:rPr>
  </w:style>
  <w:style w:type="paragraph" w:customStyle="1" w:styleId="54">
    <w:name w:val="_Style 2"/>
    <w:basedOn w:val="1"/>
    <w:qFormat/>
    <w:uiPriority w:val="99"/>
    <w:pPr>
      <w:ind w:firstLine="420" w:firstLineChars="200"/>
    </w:pPr>
    <w:rPr>
      <w:szCs w:val="24"/>
    </w:rPr>
  </w:style>
  <w:style w:type="paragraph" w:customStyle="1" w:styleId="55">
    <w:name w:val="TOC 标题1"/>
    <w:basedOn w:val="4"/>
    <w:next w:val="1"/>
    <w:qFormat/>
    <w:uiPriority w:val="99"/>
    <w:pPr>
      <w:widowControl/>
      <w:spacing w:before="480" w:after="0" w:line="276" w:lineRule="auto"/>
      <w:jc w:val="left"/>
      <w:outlineLvl w:val="9"/>
    </w:pPr>
    <w:rPr>
      <w:rFonts w:ascii="Cambria" w:hAnsi="Cambria"/>
      <w:color w:val="365F91"/>
      <w:kern w:val="0"/>
      <w:sz w:val="28"/>
      <w:szCs w:val="28"/>
    </w:rPr>
  </w:style>
  <w:style w:type="paragraph" w:customStyle="1" w:styleId="56">
    <w:name w:val="列出段落1"/>
    <w:basedOn w:val="1"/>
    <w:qFormat/>
    <w:uiPriority w:val="99"/>
    <w:pPr>
      <w:ind w:firstLine="420" w:firstLineChars="200"/>
    </w:pPr>
  </w:style>
  <w:style w:type="character" w:customStyle="1" w:styleId="57">
    <w:name w:val="正文文本缩进 Char"/>
    <w:link w:val="13"/>
    <w:semiHidden/>
    <w:qFormat/>
    <w:uiPriority w:val="99"/>
    <w:rPr>
      <w:kern w:val="2"/>
      <w:sz w:val="21"/>
      <w:szCs w:val="22"/>
    </w:rPr>
  </w:style>
  <w:style w:type="character" w:customStyle="1" w:styleId="58">
    <w:name w:val="正文文本缩进 Char1"/>
    <w:link w:val="13"/>
    <w:semiHidden/>
    <w:qFormat/>
    <w:locked/>
    <w:uiPriority w:val="0"/>
    <w:rPr>
      <w:kern w:val="2"/>
      <w:sz w:val="21"/>
    </w:rPr>
  </w:style>
  <w:style w:type="character" w:customStyle="1" w:styleId="59">
    <w:name w:val="font21"/>
    <w:basedOn w:val="29"/>
    <w:qFormat/>
    <w:uiPriority w:val="0"/>
    <w:rPr>
      <w:rFonts w:hint="eastAsia" w:ascii="宋体" w:hAnsi="宋体" w:eastAsia="宋体" w:cs="宋体"/>
      <w:b/>
      <w:color w:val="000000"/>
      <w:sz w:val="36"/>
      <w:szCs w:val="36"/>
      <w:u w:val="none"/>
    </w:rPr>
  </w:style>
  <w:style w:type="character" w:customStyle="1" w:styleId="60">
    <w:name w:val="UserStyle_15"/>
    <w:qFormat/>
    <w:uiPriority w:val="0"/>
  </w:style>
  <w:style w:type="paragraph" w:customStyle="1" w:styleId="61">
    <w:name w:val="WPSOffice手动目录 1"/>
    <w:qFormat/>
    <w:uiPriority w:val="0"/>
    <w:pPr>
      <w:ind w:leftChars="0"/>
    </w:pPr>
    <w:rPr>
      <w:rFonts w:asciiTheme="minorHAnsi" w:hAnsiTheme="minorHAnsi" w:eastAsiaTheme="minorEastAsia" w:cstheme="minorBidi"/>
      <w:sz w:val="20"/>
      <w:szCs w:val="20"/>
    </w:rPr>
  </w:style>
  <w:style w:type="character" w:customStyle="1" w:styleId="62">
    <w:name w:val="NormalCharacter"/>
    <w:qFormat/>
    <w:uiPriority w:val="0"/>
  </w:style>
  <w:style w:type="character" w:customStyle="1" w:styleId="63">
    <w:name w:val="font91"/>
    <w:basedOn w:val="29"/>
    <w:qFormat/>
    <w:uiPriority w:val="0"/>
    <w:rPr>
      <w:rFonts w:hint="eastAsia" w:ascii="宋体" w:hAnsi="宋体" w:eastAsia="宋体" w:cs="宋体"/>
      <w:color w:val="000000"/>
      <w:sz w:val="28"/>
      <w:szCs w:val="28"/>
      <w:u w:val="none"/>
    </w:rPr>
  </w:style>
  <w:style w:type="character" w:customStyle="1" w:styleId="64">
    <w:name w:val="font51"/>
    <w:basedOn w:val="29"/>
    <w:qFormat/>
    <w:uiPriority w:val="0"/>
    <w:rPr>
      <w:rFonts w:hint="eastAsia" w:ascii="宋体" w:hAnsi="宋体" w:eastAsia="宋体" w:cs="宋体"/>
      <w:color w:val="000000"/>
      <w:sz w:val="28"/>
      <w:szCs w:val="28"/>
      <w:u w:val="none"/>
    </w:rPr>
  </w:style>
  <w:style w:type="character" w:customStyle="1" w:styleId="65">
    <w:name w:val="font01"/>
    <w:basedOn w:val="29"/>
    <w:qFormat/>
    <w:uiPriority w:val="0"/>
    <w:rPr>
      <w:rFonts w:hint="eastAsia" w:ascii="宋体" w:hAnsi="宋体" w:eastAsia="宋体" w:cs="宋体"/>
      <w:color w:val="000000"/>
      <w:sz w:val="24"/>
      <w:szCs w:val="24"/>
      <w:u w:val="single"/>
    </w:rPr>
  </w:style>
  <w:style w:type="character" w:customStyle="1" w:styleId="66">
    <w:name w:val="font31"/>
    <w:basedOn w:val="29"/>
    <w:qFormat/>
    <w:uiPriority w:val="0"/>
    <w:rPr>
      <w:rFonts w:hint="eastAsia" w:ascii="宋体" w:hAnsi="宋体" w:eastAsia="宋体" w:cs="宋体"/>
      <w:color w:val="000000"/>
      <w:sz w:val="28"/>
      <w:szCs w:val="28"/>
      <w:u w:val="none"/>
    </w:rPr>
  </w:style>
  <w:style w:type="paragraph" w:customStyle="1" w:styleId="67">
    <w:name w:val="_Style 7"/>
    <w:basedOn w:val="4"/>
    <w:next w:val="1"/>
    <w:qFormat/>
    <w:uiPriority w:val="0"/>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46"/>
    <customShpInfo spid="_x0000_s1048"/>
    <customShpInfo spid="_x0000_s1047"/>
    <customShpInfo spid="_x0000_s1042"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Sky123.Org</Company>
  <Pages>5</Pages>
  <Words>2731</Words>
  <Characters>2914</Characters>
  <Lines>380</Lines>
  <Paragraphs>107</Paragraphs>
  <TotalTime>0</TotalTime>
  <ScaleCrop>false</ScaleCrop>
  <LinksUpToDate>false</LinksUpToDate>
  <CharactersWithSpaces>3153</CharactersWithSpaces>
  <Application>WPS Office_12.1.0.15324_F1E327BC-269C-435d-A152-05C5408002CA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2020-07-06T11:42:00Z</dcterms:created>
  <dc:creator>Administrator</dc:creator>
  <cp:lastModifiedBy>丹ling</cp:lastModifiedBy>
  <cp:lastPrinted>2022-10-31T03:00:00Z</cp:lastPrinted>
  <dcterms:modified xsi:type="dcterms:W3CDTF">2023-08-10T02:07:36Z</dcterms:modified>
  <dc:title>茂名市站南片区永福路(天桥路至西粤南路)建设工程项目勘察设计</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2052-12.1.0.15324</vt:lpwstr>
  </property>
  <property fmtid="{D5CDD505-2E9C-101B-9397-08002B2CF9AE}" pid="3" name="ICV">
    <vt:lpwstr>6E771F7E7B6E449AA2F9B75710FB2F48</vt:lpwstr>
  </property>
</Properties>
</file>