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28"/>
          <w:szCs w:val="28"/>
          <w:highlight w:val="none"/>
        </w:rPr>
      </w:pPr>
      <w:r>
        <w:rPr>
          <w:b/>
          <w:color w:val="auto"/>
          <w:sz w:val="28"/>
          <w:szCs w:val="28"/>
          <w:highlight w:val="none"/>
        </w:rPr>
        <w:t>招标公告</w:t>
      </w:r>
    </w:p>
    <w:p>
      <w:pPr>
        <w:pStyle w:val="4"/>
        <w:spacing w:before="0" w:after="0" w:line="360" w:lineRule="auto"/>
        <w:rPr>
          <w:rFonts w:ascii="宋体" w:hAnsi="宋体" w:eastAsia="宋体"/>
          <w:b w:val="0"/>
          <w:color w:val="auto"/>
          <w:highlight w:val="none"/>
        </w:rPr>
      </w:pPr>
      <w:bookmarkStart w:id="0" w:name="_Toc492300546"/>
      <w:r>
        <w:rPr>
          <w:rFonts w:ascii="宋体" w:hAnsi="宋体" w:eastAsia="宋体"/>
          <w:color w:val="auto"/>
          <w:highlight w:val="none"/>
        </w:rPr>
        <w:t xml:space="preserve">1. </w:t>
      </w:r>
      <w:r>
        <w:rPr>
          <w:rFonts w:hint="eastAsia" w:ascii="宋体" w:hAnsi="宋体" w:eastAsia="宋体"/>
          <w:color w:val="auto"/>
          <w:highlight w:val="none"/>
        </w:rPr>
        <w:t>招标条件</w:t>
      </w:r>
      <w:bookmarkEnd w:id="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本招标项目</w:t>
      </w:r>
      <w:r>
        <w:rPr>
          <w:rFonts w:hint="eastAsia" w:ascii="宋体" w:hAnsi="宋体"/>
          <w:color w:val="auto"/>
          <w:sz w:val="24"/>
          <w:highlight w:val="none"/>
          <w:u w:val="single"/>
        </w:rPr>
        <w:t>环市西路、站前路、荔湾路、康王路周边区域配套公共管网完善工程</w:t>
      </w:r>
      <w:r>
        <w:rPr>
          <w:rFonts w:hint="eastAsia" w:ascii="宋体" w:hAnsi="宋体"/>
          <w:color w:val="auto"/>
          <w:sz w:val="24"/>
          <w:highlight w:val="none"/>
        </w:rPr>
        <w:t>已由</w:t>
      </w:r>
      <w:r>
        <w:rPr>
          <w:rFonts w:hint="eastAsia" w:ascii="宋体" w:hAnsi="宋体"/>
          <w:color w:val="auto"/>
          <w:sz w:val="24"/>
          <w:highlight w:val="none"/>
          <w:u w:val="single"/>
        </w:rPr>
        <w:t xml:space="preserve"> 广州市发展和改革委员会 </w:t>
      </w:r>
      <w:bookmarkStart w:id="1" w:name="_GoBack"/>
      <w:bookmarkEnd w:id="1"/>
      <w:r>
        <w:rPr>
          <w:rFonts w:hint="eastAsia" w:ascii="宋体" w:hAnsi="宋体"/>
          <w:color w:val="auto"/>
          <w:sz w:val="24"/>
          <w:highlight w:val="none"/>
          <w:u w:val="single"/>
        </w:rPr>
        <w:t>穗发改投批 (2023)33号</w:t>
      </w:r>
      <w:r>
        <w:rPr>
          <w:rFonts w:hint="eastAsia" w:ascii="宋体" w:hAnsi="宋体"/>
          <w:color w:val="auto"/>
          <w:sz w:val="24"/>
          <w:highlight w:val="none"/>
        </w:rPr>
        <w:t>（批文名称及编号）批准建设，建设资金</w:t>
      </w:r>
      <w:r>
        <w:rPr>
          <w:rFonts w:hint="eastAsia" w:ascii="宋体" w:hAnsi="宋体"/>
          <w:color w:val="auto"/>
          <w:sz w:val="24"/>
          <w:highlight w:val="none"/>
          <w:u w:val="single"/>
        </w:rPr>
        <w:t>为</w:t>
      </w:r>
      <w:r>
        <w:rPr>
          <w:rFonts w:hint="eastAsia" w:ascii="宋体" w:hAnsi="宋体"/>
          <w:color w:val="auto"/>
          <w:sz w:val="24"/>
          <w:highlight w:val="none"/>
          <w:u w:val="single"/>
          <w:lang w:val="en-US" w:eastAsia="zh-CN"/>
        </w:rPr>
        <w:t>市、区财政资金</w:t>
      </w:r>
      <w:r>
        <w:rPr>
          <w:rFonts w:hint="eastAsia" w:ascii="宋体" w:hAnsi="宋体"/>
          <w:color w:val="auto"/>
          <w:sz w:val="24"/>
          <w:highlight w:val="none"/>
        </w:rPr>
        <w:t>，</w:t>
      </w:r>
      <w:r>
        <w:rPr>
          <w:rFonts w:ascii="宋体" w:hAnsi="宋体"/>
          <w:color w:val="auto"/>
          <w:sz w:val="24"/>
          <w:highlight w:val="none"/>
        </w:rPr>
        <w:t>项目业主</w:t>
      </w:r>
      <w:r>
        <w:rPr>
          <w:rFonts w:hint="eastAsia" w:ascii="宋体" w:hAnsi="宋体"/>
          <w:color w:val="auto"/>
          <w:sz w:val="24"/>
          <w:highlight w:val="none"/>
          <w:u w:val="single"/>
        </w:rPr>
        <w:t>广州市荔湾区水务工程建设管理中心</w:t>
      </w:r>
      <w:r>
        <w:rPr>
          <w:rFonts w:hint="eastAsia" w:ascii="宋体" w:hAnsi="宋体"/>
          <w:color w:val="auto"/>
          <w:sz w:val="24"/>
          <w:highlight w:val="none"/>
        </w:rPr>
        <w:t>负责项目标后的具体实施。招标人为</w:t>
      </w:r>
      <w:r>
        <w:rPr>
          <w:rFonts w:hint="eastAsia" w:ascii="宋体" w:hAnsi="宋体"/>
          <w:color w:val="auto"/>
          <w:sz w:val="24"/>
          <w:highlight w:val="none"/>
          <w:u w:val="single"/>
        </w:rPr>
        <w:t>广州市荔湾区水务工程建设管理中心</w:t>
      </w:r>
      <w:r>
        <w:rPr>
          <w:rFonts w:hint="eastAsia" w:ascii="宋体" w:hAnsi="宋体"/>
          <w:color w:val="auto"/>
          <w:sz w:val="24"/>
          <w:highlight w:val="none"/>
        </w:rPr>
        <w:t>。项目已具备招标条件，现对该项目的技术服务进行公开招标。</w:t>
      </w:r>
    </w:p>
    <w:p>
      <w:pPr>
        <w:pStyle w:val="4"/>
        <w:spacing w:line="360" w:lineRule="auto"/>
        <w:rPr>
          <w:rFonts w:ascii="宋体" w:hAnsi="宋体" w:eastAsia="宋体"/>
          <w:color w:val="auto"/>
          <w:highlight w:val="none"/>
        </w:rPr>
      </w:pPr>
      <w:r>
        <w:rPr>
          <w:rFonts w:ascii="宋体" w:hAnsi="宋体" w:eastAsia="宋体"/>
          <w:color w:val="auto"/>
          <w:highlight w:val="none"/>
        </w:rPr>
        <w:t xml:space="preserve">2. </w:t>
      </w:r>
      <w:r>
        <w:rPr>
          <w:rFonts w:hint="eastAsia" w:ascii="宋体" w:hAnsi="宋体" w:eastAsia="宋体"/>
          <w:color w:val="auto"/>
          <w:highlight w:val="none"/>
        </w:rPr>
        <w:t>项目概况与招标范围</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 招标</w:t>
      </w:r>
      <w:r>
        <w:rPr>
          <w:rFonts w:hint="eastAsia" w:ascii="宋体" w:hAnsi="宋体"/>
          <w:color w:val="auto"/>
          <w:sz w:val="24"/>
          <w:highlight w:val="none"/>
        </w:rPr>
        <w:t>项目概况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招标项目名称：环市西路、站前路、荔湾路、康王路周边区域配套公共管网完善工程技术服务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工程建设规模：</w:t>
      </w:r>
      <w:r>
        <w:rPr>
          <w:rFonts w:ascii="宋体" w:hAnsi="宋体" w:eastAsia="宋体" w:cs="宋体"/>
          <w:sz w:val="24"/>
          <w:szCs w:val="24"/>
        </w:rPr>
        <w:t>新建 DN300—DN800 污水管14.85 千米及提升泵井，新建DN300 —DN800 雨水管 1.34 千米。</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2.1标段划分：本次招标划分为1个标段。</w:t>
      </w:r>
    </w:p>
    <w:p>
      <w:pPr>
        <w:widowControl/>
        <w:adjustRightInd w:val="0"/>
        <w:snapToGrid w:val="0"/>
        <w:spacing w:line="360" w:lineRule="auto"/>
        <w:ind w:firstLine="420" w:firstLineChars="175"/>
        <w:jc w:val="left"/>
        <w:rPr>
          <w:rFonts w:hint="eastAsia" w:ascii="宋体" w:hAnsi="宋体" w:cs="宋体"/>
          <w:color w:val="auto"/>
          <w:kern w:val="0"/>
          <w:sz w:val="24"/>
          <w:highlight w:val="none"/>
          <w:u w:val="single"/>
        </w:rPr>
      </w:pPr>
      <w:r>
        <w:rPr>
          <w:rFonts w:hint="eastAsia" w:ascii="宋体" w:hAnsi="宋体"/>
          <w:color w:val="auto"/>
          <w:sz w:val="24"/>
          <w:highlight w:val="none"/>
        </w:rPr>
        <w:t>2.2招标内容：</w:t>
      </w:r>
      <w:r>
        <w:rPr>
          <w:rFonts w:hint="eastAsia" w:ascii="宋体" w:hAnsi="宋体" w:cs="宋体"/>
          <w:color w:val="auto"/>
          <w:kern w:val="0"/>
          <w:sz w:val="24"/>
          <w:highlight w:val="none"/>
          <w:u w:val="none"/>
        </w:rPr>
        <w:t>由勘察阶段至保修阶段全过程技术服务</w:t>
      </w:r>
      <w:r>
        <w:rPr>
          <w:rFonts w:hint="eastAsia" w:ascii="宋体" w:hAnsi="宋体" w:cs="宋体"/>
          <w:color w:val="auto"/>
          <w:kern w:val="0"/>
          <w:sz w:val="24"/>
          <w:highlight w:val="none"/>
        </w:rPr>
        <w:t>，内容包括但不限于以下内容：对项目勘察、设计、监理、施工、采购、验收、移交、保修等实施过程管理，负责实施过程中各种手续的报审工作。从组织编制初步设计文件开始至项目竣工验收、竣工结算、移交和保修期结束之日止的建设全过程统筹管理，包括在项目实施阶段，进行设计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p>
    <w:p>
      <w:pPr>
        <w:widowControl/>
        <w:adjustRightInd w:val="0"/>
        <w:snapToGrid w:val="0"/>
        <w:spacing w:line="360" w:lineRule="auto"/>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项目总投资为</w:t>
      </w:r>
      <w:r>
        <w:rPr>
          <w:rFonts w:hint="eastAsia" w:ascii="宋体" w:hAnsi="宋体" w:cs="宋体"/>
          <w:color w:val="auto"/>
          <w:kern w:val="0"/>
          <w:sz w:val="24"/>
          <w:highlight w:val="none"/>
          <w:lang w:val="en-US" w:eastAsia="zh-CN"/>
        </w:rPr>
        <w:t>17808</w:t>
      </w:r>
      <w:r>
        <w:rPr>
          <w:rFonts w:hint="eastAsia" w:ascii="宋体" w:hAnsi="宋体" w:cs="宋体"/>
          <w:color w:val="auto"/>
          <w:kern w:val="0"/>
          <w:sz w:val="24"/>
          <w:highlight w:val="none"/>
        </w:rPr>
        <w:t>万元，以主管部门批复的工程概算金额为准。</w:t>
      </w:r>
    </w:p>
    <w:p>
      <w:pPr>
        <w:widowControl/>
        <w:adjustRightInd w:val="0"/>
        <w:snapToGrid w:val="0"/>
        <w:spacing w:line="360" w:lineRule="auto"/>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2.3最高投标限价：环市西路、站前路、荔湾路、康王路周边区域配套公共管网完善工程技术服务最高限价（招标控制价）暂定为178.143万元。</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（注：结算以主管部门批复的工程概算批复中的建设单位管理费为计费基价乘以85%并按报价下浮率计算最终结算价。）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w:t>
      </w:r>
      <w:r>
        <w:rPr>
          <w:rFonts w:hint="eastAsia" w:ascii="宋体" w:hAnsi="宋体" w:cs="宋体"/>
          <w:color w:val="auto"/>
          <w:sz w:val="24"/>
          <w:highlight w:val="none"/>
        </w:rPr>
        <w:t>服务期：</w:t>
      </w:r>
      <w:r>
        <w:rPr>
          <w:rFonts w:hint="eastAsia" w:ascii="宋体" w:hAnsi="宋体"/>
          <w:color w:val="auto"/>
          <w:sz w:val="24"/>
          <w:highlight w:val="none"/>
        </w:rPr>
        <w:t>由初步设计批复后至竣工决算。</w:t>
      </w:r>
    </w:p>
    <w:p>
      <w:pPr>
        <w:pStyle w:val="4"/>
        <w:spacing w:line="360" w:lineRule="auto"/>
        <w:rPr>
          <w:rFonts w:hint="eastAsia" w:ascii="宋体" w:hAnsi="宋体" w:eastAsia="宋体"/>
          <w:color w:val="auto"/>
          <w:highlight w:val="none"/>
        </w:rPr>
      </w:pPr>
      <w:r>
        <w:rPr>
          <w:rFonts w:ascii="宋体" w:hAnsi="宋体" w:eastAsia="宋体"/>
          <w:color w:val="auto"/>
          <w:highlight w:val="none"/>
        </w:rPr>
        <w:t xml:space="preserve">3. </w:t>
      </w:r>
      <w:r>
        <w:rPr>
          <w:rFonts w:hint="eastAsia" w:ascii="宋体" w:hAnsi="宋体" w:eastAsia="宋体"/>
          <w:color w:val="auto"/>
          <w:highlight w:val="none"/>
        </w:rPr>
        <w:t>投标人资格要求</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3.1投标人具有独立法人资格，按国家法律经营，持有工商行政管理部门核发的法人营业执照。</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s="宋体"/>
          <w:color w:val="auto"/>
          <w:kern w:val="0"/>
          <w:sz w:val="24"/>
          <w:highlight w:val="none"/>
        </w:rPr>
        <w:t>拟派项目负责人要求：</w:t>
      </w:r>
      <w:r>
        <w:rPr>
          <w:rFonts w:hint="eastAsia" w:ascii="宋体" w:hAnsi="宋体"/>
          <w:color w:val="auto"/>
          <w:sz w:val="24"/>
          <w:highlight w:val="none"/>
        </w:rPr>
        <w:t>必须具有</w:t>
      </w:r>
      <w:r>
        <w:rPr>
          <w:rFonts w:hint="eastAsia" w:ascii="宋体" w:hAnsi="宋体" w:cs="宋体"/>
          <w:color w:val="auto"/>
          <w:sz w:val="24"/>
          <w:highlight w:val="none"/>
        </w:rPr>
        <w:t>工程相关专业</w:t>
      </w:r>
      <w:r>
        <w:rPr>
          <w:rFonts w:hint="eastAsia" w:ascii="宋体" w:hAnsi="宋体"/>
          <w:color w:val="auto"/>
          <w:sz w:val="24"/>
          <w:highlight w:val="none"/>
        </w:rPr>
        <w:t>高级或以上技术职称，为投标人的正式员工（需提供项目负责人的身份证、职称证书、须提供职称证及投标截止时间前近三个月（2023年</w:t>
      </w:r>
      <w:r>
        <w:rPr>
          <w:rFonts w:hint="eastAsia" w:ascii="宋体" w:hAnsi="宋体"/>
          <w:color w:val="auto"/>
          <w:sz w:val="24"/>
          <w:highlight w:val="none"/>
          <w:lang w:val="en-US" w:eastAsia="zh-CN"/>
        </w:rPr>
        <w:t>5</w:t>
      </w:r>
      <w:r>
        <w:rPr>
          <w:rFonts w:hint="eastAsia" w:ascii="宋体" w:hAnsi="宋体"/>
          <w:color w:val="auto"/>
          <w:sz w:val="24"/>
          <w:highlight w:val="none"/>
        </w:rPr>
        <w:t>月至2023年</w:t>
      </w:r>
      <w:r>
        <w:rPr>
          <w:rFonts w:hint="eastAsia" w:ascii="宋体" w:hAnsi="宋体"/>
          <w:color w:val="auto"/>
          <w:sz w:val="24"/>
          <w:highlight w:val="none"/>
          <w:lang w:val="en-US" w:eastAsia="zh-CN"/>
        </w:rPr>
        <w:t>7</w:t>
      </w:r>
      <w:r>
        <w:rPr>
          <w:rFonts w:hint="eastAsia" w:ascii="宋体" w:hAnsi="宋体"/>
          <w:color w:val="auto"/>
          <w:sz w:val="24"/>
          <w:highlight w:val="none"/>
        </w:rPr>
        <w:t>月）中任意1个月在投标人购买社保的证明</w:t>
      </w:r>
      <w:r>
        <w:rPr>
          <w:rFonts w:ascii="宋体" w:hAnsi="宋体"/>
          <w:color w:val="auto"/>
          <w:sz w:val="24"/>
          <w:highlight w:val="none"/>
        </w:rPr>
        <w:t>(社保证明需能反映参保人在该投标单位缴纳社保)</w:t>
      </w:r>
      <w:r>
        <w:rPr>
          <w:rFonts w:hint="eastAsia" w:ascii="宋体" w:hAnsi="宋体" w:cs="宋体"/>
          <w:color w:val="auto"/>
          <w:sz w:val="24"/>
          <w:highlight w:val="none"/>
        </w:rPr>
        <w:t xml:space="preserve"> 。</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 本次招标</w:t>
      </w:r>
      <w:r>
        <w:rPr>
          <w:rFonts w:hint="eastAsia" w:ascii="宋体" w:hAnsi="宋体"/>
          <w:color w:val="auto"/>
          <w:sz w:val="24"/>
          <w:highlight w:val="none"/>
          <w:u w:val="single"/>
        </w:rPr>
        <w:t>不接受</w:t>
      </w:r>
      <w:r>
        <w:rPr>
          <w:rFonts w:hint="eastAsia" w:ascii="宋体" w:hAnsi="宋体"/>
          <w:color w:val="auto"/>
          <w:sz w:val="24"/>
          <w:highlight w:val="none"/>
        </w:rPr>
        <w:t>联合体投标。</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 投标人参加投标的意思表达清楚，投标人代表被授权有效。</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 资格审查前</w:t>
      </w:r>
      <w:r>
        <w:rPr>
          <w:rFonts w:ascii="宋体" w:hAnsi="宋体"/>
          <w:color w:val="auto"/>
          <w:sz w:val="24"/>
          <w:highlight w:val="none"/>
        </w:rPr>
        <w:t>，投标人须在广州公共资源交易中心企业库已办理企业信息登记。</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 投标人已出具按照附件一的内容签署盖章的投标申请人声明。</w:t>
      </w:r>
    </w:p>
    <w:p>
      <w:pPr>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注：（1）未在招标公告第3</w:t>
      </w:r>
      <w:r>
        <w:rPr>
          <w:rFonts w:ascii="宋体" w:hAnsi="宋体"/>
          <w:color w:val="auto"/>
          <w:sz w:val="24"/>
          <w:highlight w:val="none"/>
        </w:rPr>
        <w:t>条单列的投标人资格要求条件，不作为资审不合格的依据。</w:t>
      </w:r>
    </w:p>
    <w:p>
      <w:pPr>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4"/>
        <w:spacing w:line="360" w:lineRule="auto"/>
        <w:rPr>
          <w:rFonts w:hint="eastAsia" w:ascii="宋体" w:hAnsi="宋体" w:eastAsia="宋体"/>
          <w:color w:val="auto"/>
          <w:highlight w:val="none"/>
        </w:rPr>
      </w:pPr>
      <w:r>
        <w:rPr>
          <w:rFonts w:hint="eastAsia" w:ascii="宋体" w:hAnsi="宋体" w:eastAsia="宋体"/>
          <w:color w:val="auto"/>
          <w:highlight w:val="none"/>
        </w:rPr>
        <w:t>4. 招标文件的获取</w:t>
      </w:r>
    </w:p>
    <w:p>
      <w:pPr>
        <w:ind w:left="239" w:leftChars="114" w:firstLine="240" w:firstLineChars="100"/>
        <w:rPr>
          <w:rFonts w:hint="eastAsia"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发布招标公告时间（含本日）为：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4.2投标人通过</w:t>
      </w:r>
      <w:r>
        <w:rPr>
          <w:rFonts w:hint="eastAsia" w:ascii="宋体" w:hAnsi="宋体"/>
          <w:color w:val="auto"/>
          <w:sz w:val="24"/>
          <w:highlight w:val="none"/>
          <w:u w:val="single"/>
        </w:rPr>
        <w:t>广州公共资源交易中心网站（网址：www.gzggzy.cn）</w:t>
      </w:r>
      <w:r>
        <w:rPr>
          <w:rFonts w:hint="eastAsia" w:ascii="宋体" w:hAnsi="宋体"/>
          <w:color w:val="auto"/>
          <w:sz w:val="24"/>
          <w:highlight w:val="none"/>
        </w:rPr>
        <w:t>交易平台递交电子投标文件。投标人应在递交投标文件截止时间前，登录</w:t>
      </w:r>
      <w:r>
        <w:rPr>
          <w:rFonts w:hint="eastAsia" w:ascii="宋体" w:hAnsi="宋体"/>
          <w:color w:val="auto"/>
          <w:sz w:val="24"/>
          <w:highlight w:val="none"/>
          <w:u w:val="single"/>
        </w:rPr>
        <w:t>广州公共资源交易中心网站（网址：www.gzggzy.cn）</w:t>
      </w:r>
      <w:r>
        <w:rPr>
          <w:rFonts w:hint="eastAsia" w:ascii="宋体" w:hAnsi="宋体"/>
          <w:color w:val="auto"/>
          <w:sz w:val="24"/>
          <w:highlight w:val="none"/>
        </w:rPr>
        <w:t>交易平台网站办理网上投标登记手续。按照交易平台关于全流程电子化项目的相关指南进行操作。详见：广州公共资源交易中心网站。</w:t>
      </w:r>
    </w:p>
    <w:p>
      <w:pPr>
        <w:spacing w:line="360" w:lineRule="auto"/>
        <w:ind w:left="239" w:leftChars="114" w:firstLine="240" w:firstLineChars="100"/>
        <w:rPr>
          <w:rFonts w:ascii="宋体" w:hAnsi="宋体"/>
          <w:color w:val="auto"/>
          <w:sz w:val="24"/>
          <w:highlight w:val="none"/>
        </w:rPr>
      </w:pPr>
      <w:r>
        <w:rPr>
          <w:rFonts w:hint="eastAsia" w:ascii="宋体" w:hAnsi="宋体"/>
          <w:color w:val="auto"/>
          <w:sz w:val="24"/>
          <w:highlight w:val="none"/>
        </w:rPr>
        <w:t>4.3</w:t>
      </w:r>
      <w:r>
        <w:rPr>
          <w:rFonts w:ascii="宋体" w:hAnsi="宋体"/>
          <w:color w:val="auto"/>
          <w:sz w:val="24"/>
          <w:highlight w:val="none"/>
        </w:rPr>
        <w:t>凡有意参加投标者，</w:t>
      </w:r>
      <w:r>
        <w:rPr>
          <w:rFonts w:hint="eastAsia" w:ascii="宋体" w:hAnsi="宋体"/>
          <w:color w:val="auto"/>
          <w:sz w:val="24"/>
          <w:highlight w:val="none"/>
        </w:rPr>
        <w:t>请于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分(北京时间，下同)，</w:t>
      </w:r>
      <w:r>
        <w:rPr>
          <w:rFonts w:ascii="宋体" w:hAnsi="宋体"/>
          <w:color w:val="auto"/>
          <w:sz w:val="24"/>
          <w:highlight w:val="none"/>
        </w:rPr>
        <w:t>请登录</w:t>
      </w:r>
      <w:r>
        <w:rPr>
          <w:rFonts w:hint="eastAsia" w:ascii="宋体" w:hAnsi="宋体"/>
          <w:color w:val="auto"/>
          <w:sz w:val="24"/>
          <w:highlight w:val="none"/>
          <w:u w:val="single"/>
        </w:rPr>
        <w:t>广州公共资源交易中心网站（</w:t>
      </w:r>
      <w:r>
        <w:rPr>
          <w:rFonts w:ascii="宋体" w:hAnsi="宋体"/>
          <w:color w:val="auto"/>
          <w:sz w:val="24"/>
          <w:highlight w:val="none"/>
          <w:u w:val="single"/>
        </w:rPr>
        <w:t>http//www.gzggzy.cn</w:t>
      </w:r>
      <w:r>
        <w:rPr>
          <w:rFonts w:hint="eastAsia" w:ascii="宋体" w:hAnsi="宋体"/>
          <w:color w:val="auto"/>
          <w:sz w:val="24"/>
          <w:highlight w:val="none"/>
          <w:u w:val="single"/>
        </w:rPr>
        <w:t>）</w:t>
      </w:r>
      <w:r>
        <w:rPr>
          <w:rFonts w:ascii="宋体" w:hAnsi="宋体"/>
          <w:color w:val="auto"/>
          <w:sz w:val="24"/>
          <w:highlight w:val="none"/>
        </w:rPr>
        <w:t>下载招标文件。</w:t>
      </w:r>
    </w:p>
    <w:p>
      <w:pPr>
        <w:tabs>
          <w:tab w:val="left" w:pos="7513"/>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 xml:space="preserve"> 本项目采用资格后审方式。</w:t>
      </w:r>
    </w:p>
    <w:p>
      <w:pPr>
        <w:tabs>
          <w:tab w:val="left" w:pos="7513"/>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）电子招投标操作流程详见广州公共资源交易中心网站发布的最新版操作指引）。</w:t>
      </w:r>
    </w:p>
    <w:p>
      <w:pPr>
        <w:spacing w:line="360" w:lineRule="auto"/>
        <w:ind w:firstLine="537" w:firstLineChars="224"/>
        <w:rPr>
          <w:rFonts w:hint="eastAsia" w:ascii="宋体"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）本公告发布之日起开始发售招标文件，</w:t>
      </w:r>
      <w:r>
        <w:rPr>
          <w:rFonts w:ascii="宋体" w:hAnsi="宋体"/>
          <w:color w:val="auto"/>
          <w:sz w:val="24"/>
          <w:highlight w:val="none"/>
        </w:rPr>
        <w:t>并从发</w:t>
      </w:r>
      <w:r>
        <w:rPr>
          <w:rFonts w:hint="eastAsia" w:ascii="宋体" w:hAnsi="宋体"/>
          <w:color w:val="auto"/>
          <w:sz w:val="24"/>
          <w:highlight w:val="none"/>
        </w:rPr>
        <w:t>售招标文件</w:t>
      </w:r>
      <w:r>
        <w:rPr>
          <w:rFonts w:ascii="宋体" w:hAnsi="宋体"/>
          <w:color w:val="auto"/>
          <w:sz w:val="24"/>
          <w:highlight w:val="none"/>
        </w:rPr>
        <w:t>之日起开始计算备标时间。</w:t>
      </w:r>
    </w:p>
    <w:p>
      <w:pPr>
        <w:pStyle w:val="4"/>
        <w:spacing w:line="360" w:lineRule="auto"/>
        <w:rPr>
          <w:rFonts w:ascii="宋体" w:hAnsi="宋体" w:eastAsia="宋体"/>
          <w:color w:val="auto"/>
          <w:highlight w:val="none"/>
        </w:rPr>
      </w:pPr>
      <w:r>
        <w:rPr>
          <w:rFonts w:ascii="宋体" w:hAnsi="宋体" w:eastAsia="宋体"/>
          <w:color w:val="auto"/>
          <w:highlight w:val="none"/>
        </w:rPr>
        <w:t xml:space="preserve">5. </w:t>
      </w:r>
      <w:r>
        <w:rPr>
          <w:rFonts w:hint="eastAsia" w:ascii="宋体" w:hAnsi="宋体" w:eastAsia="宋体"/>
          <w:color w:val="auto"/>
          <w:highlight w:val="none"/>
        </w:rPr>
        <w:t>投标文件的递交</w:t>
      </w:r>
    </w:p>
    <w:p>
      <w:pPr>
        <w:tabs>
          <w:tab w:val="left" w:pos="360"/>
        </w:tabs>
        <w:spacing w:line="360" w:lineRule="auto"/>
        <w:ind w:left="239" w:leftChars="114" w:firstLine="240" w:firstLineChars="100"/>
        <w:jc w:val="left"/>
        <w:rPr>
          <w:rFonts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投标文件递交的截止时间（投标截止时间，下同）为</w:t>
      </w:r>
      <w:r>
        <w:rPr>
          <w:rFonts w:hint="eastAsia" w:ascii="宋体" w:hAnsi="宋体"/>
          <w:color w:val="auto"/>
          <w:sz w:val="24"/>
          <w:highlight w:val="none"/>
          <w:u w:val="single"/>
        </w:rPr>
        <w:t xml:space="preserve">2022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分，投标人应在截止时间前通过</w:t>
      </w:r>
      <w:r>
        <w:rPr>
          <w:rFonts w:hint="eastAsia" w:ascii="宋体" w:hAnsi="宋体" w:cs="宋体"/>
          <w:color w:val="auto"/>
          <w:sz w:val="24"/>
          <w:highlight w:val="none"/>
        </w:rPr>
        <w:t>广州公共资源交易中心数字交易平台</w:t>
      </w:r>
      <w:r>
        <w:rPr>
          <w:rFonts w:hint="eastAsia" w:ascii="宋体" w:hAnsi="宋体"/>
          <w:color w:val="auto"/>
          <w:sz w:val="24"/>
          <w:highlight w:val="none"/>
        </w:rPr>
        <w:t>（网址：</w:t>
      </w:r>
      <w:r>
        <w:rPr>
          <w:rFonts w:hint="eastAsia" w:ascii="宋体" w:cs="宋体"/>
          <w:color w:val="auto"/>
          <w:sz w:val="24"/>
          <w:highlight w:val="none"/>
        </w:rPr>
        <w:t>http://ggzy.gz.gov.cn</w:t>
      </w:r>
      <w:r>
        <w:rPr>
          <w:rFonts w:hint="eastAsia" w:ascii="宋体" w:hAnsi="宋体"/>
          <w:color w:val="auto"/>
          <w:sz w:val="24"/>
          <w:highlight w:val="none"/>
        </w:rPr>
        <w:t>）递交电子投标文件。</w:t>
      </w:r>
    </w:p>
    <w:p>
      <w:pPr>
        <w:tabs>
          <w:tab w:val="left" w:pos="360"/>
        </w:tabs>
        <w:spacing w:line="360" w:lineRule="auto"/>
        <w:ind w:left="141" w:leftChars="67" w:firstLine="480" w:firstLineChars="200"/>
        <w:rPr>
          <w:rFonts w:ascii="宋体" w:hAnsi="宋体"/>
          <w:color w:val="auto"/>
          <w:sz w:val="24"/>
          <w:highlight w:val="none"/>
        </w:rPr>
      </w:pPr>
      <w:r>
        <w:rPr>
          <w:rFonts w:hint="eastAsia" w:ascii="宋体" w:hAnsi="宋体"/>
          <w:color w:val="auto"/>
          <w:sz w:val="24"/>
          <w:highlight w:val="none"/>
        </w:rPr>
        <w:t>递交备用投标文件电子光盘的规定：时间为：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w:t>
      </w:r>
      <w:r>
        <w:rPr>
          <w:rFonts w:ascii="宋体" w:hAnsi="宋体"/>
          <w:color w:val="auto"/>
          <w:sz w:val="24"/>
          <w:highlight w:val="none"/>
        </w:rPr>
        <w:t>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w:t>
      </w:r>
      <w:r>
        <w:rPr>
          <w:rFonts w:ascii="宋体" w:hAnsi="宋体"/>
          <w:color w:val="auto"/>
          <w:sz w:val="24"/>
          <w:highlight w:val="none"/>
        </w:rPr>
        <w:t>；地点：广州公共资源交易中心</w:t>
      </w:r>
      <w:r>
        <w:rPr>
          <w:rFonts w:hint="eastAsia" w:ascii="宋体" w:hAnsi="宋体"/>
          <w:color w:val="auto"/>
          <w:sz w:val="24"/>
          <w:highlight w:val="none"/>
          <w:u w:val="single"/>
        </w:rPr>
        <w:t xml:space="preserve">      </w:t>
      </w:r>
      <w:r>
        <w:rPr>
          <w:rFonts w:hint="eastAsia" w:ascii="宋体" w:hAnsi="宋体"/>
          <w:color w:val="auto"/>
          <w:sz w:val="24"/>
          <w:highlight w:val="none"/>
        </w:rPr>
        <w:t>开标室。（电子光盘需按规定封装。投标人在将数据刻录到光盘之后，投标前自行检查文件是否可以读取</w:t>
      </w:r>
      <w:r>
        <w:rPr>
          <w:rFonts w:ascii="宋体" w:hAnsi="宋体"/>
          <w:color w:val="auto"/>
          <w:sz w:val="24"/>
          <w:highlight w:val="none"/>
        </w:rPr>
        <w:t>）</w:t>
      </w:r>
    </w:p>
    <w:p>
      <w:pPr>
        <w:tabs>
          <w:tab w:val="left" w:pos="36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5.2  </w:t>
      </w:r>
      <w:r>
        <w:rPr>
          <w:rFonts w:hint="eastAsia" w:ascii="宋体" w:cs="宋体"/>
          <w:color w:val="auto"/>
          <w:sz w:val="24"/>
          <w:highlight w:val="none"/>
        </w:rPr>
        <w:t>采取电子投标时，逾期送达的投标文件，电子招标投标交易平台将予以拒收。逾期未上传成功的电子投标文件，招标人拒绝接收。</w:t>
      </w:r>
    </w:p>
    <w:p>
      <w:pPr>
        <w:pStyle w:val="4"/>
        <w:spacing w:line="360" w:lineRule="auto"/>
        <w:rPr>
          <w:rFonts w:ascii="宋体" w:hAnsi="宋体" w:eastAsia="宋体"/>
          <w:color w:val="auto"/>
          <w:highlight w:val="none"/>
        </w:rPr>
      </w:pPr>
      <w:r>
        <w:rPr>
          <w:rFonts w:ascii="宋体" w:hAnsi="宋体" w:eastAsia="宋体"/>
          <w:color w:val="auto"/>
          <w:highlight w:val="none"/>
        </w:rPr>
        <w:t xml:space="preserve">6. </w:t>
      </w:r>
      <w:r>
        <w:rPr>
          <w:rFonts w:hint="eastAsia" w:ascii="宋体" w:hAnsi="宋体" w:eastAsia="宋体"/>
          <w:color w:val="auto"/>
          <w:highlight w:val="none"/>
        </w:rPr>
        <w:t>发布公告的媒介</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本次招标公告同时在</w:t>
      </w:r>
      <w:r>
        <w:rPr>
          <w:rFonts w:hint="eastAsia" w:ascii="宋体" w:hAnsi="宋体"/>
          <w:color w:val="auto"/>
          <w:kern w:val="0"/>
          <w:sz w:val="24"/>
          <w:highlight w:val="none"/>
        </w:rPr>
        <w:t>在</w:t>
      </w:r>
      <w:r>
        <w:rPr>
          <w:rFonts w:hint="eastAsia" w:ascii="宋体" w:hAnsi="宋体"/>
          <w:color w:val="auto"/>
          <w:kern w:val="0"/>
          <w:sz w:val="24"/>
          <w:highlight w:val="none"/>
          <w:u w:val="single"/>
        </w:rPr>
        <w:t>广州公共资源交易网（网址：http://www.gzggzy.cn）、中国招标投标公共服务平台（网址：http://www.cebpubservice.com/）、广东省招标投标监管网(网址：</w:t>
      </w:r>
      <w:r>
        <w:rPr>
          <w:rFonts w:ascii="宋体" w:hAnsi="宋体"/>
          <w:color w:val="auto"/>
          <w:kern w:val="0"/>
          <w:sz w:val="24"/>
          <w:highlight w:val="none"/>
          <w:u w:val="single"/>
        </w:rPr>
        <w:fldChar w:fldCharType="begin"/>
      </w:r>
      <w:r>
        <w:rPr>
          <w:rFonts w:ascii="宋体" w:hAnsi="宋体"/>
          <w:color w:val="auto"/>
          <w:kern w:val="0"/>
          <w:sz w:val="24"/>
          <w:highlight w:val="none"/>
          <w:u w:val="single"/>
        </w:rPr>
        <w:instrText xml:space="preserve">HYPERLINK "http://zbtb.gd.gov.cn/login"</w:instrText>
      </w:r>
      <w:r>
        <w:rPr>
          <w:rFonts w:ascii="宋体" w:hAnsi="宋体"/>
          <w:color w:val="auto"/>
          <w:kern w:val="0"/>
          <w:sz w:val="24"/>
          <w:highlight w:val="none"/>
          <w:u w:val="single"/>
        </w:rPr>
        <w:fldChar w:fldCharType="separate"/>
      </w:r>
      <w:r>
        <w:rPr>
          <w:rFonts w:ascii="宋体" w:hAnsi="宋体"/>
          <w:color w:val="auto"/>
          <w:kern w:val="0"/>
          <w:sz w:val="24"/>
          <w:highlight w:val="none"/>
          <w:u w:val="single"/>
        </w:rPr>
        <w:t>http://zbtb.gd.gov.cn/login</w:t>
      </w:r>
      <w:r>
        <w:rPr>
          <w:rFonts w:ascii="宋体" w:hAnsi="宋体"/>
          <w:color w:val="auto"/>
          <w:kern w:val="0"/>
          <w:sz w:val="24"/>
          <w:highlight w:val="none"/>
          <w:u w:val="single"/>
        </w:rPr>
        <w:fldChar w:fldCharType="end"/>
      </w:r>
      <w:r>
        <w:rPr>
          <w:rFonts w:hint="eastAsia" w:ascii="宋体" w:hAnsi="宋体"/>
          <w:color w:val="auto"/>
          <w:kern w:val="0"/>
          <w:sz w:val="24"/>
          <w:highlight w:val="none"/>
          <w:u w:val="single"/>
        </w:rPr>
        <w:t>)</w:t>
      </w:r>
      <w:r>
        <w:rPr>
          <w:rFonts w:hint="eastAsia" w:ascii="宋体" w:hAnsi="宋体"/>
          <w:color w:val="auto"/>
          <w:kern w:val="0"/>
          <w:sz w:val="24"/>
          <w:highlight w:val="none"/>
        </w:rPr>
        <w:t>发布，本公告的修改、补充，在广州公共资源交易网发布。本公告在各媒体发布的文本如有不同之处，以在广州公共资源交易网发布的文本为准。</w:t>
      </w:r>
    </w:p>
    <w:p>
      <w:pPr>
        <w:pStyle w:val="4"/>
        <w:spacing w:line="360" w:lineRule="auto"/>
        <w:rPr>
          <w:rFonts w:ascii="宋体" w:hAnsi="宋体" w:eastAsia="宋体"/>
          <w:color w:val="auto"/>
          <w:highlight w:val="none"/>
        </w:rPr>
      </w:pPr>
      <w:r>
        <w:rPr>
          <w:rFonts w:hint="eastAsia" w:ascii="宋体" w:hAnsi="宋体" w:eastAsia="宋体"/>
          <w:color w:val="auto"/>
          <w:highlight w:val="none"/>
        </w:rPr>
        <w:t>7、异议受理</w:t>
      </w:r>
    </w:p>
    <w:p>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潜在投标人或利害关系人对本招标公告及招标内容异议的，可向招标人书面提出。参与本工程施工图设计单位和勘察单位不得参加本次</w:t>
      </w:r>
      <w:r>
        <w:rPr>
          <w:rFonts w:hint="eastAsia" w:ascii="宋体" w:hAnsi="宋体"/>
          <w:color w:val="auto"/>
          <w:kern w:val="0"/>
          <w:sz w:val="24"/>
          <w:highlight w:val="none"/>
          <w:lang w:val="en-US" w:eastAsia="zh-CN"/>
        </w:rPr>
        <w:t>技术</w:t>
      </w:r>
      <w:r>
        <w:rPr>
          <w:rFonts w:ascii="宋体" w:hAnsi="宋体"/>
          <w:color w:val="auto"/>
          <w:kern w:val="0"/>
          <w:sz w:val="24"/>
          <w:highlight w:val="none"/>
        </w:rPr>
        <w:t>服务投标。</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异议受理部门：广州市荔湾区水务局</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异议受理电话：</w:t>
      </w:r>
      <w:r>
        <w:rPr>
          <w:rFonts w:ascii="宋体" w:hAnsi="宋体" w:eastAsia="宋体" w:cs="Times New Roman"/>
          <w:i w:val="0"/>
          <w:caps w:val="0"/>
          <w:color w:val="auto"/>
          <w:spacing w:val="0"/>
          <w:kern w:val="0"/>
          <w:sz w:val="24"/>
          <w:szCs w:val="24"/>
          <w:highlight w:val="none"/>
          <w:shd w:val="clear" w:color="auto" w:fill="FFFFFF"/>
        </w:rPr>
        <w:t>020-81403299</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地址：广州市荔湾区芳村大道中上市路太和街2号</w:t>
      </w:r>
    </w:p>
    <w:p>
      <w:pPr>
        <w:spacing w:line="360" w:lineRule="auto"/>
        <w:ind w:firstLine="480" w:firstLineChars="200"/>
        <w:rPr>
          <w:rFonts w:hint="eastAsia" w:ascii="宋体" w:hAnsi="宋体" w:cs="宋体"/>
          <w:color w:val="auto"/>
          <w:kern w:val="0"/>
          <w:sz w:val="24"/>
          <w:highlight w:val="none"/>
        </w:rPr>
      </w:pPr>
    </w:p>
    <w:p>
      <w:pPr>
        <w:pStyle w:val="4"/>
        <w:spacing w:line="360" w:lineRule="auto"/>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 xml:space="preserve">. </w:t>
      </w:r>
      <w:r>
        <w:rPr>
          <w:rFonts w:hint="eastAsia" w:ascii="宋体" w:hAnsi="宋体" w:eastAsia="宋体"/>
          <w:color w:val="auto"/>
          <w:highlight w:val="none"/>
        </w:rPr>
        <w:t>联系方式</w:t>
      </w:r>
    </w:p>
    <w:tbl>
      <w:tblPr>
        <w:tblStyle w:val="8"/>
        <w:tblW w:w="10598" w:type="dxa"/>
        <w:tblInd w:w="-318" w:type="dxa"/>
        <w:tblLayout w:type="fixed"/>
        <w:tblCellMar>
          <w:top w:w="0" w:type="dxa"/>
          <w:left w:w="108" w:type="dxa"/>
          <w:bottom w:w="0" w:type="dxa"/>
          <w:right w:w="108" w:type="dxa"/>
        </w:tblCellMar>
      </w:tblPr>
      <w:tblGrid>
        <w:gridCol w:w="5353"/>
        <w:gridCol w:w="284"/>
        <w:gridCol w:w="4678"/>
        <w:gridCol w:w="283"/>
      </w:tblGrid>
      <w:tr>
        <w:tblPrEx>
          <w:tblCellMar>
            <w:top w:w="0" w:type="dxa"/>
            <w:left w:w="108" w:type="dxa"/>
            <w:bottom w:w="0" w:type="dxa"/>
            <w:right w:w="108" w:type="dxa"/>
          </w:tblCellMar>
        </w:tblPrEx>
        <w:tc>
          <w:tcPr>
            <w:tcW w:w="5637" w:type="dxa"/>
            <w:gridSpan w:val="2"/>
            <w:noWrap w:val="0"/>
            <w:vAlign w:val="top"/>
          </w:tcPr>
          <w:p>
            <w:pPr>
              <w:topLinePunct/>
              <w:spacing w:line="360" w:lineRule="auto"/>
              <w:rPr>
                <w:rFonts w:hint="eastAsia" w:ascii="宋体" w:hAnsi="宋体"/>
                <w:color w:val="auto"/>
                <w:sz w:val="24"/>
                <w:highlight w:val="none"/>
              </w:rPr>
            </w:pPr>
            <w:r>
              <w:rPr>
                <w:rFonts w:ascii="宋体" w:hAnsi="宋体"/>
                <w:color w:val="auto"/>
                <w:sz w:val="24"/>
                <w:highlight w:val="none"/>
              </w:rPr>
              <w:t>招标人：</w:t>
            </w:r>
            <w:r>
              <w:rPr>
                <w:rFonts w:hint="eastAsia" w:ascii="宋体" w:hAnsi="宋体" w:cs="宋体"/>
                <w:color w:val="auto"/>
                <w:sz w:val="24"/>
                <w:highlight w:val="none"/>
                <w:u w:val="single"/>
              </w:rPr>
              <w:t>广州市荔湾区水务工程建设管理中心</w:t>
            </w:r>
          </w:p>
        </w:tc>
        <w:tc>
          <w:tcPr>
            <w:tcW w:w="4961" w:type="dxa"/>
            <w:gridSpan w:val="2"/>
            <w:noWrap w:val="0"/>
            <w:vAlign w:val="top"/>
          </w:tcPr>
          <w:p>
            <w:pPr>
              <w:topLinePunct/>
              <w:spacing w:line="360" w:lineRule="auto"/>
              <w:ind w:left="105" w:leftChars="50" w:right="-108"/>
              <w:rPr>
                <w:rFonts w:hint="eastAsia" w:ascii="宋体" w:hAnsi="宋体"/>
                <w:color w:val="auto"/>
                <w:sz w:val="24"/>
                <w:highlight w:val="none"/>
              </w:rPr>
            </w:pPr>
            <w:r>
              <w:rPr>
                <w:rFonts w:ascii="宋体" w:hAnsi="宋体"/>
                <w:color w:val="auto"/>
                <w:sz w:val="24"/>
                <w:highlight w:val="none"/>
              </w:rPr>
              <w:t>招标代理机构：</w:t>
            </w:r>
            <w:r>
              <w:rPr>
                <w:rFonts w:hint="eastAsia" w:ascii="宋体" w:hAnsi="宋体" w:cs="宋体"/>
                <w:color w:val="auto"/>
                <w:sz w:val="24"/>
                <w:highlight w:val="none"/>
                <w:u w:val="single"/>
              </w:rPr>
              <w:t>广东才泓工程管理有限公司</w:t>
            </w:r>
          </w:p>
        </w:tc>
      </w:tr>
      <w:tr>
        <w:tblPrEx>
          <w:tblCellMar>
            <w:top w:w="0" w:type="dxa"/>
            <w:left w:w="108" w:type="dxa"/>
            <w:bottom w:w="0" w:type="dxa"/>
            <w:right w:w="108" w:type="dxa"/>
          </w:tblCellMar>
        </w:tblPrEx>
        <w:tc>
          <w:tcPr>
            <w:tcW w:w="5637" w:type="dxa"/>
            <w:gridSpan w:val="2"/>
            <w:noWrap w:val="0"/>
            <w:vAlign w:val="top"/>
          </w:tcPr>
          <w:p>
            <w:pPr>
              <w:topLinePunct/>
              <w:spacing w:line="360" w:lineRule="auto"/>
              <w:ind w:left="1"/>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u w:val="single"/>
              </w:rPr>
              <w:t xml:space="preserve"> 广州市荔湾区东漖大街120号三防仓库五楼 </w:t>
            </w:r>
          </w:p>
        </w:tc>
        <w:tc>
          <w:tcPr>
            <w:tcW w:w="4961" w:type="dxa"/>
            <w:gridSpan w:val="2"/>
            <w:noWrap w:val="0"/>
            <w:vAlign w:val="top"/>
          </w:tcPr>
          <w:p>
            <w:pPr>
              <w:topLinePunct/>
              <w:spacing w:line="360" w:lineRule="auto"/>
              <w:ind w:left="105" w:leftChars="50"/>
              <w:rPr>
                <w:rFonts w:ascii="宋体" w:hAnsi="宋体"/>
                <w:color w:val="auto"/>
                <w:sz w:val="24"/>
                <w:highlight w:val="none"/>
              </w:rPr>
            </w:pPr>
            <w:r>
              <w:rPr>
                <w:rFonts w:ascii="宋体" w:hAnsi="宋体"/>
                <w:color w:val="auto"/>
                <w:sz w:val="24"/>
                <w:highlight w:val="none"/>
              </w:rPr>
              <w:t>地址：</w:t>
            </w:r>
            <w:r>
              <w:rPr>
                <w:rFonts w:hint="eastAsia" w:ascii="宋体" w:hAnsi="宋体"/>
                <w:color w:val="auto"/>
                <w:sz w:val="24"/>
                <w:highlight w:val="none"/>
                <w:u w:val="single"/>
              </w:rPr>
              <w:t xml:space="preserve"> 广州市天河区天源路523号202房  </w:t>
            </w:r>
          </w:p>
        </w:tc>
      </w:tr>
      <w:tr>
        <w:tblPrEx>
          <w:tblCellMar>
            <w:top w:w="0" w:type="dxa"/>
            <w:left w:w="108" w:type="dxa"/>
            <w:bottom w:w="0" w:type="dxa"/>
            <w:right w:w="108" w:type="dxa"/>
          </w:tblCellMar>
        </w:tblPrEx>
        <w:tc>
          <w:tcPr>
            <w:tcW w:w="5637" w:type="dxa"/>
            <w:gridSpan w:val="2"/>
            <w:noWrap w:val="0"/>
            <w:vAlign w:val="top"/>
          </w:tcPr>
          <w:p>
            <w:pPr>
              <w:topLinePunct/>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朱工 </w:t>
            </w:r>
          </w:p>
        </w:tc>
        <w:tc>
          <w:tcPr>
            <w:tcW w:w="4961" w:type="dxa"/>
            <w:gridSpan w:val="2"/>
            <w:noWrap w:val="0"/>
            <w:vAlign w:val="top"/>
          </w:tcPr>
          <w:p>
            <w:pPr>
              <w:topLinePunct/>
              <w:spacing w:line="360" w:lineRule="auto"/>
              <w:ind w:left="105" w:leftChars="50"/>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郑</w:t>
            </w:r>
            <w:r>
              <w:rPr>
                <w:rFonts w:hint="eastAsia" w:ascii="宋体" w:hAnsi="宋体" w:cs="宋体"/>
                <w:snapToGrid w:val="0"/>
                <w:color w:val="auto"/>
                <w:kern w:val="0"/>
                <w:sz w:val="24"/>
                <w:highlight w:val="none"/>
                <w:u w:val="single"/>
              </w:rPr>
              <w:t>工</w:t>
            </w:r>
          </w:p>
        </w:tc>
      </w:tr>
      <w:tr>
        <w:tblPrEx>
          <w:tblCellMar>
            <w:top w:w="0" w:type="dxa"/>
            <w:left w:w="108" w:type="dxa"/>
            <w:bottom w:w="0" w:type="dxa"/>
            <w:right w:w="108" w:type="dxa"/>
          </w:tblCellMar>
        </w:tblPrEx>
        <w:tc>
          <w:tcPr>
            <w:tcW w:w="5637" w:type="dxa"/>
            <w:gridSpan w:val="2"/>
            <w:noWrap w:val="0"/>
            <w:vAlign w:val="top"/>
          </w:tcPr>
          <w:p>
            <w:pPr>
              <w:topLinePunct/>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020-81484460</w:t>
            </w:r>
          </w:p>
        </w:tc>
        <w:tc>
          <w:tcPr>
            <w:tcW w:w="4961" w:type="dxa"/>
            <w:gridSpan w:val="2"/>
            <w:noWrap w:val="0"/>
            <w:vAlign w:val="top"/>
          </w:tcPr>
          <w:p>
            <w:pPr>
              <w:topLinePunct/>
              <w:spacing w:line="360" w:lineRule="auto"/>
              <w:ind w:left="105" w:leftChars="50"/>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020-38817767</w:t>
            </w:r>
          </w:p>
        </w:tc>
      </w:tr>
      <w:tr>
        <w:tblPrEx>
          <w:tblCellMar>
            <w:top w:w="0" w:type="dxa"/>
            <w:left w:w="108" w:type="dxa"/>
            <w:bottom w:w="0" w:type="dxa"/>
            <w:right w:w="108" w:type="dxa"/>
          </w:tblCellMar>
        </w:tblPrEx>
        <w:tc>
          <w:tcPr>
            <w:tcW w:w="5637" w:type="dxa"/>
            <w:gridSpan w:val="2"/>
            <w:noWrap w:val="0"/>
            <w:vAlign w:val="top"/>
          </w:tcPr>
          <w:p>
            <w:pPr>
              <w:topLinePunct/>
              <w:spacing w:line="360" w:lineRule="auto"/>
              <w:rPr>
                <w:rFonts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w:t>
            </w:r>
          </w:p>
        </w:tc>
        <w:tc>
          <w:tcPr>
            <w:tcW w:w="4961" w:type="dxa"/>
            <w:gridSpan w:val="2"/>
            <w:noWrap w:val="0"/>
            <w:vAlign w:val="top"/>
          </w:tcPr>
          <w:p>
            <w:pPr>
              <w:topLinePunct/>
              <w:spacing w:line="360" w:lineRule="auto"/>
              <w:ind w:left="105" w:leftChars="50"/>
              <w:rPr>
                <w:rFonts w:hint="eastAsia" w:ascii="宋体" w:hAnsi="宋体" w:eastAsia="宋体"/>
                <w:color w:val="auto"/>
                <w:sz w:val="24"/>
                <w:highlight w:val="none"/>
                <w:lang w:eastAsia="zh-CN"/>
              </w:rPr>
            </w:pPr>
            <w:r>
              <w:rPr>
                <w:rFonts w:hint="eastAsia" w:ascii="宋体" w:hAnsi="宋体"/>
                <w:color w:val="auto"/>
                <w:sz w:val="24"/>
                <w:highlight w:val="none"/>
              </w:rPr>
              <w:t>传真：</w:t>
            </w:r>
            <w:r>
              <w:rPr>
                <w:rFonts w:hint="eastAsia" w:ascii="宋体" w:hAnsi="宋体"/>
                <w:color w:val="auto"/>
                <w:sz w:val="24"/>
                <w:highlight w:val="none"/>
                <w:u w:val="single"/>
                <w:lang w:val="en-US" w:eastAsia="zh-CN"/>
              </w:rPr>
              <w:t>/</w:t>
            </w:r>
          </w:p>
        </w:tc>
      </w:tr>
      <w:tr>
        <w:tblPrEx>
          <w:tblCellMar>
            <w:top w:w="0" w:type="dxa"/>
            <w:left w:w="108" w:type="dxa"/>
            <w:bottom w:w="0" w:type="dxa"/>
            <w:right w:w="108" w:type="dxa"/>
          </w:tblCellMar>
        </w:tblPrEx>
        <w:trPr>
          <w:gridAfter w:val="1"/>
          <w:wAfter w:w="283" w:type="dxa"/>
        </w:trPr>
        <w:tc>
          <w:tcPr>
            <w:tcW w:w="5353" w:type="dxa"/>
            <w:noWrap w:val="0"/>
            <w:vAlign w:val="top"/>
          </w:tcPr>
          <w:p>
            <w:pPr>
              <w:pStyle w:val="2"/>
              <w:rPr>
                <w:rFonts w:hint="eastAsia"/>
                <w:color w:val="auto"/>
                <w:highlight w:val="none"/>
              </w:rPr>
            </w:pPr>
          </w:p>
          <w:p>
            <w:pPr>
              <w:pStyle w:val="2"/>
              <w:rPr>
                <w:color w:val="auto"/>
                <w:highlight w:val="none"/>
              </w:rPr>
            </w:pPr>
          </w:p>
        </w:tc>
        <w:tc>
          <w:tcPr>
            <w:tcW w:w="4962" w:type="dxa"/>
            <w:gridSpan w:val="2"/>
            <w:noWrap w:val="0"/>
            <w:vAlign w:val="top"/>
          </w:tcPr>
          <w:p>
            <w:pPr>
              <w:topLinePunct/>
              <w:spacing w:line="360" w:lineRule="auto"/>
              <w:rPr>
                <w:rFonts w:ascii="宋体" w:hAnsi="宋体"/>
                <w:color w:val="auto"/>
                <w:szCs w:val="21"/>
                <w:highlight w:val="none"/>
              </w:rPr>
            </w:pPr>
          </w:p>
        </w:tc>
      </w:tr>
      <w:tr>
        <w:tblPrEx>
          <w:tblCellMar>
            <w:top w:w="0" w:type="dxa"/>
            <w:left w:w="108" w:type="dxa"/>
            <w:bottom w:w="0" w:type="dxa"/>
            <w:right w:w="108" w:type="dxa"/>
          </w:tblCellMar>
        </w:tblPrEx>
        <w:trPr>
          <w:gridAfter w:val="1"/>
          <w:wAfter w:w="283" w:type="dxa"/>
        </w:trPr>
        <w:tc>
          <w:tcPr>
            <w:tcW w:w="5353" w:type="dxa"/>
            <w:noWrap w:val="0"/>
            <w:vAlign w:val="top"/>
          </w:tcPr>
          <w:p>
            <w:pPr>
              <w:adjustRightInd w:val="0"/>
              <w:snapToGrid w:val="0"/>
              <w:spacing w:line="360" w:lineRule="auto"/>
              <w:ind w:left="1560" w:right="-107" w:rightChars="-51" w:hanging="1560" w:hangingChars="650"/>
              <w:rPr>
                <w:rFonts w:ascii="宋体" w:hAnsi="宋体"/>
                <w:color w:val="auto"/>
                <w:sz w:val="24"/>
                <w:highlight w:val="none"/>
                <w:u w:val="single"/>
              </w:rPr>
            </w:pPr>
            <w:r>
              <w:rPr>
                <w:rFonts w:hint="eastAsia" w:ascii="宋体" w:hAnsi="宋体"/>
                <w:color w:val="auto"/>
                <w:sz w:val="24"/>
                <w:highlight w:val="none"/>
              </w:rPr>
              <w:t>招标监督机构：</w:t>
            </w:r>
            <w:r>
              <w:rPr>
                <w:rFonts w:hint="eastAsia" w:ascii="宋体" w:hAnsi="宋体"/>
                <w:color w:val="auto"/>
                <w:sz w:val="24"/>
                <w:highlight w:val="none"/>
                <w:u w:val="single"/>
              </w:rPr>
              <w:t>广州市荔湾区水务局</w:t>
            </w:r>
          </w:p>
        </w:tc>
        <w:tc>
          <w:tcPr>
            <w:tcW w:w="4962" w:type="dxa"/>
            <w:gridSpan w:val="2"/>
            <w:noWrap w:val="0"/>
            <w:vAlign w:val="top"/>
          </w:tcPr>
          <w:p>
            <w:pPr>
              <w:topLinePunct/>
              <w:spacing w:line="360" w:lineRule="auto"/>
              <w:rPr>
                <w:rFonts w:ascii="宋体" w:hAnsi="宋体"/>
                <w:color w:val="auto"/>
                <w:sz w:val="24"/>
                <w:highlight w:val="none"/>
              </w:rPr>
            </w:pPr>
          </w:p>
        </w:tc>
      </w:tr>
      <w:tr>
        <w:tblPrEx>
          <w:tblCellMar>
            <w:top w:w="0" w:type="dxa"/>
            <w:left w:w="108" w:type="dxa"/>
            <w:bottom w:w="0" w:type="dxa"/>
            <w:right w:w="108" w:type="dxa"/>
          </w:tblCellMar>
        </w:tblPrEx>
        <w:trPr>
          <w:gridAfter w:val="1"/>
          <w:wAfter w:w="283" w:type="dxa"/>
        </w:trPr>
        <w:tc>
          <w:tcPr>
            <w:tcW w:w="5353" w:type="dxa"/>
            <w:noWrap w:val="0"/>
            <w:vAlign w:val="top"/>
          </w:tcPr>
          <w:p>
            <w:pPr>
              <w:adjustRightInd w:val="0"/>
              <w:snapToGrid w:val="0"/>
              <w:spacing w:line="360" w:lineRule="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广州市荔湾区太和街2号</w:t>
            </w:r>
          </w:p>
          <w:p>
            <w:pPr>
              <w:adjustRightInd w:val="0"/>
              <w:snapToGrid w:val="0"/>
              <w:spacing w:line="360" w:lineRule="auto"/>
              <w:rPr>
                <w:rFonts w:ascii="宋体" w:hAnsi="宋体"/>
                <w:color w:val="auto"/>
                <w:sz w:val="24"/>
                <w:highlight w:val="none"/>
                <w:u w:val="single"/>
              </w:rPr>
            </w:pPr>
            <w:r>
              <w:rPr>
                <w:rFonts w:hint="eastAsia" w:ascii="宋体" w:hAnsi="宋体"/>
                <w:color w:val="auto"/>
                <w:sz w:val="24"/>
                <w:highlight w:val="none"/>
              </w:rPr>
              <w:t>投诉电话：</w:t>
            </w:r>
            <w:r>
              <w:rPr>
                <w:rFonts w:hint="eastAsia" w:ascii="宋体" w:hAnsi="宋体"/>
                <w:color w:val="auto"/>
                <w:sz w:val="24"/>
                <w:highlight w:val="none"/>
                <w:u w:val="single"/>
              </w:rPr>
              <w:t>020-81403299</w:t>
            </w:r>
          </w:p>
        </w:tc>
        <w:tc>
          <w:tcPr>
            <w:tcW w:w="4962" w:type="dxa"/>
            <w:gridSpan w:val="2"/>
            <w:noWrap w:val="0"/>
            <w:vAlign w:val="top"/>
          </w:tcPr>
          <w:p>
            <w:pPr>
              <w:spacing w:line="360" w:lineRule="auto"/>
              <w:rPr>
                <w:rFonts w:ascii="宋体" w:hAnsi="宋体"/>
                <w:color w:val="auto"/>
                <w:szCs w:val="21"/>
                <w:highlight w:val="none"/>
              </w:rPr>
            </w:pPr>
          </w:p>
        </w:tc>
      </w:tr>
    </w:tbl>
    <w:p>
      <w:pPr>
        <w:adjustRightInd w:val="0"/>
        <w:snapToGrid w:val="0"/>
        <w:spacing w:line="360" w:lineRule="auto"/>
        <w:jc w:val="left"/>
        <w:rPr>
          <w:rFonts w:hint="eastAsia" w:ascii="黑体" w:hAnsi="黑体" w:eastAsia="黑体"/>
          <w:color w:val="auto"/>
          <w:sz w:val="30"/>
          <w:szCs w:val="30"/>
          <w:highlight w:val="none"/>
        </w:rPr>
      </w:pPr>
      <w:r>
        <w:rPr>
          <w:rFonts w:ascii="宋体" w:hAnsi="宋体" w:cs="宋体"/>
          <w:color w:val="auto"/>
          <w:kern w:val="0"/>
          <w:sz w:val="24"/>
          <w:szCs w:val="20"/>
          <w:highlight w:val="none"/>
          <w:u w:val="single"/>
        </w:rPr>
        <w:br w:type="page"/>
      </w:r>
      <w:r>
        <w:rPr>
          <w:rFonts w:hint="eastAsia" w:ascii="黑体" w:hAnsi="黑体" w:eastAsia="黑体"/>
          <w:color w:val="auto"/>
          <w:sz w:val="30"/>
          <w:szCs w:val="30"/>
          <w:highlight w:val="none"/>
        </w:rPr>
        <w:t>附件一：</w:t>
      </w:r>
    </w:p>
    <w:p>
      <w:pPr>
        <w:widowControl/>
        <w:spacing w:line="360" w:lineRule="auto"/>
        <w:ind w:right="384" w:firstLine="3196" w:firstLineChars="995"/>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投标申请人声明</w:t>
      </w:r>
    </w:p>
    <w:p>
      <w:pPr>
        <w:pStyle w:val="14"/>
        <w:ind w:firstLine="0"/>
        <w:rPr>
          <w:rFonts w:ascii="宋体" w:hAnsi="宋体" w:eastAsia="宋体"/>
          <w:color w:val="auto"/>
          <w:sz w:val="21"/>
          <w:szCs w:val="21"/>
          <w:highlight w:val="none"/>
        </w:rPr>
      </w:pPr>
      <w:r>
        <w:rPr>
          <w:rFonts w:ascii="宋体" w:hAnsi="宋体" w:eastAsia="宋体"/>
          <w:color w:val="auto"/>
          <w:sz w:val="21"/>
          <w:szCs w:val="21"/>
          <w:highlight w:val="none"/>
        </w:rPr>
        <w:t>本招标项目招标人及招标监管机构：</w:t>
      </w:r>
    </w:p>
    <w:p>
      <w:pPr>
        <w:pStyle w:val="14"/>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投标工作，作出郑重声明：</w:t>
      </w:r>
    </w:p>
    <w:p>
      <w:pPr>
        <w:pStyle w:val="14"/>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一、本公司保证投标及其后提供的一切材料都是真实的。</w:t>
      </w:r>
    </w:p>
    <w:p>
      <w:pPr>
        <w:pStyle w:val="14"/>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二、本公司保证在本项目投标中不与其他单位围标、串标，不出让投标资格，不向招标人或评标委员会成员行贿。</w:t>
      </w:r>
    </w:p>
    <w:p>
      <w:pPr>
        <w:pStyle w:val="14"/>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三、本公司没有处于被责令停业的状态；没有处于被行政主管部门取消投标资格的处罚期内；没有处于财产被接管、冻结、破产的状态；在投标截止日期前两年内没有行政主管部门已书面认定的重大工程质量问题；本公司</w:t>
      </w:r>
      <w:r>
        <w:rPr>
          <w:rFonts w:hint="eastAsia" w:ascii="宋体" w:hAnsi="宋体" w:eastAsia="宋体"/>
          <w:color w:val="auto"/>
          <w:sz w:val="21"/>
          <w:szCs w:val="21"/>
          <w:highlight w:val="none"/>
        </w:rPr>
        <w:t>承诺</w:t>
      </w:r>
      <w:r>
        <w:rPr>
          <w:rFonts w:ascii="宋体" w:hAnsi="宋体" w:eastAsia="宋体"/>
          <w:color w:val="auto"/>
          <w:sz w:val="21"/>
          <w:szCs w:val="21"/>
          <w:highlight w:val="none"/>
        </w:rPr>
        <w:t>没有在投标截止时间前</w:t>
      </w:r>
      <w:r>
        <w:rPr>
          <w:rFonts w:hint="eastAsia" w:ascii="宋体" w:hAnsi="宋体" w:eastAsia="宋体"/>
          <w:color w:val="auto"/>
          <w:sz w:val="21"/>
          <w:szCs w:val="21"/>
          <w:highlight w:val="none"/>
        </w:rPr>
        <w:t>三</w:t>
      </w:r>
      <w:r>
        <w:rPr>
          <w:rFonts w:ascii="宋体" w:hAnsi="宋体" w:eastAsia="宋体"/>
          <w:color w:val="auto"/>
          <w:sz w:val="21"/>
          <w:szCs w:val="21"/>
          <w:highlight w:val="none"/>
        </w:rPr>
        <w:t>年内被人民法院判决犯有行贿罪的记录，没有被人民法院列入失信被执行人名单。</w:t>
      </w:r>
    </w:p>
    <w:p>
      <w:pPr>
        <w:pStyle w:val="14"/>
        <w:ind w:firstLine="420" w:firstLineChars="200"/>
        <w:jc w:val="left"/>
        <w:rPr>
          <w:rFonts w:ascii="宋体" w:hAnsi="宋体" w:eastAsia="宋体"/>
          <w:color w:val="auto"/>
          <w:sz w:val="21"/>
          <w:szCs w:val="21"/>
          <w:highlight w:val="none"/>
        </w:rPr>
      </w:pPr>
      <w:r>
        <w:rPr>
          <w:rFonts w:ascii="宋体" w:hAnsi="宋体" w:eastAsia="宋体"/>
          <w:color w:val="auto"/>
          <w:sz w:val="21"/>
          <w:szCs w:val="21"/>
          <w:highlight w:val="none"/>
        </w:rPr>
        <w:t>四、</w:t>
      </w:r>
      <w:r>
        <w:rPr>
          <w:rFonts w:hint="eastAsia" w:ascii="宋体" w:hAnsi="宋体" w:eastAsia="宋体"/>
          <w:color w:val="auto"/>
          <w:sz w:val="21"/>
          <w:szCs w:val="21"/>
          <w:highlight w:val="none"/>
        </w:rPr>
        <w:t>本公司及其有隶属关系的机构，没有参加本项目招标文件的编写工作；本公司与本次招标的招标代理机构没有隶属关系或其他利害关系。</w:t>
      </w:r>
    </w:p>
    <w:p>
      <w:pPr>
        <w:pStyle w:val="14"/>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五</w:t>
      </w:r>
      <w:r>
        <w:rPr>
          <w:rFonts w:ascii="宋体" w:hAnsi="宋体" w:eastAsia="宋体"/>
          <w:color w:val="auto"/>
          <w:sz w:val="21"/>
          <w:szCs w:val="21"/>
          <w:highlight w:val="none"/>
        </w:rPr>
        <w:t>、本公司承诺，中标后不转包或违法分包，在施工过程中，严格执行安全生产相关管理规定。</w:t>
      </w:r>
    </w:p>
    <w:p>
      <w:pPr>
        <w:pStyle w:val="14"/>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w:t>
      </w:r>
      <w:r>
        <w:rPr>
          <w:rFonts w:ascii="宋体" w:hAnsi="宋体" w:eastAsia="宋体"/>
          <w:color w:val="auto"/>
          <w:sz w:val="21"/>
          <w:szCs w:val="21"/>
          <w:highlight w:val="none"/>
        </w:rPr>
        <w:t>、如我司通过本项目的资格审查或成为本项目中标候选人，我司同意并授权招标人将我司响应招标文件（或资格预审文件）资格能力条件（资质、营业执照等证书名称、等级、编号，人员、业绩）、投标文件商务部分（报价清单、施工方案等涉及商业秘密的内容除外）等资料进行公示。</w:t>
      </w:r>
    </w:p>
    <w:p>
      <w:pPr>
        <w:pStyle w:val="14"/>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在本项目招投标阶段以及中标后履行合同阶段，若我公司有发生本项目合同文本附件中不诚信行为情形的，我公司自愿接受招标人按照本项目合同文本附件《不诚信行为的情形及相应被暂停参与投标活动的处理标准》对我公司进行相应处理。</w:t>
      </w:r>
    </w:p>
    <w:p>
      <w:pPr>
        <w:pStyle w:val="14"/>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本公司违反上述保证，或本声明陈述与事实不符，经查实，本公司除按招标文件或合同约定自愿接受招标人的处理外，还愿意接受公开通报或相应行政处罚，承担由此带来的所有法律后果。</w:t>
      </w:r>
    </w:p>
    <w:p>
      <w:pPr>
        <w:pStyle w:val="14"/>
        <w:ind w:firstLine="420" w:firstLineChars="200"/>
        <w:rPr>
          <w:rFonts w:ascii="宋体" w:hAnsi="宋体" w:eastAsia="宋体"/>
          <w:color w:val="auto"/>
          <w:sz w:val="21"/>
          <w:szCs w:val="21"/>
          <w:highlight w:val="none"/>
        </w:rPr>
      </w:pPr>
    </w:p>
    <w:p>
      <w:pPr>
        <w:pStyle w:val="14"/>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特此声明</w:t>
      </w:r>
    </w:p>
    <w:p>
      <w:pPr>
        <w:pStyle w:val="13"/>
        <w:ind w:left="629" w:right="1449"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ascii="宋体" w:hAnsi="宋体" w:eastAsia="宋体" w:cs="Times New Roman"/>
          <w:color w:val="auto"/>
          <w:sz w:val="21"/>
          <w:szCs w:val="21"/>
          <w:highlight w:val="none"/>
        </w:rPr>
        <w:t>声明企业：</w:t>
      </w:r>
    </w:p>
    <w:p>
      <w:pPr>
        <w:pStyle w:val="14"/>
        <w:ind w:right="1779" w:firstLine="4508" w:firstLineChars="2147"/>
        <w:rPr>
          <w:rFonts w:ascii="宋体" w:hAnsi="宋体" w:eastAsia="宋体"/>
          <w:color w:val="auto"/>
          <w:sz w:val="21"/>
          <w:szCs w:val="21"/>
          <w:highlight w:val="none"/>
        </w:rPr>
      </w:pPr>
      <w:r>
        <w:rPr>
          <w:rFonts w:ascii="宋体" w:hAnsi="宋体" w:eastAsia="宋体"/>
          <w:color w:val="auto"/>
          <w:sz w:val="21"/>
          <w:szCs w:val="21"/>
          <w:highlight w:val="none"/>
        </w:rPr>
        <w:t>法定代表人签字：</w:t>
      </w:r>
    </w:p>
    <w:p>
      <w:pPr>
        <w:pStyle w:val="14"/>
        <w:ind w:right="-58" w:firstLine="4536" w:firstLineChars="2160"/>
        <w:rPr>
          <w:rFonts w:ascii="宋体" w:hAnsi="宋体" w:eastAsia="宋体"/>
          <w:color w:val="auto"/>
          <w:sz w:val="21"/>
          <w:szCs w:val="21"/>
          <w:highlight w:val="none"/>
        </w:rPr>
      </w:pPr>
      <w:r>
        <w:rPr>
          <w:rFonts w:hint="eastAsia" w:ascii="宋体" w:hAnsi="宋体" w:eastAsia="宋体"/>
          <w:color w:val="auto"/>
          <w:sz w:val="21"/>
          <w:szCs w:val="21"/>
          <w:highlight w:val="none"/>
        </w:rPr>
        <w:t>项目负责人签字：</w:t>
      </w:r>
    </w:p>
    <w:p>
      <w:pPr>
        <w:pStyle w:val="14"/>
        <w:ind w:right="1779" w:firstLine="4536" w:firstLineChars="2160"/>
        <w:rPr>
          <w:rFonts w:ascii="宋体" w:hAnsi="宋体" w:eastAsia="宋体"/>
          <w:color w:val="auto"/>
          <w:sz w:val="21"/>
          <w:szCs w:val="21"/>
          <w:highlight w:val="none"/>
        </w:rPr>
      </w:pPr>
      <w:r>
        <w:rPr>
          <w:rFonts w:hint="eastAsia" w:ascii="宋体" w:hAnsi="宋体" w:eastAsia="宋体"/>
          <w:color w:val="auto"/>
          <w:sz w:val="21"/>
          <w:szCs w:val="21"/>
          <w:highlight w:val="none"/>
        </w:rPr>
        <w:t>技术负责人签字：</w:t>
      </w:r>
    </w:p>
    <w:p>
      <w:pPr>
        <w:pStyle w:val="14"/>
        <w:ind w:right="879" w:firstLine="420" w:firstLineChars="20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年</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月</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日</w:t>
      </w: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（企业公章）</w:t>
      </w:r>
    </w:p>
    <w:p>
      <w:pPr>
        <w:spacing w:line="360" w:lineRule="auto"/>
        <w:rPr>
          <w:color w:val="auto"/>
          <w:highlight w:val="none"/>
        </w:rPr>
      </w:pPr>
    </w:p>
    <w:sectPr>
      <w:pgSz w:w="11906" w:h="16838"/>
      <w:pgMar w:top="993" w:right="1133" w:bottom="113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MGJkODRkNjI4ZWIyNGM2Nzk2MjAyNjNiMjk0OTQifQ=="/>
  </w:docVars>
  <w:rsids>
    <w:rsidRoot w:val="12386F06"/>
    <w:rsid w:val="00073CB2"/>
    <w:rsid w:val="000B7CA8"/>
    <w:rsid w:val="000F39DD"/>
    <w:rsid w:val="00105A10"/>
    <w:rsid w:val="00106601"/>
    <w:rsid w:val="00107A02"/>
    <w:rsid w:val="001961AB"/>
    <w:rsid w:val="00284BFE"/>
    <w:rsid w:val="002A0935"/>
    <w:rsid w:val="002B4939"/>
    <w:rsid w:val="002C0D44"/>
    <w:rsid w:val="00316951"/>
    <w:rsid w:val="00320BE3"/>
    <w:rsid w:val="003B6985"/>
    <w:rsid w:val="004B0AA5"/>
    <w:rsid w:val="004B2326"/>
    <w:rsid w:val="004B6A69"/>
    <w:rsid w:val="005436A9"/>
    <w:rsid w:val="00563B58"/>
    <w:rsid w:val="005C4A3F"/>
    <w:rsid w:val="005D7F78"/>
    <w:rsid w:val="005F39CC"/>
    <w:rsid w:val="00617B09"/>
    <w:rsid w:val="006B08F1"/>
    <w:rsid w:val="006C49B0"/>
    <w:rsid w:val="006F7FFB"/>
    <w:rsid w:val="007375E4"/>
    <w:rsid w:val="00791ADC"/>
    <w:rsid w:val="007C5781"/>
    <w:rsid w:val="007D74EA"/>
    <w:rsid w:val="007F4890"/>
    <w:rsid w:val="008011E5"/>
    <w:rsid w:val="008133BD"/>
    <w:rsid w:val="008231B8"/>
    <w:rsid w:val="0082570B"/>
    <w:rsid w:val="008E517C"/>
    <w:rsid w:val="00933958"/>
    <w:rsid w:val="00944C68"/>
    <w:rsid w:val="00955D40"/>
    <w:rsid w:val="009609A2"/>
    <w:rsid w:val="00966CB6"/>
    <w:rsid w:val="009775AB"/>
    <w:rsid w:val="00981C50"/>
    <w:rsid w:val="009D6D28"/>
    <w:rsid w:val="00A32880"/>
    <w:rsid w:val="00A65936"/>
    <w:rsid w:val="00A71DE0"/>
    <w:rsid w:val="00A847C2"/>
    <w:rsid w:val="00B0033F"/>
    <w:rsid w:val="00B0373D"/>
    <w:rsid w:val="00B415E7"/>
    <w:rsid w:val="00B44B27"/>
    <w:rsid w:val="00B87D24"/>
    <w:rsid w:val="00BB42C7"/>
    <w:rsid w:val="00BB7263"/>
    <w:rsid w:val="00BB7BA1"/>
    <w:rsid w:val="00C73E25"/>
    <w:rsid w:val="00C87A2D"/>
    <w:rsid w:val="00CA6E60"/>
    <w:rsid w:val="00CD2FD0"/>
    <w:rsid w:val="00D06DB6"/>
    <w:rsid w:val="00DA346F"/>
    <w:rsid w:val="00DA7B33"/>
    <w:rsid w:val="00DF141B"/>
    <w:rsid w:val="00E4628E"/>
    <w:rsid w:val="00E72936"/>
    <w:rsid w:val="00E74A42"/>
    <w:rsid w:val="00E81F8F"/>
    <w:rsid w:val="00EC5593"/>
    <w:rsid w:val="00EE477F"/>
    <w:rsid w:val="00F24C99"/>
    <w:rsid w:val="00F27338"/>
    <w:rsid w:val="00F61F60"/>
    <w:rsid w:val="00F650AC"/>
    <w:rsid w:val="00F721A5"/>
    <w:rsid w:val="00F825A2"/>
    <w:rsid w:val="00F859FD"/>
    <w:rsid w:val="00F9079E"/>
    <w:rsid w:val="00F92C84"/>
    <w:rsid w:val="00F94532"/>
    <w:rsid w:val="00F9695A"/>
    <w:rsid w:val="00FD0242"/>
    <w:rsid w:val="00FD63ED"/>
    <w:rsid w:val="0BCB3631"/>
    <w:rsid w:val="0D663C2A"/>
    <w:rsid w:val="12386F06"/>
    <w:rsid w:val="15AF3E3C"/>
    <w:rsid w:val="18DA3C9F"/>
    <w:rsid w:val="1EF7456E"/>
    <w:rsid w:val="1FC63A01"/>
    <w:rsid w:val="218A1CFF"/>
    <w:rsid w:val="22BF5E4F"/>
    <w:rsid w:val="2AD4116E"/>
    <w:rsid w:val="36147E26"/>
    <w:rsid w:val="3B685403"/>
    <w:rsid w:val="4B723B8F"/>
    <w:rsid w:val="4D6661AF"/>
    <w:rsid w:val="4E856027"/>
    <w:rsid w:val="568D5E70"/>
    <w:rsid w:val="5B0B37D3"/>
    <w:rsid w:val="5C132CD5"/>
    <w:rsid w:val="5C6E1EB1"/>
    <w:rsid w:val="5E317DD6"/>
    <w:rsid w:val="62F75515"/>
    <w:rsid w:val="6639506E"/>
    <w:rsid w:val="691910E0"/>
    <w:rsid w:val="6D0F4798"/>
    <w:rsid w:val="6D535020"/>
    <w:rsid w:val="78997B0A"/>
    <w:rsid w:val="797D6B12"/>
    <w:rsid w:val="79C91741"/>
    <w:rsid w:val="7BC65A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szCs w:val="20"/>
    </w:rPr>
  </w:style>
  <w:style w:type="paragraph" w:styleId="4">
    <w:name w:val="heading 2"/>
    <w:basedOn w:val="1"/>
    <w:next w:val="1"/>
    <w:qFormat/>
    <w:uiPriority w:val="0"/>
    <w:pPr>
      <w:keepNext/>
      <w:keepLines/>
      <w:spacing w:before="260" w:beforeLines="0" w:after="260" w:afterLines="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alibri"/>
    </w:rPr>
  </w:style>
  <w:style w:type="paragraph" w:styleId="5">
    <w:name w:val="Date"/>
    <w:basedOn w:val="1"/>
    <w:next w:val="1"/>
    <w:link w:val="10"/>
    <w:qFormat/>
    <w:uiPriority w:val="0"/>
    <w:pPr>
      <w:ind w:left="100" w:leftChars="250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日期 Char"/>
    <w:link w:val="5"/>
    <w:qFormat/>
    <w:uiPriority w:val="0"/>
    <w:rPr>
      <w:rFonts w:ascii="Calibri" w:hAnsi="Calibri"/>
      <w:kern w:val="2"/>
      <w:sz w:val="21"/>
      <w:szCs w:val="24"/>
    </w:rPr>
  </w:style>
  <w:style w:type="character" w:customStyle="1" w:styleId="11">
    <w:name w:val="页脚 Char"/>
    <w:link w:val="6"/>
    <w:qFormat/>
    <w:uiPriority w:val="0"/>
    <w:rPr>
      <w:rFonts w:ascii="Calibri" w:hAnsi="Calibri"/>
      <w:kern w:val="2"/>
      <w:sz w:val="18"/>
      <w:szCs w:val="18"/>
    </w:rPr>
  </w:style>
  <w:style w:type="character" w:customStyle="1" w:styleId="12">
    <w:name w:val="页眉 Char"/>
    <w:link w:val="7"/>
    <w:qFormat/>
    <w:uiPriority w:val="0"/>
    <w:rPr>
      <w:rFonts w:ascii="Calibri" w:hAnsi="Calibri"/>
      <w:kern w:val="2"/>
      <w:sz w:val="18"/>
      <w:szCs w:val="18"/>
    </w:rPr>
  </w:style>
  <w:style w:type="paragraph" w:customStyle="1" w:styleId="13">
    <w:name w:val="发文落款"/>
    <w:basedOn w:val="14"/>
    <w:qFormat/>
    <w:uiPriority w:val="99"/>
    <w:pPr>
      <w:ind w:left="4094" w:right="607" w:firstLine="0"/>
      <w:jc w:val="center"/>
    </w:pPr>
    <w:rPr>
      <w:rFonts w:cs="仿宋_GB2312"/>
      <w:szCs w:val="32"/>
    </w:rPr>
  </w:style>
  <w:style w:type="paragraph" w:customStyle="1" w:styleId="14">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5">
    <w:name w:val="List Paragraph"/>
    <w:basedOn w:val="1"/>
    <w:qFormat/>
    <w:uiPriority w:val="0"/>
    <w:pPr>
      <w:ind w:firstLine="420" w:firstLineChars="200"/>
    </w:pPr>
  </w:style>
  <w:style w:type="paragraph" w:customStyle="1" w:styleId="16">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51031GLDB\AppData\Roaming\Kingsoft\wps\addons\pool\win-i386\knewfileruby_1.0.0.12\template\wps\0.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Template>
  <Company>Microsoft</Company>
  <Pages>5</Pages>
  <Words>558</Words>
  <Characters>3181</Characters>
  <Lines>26</Lines>
  <Paragraphs>7</Paragraphs>
  <TotalTime>18</TotalTime>
  <ScaleCrop>false</ScaleCrop>
  <LinksUpToDate>false</LinksUpToDate>
  <CharactersWithSpaces>3732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2020-11-02T01:50:00Z</dcterms:created>
  <dc:creator>Echo</dc:creator>
  <cp:lastModifiedBy>李子</cp:lastModifiedBy>
  <dcterms:modified xsi:type="dcterms:W3CDTF">2023-08-09T07:37:34Z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80C0BF5A9F6744FCBD9CF1B5A654063E</vt:lpwstr>
  </property>
</Properties>
</file>