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kinsoku w:val="0"/>
        <w:overflowPunct w:val="0"/>
        <w:autoSpaceDE w:val="0"/>
        <w:adjustRightInd w:val="0"/>
        <w:snapToGrid w:val="0"/>
        <w:spacing w:line="360" w:lineRule="auto"/>
        <w:ind w:right="198"/>
        <w:jc w:val="center"/>
        <w:rPr>
          <w:rFonts w:hint="eastAsia" w:ascii="宋体" w:hAnsi="宋体" w:eastAsia="宋体" w:cs="宋体"/>
          <w:b/>
          <w:bCs/>
          <w:color w:val="3C3C3C"/>
          <w:kern w:val="0"/>
          <w:sz w:val="32"/>
          <w:szCs w:val="32"/>
          <w:lang w:eastAsia="zh-CN"/>
        </w:rPr>
      </w:pPr>
      <w:r>
        <w:rPr>
          <w:rFonts w:hint="eastAsia" w:ascii="宋体" w:hAnsi="宋体" w:eastAsia="宋体" w:cs="宋体"/>
          <w:b/>
          <w:bCs/>
          <w:color w:val="3C3C3C"/>
          <w:kern w:val="0"/>
          <w:sz w:val="32"/>
          <w:szCs w:val="32"/>
          <w:lang w:eastAsia="zh-CN"/>
        </w:rPr>
        <w:t>广佛地铁佛山段公安无线通信系统维护项目（2023-2026年）</w:t>
      </w:r>
    </w:p>
    <w:p>
      <w:pPr>
        <w:widowControl/>
        <w:shd w:val="clear" w:color="auto" w:fill="FFFFFF"/>
        <w:kinsoku w:val="0"/>
        <w:overflowPunct w:val="0"/>
        <w:autoSpaceDE w:val="0"/>
        <w:adjustRightInd w:val="0"/>
        <w:snapToGrid w:val="0"/>
        <w:spacing w:line="360" w:lineRule="auto"/>
        <w:ind w:right="198"/>
        <w:jc w:val="center"/>
        <w:rPr>
          <w:rFonts w:ascii="宋体" w:hAnsi="宋体" w:eastAsia="宋体" w:cs="宋体"/>
          <w:b/>
          <w:bCs/>
          <w:color w:val="3C3C3C"/>
          <w:kern w:val="0"/>
          <w:sz w:val="32"/>
          <w:szCs w:val="32"/>
        </w:rPr>
      </w:pPr>
      <w:r>
        <w:rPr>
          <w:rFonts w:hint="eastAsia" w:ascii="宋体" w:hAnsi="宋体" w:eastAsia="宋体" w:cs="宋体"/>
          <w:b/>
          <w:bCs/>
          <w:color w:val="3C3C3C"/>
          <w:kern w:val="0"/>
          <w:sz w:val="32"/>
          <w:szCs w:val="32"/>
        </w:rPr>
        <w:t>招标公告</w:t>
      </w:r>
    </w:p>
    <w:p>
      <w:pPr>
        <w:keepNext w:val="0"/>
        <w:keepLines w:val="0"/>
        <w:pageBreakBefore w:val="0"/>
        <w:widowControl/>
        <w:shd w:val="clear" w:color="auto" w:fill="FFFFFF"/>
        <w:kinsoku w:val="0"/>
        <w:wordWrap/>
        <w:overflowPunct w:val="0"/>
        <w:topLinePunct w:val="0"/>
        <w:autoSpaceDE w:val="0"/>
        <w:bidi w:val="0"/>
        <w:adjustRightInd w:val="0"/>
        <w:snapToGrid w:val="0"/>
        <w:spacing w:line="500" w:lineRule="exact"/>
        <w:ind w:right="198" w:firstLine="480" w:firstLineChars="200"/>
        <w:jc w:val="left"/>
        <w:textAlignment w:val="auto"/>
        <w:rPr>
          <w:rFonts w:ascii="宋体" w:hAnsi="宋体" w:eastAsia="宋体" w:cs="宋体"/>
          <w:kern w:val="0"/>
          <w:sz w:val="24"/>
          <w:szCs w:val="24"/>
        </w:rPr>
      </w:pPr>
      <w:r>
        <w:rPr>
          <w:rFonts w:hint="eastAsia" w:ascii="宋体" w:hAnsi="宋体" w:eastAsia="宋体" w:cs="宋体"/>
          <w:color w:val="000000" w:themeColor="text1"/>
          <w:kern w:val="0"/>
          <w:sz w:val="24"/>
          <w:szCs w:val="24"/>
          <w:u w:val="single"/>
          <w14:textFill>
            <w14:solidFill>
              <w14:schemeClr w14:val="tx1"/>
            </w14:solidFill>
          </w14:textFill>
        </w:rPr>
        <w:t>广东广佛轨道交通有限公司</w:t>
      </w:r>
      <w:r>
        <w:rPr>
          <w:rFonts w:hint="eastAsia" w:ascii="宋体" w:hAnsi="宋体" w:eastAsia="宋体" w:cs="宋体"/>
          <w:color w:val="3C3C3C"/>
          <w:kern w:val="0"/>
          <w:sz w:val="24"/>
          <w:szCs w:val="24"/>
        </w:rPr>
        <w:t>就</w:t>
      </w:r>
      <w:r>
        <w:rPr>
          <w:rFonts w:hint="eastAsia" w:ascii="宋体" w:hAnsi="宋体" w:eastAsia="宋体" w:cs="宋体"/>
          <w:color w:val="000000" w:themeColor="text1"/>
          <w:kern w:val="0"/>
          <w:sz w:val="24"/>
          <w:szCs w:val="24"/>
          <w:u w:val="single"/>
          <w:lang w:eastAsia="zh-CN"/>
          <w14:textFill>
            <w14:solidFill>
              <w14:schemeClr w14:val="tx1"/>
            </w14:solidFill>
          </w14:textFill>
        </w:rPr>
        <w:t>广佛地铁佛山段公安无线通信系统维护项目（2023-2026年）</w:t>
      </w:r>
      <w:r>
        <w:rPr>
          <w:rFonts w:hint="eastAsia" w:ascii="宋体" w:hAnsi="宋体" w:eastAsia="宋体" w:cs="宋体"/>
          <w:color w:val="3C3C3C"/>
          <w:kern w:val="0"/>
          <w:sz w:val="24"/>
          <w:szCs w:val="24"/>
        </w:rPr>
        <w:t>，</w:t>
      </w:r>
      <w:r>
        <w:rPr>
          <w:rFonts w:hint="eastAsia" w:ascii="宋体" w:hAnsi="宋体" w:eastAsia="宋体" w:cs="宋体"/>
          <w:color w:val="000000" w:themeColor="text1"/>
          <w:kern w:val="0"/>
          <w:sz w:val="24"/>
          <w:szCs w:val="24"/>
          <w14:textFill>
            <w14:solidFill>
              <w14:schemeClr w14:val="tx1"/>
            </w14:solidFill>
          </w14:textFill>
        </w:rPr>
        <w:t>按《中华人民共和国招投标法》、《中华人民共和国招投标法实施条例》等有关法律法规，进行公开招标。具体事宜公布如下：</w:t>
      </w:r>
    </w:p>
    <w:p>
      <w:pPr>
        <w:keepNext w:val="0"/>
        <w:keepLines w:val="0"/>
        <w:pageBreakBefore w:val="0"/>
        <w:widowControl/>
        <w:shd w:val="clear" w:color="auto" w:fill="FFFFFF"/>
        <w:tabs>
          <w:tab w:val="center" w:pos="4415"/>
        </w:tabs>
        <w:wordWrap/>
        <w:topLinePunct w:val="0"/>
        <w:bidi w:val="0"/>
        <w:snapToGrid w:val="0"/>
        <w:spacing w:line="500" w:lineRule="exact"/>
        <w:ind w:firstLine="480" w:firstLineChars="200"/>
        <w:jc w:val="left"/>
        <w:textAlignment w:val="auto"/>
        <w:rPr>
          <w:rFonts w:hint="eastAsia" w:ascii="宋体" w:hAnsi="宋体" w:eastAsia="宋体" w:cs="宋体"/>
          <w:color w:val="3C3C3C"/>
          <w:kern w:val="0"/>
          <w:sz w:val="24"/>
          <w:szCs w:val="24"/>
          <w:lang w:eastAsia="zh-CN"/>
        </w:rPr>
      </w:pPr>
      <w:r>
        <w:rPr>
          <w:rFonts w:hint="eastAsia" w:ascii="宋体" w:hAnsi="宋体" w:eastAsia="宋体" w:cs="宋体"/>
          <w:color w:val="3C3C3C"/>
          <w:kern w:val="0"/>
          <w:sz w:val="24"/>
          <w:szCs w:val="24"/>
        </w:rPr>
        <w:t>一、项目名称：</w:t>
      </w:r>
      <w:r>
        <w:rPr>
          <w:rFonts w:hint="eastAsia" w:ascii="宋体" w:hAnsi="宋体" w:eastAsia="宋体" w:cs="宋体"/>
          <w:bCs/>
          <w:color w:val="3C3C3C"/>
          <w:kern w:val="0"/>
          <w:sz w:val="24"/>
          <w:szCs w:val="24"/>
          <w:u w:val="single"/>
          <w:lang w:eastAsia="zh-CN"/>
        </w:rPr>
        <w:t>广佛地铁佛山段公安无线通信系统维护项目（2023-2026年）</w:t>
      </w:r>
    </w:p>
    <w:p>
      <w:pPr>
        <w:keepNext w:val="0"/>
        <w:keepLines w:val="0"/>
        <w:pageBreakBefore w:val="0"/>
        <w:widowControl/>
        <w:shd w:val="clear" w:color="auto" w:fill="FFFFFF"/>
        <w:wordWrap/>
        <w:topLinePunct w:val="0"/>
        <w:bidi w:val="0"/>
        <w:snapToGrid w:val="0"/>
        <w:spacing w:line="500" w:lineRule="exact"/>
        <w:ind w:firstLine="480" w:firstLineChars="200"/>
        <w:jc w:val="left"/>
        <w:textAlignment w:val="auto"/>
        <w:rPr>
          <w:rFonts w:ascii="宋体" w:hAnsi="宋体" w:eastAsia="宋体" w:cs="宋体"/>
          <w:color w:val="3C3C3C"/>
          <w:kern w:val="0"/>
          <w:sz w:val="24"/>
          <w:szCs w:val="24"/>
          <w:u w:val="single"/>
        </w:rPr>
      </w:pPr>
      <w:r>
        <w:rPr>
          <w:rFonts w:hint="eastAsia" w:ascii="宋体" w:hAnsi="宋体" w:eastAsia="宋体" w:cs="宋体"/>
          <w:color w:val="3C3C3C"/>
          <w:kern w:val="0"/>
          <w:sz w:val="24"/>
          <w:szCs w:val="24"/>
        </w:rPr>
        <w:t>二、招标单位：</w:t>
      </w:r>
      <w:r>
        <w:rPr>
          <w:rFonts w:hint="eastAsia" w:ascii="宋体" w:hAnsi="宋体" w:eastAsia="宋体" w:cs="宋体"/>
          <w:color w:val="3C3C3C"/>
          <w:kern w:val="0"/>
          <w:sz w:val="24"/>
          <w:szCs w:val="24"/>
          <w:u w:val="single"/>
        </w:rPr>
        <w:t xml:space="preserve">  广东广佛轨道交通有限公司  </w:t>
      </w:r>
    </w:p>
    <w:p>
      <w:pPr>
        <w:keepNext w:val="0"/>
        <w:keepLines w:val="0"/>
        <w:pageBreakBefore w:val="0"/>
        <w:widowControl/>
        <w:shd w:val="clear" w:color="auto" w:fill="FFFFFF"/>
        <w:wordWrap/>
        <w:topLinePunct w:val="0"/>
        <w:bidi w:val="0"/>
        <w:snapToGrid w:val="0"/>
        <w:spacing w:line="500" w:lineRule="exact"/>
        <w:ind w:firstLine="480" w:firstLineChars="200"/>
        <w:jc w:val="left"/>
        <w:textAlignment w:val="auto"/>
        <w:rPr>
          <w:rFonts w:ascii="宋体" w:hAnsi="宋体" w:eastAsia="宋体" w:cs="宋体"/>
          <w:color w:val="3C3C3C"/>
          <w:kern w:val="0"/>
          <w:sz w:val="24"/>
          <w:szCs w:val="24"/>
          <w:u w:val="single"/>
        </w:rPr>
      </w:pPr>
      <w:r>
        <w:rPr>
          <w:rFonts w:hint="eastAsia" w:ascii="宋体" w:hAnsi="宋体" w:eastAsia="宋体" w:cs="宋体"/>
          <w:color w:val="3C3C3C"/>
          <w:kern w:val="0"/>
          <w:sz w:val="24"/>
          <w:szCs w:val="24"/>
        </w:rPr>
        <w:t>联系人：</w:t>
      </w:r>
      <w:r>
        <w:rPr>
          <w:rFonts w:hint="eastAsia" w:ascii="宋体" w:hAnsi="宋体" w:eastAsia="宋体" w:cs="宋体"/>
          <w:color w:val="3C3C3C"/>
          <w:kern w:val="0"/>
          <w:sz w:val="24"/>
          <w:szCs w:val="24"/>
          <w:u w:val="single"/>
        </w:rPr>
        <w:t>欧工   </w:t>
      </w:r>
      <w:r>
        <w:rPr>
          <w:rFonts w:hint="eastAsia" w:ascii="宋体" w:hAnsi="宋体" w:eastAsia="宋体" w:cs="宋体"/>
          <w:color w:val="3C3C3C"/>
          <w:kern w:val="0"/>
          <w:sz w:val="24"/>
          <w:szCs w:val="24"/>
        </w:rPr>
        <w:t>    联系电话：</w:t>
      </w:r>
      <w:bookmarkStart w:id="0" w:name="OLE_LINK11"/>
      <w:r>
        <w:rPr>
          <w:rFonts w:hint="eastAsia" w:ascii="宋体" w:hAnsi="宋体" w:eastAsia="宋体" w:cs="宋体"/>
          <w:color w:val="3C3C3C"/>
          <w:kern w:val="0"/>
          <w:sz w:val="24"/>
          <w:szCs w:val="24"/>
          <w:u w:val="single"/>
        </w:rPr>
        <w:t>020-</w:t>
      </w:r>
      <w:bookmarkEnd w:id="0"/>
      <w:r>
        <w:rPr>
          <w:rFonts w:hint="eastAsia" w:ascii="宋体" w:hAnsi="宋体" w:eastAsia="宋体" w:cs="宋体"/>
          <w:color w:val="3C3C3C"/>
          <w:kern w:val="0"/>
          <w:sz w:val="24"/>
          <w:szCs w:val="24"/>
          <w:u w:val="single"/>
        </w:rPr>
        <w:t xml:space="preserve">83157886 </w:t>
      </w:r>
    </w:p>
    <w:p>
      <w:pPr>
        <w:keepNext w:val="0"/>
        <w:keepLines w:val="0"/>
        <w:pageBreakBefore w:val="0"/>
        <w:widowControl/>
        <w:shd w:val="clear" w:color="auto" w:fill="FFFFFF"/>
        <w:wordWrap/>
        <w:topLinePunct w:val="0"/>
        <w:bidi w:val="0"/>
        <w:snapToGrid w:val="0"/>
        <w:spacing w:line="500" w:lineRule="exact"/>
        <w:ind w:firstLine="480" w:firstLineChars="200"/>
        <w:jc w:val="left"/>
        <w:textAlignment w:val="auto"/>
        <w:rPr>
          <w:rFonts w:ascii="宋体" w:hAnsi="宋体" w:eastAsia="宋体" w:cs="宋体"/>
          <w:color w:val="3C3C3C"/>
          <w:kern w:val="0"/>
          <w:sz w:val="24"/>
          <w:szCs w:val="24"/>
          <w:u w:val="single"/>
        </w:rPr>
      </w:pPr>
      <w:r>
        <w:rPr>
          <w:rFonts w:hint="eastAsia" w:ascii="宋体" w:hAnsi="宋体" w:eastAsia="宋体" w:cs="宋体"/>
          <w:color w:val="3C3C3C"/>
          <w:kern w:val="0"/>
          <w:sz w:val="24"/>
          <w:szCs w:val="24"/>
        </w:rPr>
        <w:t>招标代理机构：</w:t>
      </w:r>
      <w:r>
        <w:rPr>
          <w:rFonts w:hint="eastAsia" w:ascii="宋体" w:hAnsi="宋体" w:eastAsia="宋体" w:cs="宋体"/>
          <w:color w:val="3C3C3C"/>
          <w:kern w:val="0"/>
          <w:sz w:val="24"/>
          <w:szCs w:val="24"/>
          <w:u w:val="single"/>
        </w:rPr>
        <w:t xml:space="preserve"> 广东省广大工程顾问有限公司 </w:t>
      </w:r>
    </w:p>
    <w:p>
      <w:pPr>
        <w:keepNext w:val="0"/>
        <w:keepLines w:val="0"/>
        <w:pageBreakBefore w:val="0"/>
        <w:wordWrap/>
        <w:topLinePunct w:val="0"/>
        <w:bidi w:val="0"/>
        <w:spacing w:line="500" w:lineRule="exact"/>
        <w:ind w:firstLine="480" w:firstLineChars="200"/>
        <w:textAlignment w:val="auto"/>
        <w:rPr>
          <w:rFonts w:ascii="宋体" w:hAnsi="宋体" w:eastAsia="宋体" w:cs="宋体"/>
          <w:sz w:val="24"/>
          <w:szCs w:val="24"/>
          <w:u w:val="single"/>
        </w:rPr>
      </w:pPr>
      <w:r>
        <w:rPr>
          <w:rFonts w:hint="eastAsia" w:ascii="宋体" w:hAnsi="宋体" w:eastAsia="宋体" w:cs="宋体"/>
          <w:color w:val="3C3C3C"/>
          <w:kern w:val="0"/>
          <w:sz w:val="24"/>
          <w:szCs w:val="24"/>
        </w:rPr>
        <w:t>联系人：</w:t>
      </w:r>
      <w:r>
        <w:rPr>
          <w:rFonts w:hint="eastAsia" w:ascii="宋体" w:hAnsi="宋体" w:eastAsia="宋体" w:cs="宋体"/>
          <w:sz w:val="24"/>
          <w:szCs w:val="24"/>
          <w:u w:val="single"/>
        </w:rPr>
        <w:t xml:space="preserve">郭工  </w:t>
      </w:r>
      <w:r>
        <w:rPr>
          <w:rFonts w:hint="eastAsia" w:ascii="宋体" w:hAnsi="宋体" w:eastAsia="宋体" w:cs="宋体"/>
          <w:color w:val="3C3C3C"/>
          <w:kern w:val="0"/>
          <w:sz w:val="24"/>
          <w:szCs w:val="24"/>
        </w:rPr>
        <w:t xml:space="preserve">          联系电话：</w:t>
      </w:r>
      <w:r>
        <w:rPr>
          <w:rFonts w:hint="eastAsia" w:ascii="宋体" w:hAnsi="宋体" w:eastAsia="宋体" w:cs="宋体"/>
          <w:sz w:val="24"/>
          <w:szCs w:val="24"/>
          <w:u w:val="single"/>
        </w:rPr>
        <w:t>020-38293607/18588707509</w:t>
      </w:r>
    </w:p>
    <w:p>
      <w:pPr>
        <w:keepNext w:val="0"/>
        <w:keepLines w:val="0"/>
        <w:pageBreakBefore w:val="0"/>
        <w:widowControl/>
        <w:shd w:val="clear" w:color="auto" w:fill="FFFFFF"/>
        <w:wordWrap/>
        <w:topLinePunct w:val="0"/>
        <w:bidi w:val="0"/>
        <w:snapToGrid w:val="0"/>
        <w:spacing w:line="500" w:lineRule="exact"/>
        <w:ind w:firstLine="480" w:firstLineChars="200"/>
        <w:jc w:val="left"/>
        <w:textAlignment w:val="auto"/>
        <w:rPr>
          <w:rFonts w:ascii="宋体" w:hAnsi="宋体" w:eastAsia="宋体" w:cs="宋体"/>
          <w:color w:val="3C3C3C"/>
          <w:kern w:val="0"/>
          <w:sz w:val="24"/>
          <w:szCs w:val="24"/>
        </w:rPr>
      </w:pPr>
      <w:r>
        <w:rPr>
          <w:rFonts w:hint="eastAsia" w:ascii="宋体" w:hAnsi="宋体" w:eastAsia="宋体" w:cs="宋体"/>
          <w:color w:val="3C3C3C"/>
          <w:kern w:val="0"/>
          <w:sz w:val="24"/>
          <w:szCs w:val="24"/>
        </w:rPr>
        <w:t>招标监督机构：</w:t>
      </w:r>
      <w:r>
        <w:rPr>
          <w:rFonts w:hint="eastAsia" w:ascii="宋体" w:hAnsi="宋体" w:eastAsia="宋体" w:cs="宋体"/>
          <w:color w:val="3C3C3C"/>
          <w:kern w:val="0"/>
          <w:sz w:val="24"/>
          <w:szCs w:val="24"/>
          <w:u w:val="single"/>
        </w:rPr>
        <w:t xml:space="preserve">广东广佛轨道交通有限公司办公室 </w:t>
      </w:r>
    </w:p>
    <w:p>
      <w:pPr>
        <w:keepNext w:val="0"/>
        <w:keepLines w:val="0"/>
        <w:pageBreakBefore w:val="0"/>
        <w:widowControl/>
        <w:shd w:val="clear" w:color="auto" w:fill="FFFFFF"/>
        <w:wordWrap/>
        <w:topLinePunct w:val="0"/>
        <w:bidi w:val="0"/>
        <w:snapToGrid w:val="0"/>
        <w:spacing w:line="500" w:lineRule="exact"/>
        <w:ind w:firstLine="480" w:firstLineChars="200"/>
        <w:jc w:val="left"/>
        <w:textAlignment w:val="auto"/>
        <w:rPr>
          <w:rFonts w:ascii="宋体" w:hAnsi="宋体" w:eastAsia="宋体" w:cs="宋体"/>
          <w:color w:val="3C3C3C"/>
          <w:kern w:val="0"/>
          <w:sz w:val="24"/>
          <w:szCs w:val="24"/>
        </w:rPr>
      </w:pPr>
      <w:r>
        <w:rPr>
          <w:rFonts w:hint="eastAsia" w:ascii="宋体" w:hAnsi="宋体" w:eastAsia="宋体" w:cs="宋体"/>
          <w:color w:val="3C3C3C"/>
          <w:kern w:val="0"/>
          <w:sz w:val="24"/>
          <w:szCs w:val="24"/>
        </w:rPr>
        <w:t>投诉电话：</w:t>
      </w:r>
      <w:r>
        <w:rPr>
          <w:rFonts w:hint="eastAsia" w:ascii="宋体" w:hAnsi="宋体" w:eastAsia="宋体" w:cs="宋体"/>
          <w:color w:val="3C3C3C"/>
          <w:kern w:val="0"/>
          <w:sz w:val="24"/>
          <w:szCs w:val="24"/>
          <w:u w:val="single"/>
        </w:rPr>
        <w:t xml:space="preserve">  020-83157877</w:t>
      </w:r>
    </w:p>
    <w:p>
      <w:pPr>
        <w:keepNext w:val="0"/>
        <w:keepLines w:val="0"/>
        <w:pageBreakBefore w:val="0"/>
        <w:widowControl/>
        <w:shd w:val="clear" w:color="auto" w:fill="FFFFFF"/>
        <w:wordWrap/>
        <w:topLinePunct w:val="0"/>
        <w:bidi w:val="0"/>
        <w:snapToGrid w:val="0"/>
        <w:spacing w:line="500" w:lineRule="exact"/>
        <w:ind w:firstLine="480" w:firstLineChars="200"/>
        <w:jc w:val="left"/>
        <w:textAlignment w:val="auto"/>
        <w:rPr>
          <w:rFonts w:ascii="宋体" w:hAnsi="宋体" w:eastAsia="宋体" w:cs="宋体"/>
          <w:color w:val="3C3C3C"/>
          <w:kern w:val="0"/>
          <w:sz w:val="24"/>
          <w:szCs w:val="24"/>
          <w:u w:val="single"/>
        </w:rPr>
      </w:pPr>
      <w:r>
        <w:rPr>
          <w:rFonts w:hint="eastAsia" w:ascii="宋体" w:hAnsi="宋体" w:eastAsia="宋体" w:cs="宋体"/>
          <w:color w:val="3C3C3C"/>
          <w:kern w:val="0"/>
          <w:sz w:val="24"/>
          <w:szCs w:val="24"/>
        </w:rPr>
        <w:t>三、项目地点：</w:t>
      </w:r>
      <w:r>
        <w:rPr>
          <w:rFonts w:hint="eastAsia" w:ascii="宋体" w:hAnsi="宋体" w:eastAsia="宋体" w:cs="宋体"/>
          <w:color w:val="3C3C3C"/>
          <w:kern w:val="0"/>
          <w:sz w:val="24"/>
          <w:szCs w:val="20"/>
          <w:u w:val="single"/>
        </w:rPr>
        <w:t>广佛地铁佛山段</w:t>
      </w:r>
    </w:p>
    <w:p>
      <w:pPr>
        <w:keepNext w:val="0"/>
        <w:keepLines w:val="0"/>
        <w:pageBreakBefore w:val="0"/>
        <w:wordWrap/>
        <w:topLinePunct w:val="0"/>
        <w:bidi w:val="0"/>
        <w:spacing w:line="500" w:lineRule="exact"/>
        <w:ind w:firstLine="480" w:firstLineChars="200"/>
        <w:textAlignment w:val="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3C3C3C"/>
          <w:kern w:val="0"/>
          <w:sz w:val="24"/>
          <w:szCs w:val="24"/>
        </w:rPr>
        <w:t>四、</w:t>
      </w:r>
      <w:r>
        <w:rPr>
          <w:rFonts w:hint="eastAsia" w:ascii="宋体" w:hAnsi="宋体" w:eastAsia="宋体" w:cs="宋体"/>
          <w:color w:val="000000" w:themeColor="text1"/>
          <w:kern w:val="0"/>
          <w:sz w:val="24"/>
          <w:szCs w:val="24"/>
          <w14:textFill>
            <w14:solidFill>
              <w14:schemeClr w14:val="tx1"/>
            </w14:solidFill>
          </w14:textFill>
        </w:rPr>
        <w:t>项目概况：</w:t>
      </w:r>
      <w:bookmarkStart w:id="1" w:name="_Hlk134256651"/>
      <w:r>
        <w:rPr>
          <w:rFonts w:hint="eastAsia" w:ascii="宋体" w:hAnsi="宋体" w:eastAsia="宋体" w:cs="宋体"/>
          <w:color w:val="000000" w:themeColor="text1"/>
          <w:kern w:val="0"/>
          <w:sz w:val="24"/>
          <w:szCs w:val="24"/>
          <w14:textFill>
            <w14:solidFill>
              <w14:schemeClr w14:val="tx1"/>
            </w14:solidFill>
          </w14:textFill>
        </w:rPr>
        <w:t>广</w:t>
      </w:r>
      <w:r>
        <w:rPr>
          <w:rFonts w:hint="eastAsia" w:ascii="宋体" w:hAnsi="宋体" w:eastAsia="宋体" w:cs="宋体"/>
          <w:color w:val="000000" w:themeColor="text1"/>
          <w:kern w:val="0"/>
          <w:sz w:val="24"/>
          <w:szCs w:val="24"/>
          <w:u w:val="single"/>
          <w14:textFill>
            <w14:solidFill>
              <w14:schemeClr w14:val="tx1"/>
            </w14:solidFill>
          </w14:textFill>
        </w:rPr>
        <w:t>佛地铁</w:t>
      </w:r>
      <w:r>
        <w:rPr>
          <w:rFonts w:hint="eastAsia" w:ascii="宋体" w:hAnsi="宋体" w:eastAsia="宋体" w:cs="宋体"/>
          <w:color w:val="000000" w:themeColor="text1"/>
          <w:kern w:val="0"/>
          <w:sz w:val="24"/>
          <w:szCs w:val="24"/>
          <w:u w:val="single"/>
          <w:lang w:eastAsia="zh-CN"/>
          <w14:textFill>
            <w14:solidFill>
              <w14:schemeClr w14:val="tx1"/>
            </w14:solidFill>
          </w14:textFill>
        </w:rPr>
        <w:t>佛山段为</w:t>
      </w:r>
      <w:r>
        <w:rPr>
          <w:rFonts w:hint="eastAsia" w:ascii="宋体" w:hAnsi="宋体" w:eastAsia="宋体" w:cs="宋体"/>
          <w:color w:val="000000" w:themeColor="text1"/>
          <w:kern w:val="0"/>
          <w:sz w:val="24"/>
          <w:szCs w:val="24"/>
          <w:u w:val="single"/>
          <w14:textFill>
            <w14:solidFill>
              <w14:schemeClr w14:val="tx1"/>
            </w14:solidFill>
          </w14:textFill>
        </w:rPr>
        <w:t>佛山境内金融高新区～ 新城东</w:t>
      </w:r>
      <w:r>
        <w:rPr>
          <w:rFonts w:hint="eastAsia" w:ascii="宋体" w:hAnsi="宋体" w:eastAsia="宋体" w:cs="宋体"/>
          <w:color w:val="000000" w:themeColor="text1"/>
          <w:kern w:val="0"/>
          <w:sz w:val="24"/>
          <w:szCs w:val="24"/>
          <w:u w:val="single"/>
          <w:lang w:eastAsia="zh-CN"/>
          <w14:textFill>
            <w14:solidFill>
              <w14:schemeClr w14:val="tx1"/>
            </w14:solidFill>
          </w14:textFill>
        </w:rPr>
        <w:t>段，全</w:t>
      </w:r>
      <w:r>
        <w:rPr>
          <w:rFonts w:hint="eastAsia" w:ascii="宋体" w:hAnsi="宋体" w:eastAsia="宋体" w:cs="宋体"/>
          <w:color w:val="000000" w:themeColor="text1"/>
          <w:kern w:val="0"/>
          <w:sz w:val="24"/>
          <w:szCs w:val="24"/>
          <w:u w:val="single"/>
          <w14:textFill>
            <w14:solidFill>
              <w14:schemeClr w14:val="tx1"/>
            </w14:solidFill>
          </w14:textFill>
        </w:rPr>
        <w:t>长</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21.475</w:t>
      </w:r>
      <w:r>
        <w:rPr>
          <w:rFonts w:hint="eastAsia" w:ascii="宋体" w:hAnsi="宋体" w:eastAsia="宋体" w:cs="宋体"/>
          <w:color w:val="000000" w:themeColor="text1"/>
          <w:kern w:val="0"/>
          <w:sz w:val="24"/>
          <w:szCs w:val="24"/>
          <w:u w:val="single"/>
          <w14:textFill>
            <w14:solidFill>
              <w14:schemeClr w14:val="tx1"/>
            </w14:solidFill>
          </w14:textFill>
        </w:rPr>
        <w:t>公里，设车站15座。</w:t>
      </w:r>
      <w:r>
        <w:rPr>
          <w:rFonts w:hint="eastAsia" w:ascii="宋体" w:hAnsi="宋体" w:eastAsia="宋体" w:cs="宋体"/>
          <w:color w:val="000000" w:themeColor="text1"/>
          <w:kern w:val="0"/>
          <w:sz w:val="24"/>
          <w:szCs w:val="24"/>
          <w:u w:val="single"/>
          <w:lang w:eastAsia="zh-CN"/>
          <w14:textFill>
            <w14:solidFill>
              <w14:schemeClr w14:val="tx1"/>
            </w14:solidFill>
          </w14:textFill>
        </w:rPr>
        <w:t>其中广佛地铁一期佛山段</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14.797公里，设车站11座，</w:t>
      </w:r>
      <w:r>
        <w:rPr>
          <w:rFonts w:hint="eastAsia" w:ascii="宋体" w:hAnsi="宋体" w:eastAsia="宋体" w:cs="宋体"/>
          <w:color w:val="000000" w:themeColor="text1"/>
          <w:kern w:val="0"/>
          <w:sz w:val="24"/>
          <w:szCs w:val="24"/>
          <w:u w:val="single"/>
          <w14:textFill>
            <w14:solidFill>
              <w14:schemeClr w14:val="tx1"/>
            </w14:solidFill>
          </w14:textFill>
        </w:rPr>
        <w:t>广佛地铁二期工程魁奇路至新城东6.</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678</w:t>
      </w:r>
      <w:r>
        <w:rPr>
          <w:rFonts w:hint="eastAsia" w:ascii="宋体" w:hAnsi="宋体" w:eastAsia="宋体" w:cs="宋体"/>
          <w:color w:val="000000" w:themeColor="text1"/>
          <w:kern w:val="0"/>
          <w:sz w:val="24"/>
          <w:szCs w:val="24"/>
          <w:u w:val="single"/>
          <w14:textFill>
            <w14:solidFill>
              <w14:schemeClr w14:val="tx1"/>
            </w14:solidFill>
          </w14:textFill>
        </w:rPr>
        <w:t xml:space="preserve">km，4座车站，于2016年12月开通运营。 </w:t>
      </w:r>
    </w:p>
    <w:p>
      <w:pPr>
        <w:keepNext w:val="0"/>
        <w:keepLines w:val="0"/>
        <w:pageBreakBefore w:val="0"/>
        <w:wordWrap/>
        <w:topLinePunct w:val="0"/>
        <w:bidi w:val="0"/>
        <w:spacing w:line="500" w:lineRule="exact"/>
        <w:ind w:firstLine="480" w:firstLineChars="200"/>
        <w:textAlignment w:val="auto"/>
        <w:rPr>
          <w:rFonts w:hint="eastAsia" w:ascii="宋体" w:hAnsi="宋体" w:eastAsia="宋体" w:cs="宋体"/>
          <w:color w:val="000000" w:themeColor="text1"/>
          <w:kern w:val="0"/>
          <w:sz w:val="24"/>
          <w:szCs w:val="24"/>
          <w:u w:val="single"/>
          <w:lang w:eastAsia="zh-CN"/>
          <w14:textFill>
            <w14:solidFill>
              <w14:schemeClr w14:val="tx1"/>
            </w14:solidFill>
          </w14:textFill>
        </w:rPr>
      </w:pPr>
      <w:r>
        <w:rPr>
          <w:rFonts w:hint="eastAsia" w:ascii="宋体" w:hAnsi="宋体" w:eastAsia="宋体" w:cs="宋体"/>
          <w:color w:val="000000" w:themeColor="text1"/>
          <w:kern w:val="0"/>
          <w:sz w:val="24"/>
          <w:szCs w:val="24"/>
          <w:u w:val="single"/>
          <w14:textFill>
            <w14:solidFill>
              <w14:schemeClr w14:val="tx1"/>
            </w14:solidFill>
          </w14:textFill>
        </w:rPr>
        <w:t>广佛地铁佛山段15个站点</w:t>
      </w:r>
      <w:r>
        <w:rPr>
          <w:rFonts w:hint="eastAsia" w:ascii="宋体" w:hAnsi="宋体" w:eastAsia="宋体" w:cs="宋体"/>
          <w:color w:val="000000" w:themeColor="text1"/>
          <w:kern w:val="0"/>
          <w:sz w:val="24"/>
          <w:szCs w:val="24"/>
          <w:u w:val="single"/>
          <w:lang w:eastAsia="zh-CN"/>
          <w14:textFill>
            <w14:solidFill>
              <w14:schemeClr w14:val="tx1"/>
            </w14:solidFill>
          </w14:textFill>
        </w:rPr>
        <w:t>（</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其中</w:t>
      </w:r>
      <w:r>
        <w:rPr>
          <w:rFonts w:hint="eastAsia" w:ascii="宋体" w:hAnsi="宋体" w:eastAsia="宋体" w:cs="宋体"/>
          <w:color w:val="000000" w:themeColor="text1"/>
          <w:kern w:val="0"/>
          <w:sz w:val="24"/>
          <w:szCs w:val="24"/>
          <w:u w:val="single"/>
          <w:lang w:eastAsia="zh-CN"/>
          <w14:textFill>
            <w14:solidFill>
              <w14:schemeClr w14:val="tx1"/>
            </w14:solidFill>
          </w14:textFill>
        </w:rPr>
        <w:t>一期</w:t>
      </w:r>
      <w:r>
        <w:rPr>
          <w:rFonts w:hint="eastAsia" w:ascii="宋体" w:hAnsi="宋体" w:eastAsia="宋体" w:cs="宋体"/>
          <w:color w:val="000000" w:themeColor="text1"/>
          <w:kern w:val="0"/>
          <w:sz w:val="24"/>
          <w:szCs w:val="24"/>
          <w:u w:val="single"/>
          <w14:textFill>
            <w14:solidFill>
              <w14:schemeClr w14:val="tx1"/>
            </w14:solidFill>
          </w14:textFill>
        </w:rPr>
        <w:t>金融高新区</w:t>
      </w:r>
      <w:r>
        <w:rPr>
          <w:rFonts w:hint="eastAsia" w:ascii="宋体" w:hAnsi="宋体" w:eastAsia="宋体" w:cs="宋体"/>
          <w:color w:val="000000" w:themeColor="text1"/>
          <w:kern w:val="0"/>
          <w:sz w:val="24"/>
          <w:szCs w:val="24"/>
          <w:u w:val="single"/>
          <w:lang w:eastAsia="zh-CN"/>
          <w14:textFill>
            <w14:solidFill>
              <w14:schemeClr w14:val="tx1"/>
            </w14:solidFill>
          </w14:textFill>
        </w:rPr>
        <w:t>至</w:t>
      </w:r>
      <w:r>
        <w:rPr>
          <w:rFonts w:hint="eastAsia" w:ascii="宋体" w:hAnsi="宋体" w:eastAsia="宋体" w:cs="宋体"/>
          <w:color w:val="000000" w:themeColor="text1"/>
          <w:kern w:val="0"/>
          <w:sz w:val="24"/>
          <w:szCs w:val="24"/>
          <w:u w:val="single"/>
          <w14:textFill>
            <w14:solidFill>
              <w14:schemeClr w14:val="tx1"/>
            </w14:solidFill>
          </w14:textFill>
        </w:rPr>
        <w:t>魁奇路11</w:t>
      </w:r>
      <w:r>
        <w:rPr>
          <w:rFonts w:hint="eastAsia" w:ascii="宋体" w:hAnsi="宋体" w:eastAsia="宋体" w:cs="宋体"/>
          <w:color w:val="000000" w:themeColor="text1"/>
          <w:kern w:val="0"/>
          <w:sz w:val="24"/>
          <w:szCs w:val="24"/>
          <w:u w:val="single"/>
          <w:lang w:eastAsia="zh-CN"/>
          <w14:textFill>
            <w14:solidFill>
              <w14:schemeClr w14:val="tx1"/>
            </w14:solidFill>
          </w14:textFill>
        </w:rPr>
        <w:t>站，二期澜石至新城东</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4站，包含区间、车站及车站警务室），</w:t>
      </w:r>
      <w:r>
        <w:rPr>
          <w:rFonts w:hint="eastAsia" w:ascii="宋体" w:hAnsi="宋体" w:eastAsia="宋体" w:cs="宋体"/>
          <w:color w:val="000000" w:themeColor="text1"/>
          <w:kern w:val="0"/>
          <w:sz w:val="24"/>
          <w:szCs w:val="24"/>
          <w:u w:val="single"/>
          <w14:textFill>
            <w14:solidFill>
              <w14:schemeClr w14:val="tx1"/>
            </w14:solidFill>
          </w14:textFill>
        </w:rPr>
        <w:t>佛山市公安局地铁分局、普君北路派出所、海五路派出所等无线通信设备的日常、应急维护维修及故障设备、配件更换</w:t>
      </w:r>
      <w:r>
        <w:rPr>
          <w:rFonts w:hint="eastAsia" w:ascii="宋体" w:hAnsi="宋体" w:eastAsia="宋体" w:cs="宋体"/>
          <w:color w:val="000000" w:themeColor="text1"/>
          <w:kern w:val="0"/>
          <w:sz w:val="24"/>
          <w:szCs w:val="24"/>
          <w:u w:val="single"/>
          <w:lang w:eastAsia="zh-CN"/>
          <w14:textFill>
            <w14:solidFill>
              <w14:schemeClr w14:val="tx1"/>
            </w14:solidFill>
          </w14:textFill>
        </w:rPr>
        <w:t>工作</w:t>
      </w:r>
      <w:r>
        <w:rPr>
          <w:rFonts w:hint="eastAsia" w:ascii="宋体" w:hAnsi="宋体" w:eastAsia="宋体" w:cs="宋体"/>
          <w:color w:val="000000" w:themeColor="text1"/>
          <w:kern w:val="0"/>
          <w:sz w:val="24"/>
          <w:szCs w:val="24"/>
          <w:u w:val="single"/>
          <w14:textFill>
            <w14:solidFill>
              <w14:schemeClr w14:val="tx1"/>
            </w14:solidFill>
          </w14:textFill>
        </w:rPr>
        <w:t>。（15个站点为：魁奇路、季华园、同济路、祖庙、普君北、朝安、桂城、南桂路、雷岗、千灯湖、金融高新区、澜石、世纪莲、东平、新城东）</w:t>
      </w:r>
      <w:r>
        <w:rPr>
          <w:rFonts w:hint="eastAsia" w:ascii="宋体" w:hAnsi="宋体" w:eastAsia="宋体" w:cs="宋体"/>
          <w:color w:val="000000" w:themeColor="text1"/>
          <w:kern w:val="0"/>
          <w:sz w:val="24"/>
          <w:szCs w:val="24"/>
          <w:u w:val="single"/>
          <w:lang w:eastAsia="zh-CN"/>
          <w14:textFill>
            <w14:solidFill>
              <w14:schemeClr w14:val="tx1"/>
            </w14:solidFill>
          </w14:textFill>
        </w:rPr>
        <w:t>，一期维护期为36个月，二期为</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33个月</w:t>
      </w:r>
      <w:r>
        <w:rPr>
          <w:rFonts w:hint="eastAsia" w:ascii="宋体" w:hAnsi="宋体" w:eastAsia="宋体" w:cs="宋体"/>
          <w:color w:val="000000" w:themeColor="text1"/>
          <w:kern w:val="0"/>
          <w:sz w:val="24"/>
          <w:szCs w:val="24"/>
          <w:u w:val="single"/>
          <w:lang w:eastAsia="zh-CN"/>
          <w14:textFill>
            <w14:solidFill>
              <w14:schemeClr w14:val="tx1"/>
            </w14:solidFill>
          </w14:textFill>
        </w:rPr>
        <w:t>。</w:t>
      </w:r>
      <w:bookmarkEnd w:id="1"/>
    </w:p>
    <w:p>
      <w:pPr>
        <w:keepNext w:val="0"/>
        <w:keepLines w:val="0"/>
        <w:pageBreakBefore w:val="0"/>
        <w:wordWrap/>
        <w:topLinePunct w:val="0"/>
        <w:bidi w:val="0"/>
        <w:spacing w:line="500" w:lineRule="exact"/>
        <w:ind w:firstLine="480" w:firstLineChars="200"/>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五、标段划分及各标段招标内容、规模和最高投标限价：</w:t>
      </w:r>
    </w:p>
    <w:p>
      <w:pPr>
        <w:keepNext w:val="0"/>
        <w:keepLines w:val="0"/>
        <w:pageBreakBefore w:val="0"/>
        <w:wordWrap/>
        <w:topLinePunct w:val="0"/>
        <w:bidi w:val="0"/>
        <w:spacing w:line="500" w:lineRule="exact"/>
        <w:ind w:firstLine="480" w:firstLineChars="200"/>
        <w:textAlignment w:val="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1、本项目划分为1个标段。</w:t>
      </w:r>
    </w:p>
    <w:p>
      <w:pPr>
        <w:keepNext w:val="0"/>
        <w:keepLines w:val="0"/>
        <w:pageBreakBefore w:val="0"/>
        <w:wordWrap/>
        <w:topLinePunct w:val="0"/>
        <w:bidi w:val="0"/>
        <w:spacing w:line="500" w:lineRule="exact"/>
        <w:ind w:firstLine="480" w:firstLineChars="200"/>
        <w:textAlignment w:val="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2、招标内容、规模</w:t>
      </w:r>
      <w:r>
        <w:rPr>
          <w:rFonts w:hint="eastAsia" w:ascii="宋体" w:hAnsi="宋体" w:eastAsia="宋体" w:cs="宋体"/>
          <w:color w:val="3C3C3C"/>
          <w:kern w:val="0"/>
          <w:sz w:val="24"/>
          <w:szCs w:val="24"/>
        </w:rPr>
        <w:t>：</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（1）</w:t>
      </w:r>
      <w:r>
        <w:rPr>
          <w:rFonts w:hint="eastAsia" w:ascii="宋体" w:hAnsi="宋体" w:eastAsia="宋体" w:cs="宋体"/>
          <w:color w:val="000000" w:themeColor="text1"/>
          <w:kern w:val="0"/>
          <w:sz w:val="24"/>
          <w:szCs w:val="24"/>
          <w:u w:val="single"/>
          <w14:textFill>
            <w14:solidFill>
              <w14:schemeClr w14:val="tx1"/>
            </w14:solidFill>
          </w14:textFill>
        </w:rPr>
        <w:t>本项目需要对广佛线佛山公安无线系统以及相关系统进行维护保养，负责佛山境内1</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5</w:t>
      </w:r>
      <w:r>
        <w:rPr>
          <w:rFonts w:hint="eastAsia" w:ascii="宋体" w:hAnsi="宋体" w:eastAsia="宋体" w:cs="宋体"/>
          <w:color w:val="000000" w:themeColor="text1"/>
          <w:kern w:val="0"/>
          <w:sz w:val="24"/>
          <w:szCs w:val="24"/>
          <w:u w:val="single"/>
          <w14:textFill>
            <w14:solidFill>
              <w14:schemeClr w14:val="tx1"/>
            </w14:solidFill>
          </w14:textFill>
        </w:rPr>
        <w:t>座车站</w:t>
      </w:r>
      <w:r>
        <w:rPr>
          <w:rFonts w:hint="eastAsia" w:ascii="宋体" w:hAnsi="宋体" w:eastAsia="宋体" w:cs="宋体"/>
          <w:color w:val="000000" w:themeColor="text1"/>
          <w:kern w:val="0"/>
          <w:sz w:val="24"/>
          <w:szCs w:val="24"/>
          <w:u w:val="single"/>
          <w:lang w:eastAsia="zh-CN"/>
          <w14:textFill>
            <w14:solidFill>
              <w14:schemeClr w14:val="tx1"/>
            </w14:solidFill>
          </w14:textFill>
        </w:rPr>
        <w:t>（</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其中</w:t>
      </w:r>
      <w:r>
        <w:rPr>
          <w:rFonts w:hint="eastAsia" w:ascii="宋体" w:hAnsi="宋体" w:eastAsia="宋体" w:cs="宋体"/>
          <w:color w:val="000000" w:themeColor="text1"/>
          <w:kern w:val="0"/>
          <w:sz w:val="24"/>
          <w:szCs w:val="24"/>
          <w:u w:val="single"/>
          <w:lang w:eastAsia="zh-CN"/>
          <w14:textFill>
            <w14:solidFill>
              <w14:schemeClr w14:val="tx1"/>
            </w14:solidFill>
          </w14:textFill>
        </w:rPr>
        <w:t>一期</w:t>
      </w:r>
      <w:r>
        <w:rPr>
          <w:rFonts w:hint="eastAsia" w:ascii="宋体" w:hAnsi="宋体" w:eastAsia="宋体" w:cs="宋体"/>
          <w:color w:val="000000" w:themeColor="text1"/>
          <w:kern w:val="0"/>
          <w:sz w:val="24"/>
          <w:szCs w:val="24"/>
          <w:u w:val="single"/>
          <w14:textFill>
            <w14:solidFill>
              <w14:schemeClr w14:val="tx1"/>
            </w14:solidFill>
          </w14:textFill>
        </w:rPr>
        <w:t>金融高新区</w:t>
      </w:r>
      <w:r>
        <w:rPr>
          <w:rFonts w:hint="eastAsia" w:ascii="宋体" w:hAnsi="宋体" w:eastAsia="宋体" w:cs="宋体"/>
          <w:color w:val="000000" w:themeColor="text1"/>
          <w:kern w:val="0"/>
          <w:sz w:val="24"/>
          <w:szCs w:val="24"/>
          <w:u w:val="single"/>
          <w:lang w:eastAsia="zh-CN"/>
          <w14:textFill>
            <w14:solidFill>
              <w14:schemeClr w14:val="tx1"/>
            </w14:solidFill>
          </w14:textFill>
        </w:rPr>
        <w:t>至</w:t>
      </w:r>
      <w:r>
        <w:rPr>
          <w:rFonts w:hint="eastAsia" w:ascii="宋体" w:hAnsi="宋体" w:eastAsia="宋体" w:cs="宋体"/>
          <w:color w:val="000000" w:themeColor="text1"/>
          <w:kern w:val="0"/>
          <w:sz w:val="24"/>
          <w:szCs w:val="24"/>
          <w:u w:val="single"/>
          <w14:textFill>
            <w14:solidFill>
              <w14:schemeClr w14:val="tx1"/>
            </w14:solidFill>
          </w14:textFill>
        </w:rPr>
        <w:t>魁奇路11</w:t>
      </w:r>
      <w:r>
        <w:rPr>
          <w:rFonts w:hint="eastAsia" w:ascii="宋体" w:hAnsi="宋体" w:eastAsia="宋体" w:cs="宋体"/>
          <w:color w:val="000000" w:themeColor="text1"/>
          <w:kern w:val="0"/>
          <w:sz w:val="24"/>
          <w:szCs w:val="24"/>
          <w:u w:val="single"/>
          <w:lang w:eastAsia="zh-CN"/>
          <w14:textFill>
            <w14:solidFill>
              <w14:schemeClr w14:val="tx1"/>
            </w14:solidFill>
          </w14:textFill>
        </w:rPr>
        <w:t>站，二期澜石至新城东</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4站，包含区间、车站及车站警务室），</w:t>
      </w:r>
      <w:r>
        <w:rPr>
          <w:rFonts w:hint="eastAsia" w:ascii="宋体" w:hAnsi="宋体" w:eastAsia="宋体" w:cs="宋体"/>
          <w:color w:val="000000" w:themeColor="text1"/>
          <w:kern w:val="0"/>
          <w:sz w:val="24"/>
          <w:szCs w:val="24"/>
          <w:u w:val="single"/>
          <w14:textFill>
            <w14:solidFill>
              <w14:schemeClr w14:val="tx1"/>
            </w14:solidFill>
          </w14:textFill>
        </w:rPr>
        <w:t>佛山市公安局地铁分局、普君北路派出所、海五路派出所等无线通信设备的日常、应急维护维修及故障设备、配件更换</w:t>
      </w:r>
      <w:r>
        <w:rPr>
          <w:rFonts w:hint="eastAsia" w:ascii="宋体" w:hAnsi="宋体" w:eastAsia="宋体" w:cs="宋体"/>
          <w:color w:val="000000" w:themeColor="text1"/>
          <w:kern w:val="0"/>
          <w:sz w:val="24"/>
          <w:szCs w:val="24"/>
          <w:u w:val="single"/>
          <w:lang w:eastAsia="zh-CN"/>
          <w14:textFill>
            <w14:solidFill>
              <w14:schemeClr w14:val="tx1"/>
            </w14:solidFill>
          </w14:textFill>
        </w:rPr>
        <w:t>工作</w:t>
      </w:r>
      <w:r>
        <w:rPr>
          <w:rFonts w:hint="eastAsia" w:ascii="宋体" w:hAnsi="宋体" w:eastAsia="宋体" w:cs="宋体"/>
          <w:color w:val="000000" w:themeColor="text1"/>
          <w:kern w:val="0"/>
          <w:sz w:val="24"/>
          <w:szCs w:val="24"/>
          <w:u w:val="single"/>
          <w14:textFill>
            <w14:solidFill>
              <w14:schemeClr w14:val="tx1"/>
            </w14:solidFill>
          </w14:textFill>
        </w:rPr>
        <w:t>。</w:t>
      </w:r>
    </w:p>
    <w:p>
      <w:pPr>
        <w:keepNext w:val="0"/>
        <w:keepLines w:val="0"/>
        <w:pageBreakBefore w:val="0"/>
        <w:wordWrap/>
        <w:topLinePunct w:val="0"/>
        <w:bidi w:val="0"/>
        <w:spacing w:line="500" w:lineRule="exact"/>
        <w:ind w:firstLine="480" w:firstLineChars="200"/>
        <w:textAlignment w:val="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u w:val="single"/>
          <w14:textFill>
            <w14:solidFill>
              <w14:schemeClr w14:val="tx1"/>
            </w14:solidFill>
          </w14:textFill>
        </w:rPr>
        <w:t>维护保养的内容包括以上公安</w:t>
      </w:r>
      <w:r>
        <w:rPr>
          <w:rFonts w:hint="eastAsia" w:ascii="宋体" w:hAnsi="宋体" w:eastAsia="宋体" w:cs="宋体"/>
          <w:color w:val="000000" w:themeColor="text1"/>
          <w:kern w:val="0"/>
          <w:sz w:val="24"/>
          <w:szCs w:val="24"/>
          <w:u w:val="single"/>
          <w:lang w:eastAsia="zh-CN"/>
          <w14:textFill>
            <w14:solidFill>
              <w14:schemeClr w14:val="tx1"/>
            </w14:solidFill>
          </w14:textFill>
        </w:rPr>
        <w:t>无线</w:t>
      </w:r>
      <w:r>
        <w:rPr>
          <w:rFonts w:hint="eastAsia" w:ascii="宋体" w:hAnsi="宋体" w:eastAsia="宋体" w:cs="宋体"/>
          <w:color w:val="000000" w:themeColor="text1"/>
          <w:kern w:val="0"/>
          <w:sz w:val="24"/>
          <w:szCs w:val="24"/>
          <w:u w:val="single"/>
          <w14:textFill>
            <w14:solidFill>
              <w14:schemeClr w14:val="tx1"/>
            </w14:solidFill>
          </w14:textFill>
        </w:rPr>
        <w:t>通信设备（含软件）的计划修（包含日巡检、年检等）、故障修、应急抢修、所辖设备及其附属设备的质量检测配合、各类配合监护任务和意外损失的设备恢复。</w:t>
      </w:r>
    </w:p>
    <w:p>
      <w:pPr>
        <w:keepNext w:val="0"/>
        <w:keepLines w:val="0"/>
        <w:pageBreakBefore w:val="0"/>
        <w:wordWrap/>
        <w:topLinePunct w:val="0"/>
        <w:bidi w:val="0"/>
        <w:spacing w:line="500" w:lineRule="exact"/>
        <w:ind w:firstLine="480" w:firstLineChars="200"/>
        <w:textAlignment w:val="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u w:val="single"/>
          <w:lang w:val="en-US" w:eastAsia="zh-CN"/>
          <w14:textFill>
            <w14:solidFill>
              <w14:schemeClr w14:val="tx1"/>
            </w14:solidFill>
          </w14:textFill>
        </w:rPr>
        <w:t>（3）</w:t>
      </w:r>
      <w:r>
        <w:rPr>
          <w:rFonts w:hint="eastAsia" w:ascii="宋体" w:hAnsi="宋体" w:eastAsia="宋体" w:cs="宋体"/>
          <w:color w:val="000000" w:themeColor="text1"/>
          <w:kern w:val="0"/>
          <w:sz w:val="24"/>
          <w:szCs w:val="24"/>
          <w:u w:val="single"/>
          <w14:textFill>
            <w14:solidFill>
              <w14:schemeClr w14:val="tx1"/>
            </w14:solidFill>
          </w14:textFill>
        </w:rPr>
        <w:t>合同期内，</w:t>
      </w:r>
      <w:r>
        <w:rPr>
          <w:rFonts w:hint="eastAsia" w:ascii="宋体" w:hAnsi="宋体" w:eastAsia="宋体" w:cs="宋体"/>
          <w:color w:val="000000" w:themeColor="text1"/>
          <w:kern w:val="0"/>
          <w:sz w:val="24"/>
          <w:szCs w:val="24"/>
          <w:u w:val="single"/>
          <w:lang w:eastAsia="zh-CN"/>
          <w14:textFill>
            <w14:solidFill>
              <w14:schemeClr w14:val="tx1"/>
            </w14:solidFill>
          </w14:textFill>
        </w:rPr>
        <w:t>负责协助、配合广佛地铁公司及地铁公安分局完成</w:t>
      </w:r>
      <w:r>
        <w:rPr>
          <w:rFonts w:hint="eastAsia" w:ascii="宋体" w:hAnsi="宋体" w:eastAsia="宋体" w:cs="宋体"/>
          <w:color w:val="000000" w:themeColor="text1"/>
          <w:kern w:val="0"/>
          <w:sz w:val="24"/>
          <w:szCs w:val="24"/>
          <w:u w:val="single"/>
          <w14:textFill>
            <w14:solidFill>
              <w14:schemeClr w14:val="tx1"/>
            </w14:solidFill>
          </w14:textFill>
        </w:rPr>
        <w:t>由于设备</w:t>
      </w:r>
      <w:r>
        <w:rPr>
          <w:rFonts w:hint="eastAsia" w:ascii="宋体" w:hAnsi="宋体" w:eastAsia="宋体" w:cs="宋体"/>
          <w:color w:val="000000" w:themeColor="text1"/>
          <w:kern w:val="0"/>
          <w:sz w:val="24"/>
          <w:szCs w:val="24"/>
          <w:u w:val="single"/>
          <w:lang w:eastAsia="zh-CN"/>
          <w14:textFill>
            <w14:solidFill>
              <w14:schemeClr w14:val="tx1"/>
            </w14:solidFill>
          </w14:textFill>
        </w:rPr>
        <w:t>技改</w:t>
      </w:r>
      <w:r>
        <w:rPr>
          <w:rFonts w:hint="eastAsia" w:ascii="宋体" w:hAnsi="宋体" w:eastAsia="宋体" w:cs="宋体"/>
          <w:color w:val="000000" w:themeColor="text1"/>
          <w:kern w:val="0"/>
          <w:sz w:val="24"/>
          <w:szCs w:val="24"/>
          <w:u w:val="single"/>
          <w14:textFill>
            <w14:solidFill>
              <w14:schemeClr w14:val="tx1"/>
            </w14:solidFill>
          </w14:textFill>
        </w:rPr>
        <w:t>更新、</w:t>
      </w:r>
      <w:r>
        <w:rPr>
          <w:rFonts w:hint="eastAsia" w:ascii="宋体" w:hAnsi="宋体" w:eastAsia="宋体" w:cs="宋体"/>
          <w:color w:val="000000" w:themeColor="text1"/>
          <w:kern w:val="0"/>
          <w:sz w:val="24"/>
          <w:szCs w:val="24"/>
          <w:u w:val="single"/>
          <w:lang w:eastAsia="zh-CN"/>
          <w14:textFill>
            <w14:solidFill>
              <w14:schemeClr w14:val="tx1"/>
            </w14:solidFill>
          </w14:textFill>
        </w:rPr>
        <w:t>升级</w:t>
      </w:r>
      <w:r>
        <w:rPr>
          <w:rFonts w:hint="eastAsia" w:ascii="宋体" w:hAnsi="宋体" w:eastAsia="宋体" w:cs="宋体"/>
          <w:color w:val="000000" w:themeColor="text1"/>
          <w:kern w:val="0"/>
          <w:sz w:val="24"/>
          <w:szCs w:val="24"/>
          <w:u w:val="single"/>
          <w14:textFill>
            <w14:solidFill>
              <w14:schemeClr w14:val="tx1"/>
            </w14:solidFill>
          </w14:textFill>
        </w:rPr>
        <w:t>改造</w:t>
      </w:r>
      <w:r>
        <w:rPr>
          <w:rFonts w:hint="eastAsia" w:ascii="宋体" w:hAnsi="宋体" w:eastAsia="宋体" w:cs="宋体"/>
          <w:color w:val="000000" w:themeColor="text1"/>
          <w:kern w:val="0"/>
          <w:sz w:val="24"/>
          <w:szCs w:val="24"/>
          <w:u w:val="single"/>
          <w:lang w:eastAsia="zh-CN"/>
          <w14:textFill>
            <w14:solidFill>
              <w14:schemeClr w14:val="tx1"/>
            </w14:solidFill>
          </w14:textFill>
        </w:rPr>
        <w:t>、故障更换、设备增购</w:t>
      </w:r>
      <w:r>
        <w:rPr>
          <w:rFonts w:hint="eastAsia" w:ascii="宋体" w:hAnsi="宋体" w:eastAsia="宋体" w:cs="宋体"/>
          <w:color w:val="000000" w:themeColor="text1"/>
          <w:kern w:val="0"/>
          <w:sz w:val="24"/>
          <w:szCs w:val="24"/>
          <w:u w:val="single"/>
          <w14:textFill>
            <w14:solidFill>
              <w14:schemeClr w14:val="tx1"/>
            </w14:solidFill>
          </w14:textFill>
        </w:rPr>
        <w:t>等原因</w:t>
      </w:r>
      <w:r>
        <w:rPr>
          <w:rFonts w:hint="eastAsia" w:ascii="宋体" w:hAnsi="宋体" w:eastAsia="宋体" w:cs="宋体"/>
          <w:color w:val="000000" w:themeColor="text1"/>
          <w:kern w:val="0"/>
          <w:sz w:val="24"/>
          <w:szCs w:val="24"/>
          <w:u w:val="single"/>
          <w:lang w:eastAsia="zh-CN"/>
          <w14:textFill>
            <w14:solidFill>
              <w14:schemeClr w14:val="tx1"/>
            </w14:solidFill>
          </w14:textFill>
        </w:rPr>
        <w:t>涉及的相应</w:t>
      </w:r>
      <w:r>
        <w:rPr>
          <w:rFonts w:hint="eastAsia" w:ascii="宋体" w:hAnsi="宋体" w:eastAsia="宋体" w:cs="宋体"/>
          <w:color w:val="000000" w:themeColor="text1"/>
          <w:kern w:val="0"/>
          <w:sz w:val="24"/>
          <w:szCs w:val="24"/>
          <w:u w:val="single"/>
          <w14:textFill>
            <w14:solidFill>
              <w14:schemeClr w14:val="tx1"/>
            </w14:solidFill>
          </w14:textFill>
        </w:rPr>
        <w:t>设备的</w:t>
      </w:r>
      <w:r>
        <w:rPr>
          <w:rFonts w:hint="eastAsia" w:ascii="宋体" w:hAnsi="宋体" w:eastAsia="宋体" w:cs="宋体"/>
          <w:color w:val="000000" w:themeColor="text1"/>
          <w:kern w:val="0"/>
          <w:sz w:val="24"/>
          <w:szCs w:val="24"/>
          <w:u w:val="single"/>
          <w:lang w:eastAsia="zh-CN"/>
          <w14:textFill>
            <w14:solidFill>
              <w14:schemeClr w14:val="tx1"/>
            </w14:solidFill>
          </w14:textFill>
        </w:rPr>
        <w:t>技术评估、质量检测、拆装调试、成品验收等相关工作</w:t>
      </w:r>
      <w:r>
        <w:rPr>
          <w:rFonts w:hint="eastAsia" w:ascii="宋体" w:hAnsi="宋体" w:eastAsia="宋体" w:cs="宋体"/>
          <w:color w:val="000000" w:themeColor="text1"/>
          <w:kern w:val="0"/>
          <w:sz w:val="24"/>
          <w:szCs w:val="24"/>
          <w:u w:val="single"/>
          <w14:textFill>
            <w14:solidFill>
              <w14:schemeClr w14:val="tx1"/>
            </w14:solidFill>
          </w14:textFill>
        </w:rPr>
        <w:t>。</w:t>
      </w:r>
    </w:p>
    <w:p>
      <w:pPr>
        <w:keepNext w:val="0"/>
        <w:keepLines w:val="0"/>
        <w:pageBreakBefore w:val="0"/>
        <w:widowControl/>
        <w:shd w:val="clear" w:color="auto" w:fill="FFFFFF"/>
        <w:wordWrap/>
        <w:topLinePunct w:val="0"/>
        <w:bidi w:val="0"/>
        <w:snapToGrid w:val="0"/>
        <w:spacing w:line="500" w:lineRule="exact"/>
        <w:ind w:firstLine="480" w:firstLineChars="200"/>
        <w:jc w:val="left"/>
        <w:textAlignment w:val="auto"/>
        <w:rPr>
          <w:rFonts w:ascii="宋体" w:hAnsi="宋体" w:eastAsia="宋体" w:cs="宋体"/>
          <w:color w:val="3C3C3C"/>
          <w:kern w:val="0"/>
          <w:sz w:val="18"/>
          <w:szCs w:val="18"/>
        </w:rPr>
      </w:pPr>
      <w:r>
        <w:rPr>
          <w:rFonts w:hint="eastAsia" w:ascii="宋体" w:hAnsi="宋体" w:eastAsia="宋体" w:cs="宋体"/>
          <w:color w:val="3C3C3C"/>
          <w:kern w:val="0"/>
          <w:sz w:val="24"/>
          <w:szCs w:val="24"/>
          <w:lang w:val="zh-CN"/>
        </w:rPr>
        <w:t>3、</w:t>
      </w:r>
      <w:r>
        <w:rPr>
          <w:rFonts w:hint="eastAsia" w:ascii="宋体" w:hAnsi="宋体" w:eastAsia="宋体" w:cs="宋体"/>
          <w:color w:val="000000" w:themeColor="text1"/>
          <w:kern w:val="0"/>
          <w:sz w:val="24"/>
          <w:szCs w:val="24"/>
          <w:lang w:val="zh-CN"/>
          <w14:textFill>
            <w14:solidFill>
              <w14:schemeClr w14:val="tx1"/>
            </w14:solidFill>
          </w14:textFill>
        </w:rPr>
        <w:t>最高投标限价</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167.4685</w:t>
      </w:r>
      <w:r>
        <w:rPr>
          <w:rFonts w:hint="eastAsia" w:ascii="宋体" w:hAnsi="宋体" w:eastAsia="宋体" w:cs="宋体"/>
          <w:color w:val="000000" w:themeColor="text1"/>
          <w:kern w:val="0"/>
          <w:sz w:val="24"/>
          <w:szCs w:val="24"/>
          <w14:textFill>
            <w14:solidFill>
              <w14:schemeClr w14:val="tx1"/>
            </w14:solidFill>
          </w14:textFill>
        </w:rPr>
        <w:t>万元</w:t>
      </w:r>
      <w:r>
        <w:rPr>
          <w:rFonts w:hint="eastAsia" w:ascii="宋体" w:hAnsi="宋体" w:eastAsia="宋体" w:cs="宋体"/>
          <w:color w:val="3C3C3C"/>
          <w:kern w:val="0"/>
          <w:sz w:val="24"/>
          <w:szCs w:val="24"/>
        </w:rPr>
        <w:t>。</w:t>
      </w:r>
    </w:p>
    <w:p>
      <w:pPr>
        <w:keepNext w:val="0"/>
        <w:keepLines w:val="0"/>
        <w:pageBreakBefore w:val="0"/>
        <w:widowControl/>
        <w:shd w:val="clear" w:color="auto" w:fill="FFFFFF"/>
        <w:wordWrap/>
        <w:topLinePunct w:val="0"/>
        <w:bidi w:val="0"/>
        <w:snapToGrid w:val="0"/>
        <w:spacing w:line="500" w:lineRule="exact"/>
        <w:ind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六、资金来源：</w:t>
      </w:r>
      <w:r>
        <w:rPr>
          <w:rFonts w:hint="eastAsia" w:ascii="宋体" w:hAnsi="宋体" w:eastAsia="宋体" w:cs="宋体"/>
          <w:color w:val="000000"/>
          <w:kern w:val="0"/>
          <w:sz w:val="24"/>
          <w:szCs w:val="24"/>
          <w:u w:val="single"/>
        </w:rPr>
        <w:t>自筹资金</w:t>
      </w:r>
    </w:p>
    <w:p>
      <w:pPr>
        <w:keepNext w:val="0"/>
        <w:keepLines w:val="0"/>
        <w:pageBreakBefore w:val="0"/>
        <w:widowControl/>
        <w:shd w:val="clear" w:color="auto" w:fill="FFFFFF"/>
        <w:wordWrap/>
        <w:topLinePunct w:val="0"/>
        <w:bidi w:val="0"/>
        <w:snapToGrid w:val="0"/>
        <w:spacing w:line="500" w:lineRule="exact"/>
        <w:ind w:firstLine="480" w:firstLineChars="200"/>
        <w:jc w:val="left"/>
        <w:textAlignment w:val="auto"/>
        <w:rPr>
          <w:rFonts w:hint="eastAsia" w:ascii="宋体" w:hAnsi="宋体" w:eastAsia="宋体" w:cs="宋体"/>
          <w:b w:val="0"/>
          <w:bCs w:val="0"/>
          <w:sz w:val="24"/>
        </w:rPr>
      </w:pPr>
      <w:r>
        <w:rPr>
          <w:rFonts w:hint="eastAsia" w:ascii="宋体" w:hAnsi="宋体" w:eastAsia="宋体" w:cs="宋体"/>
          <w:b w:val="0"/>
          <w:bCs w:val="0"/>
          <w:sz w:val="24"/>
          <w:lang w:val="en-US" w:eastAsia="zh-CN"/>
        </w:rPr>
        <w:t>七</w:t>
      </w:r>
      <w:r>
        <w:rPr>
          <w:rFonts w:hint="eastAsia" w:ascii="宋体" w:hAnsi="宋体" w:eastAsia="宋体" w:cs="宋体"/>
          <w:b w:val="0"/>
          <w:bCs w:val="0"/>
          <w:sz w:val="24"/>
        </w:rPr>
        <w:t>、招标文件的获取与投标登记</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1、</w:t>
      </w:r>
      <w:r>
        <w:rPr>
          <w:rFonts w:hint="eastAsia" w:ascii="宋体" w:hAnsi="宋体" w:eastAsia="宋体" w:cs="宋体"/>
          <w:kern w:val="0"/>
          <w:sz w:val="24"/>
        </w:rPr>
        <w:t xml:space="preserve"> 招标文件于</w:t>
      </w:r>
      <w:r>
        <w:rPr>
          <w:rFonts w:hint="eastAsia" w:ascii="宋体" w:hAnsi="宋体" w:eastAsia="宋体" w:cs="宋体"/>
          <w:kern w:val="0"/>
          <w:sz w:val="24"/>
          <w:u w:val="single"/>
        </w:rPr>
        <w:t>20</w:t>
      </w:r>
      <w:r>
        <w:rPr>
          <w:rFonts w:hint="eastAsia" w:ascii="宋体" w:hAnsi="宋体" w:eastAsia="宋体" w:cs="宋体"/>
          <w:kern w:val="0"/>
          <w:sz w:val="24"/>
          <w:u w:val="single"/>
          <w:lang w:val="en-US" w:eastAsia="zh-CN"/>
        </w:rPr>
        <w:t>23</w:t>
      </w:r>
      <w:r>
        <w:rPr>
          <w:rFonts w:hint="eastAsia" w:ascii="宋体" w:hAnsi="宋体" w:eastAsia="宋体" w:cs="宋体"/>
          <w:kern w:val="0"/>
          <w:sz w:val="24"/>
        </w:rPr>
        <w:t>年</w:t>
      </w:r>
      <w:r>
        <w:rPr>
          <w:rFonts w:hint="eastAsia" w:ascii="宋体" w:hAnsi="宋体" w:eastAsia="宋体" w:cs="宋体"/>
          <w:kern w:val="0"/>
          <w:sz w:val="24"/>
          <w:u w:val="single"/>
          <w:lang w:val="en-US" w:eastAsia="zh-CN"/>
        </w:rPr>
        <w:t>8</w:t>
      </w:r>
      <w:r>
        <w:rPr>
          <w:rFonts w:hint="eastAsia" w:ascii="宋体" w:hAnsi="宋体" w:eastAsia="宋体" w:cs="宋体"/>
          <w:kern w:val="0"/>
          <w:sz w:val="24"/>
        </w:rPr>
        <w:t>月</w:t>
      </w:r>
      <w:r>
        <w:rPr>
          <w:rFonts w:hint="eastAsia" w:ascii="宋体" w:hAnsi="宋体" w:eastAsia="宋体" w:cs="宋体"/>
          <w:kern w:val="0"/>
          <w:sz w:val="24"/>
          <w:u w:val="single"/>
          <w:lang w:val="en-US" w:eastAsia="zh-CN"/>
        </w:rPr>
        <w:t>10</w:t>
      </w:r>
      <w:r>
        <w:rPr>
          <w:rFonts w:hint="eastAsia" w:ascii="宋体" w:hAnsi="宋体" w:eastAsia="宋体" w:cs="宋体"/>
          <w:kern w:val="0"/>
          <w:sz w:val="24"/>
        </w:rPr>
        <w:t>日发出，投标人自行登录广州公共资源交易中心网下载招标文件及相关资料。</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2、</w:t>
      </w:r>
      <w:r>
        <w:rPr>
          <w:rFonts w:hint="eastAsia" w:ascii="宋体" w:hAnsi="宋体" w:eastAsia="宋体" w:cs="宋体"/>
          <w:kern w:val="0"/>
          <w:sz w:val="24"/>
        </w:rPr>
        <w:t>投标人在递交投标文件时缴交招标文件资料费人民币</w:t>
      </w:r>
      <w:r>
        <w:rPr>
          <w:rFonts w:hint="eastAsia" w:ascii="宋体" w:hAnsi="宋体" w:eastAsia="宋体" w:cs="宋体"/>
          <w:kern w:val="0"/>
          <w:sz w:val="24"/>
          <w:lang w:val="en-US" w:eastAsia="zh-CN"/>
        </w:rPr>
        <w:t>伍佰</w:t>
      </w:r>
      <w:r>
        <w:rPr>
          <w:rFonts w:hint="eastAsia" w:ascii="宋体" w:hAnsi="宋体" w:eastAsia="宋体" w:cs="宋体"/>
          <w:kern w:val="0"/>
          <w:sz w:val="24"/>
        </w:rPr>
        <w:t>元</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售后不退</w:t>
      </w:r>
      <w:r>
        <w:rPr>
          <w:rFonts w:hint="eastAsia" w:ascii="宋体" w:hAnsi="宋体" w:eastAsia="宋体" w:cs="宋体"/>
          <w:kern w:val="0"/>
          <w:sz w:val="24"/>
          <w:lang w:eastAsia="zh-CN"/>
        </w:rPr>
        <w:t>）</w:t>
      </w:r>
      <w:r>
        <w:rPr>
          <w:rFonts w:hint="eastAsia" w:ascii="宋体" w:hAnsi="宋体" w:eastAsia="宋体" w:cs="宋体"/>
          <w:kern w:val="0"/>
          <w:sz w:val="24"/>
        </w:rPr>
        <w:t>。</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3、</w:t>
      </w:r>
      <w:r>
        <w:rPr>
          <w:rFonts w:hint="eastAsia" w:ascii="宋体" w:hAnsi="宋体" w:eastAsia="宋体" w:cs="宋体"/>
          <w:kern w:val="0"/>
          <w:sz w:val="24"/>
        </w:rPr>
        <w:t>投标人应在</w:t>
      </w:r>
      <w:r>
        <w:rPr>
          <w:rFonts w:hint="eastAsia" w:ascii="宋体" w:hAnsi="宋体" w:eastAsia="宋体" w:cs="宋体"/>
          <w:kern w:val="0"/>
          <w:sz w:val="24"/>
          <w:u w:val="single"/>
        </w:rPr>
        <w:t>20</w:t>
      </w:r>
      <w:r>
        <w:rPr>
          <w:rFonts w:hint="eastAsia" w:ascii="宋体" w:hAnsi="宋体" w:eastAsia="宋体" w:cs="宋体"/>
          <w:kern w:val="0"/>
          <w:sz w:val="24"/>
          <w:u w:val="single"/>
          <w:lang w:val="en-US" w:eastAsia="zh-CN"/>
        </w:rPr>
        <w:t>23</w:t>
      </w:r>
      <w:r>
        <w:rPr>
          <w:rFonts w:hint="eastAsia" w:ascii="宋体" w:hAnsi="宋体" w:eastAsia="宋体" w:cs="宋体"/>
          <w:kern w:val="0"/>
          <w:sz w:val="24"/>
        </w:rPr>
        <w:t>年</w:t>
      </w:r>
      <w:r>
        <w:rPr>
          <w:rFonts w:hint="eastAsia" w:ascii="宋体" w:hAnsi="宋体" w:eastAsia="宋体" w:cs="宋体"/>
          <w:kern w:val="0"/>
          <w:sz w:val="24"/>
          <w:u w:val="single"/>
          <w:lang w:val="en-US" w:eastAsia="zh-CN"/>
        </w:rPr>
        <w:t>8</w:t>
      </w:r>
      <w:r>
        <w:rPr>
          <w:rFonts w:hint="eastAsia" w:ascii="宋体" w:hAnsi="宋体" w:eastAsia="宋体" w:cs="宋体"/>
          <w:kern w:val="0"/>
          <w:sz w:val="24"/>
        </w:rPr>
        <w:t>月</w:t>
      </w:r>
      <w:r>
        <w:rPr>
          <w:rFonts w:hint="eastAsia" w:ascii="宋体" w:hAnsi="宋体" w:eastAsia="宋体" w:cs="宋体"/>
          <w:kern w:val="0"/>
          <w:sz w:val="24"/>
          <w:u w:val="single"/>
          <w:lang w:val="en-US" w:eastAsia="zh-CN"/>
        </w:rPr>
        <w:t>10</w:t>
      </w:r>
      <w:r>
        <w:rPr>
          <w:rFonts w:hint="eastAsia" w:ascii="宋体" w:hAnsi="宋体" w:eastAsia="宋体" w:cs="宋体"/>
          <w:kern w:val="0"/>
          <w:sz w:val="24"/>
        </w:rPr>
        <w:t>日</w:t>
      </w:r>
      <w:r>
        <w:rPr>
          <w:rFonts w:hint="eastAsia" w:ascii="宋体" w:hAnsi="宋体" w:eastAsia="宋体" w:cs="宋体"/>
          <w:kern w:val="0"/>
          <w:sz w:val="24"/>
          <w:u w:val="single"/>
          <w:lang w:val="en-US" w:eastAsia="zh-CN"/>
        </w:rPr>
        <w:t>00</w:t>
      </w:r>
      <w:r>
        <w:rPr>
          <w:rFonts w:hint="eastAsia" w:ascii="宋体" w:hAnsi="宋体" w:eastAsia="宋体" w:cs="宋体"/>
          <w:kern w:val="0"/>
          <w:sz w:val="24"/>
          <w:u w:val="none"/>
          <w:lang w:val="en-US" w:eastAsia="zh-CN"/>
        </w:rPr>
        <w:t>时</w:t>
      </w:r>
      <w:r>
        <w:rPr>
          <w:rFonts w:hint="eastAsia" w:ascii="宋体" w:hAnsi="宋体" w:eastAsia="宋体" w:cs="宋体"/>
          <w:kern w:val="0"/>
          <w:sz w:val="24"/>
          <w:u w:val="single"/>
          <w:lang w:val="en-US" w:eastAsia="zh-CN"/>
        </w:rPr>
        <w:t>00</w:t>
      </w:r>
      <w:r>
        <w:rPr>
          <w:rFonts w:hint="eastAsia" w:ascii="宋体" w:hAnsi="宋体" w:eastAsia="宋体" w:cs="宋体"/>
          <w:kern w:val="0"/>
          <w:sz w:val="24"/>
          <w:u w:val="none"/>
          <w:lang w:val="en-US" w:eastAsia="zh-CN"/>
        </w:rPr>
        <w:t>分至</w:t>
      </w:r>
      <w:r>
        <w:rPr>
          <w:rFonts w:hint="eastAsia" w:ascii="宋体" w:hAnsi="宋体" w:eastAsia="宋体" w:cs="宋体"/>
          <w:kern w:val="0"/>
          <w:sz w:val="24"/>
          <w:u w:val="single"/>
        </w:rPr>
        <w:t>20</w:t>
      </w:r>
      <w:r>
        <w:rPr>
          <w:rFonts w:hint="eastAsia" w:ascii="宋体" w:hAnsi="宋体" w:eastAsia="宋体" w:cs="宋体"/>
          <w:kern w:val="0"/>
          <w:sz w:val="24"/>
          <w:u w:val="single"/>
          <w:lang w:val="en-US" w:eastAsia="zh-CN"/>
        </w:rPr>
        <w:t>23</w:t>
      </w:r>
      <w:r>
        <w:rPr>
          <w:rFonts w:hint="eastAsia" w:ascii="宋体" w:hAnsi="宋体" w:eastAsia="宋体" w:cs="宋体"/>
          <w:kern w:val="0"/>
          <w:sz w:val="24"/>
        </w:rPr>
        <w:t>年</w:t>
      </w:r>
      <w:r>
        <w:rPr>
          <w:rFonts w:hint="eastAsia" w:ascii="宋体" w:hAnsi="宋体" w:eastAsia="宋体" w:cs="宋体"/>
          <w:kern w:val="0"/>
          <w:sz w:val="24"/>
          <w:u w:val="single"/>
          <w:lang w:val="en-US" w:eastAsia="zh-CN"/>
        </w:rPr>
        <w:t>8</w:t>
      </w:r>
      <w:r>
        <w:rPr>
          <w:rFonts w:hint="eastAsia" w:ascii="宋体" w:hAnsi="宋体" w:eastAsia="宋体" w:cs="宋体"/>
          <w:kern w:val="0"/>
          <w:sz w:val="24"/>
        </w:rPr>
        <w:t>月</w:t>
      </w:r>
      <w:r>
        <w:rPr>
          <w:rFonts w:hint="eastAsia" w:ascii="宋体" w:hAnsi="宋体" w:eastAsia="宋体" w:cs="宋体"/>
          <w:kern w:val="0"/>
          <w:sz w:val="24"/>
          <w:u w:val="single"/>
          <w:lang w:val="en-US" w:eastAsia="zh-CN"/>
        </w:rPr>
        <w:t>16</w:t>
      </w:r>
      <w:r>
        <w:rPr>
          <w:rFonts w:hint="eastAsia" w:ascii="宋体" w:hAnsi="宋体" w:eastAsia="宋体" w:cs="宋体"/>
          <w:kern w:val="0"/>
          <w:sz w:val="24"/>
        </w:rPr>
        <w:t>日</w:t>
      </w:r>
      <w:r>
        <w:rPr>
          <w:rFonts w:hint="eastAsia" w:ascii="宋体" w:hAnsi="宋体" w:eastAsia="宋体" w:cs="宋体"/>
          <w:kern w:val="0"/>
          <w:sz w:val="24"/>
          <w:u w:val="single"/>
          <w:lang w:val="en-US" w:eastAsia="zh-CN"/>
        </w:rPr>
        <w:t>23</w:t>
      </w:r>
      <w:r>
        <w:rPr>
          <w:rFonts w:hint="eastAsia" w:ascii="宋体" w:hAnsi="宋体" w:eastAsia="宋体" w:cs="宋体"/>
          <w:kern w:val="0"/>
          <w:sz w:val="24"/>
          <w:u w:val="none"/>
          <w:lang w:val="en-US" w:eastAsia="zh-CN"/>
        </w:rPr>
        <w:t>时</w:t>
      </w:r>
      <w:r>
        <w:rPr>
          <w:rFonts w:hint="eastAsia" w:ascii="宋体" w:hAnsi="宋体" w:eastAsia="宋体" w:cs="宋体"/>
          <w:kern w:val="0"/>
          <w:sz w:val="24"/>
          <w:u w:val="single"/>
          <w:lang w:val="en-US" w:eastAsia="zh-CN"/>
        </w:rPr>
        <w:t>59</w:t>
      </w:r>
      <w:r>
        <w:rPr>
          <w:rFonts w:hint="eastAsia" w:ascii="宋体" w:hAnsi="宋体" w:eastAsia="宋体" w:cs="宋体"/>
          <w:kern w:val="0"/>
          <w:sz w:val="24"/>
          <w:u w:val="none"/>
          <w:lang w:val="en-US" w:eastAsia="zh-CN"/>
        </w:rPr>
        <w:t>分登录广州公共资源交易中心网办理网上投标登记手续</w:t>
      </w:r>
      <w:r>
        <w:rPr>
          <w:rFonts w:hint="eastAsia" w:ascii="宋体" w:hAnsi="宋体" w:eastAsia="宋体" w:cs="宋体"/>
          <w:kern w:val="0"/>
          <w:sz w:val="24"/>
        </w:rPr>
        <w:t>，</w:t>
      </w:r>
      <w:r>
        <w:rPr>
          <w:rFonts w:hint="eastAsia" w:ascii="宋体" w:hAnsi="宋体" w:eastAsia="宋体" w:cs="宋体"/>
          <w:kern w:val="0"/>
          <w:sz w:val="24"/>
          <w:szCs w:val="20"/>
          <w:lang w:val="en-US" w:eastAsia="zh-CN" w:bidi="ar-SA"/>
        </w:rPr>
        <w:t>投标人投标登记前须在广州公共资源交易中心办理企业信息登记</w:t>
      </w:r>
      <w:r>
        <w:rPr>
          <w:rFonts w:hint="eastAsia" w:ascii="宋体" w:hAnsi="宋体" w:eastAsia="宋体" w:cs="宋体"/>
          <w:kern w:val="0"/>
          <w:sz w:val="24"/>
        </w:rPr>
        <w:t>。未</w:t>
      </w:r>
      <w:r>
        <w:rPr>
          <w:rFonts w:hint="eastAsia" w:ascii="宋体" w:hAnsi="宋体" w:eastAsia="宋体" w:cs="宋体"/>
          <w:kern w:val="0"/>
          <w:sz w:val="24"/>
          <w:lang w:val="en-US" w:eastAsia="zh-CN"/>
        </w:rPr>
        <w:t>按要求</w:t>
      </w:r>
      <w:r>
        <w:rPr>
          <w:rFonts w:hint="eastAsia" w:ascii="宋体" w:hAnsi="宋体" w:eastAsia="宋体" w:cs="宋体"/>
          <w:kern w:val="0"/>
          <w:sz w:val="24"/>
        </w:rPr>
        <w:t>办理投标登记手续的，</w:t>
      </w:r>
      <w:r>
        <w:rPr>
          <w:rFonts w:hint="eastAsia" w:ascii="宋体" w:hAnsi="宋体" w:eastAsia="宋体" w:cs="宋体"/>
          <w:kern w:val="0"/>
          <w:sz w:val="24"/>
          <w:lang w:val="en-US" w:eastAsia="zh-CN"/>
        </w:rPr>
        <w:t>递交</w:t>
      </w:r>
      <w:r>
        <w:rPr>
          <w:rFonts w:hint="eastAsia" w:ascii="宋体" w:hAnsi="宋体" w:eastAsia="宋体" w:cs="宋体"/>
          <w:kern w:val="0"/>
          <w:sz w:val="24"/>
        </w:rPr>
        <w:t>的投标文件将被拒绝接收。</w:t>
      </w:r>
    </w:p>
    <w:p>
      <w:pPr>
        <w:keepNext w:val="0"/>
        <w:keepLines w:val="0"/>
        <w:pageBreakBefore w:val="0"/>
        <w:widowControl/>
        <w:shd w:val="clear" w:color="auto" w:fill="FFFFFF"/>
        <w:wordWrap/>
        <w:topLinePunct w:val="0"/>
        <w:bidi w:val="0"/>
        <w:snapToGrid w:val="0"/>
        <w:spacing w:line="500" w:lineRule="exact"/>
        <w:ind w:firstLine="537" w:firstLineChars="224"/>
        <w:jc w:val="left"/>
        <w:textAlignment w:val="auto"/>
        <w:rPr>
          <w:rFonts w:ascii="宋体" w:hAnsi="宋体" w:eastAsia="宋体" w:cs="宋体"/>
          <w:color w:val="3C3C3C"/>
          <w:kern w:val="0"/>
          <w:sz w:val="24"/>
          <w:szCs w:val="20"/>
        </w:rPr>
      </w:pPr>
      <w:r>
        <w:rPr>
          <w:rFonts w:hint="eastAsia" w:ascii="宋体" w:hAnsi="宋体" w:eastAsia="宋体" w:cs="宋体"/>
          <w:color w:val="3C3C3C"/>
          <w:kern w:val="0"/>
          <w:sz w:val="24"/>
          <w:szCs w:val="20"/>
        </w:rPr>
        <w:t>八、资格审查方式：</w:t>
      </w:r>
    </w:p>
    <w:p>
      <w:pPr>
        <w:keepNext w:val="0"/>
        <w:keepLines w:val="0"/>
        <w:pageBreakBefore w:val="0"/>
        <w:widowControl/>
        <w:shd w:val="clear" w:color="auto" w:fill="FFFFFF"/>
        <w:wordWrap/>
        <w:topLinePunct w:val="0"/>
        <w:bidi w:val="0"/>
        <w:snapToGrid w:val="0"/>
        <w:spacing w:line="500" w:lineRule="exact"/>
        <w:ind w:firstLine="480" w:firstLineChars="200"/>
        <w:jc w:val="left"/>
        <w:textAlignment w:val="auto"/>
        <w:rPr>
          <w:rFonts w:ascii="宋体" w:hAnsi="宋体" w:eastAsia="宋体" w:cs="宋体"/>
          <w:color w:val="3C3C3C"/>
          <w:kern w:val="0"/>
          <w:sz w:val="24"/>
          <w:szCs w:val="24"/>
        </w:rPr>
      </w:pPr>
      <w:r>
        <w:rPr>
          <w:rFonts w:hint="eastAsia" w:ascii="宋体" w:hAnsi="宋体" w:eastAsia="宋体" w:cs="宋体"/>
          <w:color w:val="3C3C3C"/>
          <w:kern w:val="0"/>
          <w:sz w:val="24"/>
          <w:szCs w:val="24"/>
        </w:rPr>
        <w:t>本项目采用资格后审方式。</w:t>
      </w:r>
    </w:p>
    <w:p>
      <w:pPr>
        <w:keepNext w:val="0"/>
        <w:keepLines w:val="0"/>
        <w:pageBreakBefore w:val="0"/>
        <w:widowControl/>
        <w:shd w:val="clear" w:color="auto" w:fill="FFFFFF"/>
        <w:wordWrap/>
        <w:topLinePunct w:val="0"/>
        <w:bidi w:val="0"/>
        <w:snapToGrid w:val="0"/>
        <w:spacing w:line="500" w:lineRule="exact"/>
        <w:ind w:firstLine="480" w:firstLineChars="200"/>
        <w:jc w:val="left"/>
        <w:textAlignment w:val="auto"/>
        <w:rPr>
          <w:rFonts w:ascii="宋体" w:hAnsi="宋体" w:eastAsia="宋体" w:cs="宋体"/>
          <w:color w:val="3C3C3C"/>
          <w:kern w:val="0"/>
          <w:sz w:val="24"/>
          <w:szCs w:val="24"/>
        </w:rPr>
      </w:pPr>
      <w:r>
        <w:rPr>
          <w:rFonts w:hint="eastAsia" w:ascii="宋体" w:hAnsi="宋体" w:eastAsia="宋体" w:cs="宋体"/>
          <w:color w:val="3C3C3C"/>
          <w:kern w:val="0"/>
          <w:sz w:val="24"/>
          <w:szCs w:val="24"/>
        </w:rPr>
        <w:t>九、投标人合格条件：</w:t>
      </w:r>
    </w:p>
    <w:p>
      <w:pPr>
        <w:keepNext w:val="0"/>
        <w:keepLines w:val="0"/>
        <w:pageBreakBefore w:val="0"/>
        <w:widowControl/>
        <w:shd w:val="clear" w:color="auto" w:fill="FFFFFF"/>
        <w:wordWrap/>
        <w:topLinePunct w:val="0"/>
        <w:bidi w:val="0"/>
        <w:snapToGrid w:val="0"/>
        <w:spacing w:line="500" w:lineRule="exact"/>
        <w:ind w:firstLine="537" w:firstLineChars="224"/>
        <w:jc w:val="left"/>
        <w:textAlignment w:val="auto"/>
        <w:rPr>
          <w:rFonts w:ascii="宋体" w:hAnsi="宋体" w:eastAsia="宋体" w:cs="宋体"/>
          <w:color w:val="3C3C3C"/>
          <w:kern w:val="0"/>
          <w:sz w:val="24"/>
          <w:szCs w:val="20"/>
        </w:rPr>
      </w:pPr>
      <w:r>
        <w:rPr>
          <w:rFonts w:hint="eastAsia" w:ascii="宋体" w:hAnsi="宋体" w:eastAsia="宋体" w:cs="宋体"/>
          <w:color w:val="3C3C3C"/>
          <w:kern w:val="0"/>
          <w:sz w:val="24"/>
          <w:szCs w:val="20"/>
        </w:rPr>
        <w:t>1、投标人须是法人或者其他组织，同时持有工商行政管理部门核发的营业执照，按国家法律经营；法定代表人为同一人的两个及两个以上法人，母公司、全资子公司或存在控股、管理关系的不同单位，都不得在本项目招标中同时投标。</w:t>
      </w:r>
    </w:p>
    <w:p>
      <w:pPr>
        <w:keepNext w:val="0"/>
        <w:keepLines w:val="0"/>
        <w:pageBreakBefore w:val="0"/>
        <w:widowControl/>
        <w:shd w:val="clear" w:color="auto" w:fill="FFFFFF"/>
        <w:wordWrap/>
        <w:topLinePunct w:val="0"/>
        <w:bidi w:val="0"/>
        <w:snapToGrid w:val="0"/>
        <w:spacing w:line="500" w:lineRule="exact"/>
        <w:ind w:firstLine="537" w:firstLineChars="224"/>
        <w:jc w:val="left"/>
        <w:textAlignment w:val="auto"/>
        <w:rPr>
          <w:rFonts w:ascii="宋体" w:hAnsi="宋体" w:eastAsia="宋体" w:cs="宋体"/>
          <w:color w:val="3C3C3C"/>
          <w:kern w:val="0"/>
          <w:sz w:val="24"/>
          <w:szCs w:val="24"/>
        </w:rPr>
      </w:pPr>
      <w:r>
        <w:rPr>
          <w:rFonts w:hint="eastAsia" w:ascii="宋体" w:hAnsi="宋体" w:eastAsia="宋体" w:cs="宋体"/>
          <w:color w:val="3C3C3C"/>
          <w:kern w:val="0"/>
          <w:sz w:val="24"/>
          <w:szCs w:val="20"/>
        </w:rPr>
        <w:t>2、投标人参加投标的意思表达清楚，投标人代表被授权有效。</w:t>
      </w:r>
    </w:p>
    <w:p>
      <w:pPr>
        <w:keepNext w:val="0"/>
        <w:keepLines w:val="0"/>
        <w:pageBreakBefore w:val="0"/>
        <w:widowControl/>
        <w:shd w:val="clear" w:color="auto" w:fill="FFFFFF"/>
        <w:wordWrap/>
        <w:topLinePunct w:val="0"/>
        <w:bidi w:val="0"/>
        <w:snapToGrid w:val="0"/>
        <w:spacing w:line="500" w:lineRule="exact"/>
        <w:ind w:firstLine="537" w:firstLineChars="224"/>
        <w:jc w:val="left"/>
        <w:textAlignment w:val="auto"/>
        <w:rPr>
          <w:rFonts w:ascii="宋体" w:hAnsi="宋体" w:eastAsia="宋体" w:cs="宋体"/>
          <w:color w:val="3C3C3C"/>
          <w:kern w:val="0"/>
          <w:sz w:val="24"/>
          <w:szCs w:val="20"/>
          <w:highlight w:val="none"/>
        </w:rPr>
      </w:pPr>
      <w:r>
        <w:rPr>
          <w:rFonts w:hint="eastAsia" w:ascii="宋体" w:hAnsi="宋体" w:eastAsia="宋体" w:cs="宋体"/>
          <w:color w:val="3C3C3C"/>
          <w:kern w:val="0"/>
          <w:sz w:val="24"/>
          <w:szCs w:val="20"/>
          <w:highlight w:val="none"/>
        </w:rPr>
        <w:t>3、投标人20</w:t>
      </w:r>
      <w:r>
        <w:rPr>
          <w:rFonts w:hint="eastAsia" w:ascii="宋体" w:hAnsi="宋体" w:eastAsia="宋体" w:cs="宋体"/>
          <w:color w:val="3C3C3C"/>
          <w:kern w:val="0"/>
          <w:sz w:val="24"/>
          <w:szCs w:val="20"/>
          <w:highlight w:val="none"/>
          <w:lang w:val="en-US" w:eastAsia="zh-CN"/>
        </w:rPr>
        <w:t>20</w:t>
      </w:r>
      <w:r>
        <w:rPr>
          <w:rFonts w:hint="eastAsia" w:ascii="宋体" w:hAnsi="宋体" w:eastAsia="宋体" w:cs="宋体"/>
          <w:color w:val="3C3C3C"/>
          <w:kern w:val="0"/>
          <w:sz w:val="24"/>
          <w:szCs w:val="20"/>
          <w:highlight w:val="none"/>
        </w:rPr>
        <w:t>年1月1日至今</w:t>
      </w:r>
      <w:r>
        <w:rPr>
          <w:rFonts w:hint="eastAsia" w:ascii="宋体" w:hAnsi="宋体" w:eastAsia="宋体" w:cs="宋体"/>
          <w:color w:val="3C3C3C"/>
          <w:kern w:val="0"/>
          <w:sz w:val="24"/>
          <w:szCs w:val="20"/>
          <w:highlight w:val="none"/>
          <w:lang w:val="en-US" w:eastAsia="zh-CN"/>
        </w:rPr>
        <w:t>具</w:t>
      </w:r>
      <w:r>
        <w:rPr>
          <w:rFonts w:hint="eastAsia" w:ascii="宋体" w:hAnsi="宋体" w:eastAsia="宋体" w:cs="宋体"/>
          <w:color w:val="3C3C3C"/>
          <w:kern w:val="0"/>
          <w:sz w:val="24"/>
          <w:szCs w:val="20"/>
          <w:highlight w:val="none"/>
        </w:rPr>
        <w:t>有单个合同金额不少于</w:t>
      </w:r>
      <w:r>
        <w:rPr>
          <w:rFonts w:hint="eastAsia" w:ascii="宋体" w:hAnsi="宋体" w:eastAsia="宋体" w:cs="宋体"/>
          <w:color w:val="3C3C3C"/>
          <w:kern w:val="0"/>
          <w:sz w:val="24"/>
          <w:szCs w:val="20"/>
          <w:highlight w:val="none"/>
          <w:lang w:val="en-US" w:eastAsia="zh-CN"/>
        </w:rPr>
        <w:t>75</w:t>
      </w:r>
      <w:r>
        <w:rPr>
          <w:rFonts w:hint="eastAsia" w:ascii="宋体" w:hAnsi="宋体" w:eastAsia="宋体" w:cs="宋体"/>
          <w:color w:val="3C3C3C"/>
          <w:kern w:val="0"/>
          <w:sz w:val="24"/>
          <w:szCs w:val="20"/>
          <w:highlight w:val="none"/>
        </w:rPr>
        <w:t>万元的同类</w:t>
      </w:r>
      <w:r>
        <w:rPr>
          <w:rFonts w:hint="eastAsia" w:ascii="宋体" w:hAnsi="宋体" w:eastAsia="宋体" w:cs="宋体"/>
          <w:color w:val="3C3C3C"/>
          <w:kern w:val="0"/>
          <w:sz w:val="24"/>
          <w:szCs w:val="20"/>
          <w:highlight w:val="none"/>
          <w:lang w:val="en-US" w:eastAsia="zh-CN"/>
        </w:rPr>
        <w:t>系统</w:t>
      </w:r>
      <w:r>
        <w:rPr>
          <w:rFonts w:hint="eastAsia" w:ascii="宋体" w:hAnsi="宋体" w:eastAsia="宋体" w:cs="宋体"/>
          <w:color w:val="3C3C3C"/>
          <w:kern w:val="0"/>
          <w:sz w:val="24"/>
          <w:szCs w:val="20"/>
          <w:highlight w:val="none"/>
        </w:rPr>
        <w:t>项目业绩</w:t>
      </w:r>
      <w:r>
        <w:rPr>
          <w:rFonts w:hint="eastAsia" w:ascii="宋体" w:hAnsi="宋体" w:eastAsia="宋体" w:cs="宋体"/>
          <w:color w:val="3C3C3C"/>
          <w:kern w:val="0"/>
          <w:sz w:val="24"/>
          <w:szCs w:val="20"/>
          <w:highlight w:val="none"/>
          <w:lang w:eastAsia="zh-CN"/>
        </w:rPr>
        <w:t>，</w:t>
      </w:r>
      <w:r>
        <w:rPr>
          <w:rFonts w:hint="eastAsia" w:ascii="宋体" w:hAnsi="宋体" w:eastAsia="宋体" w:cs="宋体"/>
          <w:color w:val="3C3C3C"/>
          <w:kern w:val="0"/>
          <w:sz w:val="24"/>
          <w:szCs w:val="20"/>
          <w:highlight w:val="none"/>
        </w:rPr>
        <w:t>需附合同关键页复印件。</w:t>
      </w:r>
    </w:p>
    <w:p>
      <w:pPr>
        <w:keepNext w:val="0"/>
        <w:keepLines w:val="0"/>
        <w:pageBreakBefore w:val="0"/>
        <w:widowControl/>
        <w:shd w:val="clear" w:color="auto" w:fill="FFFFFF"/>
        <w:wordWrap/>
        <w:topLinePunct w:val="0"/>
        <w:bidi w:val="0"/>
        <w:snapToGrid w:val="0"/>
        <w:spacing w:line="500" w:lineRule="exact"/>
        <w:ind w:firstLine="537" w:firstLineChars="224"/>
        <w:jc w:val="left"/>
        <w:textAlignment w:val="auto"/>
        <w:rPr>
          <w:rFonts w:ascii="宋体" w:hAnsi="宋体" w:eastAsia="宋体" w:cs="宋体"/>
          <w:color w:val="3C3C3C"/>
          <w:kern w:val="0"/>
          <w:sz w:val="24"/>
          <w:szCs w:val="20"/>
          <w:highlight w:val="none"/>
        </w:rPr>
      </w:pPr>
      <w:r>
        <w:rPr>
          <w:rFonts w:hint="eastAsia" w:ascii="宋体" w:hAnsi="宋体" w:eastAsia="宋体" w:cs="宋体"/>
          <w:color w:val="3C3C3C"/>
          <w:kern w:val="0"/>
          <w:sz w:val="24"/>
          <w:szCs w:val="20"/>
          <w:highlight w:val="none"/>
        </w:rPr>
        <w:t>注：同类系统项目指：含维护和新建项目的安防系统、技防系统、智能化系统、弱电系统。</w:t>
      </w:r>
    </w:p>
    <w:p>
      <w:pPr>
        <w:keepNext w:val="0"/>
        <w:keepLines w:val="0"/>
        <w:pageBreakBefore w:val="0"/>
        <w:widowControl/>
        <w:shd w:val="clear" w:color="auto" w:fill="FFFFFF"/>
        <w:wordWrap/>
        <w:topLinePunct w:val="0"/>
        <w:bidi w:val="0"/>
        <w:snapToGrid w:val="0"/>
        <w:spacing w:line="500" w:lineRule="exact"/>
        <w:ind w:firstLine="566" w:firstLineChars="236"/>
        <w:jc w:val="left"/>
        <w:textAlignment w:val="auto"/>
        <w:rPr>
          <w:rFonts w:ascii="宋体" w:hAnsi="宋体" w:eastAsia="宋体" w:cs="宋体"/>
          <w:color w:val="3C3C3C"/>
          <w:kern w:val="0"/>
          <w:sz w:val="24"/>
          <w:szCs w:val="24"/>
        </w:rPr>
      </w:pPr>
      <w:r>
        <w:rPr>
          <w:rFonts w:hint="eastAsia" w:ascii="宋体" w:hAnsi="宋体" w:eastAsia="宋体" w:cs="宋体"/>
          <w:color w:val="3C3C3C"/>
          <w:kern w:val="0"/>
          <w:sz w:val="24"/>
          <w:szCs w:val="24"/>
        </w:rPr>
        <w:t>4、投标人需具有有效的省级或以上公安技防部门颁发的“安全技术防范系统设计、施工、维修资格证”证书（非广东省公安技防部门颁发的资格证，须同时提供在广东省公安技防部门备案的资料）。</w:t>
      </w:r>
    </w:p>
    <w:p>
      <w:pPr>
        <w:keepNext w:val="0"/>
        <w:keepLines w:val="0"/>
        <w:pageBreakBefore w:val="0"/>
        <w:widowControl/>
        <w:shd w:val="clear" w:color="auto" w:fill="FFFFFF"/>
        <w:wordWrap/>
        <w:topLinePunct w:val="0"/>
        <w:bidi w:val="0"/>
        <w:snapToGrid w:val="0"/>
        <w:spacing w:line="500" w:lineRule="exact"/>
        <w:ind w:firstLine="566" w:firstLineChars="236"/>
        <w:jc w:val="left"/>
        <w:textAlignment w:val="auto"/>
        <w:rPr>
          <w:rFonts w:ascii="宋体" w:hAnsi="宋体" w:eastAsia="宋体" w:cs="宋体"/>
          <w:color w:val="3C3C3C"/>
          <w:kern w:val="0"/>
          <w:sz w:val="24"/>
          <w:szCs w:val="24"/>
        </w:rPr>
      </w:pPr>
      <w:r>
        <w:rPr>
          <w:rFonts w:hint="eastAsia" w:ascii="宋体" w:hAnsi="宋体" w:eastAsia="宋体" w:cs="宋体"/>
          <w:color w:val="3C3C3C"/>
          <w:kern w:val="0"/>
          <w:sz w:val="24"/>
          <w:szCs w:val="20"/>
        </w:rPr>
        <w:t>5</w:t>
      </w:r>
      <w:r>
        <w:rPr>
          <w:rFonts w:hint="eastAsia" w:ascii="宋体" w:hAnsi="宋体" w:eastAsia="宋体" w:cs="宋体"/>
          <w:color w:val="3C3C3C"/>
          <w:kern w:val="0"/>
          <w:sz w:val="24"/>
          <w:szCs w:val="24"/>
        </w:rPr>
        <w:t>、投标人已按照本公告附件格式内容签署盖章的投标申请人声明。</w:t>
      </w:r>
    </w:p>
    <w:p>
      <w:pPr>
        <w:keepNext w:val="0"/>
        <w:keepLines w:val="0"/>
        <w:pageBreakBefore w:val="0"/>
        <w:widowControl/>
        <w:shd w:val="clear" w:color="auto" w:fill="FFFFFF"/>
        <w:wordWrap/>
        <w:topLinePunct w:val="0"/>
        <w:bidi w:val="0"/>
        <w:snapToGrid w:val="0"/>
        <w:spacing w:line="500" w:lineRule="exact"/>
        <w:ind w:firstLine="566" w:firstLineChars="236"/>
        <w:jc w:val="left"/>
        <w:textAlignment w:val="auto"/>
        <w:rPr>
          <w:rFonts w:ascii="宋体" w:hAnsi="宋体" w:eastAsia="宋体" w:cs="宋体"/>
          <w:color w:val="3C3C3C"/>
          <w:kern w:val="0"/>
          <w:sz w:val="24"/>
          <w:szCs w:val="24"/>
        </w:rPr>
      </w:pPr>
      <w:bookmarkStart w:id="2" w:name="_Toc249845968"/>
      <w:bookmarkStart w:id="3" w:name="_Toc266881397"/>
      <w:bookmarkStart w:id="4" w:name="_Toc253143216"/>
      <w:bookmarkStart w:id="5" w:name="_Toc416358155"/>
      <w:r>
        <w:rPr>
          <w:rFonts w:hint="eastAsia" w:ascii="宋体" w:hAnsi="宋体" w:eastAsia="宋体" w:cs="宋体"/>
          <w:color w:val="000000"/>
          <w:kern w:val="0"/>
          <w:sz w:val="24"/>
          <w:szCs w:val="24"/>
        </w:rPr>
        <w:t>6</w:t>
      </w:r>
      <w:r>
        <w:rPr>
          <w:rFonts w:hint="eastAsia" w:ascii="宋体" w:hAnsi="宋体" w:eastAsia="宋体" w:cs="宋体"/>
          <w:color w:val="3C3C3C"/>
          <w:kern w:val="0"/>
          <w:sz w:val="24"/>
          <w:szCs w:val="24"/>
        </w:rPr>
        <w:t>、关于联合体投标：</w:t>
      </w:r>
      <w:bookmarkEnd w:id="2"/>
      <w:bookmarkEnd w:id="3"/>
      <w:bookmarkEnd w:id="4"/>
      <w:bookmarkEnd w:id="5"/>
      <w:r>
        <w:rPr>
          <w:rFonts w:hint="eastAsia" w:ascii="宋体" w:hAnsi="宋体" w:eastAsia="宋体" w:cs="宋体"/>
          <w:color w:val="3C3C3C"/>
          <w:kern w:val="0"/>
          <w:sz w:val="24"/>
          <w:szCs w:val="24"/>
        </w:rPr>
        <w:t>本项目不允许联合体投标。</w:t>
      </w:r>
    </w:p>
    <w:p>
      <w:pPr>
        <w:keepNext w:val="0"/>
        <w:keepLines w:val="0"/>
        <w:pageBreakBefore w:val="0"/>
        <w:widowControl/>
        <w:shd w:val="clear" w:color="auto" w:fill="FFFFFF"/>
        <w:wordWrap/>
        <w:topLinePunct w:val="0"/>
        <w:bidi w:val="0"/>
        <w:snapToGrid w:val="0"/>
        <w:spacing w:line="500" w:lineRule="exact"/>
        <w:ind w:firstLine="566" w:firstLineChars="236"/>
        <w:jc w:val="left"/>
        <w:textAlignment w:val="auto"/>
        <w:rPr>
          <w:rFonts w:ascii="宋体" w:hAnsi="宋体" w:eastAsia="宋体" w:cs="宋体"/>
          <w:color w:val="3C3C3C"/>
          <w:kern w:val="0"/>
          <w:sz w:val="24"/>
          <w:szCs w:val="20"/>
        </w:rPr>
      </w:pPr>
      <w:r>
        <w:rPr>
          <w:rFonts w:hint="eastAsia" w:ascii="宋体" w:hAnsi="宋体" w:eastAsia="宋体" w:cs="宋体"/>
          <w:color w:val="3C3C3C"/>
          <w:kern w:val="0"/>
          <w:sz w:val="24"/>
          <w:szCs w:val="20"/>
        </w:rPr>
        <w:t>未在招标公告第十一点单列的资审合格条件，不作为资审不合格的依据。</w:t>
      </w:r>
    </w:p>
    <w:p>
      <w:pPr>
        <w:keepNext w:val="0"/>
        <w:keepLines w:val="0"/>
        <w:pageBreakBefore w:val="0"/>
        <w:numPr>
          <w:ilvl w:val="0"/>
          <w:numId w:val="1"/>
        </w:numPr>
        <w:wordWrap/>
        <w:topLinePunct w:val="0"/>
        <w:bidi w:val="0"/>
        <w:spacing w:line="500" w:lineRule="exact"/>
        <w:ind w:firstLine="480" w:firstLineChars="200"/>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投标文件的递交、开标时间和地点</w:t>
      </w:r>
    </w:p>
    <w:p>
      <w:pPr>
        <w:keepNext w:val="0"/>
        <w:keepLines w:val="0"/>
        <w:pageBreakBefore w:val="0"/>
        <w:numPr>
          <w:ilvl w:val="0"/>
          <w:numId w:val="2"/>
        </w:numPr>
        <w:wordWrap/>
        <w:topLinePunct w:val="0"/>
        <w:bidi w:val="0"/>
        <w:spacing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递交投标文件起始时间：</w:t>
      </w:r>
      <w:r>
        <w:rPr>
          <w:rFonts w:hint="eastAsia" w:ascii="宋体" w:hAnsi="宋体" w:eastAsia="宋体" w:cs="宋体"/>
          <w:kern w:val="0"/>
          <w:sz w:val="24"/>
          <w:u w:val="single"/>
        </w:rPr>
        <w:t>20</w:t>
      </w:r>
      <w:r>
        <w:rPr>
          <w:rFonts w:hint="eastAsia" w:ascii="宋体" w:hAnsi="宋体" w:eastAsia="宋体" w:cs="宋体"/>
          <w:kern w:val="0"/>
          <w:sz w:val="24"/>
          <w:u w:val="single"/>
          <w:lang w:val="en-US" w:eastAsia="zh-CN"/>
        </w:rPr>
        <w:t>23</w:t>
      </w:r>
      <w:r>
        <w:rPr>
          <w:rFonts w:hint="eastAsia" w:ascii="宋体" w:hAnsi="宋体" w:eastAsia="宋体" w:cs="宋体"/>
          <w:kern w:val="0"/>
          <w:sz w:val="24"/>
        </w:rPr>
        <w:t>年</w:t>
      </w:r>
      <w:r>
        <w:rPr>
          <w:rFonts w:hint="eastAsia" w:ascii="宋体" w:hAnsi="宋体" w:eastAsia="宋体" w:cs="宋体"/>
          <w:kern w:val="0"/>
          <w:sz w:val="24"/>
          <w:u w:val="single"/>
          <w:lang w:val="en-US" w:eastAsia="zh-CN"/>
        </w:rPr>
        <w:t>9</w:t>
      </w:r>
      <w:r>
        <w:rPr>
          <w:rFonts w:hint="eastAsia" w:ascii="宋体" w:hAnsi="宋体" w:eastAsia="宋体" w:cs="宋体"/>
          <w:kern w:val="0"/>
          <w:sz w:val="24"/>
        </w:rPr>
        <w:t>月</w:t>
      </w:r>
      <w:r>
        <w:rPr>
          <w:rFonts w:hint="eastAsia" w:ascii="宋体" w:hAnsi="宋体" w:eastAsia="宋体" w:cs="宋体"/>
          <w:kern w:val="0"/>
          <w:sz w:val="24"/>
          <w:u w:val="single"/>
          <w:lang w:val="en-US" w:eastAsia="zh-CN"/>
        </w:rPr>
        <w:t>5</w:t>
      </w:r>
      <w:r>
        <w:rPr>
          <w:rFonts w:hint="eastAsia" w:ascii="宋体" w:hAnsi="宋体" w:eastAsia="宋体" w:cs="宋体"/>
          <w:kern w:val="0"/>
          <w:sz w:val="24"/>
        </w:rPr>
        <w:t>日</w:t>
      </w:r>
      <w:r>
        <w:rPr>
          <w:rFonts w:hint="eastAsia" w:ascii="宋体" w:hAnsi="宋体" w:eastAsia="宋体" w:cs="宋体"/>
          <w:kern w:val="0"/>
          <w:sz w:val="24"/>
          <w:u w:val="single"/>
          <w:lang w:val="en-US" w:eastAsia="zh-CN"/>
        </w:rPr>
        <w:t>9</w:t>
      </w:r>
      <w:r>
        <w:rPr>
          <w:rFonts w:hint="eastAsia" w:ascii="宋体" w:hAnsi="宋体" w:eastAsia="宋体" w:cs="宋体"/>
          <w:kern w:val="0"/>
          <w:sz w:val="24"/>
        </w:rPr>
        <w:t>时</w:t>
      </w:r>
      <w:r>
        <w:rPr>
          <w:rFonts w:hint="eastAsia" w:ascii="宋体" w:hAnsi="宋体" w:eastAsia="宋体" w:cs="宋体"/>
          <w:kern w:val="0"/>
          <w:sz w:val="24"/>
          <w:u w:val="single"/>
          <w:lang w:val="en-US" w:eastAsia="zh-CN"/>
        </w:rPr>
        <w:t>30</w:t>
      </w:r>
      <w:r>
        <w:rPr>
          <w:rFonts w:hint="eastAsia" w:ascii="宋体" w:hAnsi="宋体" w:eastAsia="宋体" w:cs="宋体"/>
          <w:kern w:val="0"/>
          <w:sz w:val="24"/>
        </w:rPr>
        <w:t>分；</w:t>
      </w:r>
    </w:p>
    <w:p>
      <w:pPr>
        <w:keepNext w:val="0"/>
        <w:keepLines w:val="0"/>
        <w:pageBreakBefore w:val="0"/>
        <w:numPr>
          <w:ilvl w:val="0"/>
          <w:numId w:val="0"/>
        </w:numPr>
        <w:wordWrap/>
        <w:topLinePunct w:val="0"/>
        <w:bidi w:val="0"/>
        <w:spacing w:line="500" w:lineRule="exact"/>
        <w:ind w:firstLine="720" w:firstLineChars="300"/>
        <w:textAlignment w:val="auto"/>
        <w:rPr>
          <w:rFonts w:hint="eastAsia" w:ascii="宋体" w:hAnsi="宋体" w:eastAsia="宋体" w:cs="宋体"/>
          <w:kern w:val="0"/>
          <w:sz w:val="24"/>
        </w:rPr>
      </w:pPr>
      <w:r>
        <w:rPr>
          <w:rFonts w:hint="eastAsia" w:ascii="宋体" w:hAnsi="宋体" w:eastAsia="宋体" w:cs="宋体"/>
          <w:kern w:val="0"/>
          <w:sz w:val="24"/>
        </w:rPr>
        <w:t>递交投标文件截止时间：</w:t>
      </w:r>
      <w:r>
        <w:rPr>
          <w:rFonts w:hint="eastAsia" w:ascii="宋体" w:hAnsi="宋体" w:eastAsia="宋体" w:cs="宋体"/>
          <w:kern w:val="0"/>
          <w:sz w:val="24"/>
          <w:u w:val="single"/>
        </w:rPr>
        <w:t>20</w:t>
      </w:r>
      <w:r>
        <w:rPr>
          <w:rFonts w:hint="eastAsia" w:ascii="宋体" w:hAnsi="宋体" w:eastAsia="宋体" w:cs="宋体"/>
          <w:kern w:val="0"/>
          <w:sz w:val="24"/>
          <w:u w:val="single"/>
          <w:lang w:val="en-US" w:eastAsia="zh-CN"/>
        </w:rPr>
        <w:t>23</w:t>
      </w:r>
      <w:r>
        <w:rPr>
          <w:rFonts w:hint="eastAsia" w:ascii="宋体" w:hAnsi="宋体" w:eastAsia="宋体" w:cs="宋体"/>
          <w:kern w:val="0"/>
          <w:sz w:val="24"/>
        </w:rPr>
        <w:t>年</w:t>
      </w:r>
      <w:r>
        <w:rPr>
          <w:rFonts w:hint="eastAsia" w:ascii="宋体" w:hAnsi="宋体" w:eastAsia="宋体" w:cs="宋体"/>
          <w:kern w:val="0"/>
          <w:sz w:val="24"/>
          <w:u w:val="single"/>
          <w:lang w:val="en-US" w:eastAsia="zh-CN"/>
        </w:rPr>
        <w:t>9</w:t>
      </w:r>
      <w:r>
        <w:rPr>
          <w:rFonts w:hint="eastAsia" w:ascii="宋体" w:hAnsi="宋体" w:eastAsia="宋体" w:cs="宋体"/>
          <w:kern w:val="0"/>
          <w:sz w:val="24"/>
        </w:rPr>
        <w:t>月</w:t>
      </w:r>
      <w:r>
        <w:rPr>
          <w:rFonts w:hint="eastAsia" w:ascii="宋体" w:hAnsi="宋体" w:eastAsia="宋体" w:cs="宋体"/>
          <w:kern w:val="0"/>
          <w:sz w:val="24"/>
          <w:u w:val="single"/>
          <w:lang w:val="en-US" w:eastAsia="zh-CN"/>
        </w:rPr>
        <w:t>5</w:t>
      </w:r>
      <w:r>
        <w:rPr>
          <w:rFonts w:hint="eastAsia" w:ascii="宋体" w:hAnsi="宋体" w:eastAsia="宋体" w:cs="宋体"/>
          <w:kern w:val="0"/>
          <w:sz w:val="24"/>
        </w:rPr>
        <w:t>日</w:t>
      </w:r>
      <w:r>
        <w:rPr>
          <w:rFonts w:hint="eastAsia" w:ascii="宋体" w:hAnsi="宋体" w:eastAsia="宋体" w:cs="宋体"/>
          <w:kern w:val="0"/>
          <w:sz w:val="24"/>
          <w:u w:val="single"/>
          <w:lang w:val="en-US" w:eastAsia="zh-CN"/>
        </w:rPr>
        <w:t>10</w:t>
      </w:r>
      <w:r>
        <w:rPr>
          <w:rFonts w:hint="eastAsia" w:ascii="宋体" w:hAnsi="宋体" w:eastAsia="宋体" w:cs="宋体"/>
          <w:kern w:val="0"/>
          <w:sz w:val="24"/>
        </w:rPr>
        <w:t>时</w:t>
      </w:r>
      <w:r>
        <w:rPr>
          <w:rFonts w:hint="eastAsia" w:ascii="宋体" w:hAnsi="宋体" w:eastAsia="宋体" w:cs="宋体"/>
          <w:kern w:val="0"/>
          <w:sz w:val="24"/>
          <w:u w:val="single"/>
          <w:lang w:val="en-US" w:eastAsia="zh-CN"/>
        </w:rPr>
        <w:t>00</w:t>
      </w:r>
      <w:r>
        <w:rPr>
          <w:rFonts w:hint="eastAsia" w:ascii="宋体" w:hAnsi="宋体" w:eastAsia="宋体" w:cs="宋体"/>
          <w:kern w:val="0"/>
          <w:sz w:val="24"/>
        </w:rPr>
        <w:t>分。</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2、</w:t>
      </w:r>
      <w:r>
        <w:rPr>
          <w:rFonts w:hint="eastAsia" w:ascii="宋体" w:hAnsi="宋体" w:eastAsia="宋体" w:cs="宋体"/>
          <w:kern w:val="0"/>
          <w:sz w:val="24"/>
        </w:rPr>
        <w:t>开标时间：</w:t>
      </w:r>
      <w:r>
        <w:rPr>
          <w:rFonts w:hint="eastAsia" w:ascii="宋体" w:hAnsi="宋体" w:eastAsia="宋体" w:cs="宋体"/>
          <w:kern w:val="0"/>
          <w:sz w:val="24"/>
          <w:u w:val="single"/>
        </w:rPr>
        <w:t>20</w:t>
      </w:r>
      <w:r>
        <w:rPr>
          <w:rFonts w:hint="eastAsia" w:ascii="宋体" w:hAnsi="宋体" w:eastAsia="宋体" w:cs="宋体"/>
          <w:kern w:val="0"/>
          <w:sz w:val="24"/>
          <w:u w:val="single"/>
          <w:lang w:val="en-US" w:eastAsia="zh-CN"/>
        </w:rPr>
        <w:t>23</w:t>
      </w:r>
      <w:r>
        <w:rPr>
          <w:rFonts w:hint="eastAsia" w:ascii="宋体" w:hAnsi="宋体" w:eastAsia="宋体" w:cs="宋体"/>
          <w:kern w:val="0"/>
          <w:sz w:val="24"/>
        </w:rPr>
        <w:t>年</w:t>
      </w:r>
      <w:r>
        <w:rPr>
          <w:rFonts w:hint="eastAsia" w:ascii="宋体" w:hAnsi="宋体" w:eastAsia="宋体" w:cs="宋体"/>
          <w:kern w:val="0"/>
          <w:sz w:val="24"/>
          <w:u w:val="single"/>
          <w:lang w:val="en-US" w:eastAsia="zh-CN"/>
        </w:rPr>
        <w:t>9</w:t>
      </w:r>
      <w:r>
        <w:rPr>
          <w:rFonts w:hint="eastAsia" w:ascii="宋体" w:hAnsi="宋体" w:eastAsia="宋体" w:cs="宋体"/>
          <w:kern w:val="0"/>
          <w:sz w:val="24"/>
        </w:rPr>
        <w:t>月</w:t>
      </w:r>
      <w:r>
        <w:rPr>
          <w:rFonts w:hint="eastAsia" w:ascii="宋体" w:hAnsi="宋体" w:eastAsia="宋体" w:cs="宋体"/>
          <w:kern w:val="0"/>
          <w:sz w:val="24"/>
          <w:u w:val="single"/>
          <w:lang w:val="en-US" w:eastAsia="zh-CN"/>
        </w:rPr>
        <w:t>5</w:t>
      </w:r>
      <w:r>
        <w:rPr>
          <w:rFonts w:hint="eastAsia" w:ascii="宋体" w:hAnsi="宋体" w:eastAsia="宋体" w:cs="宋体"/>
          <w:kern w:val="0"/>
          <w:sz w:val="24"/>
        </w:rPr>
        <w:t>日</w:t>
      </w:r>
      <w:r>
        <w:rPr>
          <w:rFonts w:hint="eastAsia" w:ascii="宋体" w:hAnsi="宋体" w:eastAsia="宋体" w:cs="宋体"/>
          <w:kern w:val="0"/>
          <w:sz w:val="24"/>
          <w:u w:val="single"/>
          <w:lang w:val="en-US" w:eastAsia="zh-CN"/>
        </w:rPr>
        <w:t>10</w:t>
      </w:r>
      <w:r>
        <w:rPr>
          <w:rFonts w:hint="eastAsia" w:ascii="宋体" w:hAnsi="宋体" w:eastAsia="宋体" w:cs="宋体"/>
          <w:kern w:val="0"/>
          <w:sz w:val="24"/>
        </w:rPr>
        <w:t>时</w:t>
      </w:r>
      <w:r>
        <w:rPr>
          <w:rFonts w:hint="eastAsia" w:ascii="宋体" w:hAnsi="宋体" w:eastAsia="宋体" w:cs="宋体"/>
          <w:kern w:val="0"/>
          <w:sz w:val="24"/>
          <w:u w:val="single"/>
          <w:lang w:val="en-US" w:eastAsia="zh-CN"/>
        </w:rPr>
        <w:t>00</w:t>
      </w:r>
      <w:r>
        <w:rPr>
          <w:rFonts w:hint="eastAsia" w:ascii="宋体" w:hAnsi="宋体" w:eastAsia="宋体" w:cs="宋体"/>
          <w:kern w:val="0"/>
          <w:sz w:val="24"/>
        </w:rPr>
        <w:t>分。</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3、</w:t>
      </w:r>
      <w:r>
        <w:rPr>
          <w:rFonts w:hint="eastAsia" w:ascii="宋体" w:hAnsi="宋体" w:eastAsia="宋体" w:cs="宋体"/>
          <w:kern w:val="0"/>
          <w:sz w:val="24"/>
        </w:rPr>
        <w:t>递交投标文件</w:t>
      </w:r>
      <w:r>
        <w:rPr>
          <w:rFonts w:hint="eastAsia" w:ascii="宋体" w:hAnsi="宋体" w:eastAsia="宋体" w:cs="宋体"/>
          <w:kern w:val="0"/>
          <w:sz w:val="24"/>
          <w:lang w:val="en-US" w:eastAsia="zh-CN"/>
        </w:rPr>
        <w:t>及开标</w:t>
      </w:r>
      <w:r>
        <w:rPr>
          <w:rFonts w:hint="eastAsia" w:ascii="宋体" w:hAnsi="宋体" w:eastAsia="宋体" w:cs="宋体"/>
          <w:kern w:val="0"/>
          <w:sz w:val="24"/>
        </w:rPr>
        <w:t>地点：广州公共资源交易中心</w:t>
      </w:r>
      <w:r>
        <w:rPr>
          <w:rFonts w:hint="eastAsia" w:ascii="宋体" w:hAnsi="宋体" w:eastAsia="宋体" w:cs="宋体"/>
          <w:kern w:val="0"/>
          <w:sz w:val="24"/>
          <w:u w:val="single"/>
          <w:lang w:val="en-US" w:eastAsia="zh-CN"/>
        </w:rPr>
        <w:t>08</w:t>
      </w:r>
      <w:r>
        <w:rPr>
          <w:rFonts w:hint="eastAsia" w:ascii="宋体" w:hAnsi="宋体" w:eastAsia="宋体" w:cs="宋体"/>
          <w:kern w:val="0"/>
          <w:sz w:val="24"/>
          <w:u w:val="none"/>
        </w:rPr>
        <w:t>开标室</w:t>
      </w:r>
      <w:r>
        <w:rPr>
          <w:rFonts w:hint="eastAsia" w:ascii="宋体" w:hAnsi="宋体" w:eastAsia="宋体" w:cs="宋体"/>
          <w:kern w:val="0"/>
          <w:sz w:val="24"/>
        </w:rPr>
        <w:t>（广州市天河区天润路333号）。</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lang w:val="en-US" w:eastAsia="zh-CN"/>
        </w:rPr>
        <w:t>4、</w:t>
      </w:r>
      <w:r>
        <w:rPr>
          <w:rFonts w:hint="eastAsia" w:ascii="宋体" w:hAnsi="宋体" w:eastAsia="宋体" w:cs="宋体"/>
          <w:kern w:val="0"/>
          <w:sz w:val="24"/>
        </w:rPr>
        <w:t>投标文件须由投标人企业法定代表人或法定代表人授权委托在投标截止时间前送达指定地点，否则招标人不予受理。</w:t>
      </w:r>
    </w:p>
    <w:p>
      <w:pPr>
        <w:keepNext w:val="0"/>
        <w:keepLines w:val="0"/>
        <w:pageBreakBefore w:val="0"/>
        <w:widowControl w:val="0"/>
        <w:kinsoku/>
        <w:wordWrap/>
        <w:overflowPunct w:val="0"/>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z w:val="24"/>
        </w:rPr>
      </w:pPr>
      <w:r>
        <w:rPr>
          <w:rFonts w:hint="eastAsia" w:ascii="宋体" w:hAnsi="宋体" w:eastAsia="宋体" w:cs="宋体"/>
          <w:kern w:val="0"/>
          <w:sz w:val="24"/>
          <w:lang w:val="en-US" w:eastAsia="zh-CN"/>
        </w:rPr>
        <w:t>5、</w:t>
      </w:r>
      <w:r>
        <w:rPr>
          <w:rFonts w:hint="eastAsia" w:ascii="宋体" w:hAnsi="宋体" w:eastAsia="宋体" w:cs="宋体"/>
          <w:kern w:val="0"/>
          <w:sz w:val="24"/>
        </w:rPr>
        <w:t xml:space="preserve"> 递交投标文件截止时间与开标时间是否有变化，请密切留意招标答疑中的相关信息。递交投标文件截止时间后，开标时间因故推迟的，相关评标信息仍以原递交投标文件截止时间的信息为准。</w:t>
      </w:r>
    </w:p>
    <w:p>
      <w:pPr>
        <w:keepNext w:val="0"/>
        <w:keepLines w:val="0"/>
        <w:pageBreakBefore w:val="0"/>
        <w:widowControl/>
        <w:shd w:val="clear" w:color="auto" w:fill="FFFFFF"/>
        <w:wordWrap/>
        <w:topLinePunct w:val="0"/>
        <w:bidi w:val="0"/>
        <w:snapToGrid w:val="0"/>
        <w:spacing w:line="500" w:lineRule="exact"/>
        <w:ind w:firstLine="480" w:firstLineChars="200"/>
        <w:jc w:val="left"/>
        <w:textAlignment w:val="auto"/>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十一、招标公告网上发布时，同时发布招标文件。招标公告发布之日起计算编制投标文件时间，编制投标文件的时间不得少于20天。</w:t>
      </w:r>
    </w:p>
    <w:p>
      <w:pPr>
        <w:keepNext w:val="0"/>
        <w:keepLines w:val="0"/>
        <w:pageBreakBefore w:val="0"/>
        <w:widowControl/>
        <w:shd w:val="clear" w:color="auto" w:fill="FFFFFF"/>
        <w:wordWrap/>
        <w:topLinePunct w:val="0"/>
        <w:bidi w:val="0"/>
        <w:snapToGrid w:val="0"/>
        <w:spacing w:line="500" w:lineRule="exact"/>
        <w:ind w:firstLine="480" w:firstLineChars="200"/>
        <w:jc w:val="left"/>
        <w:textAlignment w:val="auto"/>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如招标人需发布补充公告的，以最后发布的补充公告的时间起计算编制投标文件时间，并需在招标答疑中明确说明。</w:t>
      </w:r>
    </w:p>
    <w:p>
      <w:pPr>
        <w:keepNext w:val="0"/>
        <w:keepLines w:val="0"/>
        <w:pageBreakBefore w:val="0"/>
        <w:widowControl/>
        <w:shd w:val="clear" w:color="auto" w:fill="FFFFFF"/>
        <w:wordWrap/>
        <w:topLinePunct w:val="0"/>
        <w:bidi w:val="0"/>
        <w:snapToGrid w:val="0"/>
        <w:spacing w:line="500" w:lineRule="exact"/>
        <w:ind w:firstLine="480" w:firstLineChars="200"/>
        <w:jc w:val="left"/>
        <w:textAlignment w:val="auto"/>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十二、中标候选人情况将在广州公共资源交易中心网站公示，公开接受投标人的监督。</w:t>
      </w:r>
    </w:p>
    <w:p>
      <w:pPr>
        <w:keepNext w:val="0"/>
        <w:keepLines w:val="0"/>
        <w:pageBreakBefore w:val="0"/>
        <w:widowControl/>
        <w:shd w:val="clear" w:color="auto" w:fill="FFFFFF"/>
        <w:wordWrap/>
        <w:topLinePunct w:val="0"/>
        <w:bidi w:val="0"/>
        <w:snapToGrid w:val="0"/>
        <w:spacing w:line="500" w:lineRule="exact"/>
        <w:ind w:firstLine="480" w:firstLineChars="200"/>
        <w:jc w:val="left"/>
        <w:textAlignment w:val="auto"/>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十三、满足资格审查合格条件的投标人不足3名或经评审有效的投标单位不足3名时为招标失败。招标人分析招标失败原因，修正招标方案，报有关管理部门核准后，重新组织招标。</w:t>
      </w:r>
    </w:p>
    <w:p>
      <w:pPr>
        <w:keepNext w:val="0"/>
        <w:keepLines w:val="0"/>
        <w:pageBreakBefore w:val="0"/>
        <w:widowControl/>
        <w:shd w:val="clear" w:color="auto" w:fill="FFFFFF"/>
        <w:wordWrap/>
        <w:topLinePunct w:val="0"/>
        <w:bidi w:val="0"/>
        <w:snapToGrid w:val="0"/>
        <w:spacing w:line="500" w:lineRule="exact"/>
        <w:ind w:firstLine="480" w:firstLineChars="200"/>
        <w:jc w:val="left"/>
        <w:textAlignment w:val="auto"/>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招标人因两次或多次招标失败，需申请改变招标方式或不招标的，应按《广东省实施〈中华人民共和国招标投标法〉办法》（省第十届人大常委会第二次会议通过2003.4.2）的第四十条规定执行。</w:t>
      </w:r>
    </w:p>
    <w:p>
      <w:pPr>
        <w:keepNext w:val="0"/>
        <w:keepLines w:val="0"/>
        <w:pageBreakBefore w:val="0"/>
        <w:widowControl/>
        <w:shd w:val="clear" w:color="auto" w:fill="FFFFFF"/>
        <w:wordWrap/>
        <w:topLinePunct w:val="0"/>
        <w:bidi w:val="0"/>
        <w:snapToGrid w:val="0"/>
        <w:spacing w:line="500" w:lineRule="exact"/>
        <w:ind w:left="1" w:firstLine="480" w:firstLineChars="200"/>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十五、投标单位可以就本公告及招标文件中任何违法及不公平内容向招标人提出异议或依法向</w:t>
      </w:r>
      <w:r>
        <w:rPr>
          <w:rFonts w:hint="eastAsia" w:ascii="宋体" w:hAnsi="宋体" w:eastAsia="宋体" w:cs="宋体"/>
          <w:color w:val="000000"/>
          <w:kern w:val="0"/>
          <w:sz w:val="24"/>
          <w:szCs w:val="24"/>
          <w:u w:val="single"/>
        </w:rPr>
        <w:t>广东广佛轨道交通有限公司办公室</w:t>
      </w:r>
      <w:r>
        <w:rPr>
          <w:rFonts w:hint="eastAsia" w:ascii="宋体" w:hAnsi="宋体" w:eastAsia="宋体" w:cs="宋体"/>
          <w:color w:val="000000"/>
          <w:kern w:val="0"/>
          <w:sz w:val="24"/>
          <w:szCs w:val="24"/>
        </w:rPr>
        <w:t>署名投诉，地点：</w:t>
      </w:r>
      <w:r>
        <w:rPr>
          <w:rFonts w:hint="eastAsia" w:ascii="宋体" w:hAnsi="宋体" w:eastAsia="宋体" w:cs="宋体"/>
          <w:color w:val="000000"/>
          <w:kern w:val="0"/>
          <w:sz w:val="24"/>
          <w:szCs w:val="24"/>
          <w:u w:val="single"/>
        </w:rPr>
        <w:t xml:space="preserve">佛山市南海区广佛地铁夏南综合基地 </w:t>
      </w:r>
      <w:r>
        <w:rPr>
          <w:rFonts w:hint="eastAsia" w:ascii="宋体" w:hAnsi="宋体" w:eastAsia="宋体" w:cs="宋体"/>
          <w:color w:val="000000"/>
          <w:kern w:val="0"/>
          <w:sz w:val="24"/>
          <w:szCs w:val="24"/>
        </w:rPr>
        <w:t>（投诉电话：</w:t>
      </w:r>
      <w:r>
        <w:rPr>
          <w:rFonts w:hint="eastAsia" w:ascii="宋体" w:hAnsi="宋体" w:eastAsia="宋体" w:cs="宋体"/>
          <w:color w:val="3C3C3C"/>
          <w:kern w:val="0"/>
          <w:sz w:val="24"/>
          <w:szCs w:val="24"/>
          <w:u w:val="single"/>
        </w:rPr>
        <w:t>020-83157877</w:t>
      </w:r>
      <w:r>
        <w:rPr>
          <w:rFonts w:hint="eastAsia" w:ascii="宋体" w:hAnsi="宋体" w:eastAsia="宋体" w:cs="宋体"/>
          <w:color w:val="000000"/>
          <w:kern w:val="0"/>
          <w:sz w:val="24"/>
          <w:szCs w:val="24"/>
        </w:rPr>
        <w:t>）。</w:t>
      </w:r>
    </w:p>
    <w:p>
      <w:pPr>
        <w:keepNext w:val="0"/>
        <w:keepLines w:val="0"/>
        <w:pageBreakBefore w:val="0"/>
        <w:widowControl/>
        <w:shd w:val="clear" w:color="auto" w:fill="FFFFFF"/>
        <w:wordWrap/>
        <w:topLinePunct w:val="0"/>
        <w:bidi w:val="0"/>
        <w:snapToGrid w:val="0"/>
        <w:spacing w:line="500" w:lineRule="exact"/>
        <w:ind w:left="1"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3C3C3C"/>
          <w:kern w:val="0"/>
          <w:sz w:val="24"/>
          <w:szCs w:val="24"/>
        </w:rPr>
        <w:t>十六、本公告在广州公共资源交易中心网站（网址：http://www.</w:t>
      </w:r>
      <w:r>
        <w:rPr>
          <w:rFonts w:hint="eastAsia" w:ascii="宋体" w:hAnsi="宋体" w:eastAsia="宋体" w:cs="宋体"/>
          <w:color w:val="000000"/>
          <w:kern w:val="0"/>
          <w:sz w:val="24"/>
          <w:szCs w:val="24"/>
        </w:rPr>
        <w:t>gzggzy.cn）、中国招标投标公共服务平台（网址</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rPr>
        <w:fldChar w:fldCharType="begin"/>
      </w:r>
      <w:r>
        <w:rPr>
          <w:rFonts w:hint="eastAsia" w:ascii="宋体" w:hAnsi="宋体" w:eastAsia="宋体" w:cs="宋体"/>
          <w:color w:val="auto"/>
          <w:kern w:val="0"/>
          <w:sz w:val="24"/>
          <w:szCs w:val="24"/>
        </w:rPr>
        <w:instrText xml:space="preserve"> HYPERLINK "http://www.cebpubservice.com）、广东广佛轨道交通有限公司网站（http:/www.guangfometro.cn）等媒体发布，本公告的修改、补充在广州公共资源交易中心网站发布。本公告在各媒体发布的文本如有不同之处，以在广州公共资源交易中心网站发布的文本为准。" </w:instrText>
      </w:r>
      <w:r>
        <w:rPr>
          <w:rFonts w:hint="eastAsia" w:ascii="宋体" w:hAnsi="宋体" w:eastAsia="宋体" w:cs="宋体"/>
          <w:color w:val="auto"/>
          <w:kern w:val="0"/>
          <w:sz w:val="24"/>
          <w:szCs w:val="24"/>
        </w:rPr>
        <w:fldChar w:fldCharType="separate"/>
      </w:r>
      <w:r>
        <w:rPr>
          <w:rStyle w:val="19"/>
          <w:rFonts w:hint="eastAsia" w:ascii="宋体" w:hAnsi="宋体" w:eastAsia="宋体" w:cs="宋体"/>
          <w:color w:val="auto"/>
          <w:kern w:val="0"/>
          <w:sz w:val="24"/>
          <w:szCs w:val="24"/>
        </w:rPr>
        <w:t>http://www.cebpubservice.com）、广东广佛轨道交通有限公司网站（http://www.guangfometro.cn）等媒体发布，本公告的修改、补充在广州公共资源交易中心网站发布。本公告在各媒体发布的文本如有不同之处，以在广州公共资源交易中心网站发布的文本为准。</w:t>
      </w:r>
      <w:r>
        <w:rPr>
          <w:rFonts w:hint="eastAsia" w:ascii="宋体" w:hAnsi="宋体" w:eastAsia="宋体" w:cs="宋体"/>
          <w:color w:val="auto"/>
          <w:kern w:val="0"/>
          <w:sz w:val="24"/>
          <w:szCs w:val="24"/>
        </w:rPr>
        <w:fldChar w:fldCharType="end"/>
      </w:r>
    </w:p>
    <w:p>
      <w:pPr>
        <w:pStyle w:val="2"/>
      </w:pPr>
    </w:p>
    <w:p/>
    <w:p>
      <w:pPr>
        <w:widowControl/>
        <w:shd w:val="clear" w:color="auto" w:fill="FFFFFF"/>
        <w:snapToGrid w:val="0"/>
        <w:spacing w:line="360" w:lineRule="auto"/>
        <w:ind w:firstLine="3120" w:firstLineChars="1300"/>
        <w:jc w:val="left"/>
        <w:rPr>
          <w:rFonts w:ascii="宋体" w:hAnsi="宋体" w:eastAsia="宋体" w:cs="宋体"/>
          <w:color w:val="3C3C3C"/>
          <w:kern w:val="0"/>
          <w:sz w:val="24"/>
          <w:szCs w:val="24"/>
          <w:u w:val="single"/>
        </w:rPr>
      </w:pPr>
      <w:r>
        <w:rPr>
          <w:rFonts w:hint="eastAsia" w:ascii="宋体" w:hAnsi="宋体" w:eastAsia="宋体" w:cs="宋体"/>
          <w:color w:val="3C3C3C"/>
          <w:kern w:val="0"/>
          <w:sz w:val="24"/>
          <w:szCs w:val="24"/>
        </w:rPr>
        <w:t>招 标 单 位：</w:t>
      </w:r>
      <w:r>
        <w:rPr>
          <w:rFonts w:hint="eastAsia" w:ascii="宋体" w:hAnsi="宋体" w:eastAsia="宋体" w:cs="宋体"/>
          <w:color w:val="3C3C3C"/>
          <w:kern w:val="0"/>
          <w:sz w:val="24"/>
          <w:szCs w:val="24"/>
          <w:u w:val="single"/>
        </w:rPr>
        <w:t xml:space="preserve">广东广佛轨道交通有限公司  </w:t>
      </w:r>
    </w:p>
    <w:p>
      <w:pPr>
        <w:widowControl/>
        <w:shd w:val="clear" w:color="auto" w:fill="FFFFFF"/>
        <w:snapToGrid w:val="0"/>
        <w:spacing w:line="360" w:lineRule="auto"/>
        <w:ind w:right="200" w:firstLine="3120" w:firstLineChars="13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招标代理机构：</w:t>
      </w:r>
      <w:r>
        <w:rPr>
          <w:rFonts w:hint="eastAsia" w:ascii="宋体" w:hAnsi="宋体" w:eastAsia="宋体" w:cs="宋体"/>
          <w:color w:val="3C3C3C"/>
          <w:kern w:val="0"/>
          <w:sz w:val="24"/>
          <w:szCs w:val="24"/>
          <w:u w:val="single"/>
        </w:rPr>
        <w:t xml:space="preserve"> 广东省广大工程顾问有限公司 </w:t>
      </w:r>
    </w:p>
    <w:p>
      <w:pPr>
        <w:widowControl/>
        <w:shd w:val="clear" w:color="auto" w:fill="FFFFFF"/>
        <w:snapToGrid w:val="0"/>
        <w:spacing w:line="360" w:lineRule="auto"/>
        <w:ind w:right="200" w:firstLine="3120" w:firstLineChars="13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日        期：202</w:t>
      </w:r>
      <w:r>
        <w:rPr>
          <w:rFonts w:hint="eastAsia" w:ascii="宋体" w:hAnsi="宋体" w:eastAsia="宋体" w:cs="宋体"/>
          <w:color w:val="3C3C3C"/>
          <w:kern w:val="0"/>
          <w:sz w:val="24"/>
          <w:szCs w:val="24"/>
          <w:lang w:val="en-US" w:eastAsia="zh-CN"/>
        </w:rPr>
        <w:t>3</w:t>
      </w:r>
      <w:r>
        <w:rPr>
          <w:rFonts w:hint="eastAsia" w:ascii="宋体" w:hAnsi="宋体" w:eastAsia="宋体" w:cs="宋体"/>
          <w:color w:val="3C3C3C"/>
          <w:kern w:val="0"/>
          <w:sz w:val="24"/>
          <w:szCs w:val="24"/>
        </w:rPr>
        <w:t>年</w:t>
      </w:r>
      <w:r>
        <w:rPr>
          <w:rFonts w:hint="eastAsia" w:ascii="宋体" w:hAnsi="宋体" w:eastAsia="宋体" w:cs="宋体"/>
          <w:color w:val="3C3C3C"/>
          <w:kern w:val="0"/>
          <w:sz w:val="24"/>
          <w:szCs w:val="24"/>
          <w:lang w:val="en-US" w:eastAsia="zh-CN"/>
        </w:rPr>
        <w:t>8</w:t>
      </w:r>
      <w:r>
        <w:rPr>
          <w:rFonts w:hint="eastAsia" w:ascii="宋体" w:hAnsi="宋体" w:eastAsia="宋体" w:cs="宋体"/>
          <w:color w:val="3C3C3C"/>
          <w:kern w:val="0"/>
          <w:sz w:val="24"/>
          <w:szCs w:val="24"/>
        </w:rPr>
        <w:t>月</w:t>
      </w:r>
      <w:r>
        <w:rPr>
          <w:rFonts w:hint="eastAsia" w:ascii="宋体" w:hAnsi="宋体" w:eastAsia="宋体" w:cs="宋体"/>
          <w:color w:val="3C3C3C"/>
          <w:kern w:val="0"/>
          <w:sz w:val="24"/>
          <w:szCs w:val="24"/>
          <w:lang w:val="en-US" w:eastAsia="zh-CN"/>
        </w:rPr>
        <w:t>8</w:t>
      </w:r>
      <w:r>
        <w:rPr>
          <w:rFonts w:hint="eastAsia" w:ascii="宋体" w:hAnsi="宋体" w:eastAsia="宋体" w:cs="宋体"/>
          <w:color w:val="3C3C3C"/>
          <w:kern w:val="0"/>
          <w:sz w:val="24"/>
          <w:szCs w:val="24"/>
        </w:rPr>
        <w:t>日</w:t>
      </w:r>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bookmarkStart w:id="6" w:name="_GoBack"/>
      <w:bookmarkEnd w:id="6"/>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p>
    <w:p>
      <w:pPr>
        <w:widowControl/>
        <w:shd w:val="clear" w:color="auto" w:fill="FFFFFF"/>
        <w:snapToGrid w:val="0"/>
        <w:spacing w:line="360" w:lineRule="auto"/>
        <w:ind w:right="-57" w:rightChars="-27"/>
        <w:jc w:val="left"/>
        <w:rPr>
          <w:rFonts w:hint="eastAsia" w:ascii="宋体" w:hAnsi="宋体" w:eastAsia="宋体" w:cs="宋体"/>
          <w:bCs/>
          <w:color w:val="333333"/>
          <w:kern w:val="0"/>
          <w:sz w:val="24"/>
          <w:szCs w:val="24"/>
        </w:rPr>
      </w:pPr>
    </w:p>
    <w:p>
      <w:pPr>
        <w:widowControl/>
        <w:shd w:val="clear" w:color="auto" w:fill="FFFFFF"/>
        <w:snapToGrid w:val="0"/>
        <w:spacing w:line="360" w:lineRule="auto"/>
        <w:ind w:right="-57" w:rightChars="-27"/>
        <w:jc w:val="left"/>
        <w:rPr>
          <w:rFonts w:ascii="宋体" w:hAnsi="宋体" w:eastAsia="宋体" w:cs="宋体"/>
          <w:bCs/>
          <w:color w:val="333333"/>
          <w:kern w:val="0"/>
          <w:sz w:val="24"/>
          <w:szCs w:val="24"/>
        </w:rPr>
      </w:pPr>
      <w:r>
        <w:rPr>
          <w:rFonts w:hint="eastAsia" w:ascii="宋体" w:hAnsi="宋体" w:eastAsia="宋体" w:cs="宋体"/>
          <w:bCs/>
          <w:color w:val="333333"/>
          <w:kern w:val="0"/>
          <w:sz w:val="24"/>
          <w:szCs w:val="24"/>
        </w:rPr>
        <w:t>附件：</w:t>
      </w:r>
    </w:p>
    <w:p>
      <w:pPr>
        <w:widowControl/>
        <w:shd w:val="clear" w:color="auto" w:fill="FFFFFF"/>
        <w:snapToGrid w:val="0"/>
        <w:spacing w:line="360" w:lineRule="auto"/>
        <w:ind w:right="-57" w:rightChars="-27"/>
        <w:jc w:val="center"/>
        <w:rPr>
          <w:rFonts w:hint="eastAsia" w:ascii="宋体" w:hAnsi="宋体" w:eastAsia="宋体" w:cs="宋体"/>
          <w:b/>
          <w:color w:val="333333"/>
          <w:kern w:val="0"/>
          <w:sz w:val="28"/>
          <w:szCs w:val="28"/>
        </w:rPr>
      </w:pPr>
      <w:r>
        <w:rPr>
          <w:rFonts w:hint="eastAsia" w:ascii="宋体" w:hAnsi="宋体" w:eastAsia="宋体" w:cs="宋体"/>
          <w:b/>
          <w:color w:val="333333"/>
          <w:kern w:val="0"/>
          <w:sz w:val="28"/>
          <w:szCs w:val="28"/>
        </w:rPr>
        <w:t>投标申请人声明</w:t>
      </w:r>
    </w:p>
    <w:p>
      <w:pPr>
        <w:pStyle w:val="24"/>
      </w:pPr>
    </w:p>
    <w:p>
      <w:pPr>
        <w:widowControl/>
        <w:shd w:val="clear" w:color="auto" w:fill="FFFFFF"/>
        <w:snapToGrid w:val="0"/>
        <w:spacing w:line="360" w:lineRule="auto"/>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本招标项目招标人及招标监管机构：</w:t>
      </w:r>
    </w:p>
    <w:p>
      <w:pPr>
        <w:widowControl/>
        <w:shd w:val="clear" w:color="auto" w:fill="FFFFFF"/>
        <w:tabs>
          <w:tab w:val="center" w:pos="4415"/>
        </w:tabs>
        <w:snapToGrid w:val="0"/>
        <w:spacing w:line="360" w:lineRule="auto"/>
        <w:ind w:firstLine="360" w:firstLineChars="15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本公司就参加</w:t>
      </w:r>
      <w:r>
        <w:rPr>
          <w:rFonts w:hint="eastAsia" w:ascii="宋体" w:hAnsi="宋体" w:eastAsia="宋体" w:cs="宋体"/>
          <w:bCs/>
          <w:color w:val="3C3C3C"/>
          <w:kern w:val="0"/>
          <w:sz w:val="24"/>
          <w:szCs w:val="24"/>
          <w:u w:val="single"/>
          <w:lang w:eastAsia="zh-CN"/>
        </w:rPr>
        <w:t>广佛地铁佛山段公安无线通信系统维护项目（2023-2026年）</w:t>
      </w:r>
      <w:r>
        <w:rPr>
          <w:rFonts w:hint="eastAsia" w:ascii="宋体" w:hAnsi="宋体" w:eastAsia="宋体" w:cs="宋体"/>
          <w:color w:val="3C3C3C"/>
          <w:kern w:val="0"/>
          <w:sz w:val="24"/>
          <w:szCs w:val="24"/>
        </w:rPr>
        <w:t>投标工作，作出郑重声明：</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一、本公司保证投标报名登记材料及其后提供的一切材料都是真实的。</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二、本公司保证在本项目投标中不与其他单位围标、串标，不出让投标资格，不向招标人或评标委员会成员行贿。</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三、本公司没有处于被责令停业的状态；没有处于被建设行政主管部门取消投标资格的处罚期内；没有处于财产被接管、冻结、破产的状态；在投标报名登记截止日期前三年内没有建设行政主管部门已书面认定的重大工程质量问题；在投标报名登记截止日期前三年内在以往项目中未有被政府部门行政处罚的记录。</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四、本公司及其有隶属关系的机构没有参加本项目的设计、前期工作、招标文件编写、监理工作；本公司与承担本招标项目监理业务的单位没有隶属关系或其他利害关系。</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本公司违反上述保证，或本声明陈述与事实不符，经查实，本公司愿意接受公开通报，承担由此带来的法律后果，并自愿停止参加广州市行政辖区内的招标投标活动三个月。</w:t>
      </w:r>
    </w:p>
    <w:p>
      <w:pPr>
        <w:widowControl/>
        <w:shd w:val="clear" w:color="auto" w:fill="FFFFFF"/>
        <w:snapToGrid w:val="0"/>
        <w:spacing w:line="360" w:lineRule="auto"/>
        <w:ind w:firstLine="480" w:firstLineChars="2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特此声明</w:t>
      </w:r>
    </w:p>
    <w:p>
      <w:pPr>
        <w:widowControl/>
        <w:shd w:val="clear" w:color="auto" w:fill="FFFFFF"/>
        <w:snapToGrid w:val="0"/>
        <w:spacing w:line="360" w:lineRule="auto"/>
        <w:ind w:right="1449" w:firstLine="2160" w:firstLineChars="900"/>
        <w:jc w:val="left"/>
        <w:rPr>
          <w:rFonts w:ascii="宋体" w:hAnsi="宋体" w:eastAsia="宋体" w:cs="宋体"/>
          <w:color w:val="3C3C3C"/>
          <w:kern w:val="0"/>
          <w:sz w:val="24"/>
          <w:szCs w:val="24"/>
        </w:rPr>
      </w:pPr>
    </w:p>
    <w:p>
      <w:pPr>
        <w:widowControl/>
        <w:shd w:val="clear" w:color="auto" w:fill="FFFFFF"/>
        <w:snapToGrid w:val="0"/>
        <w:spacing w:line="360" w:lineRule="auto"/>
        <w:ind w:right="1449" w:firstLine="2880" w:firstLineChars="1200"/>
        <w:jc w:val="left"/>
        <w:rPr>
          <w:rFonts w:ascii="宋体" w:hAnsi="宋体" w:eastAsia="宋体" w:cs="宋体"/>
          <w:color w:val="3C3C3C"/>
          <w:kern w:val="0"/>
          <w:sz w:val="24"/>
          <w:szCs w:val="24"/>
        </w:rPr>
      </w:pPr>
    </w:p>
    <w:p>
      <w:pPr>
        <w:widowControl/>
        <w:shd w:val="clear" w:color="auto" w:fill="FFFFFF"/>
        <w:snapToGrid w:val="0"/>
        <w:spacing w:line="360" w:lineRule="auto"/>
        <w:ind w:right="1449" w:firstLine="3120" w:firstLineChars="13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声明企业：</w:t>
      </w:r>
    </w:p>
    <w:p>
      <w:pPr>
        <w:widowControl/>
        <w:shd w:val="clear" w:color="auto" w:fill="FFFFFF"/>
        <w:snapToGrid w:val="0"/>
        <w:spacing w:line="360" w:lineRule="auto"/>
        <w:ind w:right="1076"/>
        <w:jc w:val="center"/>
        <w:rPr>
          <w:rFonts w:ascii="宋体" w:hAnsi="宋体" w:eastAsia="宋体" w:cs="宋体"/>
          <w:color w:val="3C3C3C"/>
          <w:kern w:val="0"/>
          <w:sz w:val="18"/>
          <w:szCs w:val="18"/>
        </w:rPr>
      </w:pPr>
      <w:r>
        <w:rPr>
          <w:rFonts w:hint="eastAsia" w:ascii="宋体" w:hAnsi="宋体" w:eastAsia="宋体" w:cs="宋体"/>
          <w:color w:val="3C3C3C"/>
          <w:kern w:val="0"/>
          <w:sz w:val="24"/>
          <w:szCs w:val="24"/>
        </w:rPr>
        <w:t xml:space="preserve">                </w:t>
      </w:r>
      <w:r>
        <w:rPr>
          <w:rFonts w:hint="eastAsia" w:ascii="宋体" w:hAnsi="宋体" w:eastAsia="宋体" w:cs="宋体"/>
          <w:color w:val="3C3C3C"/>
          <w:kern w:val="0"/>
          <w:sz w:val="24"/>
          <w:szCs w:val="24"/>
          <w:lang w:val="en-US" w:eastAsia="zh-CN"/>
        </w:rPr>
        <w:t xml:space="preserve"> </w:t>
      </w:r>
      <w:r>
        <w:rPr>
          <w:rFonts w:hint="eastAsia" w:ascii="宋体" w:hAnsi="宋体" w:eastAsia="宋体" w:cs="宋体"/>
          <w:color w:val="3C3C3C"/>
          <w:kern w:val="0"/>
          <w:sz w:val="24"/>
          <w:szCs w:val="24"/>
        </w:rPr>
        <w:t>法定代表人签字或签章： (企业公章)</w:t>
      </w:r>
    </w:p>
    <w:p>
      <w:pPr>
        <w:widowControl/>
        <w:shd w:val="clear" w:color="auto" w:fill="FFFFFF"/>
        <w:snapToGrid w:val="0"/>
        <w:spacing w:line="360" w:lineRule="auto"/>
        <w:ind w:firstLine="3120" w:firstLineChars="1300"/>
        <w:jc w:val="left"/>
        <w:rPr>
          <w:rFonts w:ascii="宋体" w:hAnsi="宋体" w:eastAsia="宋体" w:cs="宋体"/>
          <w:color w:val="3C3C3C"/>
          <w:kern w:val="0"/>
          <w:sz w:val="24"/>
          <w:szCs w:val="24"/>
        </w:rPr>
      </w:pPr>
      <w:r>
        <w:rPr>
          <w:rFonts w:hint="eastAsia" w:ascii="宋体" w:hAnsi="宋体" w:eastAsia="宋体" w:cs="宋体"/>
          <w:color w:val="3C3C3C"/>
          <w:kern w:val="0"/>
          <w:sz w:val="24"/>
          <w:szCs w:val="24"/>
        </w:rPr>
        <w:t>日期：</w:t>
      </w:r>
    </w:p>
    <w:p>
      <w:pPr>
        <w:spacing w:line="360" w:lineRule="auto"/>
        <w:rPr>
          <w:rFonts w:ascii="宋体" w:hAnsi="宋体" w:eastAsia="宋体" w:cs="宋体"/>
          <w:color w:val="3C3C3C"/>
          <w:kern w:val="0"/>
          <w:sz w:val="18"/>
          <w:szCs w:val="18"/>
        </w:rPr>
      </w:pPr>
    </w:p>
    <w:p>
      <w:pPr>
        <w:spacing w:line="360" w:lineRule="auto"/>
        <w:rPr>
          <w:rFonts w:ascii="宋体" w:hAnsi="宋体" w:eastAsia="宋体" w:cs="宋体"/>
          <w:color w:val="3C3C3C"/>
          <w:kern w:val="0"/>
          <w:sz w:val="18"/>
          <w:szCs w:val="18"/>
        </w:rPr>
      </w:pPr>
    </w:p>
    <w:p>
      <w:pPr>
        <w:spacing w:line="360" w:lineRule="auto"/>
        <w:rPr>
          <w:rFonts w:ascii="宋体" w:hAnsi="宋体" w:eastAsia="宋体" w:cs="宋体"/>
          <w:color w:val="3C3C3C"/>
          <w:kern w:val="0"/>
          <w:sz w:val="18"/>
          <w:szCs w:val="18"/>
        </w:rPr>
      </w:pPr>
    </w:p>
    <w:p>
      <w:pPr>
        <w:spacing w:line="360" w:lineRule="auto"/>
        <w:rPr>
          <w:rFonts w:ascii="宋体" w:hAnsi="宋体" w:eastAsia="宋体" w:cs="宋体"/>
          <w:color w:val="3C3C3C"/>
          <w:kern w:val="0"/>
          <w:sz w:val="18"/>
          <w:szCs w:val="18"/>
        </w:rPr>
      </w:pPr>
    </w:p>
    <w:p>
      <w:pPr>
        <w:spacing w:line="360" w:lineRule="auto"/>
        <w:rPr>
          <w:rFonts w:ascii="宋体" w:hAnsi="宋体" w:eastAsia="宋体" w:cs="宋体"/>
          <w:color w:val="3C3C3C"/>
          <w:kern w:val="0"/>
          <w:sz w:val="18"/>
          <w:szCs w:val="18"/>
        </w:rPr>
      </w:pPr>
    </w:p>
    <w:p>
      <w:pPr>
        <w:spacing w:line="360" w:lineRule="auto"/>
        <w:rPr>
          <w:rFonts w:ascii="宋体" w:hAnsi="宋体" w:eastAsia="宋体" w:cs="宋体"/>
          <w:color w:val="3C3C3C"/>
          <w:kern w:val="0"/>
          <w:sz w:val="18"/>
          <w:szCs w:val="18"/>
        </w:rPr>
      </w:pPr>
    </w:p>
    <w:p>
      <w:pPr>
        <w:spacing w:line="360" w:lineRule="auto"/>
        <w:rPr>
          <w:rFonts w:ascii="宋体" w:hAnsi="宋体" w:eastAsia="宋体" w:cs="宋体"/>
          <w:color w:val="3C3C3C"/>
          <w:kern w:val="0"/>
          <w:sz w:val="18"/>
          <w:szCs w:val="18"/>
        </w:rPr>
      </w:pPr>
    </w:p>
    <w:sectPr>
      <w:footerReference r:id="rId3" w:type="default"/>
      <w:pgSz w:w="11906" w:h="16838"/>
      <w:pgMar w:top="1191" w:right="1304" w:bottom="1191" w:left="1304" w:header="680"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29694"/>
    <w:multiLevelType w:val="singleLevel"/>
    <w:tmpl w:val="C2329694"/>
    <w:lvl w:ilvl="0" w:tentative="0">
      <w:start w:val="1"/>
      <w:numFmt w:val="decimal"/>
      <w:suff w:val="nothing"/>
      <w:lvlText w:val="%1、"/>
      <w:lvlJc w:val="left"/>
    </w:lvl>
  </w:abstractNum>
  <w:abstractNum w:abstractNumId="1">
    <w:nsid w:val="2F378FC5"/>
    <w:multiLevelType w:val="singleLevel"/>
    <w:tmpl w:val="2F378FC5"/>
    <w:lvl w:ilvl="0" w:tentative="0">
      <w:start w:val="10"/>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ZDVjNmJkZTBiMjE1NjBhYzQyNWQ3ZDYyNDU2MTEifQ=="/>
  </w:docVars>
  <w:rsids>
    <w:rsidRoot w:val="0058688C"/>
    <w:rsid w:val="00084DDD"/>
    <w:rsid w:val="0014412E"/>
    <w:rsid w:val="00150535"/>
    <w:rsid w:val="001B3EC6"/>
    <w:rsid w:val="0029628E"/>
    <w:rsid w:val="002A5215"/>
    <w:rsid w:val="00353996"/>
    <w:rsid w:val="00356ED4"/>
    <w:rsid w:val="0035732A"/>
    <w:rsid w:val="00385A68"/>
    <w:rsid w:val="003B35BD"/>
    <w:rsid w:val="003D3A55"/>
    <w:rsid w:val="00467878"/>
    <w:rsid w:val="0058688C"/>
    <w:rsid w:val="00594F10"/>
    <w:rsid w:val="0065424C"/>
    <w:rsid w:val="006C0950"/>
    <w:rsid w:val="006E55E0"/>
    <w:rsid w:val="00706FA8"/>
    <w:rsid w:val="007411C3"/>
    <w:rsid w:val="00825DE9"/>
    <w:rsid w:val="009C6E6F"/>
    <w:rsid w:val="009D29A5"/>
    <w:rsid w:val="00A748F5"/>
    <w:rsid w:val="00B35465"/>
    <w:rsid w:val="00B5440A"/>
    <w:rsid w:val="00C104DB"/>
    <w:rsid w:val="00C649A6"/>
    <w:rsid w:val="00C75129"/>
    <w:rsid w:val="00C870E5"/>
    <w:rsid w:val="00CB2421"/>
    <w:rsid w:val="00D023C5"/>
    <w:rsid w:val="00DB35A1"/>
    <w:rsid w:val="00F248F9"/>
    <w:rsid w:val="00FC5782"/>
    <w:rsid w:val="01F20D42"/>
    <w:rsid w:val="04FC7B48"/>
    <w:rsid w:val="05A1788E"/>
    <w:rsid w:val="0B290685"/>
    <w:rsid w:val="0BCD4D32"/>
    <w:rsid w:val="0CED735D"/>
    <w:rsid w:val="0F106942"/>
    <w:rsid w:val="10B522D6"/>
    <w:rsid w:val="12001240"/>
    <w:rsid w:val="12A627E2"/>
    <w:rsid w:val="147E3F8C"/>
    <w:rsid w:val="148F527B"/>
    <w:rsid w:val="14A83DDF"/>
    <w:rsid w:val="169265DE"/>
    <w:rsid w:val="182D5FDC"/>
    <w:rsid w:val="19FD5EBB"/>
    <w:rsid w:val="1E2D0589"/>
    <w:rsid w:val="22F822B8"/>
    <w:rsid w:val="23B11F94"/>
    <w:rsid w:val="29670F0B"/>
    <w:rsid w:val="2A8962DA"/>
    <w:rsid w:val="2C397BB6"/>
    <w:rsid w:val="2DCE44FD"/>
    <w:rsid w:val="2EE47B19"/>
    <w:rsid w:val="32980F88"/>
    <w:rsid w:val="40F7125A"/>
    <w:rsid w:val="427E4870"/>
    <w:rsid w:val="42EF3290"/>
    <w:rsid w:val="46D375D5"/>
    <w:rsid w:val="49D362B3"/>
    <w:rsid w:val="55012006"/>
    <w:rsid w:val="551C61AA"/>
    <w:rsid w:val="558536F6"/>
    <w:rsid w:val="594E69B1"/>
    <w:rsid w:val="5F0E693E"/>
    <w:rsid w:val="5FE34539"/>
    <w:rsid w:val="60996FA9"/>
    <w:rsid w:val="61C639AD"/>
    <w:rsid w:val="61FE232E"/>
    <w:rsid w:val="64D70D63"/>
    <w:rsid w:val="67B9006A"/>
    <w:rsid w:val="6CD62F22"/>
    <w:rsid w:val="6D766294"/>
    <w:rsid w:val="74014E7A"/>
    <w:rsid w:val="747A406B"/>
    <w:rsid w:val="75807062"/>
    <w:rsid w:val="779A2A38"/>
    <w:rsid w:val="7D307A51"/>
    <w:rsid w:val="7EDC39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2"/>
    <w:semiHidden/>
    <w:unhideWhenUsed/>
    <w:qFormat/>
    <w:uiPriority w:val="99"/>
    <w:pPr>
      <w:jc w:val="left"/>
    </w:pPr>
  </w:style>
  <w:style w:type="paragraph" w:styleId="4">
    <w:name w:val="Body Text Indent"/>
    <w:basedOn w:val="1"/>
    <w:qFormat/>
    <w:uiPriority w:val="99"/>
    <w:pPr>
      <w:spacing w:after="120"/>
      <w:ind w:left="420" w:leftChars="200"/>
    </w:pPr>
    <w:rPr>
      <w:rFonts w:ascii="Calibri" w:hAnsi="Calibri" w:cs="黑体"/>
      <w:kern w:val="2"/>
      <w:szCs w:val="22"/>
    </w:rPr>
  </w:style>
  <w:style w:type="paragraph" w:styleId="5">
    <w:name w:val="Plain Text"/>
    <w:basedOn w:val="1"/>
    <w:next w:val="6"/>
    <w:qFormat/>
    <w:uiPriority w:val="0"/>
    <w:rPr>
      <w:rFonts w:ascii="宋体" w:hAnsi="Courier New"/>
      <w:sz w:val="24"/>
      <w:szCs w:val="20"/>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Balloon Text"/>
    <w:basedOn w:val="1"/>
    <w:link w:val="34"/>
    <w:semiHidden/>
    <w:unhideWhenUsed/>
    <w:qFormat/>
    <w:uiPriority w:val="99"/>
    <w:rPr>
      <w:sz w:val="18"/>
      <w:szCs w:val="18"/>
    </w:rPr>
  </w:style>
  <w:style w:type="paragraph" w:styleId="8">
    <w:name w:val="footer"/>
    <w:basedOn w:val="1"/>
    <w:link w:val="28"/>
    <w:unhideWhenUsed/>
    <w:qFormat/>
    <w:uiPriority w:val="99"/>
    <w:pPr>
      <w:tabs>
        <w:tab w:val="center" w:pos="4153"/>
        <w:tab w:val="right" w:pos="8306"/>
      </w:tabs>
      <w:snapToGrid w:val="0"/>
      <w:jc w:val="left"/>
    </w:pPr>
    <w:rPr>
      <w:sz w:val="18"/>
      <w:szCs w:val="18"/>
    </w:rPr>
  </w:style>
  <w:style w:type="paragraph" w:styleId="9">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120" w:after="120"/>
      <w:jc w:val="left"/>
    </w:pPr>
    <w:rPr>
      <w:b/>
      <w:bCs/>
      <w:caps/>
      <w:sz w:val="20"/>
      <w:szCs w:val="20"/>
    </w:rPr>
  </w:style>
  <w:style w:type="paragraph" w:styleId="11">
    <w:name w:val="Body Text 2"/>
    <w:basedOn w:val="1"/>
    <w:link w:val="29"/>
    <w:semiHidden/>
    <w:unhideWhenUsed/>
    <w:qFormat/>
    <w:uiPriority w:val="99"/>
    <w:pPr>
      <w:widowControl/>
      <w:jc w:val="left"/>
    </w:pPr>
    <w:rPr>
      <w:rFonts w:ascii="宋体" w:hAnsi="宋体" w:eastAsia="宋体" w:cs="宋体"/>
      <w:kern w:val="0"/>
      <w:sz w:val="24"/>
      <w:szCs w:val="24"/>
    </w:rPr>
  </w:style>
  <w:style w:type="paragraph" w:styleId="12">
    <w:name w:val="annotation subject"/>
    <w:basedOn w:val="3"/>
    <w:next w:val="3"/>
    <w:link w:val="33"/>
    <w:semiHidden/>
    <w:unhideWhenUsed/>
    <w:qFormat/>
    <w:uiPriority w:val="99"/>
    <w:rPr>
      <w:b/>
      <w:bCs/>
    </w:rPr>
  </w:style>
  <w:style w:type="paragraph" w:styleId="13">
    <w:name w:val="Body Text First Indent 2"/>
    <w:basedOn w:val="4"/>
    <w:qFormat/>
    <w:uiPriority w:val="99"/>
    <w:pPr>
      <w:ind w:firstLine="420" w:firstLineChars="200"/>
    </w:pPr>
  </w:style>
  <w:style w:type="character" w:styleId="16">
    <w:name w:val="Strong"/>
    <w:basedOn w:val="15"/>
    <w:qFormat/>
    <w:uiPriority w:val="22"/>
    <w:rPr>
      <w:b/>
      <w:bCs/>
    </w:rPr>
  </w:style>
  <w:style w:type="character" w:styleId="17">
    <w:name w:val="FollowedHyperlink"/>
    <w:basedOn w:val="15"/>
    <w:semiHidden/>
    <w:unhideWhenUsed/>
    <w:qFormat/>
    <w:uiPriority w:val="99"/>
    <w:rPr>
      <w:rFonts w:hint="eastAsia" w:ascii="微软雅黑" w:hAnsi="微软雅黑" w:eastAsia="微软雅黑" w:cs="微软雅黑"/>
      <w:color w:val="337AB7"/>
      <w:u w:val="none"/>
    </w:rPr>
  </w:style>
  <w:style w:type="character" w:styleId="18">
    <w:name w:val="HTML Definition"/>
    <w:basedOn w:val="15"/>
    <w:semiHidden/>
    <w:unhideWhenUsed/>
    <w:qFormat/>
    <w:uiPriority w:val="99"/>
    <w:rPr>
      <w:i/>
      <w:iCs/>
    </w:rPr>
  </w:style>
  <w:style w:type="character" w:styleId="19">
    <w:name w:val="Hyperlink"/>
    <w:basedOn w:val="15"/>
    <w:unhideWhenUsed/>
    <w:qFormat/>
    <w:uiPriority w:val="99"/>
    <w:rPr>
      <w:color w:val="0000FF" w:themeColor="hyperlink"/>
      <w:u w:val="single"/>
      <w14:textFill>
        <w14:solidFill>
          <w14:schemeClr w14:val="hlink"/>
        </w14:solidFill>
      </w14:textFill>
    </w:rPr>
  </w:style>
  <w:style w:type="character" w:styleId="20">
    <w:name w:val="HTML Code"/>
    <w:basedOn w:val="15"/>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21">
    <w:name w:val="annotation reference"/>
    <w:basedOn w:val="15"/>
    <w:semiHidden/>
    <w:unhideWhenUsed/>
    <w:qFormat/>
    <w:uiPriority w:val="99"/>
    <w:rPr>
      <w:sz w:val="21"/>
      <w:szCs w:val="21"/>
    </w:rPr>
  </w:style>
  <w:style w:type="character" w:styleId="22">
    <w:name w:val="HTML Keyboard"/>
    <w:basedOn w:val="15"/>
    <w:semiHidden/>
    <w:unhideWhenUsed/>
    <w:qFormat/>
    <w:uiPriority w:val="99"/>
    <w:rPr>
      <w:rFonts w:hint="default" w:ascii="Consolas" w:hAnsi="Consolas" w:eastAsia="Consolas" w:cs="Consolas"/>
      <w:color w:val="FFFFFF"/>
      <w:sz w:val="21"/>
      <w:szCs w:val="21"/>
      <w:shd w:val="clear" w:color="auto" w:fill="333333"/>
    </w:rPr>
  </w:style>
  <w:style w:type="character" w:styleId="23">
    <w:name w:val="HTML Sample"/>
    <w:basedOn w:val="15"/>
    <w:semiHidden/>
    <w:unhideWhenUsed/>
    <w:qFormat/>
    <w:uiPriority w:val="99"/>
    <w:rPr>
      <w:rFonts w:ascii="Consolas" w:hAnsi="Consolas" w:eastAsia="Consolas" w:cs="Consolas"/>
      <w:sz w:val="21"/>
      <w:szCs w:val="21"/>
    </w:rPr>
  </w:style>
  <w:style w:type="paragraph" w:customStyle="1" w:styleId="24">
    <w:name w:val="样式 宋体 行距: 1.5 倍行距"/>
    <w:basedOn w:val="1"/>
    <w:qFormat/>
    <w:uiPriority w:val="0"/>
    <w:pPr>
      <w:jc w:val="center"/>
    </w:pPr>
    <w:rPr>
      <w:rFonts w:ascii="Times New Roman" w:hAnsi="Times New Roman"/>
      <w:b/>
    </w:rPr>
  </w:style>
  <w:style w:type="paragraph" w:customStyle="1" w:styleId="25">
    <w:name w:val="正文缩进1"/>
    <w:basedOn w:val="26"/>
    <w:qFormat/>
    <w:uiPriority w:val="0"/>
    <w:pPr>
      <w:keepNext w:val="0"/>
      <w:keepLines w:val="0"/>
      <w:widowControl w:val="0"/>
      <w:suppressLineNumbers w:val="0"/>
      <w:spacing w:before="0" w:beforeLines="0" w:beforeAutospacing="0" w:after="0" w:afterLines="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customStyle="1" w:styleId="26">
    <w:name w:val="正文1"/>
    <w:basedOn w:val="1"/>
    <w:qFormat/>
    <w:uiPriority w:val="0"/>
    <w:pPr>
      <w:adjustRightInd w:val="0"/>
      <w:spacing w:line="240" w:lineRule="atLeast"/>
      <w:jc w:val="center"/>
      <w:textAlignment w:val="baseline"/>
    </w:pPr>
    <w:rPr>
      <w:rFonts w:ascii="Tahoma" w:hAnsi="Tahoma"/>
      <w:sz w:val="24"/>
    </w:rPr>
  </w:style>
  <w:style w:type="character" w:customStyle="1" w:styleId="27">
    <w:name w:val="页眉 Char"/>
    <w:basedOn w:val="15"/>
    <w:link w:val="9"/>
    <w:qFormat/>
    <w:uiPriority w:val="99"/>
    <w:rPr>
      <w:sz w:val="18"/>
      <w:szCs w:val="18"/>
    </w:rPr>
  </w:style>
  <w:style w:type="character" w:customStyle="1" w:styleId="28">
    <w:name w:val="页脚 Char"/>
    <w:basedOn w:val="15"/>
    <w:link w:val="8"/>
    <w:qFormat/>
    <w:uiPriority w:val="99"/>
    <w:rPr>
      <w:sz w:val="18"/>
      <w:szCs w:val="18"/>
    </w:rPr>
  </w:style>
  <w:style w:type="character" w:customStyle="1" w:styleId="29">
    <w:name w:val="正文文本 2 Char"/>
    <w:basedOn w:val="15"/>
    <w:link w:val="11"/>
    <w:semiHidden/>
    <w:qFormat/>
    <w:uiPriority w:val="99"/>
    <w:rPr>
      <w:rFonts w:ascii="宋体" w:hAnsi="宋体" w:eastAsia="宋体" w:cs="宋体"/>
      <w:kern w:val="0"/>
      <w:sz w:val="24"/>
      <w:szCs w:val="24"/>
    </w:rPr>
  </w:style>
  <w:style w:type="paragraph" w:customStyle="1" w:styleId="30">
    <w:name w:val="a"/>
    <w:basedOn w:val="1"/>
    <w:qFormat/>
    <w:uiPriority w:val="0"/>
    <w:pPr>
      <w:widowControl/>
      <w:jc w:val="left"/>
    </w:pPr>
    <w:rPr>
      <w:rFonts w:ascii="宋体" w:hAnsi="宋体" w:eastAsia="宋体" w:cs="宋体"/>
      <w:kern w:val="0"/>
      <w:sz w:val="24"/>
      <w:szCs w:val="24"/>
    </w:rPr>
  </w:style>
  <w:style w:type="paragraph" w:customStyle="1" w:styleId="31">
    <w:name w:val="a1"/>
    <w:basedOn w:val="1"/>
    <w:qFormat/>
    <w:uiPriority w:val="0"/>
    <w:pPr>
      <w:widowControl/>
      <w:jc w:val="left"/>
    </w:pPr>
    <w:rPr>
      <w:rFonts w:ascii="宋体" w:hAnsi="宋体" w:eastAsia="宋体" w:cs="宋体"/>
      <w:kern w:val="0"/>
      <w:sz w:val="24"/>
      <w:szCs w:val="24"/>
    </w:rPr>
  </w:style>
  <w:style w:type="character" w:customStyle="1" w:styleId="32">
    <w:name w:val="批注文字 Char"/>
    <w:basedOn w:val="15"/>
    <w:link w:val="3"/>
    <w:semiHidden/>
    <w:qFormat/>
    <w:uiPriority w:val="99"/>
  </w:style>
  <w:style w:type="character" w:customStyle="1" w:styleId="33">
    <w:name w:val="批注主题 Char"/>
    <w:basedOn w:val="32"/>
    <w:link w:val="12"/>
    <w:semiHidden/>
    <w:qFormat/>
    <w:uiPriority w:val="99"/>
    <w:rPr>
      <w:b/>
      <w:bCs/>
    </w:rPr>
  </w:style>
  <w:style w:type="character" w:customStyle="1" w:styleId="34">
    <w:name w:val="批注框文本 Char"/>
    <w:basedOn w:val="15"/>
    <w:link w:val="7"/>
    <w:semiHidden/>
    <w:qFormat/>
    <w:uiPriority w:val="99"/>
    <w:rPr>
      <w:sz w:val="18"/>
      <w:szCs w:val="18"/>
    </w:rPr>
  </w:style>
  <w:style w:type="paragraph" w:customStyle="1" w:styleId="35">
    <w:name w:val="Body text|1"/>
    <w:basedOn w:val="1"/>
    <w:qFormat/>
    <w:uiPriority w:val="0"/>
    <w:pPr>
      <w:spacing w:line="480" w:lineRule="auto"/>
      <w:ind w:firstLine="400"/>
    </w:pPr>
    <w:rPr>
      <w:rFonts w:ascii="宋体" w:hAnsi="宋体" w:eastAsia="宋体" w:cs="宋体"/>
      <w:sz w:val="26"/>
      <w:szCs w:val="26"/>
      <w:lang w:val="zh-TW" w:eastAsia="zh-TW" w:bidi="zh-TW"/>
    </w:rPr>
  </w:style>
  <w:style w:type="character" w:customStyle="1" w:styleId="36">
    <w:name w:val="title2"/>
    <w:basedOn w:val="15"/>
    <w:qFormat/>
    <w:uiPriority w:val="0"/>
  </w:style>
  <w:style w:type="character" w:customStyle="1" w:styleId="37">
    <w:name w:val="username"/>
    <w:basedOn w:val="1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2861</Words>
  <Characters>3102</Characters>
  <Lines>26</Lines>
  <Paragraphs>7</Paragraphs>
  <TotalTime>6</TotalTime>
  <ScaleCrop>false</ScaleCrop>
  <LinksUpToDate>false</LinksUpToDate>
  <CharactersWithSpaces>3169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2017-06-14T01:48:00Z</dcterms:created>
  <dc:creator>欧炳瑜</dc:creator>
  <cp:lastModifiedBy>LG</cp:lastModifiedBy>
  <cp:lastPrinted>2022-04-21T02:04:00Z</cp:lastPrinted>
  <dcterms:modified xsi:type="dcterms:W3CDTF">2023-08-09T00:56:24Z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C2803290F9714B699AB561F72761E735_13</vt:lpwstr>
  </property>
</Properties>
</file>