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jc w:val="center"/>
        <w:rPr>
          <w:rFonts w:ascii="宋体" w:hAnsi="宋体" w:cs="宋体"/>
          <w:b/>
          <w:bCs/>
          <w:sz w:val="44"/>
          <w:szCs w:val="44"/>
        </w:rPr>
      </w:pPr>
      <w:r>
        <w:rPr>
          <w:rFonts w:hint="eastAsia" w:ascii="宋体" w:hAnsi="宋体" w:cs="宋体"/>
          <w:b/>
          <w:bCs/>
          <w:sz w:val="44"/>
          <w:szCs w:val="44"/>
        </w:rPr>
        <w:t>广州北站东侧老旧小区成片连片微改造项目</w:t>
      </w:r>
    </w:p>
    <w:p>
      <w:pPr>
        <w:spacing w:after="104"/>
        <w:jc w:val="center"/>
        <w:rPr>
          <w:rFonts w:ascii="宋体" w:hAnsi="宋体" w:eastAsia="宋体" w:cs="宋体"/>
          <w:color w:val="auto"/>
          <w:sz w:val="44"/>
          <w:szCs w:val="44"/>
        </w:rPr>
      </w:pPr>
      <w:r>
        <w:rPr>
          <w:rFonts w:hint="eastAsia" w:ascii="宋体" w:hAnsi="宋体" w:cs="宋体"/>
          <w:b/>
          <w:bCs/>
          <w:sz w:val="44"/>
          <w:szCs w:val="44"/>
        </w:rPr>
        <w:t>第三方检测、</w:t>
      </w:r>
      <w:r>
        <w:rPr>
          <w:rFonts w:hint="eastAsia" w:ascii="宋体" w:hAnsi="宋体" w:eastAsia="宋体" w:cs="宋体"/>
          <w:b/>
          <w:bCs/>
          <w:sz w:val="44"/>
          <w:szCs w:val="44"/>
        </w:rPr>
        <w:t>监测服务</w:t>
      </w:r>
    </w:p>
    <w:p>
      <w:pPr>
        <w:spacing w:after="72"/>
        <w:ind w:right="66"/>
        <w:jc w:val="right"/>
        <w:rPr>
          <w:rFonts w:ascii="宋体" w:hAnsi="宋体" w:eastAsia="宋体" w:cs="宋体"/>
          <w:color w:val="auto"/>
          <w:sz w:val="21"/>
        </w:rPr>
      </w:pPr>
    </w:p>
    <w:p>
      <w:pPr>
        <w:spacing w:after="72"/>
        <w:ind w:right="66"/>
        <w:jc w:val="right"/>
        <w:rPr>
          <w:rFonts w:ascii="宋体" w:hAnsi="宋体" w:eastAsia="宋体" w:cs="宋体"/>
          <w:color w:val="auto"/>
        </w:rPr>
      </w:pPr>
    </w:p>
    <w:p>
      <w:pPr>
        <w:spacing w:after="0"/>
        <w:rPr>
          <w:rFonts w:ascii="宋体" w:hAnsi="宋体" w:eastAsia="宋体" w:cs="宋体"/>
          <w:color w:val="auto"/>
          <w:sz w:val="28"/>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line="218" w:lineRule="auto"/>
        <w:jc w:val="center"/>
        <w:rPr>
          <w:rFonts w:ascii="宋体" w:hAnsi="宋体" w:eastAsia="宋体" w:cs="宋体"/>
          <w:b/>
          <w:color w:val="auto"/>
          <w:sz w:val="84"/>
          <w:szCs w:val="84"/>
        </w:rPr>
      </w:pPr>
      <w:r>
        <w:rPr>
          <w:rFonts w:hint="eastAsia" w:ascii="宋体" w:hAnsi="宋体" w:eastAsia="宋体" w:cs="宋体"/>
          <w:b/>
          <w:color w:val="auto"/>
          <w:sz w:val="84"/>
          <w:szCs w:val="84"/>
        </w:rPr>
        <w:t>招标文件</w:t>
      </w:r>
    </w:p>
    <w:p>
      <w:pPr>
        <w:spacing w:after="137"/>
        <w:rPr>
          <w:rFonts w:ascii="宋体" w:hAnsi="宋体" w:eastAsia="宋体" w:cs="宋体"/>
          <w:color w:val="auto"/>
        </w:rPr>
      </w:pPr>
    </w:p>
    <w:p>
      <w:pPr>
        <w:spacing w:after="134"/>
        <w:rPr>
          <w:rFonts w:ascii="宋体" w:hAnsi="宋体" w:eastAsia="宋体" w:cs="宋体"/>
          <w:color w:val="auto"/>
          <w:sz w:val="21"/>
        </w:rPr>
      </w:pPr>
    </w:p>
    <w:p>
      <w:pPr>
        <w:spacing w:after="134"/>
        <w:rPr>
          <w:rFonts w:ascii="宋体" w:hAnsi="宋体" w:eastAsia="宋体" w:cs="宋体"/>
          <w:color w:val="auto"/>
        </w:rPr>
      </w:pPr>
    </w:p>
    <w:p>
      <w:pPr>
        <w:spacing w:after="137"/>
        <w:rPr>
          <w:rFonts w:ascii="宋体" w:hAnsi="宋体" w:eastAsia="宋体" w:cs="宋体"/>
          <w:color w:val="auto"/>
          <w:sz w:val="21"/>
        </w:rPr>
      </w:pPr>
    </w:p>
    <w:p>
      <w:pPr>
        <w:spacing w:after="134"/>
        <w:rPr>
          <w:rFonts w:ascii="宋体" w:hAnsi="宋体" w:eastAsia="宋体" w:cs="宋体"/>
          <w:color w:val="auto"/>
          <w:sz w:val="21"/>
        </w:rPr>
      </w:pPr>
    </w:p>
    <w:p>
      <w:pPr>
        <w:spacing w:after="134"/>
        <w:rPr>
          <w:rFonts w:ascii="宋体" w:hAnsi="宋体" w:eastAsia="宋体" w:cs="宋体"/>
          <w:color w:val="auto"/>
          <w:sz w:val="21"/>
        </w:rPr>
      </w:pPr>
    </w:p>
    <w:p>
      <w:pPr>
        <w:spacing w:after="134"/>
        <w:rPr>
          <w:rFonts w:ascii="宋体" w:hAnsi="宋体" w:eastAsia="宋体" w:cs="宋体"/>
          <w:color w:val="auto"/>
          <w:sz w:val="21"/>
        </w:rPr>
      </w:pPr>
    </w:p>
    <w:p>
      <w:pPr>
        <w:spacing w:after="134"/>
        <w:rPr>
          <w:rFonts w:ascii="宋体" w:hAnsi="宋体" w:eastAsia="宋体" w:cs="宋体"/>
          <w:color w:val="auto"/>
          <w:sz w:val="21"/>
        </w:rPr>
      </w:pPr>
    </w:p>
    <w:p>
      <w:pPr>
        <w:spacing w:after="134"/>
        <w:rPr>
          <w:rFonts w:ascii="宋体" w:hAnsi="宋体" w:eastAsia="宋体" w:cs="宋体"/>
          <w:color w:val="auto"/>
        </w:rPr>
      </w:pPr>
    </w:p>
    <w:p>
      <w:pPr>
        <w:spacing w:after="137"/>
        <w:rPr>
          <w:rFonts w:ascii="宋体" w:hAnsi="宋体" w:eastAsia="宋体" w:cs="宋体"/>
          <w:color w:val="auto"/>
        </w:rPr>
      </w:pPr>
    </w:p>
    <w:p>
      <w:pPr>
        <w:spacing w:after="137"/>
        <w:rPr>
          <w:rFonts w:ascii="宋体" w:hAnsi="宋体" w:eastAsia="宋体" w:cs="宋体"/>
          <w:color w:val="auto"/>
        </w:rPr>
      </w:pPr>
    </w:p>
    <w:p>
      <w:pPr>
        <w:spacing w:line="360" w:lineRule="auto"/>
        <w:rPr>
          <w:rFonts w:ascii="宋体" w:hAnsi="宋体" w:cs="宋体"/>
          <w:b/>
          <w:bCs/>
          <w:sz w:val="32"/>
          <w:szCs w:val="32"/>
          <w:u w:val="single"/>
        </w:rPr>
      </w:pPr>
      <w:r>
        <w:rPr>
          <w:rFonts w:hint="eastAsia" w:ascii="宋体" w:hAnsi="宋体" w:cs="宋体"/>
          <w:b/>
          <w:bCs/>
          <w:sz w:val="32"/>
          <w:szCs w:val="32"/>
        </w:rPr>
        <w:t>招标单位：广州市花都区人民政府新华街道办事处</w:t>
      </w:r>
    </w:p>
    <w:p>
      <w:pPr>
        <w:spacing w:line="360" w:lineRule="auto"/>
        <w:rPr>
          <w:rFonts w:ascii="宋体" w:hAnsi="宋体" w:cs="宋体"/>
          <w:b/>
          <w:bCs/>
          <w:sz w:val="32"/>
          <w:szCs w:val="32"/>
          <w:u w:val="single"/>
        </w:rPr>
      </w:pPr>
      <w:r>
        <w:rPr>
          <w:rFonts w:hint="eastAsia" w:ascii="宋体" w:hAnsi="宋体" w:cs="宋体"/>
          <w:b/>
          <w:bCs/>
          <w:sz w:val="32"/>
          <w:szCs w:val="32"/>
        </w:rPr>
        <w:t>招标代理单位：广东建设工程监理有限公司</w:t>
      </w:r>
    </w:p>
    <w:p>
      <w:pPr>
        <w:spacing w:line="360" w:lineRule="auto"/>
        <w:rPr>
          <w:rFonts w:ascii="宋体" w:hAnsi="宋体" w:cs="宋体"/>
          <w:b/>
          <w:bCs/>
          <w:sz w:val="32"/>
          <w:szCs w:val="32"/>
        </w:rPr>
      </w:pPr>
      <w:r>
        <w:rPr>
          <w:rFonts w:hint="eastAsia" w:ascii="宋体" w:hAnsi="宋体" w:cs="宋体"/>
          <w:b/>
          <w:bCs/>
          <w:sz w:val="32"/>
          <w:szCs w:val="32"/>
        </w:rPr>
        <w:t>日期：</w:t>
      </w:r>
      <w:r>
        <w:rPr>
          <w:rFonts w:ascii="宋体" w:hAnsi="宋体" w:cs="宋体"/>
          <w:b/>
          <w:bCs/>
          <w:sz w:val="32"/>
          <w:szCs w:val="32"/>
        </w:rPr>
        <w:t>20</w:t>
      </w:r>
      <w:r>
        <w:rPr>
          <w:rFonts w:hint="eastAsia" w:ascii="宋体" w:hAnsi="宋体" w:cs="宋体"/>
          <w:b/>
          <w:bCs/>
          <w:sz w:val="32"/>
          <w:szCs w:val="32"/>
        </w:rPr>
        <w:t>23年</w:t>
      </w:r>
      <w:r>
        <w:rPr>
          <w:rFonts w:hint="eastAsia" w:ascii="宋体" w:hAnsi="宋体" w:eastAsia="宋体" w:cs="宋体"/>
          <w:b/>
          <w:bCs/>
          <w:sz w:val="32"/>
          <w:szCs w:val="32"/>
        </w:rPr>
        <w:t>8</w:t>
      </w:r>
      <w:r>
        <w:rPr>
          <w:rFonts w:hint="eastAsia" w:ascii="宋体" w:hAnsi="宋体" w:cs="宋体"/>
          <w:b/>
          <w:bCs/>
          <w:sz w:val="32"/>
          <w:szCs w:val="32"/>
        </w:rPr>
        <w:t>月</w:t>
      </w:r>
    </w:p>
    <w:p>
      <w:pPr>
        <w:spacing w:line="360" w:lineRule="auto"/>
        <w:ind w:firstLine="984" w:firstLineChars="350"/>
        <w:rPr>
          <w:rFonts w:ascii="宋体" w:hAnsi="宋体" w:eastAsia="宋体" w:cs="宋体"/>
          <w:b/>
          <w:color w:val="auto"/>
          <w:kern w:val="0"/>
          <w:sz w:val="28"/>
          <w:szCs w:val="28"/>
        </w:rPr>
      </w:pPr>
    </w:p>
    <w:p>
      <w:pPr>
        <w:spacing w:after="0" w:line="265" w:lineRule="auto"/>
        <w:ind w:left="10" w:right="119" w:hanging="10"/>
        <w:jc w:val="center"/>
        <w:rPr>
          <w:rFonts w:ascii="宋体" w:hAnsi="宋体" w:eastAsia="宋体" w:cs="宋体"/>
          <w:color w:val="auto"/>
        </w:rPr>
      </w:pPr>
      <w:r>
        <w:rPr>
          <w:rFonts w:hint="eastAsia" w:ascii="宋体" w:hAnsi="宋体" w:eastAsia="宋体" w:cs="宋体"/>
          <w:color w:val="auto"/>
          <w:sz w:val="28"/>
        </w:rPr>
        <w:t xml:space="preserve">目  录 </w:t>
      </w:r>
    </w:p>
    <w:p>
      <w:pPr>
        <w:pStyle w:val="24"/>
        <w:tabs>
          <w:tab w:val="right" w:leader="dot" w:pos="9289"/>
        </w:tabs>
        <w:rPr>
          <w:rFonts w:asciiTheme="minorHAnsi" w:hAnsiTheme="minorHAnsi" w:eastAsiaTheme="minorEastAsia" w:cstheme="minorBidi"/>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TOC \o "1-3" \h \z \u </w:instrText>
      </w:r>
      <w:r>
        <w:rPr>
          <w:rFonts w:hint="eastAsia" w:ascii="宋体" w:hAnsi="宋体" w:eastAsia="宋体" w:cs="宋体"/>
          <w:color w:val="auto"/>
        </w:rPr>
        <w:fldChar w:fldCharType="separate"/>
      </w:r>
      <w:r>
        <w:fldChar w:fldCharType="begin"/>
      </w:r>
      <w:r>
        <w:instrText xml:space="preserve"> HYPERLINK \l "_Toc142406572" </w:instrText>
      </w:r>
      <w:r>
        <w:fldChar w:fldCharType="separate"/>
      </w:r>
      <w:r>
        <w:rPr>
          <w:rStyle w:val="38"/>
          <w:rFonts w:hint="eastAsia" w:ascii="宋体" w:hAnsi="宋体" w:eastAsia="宋体" w:cs="宋体"/>
        </w:rPr>
        <w:t>第一卷</w:t>
      </w:r>
      <w:r>
        <w:tab/>
      </w:r>
      <w:r>
        <w:fldChar w:fldCharType="begin"/>
      </w:r>
      <w:r>
        <w:instrText xml:space="preserve"> PAGEREF _Toc142406572 \h </w:instrText>
      </w:r>
      <w:r>
        <w:fldChar w:fldCharType="separate"/>
      </w:r>
      <w:r>
        <w:t>5</w:t>
      </w:r>
      <w:r>
        <w:fldChar w:fldCharType="end"/>
      </w:r>
      <w:r>
        <w:fldChar w:fldCharType="end"/>
      </w:r>
    </w:p>
    <w:p>
      <w:pPr>
        <w:pStyle w:val="24"/>
        <w:tabs>
          <w:tab w:val="right" w:leader="dot" w:pos="9289"/>
        </w:tabs>
        <w:rPr>
          <w:rFonts w:asciiTheme="minorHAnsi" w:hAnsiTheme="minorHAnsi" w:eastAsiaTheme="minorEastAsia" w:cstheme="minorBidi"/>
          <w:color w:val="auto"/>
        </w:rPr>
      </w:pPr>
      <w:r>
        <w:fldChar w:fldCharType="begin"/>
      </w:r>
      <w:r>
        <w:instrText xml:space="preserve"> HYPERLINK \l "_Toc142406573" </w:instrText>
      </w:r>
      <w:r>
        <w:fldChar w:fldCharType="separate"/>
      </w:r>
      <w:r>
        <w:rPr>
          <w:rStyle w:val="38"/>
          <w:rFonts w:hint="eastAsia" w:ascii="宋体" w:hAnsi="宋体" w:eastAsia="宋体" w:cs="宋体"/>
        </w:rPr>
        <w:t>第一章招标公告</w:t>
      </w:r>
      <w:r>
        <w:tab/>
      </w:r>
      <w:r>
        <w:fldChar w:fldCharType="begin"/>
      </w:r>
      <w:r>
        <w:instrText xml:space="preserve"> PAGEREF _Toc142406573 \h </w:instrText>
      </w:r>
      <w:r>
        <w:fldChar w:fldCharType="separate"/>
      </w:r>
      <w:r>
        <w:t>5</w:t>
      </w:r>
      <w:r>
        <w:fldChar w:fldCharType="end"/>
      </w:r>
      <w:r>
        <w:fldChar w:fldCharType="end"/>
      </w:r>
    </w:p>
    <w:p>
      <w:pPr>
        <w:pStyle w:val="24"/>
        <w:tabs>
          <w:tab w:val="right" w:leader="dot" w:pos="9289"/>
        </w:tabs>
        <w:rPr>
          <w:rFonts w:asciiTheme="minorHAnsi" w:hAnsiTheme="minorHAnsi" w:eastAsiaTheme="minorEastAsia" w:cstheme="minorBidi"/>
          <w:color w:val="auto"/>
        </w:rPr>
      </w:pPr>
      <w:r>
        <w:fldChar w:fldCharType="begin"/>
      </w:r>
      <w:r>
        <w:instrText xml:space="preserve"> HYPERLINK \l "_Toc142406574" </w:instrText>
      </w:r>
      <w:r>
        <w:fldChar w:fldCharType="separate"/>
      </w:r>
      <w:r>
        <w:rPr>
          <w:rStyle w:val="38"/>
          <w:rFonts w:hint="eastAsia" w:ascii="宋体" w:hAnsi="宋体" w:eastAsia="宋体" w:cs="宋体"/>
        </w:rPr>
        <w:t>第二章投标人须知</w:t>
      </w:r>
      <w:r>
        <w:tab/>
      </w:r>
      <w:r>
        <w:fldChar w:fldCharType="begin"/>
      </w:r>
      <w:r>
        <w:instrText xml:space="preserve"> PAGEREF _Toc142406574 \h </w:instrText>
      </w:r>
      <w:r>
        <w:fldChar w:fldCharType="separate"/>
      </w:r>
      <w:r>
        <w:t>6</w:t>
      </w:r>
      <w:r>
        <w:fldChar w:fldCharType="end"/>
      </w:r>
      <w:r>
        <w:fldChar w:fldCharType="end"/>
      </w:r>
    </w:p>
    <w:p>
      <w:pPr>
        <w:pStyle w:val="24"/>
        <w:tabs>
          <w:tab w:val="right" w:leader="dot" w:pos="9289"/>
        </w:tabs>
        <w:rPr>
          <w:rFonts w:asciiTheme="minorHAnsi" w:hAnsiTheme="minorHAnsi" w:eastAsiaTheme="minorEastAsia" w:cstheme="minorBidi"/>
          <w:color w:val="auto"/>
        </w:rPr>
      </w:pPr>
      <w:r>
        <w:fldChar w:fldCharType="begin"/>
      </w:r>
      <w:r>
        <w:instrText xml:space="preserve"> HYPERLINK \l "_Toc142406646" </w:instrText>
      </w:r>
      <w:r>
        <w:fldChar w:fldCharType="separate"/>
      </w:r>
      <w:r>
        <w:rPr>
          <w:rStyle w:val="38"/>
          <w:rFonts w:hint="eastAsia" w:ascii="宋体" w:hAnsi="宋体" w:eastAsia="宋体" w:cs="宋体"/>
        </w:rPr>
        <w:t>第四章合同条款及格式</w:t>
      </w:r>
      <w:r>
        <w:tab/>
      </w:r>
      <w:r>
        <w:fldChar w:fldCharType="begin"/>
      </w:r>
      <w:r>
        <w:instrText xml:space="preserve"> PAGEREF _Toc142406646 \h </w:instrText>
      </w:r>
      <w:r>
        <w:fldChar w:fldCharType="separate"/>
      </w:r>
      <w:r>
        <w:t>40</w:t>
      </w:r>
      <w:r>
        <w:fldChar w:fldCharType="end"/>
      </w:r>
      <w:r>
        <w:fldChar w:fldCharType="end"/>
      </w:r>
    </w:p>
    <w:p>
      <w:pPr>
        <w:pStyle w:val="24"/>
        <w:tabs>
          <w:tab w:val="right" w:leader="dot" w:pos="9289"/>
        </w:tabs>
        <w:rPr>
          <w:rFonts w:asciiTheme="minorHAnsi" w:hAnsiTheme="minorHAnsi" w:eastAsiaTheme="minorEastAsia" w:cstheme="minorBidi"/>
          <w:color w:val="auto"/>
        </w:rPr>
      </w:pPr>
      <w:r>
        <w:fldChar w:fldCharType="begin"/>
      </w:r>
      <w:r>
        <w:instrText xml:space="preserve"> HYPERLINK \l "_Toc142406649" </w:instrText>
      </w:r>
      <w:r>
        <w:fldChar w:fldCharType="separate"/>
      </w:r>
      <w:r>
        <w:rPr>
          <w:rStyle w:val="38"/>
          <w:rFonts w:hint="eastAsia" w:ascii="宋体" w:hAnsi="宋体" w:eastAsia="宋体" w:cs="宋体"/>
        </w:rPr>
        <w:t>第五章委托人要求</w:t>
      </w:r>
      <w:r>
        <w:tab/>
      </w:r>
      <w:r>
        <w:fldChar w:fldCharType="begin"/>
      </w:r>
      <w:r>
        <w:instrText xml:space="preserve"> PAGEREF _Toc142406649 \h </w:instrText>
      </w:r>
      <w:r>
        <w:fldChar w:fldCharType="separate"/>
      </w:r>
      <w:r>
        <w:t>42</w:t>
      </w:r>
      <w:r>
        <w:fldChar w:fldCharType="end"/>
      </w:r>
      <w:r>
        <w:fldChar w:fldCharType="end"/>
      </w:r>
    </w:p>
    <w:p>
      <w:pPr>
        <w:pStyle w:val="24"/>
        <w:tabs>
          <w:tab w:val="right" w:leader="dot" w:pos="9289"/>
        </w:tabs>
        <w:rPr>
          <w:rFonts w:asciiTheme="minorHAnsi" w:hAnsiTheme="minorHAnsi" w:eastAsiaTheme="minorEastAsia" w:cstheme="minorBidi"/>
          <w:color w:val="auto"/>
        </w:rPr>
      </w:pPr>
      <w:r>
        <w:fldChar w:fldCharType="begin"/>
      </w:r>
      <w:r>
        <w:instrText xml:space="preserve"> HYPERLINK \l "_Toc142406651" </w:instrText>
      </w:r>
      <w:r>
        <w:fldChar w:fldCharType="separate"/>
      </w:r>
      <w:r>
        <w:rPr>
          <w:rStyle w:val="38"/>
          <w:rFonts w:hint="eastAsia" w:ascii="宋体" w:hAnsi="宋体" w:eastAsia="宋体" w:cs="宋体"/>
        </w:rPr>
        <w:t>第六章投标文件格式</w:t>
      </w:r>
      <w:r>
        <w:tab/>
      </w:r>
      <w:r>
        <w:fldChar w:fldCharType="begin"/>
      </w:r>
      <w:r>
        <w:instrText xml:space="preserve"> PAGEREF _Toc142406651 \h </w:instrText>
      </w:r>
      <w:r>
        <w:fldChar w:fldCharType="separate"/>
      </w:r>
      <w:r>
        <w:t>44</w:t>
      </w:r>
      <w:r>
        <w:fldChar w:fldCharType="end"/>
      </w:r>
      <w:r>
        <w:fldChar w:fldCharType="end"/>
      </w:r>
    </w:p>
    <w:p>
      <w:pPr>
        <w:pStyle w:val="24"/>
        <w:tabs>
          <w:tab w:val="right" w:leader="dot" w:pos="8750"/>
        </w:tabs>
        <w:rPr>
          <w:rFonts w:ascii="宋体" w:hAnsi="宋体" w:eastAsia="宋体" w:cs="宋体"/>
          <w:color w:val="auto"/>
        </w:rPr>
        <w:sectPr>
          <w:footerReference r:id="rId5" w:type="default"/>
          <w:pgSz w:w="11907" w:h="16840"/>
          <w:pgMar w:top="1361" w:right="1304" w:bottom="1361" w:left="1304" w:header="720" w:footer="720" w:gutter="0"/>
          <w:pgNumType w:start="1"/>
          <w:cols w:space="720" w:num="1"/>
          <w:docGrid w:linePitch="299" w:charSpace="0"/>
        </w:sectPr>
      </w:pPr>
      <w:r>
        <w:rPr>
          <w:rFonts w:hint="eastAsia" w:ascii="宋体" w:hAnsi="宋体" w:eastAsia="宋体" w:cs="宋体"/>
          <w:color w:val="auto"/>
        </w:rPr>
        <w:fldChar w:fldCharType="end"/>
      </w:r>
    </w:p>
    <w:p>
      <w:pPr>
        <w:pStyle w:val="3"/>
        <w:spacing w:after="914" w:line="240" w:lineRule="auto"/>
        <w:ind w:right="0"/>
        <w:rPr>
          <w:rFonts w:ascii="宋体" w:hAnsi="宋体" w:eastAsia="宋体" w:cs="宋体"/>
          <w:color w:val="auto"/>
          <w:sz w:val="44"/>
        </w:rPr>
      </w:pPr>
      <w:bookmarkStart w:id="0" w:name="_Toc142406572"/>
      <w:bookmarkStart w:id="1" w:name="_Toc508382083"/>
      <w:r>
        <w:rPr>
          <w:rFonts w:hint="eastAsia" w:ascii="宋体" w:hAnsi="宋体" w:eastAsia="宋体" w:cs="宋体"/>
          <w:color w:val="auto"/>
          <w:sz w:val="44"/>
        </w:rPr>
        <w:t>第一卷</w:t>
      </w:r>
      <w:bookmarkEnd w:id="0"/>
      <w:bookmarkEnd w:id="1"/>
    </w:p>
    <w:p>
      <w:pPr>
        <w:pStyle w:val="3"/>
        <w:spacing w:after="224" w:line="240" w:lineRule="auto"/>
        <w:ind w:left="0" w:right="0" w:firstLine="0"/>
        <w:rPr>
          <w:rFonts w:ascii="宋体" w:hAnsi="宋体" w:eastAsia="宋体" w:cs="宋体"/>
          <w:color w:val="auto"/>
          <w:sz w:val="44"/>
        </w:rPr>
      </w:pPr>
      <w:bookmarkStart w:id="2" w:name="_Toc508382084"/>
      <w:bookmarkStart w:id="3" w:name="_Toc142406573"/>
      <w:r>
        <w:rPr>
          <w:rFonts w:hint="eastAsia" w:ascii="宋体" w:hAnsi="宋体" w:eastAsia="宋体" w:cs="宋体"/>
          <w:color w:val="auto"/>
          <w:sz w:val="44"/>
        </w:rPr>
        <w:t>第一章招标公告</w:t>
      </w:r>
      <w:bookmarkEnd w:id="2"/>
      <w:bookmarkEnd w:id="3"/>
    </w:p>
    <w:p>
      <w:pPr>
        <w:jc w:val="center"/>
        <w:rPr>
          <w:rFonts w:ascii="宋体" w:hAnsi="宋体" w:eastAsia="宋体" w:cs="宋体"/>
          <w:color w:val="auto"/>
          <w:sz w:val="24"/>
          <w:szCs w:val="24"/>
        </w:rPr>
      </w:pPr>
      <w:r>
        <w:rPr>
          <w:rFonts w:hint="eastAsia" w:ascii="宋体" w:hAnsi="宋体" w:eastAsia="宋体" w:cs="宋体"/>
          <w:color w:val="auto"/>
          <w:sz w:val="24"/>
          <w:szCs w:val="24"/>
        </w:rPr>
        <w:t>（另附）</w:t>
      </w:r>
    </w:p>
    <w:p>
      <w:pPr>
        <w:pStyle w:val="3"/>
        <w:adjustRightInd w:val="0"/>
        <w:spacing w:after="850" w:line="360" w:lineRule="auto"/>
        <w:ind w:right="2770" w:hanging="11"/>
        <w:jc w:val="right"/>
        <w:rPr>
          <w:rFonts w:ascii="宋体" w:hAnsi="宋体" w:eastAsia="宋体" w:cs="宋体"/>
          <w:color w:val="auto"/>
        </w:rPr>
      </w:pPr>
      <w:bookmarkStart w:id="4" w:name="_Toc508382092"/>
      <w:r>
        <w:rPr>
          <w:rFonts w:hint="eastAsia" w:ascii="宋体" w:hAnsi="宋体" w:eastAsia="宋体" w:cs="宋体"/>
          <w:color w:val="auto"/>
          <w:sz w:val="44"/>
        </w:rPr>
        <w:br w:type="page"/>
      </w:r>
      <w:bookmarkStart w:id="5" w:name="_Toc142406574"/>
      <w:r>
        <w:rPr>
          <w:rFonts w:hint="eastAsia" w:ascii="宋体" w:hAnsi="宋体" w:eastAsia="宋体" w:cs="宋体"/>
          <w:color w:val="auto"/>
          <w:sz w:val="44"/>
        </w:rPr>
        <w:t>第二章投标人须知</w:t>
      </w:r>
      <w:bookmarkEnd w:id="4"/>
      <w:bookmarkEnd w:id="5"/>
    </w:p>
    <w:p>
      <w:pPr>
        <w:pStyle w:val="4"/>
        <w:spacing w:after="155" w:line="360" w:lineRule="auto"/>
        <w:ind w:left="-5" w:right="0" w:hanging="11"/>
        <w:jc w:val="center"/>
        <w:rPr>
          <w:rFonts w:ascii="宋体" w:hAnsi="宋体" w:eastAsia="宋体" w:cs="宋体"/>
          <w:color w:val="auto"/>
        </w:rPr>
      </w:pPr>
      <w:bookmarkStart w:id="6" w:name="_Toc508382093"/>
      <w:bookmarkStart w:id="7" w:name="_Toc508788610"/>
      <w:bookmarkStart w:id="8" w:name="_Toc142406575"/>
      <w:r>
        <w:rPr>
          <w:rFonts w:hint="eastAsia" w:ascii="宋体" w:hAnsi="宋体" w:eastAsia="宋体" w:cs="宋体"/>
          <w:color w:val="auto"/>
          <w:sz w:val="32"/>
        </w:rPr>
        <w:t>投标人须知前附表</w:t>
      </w:r>
      <w:bookmarkEnd w:id="6"/>
      <w:bookmarkEnd w:id="7"/>
      <w:bookmarkEnd w:id="8"/>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
      <w:tblGrid>
        <w:gridCol w:w="1057"/>
        <w:gridCol w:w="154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199" w:hRule="atLeast"/>
          <w:jc w:val="center"/>
        </w:trPr>
        <w:tc>
          <w:tcPr>
            <w:tcW w:w="1057" w:type="dxa"/>
            <w:noWrap/>
            <w:vAlign w:val="center"/>
          </w:tcPr>
          <w:p>
            <w:pPr>
              <w:spacing w:after="0" w:line="240" w:lineRule="auto"/>
              <w:ind w:left="156"/>
              <w:rPr>
                <w:rFonts w:ascii="宋体" w:hAnsi="宋体" w:eastAsia="宋体" w:cs="宋体"/>
                <w:color w:val="auto"/>
                <w:sz w:val="21"/>
                <w:szCs w:val="21"/>
              </w:rPr>
            </w:pPr>
            <w:r>
              <w:rPr>
                <w:rFonts w:hint="eastAsia" w:ascii="宋体" w:hAnsi="宋体" w:eastAsia="宋体" w:cs="宋体"/>
                <w:color w:val="auto"/>
                <w:sz w:val="21"/>
                <w:szCs w:val="21"/>
              </w:rPr>
              <w:t>条款号</w:t>
            </w:r>
          </w:p>
        </w:tc>
        <w:tc>
          <w:tcPr>
            <w:tcW w:w="1546" w:type="dxa"/>
            <w:noWrap/>
            <w:vAlign w:val="center"/>
          </w:tcPr>
          <w:p>
            <w:pPr>
              <w:spacing w:after="0" w:line="240" w:lineRule="auto"/>
              <w:ind w:left="10"/>
              <w:jc w:val="center"/>
              <w:rPr>
                <w:rFonts w:ascii="宋体" w:hAnsi="宋体" w:eastAsia="宋体" w:cs="宋体"/>
                <w:color w:val="auto"/>
                <w:sz w:val="21"/>
                <w:szCs w:val="21"/>
              </w:rPr>
            </w:pPr>
            <w:r>
              <w:rPr>
                <w:rFonts w:hint="eastAsia" w:ascii="宋体" w:hAnsi="宋体" w:eastAsia="宋体" w:cs="宋体"/>
                <w:color w:val="auto"/>
                <w:sz w:val="21"/>
                <w:szCs w:val="21"/>
              </w:rPr>
              <w:t>条款名称</w:t>
            </w:r>
          </w:p>
        </w:tc>
        <w:tc>
          <w:tcPr>
            <w:tcW w:w="6571" w:type="dxa"/>
            <w:noWrap/>
            <w:vAlign w:val="center"/>
          </w:tcPr>
          <w:p>
            <w:pPr>
              <w:spacing w:after="0" w:line="240" w:lineRule="auto"/>
              <w:ind w:left="11"/>
              <w:jc w:val="center"/>
              <w:rPr>
                <w:rFonts w:ascii="宋体" w:hAnsi="宋体" w:eastAsia="宋体" w:cs="宋体"/>
                <w:color w:val="auto"/>
                <w:sz w:val="21"/>
                <w:szCs w:val="21"/>
              </w:rPr>
            </w:pPr>
            <w:r>
              <w:rPr>
                <w:rFonts w:hint="eastAsia" w:ascii="宋体" w:hAnsi="宋体" w:eastAsia="宋体" w:cs="宋体"/>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12"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1.1.2 </w:t>
            </w:r>
          </w:p>
        </w:tc>
        <w:tc>
          <w:tcPr>
            <w:tcW w:w="1546"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招标人 </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名称：</w:t>
            </w:r>
            <w:r>
              <w:rPr>
                <w:rFonts w:ascii="宋体" w:hAnsi="宋体" w:cs="宋体"/>
                <w:kern w:val="2"/>
                <w:sz w:val="21"/>
                <w:szCs w:val="21"/>
              </w:rPr>
              <w:t>广州市花都区人民政府新华街道办事处</w:t>
            </w:r>
          </w:p>
          <w:p>
            <w:pPr>
              <w:pStyle w:val="32"/>
              <w:spacing w:after="0"/>
              <w:ind w:firstLine="0"/>
              <w:rPr>
                <w:rFonts w:ascii="宋体" w:hAnsi="宋体" w:cs="宋体"/>
                <w:kern w:val="2"/>
                <w:sz w:val="21"/>
                <w:szCs w:val="21"/>
              </w:rPr>
            </w:pPr>
            <w:r>
              <w:rPr>
                <w:rFonts w:hint="eastAsia" w:ascii="宋体" w:hAnsi="宋体" w:cs="宋体"/>
                <w:kern w:val="2"/>
                <w:sz w:val="21"/>
                <w:szCs w:val="21"/>
              </w:rPr>
              <w:t>地址：</w:t>
            </w:r>
            <w:r>
              <w:rPr>
                <w:rFonts w:ascii="宋体" w:hAnsi="宋体" w:cs="宋体"/>
                <w:kern w:val="2"/>
                <w:sz w:val="21"/>
                <w:szCs w:val="21"/>
              </w:rPr>
              <w:t>广州市花都区新华街建设南路1号</w:t>
            </w:r>
          </w:p>
          <w:p>
            <w:pPr>
              <w:pStyle w:val="32"/>
              <w:spacing w:after="0"/>
              <w:ind w:firstLine="0"/>
              <w:rPr>
                <w:rFonts w:ascii="宋体" w:hAnsi="宋体" w:cs="宋体"/>
                <w:kern w:val="2"/>
                <w:sz w:val="21"/>
                <w:szCs w:val="21"/>
              </w:rPr>
            </w:pPr>
            <w:r>
              <w:rPr>
                <w:rFonts w:hint="eastAsia" w:ascii="宋体" w:hAnsi="宋体" w:cs="宋体"/>
                <w:kern w:val="2"/>
                <w:sz w:val="21"/>
                <w:szCs w:val="21"/>
              </w:rPr>
              <w:t>联系人：曾工</w:t>
            </w:r>
          </w:p>
          <w:p>
            <w:pPr>
              <w:pStyle w:val="32"/>
              <w:spacing w:after="0"/>
              <w:ind w:firstLine="0"/>
              <w:rPr>
                <w:kern w:val="2"/>
                <w:sz w:val="21"/>
                <w:szCs w:val="21"/>
              </w:rPr>
            </w:pPr>
            <w:r>
              <w:rPr>
                <w:rFonts w:hint="eastAsia" w:ascii="宋体" w:hAnsi="宋体" w:cs="宋体"/>
                <w:kern w:val="2"/>
                <w:sz w:val="21"/>
                <w:szCs w:val="21"/>
              </w:rPr>
              <w:t>电话：020-86812116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16"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1.1.3 </w:t>
            </w:r>
          </w:p>
        </w:tc>
        <w:tc>
          <w:tcPr>
            <w:tcW w:w="1546"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招标代理机构 </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名称：广东建设工程监理有限公司</w:t>
            </w:r>
          </w:p>
          <w:p>
            <w:pPr>
              <w:pStyle w:val="32"/>
              <w:spacing w:after="0"/>
              <w:ind w:firstLine="0"/>
              <w:rPr>
                <w:rFonts w:ascii="宋体" w:hAnsi="宋体" w:cs="宋体"/>
                <w:kern w:val="2"/>
                <w:sz w:val="21"/>
                <w:szCs w:val="21"/>
              </w:rPr>
            </w:pPr>
            <w:r>
              <w:rPr>
                <w:rFonts w:hint="eastAsia" w:ascii="宋体" w:hAnsi="宋体" w:cs="宋体"/>
                <w:kern w:val="2"/>
                <w:sz w:val="21"/>
                <w:szCs w:val="21"/>
              </w:rPr>
              <w:t>地址：</w:t>
            </w:r>
            <w:r>
              <w:rPr>
                <w:rFonts w:ascii="宋体" w:hAnsi="宋体" w:cs="宋体"/>
                <w:kern w:val="2"/>
                <w:sz w:val="21"/>
                <w:szCs w:val="21"/>
              </w:rPr>
              <w:t>广州市荔湾区流花路73号3楼303-307</w:t>
            </w:r>
          </w:p>
          <w:p>
            <w:pPr>
              <w:pStyle w:val="32"/>
              <w:spacing w:after="0"/>
              <w:ind w:firstLine="0"/>
              <w:rPr>
                <w:rFonts w:ascii="宋体" w:hAnsi="宋体" w:cs="宋体"/>
                <w:kern w:val="2"/>
                <w:sz w:val="21"/>
                <w:szCs w:val="21"/>
              </w:rPr>
            </w:pPr>
            <w:r>
              <w:rPr>
                <w:rFonts w:hint="eastAsia" w:ascii="宋体" w:hAnsi="宋体" w:cs="宋体"/>
                <w:kern w:val="2"/>
                <w:sz w:val="21"/>
                <w:szCs w:val="21"/>
              </w:rPr>
              <w:t>联系人：</w:t>
            </w:r>
            <w:r>
              <w:rPr>
                <w:rFonts w:ascii="宋体" w:hAnsi="宋体" w:cs="宋体"/>
                <w:kern w:val="2"/>
                <w:sz w:val="21"/>
                <w:szCs w:val="21"/>
              </w:rPr>
              <w:t>胡工</w:t>
            </w:r>
          </w:p>
          <w:p>
            <w:pPr>
              <w:pStyle w:val="32"/>
              <w:spacing w:after="0"/>
              <w:ind w:firstLine="0"/>
              <w:rPr>
                <w:rFonts w:ascii="宋体" w:hAnsi="宋体" w:cs="宋体"/>
                <w:kern w:val="2"/>
                <w:sz w:val="21"/>
                <w:szCs w:val="21"/>
              </w:rPr>
            </w:pPr>
            <w:r>
              <w:rPr>
                <w:rFonts w:hint="eastAsia" w:ascii="宋体" w:hAnsi="宋体" w:cs="宋体"/>
                <w:kern w:val="2"/>
                <w:sz w:val="21"/>
                <w:szCs w:val="21"/>
              </w:rPr>
              <w:t>电话：</w:t>
            </w:r>
            <w:r>
              <w:rPr>
                <w:rFonts w:ascii="宋体" w:hAnsi="宋体" w:cs="宋体"/>
                <w:kern w:val="2"/>
                <w:sz w:val="21"/>
                <w:szCs w:val="21"/>
              </w:rPr>
              <w:t>020-</w:t>
            </w:r>
            <w:r>
              <w:rPr>
                <w:rFonts w:hint="eastAsia" w:ascii="宋体" w:hAnsi="宋体" w:cs="宋体"/>
                <w:kern w:val="2"/>
                <w:sz w:val="21"/>
                <w:szCs w:val="21"/>
              </w:rPr>
              <w:t>36234265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1.1.4 </w:t>
            </w:r>
          </w:p>
        </w:tc>
        <w:tc>
          <w:tcPr>
            <w:tcW w:w="1546"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招标项目名称 </w:t>
            </w:r>
          </w:p>
        </w:tc>
        <w:tc>
          <w:tcPr>
            <w:tcW w:w="6571" w:type="dxa"/>
            <w:noWrap/>
            <w:vAlign w:val="center"/>
          </w:tcPr>
          <w:p>
            <w:pPr>
              <w:pStyle w:val="32"/>
              <w:spacing w:after="0"/>
              <w:ind w:firstLine="0"/>
              <w:rPr>
                <w:rFonts w:ascii="宋体" w:hAnsi="宋体" w:cs="宋体"/>
                <w:kern w:val="2"/>
                <w:sz w:val="21"/>
                <w:szCs w:val="21"/>
              </w:rPr>
            </w:pPr>
            <w:r>
              <w:rPr>
                <w:rFonts w:ascii="宋体" w:hAnsi="宋体" w:cs="宋体"/>
                <w:szCs w:val="21"/>
              </w:rPr>
              <w:t>广州北站东侧老旧小区成片连片微改造</w:t>
            </w:r>
            <w:r>
              <w:rPr>
                <w:rFonts w:hint="eastAsia" w:ascii="宋体" w:hAnsi="宋体" w:cs="宋体"/>
                <w:szCs w:val="21"/>
              </w:rPr>
              <w:t>项目第三方检测、监测</w:t>
            </w:r>
            <w:r>
              <w:rPr>
                <w:rStyle w:val="39"/>
                <w:rFonts w:hint="eastAsia"/>
                <w:color w:val="000000"/>
                <w:kern w:val="2"/>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19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1.1.5 </w:t>
            </w:r>
          </w:p>
        </w:tc>
        <w:tc>
          <w:tcPr>
            <w:tcW w:w="1546"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项目建设地点 </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1.1.6 </w:t>
            </w:r>
          </w:p>
        </w:tc>
        <w:tc>
          <w:tcPr>
            <w:tcW w:w="1546"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项目建设规模 </w:t>
            </w:r>
          </w:p>
        </w:tc>
        <w:tc>
          <w:tcPr>
            <w:tcW w:w="6571" w:type="dxa"/>
            <w:noWrap/>
            <w:vAlign w:val="center"/>
          </w:tcPr>
          <w:p>
            <w:pPr>
              <w:spacing w:after="0" w:line="240" w:lineRule="auto"/>
              <w:ind w:right="154"/>
              <w:rPr>
                <w:rFonts w:ascii="宋体" w:hAnsi="宋体" w:eastAsia="宋体" w:cs="宋体"/>
                <w:color w:val="auto"/>
                <w:sz w:val="21"/>
                <w:szCs w:val="21"/>
              </w:rPr>
            </w:pPr>
            <w:r>
              <w:rPr>
                <w:rFonts w:hint="eastAsia" w:ascii="宋体" w:hAnsi="宋体" w:eastAsia="宋体" w:cs="宋体"/>
                <w:color w:val="auto"/>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36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1.1.7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工程项目施工预计开工日期和建设周期</w:t>
            </w:r>
          </w:p>
        </w:tc>
        <w:tc>
          <w:tcPr>
            <w:tcW w:w="6571" w:type="dxa"/>
            <w:noWrap/>
            <w:vAlign w:val="center"/>
          </w:tcPr>
          <w:p>
            <w:pPr>
              <w:spacing w:after="0" w:line="240" w:lineRule="auto"/>
              <w:rPr>
                <w:rFonts w:ascii="宋体" w:hAnsi="宋体" w:eastAsia="宋体" w:cs="宋体"/>
                <w:color w:val="auto"/>
                <w:sz w:val="21"/>
                <w:szCs w:val="21"/>
              </w:rPr>
            </w:pPr>
            <w:r>
              <w:rPr>
                <w:rFonts w:hint="eastAsia" w:ascii="宋体" w:hAnsi="宋体" w:eastAsia="宋体" w:cs="宋体"/>
                <w:color w:val="auto"/>
                <w:sz w:val="21"/>
                <w:szCs w:val="21"/>
              </w:rPr>
              <w:t>包括施工准备阶段及施工全过程，自中标单位进场至所有服务项目完成为止。具体进场日期以总监理工程师或发包人代表签发的开工令为准。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1.1.8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建筑安装工程费/工程概算</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sz w:val="21"/>
                <w:szCs w:val="21"/>
                <w:u w:val="single"/>
              </w:rPr>
              <w:t>详见招标公告</w:t>
            </w:r>
            <w:r>
              <w:rPr>
                <w:rFonts w:hint="eastAsia" w:ascii="宋体" w:hAnsi="宋体" w:cs="宋体"/>
                <w:kern w:val="2"/>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19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1.2.1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资金来源及比例</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sz w:val="21"/>
                <w:szCs w:val="21"/>
                <w:u w:val="single"/>
              </w:rPr>
              <w:t>详见招标公告</w:t>
            </w:r>
            <w:r>
              <w:rPr>
                <w:rFonts w:hint="eastAsia" w:ascii="宋体" w:hAnsi="宋体" w:cs="宋体"/>
                <w:kern w:val="2"/>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20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1.2.2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资金落实情况</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91"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1.11</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分包</w:t>
            </w:r>
          </w:p>
        </w:tc>
        <w:tc>
          <w:tcPr>
            <w:tcW w:w="6571" w:type="dxa"/>
            <w:noWrap/>
            <w:vAlign w:val="center"/>
          </w:tcPr>
          <w:p>
            <w:pPr>
              <w:rPr>
                <w:rFonts w:ascii="宋体" w:hAnsi="宋体" w:eastAsia="宋体" w:cs="宋体"/>
                <w:color w:val="auto"/>
                <w:kern w:val="0"/>
                <w:sz w:val="21"/>
                <w:szCs w:val="21"/>
                <w:u w:val="single"/>
              </w:rPr>
            </w:pPr>
            <w:r>
              <w:rPr>
                <w:rFonts w:hint="eastAsia" w:ascii="宋体" w:hAnsi="宋体" w:eastAsia="宋体" w:cs="宋体"/>
                <w:color w:val="auto"/>
                <w:kern w:val="0"/>
                <w:sz w:val="21"/>
                <w:szCs w:val="21"/>
                <w:u w:val="single"/>
              </w:rPr>
              <w:t>投标人应具备自行完成约定项目的检测监测工作的能力，除另有约定外原则上不得转包和分包。如投标人检测监测资质不能涵盖的项目，报招标人书面批准同意后，由投标方委托具有相应资质的第三方实施，投标人应对该第三方出具的结果负责，并取得相关行业管理部门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791"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1.3.1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招标范围</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98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1.3.2 </w:t>
            </w:r>
          </w:p>
        </w:tc>
        <w:tc>
          <w:tcPr>
            <w:tcW w:w="1546" w:type="dxa"/>
            <w:noWrap/>
            <w:vAlign w:val="center"/>
          </w:tcPr>
          <w:p>
            <w:pPr>
              <w:pStyle w:val="32"/>
              <w:spacing w:after="0"/>
              <w:ind w:firstLine="0"/>
              <w:jc w:val="center"/>
              <w:rPr>
                <w:rFonts w:ascii="宋体" w:hAnsi="宋体" w:cs="宋体"/>
                <w:color w:val="000000"/>
                <w:kern w:val="2"/>
                <w:sz w:val="21"/>
                <w:szCs w:val="21"/>
              </w:rPr>
            </w:pPr>
            <w:r>
              <w:rPr>
                <w:rFonts w:hint="eastAsia" w:ascii="宋体" w:hAnsi="宋体" w:cs="宋体"/>
                <w:color w:val="000000"/>
                <w:sz w:val="21"/>
                <w:szCs w:val="21"/>
                <w:u w:val="single"/>
              </w:rPr>
              <w:t>检测、监测</w:t>
            </w:r>
            <w:r>
              <w:rPr>
                <w:rFonts w:hint="eastAsia" w:ascii="宋体" w:hAnsi="宋体" w:cs="宋体"/>
                <w:color w:val="000000"/>
                <w:kern w:val="2"/>
                <w:sz w:val="21"/>
                <w:szCs w:val="21"/>
              </w:rPr>
              <w:t>服务期限</w:t>
            </w:r>
          </w:p>
        </w:tc>
        <w:tc>
          <w:tcPr>
            <w:tcW w:w="6571" w:type="dxa"/>
            <w:noWrap/>
            <w:vAlign w:val="center"/>
          </w:tcPr>
          <w:p>
            <w:pPr>
              <w:spacing w:after="0"/>
              <w:rPr>
                <w:rFonts w:ascii="宋体" w:hAnsi="宋体" w:cs="宋体"/>
                <w:sz w:val="21"/>
                <w:szCs w:val="21"/>
              </w:rPr>
            </w:pPr>
            <w:r>
              <w:rPr>
                <w:rFonts w:hint="eastAsia" w:ascii="宋体" w:hAnsi="宋体" w:eastAsia="宋体" w:cs="宋体"/>
                <w:sz w:val="21"/>
                <w:szCs w:val="21"/>
              </w:rPr>
              <w:t>服务周期包括施工准备阶段及施工全过程，自中标单位进场至所有服务项目完成为止。具体进场日期以总监理工程师或发包人代表签发的开工令为准。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571"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1.3.3 </w:t>
            </w:r>
          </w:p>
        </w:tc>
        <w:tc>
          <w:tcPr>
            <w:tcW w:w="1546" w:type="dxa"/>
            <w:noWrap/>
            <w:vAlign w:val="center"/>
          </w:tcPr>
          <w:p>
            <w:pPr>
              <w:pStyle w:val="32"/>
              <w:spacing w:after="0"/>
              <w:ind w:firstLine="0"/>
              <w:jc w:val="center"/>
              <w:rPr>
                <w:rFonts w:ascii="宋体" w:hAnsi="宋体" w:cs="宋体"/>
                <w:color w:val="000000"/>
                <w:kern w:val="2"/>
                <w:sz w:val="21"/>
                <w:szCs w:val="21"/>
              </w:rPr>
            </w:pPr>
            <w:r>
              <w:rPr>
                <w:rFonts w:hint="eastAsia" w:ascii="宋体" w:hAnsi="宋体" w:cs="宋体"/>
                <w:color w:val="000000"/>
                <w:kern w:val="2"/>
                <w:sz w:val="21"/>
                <w:szCs w:val="21"/>
              </w:rPr>
              <w:t>质量标准</w:t>
            </w:r>
          </w:p>
        </w:tc>
        <w:tc>
          <w:tcPr>
            <w:tcW w:w="6571" w:type="dxa"/>
            <w:noWrap/>
            <w:vAlign w:val="center"/>
          </w:tcPr>
          <w:p>
            <w:pPr>
              <w:pStyle w:val="32"/>
              <w:spacing w:after="0"/>
              <w:ind w:firstLine="0"/>
              <w:rPr>
                <w:rFonts w:ascii="宋体" w:hAnsi="宋体" w:cs="宋体"/>
                <w:color w:val="000000"/>
                <w:kern w:val="2"/>
                <w:sz w:val="21"/>
                <w:szCs w:val="21"/>
              </w:rPr>
            </w:pPr>
            <w:r>
              <w:rPr>
                <w:rFonts w:hint="eastAsia" w:ascii="宋体" w:hAnsi="宋体" w:cs="宋体"/>
                <w:color w:val="000000"/>
                <w:kern w:val="2"/>
                <w:sz w:val="21"/>
                <w:szCs w:val="21"/>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1426"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1.4.1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投标人资质条件、能力、信誉</w:t>
            </w:r>
          </w:p>
        </w:tc>
        <w:tc>
          <w:tcPr>
            <w:tcW w:w="6571" w:type="dxa"/>
            <w:noWrap/>
            <w:vAlign w:val="center"/>
          </w:tcPr>
          <w:p>
            <w:pPr>
              <w:pStyle w:val="72"/>
              <w:snapToGrid w:val="0"/>
              <w:spacing w:line="360" w:lineRule="exact"/>
              <w:ind w:left="142" w:right="106" w:firstLine="0" w:firstLineChars="0"/>
              <w:rPr>
                <w:rFonts w:ascii="宋体" w:hAnsi="宋体" w:cs="宋体"/>
              </w:rPr>
            </w:pPr>
            <w:r>
              <w:rPr>
                <w:rFonts w:hint="eastAsia" w:ascii="宋体" w:hAnsi="宋体" w:cs="宋体"/>
              </w:rPr>
              <w:t>（1）资质要求：</w:t>
            </w:r>
            <w:r>
              <w:rPr>
                <w:rFonts w:hint="eastAsia" w:ascii="宋体" w:hAnsi="宋体" w:cs="宋体"/>
                <w:u w:val="single"/>
              </w:rPr>
              <w:t>详见招标公告</w:t>
            </w:r>
          </w:p>
          <w:p>
            <w:pPr>
              <w:pStyle w:val="72"/>
              <w:snapToGrid w:val="0"/>
              <w:spacing w:line="360" w:lineRule="exact"/>
              <w:ind w:left="142" w:right="106" w:firstLine="0" w:firstLineChars="0"/>
              <w:rPr>
                <w:rFonts w:ascii="宋体" w:hAnsi="宋体" w:cs="宋体"/>
              </w:rPr>
            </w:pPr>
            <w:r>
              <w:rPr>
                <w:rFonts w:hint="eastAsia" w:ascii="宋体" w:hAnsi="宋体" w:cs="宋体"/>
              </w:rPr>
              <w:t>（2）财务要求：</w:t>
            </w:r>
            <w:r>
              <w:rPr>
                <w:rFonts w:hint="eastAsia" w:ascii="宋体" w:hAnsi="宋体" w:cs="宋体"/>
                <w:u w:val="single"/>
              </w:rPr>
              <w:t xml:space="preserve">/ </w:t>
            </w:r>
          </w:p>
          <w:p>
            <w:pPr>
              <w:pStyle w:val="72"/>
              <w:snapToGrid w:val="0"/>
              <w:spacing w:line="360" w:lineRule="exact"/>
              <w:ind w:left="142" w:right="106" w:firstLine="0" w:firstLineChars="0"/>
              <w:rPr>
                <w:rFonts w:ascii="宋体" w:hAnsi="宋体" w:cs="宋体"/>
              </w:rPr>
            </w:pPr>
            <w:r>
              <w:rPr>
                <w:rFonts w:hint="eastAsia" w:ascii="宋体" w:hAnsi="宋体" w:cs="宋体"/>
              </w:rPr>
              <w:t>（3）业绩要求：</w:t>
            </w:r>
            <w:r>
              <w:rPr>
                <w:rFonts w:hint="eastAsia" w:ascii="宋体" w:hAnsi="宋体" w:cs="宋体"/>
                <w:u w:val="single"/>
              </w:rPr>
              <w:t xml:space="preserve">/ </w:t>
            </w:r>
          </w:p>
          <w:p>
            <w:pPr>
              <w:pStyle w:val="72"/>
              <w:snapToGrid w:val="0"/>
              <w:spacing w:line="360" w:lineRule="exact"/>
              <w:ind w:left="142" w:right="106" w:firstLine="0" w:firstLineChars="0"/>
              <w:rPr>
                <w:rFonts w:ascii="宋体" w:hAnsi="宋体" w:cs="宋体"/>
              </w:rPr>
            </w:pPr>
            <w:r>
              <w:rPr>
                <w:rFonts w:hint="eastAsia" w:ascii="宋体" w:hAnsi="宋体" w:cs="宋体"/>
              </w:rPr>
              <w:t>（4）信誉要求：</w:t>
            </w:r>
            <w:r>
              <w:rPr>
                <w:rFonts w:hint="eastAsia" w:ascii="宋体" w:hAnsi="宋体" w:cs="宋体"/>
                <w:u w:val="single"/>
              </w:rPr>
              <w:t xml:space="preserve">/ </w:t>
            </w:r>
          </w:p>
          <w:p>
            <w:pPr>
              <w:pStyle w:val="72"/>
              <w:snapToGrid w:val="0"/>
              <w:spacing w:line="360" w:lineRule="exact"/>
              <w:ind w:left="142" w:right="106" w:firstLine="0" w:firstLineChars="0"/>
              <w:rPr>
                <w:rFonts w:ascii="宋体" w:hAnsi="宋体" w:cs="宋体"/>
              </w:rPr>
            </w:pPr>
            <w:r>
              <w:rPr>
                <w:rFonts w:hint="eastAsia" w:ascii="宋体" w:hAnsi="宋体" w:cs="宋体"/>
              </w:rPr>
              <w:t xml:space="preserve">（5）项目负责人的资格要求： </w:t>
            </w:r>
            <w:r>
              <w:rPr>
                <w:rFonts w:hint="eastAsia" w:ascii="宋体" w:hAnsi="宋体" w:cs="宋体"/>
                <w:u w:val="single"/>
              </w:rPr>
              <w:t>/</w:t>
            </w:r>
          </w:p>
          <w:p>
            <w:pPr>
              <w:pStyle w:val="72"/>
              <w:snapToGrid w:val="0"/>
              <w:spacing w:line="360" w:lineRule="exact"/>
              <w:ind w:left="142" w:right="106" w:firstLine="0" w:firstLineChars="0"/>
              <w:rPr>
                <w:rFonts w:ascii="宋体" w:hAnsi="宋体" w:cs="宋体"/>
              </w:rPr>
            </w:pPr>
            <w:r>
              <w:rPr>
                <w:rFonts w:hint="eastAsia" w:ascii="宋体" w:hAnsi="宋体" w:cs="宋体"/>
              </w:rPr>
              <w:t>（6）其他主要人员要求：</w:t>
            </w:r>
            <w:r>
              <w:rPr>
                <w:rFonts w:hint="eastAsia" w:ascii="宋体" w:hAnsi="宋体" w:cs="宋体"/>
                <w:u w:val="single"/>
              </w:rPr>
              <w:t xml:space="preserve">/ </w:t>
            </w:r>
          </w:p>
          <w:p>
            <w:pPr>
              <w:pStyle w:val="72"/>
              <w:snapToGrid w:val="0"/>
              <w:spacing w:line="360" w:lineRule="exact"/>
              <w:ind w:left="142" w:right="106" w:firstLine="0" w:firstLineChars="0"/>
              <w:rPr>
                <w:rFonts w:ascii="宋体" w:hAnsi="宋体" w:cs="宋体"/>
                <w:u w:val="single"/>
              </w:rPr>
            </w:pPr>
            <w:r>
              <w:rPr>
                <w:rFonts w:hint="eastAsia" w:ascii="宋体" w:hAnsi="宋体" w:cs="宋体"/>
              </w:rPr>
              <w:t>（7）试验检</w:t>
            </w:r>
            <w:r>
              <w:rPr>
                <w:rFonts w:hint="eastAsia" w:ascii="宋体" w:hAnsi="宋体" w:cs="宋体"/>
                <w:color w:val="000000"/>
              </w:rPr>
              <w:t>测、监测仪</w:t>
            </w:r>
            <w:r>
              <w:rPr>
                <w:rFonts w:hint="eastAsia" w:ascii="宋体" w:hAnsi="宋体" w:cs="宋体"/>
              </w:rPr>
              <w:t>器设备要求：</w:t>
            </w:r>
            <w:r>
              <w:rPr>
                <w:rFonts w:hint="eastAsia" w:ascii="宋体" w:hAnsi="宋体" w:cs="宋体"/>
                <w:u w:val="single"/>
              </w:rPr>
              <w:t>/</w:t>
            </w:r>
          </w:p>
          <w:p>
            <w:pPr>
              <w:pStyle w:val="72"/>
              <w:snapToGrid w:val="0"/>
              <w:spacing w:line="360" w:lineRule="exact"/>
              <w:ind w:left="142" w:right="106" w:firstLine="0" w:firstLineChars="0"/>
              <w:rPr>
                <w:rFonts w:ascii="宋体" w:hAnsi="宋体" w:cs="宋体"/>
              </w:rPr>
            </w:pPr>
            <w:r>
              <w:rPr>
                <w:rFonts w:hint="eastAsia" w:ascii="宋体" w:hAnsi="宋体" w:cs="宋体"/>
              </w:rPr>
              <w:t>（8）其他要求：</w:t>
            </w:r>
            <w:r>
              <w:rPr>
                <w:rFonts w:hint="eastAsia" w:ascii="宋体" w:hAnsi="宋体" w:cs="宋体"/>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92"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1.4.2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是否接受联合体投标</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□不接受 </w:t>
            </w:r>
          </w:p>
          <w:p>
            <w:pPr>
              <w:pStyle w:val="32"/>
              <w:spacing w:after="0"/>
              <w:ind w:firstLine="0"/>
              <w:rPr>
                <w:rFonts w:ascii="宋体" w:hAnsi="宋体" w:cs="宋体"/>
                <w:kern w:val="2"/>
                <w:sz w:val="21"/>
                <w:szCs w:val="21"/>
              </w:rPr>
            </w:pPr>
            <w:r>
              <w:rPr>
                <w:rFonts w:hint="eastAsia" w:ascii="宋体" w:hAnsi="宋体" w:cs="宋体"/>
                <w:kern w:val="2"/>
                <w:sz w:val="21"/>
                <w:szCs w:val="21"/>
              </w:rPr>
              <w:t>■接受，应满足下列要求：</w:t>
            </w:r>
            <w:r>
              <w:rPr>
                <w:rFonts w:hint="eastAsia" w:ascii="宋体" w:hAnsi="宋体" w:cs="宋体"/>
                <w:kern w:val="2"/>
                <w:sz w:val="21"/>
                <w:szCs w:val="21"/>
                <w:u w:val="singl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19" w:hRule="atLeast"/>
          <w:jc w:val="center"/>
        </w:trPr>
        <w:tc>
          <w:tcPr>
            <w:tcW w:w="1057"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1.4.3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投标人不得存在的其他情形</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1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1.9.1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踏勘现场</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■不组织。自公告发布之日起，地点详见招标公告</w:t>
            </w:r>
            <w:r>
              <w:rPr>
                <w:rFonts w:hint="eastAsia" w:ascii="宋体" w:hAnsi="宋体" w:cs="宋体"/>
                <w:sz w:val="21"/>
                <w:szCs w:val="21"/>
              </w:rPr>
              <w:t>。</w:t>
            </w:r>
          </w:p>
          <w:p>
            <w:pPr>
              <w:pStyle w:val="32"/>
              <w:spacing w:after="0"/>
              <w:ind w:firstLine="0"/>
              <w:rPr>
                <w:rFonts w:ascii="宋体" w:hAnsi="宋体" w:cs="宋体"/>
                <w:kern w:val="2"/>
                <w:sz w:val="21"/>
                <w:szCs w:val="21"/>
              </w:rPr>
            </w:pPr>
            <w:r>
              <w:rPr>
                <w:rFonts w:hint="eastAsia" w:ascii="宋体" w:hAnsi="宋体" w:cs="宋体"/>
                <w:kern w:val="2"/>
                <w:sz w:val="21"/>
                <w:szCs w:val="21"/>
              </w:rPr>
              <w:t xml:space="preserve">□组织，踏勘时间：踏勘集中地点：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48"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1.10.1 </w:t>
            </w:r>
          </w:p>
        </w:tc>
        <w:tc>
          <w:tcPr>
            <w:tcW w:w="1546" w:type="dxa"/>
            <w:noWrap/>
            <w:vAlign w:val="center"/>
          </w:tcPr>
          <w:p>
            <w:pPr>
              <w:spacing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投标预备会</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■不召开 </w:t>
            </w:r>
          </w:p>
          <w:p>
            <w:pPr>
              <w:pStyle w:val="32"/>
              <w:spacing w:after="0"/>
              <w:ind w:firstLine="0"/>
              <w:rPr>
                <w:rFonts w:ascii="宋体" w:hAnsi="宋体" w:cs="宋体"/>
                <w:kern w:val="2"/>
                <w:sz w:val="21"/>
                <w:szCs w:val="21"/>
              </w:rPr>
            </w:pPr>
            <w:r>
              <w:rPr>
                <w:rFonts w:hint="eastAsia" w:ascii="宋体" w:hAnsi="宋体" w:cs="宋体"/>
                <w:kern w:val="2"/>
                <w:sz w:val="21"/>
                <w:szCs w:val="21"/>
              </w:rPr>
              <w:t xml:space="preserve">□召开，召开时间：召开地点：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19" w:hRule="atLeast"/>
          <w:jc w:val="center"/>
        </w:trPr>
        <w:tc>
          <w:tcPr>
            <w:tcW w:w="1057" w:type="dxa"/>
            <w:vMerge w:val="restart"/>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1.10.2 </w:t>
            </w:r>
          </w:p>
        </w:tc>
        <w:tc>
          <w:tcPr>
            <w:tcW w:w="1546" w:type="dxa"/>
            <w:vMerge w:val="restart"/>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投标人在投标预备会前提出问题</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时间：无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19" w:hRule="atLeast"/>
          <w:jc w:val="center"/>
        </w:trPr>
        <w:tc>
          <w:tcPr>
            <w:tcW w:w="1057" w:type="dxa"/>
            <w:vMerge w:val="continue"/>
            <w:noWrap/>
            <w:vAlign w:val="center"/>
          </w:tcPr>
          <w:p>
            <w:pPr>
              <w:spacing w:line="240" w:lineRule="auto"/>
              <w:rPr>
                <w:rFonts w:ascii="宋体" w:hAnsi="宋体" w:eastAsia="宋体" w:cs="宋体"/>
                <w:color w:val="auto"/>
                <w:sz w:val="21"/>
                <w:szCs w:val="21"/>
              </w:rPr>
            </w:pPr>
          </w:p>
        </w:tc>
        <w:tc>
          <w:tcPr>
            <w:tcW w:w="1546" w:type="dxa"/>
            <w:vMerge w:val="continue"/>
            <w:noWrap/>
            <w:vAlign w:val="center"/>
          </w:tcPr>
          <w:p>
            <w:pPr>
              <w:pStyle w:val="32"/>
              <w:spacing w:after="0"/>
              <w:ind w:firstLine="0"/>
              <w:jc w:val="center"/>
              <w:rPr>
                <w:rFonts w:ascii="宋体" w:hAnsi="宋体" w:cs="宋体"/>
                <w:kern w:val="2"/>
                <w:sz w:val="21"/>
                <w:szCs w:val="21"/>
              </w:rPr>
            </w:pP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形式：无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25"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1.10.3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招标文件澄清发出的形式</w:t>
            </w:r>
          </w:p>
        </w:tc>
        <w:tc>
          <w:tcPr>
            <w:tcW w:w="6571"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广州公共资源交易中心网站招标答疑专区发布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1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1.12.1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实质性要求和条件</w:t>
            </w:r>
          </w:p>
        </w:tc>
        <w:tc>
          <w:tcPr>
            <w:tcW w:w="6571" w:type="dxa"/>
            <w:noWrap/>
            <w:vAlign w:val="center"/>
          </w:tcPr>
          <w:p>
            <w:pPr>
              <w:spacing w:line="240" w:lineRule="auto"/>
              <w:rPr>
                <w:rFonts w:ascii="宋体" w:hAnsi="宋体" w:eastAsia="宋体" w:cs="宋体"/>
                <w:color w:val="auto"/>
                <w:sz w:val="21"/>
                <w:szCs w:val="21"/>
                <w:u w:val="single"/>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56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1.12.3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偏差</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25"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2.1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构成招标文件的其他资料</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73" w:hRule="atLeast"/>
          <w:jc w:val="center"/>
        </w:trPr>
        <w:tc>
          <w:tcPr>
            <w:tcW w:w="1057" w:type="dxa"/>
            <w:vMerge w:val="restart"/>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2.2.1 </w:t>
            </w:r>
          </w:p>
        </w:tc>
        <w:tc>
          <w:tcPr>
            <w:tcW w:w="1546" w:type="dxa"/>
            <w:vMerge w:val="restart"/>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投标人要求澄清招标文件</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时间：在递交投标文件截止日期前18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608" w:hRule="atLeast"/>
          <w:jc w:val="center"/>
        </w:trPr>
        <w:tc>
          <w:tcPr>
            <w:tcW w:w="1057" w:type="dxa"/>
            <w:vMerge w:val="continue"/>
            <w:noWrap/>
            <w:vAlign w:val="center"/>
          </w:tcPr>
          <w:p>
            <w:pPr>
              <w:spacing w:line="240" w:lineRule="auto"/>
              <w:rPr>
                <w:rFonts w:ascii="宋体" w:hAnsi="宋体" w:eastAsia="宋体" w:cs="宋体"/>
                <w:color w:val="auto"/>
                <w:sz w:val="21"/>
                <w:szCs w:val="21"/>
              </w:rPr>
            </w:pPr>
          </w:p>
        </w:tc>
        <w:tc>
          <w:tcPr>
            <w:tcW w:w="1546" w:type="dxa"/>
            <w:vMerge w:val="continue"/>
            <w:noWrap/>
            <w:vAlign w:val="center"/>
          </w:tcPr>
          <w:p>
            <w:pPr>
              <w:pStyle w:val="32"/>
              <w:spacing w:after="0"/>
              <w:ind w:firstLine="0"/>
              <w:jc w:val="center"/>
              <w:rPr>
                <w:rFonts w:ascii="宋体" w:hAnsi="宋体" w:cs="宋体"/>
                <w:kern w:val="2"/>
                <w:sz w:val="21"/>
                <w:szCs w:val="21"/>
              </w:rPr>
            </w:pP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1.形式：网上答疑：</w:t>
            </w:r>
          </w:p>
          <w:p>
            <w:pPr>
              <w:pStyle w:val="32"/>
              <w:spacing w:after="0"/>
              <w:ind w:firstLine="0"/>
              <w:rPr>
                <w:rFonts w:ascii="宋体" w:hAnsi="宋体" w:cs="宋体"/>
                <w:kern w:val="2"/>
                <w:sz w:val="21"/>
                <w:szCs w:val="21"/>
              </w:rPr>
            </w:pPr>
            <w:r>
              <w:rPr>
                <w:rFonts w:hint="eastAsia" w:ascii="宋体" w:hAnsi="宋体" w:cs="宋体"/>
                <w:kern w:val="2"/>
                <w:sz w:val="21"/>
                <w:szCs w:val="21"/>
              </w:rPr>
              <w:t>2.招标人澄清、修补或答疑期限：在递交投标文件截止日期前15 日</w:t>
            </w:r>
          </w:p>
          <w:p>
            <w:pPr>
              <w:pStyle w:val="32"/>
              <w:spacing w:after="0"/>
              <w:ind w:firstLine="0"/>
              <w:rPr>
                <w:rFonts w:ascii="宋体" w:hAnsi="宋体" w:cs="宋体"/>
                <w:kern w:val="2"/>
                <w:sz w:val="21"/>
                <w:szCs w:val="21"/>
              </w:rPr>
            </w:pPr>
            <w:r>
              <w:rPr>
                <w:rFonts w:hint="eastAsia" w:ascii="宋体" w:hAnsi="宋体" w:cs="宋体"/>
                <w:kern w:val="2"/>
                <w:sz w:val="21"/>
                <w:szCs w:val="21"/>
              </w:rPr>
              <w:t xml:space="preserve">3.答疑纪要须经招投标监管机构备案后，方可在广州公共资源交易中心网站“招标答疑”专区发布。 </w:t>
            </w:r>
          </w:p>
          <w:p>
            <w:pPr>
              <w:pStyle w:val="32"/>
              <w:spacing w:after="0"/>
              <w:ind w:firstLine="0"/>
              <w:rPr>
                <w:rFonts w:ascii="宋体" w:hAnsi="宋体" w:cs="宋体"/>
                <w:kern w:val="2"/>
                <w:sz w:val="21"/>
                <w:szCs w:val="21"/>
              </w:rPr>
            </w:pPr>
            <w:r>
              <w:rPr>
                <w:rFonts w:hint="eastAsia" w:ascii="宋体" w:hAnsi="宋体" w:cs="宋体"/>
                <w:kern w:val="2"/>
                <w:sz w:val="21"/>
                <w:szCs w:val="21"/>
              </w:rPr>
              <w:t>4、招标答疑纪要一经在广州公共资源交易中心网站发布，视作已发放给所有投标人。具体要求：操作详见广州公共资源交易中心网站发布的《 房屋建筑和市政基础设施工程全流程电子化项目专章 》。提问一律不得署名。</w:t>
            </w:r>
          </w:p>
          <w:p>
            <w:pPr>
              <w:pStyle w:val="32"/>
              <w:spacing w:after="0"/>
              <w:ind w:firstLine="0"/>
              <w:rPr>
                <w:rFonts w:ascii="宋体" w:hAnsi="宋体" w:cs="宋体"/>
                <w:kern w:val="2"/>
                <w:sz w:val="21"/>
                <w:szCs w:val="21"/>
              </w:rPr>
            </w:pPr>
            <w:r>
              <w:rPr>
                <w:rFonts w:hint="eastAsia" w:ascii="宋体" w:hAnsi="宋体" w:cs="宋体"/>
                <w:kern w:val="2"/>
                <w:sz w:val="21"/>
                <w:szCs w:val="21"/>
              </w:rPr>
              <w:t>5、招标答疑纪要为招标文件的一部分。投标人可在广州公共资源交易中心网站浏览、下载招标答疑纪要。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120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2.2.2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招标文件澄清发出的形式</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本项目的招标文件澄清及答疑文件将在广州公共资源交易中心网上发布，投标人自行下载。从招标文件澄清及答疑文件发布之日起即视为投标人已确认收到。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219" w:hRule="atLeast"/>
          <w:jc w:val="center"/>
        </w:trPr>
        <w:tc>
          <w:tcPr>
            <w:tcW w:w="1057" w:type="dxa"/>
            <w:vMerge w:val="restart"/>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2.2.3 </w:t>
            </w:r>
          </w:p>
        </w:tc>
        <w:tc>
          <w:tcPr>
            <w:tcW w:w="1546" w:type="dxa"/>
            <w:vMerge w:val="restart"/>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投标人确认收到招标文件澄清</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时间：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25" w:hRule="atLeast"/>
          <w:jc w:val="center"/>
        </w:trPr>
        <w:tc>
          <w:tcPr>
            <w:tcW w:w="1057" w:type="dxa"/>
            <w:vMerge w:val="continue"/>
            <w:noWrap/>
            <w:vAlign w:val="center"/>
          </w:tcPr>
          <w:p>
            <w:pPr>
              <w:spacing w:line="240" w:lineRule="auto"/>
              <w:rPr>
                <w:rFonts w:ascii="宋体" w:hAnsi="宋体" w:eastAsia="宋体" w:cs="宋体"/>
                <w:color w:val="auto"/>
                <w:sz w:val="21"/>
                <w:szCs w:val="21"/>
              </w:rPr>
            </w:pPr>
          </w:p>
        </w:tc>
        <w:tc>
          <w:tcPr>
            <w:tcW w:w="1546" w:type="dxa"/>
            <w:vMerge w:val="continue"/>
            <w:noWrap/>
            <w:vAlign w:val="center"/>
          </w:tcPr>
          <w:p>
            <w:pPr>
              <w:pStyle w:val="32"/>
              <w:spacing w:after="0"/>
              <w:ind w:firstLine="0"/>
              <w:jc w:val="center"/>
              <w:rPr>
                <w:rFonts w:ascii="宋体" w:hAnsi="宋体" w:cs="宋体"/>
                <w:kern w:val="2"/>
                <w:sz w:val="21"/>
                <w:szCs w:val="21"/>
              </w:rPr>
            </w:pP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形式：广州公共资源交易中心网站答疑专区发布后视为投标人确认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325"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2.3.1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招标文件修改发出的形式</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广州公共资源交易中心网站答疑专区发布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73" w:hRule="atLeast"/>
          <w:jc w:val="center"/>
        </w:trPr>
        <w:tc>
          <w:tcPr>
            <w:tcW w:w="1057" w:type="dxa"/>
            <w:vMerge w:val="restart"/>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2.3.2 </w:t>
            </w:r>
          </w:p>
        </w:tc>
        <w:tc>
          <w:tcPr>
            <w:tcW w:w="1546" w:type="dxa"/>
            <w:vMerge w:val="restart"/>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投标人确认收到招标文件修改</w:t>
            </w:r>
          </w:p>
        </w:tc>
        <w:tc>
          <w:tcPr>
            <w:tcW w:w="6571" w:type="dxa"/>
            <w:noWrap/>
            <w:vAlign w:val="center"/>
          </w:tcPr>
          <w:p>
            <w:pPr>
              <w:pStyle w:val="32"/>
              <w:spacing w:after="0"/>
              <w:ind w:right="132" w:rightChars="60" w:firstLine="0"/>
              <w:rPr>
                <w:rFonts w:ascii="宋体" w:hAnsi="宋体" w:cs="宋体"/>
                <w:kern w:val="2"/>
                <w:sz w:val="21"/>
                <w:szCs w:val="21"/>
              </w:rPr>
            </w:pPr>
            <w:r>
              <w:rPr>
                <w:rFonts w:hint="eastAsia" w:ascii="宋体" w:hAnsi="宋体" w:cs="宋体"/>
                <w:kern w:val="2"/>
                <w:sz w:val="21"/>
                <w:szCs w:val="21"/>
              </w:rPr>
              <w:t>时间：广州公共资源交易中心网站答疑专区发布后视为投标人确认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55" w:hRule="atLeast"/>
          <w:jc w:val="center"/>
        </w:trPr>
        <w:tc>
          <w:tcPr>
            <w:tcW w:w="1057" w:type="dxa"/>
            <w:vMerge w:val="continue"/>
            <w:noWrap/>
            <w:vAlign w:val="center"/>
          </w:tcPr>
          <w:p>
            <w:pPr>
              <w:spacing w:line="240" w:lineRule="auto"/>
              <w:rPr>
                <w:rFonts w:ascii="宋体" w:hAnsi="宋体" w:eastAsia="宋体" w:cs="宋体"/>
                <w:color w:val="auto"/>
                <w:sz w:val="21"/>
                <w:szCs w:val="21"/>
              </w:rPr>
            </w:pPr>
          </w:p>
        </w:tc>
        <w:tc>
          <w:tcPr>
            <w:tcW w:w="1546" w:type="dxa"/>
            <w:vMerge w:val="continue"/>
            <w:noWrap/>
            <w:vAlign w:val="center"/>
          </w:tcPr>
          <w:p>
            <w:pPr>
              <w:pStyle w:val="32"/>
              <w:spacing w:after="0"/>
              <w:ind w:firstLine="0"/>
              <w:jc w:val="center"/>
              <w:rPr>
                <w:rFonts w:ascii="宋体" w:hAnsi="宋体" w:cs="宋体"/>
                <w:kern w:val="2"/>
                <w:sz w:val="21"/>
                <w:szCs w:val="21"/>
              </w:rPr>
            </w:pP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形式：广州公共资源交易中心网站答疑专区发布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23"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3.1.1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构成投标文件的其他资料</w:t>
            </w:r>
          </w:p>
        </w:tc>
        <w:tc>
          <w:tcPr>
            <w:tcW w:w="6571" w:type="dxa"/>
            <w:noWrap/>
            <w:vAlign w:val="center"/>
          </w:tcPr>
          <w:p>
            <w:pPr>
              <w:pStyle w:val="32"/>
              <w:spacing w:after="0"/>
              <w:ind w:right="132" w:rightChars="60" w:firstLine="0"/>
              <w:rPr>
                <w:rFonts w:ascii="宋体" w:hAnsi="宋体" w:cs="宋体"/>
                <w:kern w:val="2"/>
                <w:sz w:val="21"/>
                <w:szCs w:val="21"/>
              </w:rPr>
            </w:pPr>
            <w:r>
              <w:rPr>
                <w:rFonts w:hint="eastAsia" w:ascii="宋体" w:hAnsi="宋体" w:cs="宋体"/>
                <w:kern w:val="2"/>
                <w:sz w:val="21"/>
                <w:szCs w:val="21"/>
              </w:rPr>
              <w:t>投标申请人声明、以及企业荣誉证书、信用证书、相关网页截图等（如有）投标人需提交的证明资料。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93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3.2.1 </w:t>
            </w:r>
          </w:p>
        </w:tc>
        <w:tc>
          <w:tcPr>
            <w:tcW w:w="1546" w:type="dxa"/>
            <w:noWrap/>
            <w:vAlign w:val="center"/>
          </w:tcPr>
          <w:p>
            <w:pPr>
              <w:spacing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增值税税金的</w:t>
            </w:r>
          </w:p>
          <w:p>
            <w:pPr>
              <w:spacing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计算方法</w:t>
            </w:r>
          </w:p>
        </w:tc>
        <w:tc>
          <w:tcPr>
            <w:tcW w:w="6571"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按国家、省有关计价规范执行。本项目按增值税计算税金，采用一般计税方法，计价方法按照粤建市函【2018】898号文、穗建造价【2010】31号执行。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57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3.2.3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报价方式</w:t>
            </w:r>
          </w:p>
        </w:tc>
        <w:tc>
          <w:tcPr>
            <w:tcW w:w="6571" w:type="dxa"/>
            <w:noWrap/>
            <w:vAlign w:val="center"/>
          </w:tcPr>
          <w:p>
            <w:pPr>
              <w:pStyle w:val="32"/>
              <w:spacing w:after="0"/>
              <w:ind w:right="132" w:rightChars="60" w:firstLine="0"/>
              <w:rPr>
                <w:rFonts w:ascii="宋体" w:hAnsi="宋体" w:cs="宋体"/>
                <w:color w:val="000000"/>
                <w:kern w:val="2"/>
                <w:sz w:val="21"/>
                <w:szCs w:val="21"/>
                <w:u w:val="single"/>
              </w:rPr>
            </w:pPr>
            <w:r>
              <w:rPr>
                <w:rFonts w:hint="eastAsia" w:ascii="宋体" w:hAnsi="宋体" w:cs="宋体"/>
                <w:color w:val="000000"/>
                <w:kern w:val="2"/>
                <w:sz w:val="21"/>
                <w:szCs w:val="21"/>
              </w:rPr>
              <w:t>采用固定下浮率报价方式报价。并依据所报下浮率列明投标报价。（以元为单位，精确到小数点后2位），报价超过控制价将按无效投标处理。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568"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3.2.4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招标控制价</w:t>
            </w:r>
          </w:p>
        </w:tc>
        <w:tc>
          <w:tcPr>
            <w:tcW w:w="6571" w:type="dxa"/>
            <w:noWrap/>
            <w:vAlign w:val="center"/>
          </w:tcPr>
          <w:p>
            <w:pPr>
              <w:spacing w:line="360" w:lineRule="auto"/>
              <w:ind w:right="112" w:rightChars="51"/>
              <w:rPr>
                <w:rFonts w:ascii="宋体" w:hAnsi="宋体" w:eastAsia="宋体" w:cs="宋体"/>
                <w:sz w:val="21"/>
                <w:szCs w:val="21"/>
              </w:rPr>
            </w:pPr>
            <w:r>
              <w:rPr>
                <w:rFonts w:hint="eastAsia" w:ascii="宋体" w:hAnsi="宋体" w:eastAsia="宋体" w:cs="宋体"/>
                <w:sz w:val="21"/>
                <w:szCs w:val="21"/>
              </w:rPr>
              <w:t>□无</w:t>
            </w:r>
          </w:p>
          <w:p>
            <w:pPr>
              <w:pStyle w:val="14"/>
              <w:rPr>
                <w:rFonts w:ascii="宋体" w:hAnsi="宋体" w:cs="宋体"/>
                <w:sz w:val="21"/>
                <w:szCs w:val="21"/>
              </w:rPr>
            </w:pPr>
            <w:r>
              <w:rPr>
                <w:rFonts w:hint="eastAsia" w:ascii="宋体" w:hAnsi="宋体" w:cs="宋体"/>
                <w:sz w:val="21"/>
                <w:szCs w:val="21"/>
              </w:rPr>
              <w:t>■有，最高投标限价：</w:t>
            </w:r>
            <w:r>
              <w:rPr>
                <w:rFonts w:hint="eastAsia" w:ascii="宋体" w:hAnsi="宋体" w:cs="宋体"/>
                <w:sz w:val="21"/>
                <w:szCs w:val="21"/>
                <w:u w:val="single"/>
              </w:rPr>
              <w:t>9817400</w:t>
            </w:r>
            <w:r>
              <w:rPr>
                <w:rFonts w:hint="eastAsia" w:ascii="宋体" w:hAnsi="宋体" w:cs="宋体"/>
                <w:sz w:val="21"/>
                <w:szCs w:val="21"/>
              </w:rPr>
              <w:t>元</w:t>
            </w:r>
          </w:p>
          <w:p>
            <w:pPr>
              <w:pStyle w:val="69"/>
              <w:ind w:firstLine="0"/>
              <w:rPr>
                <w:rFonts w:ascii="宋体" w:hAnsi="宋体" w:eastAsia="宋体" w:cs="宋体"/>
                <w:kern w:val="2"/>
                <w:sz w:val="21"/>
                <w:szCs w:val="21"/>
              </w:rPr>
            </w:pPr>
            <w:r>
              <w:rPr>
                <w:rFonts w:hint="eastAsia" w:ascii="宋体" w:hAnsi="宋体" w:eastAsia="宋体" w:cs="宋体"/>
                <w:kern w:val="2"/>
                <w:sz w:val="21"/>
                <w:szCs w:val="21"/>
              </w:rPr>
              <w:t>本项目招标控制价只作为招标的依据，投标金额及下浮率（%）作为签订合同的依据。中标价不作为竣工结算的依据。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54"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3.2.5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投标报价的其他要求</w:t>
            </w:r>
          </w:p>
        </w:tc>
        <w:tc>
          <w:tcPr>
            <w:tcW w:w="6571" w:type="dxa"/>
            <w:noWrap/>
            <w:vAlign w:val="center"/>
          </w:tcPr>
          <w:p>
            <w:pPr>
              <w:spacing w:line="360" w:lineRule="auto"/>
              <w:rPr>
                <w:rFonts w:ascii="宋体" w:hAnsi="宋体" w:eastAsia="宋体" w:cs="宋体"/>
                <w:sz w:val="21"/>
                <w:szCs w:val="21"/>
              </w:rPr>
            </w:pPr>
            <w:r>
              <w:rPr>
                <w:rFonts w:hint="eastAsia" w:ascii="宋体" w:hAnsi="宋体" w:eastAsia="宋体" w:cs="宋体"/>
                <w:sz w:val="21"/>
                <w:szCs w:val="21"/>
              </w:rPr>
              <w:t>投标人必须详细审阅全部招标文件，充分考虑职责和义务，全面地理解招标文件对投标报价的要求，并按招标人提出的条件及内容进行报价。</w:t>
            </w:r>
          </w:p>
          <w:p>
            <w:pPr>
              <w:spacing w:line="360" w:lineRule="auto"/>
              <w:rPr>
                <w:rFonts w:ascii="宋体" w:hAnsi="宋体" w:eastAsia="宋体" w:cs="宋体"/>
                <w:sz w:val="21"/>
                <w:szCs w:val="21"/>
              </w:rPr>
            </w:pPr>
            <w:r>
              <w:rPr>
                <w:rFonts w:hint="eastAsia" w:ascii="宋体" w:hAnsi="宋体" w:eastAsia="宋体" w:cs="宋体"/>
                <w:sz w:val="21"/>
                <w:szCs w:val="21"/>
              </w:rPr>
              <w:t>一、各投标人自行报价，投标报价超过最高投标限价的，一律视为废标。</w:t>
            </w:r>
          </w:p>
          <w:p>
            <w:pPr>
              <w:spacing w:line="360" w:lineRule="auto"/>
              <w:rPr>
                <w:rFonts w:ascii="宋体" w:hAnsi="宋体" w:eastAsia="宋体" w:cs="宋体"/>
                <w:sz w:val="21"/>
                <w:szCs w:val="21"/>
              </w:rPr>
            </w:pPr>
            <w:r>
              <w:rPr>
                <w:rFonts w:hint="eastAsia" w:ascii="宋体" w:hAnsi="宋体" w:eastAsia="宋体" w:cs="宋体"/>
                <w:sz w:val="21"/>
                <w:szCs w:val="21"/>
              </w:rPr>
              <w:t>二、投标报价及费用计算方式：</w:t>
            </w:r>
          </w:p>
          <w:p>
            <w:pPr>
              <w:spacing w:line="360" w:lineRule="auto"/>
              <w:rPr>
                <w:rFonts w:ascii="宋体" w:hAnsi="宋体" w:eastAsia="宋体" w:cs="宋体"/>
                <w:sz w:val="21"/>
                <w:szCs w:val="21"/>
              </w:rPr>
            </w:pPr>
            <w:r>
              <w:rPr>
                <w:rFonts w:hint="eastAsia" w:ascii="宋体" w:hAnsi="宋体" w:eastAsia="宋体" w:cs="宋体"/>
                <w:sz w:val="21"/>
                <w:szCs w:val="21"/>
              </w:rPr>
              <w:t>1.投标项目总报价=最高投标限价*（1-投标下浮率）。</w:t>
            </w:r>
          </w:p>
          <w:p>
            <w:pPr>
              <w:spacing w:line="360" w:lineRule="auto"/>
              <w:rPr>
                <w:rFonts w:ascii="宋体" w:hAnsi="宋体" w:eastAsia="宋体" w:cs="宋体"/>
                <w:color w:val="auto"/>
                <w:sz w:val="21"/>
                <w:szCs w:val="21"/>
              </w:rPr>
            </w:pPr>
            <w:r>
              <w:rPr>
                <w:rFonts w:ascii="宋体" w:hAnsi="宋体" w:eastAsia="宋体" w:cs="宋体"/>
                <w:color w:val="auto"/>
                <w:sz w:val="21"/>
                <w:szCs w:val="21"/>
              </w:rPr>
              <w:t>2.招标不提供检测</w:t>
            </w:r>
            <w:r>
              <w:rPr>
                <w:rFonts w:ascii="宋体" w:hAnsi="宋体" w:cs="宋体"/>
                <w:color w:val="auto"/>
                <w:sz w:val="21"/>
                <w:szCs w:val="21"/>
              </w:rPr>
              <w:t>、监测</w:t>
            </w:r>
            <w:r>
              <w:rPr>
                <w:rFonts w:hint="eastAsia" w:ascii="宋体" w:hAnsi="宋体" w:eastAsia="宋体" w:cs="宋体"/>
                <w:color w:val="auto"/>
                <w:sz w:val="21"/>
                <w:szCs w:val="21"/>
              </w:rPr>
              <w:t>清单，各投标人应根据工程实际编制检测</w:t>
            </w:r>
            <w:r>
              <w:rPr>
                <w:rFonts w:ascii="宋体" w:hAnsi="宋体" w:cs="宋体"/>
                <w:color w:val="auto"/>
                <w:sz w:val="21"/>
                <w:szCs w:val="21"/>
              </w:rPr>
              <w:t>、监测</w:t>
            </w:r>
            <w:r>
              <w:rPr>
                <w:rFonts w:hint="eastAsia" w:ascii="宋体" w:hAnsi="宋体" w:eastAsia="宋体" w:cs="宋体"/>
                <w:color w:val="auto"/>
                <w:sz w:val="21"/>
                <w:szCs w:val="21"/>
              </w:rPr>
              <w:t>方案，本项目检测</w:t>
            </w:r>
            <w:r>
              <w:rPr>
                <w:rFonts w:ascii="宋体" w:hAnsi="宋体" w:cs="宋体"/>
                <w:color w:val="auto"/>
                <w:sz w:val="21"/>
                <w:szCs w:val="21"/>
              </w:rPr>
              <w:t>、监测</w:t>
            </w:r>
            <w:r>
              <w:rPr>
                <w:rFonts w:hint="eastAsia" w:ascii="宋体" w:hAnsi="宋体" w:eastAsia="宋体" w:cs="宋体"/>
                <w:color w:val="auto"/>
                <w:sz w:val="21"/>
                <w:szCs w:val="21"/>
              </w:rPr>
              <w:t>综合结算单价原则：（</w:t>
            </w:r>
            <w:r>
              <w:rPr>
                <w:rFonts w:ascii="宋体" w:hAnsi="宋体" w:eastAsia="宋体" w:cs="宋体"/>
                <w:color w:val="auto"/>
                <w:sz w:val="21"/>
                <w:szCs w:val="21"/>
              </w:rPr>
              <w:t>1）《关于印发&lt;</w:t>
            </w:r>
            <w:r>
              <w:rPr>
                <w:rFonts w:hint="eastAsia" w:ascii="宋体" w:hAnsi="宋体" w:eastAsia="宋体" w:cs="宋体"/>
                <w:color w:val="auto"/>
                <w:sz w:val="21"/>
                <w:szCs w:val="21"/>
              </w:rPr>
              <w:t>广东省房屋建筑和市政工程质量安全检测收费指导价</w:t>
            </w:r>
            <w:r>
              <w:rPr>
                <w:rFonts w:ascii="宋体" w:hAnsi="宋体" w:eastAsia="宋体" w:cs="宋体"/>
                <w:color w:val="auto"/>
                <w:sz w:val="21"/>
                <w:szCs w:val="21"/>
              </w:rPr>
              <w:t>(第一批)&gt;</w:t>
            </w:r>
            <w:r>
              <w:rPr>
                <w:rFonts w:hint="eastAsia" w:ascii="宋体" w:hAnsi="宋体" w:eastAsia="宋体" w:cs="宋体"/>
                <w:color w:val="auto"/>
                <w:sz w:val="21"/>
                <w:szCs w:val="21"/>
              </w:rPr>
              <w:t>和</w:t>
            </w:r>
            <w:r>
              <w:rPr>
                <w:rFonts w:ascii="宋体" w:hAnsi="宋体" w:eastAsia="宋体" w:cs="宋体"/>
                <w:color w:val="auto"/>
                <w:sz w:val="21"/>
                <w:szCs w:val="21"/>
              </w:rPr>
              <w:t>&lt;</w:t>
            </w:r>
            <w:r>
              <w:rPr>
                <w:rFonts w:hint="eastAsia" w:ascii="宋体" w:hAnsi="宋体" w:eastAsia="宋体" w:cs="宋体"/>
                <w:color w:val="auto"/>
                <w:sz w:val="21"/>
                <w:szCs w:val="21"/>
              </w:rPr>
              <w:t>广东省既有房屋建筑安全性鉴定收费指导价</w:t>
            </w:r>
            <w:r>
              <w:rPr>
                <w:rFonts w:ascii="宋体" w:hAnsi="宋体" w:eastAsia="宋体" w:cs="宋体"/>
                <w:color w:val="auto"/>
                <w:sz w:val="21"/>
                <w:szCs w:val="21"/>
              </w:rPr>
              <w:t>&gt;</w:t>
            </w:r>
            <w:r>
              <w:rPr>
                <w:rFonts w:hint="eastAsia" w:ascii="宋体" w:hAnsi="宋体" w:eastAsia="宋体" w:cs="宋体"/>
                <w:color w:val="auto"/>
                <w:sz w:val="21"/>
                <w:szCs w:val="21"/>
              </w:rPr>
              <w:t>的通知》（粤建检协</w:t>
            </w:r>
            <w:r>
              <w:rPr>
                <w:rFonts w:ascii="宋体" w:hAnsi="宋体" w:eastAsia="宋体" w:cs="宋体"/>
                <w:color w:val="auto"/>
                <w:sz w:val="21"/>
                <w:szCs w:val="21"/>
              </w:rPr>
              <w:t>[2015]8号文）、关于印发《广州市建设工程基坑监测、变</w:t>
            </w:r>
            <w:r>
              <w:rPr>
                <w:rFonts w:hint="eastAsia" w:ascii="宋体" w:hAnsi="宋体" w:eastAsia="宋体" w:cs="宋体"/>
                <w:color w:val="auto"/>
                <w:sz w:val="21"/>
                <w:szCs w:val="21"/>
              </w:rPr>
              <w:t>形点监测收费项目及标准指导性意见》的通知（穗建检协字（</w:t>
            </w:r>
            <w:r>
              <w:rPr>
                <w:rFonts w:ascii="宋体" w:hAnsi="宋体" w:eastAsia="宋体" w:cs="宋体"/>
                <w:color w:val="auto"/>
                <w:sz w:val="21"/>
                <w:szCs w:val="21"/>
              </w:rPr>
              <w:t>2013）12号）等有关的检测</w:t>
            </w:r>
            <w:r>
              <w:rPr>
                <w:rFonts w:ascii="宋体" w:hAnsi="宋体" w:cs="宋体"/>
                <w:color w:val="auto"/>
                <w:sz w:val="21"/>
                <w:szCs w:val="21"/>
              </w:rPr>
              <w:t>、监测</w:t>
            </w:r>
            <w:r>
              <w:rPr>
                <w:rFonts w:hint="eastAsia" w:ascii="宋体" w:hAnsi="宋体" w:eastAsia="宋体" w:cs="宋体"/>
                <w:color w:val="auto"/>
                <w:sz w:val="21"/>
                <w:szCs w:val="21"/>
              </w:rPr>
              <w:t>收费规定相适应的单价乘以（</w:t>
            </w:r>
            <w:r>
              <w:rPr>
                <w:rFonts w:ascii="宋体" w:hAnsi="宋体" w:eastAsia="宋体" w:cs="宋体"/>
                <w:color w:val="auto"/>
                <w:sz w:val="21"/>
                <w:szCs w:val="21"/>
              </w:rPr>
              <w:t>1-投标下浮率），以招标人审定为准。</w:t>
            </w:r>
          </w:p>
          <w:p>
            <w:pPr>
              <w:snapToGrid w:val="0"/>
              <w:spacing w:line="400" w:lineRule="exact"/>
              <w:rPr>
                <w:rFonts w:ascii="宋体" w:hAnsi="宋体" w:eastAsia="宋体" w:cs="宋体"/>
                <w:sz w:val="21"/>
                <w:szCs w:val="21"/>
              </w:rPr>
            </w:pPr>
            <w:r>
              <w:rPr>
                <w:rFonts w:hint="eastAsia" w:ascii="宋体" w:hAnsi="宋体" w:eastAsia="宋体" w:cs="宋体"/>
                <w:sz w:val="21"/>
                <w:szCs w:val="21"/>
              </w:rPr>
              <w:t>（2）投标报价已包括了为完成设计文件及有关规范要求的所有材料设备检测</w:t>
            </w:r>
            <w:r>
              <w:rPr>
                <w:rFonts w:hint="eastAsia" w:ascii="宋体" w:hAnsi="宋体" w:cs="宋体"/>
                <w:sz w:val="21"/>
                <w:szCs w:val="21"/>
              </w:rPr>
              <w:t>、监测</w:t>
            </w:r>
            <w:r>
              <w:rPr>
                <w:rFonts w:hint="eastAsia" w:ascii="宋体" w:hAnsi="宋体" w:eastAsia="宋体" w:cs="宋体"/>
                <w:sz w:val="21"/>
                <w:szCs w:val="21"/>
              </w:rPr>
              <w:t>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如超出检测</w:t>
            </w:r>
            <w:r>
              <w:rPr>
                <w:rFonts w:hint="eastAsia" w:ascii="宋体" w:hAnsi="宋体" w:cs="宋体"/>
                <w:sz w:val="21"/>
                <w:szCs w:val="21"/>
              </w:rPr>
              <w:t>、监测</w:t>
            </w:r>
            <w:r>
              <w:rPr>
                <w:rFonts w:hint="eastAsia" w:ascii="宋体" w:hAnsi="宋体" w:eastAsia="宋体" w:cs="宋体"/>
                <w:sz w:val="21"/>
                <w:szCs w:val="21"/>
              </w:rPr>
              <w:t>规范或相关文件规定的工程量，不予结算）。</w:t>
            </w:r>
          </w:p>
          <w:p>
            <w:pPr>
              <w:spacing w:line="360" w:lineRule="auto"/>
              <w:rPr>
                <w:rFonts w:ascii="宋体" w:hAnsi="宋体" w:eastAsia="宋体" w:cs="宋体"/>
                <w:sz w:val="21"/>
                <w:szCs w:val="21"/>
              </w:rPr>
            </w:pPr>
            <w:r>
              <w:rPr>
                <w:rFonts w:hint="eastAsia" w:ascii="宋体" w:hAnsi="宋体" w:eastAsia="宋体" w:cs="宋体"/>
                <w:sz w:val="21"/>
                <w:szCs w:val="21"/>
              </w:rPr>
              <w:t>三、成本警戒价为</w:t>
            </w:r>
            <w:r>
              <w:rPr>
                <w:rFonts w:hint="eastAsia" w:ascii="宋体" w:hAnsi="宋体" w:eastAsia="宋体" w:cs="宋体"/>
                <w:sz w:val="21"/>
                <w:szCs w:val="21"/>
                <w:u w:val="single"/>
              </w:rPr>
              <w:t>7853920</w:t>
            </w:r>
            <w:r>
              <w:rPr>
                <w:rFonts w:hint="eastAsia" w:ascii="宋体" w:hAnsi="宋体" w:eastAsia="宋体" w:cs="宋体"/>
                <w:sz w:val="21"/>
                <w:szCs w:val="21"/>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2"/>
              <w:spacing w:after="0" w:line="360" w:lineRule="auto"/>
              <w:ind w:firstLine="0"/>
              <w:rPr>
                <w:rFonts w:ascii="宋体" w:hAnsi="宋体" w:cs="宋体"/>
                <w:color w:val="000000"/>
                <w:kern w:val="2"/>
                <w:sz w:val="21"/>
                <w:szCs w:val="21"/>
              </w:rPr>
            </w:pPr>
            <w:r>
              <w:rPr>
                <w:rFonts w:ascii="宋体" w:hAnsi="宋体" w:cs="宋体"/>
                <w:color w:val="000000"/>
                <w:kern w:val="2"/>
                <w:sz w:val="21"/>
                <w:szCs w:val="21"/>
              </w:rPr>
              <w:t>四、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55"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3.3.1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投标有效期</w:t>
            </w:r>
          </w:p>
        </w:tc>
        <w:tc>
          <w:tcPr>
            <w:tcW w:w="6571" w:type="dxa"/>
            <w:noWrap/>
            <w:vAlign w:val="center"/>
          </w:tcPr>
          <w:p>
            <w:pPr>
              <w:pStyle w:val="32"/>
              <w:spacing w:after="0"/>
              <w:ind w:firstLine="0"/>
              <w:rPr>
                <w:rFonts w:ascii="宋体" w:hAnsi="宋体" w:cs="宋体"/>
                <w:color w:val="000000"/>
                <w:kern w:val="2"/>
                <w:sz w:val="21"/>
                <w:szCs w:val="21"/>
              </w:rPr>
            </w:pPr>
            <w:r>
              <w:rPr>
                <w:rFonts w:hint="eastAsia" w:ascii="宋体" w:hAnsi="宋体" w:cs="宋体"/>
                <w:color w:val="000000"/>
                <w:kern w:val="2"/>
                <w:sz w:val="21"/>
                <w:szCs w:val="21"/>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66"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3.4.1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投标保证金</w:t>
            </w:r>
          </w:p>
        </w:tc>
        <w:tc>
          <w:tcPr>
            <w:tcW w:w="6571" w:type="dxa"/>
            <w:noWrap/>
            <w:vAlign w:val="center"/>
          </w:tcPr>
          <w:p>
            <w:pPr>
              <w:pStyle w:val="32"/>
              <w:spacing w:after="0"/>
              <w:ind w:right="77" w:rightChars="35" w:firstLine="0"/>
              <w:rPr>
                <w:rFonts w:ascii="宋体" w:hAnsi="宋体" w:cs="宋体"/>
                <w:color w:val="000000"/>
                <w:kern w:val="2"/>
                <w:sz w:val="21"/>
                <w:szCs w:val="21"/>
              </w:rPr>
            </w:pPr>
            <w:r>
              <w:rPr>
                <w:rFonts w:hint="eastAsia" w:ascii="宋体" w:hAnsi="宋体" w:cs="宋体"/>
                <w:color w:val="000000"/>
                <w:kern w:val="2"/>
                <w:sz w:val="21"/>
                <w:szCs w:val="21"/>
              </w:rPr>
              <w:t xml:space="preserve">是否要求投标人递交投标保证金： </w:t>
            </w:r>
          </w:p>
          <w:p>
            <w:pPr>
              <w:pStyle w:val="32"/>
              <w:spacing w:after="0"/>
              <w:ind w:right="77" w:rightChars="35" w:firstLine="0"/>
              <w:rPr>
                <w:rFonts w:ascii="宋体" w:hAnsi="宋体" w:cs="宋体"/>
                <w:color w:val="000000"/>
                <w:kern w:val="2"/>
                <w:sz w:val="21"/>
                <w:szCs w:val="21"/>
              </w:rPr>
            </w:pPr>
            <w:r>
              <w:rPr>
                <w:rFonts w:hint="eastAsia" w:ascii="宋体" w:hAnsi="宋体" w:cs="宋体"/>
                <w:color w:val="000000"/>
                <w:kern w:val="2"/>
                <w:sz w:val="21"/>
                <w:szCs w:val="21"/>
              </w:rPr>
              <w:t xml:space="preserve">■要求，投标保证金的形式： </w:t>
            </w:r>
          </w:p>
          <w:p>
            <w:pPr>
              <w:pStyle w:val="32"/>
              <w:spacing w:after="0"/>
              <w:ind w:right="77" w:rightChars="35" w:firstLine="0"/>
              <w:rPr>
                <w:rFonts w:ascii="宋体" w:hAnsi="宋体" w:cs="宋体"/>
                <w:color w:val="000000"/>
                <w:kern w:val="2"/>
                <w:sz w:val="21"/>
                <w:szCs w:val="21"/>
              </w:rPr>
            </w:pPr>
            <w:r>
              <w:rPr>
                <w:rFonts w:hint="eastAsia" w:ascii="宋体" w:hAnsi="宋体" w:cs="宋体"/>
                <w:color w:val="000000"/>
                <w:kern w:val="2"/>
                <w:sz w:val="21"/>
                <w:szCs w:val="21"/>
              </w:rPr>
              <w:t>投标保证金的金额：</w:t>
            </w:r>
            <w:r>
              <w:rPr>
                <w:rFonts w:ascii="宋体" w:hAnsi="宋体" w:cs="宋体"/>
                <w:color w:val="000000"/>
                <w:kern w:val="2"/>
                <w:sz w:val="21"/>
                <w:szCs w:val="21"/>
                <w:u w:val="single"/>
              </w:rPr>
              <w:t>2</w:t>
            </w:r>
            <w:r>
              <w:rPr>
                <w:rFonts w:hint="eastAsia" w:ascii="宋体" w:hAnsi="宋体" w:cs="宋体"/>
                <w:color w:val="000000"/>
                <w:kern w:val="2"/>
                <w:sz w:val="21"/>
                <w:szCs w:val="21"/>
              </w:rPr>
              <w:t>万元人民币，缴纳时间在投标截止时间之前。</w:t>
            </w:r>
            <w:r>
              <w:rPr>
                <w:rFonts w:hint="eastAsia" w:ascii="宋体" w:hAnsi="宋体" w:cs="宋体"/>
                <w:color w:val="000000"/>
                <w:kern w:val="2"/>
                <w:sz w:val="21"/>
                <w:szCs w:val="21"/>
              </w:rPr>
              <w:br w:type="textWrapping"/>
            </w:r>
            <w:r>
              <w:rPr>
                <w:rFonts w:hint="eastAsia" w:ascii="宋体" w:hAnsi="宋体" w:cs="宋体"/>
                <w:color w:val="000000"/>
                <w:kern w:val="2"/>
                <w:sz w:val="21"/>
                <w:szCs w:val="21"/>
              </w:rPr>
              <w:t>1.投标保证金可采用现金、支票、投标</w:t>
            </w:r>
            <w:r>
              <w:rPr>
                <w:rFonts w:hint="eastAsia" w:ascii="宋体" w:hAnsi="宋体" w:cs="宋体"/>
                <w:color w:val="000000"/>
                <w:sz w:val="21"/>
                <w:szCs w:val="21"/>
              </w:rPr>
              <w:t>保函（纸质版）或电子保函</w:t>
            </w:r>
            <w:r>
              <w:rPr>
                <w:rFonts w:hint="eastAsia" w:ascii="宋体" w:hAnsi="宋体" w:cs="宋体"/>
                <w:color w:val="000000"/>
                <w:kern w:val="2"/>
                <w:sz w:val="21"/>
                <w:szCs w:val="21"/>
              </w:rPr>
              <w:t>、投标保证保险的形式，须在递交投标文件截止时间前完成缴纳。</w:t>
            </w:r>
            <w:r>
              <w:rPr>
                <w:rFonts w:hint="eastAsia" w:ascii="宋体" w:hAnsi="宋体" w:cs="宋体"/>
                <w:color w:val="000000"/>
                <w:kern w:val="2"/>
                <w:sz w:val="21"/>
                <w:szCs w:val="21"/>
              </w:rPr>
              <w:br w:type="textWrapping"/>
            </w:r>
            <w:r>
              <w:rPr>
                <w:rFonts w:hint="eastAsia" w:ascii="宋体" w:hAnsi="宋体" w:cs="宋体"/>
                <w:color w:val="000000"/>
                <w:kern w:val="2"/>
                <w:sz w:val="21"/>
                <w:szCs w:val="21"/>
              </w:rPr>
              <w:t>①如采用现金或者支票形式提交的，投标保证金从投标人基本账户递交，由</w:t>
            </w:r>
            <w:r>
              <w:rPr>
                <w:rFonts w:hint="eastAsia" w:ascii="宋体" w:hAnsi="宋体" w:cs="宋体"/>
                <w:color w:val="000000"/>
                <w:szCs w:val="21"/>
              </w:rPr>
              <w:t>广州交易集团有限公司</w:t>
            </w:r>
            <w:r>
              <w:rPr>
                <w:rFonts w:hint="eastAsia" w:ascii="宋体" w:hAnsi="宋体" w:cs="宋体"/>
                <w:color w:val="000000"/>
                <w:kern w:val="2"/>
                <w:sz w:val="21"/>
                <w:szCs w:val="21"/>
              </w:rPr>
              <w:t>代收。具体操作要求详见广州交易集团有限公司（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32"/>
              <w:spacing w:after="0"/>
              <w:ind w:right="77" w:rightChars="35" w:firstLine="0"/>
              <w:rPr>
                <w:rFonts w:ascii="宋体" w:hAnsi="宋体" w:cs="宋体"/>
                <w:color w:val="000000"/>
                <w:kern w:val="2"/>
                <w:sz w:val="21"/>
                <w:szCs w:val="21"/>
              </w:rPr>
            </w:pPr>
            <w:r>
              <w:rPr>
                <w:rFonts w:hint="eastAsia" w:ascii="宋体" w:hAnsi="宋体" w:cs="宋体"/>
                <w:color w:val="000000"/>
                <w:kern w:val="2"/>
                <w:sz w:val="21"/>
                <w:szCs w:val="21"/>
              </w:rPr>
              <w:t>②如采用投标保函</w:t>
            </w:r>
            <w:r>
              <w:rPr>
                <w:rFonts w:hint="eastAsia" w:ascii="宋体" w:hAnsi="宋体" w:cs="宋体"/>
                <w:color w:val="000000"/>
                <w:sz w:val="21"/>
                <w:szCs w:val="21"/>
              </w:rPr>
              <w:t>（纸质版）</w:t>
            </w:r>
            <w:r>
              <w:rPr>
                <w:rFonts w:hint="eastAsia" w:ascii="宋体" w:hAnsi="宋体" w:cs="宋体"/>
                <w:color w:val="000000"/>
                <w:kern w:val="2"/>
                <w:sz w:val="21"/>
                <w:szCs w:val="21"/>
              </w:rPr>
              <w:t>或投标保证保险的形式提交的，须在投标截止前单独密封递交至开标室。（时间及地点按递交备用投标文件电子光盘的时间及地点）。银行保函需开具给招标人，银行保函有效期不少于投标有效期。保证保险需开具给招标人（受益人也必须是招标人），保证保险有效期不少于投标有效期。</w:t>
            </w:r>
          </w:p>
          <w:p>
            <w:pPr>
              <w:spacing w:after="0"/>
              <w:rPr>
                <w:rFonts w:ascii="宋体" w:hAnsi="宋体" w:eastAsia="宋体" w:cs="宋体"/>
                <w:sz w:val="21"/>
                <w:szCs w:val="21"/>
              </w:rPr>
            </w:pPr>
            <w:r>
              <w:rPr>
                <w:rFonts w:hint="eastAsia" w:ascii="宋体" w:hAnsi="宋体" w:eastAsia="宋体" w:cs="宋体"/>
                <w:sz w:val="21"/>
                <w:szCs w:val="21"/>
              </w:rPr>
              <w:t>③本项目允许递交电子保函，具体操作详见广州公共资源交易中心电子保函操作指引（</w:t>
            </w:r>
            <w:r>
              <w:rPr>
                <w:rFonts w:ascii="宋体" w:hAnsi="宋体" w:eastAsia="宋体" w:cs="宋体"/>
                <w:sz w:val="21"/>
                <w:szCs w:val="21"/>
              </w:rPr>
              <w:t>http://www.gzggzy.cn/fwznbszycwxg/857020.jhtml</w:t>
            </w:r>
            <w:r>
              <w:rPr>
                <w:rFonts w:hint="eastAsia" w:ascii="宋体" w:hAnsi="宋体" w:eastAsia="宋体" w:cs="宋体"/>
                <w:sz w:val="21"/>
                <w:szCs w:val="21"/>
              </w:rPr>
              <w:t>）。</w:t>
            </w:r>
          </w:p>
          <w:p>
            <w:pPr>
              <w:pStyle w:val="32"/>
              <w:spacing w:after="0"/>
              <w:ind w:right="77" w:rightChars="35" w:firstLine="0"/>
              <w:rPr>
                <w:rFonts w:ascii="宋体" w:hAnsi="宋体" w:cs="宋体"/>
                <w:color w:val="000000"/>
                <w:kern w:val="2"/>
                <w:sz w:val="21"/>
                <w:szCs w:val="21"/>
              </w:rPr>
            </w:pPr>
            <w:r>
              <w:rPr>
                <w:rFonts w:hint="eastAsia" w:ascii="宋体" w:hAnsi="宋体" w:cs="宋体"/>
                <w:color w:val="000000"/>
                <w:kern w:val="2"/>
                <w:sz w:val="21"/>
                <w:szCs w:val="21"/>
              </w:rPr>
              <w:t>2.对于未能按要求交纳投标保证金的投标人，招标人将视为不响应招标文件而予以拒绝。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275"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3.4.4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其他可以不予退还投标保证金的情形</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如有下列情况之一的，将不予退还投标担保：</w:t>
            </w:r>
          </w:p>
          <w:p>
            <w:pPr>
              <w:pStyle w:val="32"/>
              <w:spacing w:after="0"/>
              <w:ind w:firstLine="0"/>
              <w:rPr>
                <w:rFonts w:ascii="宋体" w:hAnsi="宋体" w:cs="宋体"/>
                <w:kern w:val="2"/>
                <w:sz w:val="21"/>
                <w:szCs w:val="21"/>
              </w:rPr>
            </w:pPr>
            <w:r>
              <w:rPr>
                <w:rFonts w:hint="eastAsia" w:ascii="宋体" w:hAnsi="宋体" w:cs="宋体"/>
                <w:kern w:val="2"/>
                <w:sz w:val="21"/>
                <w:szCs w:val="21"/>
              </w:rPr>
              <w:t>（1）因投标人原因造成投标文件未解密的；</w:t>
            </w:r>
          </w:p>
          <w:p>
            <w:pPr>
              <w:pStyle w:val="32"/>
              <w:spacing w:after="0"/>
              <w:ind w:firstLine="0"/>
              <w:rPr>
                <w:rFonts w:ascii="宋体" w:hAnsi="宋体" w:cs="宋体"/>
                <w:kern w:val="2"/>
                <w:sz w:val="21"/>
                <w:szCs w:val="21"/>
              </w:rPr>
            </w:pPr>
            <w:r>
              <w:rPr>
                <w:rFonts w:hint="eastAsia" w:ascii="宋体" w:hAnsi="宋体" w:cs="宋体"/>
                <w:kern w:val="2"/>
                <w:sz w:val="21"/>
                <w:szCs w:val="21"/>
              </w:rPr>
              <w:t>（2）投标人在投标有效期内撤销投标标书；</w:t>
            </w:r>
          </w:p>
          <w:p>
            <w:pPr>
              <w:pStyle w:val="32"/>
              <w:spacing w:after="0"/>
              <w:ind w:firstLine="0"/>
              <w:rPr>
                <w:rFonts w:ascii="宋体" w:hAnsi="宋体" w:cs="宋体"/>
                <w:kern w:val="2"/>
                <w:sz w:val="21"/>
                <w:szCs w:val="21"/>
              </w:rPr>
            </w:pPr>
            <w:r>
              <w:rPr>
                <w:rFonts w:hint="eastAsia" w:ascii="宋体" w:hAnsi="宋体" w:cs="宋体"/>
                <w:kern w:val="2"/>
                <w:sz w:val="21"/>
                <w:szCs w:val="21"/>
              </w:rPr>
              <w:t>（3）中标人未能在规定期限内按要求提交履约担保；</w:t>
            </w:r>
          </w:p>
          <w:p>
            <w:pPr>
              <w:pStyle w:val="32"/>
              <w:spacing w:after="0"/>
              <w:ind w:firstLine="0"/>
              <w:rPr>
                <w:rFonts w:ascii="宋体" w:hAnsi="宋体" w:cs="宋体"/>
                <w:kern w:val="2"/>
                <w:sz w:val="21"/>
                <w:szCs w:val="21"/>
              </w:rPr>
            </w:pPr>
            <w:r>
              <w:rPr>
                <w:rFonts w:hint="eastAsia" w:ascii="宋体" w:hAnsi="宋体" w:cs="宋体"/>
                <w:kern w:val="2"/>
                <w:sz w:val="21"/>
                <w:szCs w:val="21"/>
              </w:rPr>
              <w:t>（4）中标人未能在规定期限内签署合同协议。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3.5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资格审查资料的特殊要求</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■无 </w:t>
            </w:r>
          </w:p>
          <w:p>
            <w:pPr>
              <w:pStyle w:val="32"/>
              <w:spacing w:after="0"/>
              <w:ind w:firstLine="0"/>
              <w:rPr>
                <w:rFonts w:ascii="宋体" w:hAnsi="宋体" w:cs="宋体"/>
                <w:kern w:val="2"/>
                <w:sz w:val="21"/>
                <w:szCs w:val="21"/>
              </w:rPr>
            </w:pPr>
            <w:r>
              <w:rPr>
                <w:rFonts w:hint="eastAsia" w:ascii="宋体" w:hAnsi="宋体" w:cs="宋体"/>
                <w:kern w:val="2"/>
                <w:sz w:val="21"/>
                <w:szCs w:val="21"/>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3.5.2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近年财务状况的年份要求</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36"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3.5.3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近年完成的类似项目情况的时间要求</w:t>
            </w:r>
          </w:p>
        </w:tc>
        <w:tc>
          <w:tcPr>
            <w:tcW w:w="6571" w:type="dxa"/>
            <w:noWrap/>
            <w:vAlign w:val="center"/>
          </w:tcPr>
          <w:p>
            <w:pPr>
              <w:pStyle w:val="32"/>
              <w:spacing w:after="0"/>
              <w:ind w:right="132" w:rightChars="60" w:firstLine="0"/>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3.5.5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近年发生的诉讼及仲裁情况的时间要求</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3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3.6.1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是否允许递交备选投标方案</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 xml:space="preserve">■不允许 </w:t>
            </w:r>
          </w:p>
          <w:p>
            <w:pPr>
              <w:pStyle w:val="32"/>
              <w:spacing w:after="0"/>
              <w:ind w:firstLine="0"/>
              <w:rPr>
                <w:rFonts w:ascii="宋体" w:hAnsi="宋体" w:cs="宋体"/>
                <w:kern w:val="2"/>
                <w:sz w:val="21"/>
                <w:szCs w:val="21"/>
              </w:rPr>
            </w:pPr>
            <w:r>
              <w:rPr>
                <w:rFonts w:hint="eastAsia" w:ascii="宋体" w:hAnsi="宋体" w:cs="宋体"/>
                <w:kern w:val="2"/>
                <w:sz w:val="21"/>
                <w:szCs w:val="21"/>
              </w:rPr>
              <w:t xml:space="preserve">□允许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75" w:hRule="atLeast"/>
          <w:jc w:val="center"/>
        </w:trPr>
        <w:tc>
          <w:tcPr>
            <w:tcW w:w="1057" w:type="dxa"/>
            <w:noWrap/>
          </w:tcPr>
          <w:p>
            <w:pPr>
              <w:spacing w:line="240" w:lineRule="auto"/>
              <w:rPr>
                <w:rFonts w:ascii="宋体" w:hAnsi="宋体" w:eastAsia="宋体" w:cs="宋体"/>
                <w:color w:val="auto"/>
                <w:sz w:val="21"/>
                <w:szCs w:val="21"/>
              </w:rPr>
            </w:pPr>
            <w:r>
              <w:rPr>
                <w:rFonts w:hint="eastAsia" w:ascii="宋体" w:hAnsi="宋体" w:eastAsia="宋体" w:cs="宋体"/>
                <w:color w:val="auto"/>
                <w:sz w:val="21"/>
              </w:rPr>
              <w:t>3.7.</w:t>
            </w:r>
            <w:r>
              <w:rPr>
                <w:rFonts w:hint="eastAsia" w:ascii="宋体" w:hAnsi="宋体" w:eastAsia="宋体" w:cs="宋体"/>
                <w:color w:val="auto"/>
                <w:spacing w:val="-1"/>
                <w:sz w:val="21"/>
              </w:rPr>
              <w:t>3</w:t>
            </w:r>
            <w:r>
              <w:rPr>
                <w:rFonts w:hint="eastAsia" w:ascii="宋体" w:hAnsi="宋体" w:eastAsia="宋体" w:cs="宋体"/>
                <w:color w:val="auto"/>
                <w:spacing w:val="-3"/>
                <w:sz w:val="21"/>
              </w:rPr>
              <w:t>（</w:t>
            </w:r>
            <w:r>
              <w:rPr>
                <w:rFonts w:hint="eastAsia" w:ascii="宋体" w:hAnsi="宋体" w:eastAsia="宋体" w:cs="宋体"/>
                <w:color w:val="auto"/>
                <w:spacing w:val="-2"/>
                <w:sz w:val="21"/>
              </w:rPr>
              <w:t>B</w:t>
            </w:r>
            <w:r>
              <w:rPr>
                <w:rFonts w:hint="eastAsia" w:ascii="宋体" w:hAnsi="宋体" w:eastAsia="宋体" w:cs="宋体"/>
                <w:color w:val="auto"/>
                <w:sz w:val="21"/>
              </w:rPr>
              <w:t>）</w:t>
            </w:r>
          </w:p>
        </w:tc>
        <w:tc>
          <w:tcPr>
            <w:tcW w:w="1546" w:type="dxa"/>
            <w:noWrap/>
            <w:vAlign w:val="center"/>
          </w:tcPr>
          <w:p>
            <w:pPr>
              <w:pStyle w:val="32"/>
              <w:spacing w:after="0"/>
              <w:ind w:left="106" w:leftChars="48" w:firstLine="0"/>
              <w:jc w:val="center"/>
              <w:rPr>
                <w:rFonts w:ascii="宋体" w:hAnsi="宋体" w:cs="宋体"/>
                <w:kern w:val="2"/>
                <w:sz w:val="21"/>
                <w:szCs w:val="21"/>
              </w:rPr>
            </w:pPr>
            <w:r>
              <w:rPr>
                <w:rFonts w:hint="eastAsia" w:ascii="宋体" w:hAnsi="宋体" w:cs="宋体"/>
                <w:kern w:val="2"/>
                <w:sz w:val="21"/>
                <w:szCs w:val="21"/>
              </w:rPr>
              <w:t>投标文件所附证书证</w:t>
            </w:r>
          </w:p>
          <w:p>
            <w:pPr>
              <w:pStyle w:val="32"/>
              <w:spacing w:after="0"/>
              <w:ind w:left="106" w:leftChars="48" w:firstLine="0"/>
              <w:jc w:val="center"/>
              <w:rPr>
                <w:rFonts w:ascii="宋体" w:hAnsi="宋体" w:cs="宋体"/>
                <w:kern w:val="2"/>
                <w:sz w:val="21"/>
                <w:szCs w:val="21"/>
              </w:rPr>
            </w:pPr>
            <w:r>
              <w:rPr>
                <w:rFonts w:hint="eastAsia" w:ascii="宋体" w:hAnsi="宋体" w:cs="宋体"/>
                <w:kern w:val="2"/>
                <w:sz w:val="21"/>
                <w:szCs w:val="21"/>
              </w:rPr>
              <w:t>件要求</w:t>
            </w:r>
          </w:p>
        </w:tc>
        <w:tc>
          <w:tcPr>
            <w:tcW w:w="6571" w:type="dxa"/>
            <w:noWrap/>
            <w:vAlign w:val="center"/>
          </w:tcPr>
          <w:p>
            <w:pPr>
              <w:pStyle w:val="32"/>
              <w:spacing w:after="0"/>
              <w:ind w:right="33" w:rightChars="15" w:firstLine="0"/>
              <w:jc w:val="left"/>
              <w:rPr>
                <w:rFonts w:ascii="宋体" w:hAnsi="宋体" w:cs="宋体"/>
                <w:kern w:val="2"/>
                <w:sz w:val="21"/>
                <w:szCs w:val="21"/>
              </w:rPr>
            </w:pPr>
            <w:r>
              <w:rPr>
                <w:rFonts w:hint="eastAsia" w:ascii="宋体" w:hAnsi="宋体" w:cs="宋体"/>
                <w:kern w:val="2"/>
                <w:sz w:val="21"/>
                <w:szCs w:val="21"/>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75" w:hRule="atLeast"/>
          <w:jc w:val="center"/>
        </w:trPr>
        <w:tc>
          <w:tcPr>
            <w:tcW w:w="1057" w:type="dxa"/>
            <w:noWrap/>
          </w:tcPr>
          <w:p>
            <w:pPr>
              <w:spacing w:line="240" w:lineRule="auto"/>
              <w:rPr>
                <w:rFonts w:ascii="宋体" w:hAnsi="宋体" w:eastAsia="宋体" w:cs="宋体"/>
                <w:color w:val="auto"/>
                <w:sz w:val="21"/>
                <w:szCs w:val="21"/>
              </w:rPr>
            </w:pPr>
            <w:r>
              <w:rPr>
                <w:rFonts w:hint="eastAsia" w:ascii="宋体" w:hAnsi="宋体" w:eastAsia="宋体" w:cs="宋体"/>
                <w:color w:val="auto"/>
                <w:sz w:val="21"/>
              </w:rPr>
              <w:t>3.7.</w:t>
            </w:r>
            <w:r>
              <w:rPr>
                <w:rFonts w:hint="eastAsia" w:ascii="宋体" w:hAnsi="宋体" w:eastAsia="宋体" w:cs="宋体"/>
                <w:color w:val="auto"/>
                <w:spacing w:val="-1"/>
                <w:sz w:val="21"/>
              </w:rPr>
              <w:t>3</w:t>
            </w:r>
            <w:r>
              <w:rPr>
                <w:rFonts w:hint="eastAsia" w:ascii="宋体" w:hAnsi="宋体" w:eastAsia="宋体" w:cs="宋体"/>
                <w:color w:val="auto"/>
                <w:spacing w:val="-3"/>
                <w:sz w:val="21"/>
              </w:rPr>
              <w:t>（</w:t>
            </w:r>
            <w:r>
              <w:rPr>
                <w:rFonts w:hint="eastAsia" w:ascii="宋体" w:hAnsi="宋体" w:eastAsia="宋体" w:cs="宋体"/>
                <w:color w:val="auto"/>
                <w:spacing w:val="-2"/>
                <w:sz w:val="21"/>
              </w:rPr>
              <w:t>B</w:t>
            </w:r>
            <w:r>
              <w:rPr>
                <w:rFonts w:hint="eastAsia" w:ascii="宋体" w:hAnsi="宋体" w:eastAsia="宋体" w:cs="宋体"/>
                <w:color w:val="auto"/>
                <w:sz w:val="21"/>
              </w:rPr>
              <w:t>）</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投标文件签字或盖章</w:t>
            </w:r>
          </w:p>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要求</w:t>
            </w:r>
          </w:p>
        </w:tc>
        <w:tc>
          <w:tcPr>
            <w:tcW w:w="6571" w:type="dxa"/>
            <w:noWrap/>
            <w:vAlign w:val="center"/>
          </w:tcPr>
          <w:p>
            <w:pPr>
              <w:pStyle w:val="32"/>
              <w:spacing w:after="0"/>
              <w:ind w:right="20" w:rightChars="9" w:firstLine="0"/>
              <w:rPr>
                <w:rFonts w:ascii="宋体" w:hAnsi="宋体" w:cs="宋体"/>
                <w:b/>
                <w:kern w:val="2"/>
                <w:sz w:val="21"/>
                <w:szCs w:val="21"/>
              </w:rPr>
            </w:pPr>
            <w:r>
              <w:rPr>
                <w:rFonts w:hint="eastAsia" w:ascii="宋体" w:hAnsi="宋体" w:cs="宋体"/>
                <w:b/>
                <w:kern w:val="2"/>
                <w:sz w:val="21"/>
                <w:szCs w:val="21"/>
              </w:rPr>
              <w:t>投标文件的所有证书证件、证明文件及招标文件所附格式要求盖章处需加盖电子印章，在招标文件所附格式规定签名位置，法定代表人或其授权代表应加盖个人电子印章或在线下完成后扫描上传，其余可不加盖电子印章或签名；联合体投标的，除《联合体共同投标协议书》必须联合体各方分别按要求进行签字、盖章外，投标文件封面及其他内容落款中的“投标人”应填写联合体各方的单位全称【格式为：</w:t>
            </w:r>
            <w:r>
              <w:rPr>
                <w:rFonts w:ascii="宋体" w:hAnsi="宋体" w:cs="宋体"/>
                <w:b/>
                <w:kern w:val="2"/>
                <w:sz w:val="21"/>
                <w:szCs w:val="21"/>
              </w:rPr>
              <w:t>(</w:t>
            </w:r>
            <w:r>
              <w:rPr>
                <w:rFonts w:hint="eastAsia" w:ascii="宋体" w:hAnsi="宋体" w:cs="宋体"/>
                <w:b/>
                <w:kern w:val="2"/>
                <w:sz w:val="21"/>
                <w:szCs w:val="21"/>
              </w:rPr>
              <w:t>主</w:t>
            </w:r>
            <w:r>
              <w:rPr>
                <w:rFonts w:ascii="宋体" w:hAnsi="宋体" w:cs="宋体"/>
                <w:b/>
                <w:kern w:val="2"/>
                <w:sz w:val="21"/>
                <w:szCs w:val="21"/>
              </w:rPr>
              <w:t>)XXXX</w:t>
            </w:r>
            <w:r>
              <w:rPr>
                <w:rFonts w:hint="eastAsia" w:ascii="宋体" w:hAnsi="宋体" w:cs="宋体"/>
                <w:b/>
                <w:kern w:val="2"/>
                <w:sz w:val="21"/>
                <w:szCs w:val="21"/>
              </w:rPr>
              <w:t>公司</w:t>
            </w:r>
            <w:r>
              <w:rPr>
                <w:rFonts w:ascii="宋体" w:hAnsi="宋体" w:cs="宋体"/>
                <w:b/>
                <w:kern w:val="2"/>
                <w:sz w:val="21"/>
                <w:szCs w:val="21"/>
              </w:rPr>
              <w:t>(</w:t>
            </w:r>
            <w:r>
              <w:rPr>
                <w:rFonts w:hint="eastAsia" w:ascii="宋体" w:hAnsi="宋体" w:cs="宋体"/>
                <w:b/>
                <w:kern w:val="2"/>
                <w:sz w:val="21"/>
                <w:szCs w:val="21"/>
              </w:rPr>
              <w:t>成</w:t>
            </w:r>
            <w:r>
              <w:rPr>
                <w:rFonts w:ascii="宋体" w:hAnsi="宋体" w:cs="宋体"/>
                <w:b/>
                <w:kern w:val="2"/>
                <w:sz w:val="21"/>
                <w:szCs w:val="21"/>
              </w:rPr>
              <w:t>)XXXX</w:t>
            </w:r>
            <w:r>
              <w:rPr>
                <w:rFonts w:hint="eastAsia" w:ascii="宋体" w:hAnsi="宋体" w:cs="宋体"/>
                <w:b/>
                <w:kern w:val="2"/>
                <w:sz w:val="21"/>
                <w:szCs w:val="21"/>
              </w:rPr>
              <w:t>公司</w:t>
            </w:r>
            <w:r>
              <w:rPr>
                <w:rFonts w:ascii="宋体" w:hAnsi="宋体" w:cs="宋体"/>
                <w:b/>
                <w:kern w:val="2"/>
                <w:sz w:val="21"/>
                <w:szCs w:val="21"/>
              </w:rPr>
              <w:t>(</w:t>
            </w:r>
            <w:r>
              <w:rPr>
                <w:rFonts w:hint="eastAsia" w:ascii="宋体" w:hAnsi="宋体" w:cs="宋体"/>
                <w:b/>
                <w:kern w:val="2"/>
                <w:sz w:val="21"/>
                <w:szCs w:val="21"/>
              </w:rPr>
              <w:t>成</w:t>
            </w:r>
            <w:r>
              <w:rPr>
                <w:rFonts w:ascii="宋体" w:hAnsi="宋体" w:cs="宋体"/>
                <w:b/>
                <w:kern w:val="2"/>
                <w:sz w:val="21"/>
                <w:szCs w:val="21"/>
              </w:rPr>
              <w:t>)……</w:t>
            </w:r>
            <w:r>
              <w:rPr>
                <w:rFonts w:hint="eastAsia" w:ascii="宋体" w:hAnsi="宋体" w:cs="宋体"/>
                <w:b/>
                <w:kern w:val="2"/>
                <w:sz w:val="21"/>
                <w:szCs w:val="21"/>
              </w:rPr>
              <w:t>】，由联合体牵头单位签字、盖章即可。</w:t>
            </w:r>
          </w:p>
          <w:p>
            <w:pPr>
              <w:pStyle w:val="32"/>
              <w:spacing w:after="0"/>
              <w:ind w:right="20" w:rightChars="9" w:firstLine="0"/>
              <w:rPr>
                <w:rFonts w:ascii="宋体" w:hAnsi="宋体" w:cs="宋体"/>
                <w:kern w:val="2"/>
                <w:sz w:val="21"/>
                <w:szCs w:val="21"/>
              </w:rPr>
            </w:pPr>
            <w:r>
              <w:rPr>
                <w:rFonts w:hint="eastAsia" w:ascii="宋体" w:hAnsi="宋体" w:cs="宋体"/>
                <w:kern w:val="2"/>
                <w:sz w:val="21"/>
                <w:szCs w:val="21"/>
              </w:rPr>
              <w:t>1.根据交易平台实际情况，暂不实施关于采用个人数字证书和加盖法定代表人或代理人等个人电子印章要求。</w:t>
            </w:r>
          </w:p>
          <w:p>
            <w:pPr>
              <w:pStyle w:val="32"/>
              <w:spacing w:after="0"/>
              <w:ind w:right="20" w:rightChars="9" w:firstLine="0"/>
              <w:jc w:val="left"/>
              <w:rPr>
                <w:rFonts w:ascii="宋体" w:hAnsi="宋体" w:cs="宋体"/>
                <w:kern w:val="2"/>
                <w:sz w:val="21"/>
                <w:szCs w:val="21"/>
              </w:rPr>
            </w:pPr>
            <w:r>
              <w:rPr>
                <w:rFonts w:hint="eastAsia" w:ascii="宋体" w:hAnsi="宋体" w:cs="宋体"/>
                <w:kern w:val="2"/>
                <w:sz w:val="21"/>
                <w:szCs w:val="21"/>
              </w:rPr>
              <w:t>2.投标文件应按《 房屋建筑和市政基础设施工程全流程电子化项目专章 》编制。如不按上述要求编制引起系统无法检索、读取相关信息的，其后果由投标人承担。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75" w:hRule="atLeast"/>
          <w:jc w:val="center"/>
        </w:trPr>
        <w:tc>
          <w:tcPr>
            <w:tcW w:w="1057" w:type="dxa"/>
            <w:noWrap/>
          </w:tcPr>
          <w:p>
            <w:pPr>
              <w:spacing w:line="240" w:lineRule="auto"/>
              <w:rPr>
                <w:rFonts w:ascii="宋体" w:hAnsi="宋体" w:eastAsia="宋体" w:cs="宋体"/>
                <w:color w:val="auto"/>
                <w:sz w:val="21"/>
                <w:szCs w:val="21"/>
              </w:rPr>
            </w:pPr>
            <w:r>
              <w:rPr>
                <w:rFonts w:hint="eastAsia" w:ascii="宋体" w:hAnsi="宋体" w:eastAsia="宋体" w:cs="宋体"/>
                <w:color w:val="auto"/>
                <w:sz w:val="21"/>
              </w:rPr>
              <w:t>4.1.</w:t>
            </w:r>
            <w:r>
              <w:rPr>
                <w:rFonts w:hint="eastAsia" w:ascii="宋体" w:hAnsi="宋体" w:eastAsia="宋体" w:cs="宋体"/>
                <w:color w:val="auto"/>
                <w:spacing w:val="-1"/>
                <w:sz w:val="21"/>
              </w:rPr>
              <w:t>1</w:t>
            </w:r>
            <w:r>
              <w:rPr>
                <w:rFonts w:hint="eastAsia" w:ascii="宋体" w:hAnsi="宋体" w:eastAsia="宋体" w:cs="宋体"/>
                <w:color w:val="auto"/>
                <w:spacing w:val="-3"/>
                <w:sz w:val="21"/>
              </w:rPr>
              <w:t>（</w:t>
            </w:r>
            <w:r>
              <w:rPr>
                <w:rFonts w:hint="eastAsia" w:ascii="宋体" w:hAnsi="宋体" w:eastAsia="宋体" w:cs="宋体"/>
                <w:color w:val="auto"/>
                <w:spacing w:val="-2"/>
                <w:sz w:val="21"/>
              </w:rPr>
              <w:t>B</w:t>
            </w:r>
            <w:r>
              <w:rPr>
                <w:rFonts w:hint="eastAsia" w:ascii="宋体" w:hAnsi="宋体" w:eastAsia="宋体" w:cs="宋体"/>
                <w:color w:val="auto"/>
                <w:sz w:val="21"/>
              </w:rPr>
              <w:t>）</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投标文件加密要求</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1.网上递交的电子投标文件须进行加密。具体操作详见广州公共资源交易中心网站发布的《房屋建筑和市政基础设施工程全流程电子化项目专章》。</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2. 未按要求密封的投标文件，招标人将予以拒收。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48"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4.1.2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封套上应载明的信息</w:t>
            </w:r>
          </w:p>
        </w:tc>
        <w:tc>
          <w:tcPr>
            <w:tcW w:w="6571" w:type="dxa"/>
            <w:noWrap/>
            <w:vAlign w:val="center"/>
          </w:tcPr>
          <w:p>
            <w:pPr>
              <w:pStyle w:val="13"/>
              <w:topLinePunct/>
              <w:contextualSpacing/>
              <w:rPr>
                <w:rFonts w:ascii="宋体" w:hAnsi="宋体" w:cs="宋体"/>
                <w:color w:val="auto"/>
                <w:kern w:val="2"/>
                <w:sz w:val="21"/>
                <w:szCs w:val="21"/>
              </w:rPr>
            </w:pPr>
            <w:r>
              <w:rPr>
                <w:rFonts w:hint="eastAsia" w:ascii="宋体" w:hAnsi="宋体" w:cs="宋体"/>
                <w:color w:val="auto"/>
                <w:kern w:val="2"/>
                <w:sz w:val="21"/>
                <w:szCs w:val="21"/>
              </w:rPr>
              <w:t>如有提交投标文件光盘或U盘备用，封套上应注明如下信息：</w:t>
            </w:r>
          </w:p>
          <w:p>
            <w:pPr>
              <w:pStyle w:val="13"/>
              <w:topLinePunct/>
              <w:contextualSpacing/>
              <w:rPr>
                <w:rFonts w:ascii="宋体" w:hAnsi="宋体" w:cs="宋体"/>
                <w:color w:val="auto"/>
                <w:kern w:val="2"/>
                <w:sz w:val="21"/>
                <w:szCs w:val="21"/>
              </w:rPr>
            </w:pPr>
            <w:r>
              <w:rPr>
                <w:rFonts w:hint="eastAsia" w:ascii="宋体" w:hAnsi="宋体" w:cs="宋体"/>
                <w:color w:val="auto"/>
                <w:kern w:val="2"/>
                <w:sz w:val="21"/>
                <w:szCs w:val="21"/>
              </w:rPr>
              <w:t>招标人名称：</w:t>
            </w:r>
          </w:p>
          <w:p>
            <w:pPr>
              <w:pStyle w:val="13"/>
              <w:topLinePunct/>
              <w:contextualSpacing/>
              <w:rPr>
                <w:rFonts w:ascii="宋体" w:hAnsi="宋体" w:cs="宋体"/>
                <w:color w:val="auto"/>
                <w:kern w:val="2"/>
                <w:sz w:val="21"/>
                <w:szCs w:val="21"/>
              </w:rPr>
            </w:pPr>
            <w:r>
              <w:rPr>
                <w:rFonts w:hint="eastAsia" w:ascii="宋体" w:hAnsi="宋体" w:cs="宋体"/>
                <w:color w:val="auto"/>
                <w:kern w:val="2"/>
                <w:sz w:val="21"/>
                <w:szCs w:val="21"/>
              </w:rPr>
              <w:t>招标人地址：</w:t>
            </w:r>
          </w:p>
          <w:p>
            <w:pPr>
              <w:pStyle w:val="13"/>
              <w:topLinePunct/>
              <w:contextualSpacing/>
              <w:rPr>
                <w:rFonts w:ascii="宋体" w:hAnsi="宋体" w:cs="宋体"/>
                <w:color w:val="auto"/>
                <w:kern w:val="2"/>
                <w:sz w:val="21"/>
                <w:szCs w:val="21"/>
              </w:rPr>
            </w:pPr>
            <w:r>
              <w:rPr>
                <w:rFonts w:hint="eastAsia" w:ascii="宋体" w:hAnsi="宋体" w:cs="宋体"/>
                <w:color w:val="auto"/>
                <w:kern w:val="2"/>
                <w:sz w:val="21"/>
                <w:szCs w:val="21"/>
                <w:u w:val="single"/>
              </w:rPr>
              <w:t>（项目名称）</w:t>
            </w:r>
            <w:r>
              <w:rPr>
                <w:rFonts w:hint="eastAsia" w:ascii="宋体" w:hAnsi="宋体" w:cs="宋体"/>
                <w:color w:val="auto"/>
                <w:kern w:val="2"/>
                <w:sz w:val="21"/>
                <w:szCs w:val="21"/>
              </w:rPr>
              <w:t>招标项目投标文件</w:t>
            </w:r>
          </w:p>
          <w:p>
            <w:pPr>
              <w:pStyle w:val="13"/>
              <w:topLinePunct/>
              <w:contextualSpacing/>
              <w:rPr>
                <w:rFonts w:ascii="宋体" w:hAnsi="宋体" w:cs="宋体"/>
                <w:color w:val="auto"/>
                <w:kern w:val="2"/>
                <w:sz w:val="21"/>
                <w:szCs w:val="21"/>
              </w:rPr>
            </w:pPr>
            <w:r>
              <w:rPr>
                <w:rFonts w:hint="eastAsia" w:ascii="宋体" w:hAnsi="宋体" w:cs="宋体"/>
                <w:color w:val="auto"/>
                <w:kern w:val="2"/>
                <w:sz w:val="21"/>
                <w:szCs w:val="21"/>
              </w:rPr>
              <w:t>招标项目编号：</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1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4.2.1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投标截止时间</w:t>
            </w:r>
          </w:p>
        </w:tc>
        <w:tc>
          <w:tcPr>
            <w:tcW w:w="6571" w:type="dxa"/>
            <w:noWrap/>
            <w:vAlign w:val="center"/>
          </w:tcPr>
          <w:p>
            <w:pPr>
              <w:pStyle w:val="32"/>
              <w:spacing w:after="0"/>
              <w:ind w:right="33" w:rightChars="15" w:firstLine="0"/>
              <w:jc w:val="left"/>
              <w:rPr>
                <w:rFonts w:ascii="宋体" w:hAnsi="宋体" w:cs="宋体"/>
                <w:kern w:val="2"/>
                <w:sz w:val="21"/>
                <w:szCs w:val="21"/>
              </w:rPr>
            </w:pPr>
            <w:r>
              <w:rPr>
                <w:rFonts w:hint="eastAsia" w:ascii="宋体" w:hAnsi="宋体" w:cs="宋体"/>
                <w:sz w:val="21"/>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826"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4.2.2（B）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递交投标文件</w:t>
            </w:r>
          </w:p>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地点</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sz w:val="21"/>
              </w:rPr>
              <w:t>投标人通过下载招标文件的电子招标投标交易平台递交电子投标文件。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8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4.2.3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投标文件是否退还</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■否 </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□是，退还时间：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9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5.1（</w:t>
            </w:r>
            <w:r>
              <w:rPr>
                <w:rFonts w:hint="eastAsia" w:ascii="宋体" w:hAnsi="宋体" w:eastAsia="宋体" w:cs="宋体"/>
                <w:color w:val="auto"/>
              </w:rPr>
              <w:t>A</w:t>
            </w:r>
            <w:r>
              <w:rPr>
                <w:rFonts w:hint="eastAsia" w:ascii="宋体" w:hAnsi="宋体" w:eastAsia="宋体" w:cs="宋体"/>
                <w:color w:val="auto"/>
                <w:sz w:val="21"/>
                <w:szCs w:val="21"/>
              </w:rPr>
              <w:t xml:space="preserve">）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开标时间和地点</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sz w:val="21"/>
                <w:szCs w:val="21"/>
                <w:u w:val="single"/>
              </w:rPr>
              <w:t>本电子招投标项目在本章</w:t>
            </w:r>
            <w:r>
              <w:rPr>
                <w:rFonts w:ascii="宋体" w:hAnsi="宋体" w:cs="宋体"/>
                <w:sz w:val="21"/>
                <w:szCs w:val="21"/>
                <w:u w:val="single"/>
              </w:rPr>
              <w:t xml:space="preserve">4.2.1项规定的投标截止时间（开标时间），在广州公共资源交易中心花都交易部第 </w:t>
            </w:r>
            <w:r>
              <w:rPr>
                <w:rFonts w:hint="eastAsia" w:ascii="宋体" w:hAnsi="宋体" w:cs="宋体"/>
                <w:sz w:val="21"/>
                <w:szCs w:val="21"/>
                <w:u w:val="single"/>
              </w:rPr>
              <w:t>开标室公开开标，并邀请所有投标人的法定代表人（单位负责人）或其委托代理人准时参加。</w:t>
            </w:r>
            <w:r>
              <w:rPr>
                <w:rFonts w:hint="eastAsia" w:ascii="宋体" w:hAnsi="宋体" w:cs="宋体"/>
                <w:b/>
                <w:sz w:val="21"/>
                <w:szCs w:val="21"/>
                <w:u w:val="single"/>
              </w:rPr>
              <w:t>开标时，投标人代表有权出席开标会，也可以自主决定不参加开标会，不参加开标会议的，视为认可开标结果。若投标人代表对开标过程有异议，须在开标现场提出，凭本人身份证原件提问。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533"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5.2（B）</w:t>
            </w:r>
          </w:p>
          <w:p>
            <w:pPr>
              <w:spacing w:line="240" w:lineRule="auto"/>
              <w:rPr>
                <w:rFonts w:ascii="宋体" w:hAnsi="宋体" w:eastAsia="宋体" w:cs="宋体"/>
                <w:color w:val="auto"/>
                <w:sz w:val="21"/>
                <w:szCs w:val="21"/>
              </w:rPr>
            </w:pP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开标程序</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电子招投标项目开标按下列程序进行：</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5.2.1主持人按下列程序进行开标：</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（1）宣布开标纪律；</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（2）公布在投标截止时间前递交投标文件的投标人名称；</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（3）宣布开标人、唱标人、记录人、监标人等有关人员姓名；</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（4）（B）投标人通过电子招标投标交易平台对已递交的电子投标文件进行解密，公布</w:t>
            </w:r>
            <w:r>
              <w:rPr>
                <w:rFonts w:hint="eastAsia" w:ascii="宋体" w:hAnsi="宋体" w:cs="宋体"/>
                <w:color w:val="000000"/>
                <w:kern w:val="2"/>
                <w:sz w:val="21"/>
                <w:szCs w:val="21"/>
              </w:rPr>
              <w:t>招标项目名称、投标人名称、投标保证金的递交情况、投标报价、检测、监测服务期限</w:t>
            </w:r>
            <w:r>
              <w:rPr>
                <w:rFonts w:hint="eastAsia" w:ascii="宋体" w:hAnsi="宋体" w:cs="宋体"/>
                <w:kern w:val="2"/>
                <w:sz w:val="21"/>
                <w:szCs w:val="21"/>
              </w:rPr>
              <w:t>及其他内容，并记录在案；</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（5）（B）投标人代表、招标人代表、监标人、记录人等有关人员在开标记录上签字确认；若有关人员不签字的，不影响开标程序；</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（6）开标结束。</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5.2.3投标人与其他投标人加密打包投标文件电脑机器特征码一致的(以广州公共资源交易中心评标系统的检索信息为准)将被否决。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77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6.1.1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评标委员会的组建</w:t>
            </w:r>
          </w:p>
        </w:tc>
        <w:tc>
          <w:tcPr>
            <w:tcW w:w="6571" w:type="dxa"/>
            <w:noWrap/>
            <w:vAlign w:val="center"/>
          </w:tcPr>
          <w:p>
            <w:pPr>
              <w:pStyle w:val="32"/>
              <w:spacing w:after="0"/>
              <w:ind w:firstLine="0"/>
              <w:rPr>
                <w:rFonts w:ascii="宋体" w:hAnsi="宋体" w:cs="宋体"/>
                <w:kern w:val="2"/>
                <w:sz w:val="21"/>
                <w:szCs w:val="21"/>
              </w:rPr>
            </w:pPr>
            <w:r>
              <w:rPr>
                <w:rFonts w:hint="eastAsia" w:ascii="宋体" w:hAnsi="宋体" w:cs="宋体"/>
                <w:kern w:val="2"/>
                <w:sz w:val="21"/>
                <w:szCs w:val="21"/>
              </w:rPr>
              <w:t>评标委员会构成：5人</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评标专家确定方式：依法组建。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9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6.3.2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评标委员会推荐中标</w:t>
            </w:r>
          </w:p>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候选人的人数</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 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9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7.1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中标候选人公示媒介</w:t>
            </w:r>
          </w:p>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及期限</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公示媒介： 广州公共资源交易中心、广东省招标投标监管网、中国招标投标公共服务平台</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公示期限：3日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90"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7.4 </w:t>
            </w:r>
          </w:p>
        </w:tc>
        <w:tc>
          <w:tcPr>
            <w:tcW w:w="1546" w:type="dxa"/>
            <w:noWrap/>
            <w:vAlign w:val="center"/>
          </w:tcPr>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是否授权评标委员会</w:t>
            </w:r>
          </w:p>
          <w:p>
            <w:pPr>
              <w:pStyle w:val="32"/>
              <w:spacing w:after="0"/>
              <w:ind w:firstLine="105" w:firstLineChars="50"/>
              <w:jc w:val="center"/>
              <w:rPr>
                <w:rFonts w:ascii="宋体" w:hAnsi="宋体" w:cs="宋体"/>
                <w:kern w:val="2"/>
                <w:sz w:val="21"/>
                <w:szCs w:val="21"/>
              </w:rPr>
            </w:pPr>
            <w:r>
              <w:rPr>
                <w:rFonts w:hint="eastAsia" w:ascii="宋体" w:hAnsi="宋体" w:cs="宋体"/>
                <w:kern w:val="2"/>
                <w:sz w:val="21"/>
                <w:szCs w:val="21"/>
              </w:rPr>
              <w:t>确定中标人</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□是 </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199"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7.6.1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履约保证金</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是否要求中标人提交履约保证金：</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■要求，</w:t>
            </w:r>
            <w:r>
              <w:rPr>
                <w:rFonts w:hint="eastAsia" w:ascii="宋体" w:hAnsi="宋体" w:cs="宋体"/>
                <w:sz w:val="21"/>
              </w:rPr>
              <w:t>在收到中标通知书后的30日内，中标人须提交金额为中标价10%的银行履约保函或担保公司履约保函。(注：按已启动区域分别提交履约担保）</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87"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9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是否采用电子招标投标</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 xml:space="preserve">□否 </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■是，具体要求：</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1、具体操作详见附件《房建市政全流程电子化项目操作专章》。</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2、现场提交投标文件光盘或U盘备用</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投标人将按《房建市政全流程电子化项目操作专章》的操作方法制作的非加密的电子投标文件（PDF格式）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备用投标文件）无法读取或导入的，则视为未提交投标文件光盘或U盘或U盘(备用)。如果投标人没有按规定通过交易平台网上递交电子投标文件的，不再读取提交的光盘或U盘。投标人也可不提交投标文件光盘或U盘(备用)。</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3、补救方案</w:t>
            </w:r>
          </w:p>
          <w:p>
            <w:pPr>
              <w:pStyle w:val="32"/>
              <w:spacing w:after="0"/>
              <w:ind w:firstLine="0"/>
              <w:rPr>
                <w:rFonts w:ascii="宋体" w:hAnsi="宋体" w:cs="宋体"/>
                <w:kern w:val="2"/>
                <w:sz w:val="21"/>
                <w:szCs w:val="21"/>
              </w:rPr>
            </w:pPr>
            <w:r>
              <w:rPr>
                <w:rFonts w:hint="eastAsia" w:ascii="宋体" w:hAnsi="宋体" w:cs="宋体"/>
                <w:kern w:val="2"/>
                <w:sz w:val="21"/>
                <w:szCs w:val="21"/>
              </w:rPr>
              <w:t>（1）投标文件解密失败的补救方案：</w:t>
            </w:r>
          </w:p>
          <w:p>
            <w:pPr>
              <w:pStyle w:val="32"/>
              <w:spacing w:after="0"/>
              <w:ind w:firstLine="0"/>
              <w:rPr>
                <w:rFonts w:ascii="宋体" w:hAnsi="宋体" w:cs="宋体"/>
                <w:kern w:val="2"/>
                <w:sz w:val="21"/>
                <w:szCs w:val="21"/>
              </w:rPr>
            </w:pPr>
            <w:r>
              <w:rPr>
                <w:rFonts w:hint="eastAsia" w:ascii="宋体" w:hAnsi="宋体" w:cs="宋体"/>
                <w:kern w:val="2"/>
                <w:sz w:val="21"/>
                <w:szCs w:val="21"/>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pPr>
              <w:pStyle w:val="32"/>
              <w:spacing w:after="0"/>
              <w:ind w:firstLine="0"/>
              <w:rPr>
                <w:rFonts w:ascii="宋体" w:hAnsi="宋体" w:cs="宋体"/>
                <w:kern w:val="2"/>
                <w:sz w:val="21"/>
                <w:szCs w:val="21"/>
              </w:rPr>
            </w:pPr>
            <w:r>
              <w:rPr>
                <w:rFonts w:hint="eastAsia" w:ascii="宋体" w:hAnsi="宋体" w:cs="宋体"/>
                <w:kern w:val="2"/>
                <w:sz w:val="21"/>
                <w:szCs w:val="21"/>
              </w:rPr>
              <w:t>（2）评标时突发情况的补救方案</w:t>
            </w:r>
          </w:p>
          <w:p>
            <w:pPr>
              <w:pStyle w:val="32"/>
              <w:spacing w:after="0"/>
              <w:ind w:firstLine="0"/>
              <w:rPr>
                <w:rFonts w:ascii="宋体" w:hAnsi="宋体" w:cs="宋体"/>
                <w:kern w:val="2"/>
                <w:sz w:val="21"/>
                <w:szCs w:val="21"/>
              </w:rPr>
            </w:pPr>
            <w:r>
              <w:rPr>
                <w:rFonts w:hint="eastAsia" w:ascii="宋体" w:hAnsi="宋体" w:cs="宋体"/>
                <w:kern w:val="2"/>
                <w:sz w:val="21"/>
                <w:szCs w:val="21"/>
              </w:rPr>
              <w:t>若遇不可抗力发生（指网络瘫痪、服务器损坏、交易系统故障短期无法恢复等因素），由评标委员会开启现场递交的全部投标文件光盘或U盘，并按光盘或U盘内容进行评审。</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265"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10 </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需要补充的其他内容</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48" w:hRule="atLeast"/>
          <w:jc w:val="center"/>
        </w:trPr>
        <w:tc>
          <w:tcPr>
            <w:tcW w:w="1057" w:type="dxa"/>
            <w:noWrap/>
            <w:vAlign w:val="center"/>
          </w:tcPr>
          <w:p>
            <w:pPr>
              <w:spacing w:line="240" w:lineRule="auto"/>
              <w:rPr>
                <w:rFonts w:ascii="宋体" w:hAnsi="宋体" w:eastAsia="宋体" w:cs="宋体"/>
                <w:color w:val="auto"/>
                <w:sz w:val="21"/>
                <w:szCs w:val="21"/>
              </w:rPr>
            </w:pPr>
            <w:r>
              <w:rPr>
                <w:rFonts w:hint="eastAsia" w:ascii="宋体" w:hAnsi="宋体" w:eastAsia="宋体" w:cs="宋体"/>
                <w:color w:val="auto"/>
              </w:rPr>
              <w:t>10.1</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潜在投标人或利害关系人对本招标公告及招标文件内容异议的，向招标人书面提出。</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异议受理部门：</w:t>
            </w:r>
            <w:r>
              <w:rPr>
                <w:rFonts w:ascii="宋体" w:hAnsi="宋体" w:cs="宋体"/>
                <w:sz w:val="21"/>
                <w:szCs w:val="21"/>
                <w:u w:val="single"/>
              </w:rPr>
              <w:t>广州市花都区人民政府新华街道办事处</w:t>
            </w:r>
          </w:p>
          <w:p>
            <w:pPr>
              <w:pStyle w:val="32"/>
              <w:spacing w:after="0"/>
              <w:ind w:firstLine="0"/>
              <w:jc w:val="left"/>
              <w:rPr>
                <w:rFonts w:ascii="宋体" w:hAnsi="宋体" w:cs="宋体"/>
                <w:kern w:val="2"/>
                <w:sz w:val="21"/>
                <w:szCs w:val="21"/>
                <w:u w:val="single"/>
              </w:rPr>
            </w:pPr>
            <w:r>
              <w:rPr>
                <w:rFonts w:hint="eastAsia" w:ascii="宋体" w:hAnsi="宋体" w:cs="宋体"/>
                <w:kern w:val="2"/>
                <w:sz w:val="21"/>
                <w:szCs w:val="21"/>
              </w:rPr>
              <w:t>电话：</w:t>
            </w:r>
            <w:r>
              <w:rPr>
                <w:rFonts w:ascii="宋体" w:hAnsi="宋体" w:cs="宋体"/>
                <w:sz w:val="21"/>
                <w:szCs w:val="21"/>
              </w:rPr>
              <w:t>020-86812116</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地址：</w:t>
            </w:r>
            <w:r>
              <w:rPr>
                <w:rFonts w:hint="eastAsia" w:ascii="宋体" w:hAnsi="宋体" w:cs="宋体"/>
                <w:sz w:val="21"/>
                <w:szCs w:val="21"/>
                <w:u w:val="single"/>
              </w:rPr>
              <w:t>广州市花都区新华街建设南路1号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643" w:hRule="atLeast"/>
          <w:jc w:val="center"/>
        </w:trPr>
        <w:tc>
          <w:tcPr>
            <w:tcW w:w="1057" w:type="dxa"/>
            <w:noWrap/>
            <w:vAlign w:val="center"/>
          </w:tcPr>
          <w:p>
            <w:pPr>
              <w:spacing w:line="240" w:lineRule="auto"/>
              <w:rPr>
                <w:rFonts w:ascii="宋体" w:hAnsi="宋体" w:eastAsia="宋体" w:cs="宋体"/>
                <w:color w:val="auto"/>
              </w:rPr>
            </w:pPr>
            <w:r>
              <w:rPr>
                <w:rFonts w:hint="eastAsia" w:ascii="宋体" w:hAnsi="宋体" w:eastAsia="宋体" w:cs="宋体"/>
                <w:color w:val="auto"/>
              </w:rPr>
              <w:t>10.2</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招标监督机构：</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招标监督机构：</w:t>
            </w:r>
            <w:r>
              <w:rPr>
                <w:rFonts w:ascii="宋体" w:hAnsi="宋体" w:cs="宋体"/>
                <w:sz w:val="21"/>
                <w:szCs w:val="21"/>
                <w:u w:val="single"/>
              </w:rPr>
              <w:t>广州市花都区人民政府新华街道办事处</w:t>
            </w:r>
          </w:p>
          <w:p>
            <w:pPr>
              <w:pStyle w:val="32"/>
              <w:spacing w:after="0"/>
              <w:ind w:firstLine="0"/>
              <w:jc w:val="left"/>
              <w:rPr>
                <w:rFonts w:ascii="宋体" w:hAnsi="宋体" w:cs="宋体"/>
                <w:kern w:val="2"/>
                <w:sz w:val="21"/>
                <w:szCs w:val="21"/>
              </w:rPr>
            </w:pPr>
            <w:r>
              <w:rPr>
                <w:rFonts w:hint="eastAsia" w:ascii="宋体" w:hAnsi="宋体" w:cs="宋体"/>
                <w:kern w:val="2"/>
                <w:sz w:val="21"/>
                <w:szCs w:val="21"/>
              </w:rPr>
              <w:t>监督电话：</w:t>
            </w:r>
            <w:r>
              <w:rPr>
                <w:rFonts w:ascii="宋体" w:hAnsi="宋体" w:cs="宋体"/>
                <w:sz w:val="21"/>
                <w:szCs w:val="21"/>
              </w:rPr>
              <w:t>020-8681211</w:t>
            </w:r>
            <w:r>
              <w:rPr>
                <w:rFonts w:hint="eastAsia" w:ascii="宋体" w:hAnsi="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399" w:hRule="atLeast"/>
          <w:jc w:val="center"/>
        </w:trPr>
        <w:tc>
          <w:tcPr>
            <w:tcW w:w="1057" w:type="dxa"/>
            <w:noWrap/>
            <w:vAlign w:val="center"/>
          </w:tcPr>
          <w:p>
            <w:pPr>
              <w:spacing w:line="240" w:lineRule="auto"/>
              <w:rPr>
                <w:rFonts w:ascii="宋体" w:hAnsi="宋体" w:eastAsia="宋体" w:cs="宋体"/>
                <w:color w:val="auto"/>
              </w:rPr>
            </w:pPr>
            <w:r>
              <w:rPr>
                <w:rFonts w:hint="eastAsia" w:ascii="宋体" w:hAnsi="宋体" w:eastAsia="宋体" w:cs="宋体"/>
                <w:color w:val="auto"/>
              </w:rPr>
              <w:t>10.3</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其他费用</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交易服务费：中标人代缴公共资源交易服务费，其费用包含在中标人投标报价中，交易中心向中标人开具增值税发票。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623" w:hRule="atLeast"/>
          <w:jc w:val="center"/>
        </w:trPr>
        <w:tc>
          <w:tcPr>
            <w:tcW w:w="1057" w:type="dxa"/>
            <w:noWrap/>
            <w:vAlign w:val="center"/>
          </w:tcPr>
          <w:p>
            <w:pPr>
              <w:spacing w:line="240" w:lineRule="auto"/>
              <w:rPr>
                <w:rFonts w:ascii="宋体" w:hAnsi="宋体" w:eastAsia="宋体" w:cs="宋体"/>
                <w:color w:val="auto"/>
              </w:rPr>
            </w:pPr>
            <w:r>
              <w:rPr>
                <w:rFonts w:hint="eastAsia" w:ascii="宋体" w:hAnsi="宋体" w:eastAsia="宋体" w:cs="宋体"/>
                <w:color w:val="auto"/>
              </w:rPr>
              <w:t>10.4</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送达</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《投诉处理决定书》和《行政处理决定书》在广州市住房和城乡建设委员会网站上公布的，视为送达其他与决定书有关的当事人。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820" w:hRule="atLeast"/>
          <w:jc w:val="center"/>
        </w:trPr>
        <w:tc>
          <w:tcPr>
            <w:tcW w:w="1057" w:type="dxa"/>
            <w:noWrap/>
            <w:vAlign w:val="center"/>
          </w:tcPr>
          <w:p>
            <w:pPr>
              <w:spacing w:line="240" w:lineRule="auto"/>
              <w:rPr>
                <w:rFonts w:ascii="宋体" w:hAnsi="宋体" w:eastAsia="宋体" w:cs="宋体"/>
                <w:color w:val="auto"/>
              </w:rPr>
            </w:pPr>
            <w:r>
              <w:rPr>
                <w:rFonts w:hint="eastAsia" w:ascii="宋体" w:hAnsi="宋体" w:eastAsia="宋体" w:cs="宋体"/>
                <w:color w:val="auto"/>
              </w:rPr>
              <w:t>10.5</w:t>
            </w:r>
          </w:p>
        </w:tc>
        <w:tc>
          <w:tcPr>
            <w:tcW w:w="1546" w:type="dxa"/>
            <w:noWrap/>
            <w:vAlign w:val="center"/>
          </w:tcPr>
          <w:p>
            <w:pPr>
              <w:pStyle w:val="32"/>
              <w:spacing w:after="0"/>
              <w:ind w:firstLine="0"/>
              <w:jc w:val="center"/>
              <w:rPr>
                <w:rFonts w:ascii="宋体" w:hAnsi="宋体" w:cs="宋体"/>
                <w:kern w:val="2"/>
                <w:sz w:val="21"/>
                <w:szCs w:val="21"/>
              </w:rPr>
            </w:pPr>
            <w:r>
              <w:rPr>
                <w:rFonts w:hint="eastAsia" w:ascii="宋体" w:hAnsi="宋体" w:cs="宋体"/>
                <w:kern w:val="2"/>
                <w:sz w:val="21"/>
                <w:szCs w:val="21"/>
              </w:rPr>
              <w:t>招标失败的情形</w:t>
            </w:r>
          </w:p>
        </w:tc>
        <w:tc>
          <w:tcPr>
            <w:tcW w:w="6571" w:type="dxa"/>
            <w:noWrap/>
            <w:vAlign w:val="center"/>
          </w:tcPr>
          <w:p>
            <w:pPr>
              <w:pStyle w:val="32"/>
              <w:spacing w:after="0"/>
              <w:ind w:firstLine="0"/>
              <w:jc w:val="left"/>
              <w:rPr>
                <w:rFonts w:ascii="宋体" w:hAnsi="宋体" w:cs="宋体"/>
                <w:kern w:val="2"/>
                <w:sz w:val="21"/>
                <w:szCs w:val="21"/>
              </w:rPr>
            </w:pPr>
            <w:r>
              <w:rPr>
                <w:rFonts w:hint="eastAsia" w:ascii="宋体" w:hAnsi="宋体" w:cs="宋体"/>
                <w:kern w:val="2"/>
                <w:sz w:val="21"/>
                <w:szCs w:val="21"/>
              </w:rPr>
              <w:t>本项目采用资格后审方式，经评定的通过资格审查有效投标人不足3名或通过符合性审查的有效投标人不足3名时为招标失败。招标人分析招标失败原因，修正招标方案，报有关管理部门核准后，重新组织招标。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790" w:hRule="atLeast"/>
          <w:jc w:val="center"/>
        </w:trPr>
        <w:tc>
          <w:tcPr>
            <w:tcW w:w="1057" w:type="dxa"/>
            <w:noWrap/>
            <w:vAlign w:val="center"/>
          </w:tcPr>
          <w:p>
            <w:pPr>
              <w:spacing w:line="240" w:lineRule="auto"/>
              <w:rPr>
                <w:rFonts w:ascii="宋体" w:hAnsi="宋体" w:eastAsia="宋体" w:cs="宋体"/>
                <w:color w:val="auto"/>
              </w:rPr>
            </w:pPr>
            <w:r>
              <w:rPr>
                <w:rFonts w:hint="eastAsia" w:ascii="宋体" w:hAnsi="宋体" w:eastAsia="宋体" w:cs="宋体"/>
                <w:color w:val="auto"/>
              </w:rPr>
              <w:t>10.6</w:t>
            </w:r>
          </w:p>
        </w:tc>
        <w:tc>
          <w:tcPr>
            <w:tcW w:w="1546" w:type="dxa"/>
            <w:noWrap/>
            <w:vAlign w:val="center"/>
          </w:tcPr>
          <w:p>
            <w:pPr>
              <w:pStyle w:val="32"/>
              <w:spacing w:after="0"/>
              <w:ind w:firstLine="0"/>
              <w:jc w:val="center"/>
              <w:rPr>
                <w:rFonts w:ascii="宋体" w:hAnsi="宋体" w:cs="宋体"/>
                <w:color w:val="000000"/>
                <w:kern w:val="2"/>
                <w:sz w:val="21"/>
                <w:szCs w:val="21"/>
              </w:rPr>
            </w:pPr>
            <w:r>
              <w:rPr>
                <w:rFonts w:hint="eastAsia" w:ascii="宋体" w:hAnsi="宋体" w:cs="宋体"/>
                <w:color w:val="000000"/>
                <w:kern w:val="2"/>
                <w:sz w:val="21"/>
                <w:szCs w:val="21"/>
              </w:rPr>
              <w:t>拟投入的试验检测、监测设备最低配置</w:t>
            </w:r>
          </w:p>
        </w:tc>
        <w:tc>
          <w:tcPr>
            <w:tcW w:w="6571" w:type="dxa"/>
            <w:noWrap/>
            <w:vAlign w:val="center"/>
          </w:tcPr>
          <w:p>
            <w:pPr>
              <w:pStyle w:val="32"/>
              <w:spacing w:after="0"/>
              <w:ind w:firstLine="0"/>
              <w:jc w:val="left"/>
              <w:rPr>
                <w:rFonts w:ascii="宋体" w:hAnsi="宋体" w:cs="宋体"/>
                <w:color w:val="000000"/>
                <w:kern w:val="2"/>
                <w:sz w:val="21"/>
                <w:szCs w:val="21"/>
              </w:rPr>
            </w:pPr>
            <w:r>
              <w:rPr>
                <w:rFonts w:hint="eastAsia" w:ascii="宋体" w:hAnsi="宋体" w:cs="宋体"/>
                <w:color w:val="000000"/>
                <w:kern w:val="2"/>
                <w:sz w:val="21"/>
                <w:szCs w:val="21"/>
              </w:rPr>
              <w:t>见表5、拟投入本项目的主要检测、监测仪器设备一览表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954" w:hRule="atLeast"/>
          <w:jc w:val="center"/>
        </w:trPr>
        <w:tc>
          <w:tcPr>
            <w:tcW w:w="1057" w:type="dxa"/>
            <w:noWrap/>
            <w:vAlign w:val="center"/>
          </w:tcPr>
          <w:p>
            <w:pPr>
              <w:spacing w:line="240" w:lineRule="auto"/>
              <w:rPr>
                <w:rFonts w:ascii="宋体" w:hAnsi="宋体" w:eastAsia="宋体" w:cs="宋体"/>
                <w:color w:val="auto"/>
              </w:rPr>
            </w:pPr>
            <w:r>
              <w:rPr>
                <w:rFonts w:hint="eastAsia" w:ascii="宋体" w:hAnsi="宋体" w:eastAsia="宋体" w:cs="宋体"/>
                <w:color w:val="auto"/>
              </w:rPr>
              <w:t>10.7</w:t>
            </w:r>
          </w:p>
        </w:tc>
        <w:tc>
          <w:tcPr>
            <w:tcW w:w="1546" w:type="dxa"/>
            <w:noWrap/>
            <w:vAlign w:val="center"/>
          </w:tcPr>
          <w:p>
            <w:pPr>
              <w:pStyle w:val="32"/>
              <w:spacing w:after="0"/>
              <w:ind w:firstLine="0"/>
              <w:jc w:val="center"/>
              <w:rPr>
                <w:rFonts w:ascii="宋体" w:hAnsi="宋体" w:cs="宋体"/>
                <w:color w:val="000000"/>
                <w:kern w:val="2"/>
                <w:sz w:val="21"/>
                <w:szCs w:val="21"/>
              </w:rPr>
            </w:pPr>
            <w:r>
              <w:rPr>
                <w:rFonts w:hint="eastAsia" w:ascii="宋体" w:hAnsi="宋体" w:cs="宋体"/>
                <w:color w:val="000000"/>
                <w:kern w:val="2"/>
                <w:sz w:val="21"/>
                <w:szCs w:val="21"/>
              </w:rPr>
              <w:t>其他</w:t>
            </w:r>
          </w:p>
        </w:tc>
        <w:tc>
          <w:tcPr>
            <w:tcW w:w="6571" w:type="dxa"/>
            <w:noWrap/>
            <w:vAlign w:val="center"/>
          </w:tcPr>
          <w:p>
            <w:pPr>
              <w:pStyle w:val="32"/>
              <w:spacing w:after="0"/>
              <w:ind w:firstLineChars="200"/>
              <w:rPr>
                <w:rFonts w:ascii="宋体" w:hAnsi="宋体" w:cs="宋体"/>
                <w:color w:val="000000"/>
                <w:kern w:val="2"/>
                <w:sz w:val="21"/>
                <w:szCs w:val="21"/>
              </w:rPr>
            </w:pPr>
            <w:r>
              <w:rPr>
                <w:rFonts w:hint="eastAsia" w:ascii="宋体" w:hAnsi="宋体" w:cs="宋体"/>
                <w:color w:val="000000"/>
                <w:kern w:val="2"/>
                <w:sz w:val="21"/>
                <w:szCs w:val="21"/>
              </w:rPr>
              <w:t>1. 承包方式：该项目实</w:t>
            </w:r>
            <w:r>
              <w:rPr>
                <w:rFonts w:hint="eastAsia" w:ascii="宋体" w:hAnsi="宋体" w:cs="宋体"/>
                <w:kern w:val="2"/>
                <w:sz w:val="21"/>
                <w:szCs w:val="21"/>
              </w:rPr>
              <w:t>行</w:t>
            </w:r>
            <w:r>
              <w:rPr>
                <w:rFonts w:ascii="宋体" w:hAnsi="宋体" w:cs="宋体"/>
                <w:kern w:val="2"/>
                <w:sz w:val="21"/>
                <w:szCs w:val="21"/>
              </w:rPr>
              <w:t>下浮率报价方式</w:t>
            </w:r>
            <w:r>
              <w:rPr>
                <w:rFonts w:hint="eastAsia" w:ascii="宋体" w:hAnsi="宋体" w:cs="宋体"/>
                <w:kern w:val="2"/>
                <w:sz w:val="21"/>
                <w:szCs w:val="21"/>
              </w:rPr>
              <w:t>，包工期、包质量、包安全、包文明、包服务、包工作成果、包本服务项目竣工资料整理和存档备案。符合国家和行业现行规定验收标准，确保</w:t>
            </w:r>
            <w:r>
              <w:rPr>
                <w:rFonts w:hint="eastAsia" w:ascii="宋体" w:hAnsi="宋体" w:cs="宋体"/>
                <w:color w:val="000000"/>
                <w:kern w:val="2"/>
                <w:sz w:val="21"/>
                <w:szCs w:val="21"/>
              </w:rPr>
              <w:t>检测、监测项目的规范性及数量能满足建设行政主管部门的施工质量验收和存档备案要求。合同价款根据招标文件技术服务合同约定的计价方式进行计价和结算。</w:t>
            </w:r>
          </w:p>
          <w:p>
            <w:pPr>
              <w:pStyle w:val="32"/>
              <w:spacing w:after="0"/>
              <w:ind w:firstLineChars="200"/>
              <w:rPr>
                <w:rFonts w:ascii="宋体" w:hAnsi="宋体" w:cs="宋体"/>
                <w:color w:val="000000"/>
                <w:kern w:val="2"/>
                <w:sz w:val="21"/>
                <w:szCs w:val="21"/>
              </w:rPr>
            </w:pPr>
            <w:r>
              <w:rPr>
                <w:rFonts w:hint="eastAsia" w:ascii="宋体" w:hAnsi="宋体" w:cs="宋体"/>
                <w:color w:val="000000"/>
                <w:kern w:val="2"/>
                <w:sz w:val="21"/>
                <w:szCs w:val="21"/>
              </w:rPr>
              <w:t>2.在产生中标候选人后，中标候选人后须同意并授权招标人将我司投标文件商务部分的人员、业绩、奖项等资料进行公示，并去掉或遮盖报价清单、方案等涉及商业秘密的内容。</w:t>
            </w:r>
          </w:p>
          <w:p>
            <w:pPr>
              <w:pStyle w:val="32"/>
              <w:spacing w:after="0"/>
              <w:ind w:firstLineChars="200"/>
              <w:rPr>
                <w:rFonts w:ascii="宋体" w:hAnsi="宋体" w:cs="宋体"/>
                <w:color w:val="000000"/>
                <w:kern w:val="2"/>
                <w:sz w:val="21"/>
                <w:szCs w:val="21"/>
              </w:rPr>
            </w:pPr>
            <w:r>
              <w:rPr>
                <w:rFonts w:hint="eastAsia" w:ascii="宋体" w:hAnsi="宋体" w:cs="宋体"/>
                <w:color w:val="000000"/>
                <w:kern w:val="2"/>
                <w:sz w:val="21"/>
                <w:szCs w:val="21"/>
              </w:rPr>
              <w:t>3.确定中标人后，中标人须提交与投标资料内容一致的纸质投标文件（一正七副）给招标人。</w:t>
            </w:r>
          </w:p>
          <w:p>
            <w:pPr>
              <w:pStyle w:val="32"/>
              <w:spacing w:after="0"/>
              <w:ind w:firstLineChars="200"/>
              <w:rPr>
                <w:rFonts w:ascii="宋体" w:hAnsi="宋体" w:cs="宋体"/>
                <w:color w:val="000000"/>
                <w:kern w:val="2"/>
                <w:sz w:val="21"/>
                <w:szCs w:val="21"/>
              </w:rPr>
            </w:pPr>
            <w:r>
              <w:rPr>
                <w:rFonts w:hint="eastAsia" w:ascii="宋体" w:hAnsi="宋体" w:cs="宋体"/>
                <w:color w:val="000000"/>
                <w:kern w:val="2"/>
                <w:sz w:val="21"/>
                <w:szCs w:val="21"/>
              </w:rPr>
              <w:t>4. 中标人须向招标代理机构缴纳招标代理服务费：以中标金额作为计费基数，按国家计委计价格[2002]1980号支付。在领取《中标通知书》前应向招标代理机构缴纳招标代理服务费。</w:t>
            </w:r>
          </w:p>
        </w:tc>
      </w:tr>
    </w:tbl>
    <w:p>
      <w:pPr>
        <w:rPr>
          <w:rFonts w:ascii="宋体" w:hAnsi="宋体" w:eastAsia="宋体" w:cs="宋体"/>
          <w:color w:val="auto"/>
        </w:rPr>
      </w:pPr>
    </w:p>
    <w:p>
      <w:pPr>
        <w:pStyle w:val="4"/>
        <w:spacing w:after="500" w:line="262" w:lineRule="auto"/>
        <w:ind w:left="0" w:right="0" w:firstLine="0"/>
        <w:rPr>
          <w:rFonts w:ascii="宋体" w:hAnsi="宋体" w:eastAsia="宋体" w:cs="宋体"/>
          <w:b/>
          <w:color w:val="auto"/>
          <w:sz w:val="32"/>
        </w:rPr>
        <w:sectPr>
          <w:footerReference r:id="rId6" w:type="default"/>
          <w:pgSz w:w="11907" w:h="16840"/>
          <w:pgMar w:top="1446" w:right="1134" w:bottom="1469" w:left="1134" w:header="720" w:footer="720" w:gutter="0"/>
          <w:cols w:space="720" w:num="1"/>
        </w:sectPr>
      </w:pPr>
      <w:bookmarkStart w:id="9" w:name="_Toc508788611"/>
      <w:bookmarkStart w:id="10" w:name="_Toc508382094"/>
    </w:p>
    <w:p>
      <w:pPr>
        <w:pStyle w:val="4"/>
        <w:spacing w:after="500" w:line="262" w:lineRule="auto"/>
        <w:ind w:left="-5" w:right="0"/>
        <w:rPr>
          <w:rFonts w:ascii="宋体" w:hAnsi="宋体" w:eastAsia="宋体" w:cs="宋体"/>
          <w:color w:val="auto"/>
        </w:rPr>
      </w:pPr>
      <w:bookmarkStart w:id="11" w:name="_Toc142406576"/>
      <w:r>
        <w:rPr>
          <w:rFonts w:hint="eastAsia" w:ascii="宋体" w:hAnsi="宋体" w:eastAsia="宋体" w:cs="宋体"/>
          <w:b/>
          <w:color w:val="auto"/>
          <w:sz w:val="32"/>
        </w:rPr>
        <w:t xml:space="preserve">1. </w:t>
      </w:r>
      <w:r>
        <w:rPr>
          <w:rFonts w:hint="eastAsia" w:ascii="宋体" w:hAnsi="宋体" w:eastAsia="宋体" w:cs="宋体"/>
          <w:color w:val="auto"/>
          <w:sz w:val="32"/>
        </w:rPr>
        <w:t>总则</w:t>
      </w:r>
      <w:bookmarkEnd w:id="9"/>
      <w:bookmarkEnd w:id="10"/>
      <w:bookmarkEnd w:id="11"/>
    </w:p>
    <w:p>
      <w:pPr>
        <w:pStyle w:val="5"/>
        <w:spacing w:after="283"/>
        <w:ind w:left="132" w:right="0"/>
        <w:rPr>
          <w:rFonts w:ascii="宋体" w:hAnsi="宋体" w:eastAsia="宋体" w:cs="宋体"/>
          <w:color w:val="auto"/>
        </w:rPr>
      </w:pPr>
      <w:bookmarkStart w:id="12" w:name="_Toc142406577"/>
      <w:bookmarkStart w:id="13" w:name="_Toc508382095"/>
      <w:bookmarkStart w:id="14" w:name="_Toc508788612"/>
      <w:r>
        <w:rPr>
          <w:rFonts w:hint="eastAsia" w:ascii="宋体" w:hAnsi="宋体" w:eastAsia="宋体" w:cs="宋体"/>
          <w:color w:val="auto"/>
        </w:rPr>
        <w:t>1.1 招标项目概况</w:t>
      </w:r>
      <w:bookmarkEnd w:id="12"/>
      <w:bookmarkEnd w:id="13"/>
      <w:bookmarkEnd w:id="14"/>
    </w:p>
    <w:p>
      <w:pPr>
        <w:spacing w:after="0" w:line="372" w:lineRule="auto"/>
        <w:ind w:right="103" w:firstLine="420"/>
        <w:rPr>
          <w:rFonts w:ascii="宋体" w:hAnsi="宋体" w:eastAsia="宋体" w:cs="宋体"/>
        </w:rPr>
      </w:pPr>
      <w:r>
        <w:rPr>
          <w:rFonts w:hint="eastAsia" w:ascii="宋体" w:hAnsi="宋体" w:eastAsia="宋体" w:cs="宋体"/>
          <w:color w:val="auto"/>
          <w:sz w:val="21"/>
        </w:rPr>
        <w:t>1.1.1 根据《中华人民共和国招标投标法》、《中华人民共和国招标投标法实施条例》等有关法律、法规和规章的规定，本招标项目已具备招标条件，</w:t>
      </w:r>
      <w:r>
        <w:rPr>
          <w:rFonts w:hint="eastAsia" w:ascii="宋体" w:hAnsi="宋体" w:eastAsia="宋体" w:cs="宋体"/>
          <w:sz w:val="21"/>
        </w:rPr>
        <w:t>现对检测</w:t>
      </w:r>
      <w:r>
        <w:rPr>
          <w:rFonts w:hint="eastAsia" w:ascii="宋体" w:hAnsi="宋体" w:cs="宋体"/>
          <w:sz w:val="21"/>
          <w:szCs w:val="21"/>
        </w:rPr>
        <w:t>、监测</w:t>
      </w:r>
      <w:r>
        <w:rPr>
          <w:rFonts w:hint="eastAsia" w:ascii="宋体" w:hAnsi="宋体" w:eastAsia="宋体" w:cs="宋体"/>
          <w:sz w:val="21"/>
        </w:rPr>
        <w:t xml:space="preserve">进行招标。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1.1.2 招标人：见投标人须知前附表。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1.1.3 招标代理机构：见投标人须知前附表。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1.1.4 招标项目名称：见投标人须知前附表。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1.1.5 项目建设地点：见投标人须知前附表。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1.1.6 项目建设规模：见投标人须知前附表。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1.1.7 工程项目施工预计开工日期和建设周期：见投标人须知前附表。 </w:t>
      </w:r>
    </w:p>
    <w:p>
      <w:pPr>
        <w:spacing w:after="342" w:line="265" w:lineRule="auto"/>
        <w:ind w:left="417" w:right="103" w:hanging="10"/>
        <w:rPr>
          <w:rFonts w:ascii="宋体" w:hAnsi="宋体" w:eastAsia="宋体" w:cs="宋体"/>
        </w:rPr>
      </w:pPr>
      <w:r>
        <w:rPr>
          <w:rFonts w:hint="eastAsia" w:ascii="宋体" w:hAnsi="宋体" w:eastAsia="宋体" w:cs="宋体"/>
          <w:sz w:val="21"/>
        </w:rPr>
        <w:t xml:space="preserve">1.1.8 建筑安装工程费/工程概算：见投标人须知前附表。 </w:t>
      </w:r>
    </w:p>
    <w:p>
      <w:pPr>
        <w:pStyle w:val="5"/>
        <w:spacing w:after="286"/>
        <w:ind w:left="132" w:right="0"/>
        <w:rPr>
          <w:rFonts w:ascii="宋体" w:hAnsi="宋体" w:eastAsia="宋体" w:cs="宋体"/>
        </w:rPr>
      </w:pPr>
      <w:bookmarkStart w:id="15" w:name="_Toc142406578"/>
      <w:bookmarkStart w:id="16" w:name="_Toc508788613"/>
      <w:bookmarkStart w:id="17" w:name="_Toc508382096"/>
      <w:r>
        <w:rPr>
          <w:rFonts w:hint="eastAsia" w:ascii="宋体" w:hAnsi="宋体" w:eastAsia="宋体" w:cs="宋体"/>
        </w:rPr>
        <w:t>1.2 招标项目的资金来源和落实情况</w:t>
      </w:r>
      <w:bookmarkEnd w:id="15"/>
      <w:bookmarkEnd w:id="16"/>
      <w:bookmarkEnd w:id="17"/>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1.2.1 资金来源及比例：见投标人须知前附表。 </w:t>
      </w:r>
    </w:p>
    <w:p>
      <w:pPr>
        <w:spacing w:after="342" w:line="265" w:lineRule="auto"/>
        <w:ind w:left="417" w:right="103" w:hanging="10"/>
        <w:rPr>
          <w:rFonts w:ascii="宋体" w:hAnsi="宋体" w:eastAsia="宋体" w:cs="宋体"/>
        </w:rPr>
      </w:pPr>
      <w:r>
        <w:rPr>
          <w:rFonts w:hint="eastAsia" w:ascii="宋体" w:hAnsi="宋体" w:eastAsia="宋体" w:cs="宋体"/>
          <w:sz w:val="21"/>
        </w:rPr>
        <w:t xml:space="preserve">1.2.2 资金落实情况：见投标人须知前附表。 </w:t>
      </w:r>
    </w:p>
    <w:p>
      <w:pPr>
        <w:pStyle w:val="5"/>
        <w:spacing w:after="293"/>
        <w:ind w:left="132" w:right="0"/>
        <w:rPr>
          <w:rFonts w:ascii="宋体" w:hAnsi="宋体" w:eastAsia="宋体" w:cs="宋体"/>
        </w:rPr>
      </w:pPr>
      <w:bookmarkStart w:id="18" w:name="_Toc508382097"/>
      <w:bookmarkStart w:id="19" w:name="_Toc508788614"/>
      <w:bookmarkStart w:id="20" w:name="_Toc142406579"/>
      <w:r>
        <w:rPr>
          <w:rFonts w:hint="eastAsia" w:ascii="宋体" w:hAnsi="宋体" w:eastAsia="宋体" w:cs="宋体"/>
        </w:rPr>
        <w:t>1.3 招标范围、检测、监测服务期限和质量标准</w:t>
      </w:r>
      <w:bookmarkEnd w:id="18"/>
      <w:bookmarkEnd w:id="19"/>
      <w:bookmarkEnd w:id="20"/>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1.3.1 招标范围：见投标人须知前附表。 </w:t>
      </w:r>
    </w:p>
    <w:p>
      <w:pPr>
        <w:spacing w:after="123" w:line="265" w:lineRule="auto"/>
        <w:ind w:left="417" w:right="103" w:hanging="10"/>
        <w:rPr>
          <w:rFonts w:ascii="宋体" w:hAnsi="宋体" w:eastAsia="宋体" w:cs="宋体"/>
        </w:rPr>
      </w:pPr>
      <w:r>
        <w:rPr>
          <w:rFonts w:hint="eastAsia" w:ascii="宋体" w:hAnsi="宋体" w:eastAsia="宋体" w:cs="宋体"/>
          <w:sz w:val="21"/>
        </w:rPr>
        <w:t>1.3.2 检测</w:t>
      </w:r>
      <w:r>
        <w:rPr>
          <w:rFonts w:hint="eastAsia" w:ascii="宋体" w:hAnsi="宋体" w:cs="宋体"/>
          <w:sz w:val="21"/>
          <w:szCs w:val="21"/>
        </w:rPr>
        <w:t>、监测</w:t>
      </w:r>
      <w:r>
        <w:rPr>
          <w:rFonts w:hint="eastAsia" w:ascii="宋体" w:hAnsi="宋体" w:eastAsia="宋体" w:cs="宋体"/>
          <w:sz w:val="21"/>
        </w:rPr>
        <w:t xml:space="preserve">服务期限：见投标人须知前附表。 </w:t>
      </w:r>
    </w:p>
    <w:p>
      <w:pPr>
        <w:spacing w:after="341" w:line="265" w:lineRule="auto"/>
        <w:ind w:left="417" w:right="103" w:hanging="10"/>
        <w:rPr>
          <w:rFonts w:ascii="宋体" w:hAnsi="宋体" w:eastAsia="宋体" w:cs="宋体"/>
        </w:rPr>
      </w:pPr>
      <w:r>
        <w:rPr>
          <w:rFonts w:hint="eastAsia" w:ascii="宋体" w:hAnsi="宋体" w:eastAsia="宋体" w:cs="宋体"/>
          <w:sz w:val="21"/>
        </w:rPr>
        <w:t xml:space="preserve">1.3.3 质量标准：见投标人须知前附表。 </w:t>
      </w:r>
    </w:p>
    <w:p>
      <w:pPr>
        <w:pStyle w:val="5"/>
        <w:spacing w:after="292"/>
        <w:ind w:left="132" w:right="0"/>
        <w:rPr>
          <w:rFonts w:ascii="宋体" w:hAnsi="宋体" w:eastAsia="宋体" w:cs="宋体"/>
        </w:rPr>
      </w:pPr>
      <w:bookmarkStart w:id="21" w:name="_Toc508788615"/>
      <w:bookmarkStart w:id="22" w:name="_Toc142406580"/>
      <w:bookmarkStart w:id="23" w:name="_Toc508382098"/>
      <w:r>
        <w:rPr>
          <w:rFonts w:hint="eastAsia" w:ascii="宋体" w:hAnsi="宋体" w:eastAsia="宋体" w:cs="宋体"/>
        </w:rPr>
        <w:t>1.4 投标人资格要求</w:t>
      </w:r>
      <w:bookmarkEnd w:id="21"/>
      <w:bookmarkEnd w:id="22"/>
      <w:bookmarkEnd w:id="23"/>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1.4.1 投标人应具备承担本招标项目资质条件、能力和信誉：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资质要求：见投标人须知前附表；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财务要求：见投标人须知前附表；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业绩要求：见投标人须知前附表；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信誉要求：见投标人须知前附表； </w:t>
      </w:r>
    </w:p>
    <w:p>
      <w:pPr>
        <w:numPr>
          <w:ilvl w:val="0"/>
          <w:numId w:val="1"/>
        </w:numPr>
        <w:spacing w:after="123" w:line="369" w:lineRule="auto"/>
        <w:ind w:right="103" w:firstLine="314"/>
        <w:rPr>
          <w:rFonts w:ascii="宋体" w:hAnsi="宋体" w:eastAsia="宋体" w:cs="宋体"/>
          <w:color w:val="auto"/>
        </w:rPr>
      </w:pPr>
      <w:r>
        <w:rPr>
          <w:rFonts w:hint="eastAsia" w:ascii="宋体" w:hAnsi="宋体" w:eastAsia="宋体" w:cs="宋体"/>
          <w:color w:val="auto"/>
          <w:sz w:val="21"/>
        </w:rPr>
        <w:t xml:space="preserve">项目负责人的资格要求：见投标人须知前附表；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其他主要人员要求：见投标人须知前附表。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试验检测</w:t>
      </w:r>
      <w:r>
        <w:rPr>
          <w:rFonts w:hint="eastAsia" w:ascii="宋体" w:hAnsi="宋体" w:cs="宋体"/>
          <w:sz w:val="21"/>
          <w:szCs w:val="21"/>
        </w:rPr>
        <w:t>、监测</w:t>
      </w:r>
      <w:r>
        <w:rPr>
          <w:rFonts w:hint="eastAsia" w:ascii="宋体" w:hAnsi="宋体" w:eastAsia="宋体" w:cs="宋体"/>
          <w:sz w:val="21"/>
        </w:rPr>
        <w:t>仪器设备要求：</w:t>
      </w:r>
      <w:r>
        <w:rPr>
          <w:rFonts w:hint="eastAsia" w:ascii="宋体" w:hAnsi="宋体" w:eastAsia="宋体" w:cs="宋体"/>
          <w:color w:val="auto"/>
          <w:sz w:val="21"/>
        </w:rPr>
        <w:t xml:space="preserve">见投标人须知前附表。 </w:t>
      </w:r>
    </w:p>
    <w:p>
      <w:pPr>
        <w:numPr>
          <w:ilvl w:val="0"/>
          <w:numId w:val="1"/>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其他要求：见投标人须知前附表。 </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需要提交的相关证明材料见本章第 3.5 款的规定。 </w:t>
      </w:r>
    </w:p>
    <w:p>
      <w:pPr>
        <w:spacing w:after="0" w:line="371" w:lineRule="auto"/>
        <w:ind w:right="103" w:firstLine="420"/>
        <w:rPr>
          <w:rFonts w:ascii="宋体" w:hAnsi="宋体" w:eastAsia="宋体" w:cs="宋体"/>
          <w:color w:val="auto"/>
        </w:rPr>
      </w:pPr>
      <w:r>
        <w:rPr>
          <w:rFonts w:hint="eastAsia" w:ascii="宋体" w:hAnsi="宋体" w:eastAsia="宋体" w:cs="宋体"/>
          <w:color w:val="auto"/>
          <w:sz w:val="21"/>
        </w:rPr>
        <w:t xml:space="preserve">1.4.2 投标人须知前附表规定接受联合体投标的，联合体除应符合本章第 1.4.1 项和投标人须知前附表的要求外，还应遵守以下规定： </w:t>
      </w:r>
    </w:p>
    <w:p>
      <w:pPr>
        <w:numPr>
          <w:ilvl w:val="0"/>
          <w:numId w:val="2"/>
        </w:numPr>
        <w:spacing w:after="0" w:line="370" w:lineRule="auto"/>
        <w:ind w:right="103" w:firstLine="314"/>
        <w:rPr>
          <w:rFonts w:ascii="宋体" w:hAnsi="宋体" w:eastAsia="宋体" w:cs="宋体"/>
          <w:color w:val="auto"/>
        </w:rPr>
      </w:pPr>
      <w:r>
        <w:rPr>
          <w:rFonts w:hint="eastAsia" w:ascii="宋体" w:hAnsi="宋体" w:eastAsia="宋体" w:cs="宋体"/>
          <w:color w:val="auto"/>
          <w:sz w:val="21"/>
        </w:rPr>
        <w:t xml:space="preserve">联合体各方应按招标文件提供的格式签订联合体协议书，明确联合体牵头人和各方权利义务，并承诺就中标项目向招标人承担连带责任； </w:t>
      </w:r>
    </w:p>
    <w:p>
      <w:pPr>
        <w:numPr>
          <w:ilvl w:val="0"/>
          <w:numId w:val="2"/>
        </w:numPr>
        <w:spacing w:after="123" w:line="265" w:lineRule="auto"/>
        <w:ind w:right="103" w:firstLine="314"/>
        <w:rPr>
          <w:rFonts w:ascii="宋体" w:hAnsi="宋体" w:eastAsia="宋体" w:cs="宋体"/>
          <w:color w:val="auto"/>
        </w:rPr>
      </w:pPr>
      <w:r>
        <w:rPr>
          <w:rFonts w:hint="eastAsia" w:ascii="宋体" w:hAnsi="宋体" w:eastAsia="宋体" w:cs="宋体"/>
          <w:color w:val="auto"/>
          <w:sz w:val="21"/>
        </w:rPr>
        <w:t xml:space="preserve">由同一专业的单位组成的联合体，按照资质等级较低的单位确定资质等级； </w:t>
      </w:r>
    </w:p>
    <w:p>
      <w:pPr>
        <w:numPr>
          <w:ilvl w:val="0"/>
          <w:numId w:val="2"/>
        </w:numPr>
        <w:spacing w:after="0" w:line="369" w:lineRule="auto"/>
        <w:ind w:right="103" w:firstLine="314"/>
        <w:rPr>
          <w:rFonts w:ascii="宋体" w:hAnsi="宋体" w:eastAsia="宋体" w:cs="宋体"/>
          <w:color w:val="auto"/>
        </w:rPr>
      </w:pPr>
      <w:r>
        <w:rPr>
          <w:rFonts w:hint="eastAsia" w:ascii="宋体" w:hAnsi="宋体" w:eastAsia="宋体" w:cs="宋体"/>
          <w:color w:val="auto"/>
          <w:sz w:val="21"/>
        </w:rPr>
        <w:t xml:space="preserve">联合体各方不得再以自己名义单独或参加其他联合体在本招标项目中投标，否则各相关投标均无效。 </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1.4.3 投标人不得存在下列情形之一：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为招标人不具有独立法人资格的附属机构（单位）；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与招标人存在利害关系且可能影响招标公正性；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与本招标项目的其他投标人为同一个单位负责人；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与本招标项目的其他投标人存在控股、管理关系；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为本招标项目的代建人；</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为本招标项目的监理人；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为本招标项目的招标代理机构；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与本招标项目的代建人或监理人或招标代理机构同为一个法定代表人；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与本招标项目的代建人或监理人或招标代理机构存在控股或参股关系； </w:t>
      </w:r>
    </w:p>
    <w:p>
      <w:pPr>
        <w:numPr>
          <w:ilvl w:val="0"/>
          <w:numId w:val="3"/>
        </w:num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与本招标项目的施工承包人以及建筑材料、建筑构配件和设备供应商有隶属关系或者其他利害关系；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被依法暂停或者取消投标资格；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被责令停产停业、暂扣或者吊销许可证、暂扣或者吊销执照；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进入清算程序，或被宣告破产，或其他丧失履约能力的情形； </w:t>
      </w:r>
    </w:p>
    <w:p>
      <w:pPr>
        <w:numPr>
          <w:ilvl w:val="0"/>
          <w:numId w:val="3"/>
        </w:numPr>
        <w:spacing w:after="2" w:line="367" w:lineRule="auto"/>
        <w:ind w:right="103" w:firstLine="420"/>
        <w:rPr>
          <w:rFonts w:ascii="宋体" w:hAnsi="宋体" w:eastAsia="宋体" w:cs="宋体"/>
        </w:rPr>
      </w:pPr>
      <w:r>
        <w:rPr>
          <w:rFonts w:hint="eastAsia" w:ascii="宋体" w:hAnsi="宋体" w:eastAsia="宋体" w:cs="宋体"/>
          <w:color w:val="auto"/>
          <w:sz w:val="21"/>
        </w:rPr>
        <w:t>在最近三年内发生重大</w:t>
      </w:r>
      <w:r>
        <w:rPr>
          <w:rFonts w:hint="eastAsia" w:ascii="宋体" w:hAnsi="宋体" w:eastAsia="宋体" w:cs="宋体"/>
          <w:sz w:val="21"/>
        </w:rPr>
        <w:t>检测</w:t>
      </w:r>
      <w:r>
        <w:rPr>
          <w:rFonts w:hint="eastAsia" w:ascii="宋体" w:hAnsi="宋体" w:cs="宋体"/>
          <w:sz w:val="21"/>
          <w:szCs w:val="21"/>
        </w:rPr>
        <w:t>、监测</w:t>
      </w:r>
      <w:r>
        <w:rPr>
          <w:rFonts w:hint="eastAsia" w:ascii="宋体" w:hAnsi="宋体" w:eastAsia="宋体" w:cs="宋体"/>
          <w:sz w:val="21"/>
        </w:rPr>
        <w:t xml:space="preserve">质量问题； </w:t>
      </w:r>
    </w:p>
    <w:p>
      <w:pPr>
        <w:numPr>
          <w:ilvl w:val="0"/>
          <w:numId w:val="3"/>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被工商行政管理机关在全国企业信用信息公示系统中列入严重违法失信企业名单； </w:t>
      </w:r>
    </w:p>
    <w:p>
      <w:pPr>
        <w:numPr>
          <w:ilvl w:val="0"/>
          <w:numId w:val="3"/>
        </w:numPr>
        <w:spacing w:after="123" w:line="265" w:lineRule="auto"/>
        <w:ind w:right="103" w:firstLine="420"/>
        <w:rPr>
          <w:rFonts w:ascii="宋体" w:hAnsi="宋体" w:eastAsia="宋体" w:cs="宋体"/>
          <w:color w:val="auto"/>
          <w:sz w:val="21"/>
        </w:rPr>
      </w:pPr>
      <w:r>
        <w:rPr>
          <w:rFonts w:ascii="宋体" w:hAnsi="宋体" w:eastAsia="宋体" w:cs="宋体"/>
          <w:color w:val="auto"/>
          <w:sz w:val="21"/>
        </w:rPr>
        <w:t>未被纳入失信联合惩戒名单且被限制参加建设工程的投标（具体名单以递交投标文件截止时间“信用广州”https://credit1.gz.gov.cn/sgs/sgsXkNew公布的“失信黑名单”为准，不包含限制参加财政投资工程或政府投资工程的投标）</w:t>
      </w:r>
      <w:r>
        <w:rPr>
          <w:rFonts w:hint="eastAsia" w:ascii="宋体" w:hAnsi="宋体" w:eastAsia="宋体" w:cs="宋体"/>
          <w:color w:val="auto"/>
          <w:sz w:val="21"/>
        </w:rPr>
        <w:t xml:space="preserve"> </w:t>
      </w:r>
    </w:p>
    <w:p>
      <w:pPr>
        <w:spacing w:after="346" w:line="369" w:lineRule="auto"/>
        <w:ind w:left="827" w:right="103"/>
        <w:rPr>
          <w:rFonts w:ascii="宋体" w:hAnsi="宋体" w:eastAsia="宋体" w:cs="宋体"/>
          <w:color w:val="auto"/>
        </w:rPr>
      </w:pPr>
      <w:r>
        <w:rPr>
          <w:rFonts w:hint="eastAsia" w:ascii="宋体" w:hAnsi="宋体" w:eastAsia="宋体" w:cs="宋体"/>
          <w:color w:val="auto"/>
          <w:sz w:val="21"/>
        </w:rPr>
        <w:t xml:space="preserve">（17）在近三年内投标人或其法定代表人、拟委任的项目负责人有行贿犯罪行为的。 </w:t>
      </w:r>
    </w:p>
    <w:p>
      <w:pPr>
        <w:pStyle w:val="5"/>
        <w:tabs>
          <w:tab w:val="left" w:pos="5160"/>
        </w:tabs>
        <w:spacing w:after="282"/>
        <w:ind w:left="132" w:right="0"/>
        <w:rPr>
          <w:rFonts w:ascii="宋体" w:hAnsi="宋体" w:eastAsia="宋体" w:cs="宋体"/>
          <w:color w:val="auto"/>
        </w:rPr>
      </w:pPr>
      <w:bookmarkStart w:id="24" w:name="_Toc508382099"/>
      <w:bookmarkStart w:id="25" w:name="_Toc142406581"/>
      <w:bookmarkStart w:id="26" w:name="_Toc508788616"/>
      <w:r>
        <w:rPr>
          <w:rFonts w:hint="eastAsia" w:ascii="宋体" w:hAnsi="宋体" w:eastAsia="宋体" w:cs="宋体"/>
          <w:color w:val="auto"/>
        </w:rPr>
        <w:t>1.5 费用承担</w:t>
      </w:r>
      <w:bookmarkEnd w:id="24"/>
      <w:bookmarkEnd w:id="25"/>
      <w:bookmarkEnd w:id="26"/>
      <w:r>
        <w:rPr>
          <w:rFonts w:hint="eastAsia" w:ascii="宋体" w:hAnsi="宋体" w:eastAsia="宋体" w:cs="宋体"/>
          <w:color w:val="auto"/>
        </w:rPr>
        <w:tab/>
      </w:r>
    </w:p>
    <w:p>
      <w:pPr>
        <w:spacing w:after="338" w:line="265" w:lineRule="auto"/>
        <w:ind w:left="417" w:right="103" w:hanging="10"/>
        <w:rPr>
          <w:rFonts w:ascii="宋体" w:hAnsi="宋体" w:eastAsia="宋体" w:cs="宋体"/>
          <w:color w:val="auto"/>
          <w:sz w:val="21"/>
        </w:rPr>
      </w:pPr>
      <w:r>
        <w:rPr>
          <w:rFonts w:hint="eastAsia" w:ascii="宋体" w:hAnsi="宋体" w:eastAsia="宋体" w:cs="宋体"/>
          <w:color w:val="auto"/>
          <w:sz w:val="21"/>
        </w:rPr>
        <w:t xml:space="preserve">投标人准备和参加投标活动发生的费用自理。 </w:t>
      </w:r>
    </w:p>
    <w:p>
      <w:pPr>
        <w:pStyle w:val="5"/>
        <w:spacing w:after="286" w:line="259" w:lineRule="auto"/>
        <w:ind w:left="132" w:right="0"/>
        <w:rPr>
          <w:rFonts w:ascii="宋体" w:hAnsi="宋体" w:eastAsia="宋体" w:cs="宋体"/>
          <w:color w:val="auto"/>
        </w:rPr>
      </w:pPr>
      <w:bookmarkStart w:id="27" w:name="_Toc508788617"/>
      <w:bookmarkStart w:id="28" w:name="_Toc508382100"/>
      <w:bookmarkStart w:id="29" w:name="_Toc142406582"/>
      <w:r>
        <w:rPr>
          <w:rFonts w:hint="eastAsia" w:ascii="宋体" w:hAnsi="宋体" w:eastAsia="宋体" w:cs="宋体"/>
          <w:color w:val="auto"/>
        </w:rPr>
        <w:t>1.6 保密</w:t>
      </w:r>
      <w:bookmarkEnd w:id="27"/>
      <w:bookmarkEnd w:id="28"/>
      <w:bookmarkEnd w:id="29"/>
    </w:p>
    <w:p>
      <w:pPr>
        <w:spacing w:after="235" w:line="356" w:lineRule="auto"/>
        <w:ind w:right="103" w:firstLine="420"/>
        <w:rPr>
          <w:rFonts w:ascii="宋体" w:hAnsi="宋体" w:eastAsia="宋体" w:cs="宋体"/>
          <w:color w:val="auto"/>
        </w:rPr>
      </w:pPr>
      <w:r>
        <w:rPr>
          <w:rFonts w:hint="eastAsia" w:ascii="宋体" w:hAnsi="宋体" w:eastAsia="宋体" w:cs="宋体"/>
          <w:color w:val="auto"/>
          <w:sz w:val="21"/>
        </w:rPr>
        <w:t xml:space="preserve">参与招标投标活动的各方应对招标文件和投标文件中的商业和技术等秘密保密，否则应承担相应的法律责任。 </w:t>
      </w:r>
    </w:p>
    <w:p>
      <w:pPr>
        <w:pStyle w:val="5"/>
        <w:spacing w:after="282"/>
        <w:ind w:left="132" w:right="0"/>
        <w:rPr>
          <w:rFonts w:ascii="宋体" w:hAnsi="宋体" w:eastAsia="宋体" w:cs="宋体"/>
          <w:color w:val="auto"/>
        </w:rPr>
      </w:pPr>
      <w:bookmarkStart w:id="30" w:name="_Toc508382101"/>
      <w:bookmarkStart w:id="31" w:name="_Toc508788618"/>
      <w:bookmarkStart w:id="32" w:name="_Toc142406583"/>
      <w:r>
        <w:rPr>
          <w:rFonts w:hint="eastAsia" w:ascii="宋体" w:hAnsi="宋体" w:eastAsia="宋体" w:cs="宋体"/>
          <w:color w:val="auto"/>
        </w:rPr>
        <w:t>1.7 语言文字</w:t>
      </w:r>
      <w:bookmarkEnd w:id="30"/>
      <w:bookmarkEnd w:id="31"/>
      <w:bookmarkEnd w:id="32"/>
    </w:p>
    <w:p>
      <w:pPr>
        <w:spacing w:after="339"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招标投标文件使用的语言文字为中文。专用术语使用外文的，应附有中文注释。 </w:t>
      </w:r>
    </w:p>
    <w:p>
      <w:pPr>
        <w:pStyle w:val="5"/>
        <w:spacing w:after="290"/>
        <w:ind w:left="132" w:right="0"/>
        <w:rPr>
          <w:rFonts w:ascii="宋体" w:hAnsi="宋体" w:eastAsia="宋体" w:cs="宋体"/>
          <w:color w:val="auto"/>
        </w:rPr>
      </w:pPr>
      <w:bookmarkStart w:id="33" w:name="_Toc508382102"/>
      <w:bookmarkStart w:id="34" w:name="_Toc508788619"/>
      <w:bookmarkStart w:id="35" w:name="_Toc142406584"/>
      <w:r>
        <w:rPr>
          <w:rFonts w:hint="eastAsia" w:ascii="宋体" w:hAnsi="宋体" w:eastAsia="宋体" w:cs="宋体"/>
          <w:color w:val="auto"/>
        </w:rPr>
        <w:t>1.8 计量单位</w:t>
      </w:r>
      <w:bookmarkEnd w:id="33"/>
      <w:bookmarkEnd w:id="34"/>
      <w:bookmarkEnd w:id="35"/>
    </w:p>
    <w:p>
      <w:pPr>
        <w:spacing w:after="342"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所有计量均采用中华人民共和国法定计量单位。 </w:t>
      </w:r>
    </w:p>
    <w:p>
      <w:pPr>
        <w:pStyle w:val="5"/>
        <w:spacing w:after="282"/>
        <w:ind w:left="132" w:right="0"/>
        <w:rPr>
          <w:rFonts w:ascii="宋体" w:hAnsi="宋体" w:eastAsia="宋体" w:cs="宋体"/>
          <w:color w:val="auto"/>
        </w:rPr>
      </w:pPr>
      <w:bookmarkStart w:id="36" w:name="_Toc508382103"/>
      <w:bookmarkStart w:id="37" w:name="_Toc142406585"/>
      <w:bookmarkStart w:id="38" w:name="_Toc508788620"/>
      <w:r>
        <w:rPr>
          <w:rFonts w:hint="eastAsia" w:ascii="宋体" w:hAnsi="宋体" w:eastAsia="宋体" w:cs="宋体"/>
          <w:color w:val="auto"/>
        </w:rPr>
        <w:t>1.9 踏勘现场</w:t>
      </w:r>
      <w:bookmarkEnd w:id="36"/>
      <w:bookmarkEnd w:id="37"/>
      <w:bookmarkEnd w:id="38"/>
    </w:p>
    <w:p>
      <w:pPr>
        <w:spacing w:after="123" w:line="265" w:lineRule="auto"/>
        <w:ind w:right="103" w:firstLine="407"/>
        <w:rPr>
          <w:rFonts w:ascii="宋体" w:hAnsi="宋体" w:eastAsia="宋体" w:cs="宋体"/>
          <w:color w:val="auto"/>
        </w:rPr>
      </w:pPr>
      <w:r>
        <w:rPr>
          <w:rFonts w:hint="eastAsia" w:ascii="宋体" w:hAnsi="宋体" w:eastAsia="宋体" w:cs="宋体"/>
          <w:color w:val="auto"/>
          <w:sz w:val="21"/>
        </w:rPr>
        <w:t xml:space="preserve">1.9.1 投标人须知前附表规定组织踏勘现场的，招标人按投标人须知前附表规定的时间、地点组织投标人踏勘项目现场。部分投标人未按时参加踏勘现场的，不影响踏勘现场的正常进行。 </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1.9.2 投标人踏勘现场发生的费用自理。 </w:t>
      </w:r>
    </w:p>
    <w:p>
      <w:pPr>
        <w:spacing w:after="123" w:line="265" w:lineRule="auto"/>
        <w:ind w:right="103" w:firstLine="407"/>
        <w:rPr>
          <w:rFonts w:ascii="宋体" w:hAnsi="宋体" w:eastAsia="宋体" w:cs="宋体"/>
          <w:color w:val="auto"/>
        </w:rPr>
      </w:pPr>
      <w:r>
        <w:rPr>
          <w:rFonts w:hint="eastAsia" w:ascii="宋体" w:hAnsi="宋体" w:eastAsia="宋体" w:cs="宋体"/>
          <w:color w:val="auto"/>
          <w:sz w:val="21"/>
        </w:rPr>
        <w:t xml:space="preserve">1.9.3 除招标人的原因外，投标人自行负责在踏勘现场中所发生的人员伤亡和财产损失。 </w:t>
      </w:r>
    </w:p>
    <w:p>
      <w:pPr>
        <w:spacing w:after="223" w:line="367" w:lineRule="auto"/>
        <w:ind w:right="103" w:firstLine="420"/>
        <w:rPr>
          <w:rFonts w:ascii="宋体" w:hAnsi="宋体" w:eastAsia="宋体" w:cs="宋体"/>
          <w:color w:val="auto"/>
        </w:rPr>
      </w:pPr>
      <w:r>
        <w:rPr>
          <w:rFonts w:hint="eastAsia" w:ascii="宋体" w:hAnsi="宋体" w:eastAsia="宋体" w:cs="宋体"/>
          <w:color w:val="auto"/>
          <w:sz w:val="21"/>
        </w:rPr>
        <w:t xml:space="preserve">1.9.4 招标人在踏勘现场中介绍的工程场地和相关的周边环境情况，供投标人在编制投标文件时参考，招标人不对投标人据此作出的判断和决策负责。 </w:t>
      </w:r>
    </w:p>
    <w:p>
      <w:pPr>
        <w:pStyle w:val="5"/>
        <w:spacing w:after="290"/>
        <w:ind w:left="132" w:right="0"/>
        <w:rPr>
          <w:rFonts w:ascii="宋体" w:hAnsi="宋体" w:eastAsia="宋体" w:cs="宋体"/>
          <w:color w:val="auto"/>
        </w:rPr>
      </w:pPr>
      <w:bookmarkStart w:id="39" w:name="_Toc142406586"/>
      <w:bookmarkStart w:id="40" w:name="_Toc508382104"/>
      <w:bookmarkStart w:id="41" w:name="_Toc508788621"/>
      <w:r>
        <w:rPr>
          <w:rFonts w:hint="eastAsia" w:ascii="宋体" w:hAnsi="宋体" w:eastAsia="宋体" w:cs="宋体"/>
          <w:color w:val="auto"/>
        </w:rPr>
        <w:t>1.10 投标预备会</w:t>
      </w:r>
      <w:bookmarkEnd w:id="39"/>
      <w:bookmarkEnd w:id="40"/>
      <w:bookmarkEnd w:id="41"/>
    </w:p>
    <w:p>
      <w:pPr>
        <w:spacing w:after="3" w:line="367" w:lineRule="auto"/>
        <w:ind w:right="103" w:firstLine="420"/>
        <w:rPr>
          <w:rFonts w:ascii="宋体" w:hAnsi="宋体" w:eastAsia="宋体" w:cs="宋体"/>
          <w:color w:val="auto"/>
        </w:rPr>
      </w:pPr>
      <w:r>
        <w:rPr>
          <w:rFonts w:hint="eastAsia" w:ascii="宋体" w:hAnsi="宋体" w:eastAsia="宋体" w:cs="宋体"/>
          <w:color w:val="auto"/>
          <w:sz w:val="21"/>
        </w:rPr>
        <w:t xml:space="preserve">1.10.1 投标人须知前附表规定召开投标预备会的，招标人按投标人须知前附表规定的时间和地点召开投标预备会，澄清投标人提出的问题。 </w:t>
      </w:r>
    </w:p>
    <w:p>
      <w:p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1.10.2 投标人应按投标人须知前附表规定的时间和形式将提出的问题送达招标人，以便招标人在会议期间澄清。 </w:t>
      </w:r>
    </w:p>
    <w:p>
      <w:pPr>
        <w:spacing w:after="123" w:line="369" w:lineRule="auto"/>
        <w:ind w:right="103" w:firstLine="420"/>
        <w:rPr>
          <w:rFonts w:ascii="宋体" w:hAnsi="宋体" w:eastAsia="宋体" w:cs="宋体"/>
          <w:color w:val="auto"/>
        </w:rPr>
      </w:pPr>
      <w:r>
        <w:rPr>
          <w:rFonts w:hint="eastAsia" w:ascii="宋体" w:hAnsi="宋体" w:eastAsia="宋体" w:cs="宋体"/>
          <w:color w:val="auto"/>
          <w:sz w:val="21"/>
        </w:rPr>
        <w:t xml:space="preserve">1.10.3 投标预备会后，招标人将对投标人所提问题的澄清，以投标人须知前附表规定的形式通知所有购买招标文件的投标人。该澄清内容为招标文件的组成部分。 </w:t>
      </w:r>
    </w:p>
    <w:p>
      <w:pPr>
        <w:pStyle w:val="5"/>
        <w:spacing w:after="286" w:line="259" w:lineRule="auto"/>
        <w:ind w:left="132" w:right="0"/>
        <w:rPr>
          <w:rFonts w:ascii="宋体" w:hAnsi="宋体" w:eastAsia="宋体" w:cs="宋体"/>
          <w:color w:val="auto"/>
        </w:rPr>
      </w:pPr>
      <w:bookmarkStart w:id="42" w:name="_Toc508382105"/>
      <w:bookmarkStart w:id="43" w:name="_Toc508788622"/>
      <w:bookmarkStart w:id="44" w:name="_Toc142406587"/>
      <w:r>
        <w:rPr>
          <w:rFonts w:hint="eastAsia" w:ascii="宋体" w:hAnsi="宋体" w:eastAsia="宋体" w:cs="宋体"/>
          <w:color w:val="auto"/>
        </w:rPr>
        <w:t>1.11 分包</w:t>
      </w:r>
      <w:bookmarkEnd w:id="42"/>
      <w:bookmarkEnd w:id="43"/>
      <w:bookmarkEnd w:id="44"/>
    </w:p>
    <w:p>
      <w:pPr>
        <w:spacing w:after="123" w:line="369" w:lineRule="auto"/>
        <w:ind w:right="103" w:firstLine="420"/>
        <w:rPr>
          <w:rFonts w:ascii="宋体" w:hAnsi="宋体" w:eastAsia="宋体" w:cs="宋体"/>
          <w:color w:val="auto"/>
          <w:sz w:val="21"/>
        </w:rPr>
      </w:pPr>
      <w:r>
        <w:rPr>
          <w:rFonts w:hint="eastAsia" w:ascii="宋体" w:hAnsi="宋体" w:eastAsia="宋体" w:cs="宋体"/>
          <w:color w:val="auto"/>
          <w:sz w:val="21"/>
        </w:rPr>
        <w:t>投标人应具备自行完成约定项目的检测监测工作的能力，除另有约定外原则上不得转包和分包。如投标人检测监测资质不能涵盖的项目，报招标人书面批准同意后，由投标方委托具有相应资质的第三方实施，投标人应对该第三方出具的结果负责，并取得相关行业管理部门的确认。</w:t>
      </w:r>
    </w:p>
    <w:p>
      <w:pPr>
        <w:pStyle w:val="5"/>
        <w:spacing w:after="290"/>
        <w:ind w:left="132" w:right="0"/>
        <w:rPr>
          <w:rFonts w:ascii="宋体" w:hAnsi="宋体" w:eastAsia="宋体" w:cs="宋体"/>
          <w:color w:val="auto"/>
        </w:rPr>
      </w:pPr>
      <w:bookmarkStart w:id="45" w:name="_Toc142406588"/>
      <w:bookmarkStart w:id="46" w:name="_Toc508788623"/>
      <w:bookmarkStart w:id="47" w:name="_Toc508382106"/>
      <w:r>
        <w:rPr>
          <w:rFonts w:hint="eastAsia" w:ascii="宋体" w:hAnsi="宋体" w:eastAsia="宋体" w:cs="宋体"/>
          <w:color w:val="auto"/>
        </w:rPr>
        <w:t>1.12 响应和偏差</w:t>
      </w:r>
      <w:bookmarkEnd w:id="45"/>
      <w:bookmarkEnd w:id="46"/>
      <w:bookmarkEnd w:id="47"/>
    </w:p>
    <w:p>
      <w:p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1.12.1投标文件应当对招标文件的实质性要求和条件作出满足性或更有利于招标人的响应，否则，投标人的投标将被否决。实质性要求和条件见投标人须知前附表。 </w:t>
      </w:r>
    </w:p>
    <w:p>
      <w:pPr>
        <w:spacing w:after="123" w:line="265" w:lineRule="auto"/>
        <w:ind w:right="103" w:firstLine="407"/>
        <w:rPr>
          <w:rFonts w:ascii="宋体" w:hAnsi="宋体" w:eastAsia="宋体" w:cs="宋体"/>
          <w:color w:val="auto"/>
        </w:rPr>
      </w:pPr>
      <w:r>
        <w:rPr>
          <w:rFonts w:hint="eastAsia" w:ascii="宋体" w:hAnsi="宋体" w:eastAsia="宋体" w:cs="宋体"/>
          <w:color w:val="auto"/>
          <w:sz w:val="21"/>
        </w:rPr>
        <w:t xml:space="preserve">1.12.2 投标人应根据招标文件的要求提供投标检测方案等内容以对招标文件作出响应。 </w:t>
      </w:r>
    </w:p>
    <w:p>
      <w:pPr>
        <w:spacing w:after="258" w:line="374" w:lineRule="auto"/>
        <w:ind w:right="103" w:firstLine="434"/>
        <w:rPr>
          <w:rFonts w:ascii="宋体" w:hAnsi="宋体" w:eastAsia="宋体" w:cs="宋体"/>
          <w:color w:val="auto"/>
        </w:rPr>
      </w:pPr>
      <w:r>
        <w:rPr>
          <w:rFonts w:hint="eastAsia" w:ascii="宋体" w:hAnsi="宋体" w:eastAsia="宋体" w:cs="宋体"/>
          <w:color w:val="auto"/>
          <w:sz w:val="21"/>
        </w:rPr>
        <w:t xml:space="preserve">1.12.3 投标人须知前附表允许投标文件偏离招标文件某些要求的，偏差应当符合招标文件规定的偏差范围和幅度。 </w:t>
      </w:r>
    </w:p>
    <w:p>
      <w:pPr>
        <w:pStyle w:val="4"/>
        <w:spacing w:after="503" w:line="264" w:lineRule="auto"/>
        <w:ind w:left="-5" w:right="0"/>
        <w:rPr>
          <w:rFonts w:ascii="宋体" w:hAnsi="宋体" w:eastAsia="宋体" w:cs="宋体"/>
          <w:color w:val="auto"/>
        </w:rPr>
      </w:pPr>
      <w:bookmarkStart w:id="48" w:name="_Toc508788624"/>
      <w:bookmarkStart w:id="49" w:name="_Toc142406589"/>
      <w:bookmarkStart w:id="50" w:name="_Toc508382107"/>
      <w:r>
        <w:rPr>
          <w:rFonts w:hint="eastAsia" w:ascii="宋体" w:hAnsi="宋体" w:eastAsia="宋体" w:cs="宋体"/>
          <w:b/>
          <w:color w:val="auto"/>
          <w:sz w:val="32"/>
        </w:rPr>
        <w:t xml:space="preserve">2. </w:t>
      </w:r>
      <w:r>
        <w:rPr>
          <w:rFonts w:hint="eastAsia" w:ascii="宋体" w:hAnsi="宋体" w:eastAsia="宋体" w:cs="宋体"/>
          <w:color w:val="auto"/>
          <w:sz w:val="32"/>
        </w:rPr>
        <w:t>招标文件</w:t>
      </w:r>
      <w:bookmarkEnd w:id="48"/>
      <w:bookmarkEnd w:id="49"/>
      <w:bookmarkEnd w:id="50"/>
    </w:p>
    <w:p>
      <w:pPr>
        <w:pStyle w:val="5"/>
        <w:spacing w:after="285"/>
        <w:ind w:left="132" w:right="0"/>
        <w:rPr>
          <w:rFonts w:ascii="宋体" w:hAnsi="宋体" w:eastAsia="宋体" w:cs="宋体"/>
          <w:color w:val="auto"/>
        </w:rPr>
      </w:pPr>
      <w:bookmarkStart w:id="51" w:name="_Toc142406590"/>
      <w:bookmarkStart w:id="52" w:name="_Toc508788625"/>
      <w:bookmarkStart w:id="53" w:name="_Toc508382108"/>
      <w:r>
        <w:rPr>
          <w:rFonts w:hint="eastAsia" w:ascii="宋体" w:hAnsi="宋体" w:eastAsia="宋体" w:cs="宋体"/>
          <w:color w:val="auto"/>
        </w:rPr>
        <w:t>2.1 招标文件的组成</w:t>
      </w:r>
      <w:bookmarkEnd w:id="51"/>
      <w:bookmarkEnd w:id="52"/>
      <w:bookmarkEnd w:id="53"/>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本招标文件包括：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招标公告（或投标邀请书）；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投标人须知；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评标办法；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合同条款及格式（另册）；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委托人要求；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投标文件格式； </w:t>
      </w:r>
    </w:p>
    <w:p>
      <w:pPr>
        <w:numPr>
          <w:ilvl w:val="0"/>
          <w:numId w:val="4"/>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投标人须知前附表规定的其他资料。 </w:t>
      </w:r>
    </w:p>
    <w:p>
      <w:pPr>
        <w:spacing w:after="214" w:line="373" w:lineRule="auto"/>
        <w:ind w:right="103" w:firstLine="420"/>
        <w:rPr>
          <w:rFonts w:ascii="宋体" w:hAnsi="宋体" w:eastAsia="宋体" w:cs="宋体"/>
          <w:color w:val="auto"/>
        </w:rPr>
      </w:pPr>
      <w:r>
        <w:rPr>
          <w:rFonts w:hint="eastAsia" w:ascii="宋体" w:hAnsi="宋体" w:eastAsia="宋体" w:cs="宋体"/>
          <w:color w:val="auto"/>
          <w:sz w:val="21"/>
        </w:rPr>
        <w:t xml:space="preserve">根据本章第 1.10 款、第 2.2 款和第 2.3 款对招标文件所作的澄清、修改，构成招标文件的组成部分。 </w:t>
      </w:r>
    </w:p>
    <w:p>
      <w:pPr>
        <w:pStyle w:val="5"/>
        <w:spacing w:after="284"/>
        <w:ind w:left="132" w:right="0"/>
        <w:rPr>
          <w:rFonts w:ascii="宋体" w:hAnsi="宋体" w:eastAsia="宋体" w:cs="宋体"/>
          <w:color w:val="auto"/>
        </w:rPr>
      </w:pPr>
      <w:bookmarkStart w:id="54" w:name="_Toc142406591"/>
      <w:bookmarkStart w:id="55" w:name="_Toc508382109"/>
      <w:bookmarkStart w:id="56" w:name="_Toc508788626"/>
      <w:r>
        <w:rPr>
          <w:rFonts w:hint="eastAsia" w:ascii="宋体" w:hAnsi="宋体" w:eastAsia="宋体" w:cs="宋体"/>
          <w:color w:val="auto"/>
        </w:rPr>
        <w:t>2.2 招标文件的澄清</w:t>
      </w:r>
      <w:bookmarkEnd w:id="54"/>
      <w:bookmarkEnd w:id="55"/>
      <w:bookmarkEnd w:id="56"/>
    </w:p>
    <w:p>
      <w:pPr>
        <w:spacing w:after="9" w:line="359" w:lineRule="auto"/>
        <w:ind w:right="103" w:firstLine="420"/>
        <w:rPr>
          <w:rFonts w:ascii="宋体" w:hAnsi="宋体" w:eastAsia="宋体" w:cs="宋体"/>
          <w:color w:val="auto"/>
        </w:rPr>
      </w:pPr>
      <w:r>
        <w:rPr>
          <w:rFonts w:hint="eastAsia" w:ascii="宋体" w:hAnsi="宋体" w:eastAsia="宋体" w:cs="宋体"/>
          <w:color w:val="auto"/>
          <w:sz w:val="21"/>
        </w:rPr>
        <w:t xml:space="preserve">2.2.1 投标人应仔细阅读和检查招标文件的全部内容。如发现缺页或附件不全，应及时向招标人提出，以便补齐。如有疑问，应按投标人须知前附表规定的时间和形式将提出的问题送达招标人，要求招标人对招标文件予以澄清。 </w:t>
      </w:r>
    </w:p>
    <w:p>
      <w:pPr>
        <w:spacing w:after="130"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 xml:space="preserve">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 </w:t>
      </w:r>
    </w:p>
    <w:p>
      <w:pPr>
        <w:spacing w:after="215" w:line="373" w:lineRule="auto"/>
        <w:ind w:right="103" w:firstLine="420"/>
        <w:rPr>
          <w:rFonts w:ascii="宋体" w:hAnsi="宋体" w:eastAsia="宋体" w:cs="宋体"/>
          <w:color w:val="auto"/>
          <w:sz w:val="21"/>
        </w:rPr>
      </w:pPr>
      <w:r>
        <w:rPr>
          <w:rFonts w:hint="eastAsia" w:ascii="宋体" w:hAnsi="宋体" w:eastAsia="宋体" w:cs="宋体"/>
          <w:color w:val="auto"/>
          <w:sz w:val="21"/>
        </w:rPr>
        <w:t>2.2.3投标人在收到澄清后，应按投标人须知前附表规定的时间和形式通知招标人，确认已收到该澄清。</w:t>
      </w:r>
    </w:p>
    <w:p>
      <w:pPr>
        <w:spacing w:after="215" w:line="373" w:lineRule="auto"/>
        <w:ind w:right="103" w:firstLine="420"/>
        <w:rPr>
          <w:rFonts w:ascii="宋体" w:hAnsi="宋体" w:eastAsia="宋体" w:cs="宋体"/>
          <w:color w:val="auto"/>
        </w:rPr>
      </w:pPr>
      <w:r>
        <w:rPr>
          <w:rFonts w:hint="eastAsia" w:ascii="宋体" w:hAnsi="宋体" w:eastAsia="宋体" w:cs="宋体"/>
          <w:color w:val="auto"/>
          <w:sz w:val="21"/>
        </w:rPr>
        <w:t xml:space="preserve">2.2.4 除非招标人认为确有必要答复，否则，招标人有权拒绝回复投标人在本章第 2.2.1 项规定的时间后的任何澄清要求。 </w:t>
      </w:r>
    </w:p>
    <w:p>
      <w:pPr>
        <w:pStyle w:val="5"/>
        <w:spacing w:after="285"/>
        <w:ind w:left="132" w:right="0"/>
        <w:rPr>
          <w:rFonts w:ascii="宋体" w:hAnsi="宋体" w:eastAsia="宋体" w:cs="宋体"/>
          <w:color w:val="auto"/>
        </w:rPr>
      </w:pPr>
      <w:bookmarkStart w:id="57" w:name="_Toc508382110"/>
      <w:bookmarkStart w:id="58" w:name="_Toc508788627"/>
      <w:bookmarkStart w:id="59" w:name="_Toc142406592"/>
      <w:r>
        <w:rPr>
          <w:rFonts w:hint="eastAsia" w:ascii="宋体" w:hAnsi="宋体" w:eastAsia="宋体" w:cs="宋体"/>
          <w:color w:val="auto"/>
        </w:rPr>
        <w:t>2.3 招标文件的修改</w:t>
      </w:r>
      <w:bookmarkEnd w:id="57"/>
      <w:bookmarkEnd w:id="58"/>
      <w:bookmarkEnd w:id="59"/>
    </w:p>
    <w:p>
      <w:pPr>
        <w:spacing w:after="5"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 xml:space="preserve">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 </w:t>
      </w:r>
    </w:p>
    <w:p>
      <w:pPr>
        <w:spacing w:after="222" w:line="369" w:lineRule="auto"/>
        <w:ind w:right="103" w:firstLine="420"/>
        <w:rPr>
          <w:rFonts w:ascii="宋体" w:hAnsi="宋体" w:eastAsia="宋体" w:cs="宋体"/>
          <w:color w:val="auto"/>
        </w:rPr>
      </w:pPr>
      <w:r>
        <w:rPr>
          <w:rFonts w:hint="eastAsia" w:ascii="宋体" w:hAnsi="宋体" w:eastAsia="宋体" w:cs="宋体"/>
          <w:color w:val="auto"/>
          <w:sz w:val="21"/>
        </w:rPr>
        <w:t>2.3.2投标人收到修改内容</w:t>
      </w:r>
      <w:bookmarkStart w:id="60" w:name="_Toc144974506"/>
      <w:bookmarkStart w:id="61" w:name="_Toc361508593"/>
      <w:bookmarkStart w:id="62" w:name="_Toc369531524"/>
      <w:bookmarkStart w:id="63" w:name="_Toc300834958"/>
      <w:bookmarkStart w:id="64" w:name="_Toc247527562"/>
      <w:bookmarkStart w:id="65" w:name="_Toc352691482"/>
      <w:bookmarkStart w:id="66" w:name="_Toc24632"/>
      <w:bookmarkStart w:id="67" w:name="_Toc247513961"/>
      <w:bookmarkStart w:id="68" w:name="_Toc152042314"/>
      <w:bookmarkStart w:id="69" w:name="_Toc152045538"/>
      <w:bookmarkStart w:id="70" w:name="_Toc384308218"/>
      <w:r>
        <w:rPr>
          <w:rFonts w:hint="eastAsia" w:ascii="宋体" w:hAnsi="宋体" w:eastAsia="宋体" w:cs="宋体"/>
          <w:color w:val="auto"/>
          <w:sz w:val="21"/>
        </w:rPr>
        <w:t>后，</w:t>
      </w:r>
      <w:bookmarkEnd w:id="60"/>
      <w:bookmarkEnd w:id="61"/>
      <w:bookmarkEnd w:id="62"/>
      <w:bookmarkEnd w:id="63"/>
      <w:bookmarkEnd w:id="64"/>
      <w:bookmarkEnd w:id="65"/>
      <w:bookmarkEnd w:id="66"/>
      <w:bookmarkEnd w:id="67"/>
      <w:bookmarkEnd w:id="68"/>
      <w:bookmarkEnd w:id="69"/>
      <w:bookmarkEnd w:id="70"/>
      <w:r>
        <w:rPr>
          <w:rFonts w:hint="eastAsia" w:ascii="宋体" w:hAnsi="宋体" w:eastAsia="宋体" w:cs="宋体"/>
          <w:color w:val="auto"/>
          <w:sz w:val="21"/>
        </w:rPr>
        <w:t xml:space="preserve">应按投标人须知前附表规定的时间和形式通知招标人，确认已收到该修改。 </w:t>
      </w:r>
    </w:p>
    <w:p>
      <w:pPr>
        <w:pStyle w:val="5"/>
        <w:spacing w:after="285"/>
        <w:ind w:left="132" w:right="0"/>
        <w:rPr>
          <w:rFonts w:ascii="宋体" w:hAnsi="宋体" w:eastAsia="宋体" w:cs="宋体"/>
          <w:color w:val="auto"/>
        </w:rPr>
      </w:pPr>
      <w:bookmarkStart w:id="71" w:name="_Toc142406593"/>
      <w:bookmarkStart w:id="72" w:name="_Toc508788628"/>
      <w:bookmarkStart w:id="73" w:name="_Toc508382111"/>
      <w:r>
        <w:rPr>
          <w:rFonts w:hint="eastAsia" w:ascii="宋体" w:hAnsi="宋体" w:eastAsia="宋体" w:cs="宋体"/>
          <w:color w:val="auto"/>
        </w:rPr>
        <w:t>2.4 招标文件的异议</w:t>
      </w:r>
      <w:bookmarkEnd w:id="71"/>
      <w:bookmarkEnd w:id="72"/>
      <w:bookmarkEnd w:id="73"/>
    </w:p>
    <w:p>
      <w:pPr>
        <w:spacing w:after="265" w:line="372" w:lineRule="auto"/>
        <w:ind w:right="103" w:firstLine="420"/>
        <w:rPr>
          <w:rFonts w:ascii="宋体" w:hAnsi="宋体" w:eastAsia="宋体" w:cs="宋体"/>
          <w:color w:val="auto"/>
        </w:rPr>
      </w:pPr>
      <w:r>
        <w:rPr>
          <w:rFonts w:hint="eastAsia" w:ascii="宋体" w:hAnsi="宋体" w:eastAsia="宋体" w:cs="宋体"/>
          <w:color w:val="auto"/>
          <w:sz w:val="21"/>
        </w:rPr>
        <w:t xml:space="preserve">投标人或者其他利害关系人对招标文件有异议的，应当在投标截止时间 10 日前以书面形式提出。招标人将在收到异议之日起 3 日内作出答复；作出答复前，将暂停招标投标活动。 </w:t>
      </w:r>
    </w:p>
    <w:p>
      <w:pPr>
        <w:pStyle w:val="4"/>
        <w:spacing w:after="503" w:line="264" w:lineRule="auto"/>
        <w:ind w:left="-5" w:right="0"/>
        <w:rPr>
          <w:rFonts w:ascii="宋体" w:hAnsi="宋体" w:eastAsia="宋体" w:cs="宋体"/>
          <w:color w:val="auto"/>
        </w:rPr>
      </w:pPr>
      <w:bookmarkStart w:id="74" w:name="_Toc508788629"/>
      <w:bookmarkStart w:id="75" w:name="_Toc142406594"/>
      <w:bookmarkStart w:id="76" w:name="_Toc508382112"/>
      <w:r>
        <w:rPr>
          <w:rFonts w:hint="eastAsia" w:ascii="宋体" w:hAnsi="宋体" w:eastAsia="宋体" w:cs="宋体"/>
          <w:b/>
          <w:color w:val="auto"/>
          <w:sz w:val="32"/>
        </w:rPr>
        <w:t xml:space="preserve">3. </w:t>
      </w:r>
      <w:r>
        <w:rPr>
          <w:rFonts w:hint="eastAsia" w:ascii="宋体" w:hAnsi="宋体" w:eastAsia="宋体" w:cs="宋体"/>
          <w:color w:val="auto"/>
          <w:sz w:val="32"/>
        </w:rPr>
        <w:t>投标文件</w:t>
      </w:r>
      <w:bookmarkEnd w:id="74"/>
      <w:bookmarkEnd w:id="75"/>
      <w:bookmarkEnd w:id="76"/>
    </w:p>
    <w:p>
      <w:pPr>
        <w:pStyle w:val="5"/>
        <w:spacing w:after="283"/>
        <w:ind w:left="132" w:right="0"/>
        <w:rPr>
          <w:rFonts w:ascii="宋体" w:hAnsi="宋体" w:eastAsia="宋体" w:cs="宋体"/>
          <w:color w:val="auto"/>
        </w:rPr>
      </w:pPr>
      <w:bookmarkStart w:id="77" w:name="_Toc508382113"/>
      <w:bookmarkStart w:id="78" w:name="_Toc142406595"/>
      <w:bookmarkStart w:id="79" w:name="_Toc508788630"/>
      <w:r>
        <w:rPr>
          <w:rFonts w:hint="eastAsia" w:ascii="宋体" w:hAnsi="宋体" w:eastAsia="宋体" w:cs="宋体"/>
          <w:color w:val="auto"/>
        </w:rPr>
        <w:t>3.1 投标文件的组成</w:t>
      </w:r>
      <w:bookmarkEnd w:id="77"/>
      <w:bookmarkEnd w:id="78"/>
      <w:bookmarkEnd w:id="79"/>
    </w:p>
    <w:p>
      <w:pPr>
        <w:spacing w:after="123" w:line="265" w:lineRule="auto"/>
        <w:ind w:left="10" w:right="103" w:hanging="10"/>
        <w:rPr>
          <w:rFonts w:ascii="宋体" w:hAnsi="宋体" w:eastAsia="宋体" w:cs="宋体"/>
          <w:color w:val="auto"/>
          <w:sz w:val="21"/>
          <w:szCs w:val="21"/>
        </w:rPr>
      </w:pPr>
      <w:r>
        <w:rPr>
          <w:rFonts w:hint="eastAsia" w:ascii="宋体" w:hAnsi="宋体" w:eastAsia="宋体" w:cs="宋体"/>
          <w:color w:val="auto"/>
          <w:sz w:val="21"/>
          <w:szCs w:val="21"/>
        </w:rPr>
        <w:t xml:space="preserve">  3.1.1 投标文件应包括下列内容： </w:t>
      </w:r>
    </w:p>
    <w:p>
      <w:pPr>
        <w:pStyle w:val="14"/>
        <w:kinsoku w:val="0"/>
        <w:overflowPunct w:val="0"/>
        <w:spacing w:before="76"/>
        <w:rPr>
          <w:rFonts w:ascii="宋体" w:hAnsi="宋体" w:cs="宋体"/>
          <w:color w:val="auto"/>
          <w:sz w:val="21"/>
          <w:szCs w:val="21"/>
          <w:u w:val="single"/>
        </w:rPr>
      </w:pPr>
      <w:r>
        <w:rPr>
          <w:rFonts w:hint="eastAsia" w:ascii="宋体" w:hAnsi="宋体" w:cs="宋体"/>
          <w:color w:val="auto"/>
          <w:sz w:val="21"/>
          <w:szCs w:val="21"/>
        </w:rPr>
        <w:t>（</w:t>
      </w:r>
      <w:r>
        <w:rPr>
          <w:rFonts w:hint="eastAsia" w:ascii="宋体" w:hAnsi="宋体" w:cs="宋体"/>
          <w:color w:val="auto"/>
          <w:sz w:val="21"/>
          <w:szCs w:val="21"/>
          <w:u w:val="single"/>
        </w:rPr>
        <w:t>1</w:t>
      </w:r>
      <w:r>
        <w:rPr>
          <w:rFonts w:hint="eastAsia" w:ascii="宋体" w:hAnsi="宋体" w:cs="宋体"/>
          <w:color w:val="auto"/>
          <w:spacing w:val="-3"/>
          <w:sz w:val="21"/>
          <w:szCs w:val="21"/>
          <w:u w:val="single"/>
        </w:rPr>
        <w:t>）</w:t>
      </w:r>
      <w:r>
        <w:rPr>
          <w:rFonts w:hint="eastAsia" w:ascii="宋体" w:hAnsi="宋体" w:cs="宋体"/>
          <w:color w:val="auto"/>
          <w:sz w:val="21"/>
          <w:szCs w:val="21"/>
          <w:u w:val="single"/>
        </w:rPr>
        <w:t>投</w:t>
      </w:r>
      <w:r>
        <w:rPr>
          <w:rFonts w:hint="eastAsia" w:ascii="宋体" w:hAnsi="宋体" w:cs="宋体"/>
          <w:color w:val="auto"/>
          <w:spacing w:val="-3"/>
          <w:sz w:val="21"/>
          <w:szCs w:val="21"/>
          <w:u w:val="single"/>
        </w:rPr>
        <w:t>标</w:t>
      </w:r>
      <w:r>
        <w:rPr>
          <w:rFonts w:hint="eastAsia" w:ascii="宋体" w:hAnsi="宋体" w:cs="宋体"/>
          <w:color w:val="auto"/>
          <w:sz w:val="21"/>
          <w:szCs w:val="21"/>
          <w:u w:val="single"/>
        </w:rPr>
        <w:t>函</w:t>
      </w:r>
      <w:r>
        <w:rPr>
          <w:rFonts w:hint="eastAsia" w:ascii="宋体" w:hAnsi="宋体" w:cs="宋体"/>
          <w:color w:val="auto"/>
          <w:spacing w:val="-3"/>
          <w:sz w:val="21"/>
          <w:szCs w:val="21"/>
          <w:u w:val="single"/>
        </w:rPr>
        <w:t>及</w:t>
      </w:r>
      <w:r>
        <w:rPr>
          <w:rFonts w:hint="eastAsia" w:ascii="宋体" w:hAnsi="宋体" w:cs="宋体"/>
          <w:color w:val="auto"/>
          <w:sz w:val="21"/>
          <w:szCs w:val="21"/>
          <w:u w:val="single"/>
        </w:rPr>
        <w:t>投</w:t>
      </w:r>
      <w:r>
        <w:rPr>
          <w:rFonts w:hint="eastAsia" w:ascii="宋体" w:hAnsi="宋体" w:cs="宋体"/>
          <w:color w:val="auto"/>
          <w:spacing w:val="-3"/>
          <w:sz w:val="21"/>
          <w:szCs w:val="21"/>
          <w:u w:val="single"/>
        </w:rPr>
        <w:t>标</w:t>
      </w:r>
      <w:r>
        <w:rPr>
          <w:rFonts w:hint="eastAsia" w:ascii="宋体" w:hAnsi="宋体" w:cs="宋体"/>
          <w:color w:val="auto"/>
          <w:sz w:val="21"/>
          <w:szCs w:val="21"/>
          <w:u w:val="single"/>
        </w:rPr>
        <w:t>函</w:t>
      </w:r>
      <w:r>
        <w:rPr>
          <w:rFonts w:hint="eastAsia" w:ascii="宋体" w:hAnsi="宋体" w:cs="宋体"/>
          <w:color w:val="auto"/>
          <w:spacing w:val="-3"/>
          <w:sz w:val="21"/>
          <w:szCs w:val="21"/>
          <w:u w:val="single"/>
        </w:rPr>
        <w:t>附录</w:t>
      </w:r>
      <w:r>
        <w:rPr>
          <w:rFonts w:hint="eastAsia" w:ascii="宋体" w:hAnsi="宋体" w:cs="宋体"/>
          <w:color w:val="auto"/>
          <w:sz w:val="21"/>
          <w:szCs w:val="21"/>
          <w:u w:val="single"/>
        </w:rPr>
        <w:t>；</w:t>
      </w:r>
    </w:p>
    <w:p>
      <w:pPr>
        <w:pStyle w:val="14"/>
        <w:kinsoku w:val="0"/>
        <w:overflowPunct w:val="0"/>
        <w:spacing w:before="73"/>
        <w:rPr>
          <w:rFonts w:ascii="宋体" w:hAnsi="宋体" w:cs="宋体"/>
          <w:color w:val="auto"/>
          <w:sz w:val="21"/>
          <w:szCs w:val="21"/>
          <w:u w:val="single"/>
        </w:rPr>
      </w:pPr>
      <w:r>
        <w:rPr>
          <w:rFonts w:hint="eastAsia" w:ascii="宋体" w:hAnsi="宋体" w:cs="宋体"/>
          <w:color w:val="auto"/>
          <w:spacing w:val="-3"/>
          <w:sz w:val="21"/>
          <w:szCs w:val="21"/>
          <w:u w:val="single"/>
        </w:rPr>
        <w:t>（2）</w:t>
      </w:r>
      <w:r>
        <w:rPr>
          <w:rFonts w:hint="eastAsia" w:ascii="宋体" w:hAnsi="宋体" w:cs="宋体"/>
          <w:color w:val="auto"/>
          <w:sz w:val="21"/>
          <w:szCs w:val="21"/>
          <w:u w:val="single"/>
        </w:rPr>
        <w:t>法</w:t>
      </w:r>
      <w:r>
        <w:rPr>
          <w:rFonts w:hint="eastAsia" w:ascii="宋体" w:hAnsi="宋体" w:cs="宋体"/>
          <w:color w:val="auto"/>
          <w:spacing w:val="-3"/>
          <w:sz w:val="21"/>
          <w:szCs w:val="21"/>
          <w:u w:val="single"/>
        </w:rPr>
        <w:t>定</w:t>
      </w:r>
      <w:r>
        <w:rPr>
          <w:rFonts w:hint="eastAsia" w:ascii="宋体" w:hAnsi="宋体" w:cs="宋体"/>
          <w:color w:val="auto"/>
          <w:sz w:val="21"/>
          <w:szCs w:val="21"/>
          <w:u w:val="single"/>
        </w:rPr>
        <w:t>代</w:t>
      </w:r>
      <w:r>
        <w:rPr>
          <w:rFonts w:hint="eastAsia" w:ascii="宋体" w:hAnsi="宋体" w:cs="宋体"/>
          <w:color w:val="auto"/>
          <w:spacing w:val="-3"/>
          <w:sz w:val="21"/>
          <w:szCs w:val="21"/>
          <w:u w:val="single"/>
        </w:rPr>
        <w:t>表</w:t>
      </w:r>
      <w:r>
        <w:rPr>
          <w:rFonts w:hint="eastAsia" w:ascii="宋体" w:hAnsi="宋体" w:cs="宋体"/>
          <w:color w:val="auto"/>
          <w:sz w:val="21"/>
          <w:szCs w:val="21"/>
          <w:u w:val="single"/>
        </w:rPr>
        <w:t>人</w:t>
      </w:r>
      <w:r>
        <w:rPr>
          <w:rFonts w:hint="eastAsia" w:ascii="宋体" w:hAnsi="宋体" w:cs="宋体"/>
          <w:color w:val="auto"/>
          <w:spacing w:val="-3"/>
          <w:sz w:val="21"/>
          <w:szCs w:val="21"/>
          <w:u w:val="single"/>
        </w:rPr>
        <w:t>身</w:t>
      </w:r>
      <w:r>
        <w:rPr>
          <w:rFonts w:hint="eastAsia" w:ascii="宋体" w:hAnsi="宋体" w:cs="宋体"/>
          <w:color w:val="auto"/>
          <w:sz w:val="21"/>
          <w:szCs w:val="21"/>
          <w:u w:val="single"/>
        </w:rPr>
        <w:t>份</w:t>
      </w:r>
      <w:r>
        <w:rPr>
          <w:rFonts w:hint="eastAsia" w:ascii="宋体" w:hAnsi="宋体" w:cs="宋体"/>
          <w:color w:val="auto"/>
          <w:spacing w:val="-3"/>
          <w:sz w:val="21"/>
          <w:szCs w:val="21"/>
          <w:u w:val="single"/>
        </w:rPr>
        <w:t>证明</w:t>
      </w:r>
      <w:r>
        <w:rPr>
          <w:rFonts w:hint="eastAsia" w:ascii="宋体" w:hAnsi="宋体" w:cs="宋体"/>
          <w:color w:val="auto"/>
          <w:sz w:val="21"/>
          <w:szCs w:val="21"/>
          <w:u w:val="single"/>
        </w:rPr>
        <w:t>或授</w:t>
      </w:r>
      <w:r>
        <w:rPr>
          <w:rFonts w:hint="eastAsia" w:ascii="宋体" w:hAnsi="宋体" w:cs="宋体"/>
          <w:color w:val="auto"/>
          <w:spacing w:val="-3"/>
          <w:sz w:val="21"/>
          <w:szCs w:val="21"/>
          <w:u w:val="single"/>
        </w:rPr>
        <w:t>权</w:t>
      </w:r>
      <w:r>
        <w:rPr>
          <w:rFonts w:hint="eastAsia" w:ascii="宋体" w:hAnsi="宋体" w:cs="宋体"/>
          <w:color w:val="auto"/>
          <w:sz w:val="21"/>
          <w:szCs w:val="21"/>
          <w:u w:val="single"/>
        </w:rPr>
        <w:t>委</w:t>
      </w:r>
      <w:r>
        <w:rPr>
          <w:rFonts w:hint="eastAsia" w:ascii="宋体" w:hAnsi="宋体" w:cs="宋体"/>
          <w:color w:val="auto"/>
          <w:spacing w:val="-3"/>
          <w:sz w:val="21"/>
          <w:szCs w:val="21"/>
          <w:u w:val="single"/>
        </w:rPr>
        <w:t>托</w:t>
      </w:r>
      <w:r>
        <w:rPr>
          <w:rFonts w:hint="eastAsia" w:ascii="宋体" w:hAnsi="宋体" w:cs="宋体"/>
          <w:color w:val="auto"/>
          <w:sz w:val="21"/>
          <w:szCs w:val="21"/>
          <w:u w:val="single"/>
        </w:rPr>
        <w:t>书；</w:t>
      </w:r>
    </w:p>
    <w:p>
      <w:pPr>
        <w:pStyle w:val="14"/>
        <w:kinsoku w:val="0"/>
        <w:overflowPunct w:val="0"/>
        <w:spacing w:before="75"/>
        <w:rPr>
          <w:rFonts w:ascii="宋体" w:hAnsi="宋体" w:cs="宋体"/>
          <w:color w:val="auto"/>
          <w:sz w:val="21"/>
          <w:szCs w:val="21"/>
          <w:u w:val="single"/>
        </w:rPr>
      </w:pPr>
      <w:r>
        <w:rPr>
          <w:rFonts w:hint="eastAsia" w:ascii="宋体" w:hAnsi="宋体" w:cs="宋体"/>
          <w:color w:val="auto"/>
          <w:sz w:val="21"/>
          <w:szCs w:val="21"/>
          <w:u w:val="single"/>
        </w:rPr>
        <w:t>（3）联合体共同投标协议书（如有）；</w:t>
      </w:r>
    </w:p>
    <w:p>
      <w:pPr>
        <w:pStyle w:val="14"/>
        <w:kinsoku w:val="0"/>
        <w:overflowPunct w:val="0"/>
        <w:spacing w:before="75"/>
        <w:rPr>
          <w:rFonts w:ascii="宋体" w:hAnsi="宋体" w:cs="宋体"/>
          <w:color w:val="auto"/>
          <w:sz w:val="21"/>
          <w:szCs w:val="21"/>
          <w:u w:val="single"/>
        </w:rPr>
      </w:pPr>
      <w:r>
        <w:rPr>
          <w:rFonts w:hint="eastAsia" w:ascii="宋体" w:hAnsi="宋体" w:cs="宋体"/>
          <w:color w:val="auto"/>
          <w:sz w:val="21"/>
          <w:szCs w:val="21"/>
          <w:u w:val="single"/>
        </w:rPr>
        <w:t>（4</w:t>
      </w:r>
      <w:r>
        <w:rPr>
          <w:rFonts w:hint="eastAsia" w:ascii="宋体" w:hAnsi="宋体" w:cs="宋体"/>
          <w:color w:val="auto"/>
          <w:spacing w:val="-3"/>
          <w:sz w:val="21"/>
          <w:szCs w:val="21"/>
          <w:u w:val="single"/>
        </w:rPr>
        <w:t>）</w:t>
      </w:r>
      <w:r>
        <w:rPr>
          <w:rFonts w:hint="eastAsia" w:ascii="宋体" w:hAnsi="宋体" w:cs="宋体"/>
          <w:color w:val="auto"/>
          <w:sz w:val="21"/>
          <w:szCs w:val="21"/>
          <w:u w:val="single"/>
        </w:rPr>
        <w:t>投</w:t>
      </w:r>
      <w:r>
        <w:rPr>
          <w:rFonts w:hint="eastAsia" w:ascii="宋体" w:hAnsi="宋体" w:cs="宋体"/>
          <w:color w:val="auto"/>
          <w:spacing w:val="-3"/>
          <w:sz w:val="21"/>
          <w:szCs w:val="21"/>
          <w:u w:val="single"/>
        </w:rPr>
        <w:t>标</w:t>
      </w:r>
      <w:r>
        <w:rPr>
          <w:rFonts w:hint="eastAsia" w:ascii="宋体" w:hAnsi="宋体" w:cs="宋体"/>
          <w:color w:val="auto"/>
          <w:sz w:val="21"/>
          <w:szCs w:val="21"/>
          <w:u w:val="single"/>
        </w:rPr>
        <w:t>保</w:t>
      </w:r>
      <w:r>
        <w:rPr>
          <w:rFonts w:hint="eastAsia" w:ascii="宋体" w:hAnsi="宋体" w:cs="宋体"/>
          <w:color w:val="auto"/>
          <w:spacing w:val="-3"/>
          <w:sz w:val="21"/>
          <w:szCs w:val="21"/>
          <w:u w:val="single"/>
        </w:rPr>
        <w:t>证</w:t>
      </w:r>
      <w:r>
        <w:rPr>
          <w:rFonts w:hint="eastAsia" w:ascii="宋体" w:hAnsi="宋体" w:cs="宋体"/>
          <w:color w:val="auto"/>
          <w:sz w:val="21"/>
          <w:szCs w:val="21"/>
          <w:u w:val="single"/>
        </w:rPr>
        <w:t>金；</w:t>
      </w:r>
    </w:p>
    <w:p>
      <w:pPr>
        <w:pStyle w:val="14"/>
        <w:kinsoku w:val="0"/>
        <w:overflowPunct w:val="0"/>
        <w:spacing w:before="75"/>
        <w:rPr>
          <w:rFonts w:ascii="宋体" w:hAnsi="宋体" w:cs="宋体"/>
          <w:color w:val="auto"/>
          <w:spacing w:val="-3"/>
          <w:sz w:val="21"/>
          <w:szCs w:val="21"/>
          <w:u w:val="single"/>
        </w:rPr>
      </w:pPr>
      <w:r>
        <w:rPr>
          <w:rFonts w:hint="eastAsia" w:ascii="宋体" w:hAnsi="宋体" w:cs="宋体"/>
          <w:color w:val="auto"/>
          <w:sz w:val="21"/>
          <w:szCs w:val="21"/>
          <w:u w:val="single"/>
        </w:rPr>
        <w:t>（5</w:t>
      </w:r>
      <w:r>
        <w:rPr>
          <w:rFonts w:hint="eastAsia" w:ascii="宋体" w:hAnsi="宋体" w:cs="宋体"/>
          <w:color w:val="auto"/>
          <w:spacing w:val="-3"/>
          <w:sz w:val="21"/>
          <w:szCs w:val="21"/>
          <w:u w:val="single"/>
        </w:rPr>
        <w:t>）资格审查资料</w:t>
      </w:r>
    </w:p>
    <w:p>
      <w:pPr>
        <w:pStyle w:val="14"/>
        <w:kinsoku w:val="0"/>
        <w:overflowPunct w:val="0"/>
        <w:spacing w:before="75"/>
        <w:rPr>
          <w:rFonts w:ascii="宋体" w:hAnsi="宋体" w:cs="宋体"/>
          <w:color w:val="auto"/>
          <w:sz w:val="21"/>
          <w:szCs w:val="21"/>
          <w:u w:val="single"/>
        </w:rPr>
      </w:pPr>
      <w:r>
        <w:rPr>
          <w:rFonts w:hint="eastAsia" w:ascii="宋体" w:hAnsi="宋体" w:cs="宋体"/>
          <w:color w:val="auto"/>
          <w:spacing w:val="-3"/>
          <w:sz w:val="21"/>
          <w:szCs w:val="21"/>
          <w:u w:val="single"/>
        </w:rPr>
        <w:t>（6）资信业绩</w:t>
      </w:r>
      <w:r>
        <w:rPr>
          <w:rFonts w:hint="eastAsia" w:ascii="宋体" w:hAnsi="宋体" w:cs="宋体"/>
          <w:color w:val="auto"/>
          <w:sz w:val="21"/>
          <w:szCs w:val="21"/>
          <w:u w:val="single"/>
        </w:rPr>
        <w:t>资</w:t>
      </w:r>
      <w:r>
        <w:rPr>
          <w:rFonts w:hint="eastAsia" w:ascii="宋体" w:hAnsi="宋体" w:cs="宋体"/>
          <w:color w:val="auto"/>
          <w:spacing w:val="-3"/>
          <w:sz w:val="21"/>
          <w:szCs w:val="21"/>
          <w:u w:val="single"/>
        </w:rPr>
        <w:t>料</w:t>
      </w:r>
      <w:r>
        <w:rPr>
          <w:rFonts w:hint="eastAsia" w:ascii="宋体" w:hAnsi="宋体" w:cs="宋体"/>
          <w:color w:val="auto"/>
          <w:sz w:val="21"/>
          <w:szCs w:val="21"/>
          <w:u w:val="single"/>
        </w:rPr>
        <w:t>；</w:t>
      </w:r>
    </w:p>
    <w:p>
      <w:pPr>
        <w:pStyle w:val="14"/>
        <w:kinsoku w:val="0"/>
        <w:overflowPunct w:val="0"/>
        <w:spacing w:before="75"/>
        <w:rPr>
          <w:rFonts w:ascii="宋体" w:hAnsi="宋体" w:cs="宋体"/>
          <w:color w:val="auto"/>
          <w:sz w:val="21"/>
          <w:szCs w:val="21"/>
          <w:u w:val="single"/>
        </w:rPr>
      </w:pPr>
      <w:r>
        <w:rPr>
          <w:rFonts w:hint="eastAsia" w:ascii="宋体" w:hAnsi="宋体" w:cs="宋体"/>
          <w:color w:val="auto"/>
          <w:sz w:val="21"/>
          <w:szCs w:val="21"/>
          <w:u w:val="single"/>
        </w:rPr>
        <w:t>（7</w:t>
      </w:r>
      <w:r>
        <w:rPr>
          <w:rFonts w:hint="eastAsia" w:ascii="宋体" w:hAnsi="宋体" w:cs="宋体"/>
          <w:color w:val="auto"/>
          <w:spacing w:val="-3"/>
          <w:sz w:val="21"/>
          <w:szCs w:val="21"/>
          <w:u w:val="single"/>
        </w:rPr>
        <w:t>）</w:t>
      </w:r>
      <w:r>
        <w:rPr>
          <w:rFonts w:ascii="宋体" w:hAnsi="宋体" w:cs="宋体"/>
          <w:color w:val="auto"/>
          <w:spacing w:val="-3"/>
          <w:sz w:val="21"/>
          <w:szCs w:val="21"/>
          <w:u w:val="single"/>
        </w:rPr>
        <w:t>检测、监测</w:t>
      </w:r>
      <w:r>
        <w:rPr>
          <w:rFonts w:hint="eastAsia" w:ascii="宋体" w:hAnsi="宋体" w:cs="宋体"/>
          <w:color w:val="auto"/>
          <w:sz w:val="21"/>
          <w:u w:val="single"/>
        </w:rPr>
        <w:t>方案</w:t>
      </w:r>
      <w:r>
        <w:rPr>
          <w:rFonts w:hint="eastAsia" w:ascii="宋体" w:hAnsi="宋体" w:cs="宋体"/>
          <w:color w:val="auto"/>
          <w:sz w:val="21"/>
          <w:szCs w:val="21"/>
          <w:u w:val="single"/>
        </w:rPr>
        <w:t>；</w:t>
      </w:r>
    </w:p>
    <w:p>
      <w:pPr>
        <w:pStyle w:val="14"/>
        <w:kinsoku w:val="0"/>
        <w:overflowPunct w:val="0"/>
        <w:spacing w:before="75"/>
        <w:rPr>
          <w:rFonts w:ascii="宋体" w:hAnsi="宋体" w:cs="宋体"/>
          <w:color w:val="auto"/>
          <w:sz w:val="21"/>
          <w:szCs w:val="21"/>
          <w:u w:val="single"/>
        </w:rPr>
      </w:pPr>
      <w:r>
        <w:rPr>
          <w:rFonts w:hint="eastAsia" w:ascii="宋体" w:hAnsi="宋体" w:cs="宋体"/>
          <w:color w:val="auto"/>
          <w:sz w:val="21"/>
          <w:szCs w:val="21"/>
          <w:u w:val="single"/>
        </w:rPr>
        <w:t>（8）投</w:t>
      </w:r>
      <w:r>
        <w:rPr>
          <w:rFonts w:hint="eastAsia" w:ascii="宋体" w:hAnsi="宋体" w:cs="宋体"/>
          <w:color w:val="auto"/>
          <w:spacing w:val="-3"/>
          <w:sz w:val="21"/>
          <w:szCs w:val="21"/>
          <w:u w:val="single"/>
        </w:rPr>
        <w:t>标</w:t>
      </w:r>
      <w:r>
        <w:rPr>
          <w:rFonts w:hint="eastAsia" w:ascii="宋体" w:hAnsi="宋体" w:cs="宋体"/>
          <w:color w:val="auto"/>
          <w:sz w:val="21"/>
          <w:szCs w:val="21"/>
          <w:u w:val="single"/>
        </w:rPr>
        <w:t>人</w:t>
      </w:r>
      <w:r>
        <w:rPr>
          <w:rFonts w:hint="eastAsia" w:ascii="宋体" w:hAnsi="宋体" w:cs="宋体"/>
          <w:color w:val="auto"/>
          <w:spacing w:val="-3"/>
          <w:sz w:val="21"/>
          <w:szCs w:val="21"/>
          <w:u w:val="single"/>
        </w:rPr>
        <w:t>须</w:t>
      </w:r>
      <w:r>
        <w:rPr>
          <w:rFonts w:hint="eastAsia" w:ascii="宋体" w:hAnsi="宋体" w:cs="宋体"/>
          <w:color w:val="auto"/>
          <w:sz w:val="21"/>
          <w:szCs w:val="21"/>
          <w:u w:val="single"/>
        </w:rPr>
        <w:t>知</w:t>
      </w:r>
      <w:r>
        <w:rPr>
          <w:rFonts w:hint="eastAsia" w:ascii="宋体" w:hAnsi="宋体" w:cs="宋体"/>
          <w:color w:val="auto"/>
          <w:spacing w:val="-3"/>
          <w:sz w:val="21"/>
          <w:szCs w:val="21"/>
          <w:u w:val="single"/>
        </w:rPr>
        <w:t>前</w:t>
      </w:r>
      <w:r>
        <w:rPr>
          <w:rFonts w:hint="eastAsia" w:ascii="宋体" w:hAnsi="宋体" w:cs="宋体"/>
          <w:color w:val="auto"/>
          <w:sz w:val="21"/>
          <w:szCs w:val="21"/>
          <w:u w:val="single"/>
        </w:rPr>
        <w:t>附</w:t>
      </w:r>
      <w:r>
        <w:rPr>
          <w:rFonts w:hint="eastAsia" w:ascii="宋体" w:hAnsi="宋体" w:cs="宋体"/>
          <w:color w:val="auto"/>
          <w:spacing w:val="-3"/>
          <w:sz w:val="21"/>
          <w:szCs w:val="21"/>
          <w:u w:val="single"/>
        </w:rPr>
        <w:t>表规</w:t>
      </w:r>
      <w:r>
        <w:rPr>
          <w:rFonts w:hint="eastAsia" w:ascii="宋体" w:hAnsi="宋体" w:cs="宋体"/>
          <w:color w:val="auto"/>
          <w:sz w:val="21"/>
          <w:szCs w:val="21"/>
          <w:u w:val="single"/>
        </w:rPr>
        <w:t>定的</w:t>
      </w:r>
      <w:r>
        <w:rPr>
          <w:rFonts w:hint="eastAsia" w:ascii="宋体" w:hAnsi="宋体" w:cs="宋体"/>
          <w:color w:val="auto"/>
          <w:spacing w:val="-3"/>
          <w:sz w:val="21"/>
          <w:szCs w:val="21"/>
          <w:u w:val="single"/>
        </w:rPr>
        <w:t>其</w:t>
      </w:r>
      <w:r>
        <w:rPr>
          <w:rFonts w:hint="eastAsia" w:ascii="宋体" w:hAnsi="宋体" w:cs="宋体"/>
          <w:color w:val="auto"/>
          <w:sz w:val="21"/>
          <w:szCs w:val="21"/>
          <w:u w:val="single"/>
        </w:rPr>
        <w:t>他</w:t>
      </w:r>
      <w:r>
        <w:rPr>
          <w:rFonts w:hint="eastAsia" w:ascii="宋体" w:hAnsi="宋体" w:cs="宋体"/>
          <w:color w:val="auto"/>
          <w:spacing w:val="-3"/>
          <w:sz w:val="21"/>
          <w:szCs w:val="21"/>
          <w:u w:val="single"/>
        </w:rPr>
        <w:t>资</w:t>
      </w:r>
      <w:r>
        <w:rPr>
          <w:rFonts w:hint="eastAsia" w:ascii="宋体" w:hAnsi="宋体" w:cs="宋体"/>
          <w:color w:val="auto"/>
          <w:sz w:val="21"/>
          <w:szCs w:val="21"/>
          <w:u w:val="single"/>
        </w:rPr>
        <w:t>料。</w:t>
      </w:r>
    </w:p>
    <w:p>
      <w:pPr>
        <w:spacing w:after="123" w:line="356" w:lineRule="auto"/>
        <w:ind w:right="103" w:firstLine="420"/>
        <w:rPr>
          <w:rFonts w:ascii="宋体" w:hAnsi="宋体" w:eastAsia="宋体" w:cs="宋体"/>
          <w:color w:val="auto"/>
        </w:rPr>
      </w:pPr>
      <w:r>
        <w:rPr>
          <w:rFonts w:hint="eastAsia" w:ascii="宋体" w:hAnsi="宋体" w:eastAsia="宋体" w:cs="宋体"/>
          <w:color w:val="auto"/>
          <w:sz w:val="21"/>
        </w:rPr>
        <w:t xml:space="preserve">投标人在评标过程中作出的符合法律法规和招标文件规定的澄清确认，构成投标文件的组成部分。 </w:t>
      </w:r>
    </w:p>
    <w:p>
      <w:pPr>
        <w:spacing w:after="2" w:line="368" w:lineRule="auto"/>
        <w:ind w:right="103" w:firstLine="360"/>
        <w:rPr>
          <w:rFonts w:ascii="宋体" w:hAnsi="宋体" w:eastAsia="宋体" w:cs="宋体"/>
          <w:color w:val="auto"/>
        </w:rPr>
      </w:pPr>
      <w:r>
        <w:rPr>
          <w:rFonts w:hint="eastAsia" w:ascii="宋体" w:hAnsi="宋体" w:eastAsia="宋体" w:cs="宋体"/>
          <w:color w:val="auto"/>
          <w:sz w:val="21"/>
        </w:rPr>
        <w:t xml:space="preserve">3.1.2 投标人须知前附表规定不接受联合体投标的，或投标人没有组成联合体的，投标文件不包括本章第 3.1.1（3）目所指的联合体协议书。 </w:t>
      </w:r>
    </w:p>
    <w:p>
      <w:pPr>
        <w:spacing w:after="216" w:line="373" w:lineRule="auto"/>
        <w:ind w:right="103" w:firstLine="360"/>
        <w:rPr>
          <w:rFonts w:ascii="宋体" w:hAnsi="宋体" w:eastAsia="宋体" w:cs="宋体"/>
          <w:color w:val="auto"/>
        </w:rPr>
      </w:pPr>
      <w:r>
        <w:rPr>
          <w:rFonts w:hint="eastAsia" w:ascii="宋体" w:hAnsi="宋体" w:eastAsia="宋体" w:cs="宋体"/>
          <w:color w:val="auto"/>
          <w:sz w:val="21"/>
        </w:rPr>
        <w:t xml:space="preserve">3.1.3 投标人须知前附表未要求提交投标保证金的，投标文件不包括本章第 3.1.1（4）目所指的投标保证金。 </w:t>
      </w:r>
    </w:p>
    <w:p>
      <w:pPr>
        <w:pStyle w:val="5"/>
        <w:spacing w:after="282"/>
        <w:ind w:left="132" w:right="0"/>
        <w:rPr>
          <w:rFonts w:ascii="宋体" w:hAnsi="宋体" w:eastAsia="宋体" w:cs="宋体"/>
          <w:color w:val="auto"/>
        </w:rPr>
      </w:pPr>
      <w:bookmarkStart w:id="80" w:name="_Toc142406596"/>
      <w:bookmarkStart w:id="81" w:name="_Toc508382114"/>
      <w:bookmarkStart w:id="82" w:name="_Toc508788631"/>
      <w:r>
        <w:rPr>
          <w:rFonts w:hint="eastAsia" w:ascii="宋体" w:hAnsi="宋体" w:eastAsia="宋体" w:cs="宋体"/>
          <w:color w:val="auto"/>
        </w:rPr>
        <w:t>3.2 投标报价</w:t>
      </w:r>
      <w:bookmarkEnd w:id="80"/>
      <w:bookmarkEnd w:id="81"/>
      <w:bookmarkEnd w:id="82"/>
    </w:p>
    <w:p>
      <w:pPr>
        <w:spacing w:after="216" w:line="373" w:lineRule="auto"/>
        <w:ind w:right="103" w:firstLine="360"/>
        <w:rPr>
          <w:rFonts w:ascii="宋体" w:hAnsi="宋体" w:eastAsia="宋体" w:cs="宋体"/>
          <w:color w:val="auto"/>
          <w:sz w:val="21"/>
        </w:rPr>
      </w:pPr>
      <w:r>
        <w:rPr>
          <w:rFonts w:hint="eastAsia" w:ascii="宋体" w:hAnsi="宋体" w:eastAsia="宋体" w:cs="宋体"/>
          <w:color w:val="auto"/>
          <w:sz w:val="21"/>
        </w:rPr>
        <w:t>3.2.1 投标报价应包括国家规定的增值税税金，除投标人须知前附表另有规定外，增值税税金按一般计税方法计算。投标人应按第六章“投标文件格式”的要求在投标函中进行报价并填写报价书。</w:t>
      </w:r>
    </w:p>
    <w:p>
      <w:pPr>
        <w:spacing w:after="216" w:line="373" w:lineRule="auto"/>
        <w:ind w:right="103" w:firstLine="360"/>
        <w:rPr>
          <w:rFonts w:ascii="宋体" w:hAnsi="宋体" w:eastAsia="宋体" w:cs="宋体"/>
          <w:color w:val="auto"/>
          <w:sz w:val="21"/>
        </w:rPr>
      </w:pPr>
      <w:r>
        <w:rPr>
          <w:rFonts w:hint="eastAsia" w:ascii="宋体" w:hAnsi="宋体" w:eastAsia="宋体" w:cs="宋体"/>
          <w:color w:val="auto"/>
          <w:sz w:val="21"/>
        </w:rPr>
        <w:t>3.2.2投标人应充分了解该项目的总体情况以及影响投标报价的其他要素。</w:t>
      </w:r>
    </w:p>
    <w:p>
      <w:pPr>
        <w:spacing w:after="216" w:line="373" w:lineRule="auto"/>
        <w:ind w:right="103" w:firstLine="360"/>
        <w:rPr>
          <w:rFonts w:ascii="宋体" w:hAnsi="宋体" w:eastAsia="宋体" w:cs="宋体"/>
          <w:color w:val="auto"/>
          <w:sz w:val="21"/>
        </w:rPr>
      </w:pPr>
      <w:r>
        <w:rPr>
          <w:rFonts w:hint="eastAsia" w:ascii="宋体" w:hAnsi="宋体" w:eastAsia="宋体" w:cs="宋体"/>
          <w:color w:val="auto"/>
          <w:sz w:val="21"/>
        </w:rPr>
        <w:t>3.2.3本项目的报价方式见投标人须知前附表。投标人在投标截止时间前修改投标函中的投标报价总额，应同时修改投标文件中的相应报价。此修改须符合本章第 4.3 款的有关要求。</w:t>
      </w:r>
    </w:p>
    <w:p>
      <w:pPr>
        <w:spacing w:after="216" w:line="373" w:lineRule="auto"/>
        <w:ind w:right="103" w:firstLine="360"/>
        <w:rPr>
          <w:rFonts w:ascii="宋体" w:hAnsi="宋体" w:eastAsia="宋体" w:cs="宋体"/>
          <w:color w:val="auto"/>
          <w:sz w:val="21"/>
        </w:rPr>
      </w:pPr>
      <w:r>
        <w:rPr>
          <w:rFonts w:hint="eastAsia" w:ascii="宋体" w:hAnsi="宋体" w:eastAsia="宋体" w:cs="宋体"/>
          <w:color w:val="auto"/>
          <w:sz w:val="21"/>
        </w:rPr>
        <w:t>3.2.3.1投标人的投标报价，应在前款所述收费标准和招标控制价范围内报价；应是按照投标须知前附表的工期要求、建设地点，完成投标须知前附表的招标内容内已由招标人制定的检测、监测量列明工作的全部费用，投标报价包括但不限于为实施和完成本项目全部试验检测、监测工作所需的劳务费、技术服务费、试验检测、监测仪器设备使用费、机械进退场费（二次或多次）、车辆通行费、食宿费、资料费、管理费、规费（按广州市花都区建设项目收费标准）、保险费（含建筑工程一切险和第三方责任险）、其他一切建设使用费（含驻地建设费、临时用水、用电费）、一切税费以及合同明示或暗示的所有一般风险、责任和义务等，以及为完成本项目检测的全部利润等所有的服务费用。</w:t>
      </w:r>
    </w:p>
    <w:p>
      <w:pPr>
        <w:spacing w:after="216" w:line="373" w:lineRule="auto"/>
        <w:ind w:right="103" w:firstLine="360"/>
        <w:rPr>
          <w:rFonts w:ascii="宋体" w:hAnsi="宋体" w:eastAsia="宋体" w:cs="宋体"/>
          <w:color w:val="auto"/>
          <w:sz w:val="21"/>
          <w:szCs w:val="21"/>
        </w:rPr>
      </w:pPr>
      <w:r>
        <w:rPr>
          <w:rFonts w:hint="eastAsia" w:ascii="宋体" w:hAnsi="宋体" w:eastAsia="宋体" w:cs="宋体"/>
          <w:color w:val="auto"/>
          <w:sz w:val="21"/>
        </w:rPr>
        <w:t>3.2.3.2</w:t>
      </w:r>
      <w:r>
        <w:rPr>
          <w:rFonts w:hint="eastAsia" w:ascii="宋体" w:hAnsi="宋体" w:eastAsia="宋体" w:cs="宋体"/>
          <w:color w:val="auto"/>
          <w:sz w:val="21"/>
          <w:szCs w:val="21"/>
        </w:rPr>
        <w:t>如相关收费标准没有的项目，其计价方式则参考市场价格收费。</w:t>
      </w:r>
    </w:p>
    <w:p>
      <w:pPr>
        <w:spacing w:after="5" w:line="369" w:lineRule="auto"/>
        <w:ind w:left="-15" w:right="197" w:firstLine="410"/>
        <w:jc w:val="both"/>
        <w:rPr>
          <w:rFonts w:ascii="宋体" w:hAnsi="宋体" w:eastAsia="宋体" w:cs="宋体"/>
          <w:color w:val="auto"/>
          <w:sz w:val="21"/>
          <w:szCs w:val="21"/>
        </w:rPr>
      </w:pPr>
      <w:r>
        <w:rPr>
          <w:rFonts w:hint="eastAsia" w:ascii="宋体" w:hAnsi="宋体" w:eastAsia="宋体" w:cs="宋体"/>
          <w:color w:val="auto"/>
          <w:sz w:val="21"/>
        </w:rPr>
        <w:t>3.2.3.3</w:t>
      </w:r>
      <w:r>
        <w:rPr>
          <w:rFonts w:hint="eastAsia" w:ascii="宋体" w:hAnsi="宋体" w:eastAsia="宋体" w:cs="宋体"/>
          <w:color w:val="auto"/>
          <w:sz w:val="21"/>
          <w:szCs w:val="21"/>
        </w:rPr>
        <w:t>检测、监测数量按实结算，检测、监测综合结算单价原则：（1）《关于印发</w:t>
      </w:r>
      <w:r>
        <w:rPr>
          <w:rFonts w:ascii="宋体" w:hAnsi="宋体" w:eastAsia="宋体" w:cs="宋体"/>
          <w:color w:val="auto"/>
          <w:sz w:val="21"/>
          <w:szCs w:val="21"/>
        </w:rPr>
        <w:t>&lt;</w:t>
      </w:r>
      <w:r>
        <w:rPr>
          <w:rFonts w:hint="eastAsia" w:ascii="宋体" w:hAnsi="宋体" w:eastAsia="宋体" w:cs="宋体"/>
          <w:color w:val="auto"/>
          <w:sz w:val="21"/>
          <w:szCs w:val="21"/>
        </w:rPr>
        <w:t>广东省房屋建筑和市政工程质量安全检测收费指导价(第一批)</w:t>
      </w:r>
      <w:r>
        <w:rPr>
          <w:rFonts w:ascii="宋体" w:hAnsi="宋体" w:eastAsia="宋体" w:cs="宋体"/>
          <w:color w:val="auto"/>
          <w:sz w:val="21"/>
          <w:szCs w:val="21"/>
        </w:rPr>
        <w:t>&gt;</w:t>
      </w:r>
      <w:r>
        <w:rPr>
          <w:rFonts w:hint="eastAsia" w:ascii="宋体" w:hAnsi="宋体" w:eastAsia="宋体" w:cs="宋体"/>
          <w:color w:val="auto"/>
          <w:sz w:val="21"/>
          <w:szCs w:val="21"/>
        </w:rPr>
        <w:t>和</w:t>
      </w:r>
      <w:r>
        <w:rPr>
          <w:rFonts w:ascii="宋体" w:hAnsi="宋体" w:eastAsia="宋体" w:cs="宋体"/>
          <w:color w:val="auto"/>
          <w:sz w:val="21"/>
          <w:szCs w:val="21"/>
        </w:rPr>
        <w:t>&lt;</w:t>
      </w:r>
      <w:r>
        <w:rPr>
          <w:rFonts w:hint="eastAsia" w:ascii="宋体" w:hAnsi="宋体" w:eastAsia="宋体" w:cs="宋体"/>
          <w:color w:val="auto"/>
          <w:sz w:val="21"/>
          <w:szCs w:val="21"/>
        </w:rPr>
        <w:t>广东省既有房屋建筑安全性鉴定收费指导价</w:t>
      </w:r>
      <w:r>
        <w:rPr>
          <w:rFonts w:ascii="宋体" w:hAnsi="宋体" w:eastAsia="宋体" w:cs="宋体"/>
          <w:color w:val="auto"/>
          <w:sz w:val="21"/>
          <w:szCs w:val="21"/>
        </w:rPr>
        <w:t>&gt;</w:t>
      </w:r>
      <w:r>
        <w:rPr>
          <w:rFonts w:hint="eastAsia" w:ascii="宋体" w:hAnsi="宋体" w:eastAsia="宋体" w:cs="宋体"/>
          <w:color w:val="auto"/>
          <w:sz w:val="21"/>
          <w:szCs w:val="21"/>
        </w:rPr>
        <w:t>的通知》（粤建检协[2015]8号文）、关于印发《广州市建设工程基坑监测、变形点监测收费项目及标准指导性意见》的通知（穗建检协字（2013）12号）等有关的检测、监测收费规定相适应的单价乘以（</w:t>
      </w:r>
      <w:r>
        <w:rPr>
          <w:rFonts w:ascii="宋体" w:hAnsi="宋体" w:eastAsia="宋体" w:cs="宋体"/>
          <w:color w:val="auto"/>
          <w:sz w:val="21"/>
          <w:szCs w:val="21"/>
        </w:rPr>
        <w:t>1-</w:t>
      </w:r>
      <w:r>
        <w:rPr>
          <w:rFonts w:hint="eastAsia" w:ascii="宋体" w:hAnsi="宋体" w:eastAsia="宋体" w:cs="宋体"/>
          <w:color w:val="auto"/>
          <w:sz w:val="21"/>
          <w:szCs w:val="21"/>
        </w:rPr>
        <w:t>投标下浮率），实际检测、监测数量以发包人、监理单位、乙方现场确认的工程量为准。最终结算价以财政部门或第三方审核单位的审定价为准。</w:t>
      </w:r>
    </w:p>
    <w:p>
      <w:pPr>
        <w:spacing w:after="5" w:line="369" w:lineRule="auto"/>
        <w:ind w:left="-15" w:right="197" w:firstLine="410"/>
        <w:jc w:val="both"/>
        <w:rPr>
          <w:rFonts w:ascii="宋体" w:hAnsi="宋体" w:eastAsia="宋体" w:cs="宋体"/>
          <w:color w:val="000000" w:themeColor="text1"/>
          <w:sz w:val="21"/>
          <w:szCs w:val="21"/>
        </w:rPr>
      </w:pPr>
      <w:r>
        <w:rPr>
          <w:rFonts w:hint="eastAsia" w:ascii="宋体" w:hAnsi="宋体" w:eastAsia="宋体" w:cs="宋体"/>
          <w:color w:val="auto"/>
          <w:sz w:val="21"/>
        </w:rPr>
        <w:t>3.2.3.4</w:t>
      </w:r>
      <w:r>
        <w:rPr>
          <w:rFonts w:hint="eastAsia" w:ascii="宋体" w:hAnsi="宋体" w:eastAsia="宋体" w:cs="宋体"/>
          <w:color w:val="auto"/>
          <w:sz w:val="21"/>
          <w:szCs w:val="21"/>
        </w:rPr>
        <w:t>中标单位根据项目服务范围制定</w:t>
      </w:r>
      <w:r>
        <w:rPr>
          <w:rFonts w:hint="eastAsia" w:ascii="宋体" w:hAnsi="宋体" w:eastAsia="宋体" w:cs="宋体"/>
          <w:color w:val="000000" w:themeColor="text1"/>
          <w:sz w:val="21"/>
          <w:szCs w:val="21"/>
        </w:rPr>
        <w:t>检测</w:t>
      </w:r>
      <w:r>
        <w:rPr>
          <w:rFonts w:ascii="宋体" w:hAnsi="宋体" w:cs="宋体"/>
          <w:color w:val="000000" w:themeColor="text1"/>
          <w:sz w:val="21"/>
          <w:szCs w:val="21"/>
        </w:rPr>
        <w:t>、监测</w:t>
      </w:r>
      <w:r>
        <w:rPr>
          <w:rFonts w:hint="eastAsia" w:ascii="宋体" w:hAnsi="宋体" w:eastAsia="宋体" w:cs="宋体"/>
          <w:color w:val="000000" w:themeColor="text1"/>
          <w:sz w:val="21"/>
          <w:szCs w:val="21"/>
        </w:rPr>
        <w:t>方案，结算以确定的检验</w:t>
      </w:r>
      <w:r>
        <w:rPr>
          <w:rFonts w:hint="eastAsia" w:ascii="宋体" w:hAnsi="宋体" w:eastAsia="宋体" w:cs="宋体"/>
          <w:color w:val="000000" w:themeColor="text1"/>
          <w:sz w:val="21"/>
        </w:rPr>
        <w:t>、监测</w:t>
      </w:r>
      <w:r>
        <w:rPr>
          <w:rFonts w:hint="eastAsia" w:ascii="宋体" w:hAnsi="宋体" w:eastAsia="宋体" w:cs="宋体"/>
          <w:color w:val="000000" w:themeColor="text1"/>
          <w:sz w:val="21"/>
          <w:szCs w:val="21"/>
        </w:rPr>
        <w:t>方案为依据，工程量以实际发生为准。（实际发生的检测</w:t>
      </w:r>
      <w:r>
        <w:rPr>
          <w:rFonts w:ascii="宋体" w:hAnsi="宋体" w:cs="宋体"/>
          <w:color w:val="000000" w:themeColor="text1"/>
          <w:sz w:val="21"/>
          <w:szCs w:val="21"/>
        </w:rPr>
        <w:t>、监测</w:t>
      </w:r>
      <w:r>
        <w:rPr>
          <w:rFonts w:hint="eastAsia" w:ascii="宋体" w:hAnsi="宋体" w:eastAsia="宋体" w:cs="宋体"/>
          <w:color w:val="000000" w:themeColor="text1"/>
          <w:sz w:val="21"/>
          <w:szCs w:val="21"/>
        </w:rPr>
        <w:t>工程量须由甲方、监理单位、乙方现场确认，否则不予结算。经设计认可，建设单位有权增加或减少计划表所列检测</w:t>
      </w:r>
      <w:r>
        <w:rPr>
          <w:rFonts w:ascii="宋体" w:hAnsi="宋体" w:cs="宋体"/>
          <w:color w:val="000000" w:themeColor="text1"/>
          <w:sz w:val="21"/>
          <w:szCs w:val="21"/>
        </w:rPr>
        <w:t>、监测</w:t>
      </w:r>
      <w:r>
        <w:rPr>
          <w:rFonts w:hint="eastAsia" w:ascii="宋体" w:hAnsi="宋体" w:eastAsia="宋体" w:cs="宋体"/>
          <w:color w:val="000000" w:themeColor="text1"/>
          <w:sz w:val="21"/>
          <w:szCs w:val="21"/>
        </w:rPr>
        <w:t>方法和数量）。</w:t>
      </w:r>
    </w:p>
    <w:p>
      <w:pPr>
        <w:spacing w:after="5" w:line="369" w:lineRule="auto"/>
        <w:ind w:left="-15" w:right="197" w:firstLine="410"/>
        <w:jc w:val="both"/>
        <w:rPr>
          <w:rFonts w:ascii="宋体" w:hAnsi="宋体" w:eastAsia="宋体" w:cs="宋体"/>
          <w:color w:val="000000" w:themeColor="text1"/>
          <w:sz w:val="21"/>
          <w:szCs w:val="21"/>
        </w:rPr>
      </w:pPr>
      <w:r>
        <w:rPr>
          <w:rFonts w:ascii="宋体" w:hAnsi="宋体" w:eastAsia="宋体" w:cs="宋体"/>
          <w:color w:val="000000" w:themeColor="text1"/>
          <w:sz w:val="21"/>
        </w:rPr>
        <w:t>3.2.3.5</w:t>
      </w:r>
      <w:r>
        <w:rPr>
          <w:rFonts w:hint="eastAsia" w:ascii="宋体" w:hAnsi="宋体" w:eastAsia="宋体" w:cs="宋体"/>
          <w:color w:val="000000" w:themeColor="text1"/>
          <w:sz w:val="21"/>
          <w:szCs w:val="21"/>
        </w:rPr>
        <w:t>投标人可先到工地踏勘以充分了解工地位置、情况、道路、储存空间、装卸限制及任何其他足以影响承包价的情况，任何因忽视或误解工地情况而导致的索赔或工期延长申请将不被批准。</w:t>
      </w:r>
    </w:p>
    <w:p>
      <w:pPr>
        <w:spacing w:after="5" w:line="369" w:lineRule="auto"/>
        <w:ind w:left="-15" w:right="197" w:firstLine="410"/>
        <w:jc w:val="both"/>
        <w:rPr>
          <w:rFonts w:ascii="宋体" w:hAnsi="宋体" w:eastAsia="宋体" w:cs="宋体"/>
          <w:color w:val="auto"/>
          <w:sz w:val="21"/>
          <w:szCs w:val="21"/>
        </w:rPr>
      </w:pPr>
      <w:r>
        <w:rPr>
          <w:rFonts w:ascii="宋体" w:hAnsi="宋体" w:eastAsia="宋体" w:cs="宋体"/>
          <w:color w:val="000000" w:themeColor="text1"/>
          <w:sz w:val="21"/>
        </w:rPr>
        <w:t>3.2.3.6</w:t>
      </w:r>
      <w:r>
        <w:rPr>
          <w:rFonts w:hint="eastAsia" w:ascii="宋体" w:hAnsi="宋体" w:eastAsia="宋体" w:cs="宋体"/>
          <w:color w:val="000000" w:themeColor="text1"/>
          <w:sz w:val="21"/>
          <w:szCs w:val="21"/>
        </w:rPr>
        <w:t>投标人应根据现场勘察情况进行报价，该报价视为已包含了进行检测</w:t>
      </w:r>
      <w:r>
        <w:rPr>
          <w:rFonts w:ascii="宋体" w:hAnsi="宋体" w:cs="宋体"/>
          <w:color w:val="000000" w:themeColor="text1"/>
          <w:sz w:val="21"/>
          <w:szCs w:val="21"/>
        </w:rPr>
        <w:t>、监测</w:t>
      </w:r>
      <w:r>
        <w:rPr>
          <w:rFonts w:hint="eastAsia" w:ascii="宋体" w:hAnsi="宋体" w:eastAsia="宋体" w:cs="宋体"/>
          <w:color w:val="000000" w:themeColor="text1"/>
          <w:sz w:val="21"/>
          <w:szCs w:val="21"/>
        </w:rPr>
        <w:t>工作所</w:t>
      </w:r>
      <w:r>
        <w:rPr>
          <w:rFonts w:hint="eastAsia" w:ascii="宋体" w:hAnsi="宋体" w:eastAsia="宋体" w:cs="宋体"/>
          <w:color w:val="auto"/>
          <w:sz w:val="21"/>
          <w:szCs w:val="21"/>
        </w:rPr>
        <w:t>必要的人工、材料、机械设备、水电费及现场临时设施等所有费用。</w:t>
      </w:r>
    </w:p>
    <w:p>
      <w:pPr>
        <w:spacing w:after="5"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3.2.3.7</w:t>
      </w:r>
      <w:r>
        <w:rPr>
          <w:rFonts w:hint="eastAsia" w:ascii="宋体" w:hAnsi="宋体" w:eastAsia="宋体" w:cs="宋体"/>
          <w:color w:val="auto"/>
          <w:sz w:val="21"/>
          <w:szCs w:val="21"/>
        </w:rPr>
        <w:t>本工程投标报价采用的币种为人民币。</w:t>
      </w:r>
    </w:p>
    <w:p>
      <w:p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3.2.4 招标人设有招标控制价的，投标人的投标报价不得超过招标控制价，招标控制价在投标人须知前附表中载明。 </w:t>
      </w:r>
    </w:p>
    <w:p>
      <w:pPr>
        <w:pStyle w:val="32"/>
        <w:snapToGrid w:val="0"/>
        <w:spacing w:after="0" w:line="360" w:lineRule="auto"/>
        <w:ind w:firstLineChars="200"/>
        <w:rPr>
          <w:rFonts w:ascii="宋体" w:hAnsi="宋体" w:cs="宋体"/>
          <w:sz w:val="21"/>
          <w:szCs w:val="21"/>
          <w:u w:val="single"/>
        </w:rPr>
      </w:pPr>
      <w:r>
        <w:rPr>
          <w:rFonts w:hint="eastAsia" w:ascii="宋体" w:hAnsi="宋体" w:cs="宋体"/>
          <w:sz w:val="21"/>
        </w:rPr>
        <w:t>3.2.5投标报价的其他要求见投标人须知前附表。</w:t>
      </w:r>
    </w:p>
    <w:p>
      <w:pPr>
        <w:pStyle w:val="5"/>
        <w:spacing w:after="282"/>
        <w:ind w:left="132" w:right="0"/>
        <w:rPr>
          <w:rFonts w:ascii="宋体" w:hAnsi="宋体" w:eastAsia="宋体" w:cs="宋体"/>
          <w:color w:val="auto"/>
        </w:rPr>
      </w:pPr>
      <w:bookmarkStart w:id="83" w:name="_Toc142406597"/>
      <w:bookmarkStart w:id="84" w:name="_Toc508382115"/>
      <w:bookmarkStart w:id="85" w:name="_Toc508788632"/>
      <w:r>
        <w:rPr>
          <w:rFonts w:hint="eastAsia" w:ascii="宋体" w:hAnsi="宋体" w:eastAsia="宋体" w:cs="宋体"/>
          <w:color w:val="auto"/>
        </w:rPr>
        <w:t>3.3 投标有效期</w:t>
      </w:r>
      <w:bookmarkEnd w:id="83"/>
      <w:bookmarkEnd w:id="84"/>
      <w:bookmarkEnd w:id="85"/>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3.3.1 除投标人须知前附表另有规定外，投标有效期为90天。 </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3.3.2 在投标有效期内，投标人撤销投标文件的，应承担招标文件和法律规定的责任。 </w:t>
      </w:r>
    </w:p>
    <w:p>
      <w:pPr>
        <w:spacing w:after="234" w:line="356" w:lineRule="auto"/>
        <w:ind w:right="103" w:firstLine="420"/>
        <w:rPr>
          <w:rFonts w:ascii="宋体" w:hAnsi="宋体" w:eastAsia="宋体" w:cs="宋体"/>
          <w:color w:val="auto"/>
        </w:rPr>
      </w:pPr>
      <w:r>
        <w:rPr>
          <w:rFonts w:hint="eastAsia" w:ascii="宋体" w:hAnsi="宋体" w:eastAsia="宋体" w:cs="宋体"/>
          <w:color w:val="auto"/>
          <w:sz w:val="21"/>
        </w:rPr>
        <w:t xml:space="preserve">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 </w:t>
      </w:r>
    </w:p>
    <w:p>
      <w:pPr>
        <w:pStyle w:val="5"/>
        <w:spacing w:after="283"/>
        <w:ind w:left="132" w:right="0"/>
        <w:rPr>
          <w:rFonts w:ascii="宋体" w:hAnsi="宋体" w:eastAsia="宋体" w:cs="宋体"/>
          <w:color w:val="auto"/>
        </w:rPr>
      </w:pPr>
      <w:bookmarkStart w:id="86" w:name="_Toc508788633"/>
      <w:bookmarkStart w:id="87" w:name="_Toc508382116"/>
      <w:bookmarkStart w:id="88" w:name="_Toc142406598"/>
      <w:r>
        <w:rPr>
          <w:rFonts w:hint="eastAsia" w:ascii="宋体" w:hAnsi="宋体" w:eastAsia="宋体" w:cs="宋体"/>
          <w:color w:val="auto"/>
        </w:rPr>
        <w:t>3.4 投标保证金</w:t>
      </w:r>
      <w:bookmarkEnd w:id="86"/>
      <w:bookmarkEnd w:id="87"/>
      <w:bookmarkEnd w:id="88"/>
    </w:p>
    <w:p>
      <w:pPr>
        <w:spacing w:after="123" w:line="358" w:lineRule="auto"/>
        <w:ind w:right="103" w:firstLine="420"/>
        <w:rPr>
          <w:rFonts w:ascii="宋体" w:hAnsi="宋体" w:eastAsia="宋体" w:cs="宋体"/>
          <w:dstrike/>
          <w:color w:val="auto"/>
        </w:rPr>
      </w:pPr>
      <w:r>
        <w:rPr>
          <w:rFonts w:hint="eastAsia" w:ascii="宋体" w:hAnsi="宋体" w:eastAsia="宋体" w:cs="宋体"/>
          <w:color w:val="auto"/>
          <w:sz w:val="21"/>
        </w:rPr>
        <w:t xml:space="preserve">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 </w:t>
      </w:r>
    </w:p>
    <w:p>
      <w:pPr>
        <w:spacing w:after="123" w:line="358" w:lineRule="auto"/>
        <w:ind w:right="103" w:firstLine="420"/>
        <w:rPr>
          <w:rFonts w:ascii="宋体" w:hAnsi="宋体" w:eastAsia="宋体" w:cs="宋体"/>
          <w:color w:val="auto"/>
        </w:rPr>
      </w:pPr>
      <w:r>
        <w:rPr>
          <w:rFonts w:hint="eastAsia" w:ascii="宋体" w:hAnsi="宋体" w:eastAsia="宋体" w:cs="宋体"/>
          <w:color w:val="auto"/>
          <w:sz w:val="21"/>
        </w:rPr>
        <w:t xml:space="preserve">3.4.2 投标人不按本章第 3.4.1 项要求提交投标保证金的，评标委员会将否决其投标。 </w:t>
      </w:r>
    </w:p>
    <w:p>
      <w:pPr>
        <w:spacing w:after="0" w:line="372" w:lineRule="auto"/>
        <w:ind w:right="103" w:firstLine="420"/>
        <w:rPr>
          <w:rFonts w:ascii="宋体" w:hAnsi="宋体" w:eastAsia="宋体" w:cs="宋体"/>
          <w:color w:val="auto"/>
          <w:sz w:val="21"/>
          <w:szCs w:val="21"/>
        </w:rPr>
      </w:pPr>
      <w:r>
        <w:rPr>
          <w:rFonts w:hint="eastAsia" w:ascii="宋体" w:hAnsi="宋体" w:eastAsia="宋体" w:cs="宋体"/>
          <w:color w:val="auto"/>
          <w:sz w:val="21"/>
          <w:szCs w:val="21"/>
        </w:rPr>
        <w:t xml:space="preserve">3.4.3 招标人最迟将在与中标人签订合同后 5 日内，向未中标的投标人和中标人退还投标保证金。投标保证金以现金或者支票形式递交的，还应退还银行同期存款利息。 </w:t>
      </w:r>
    </w:p>
    <w:p>
      <w:pPr>
        <w:spacing w:after="123" w:line="265" w:lineRule="auto"/>
        <w:ind w:left="417" w:right="103" w:hanging="10"/>
        <w:rPr>
          <w:rFonts w:ascii="宋体" w:hAnsi="宋体" w:eastAsia="宋体" w:cs="宋体"/>
          <w:color w:val="auto"/>
          <w:sz w:val="21"/>
          <w:szCs w:val="21"/>
        </w:rPr>
      </w:pPr>
      <w:r>
        <w:rPr>
          <w:rFonts w:hint="eastAsia" w:ascii="宋体" w:hAnsi="宋体" w:eastAsia="宋体" w:cs="宋体"/>
          <w:color w:val="auto"/>
          <w:sz w:val="21"/>
          <w:szCs w:val="21"/>
        </w:rPr>
        <w:t>3.4.4</w:t>
      </w:r>
      <w:r>
        <w:rPr>
          <w:rFonts w:hint="eastAsia" w:ascii="宋体" w:hAnsi="宋体" w:eastAsia="宋体" w:cs="宋体"/>
          <w:color w:val="auto"/>
          <w:kern w:val="0"/>
          <w:sz w:val="21"/>
          <w:szCs w:val="21"/>
        </w:rPr>
        <w:t>如有下列情况之一的，将不予退还投标担保：</w:t>
      </w:r>
    </w:p>
    <w:p>
      <w:pPr>
        <w:pStyle w:val="14"/>
        <w:kinsoku w:val="0"/>
        <w:overflowPunct w:val="0"/>
        <w:spacing w:line="310" w:lineRule="auto"/>
        <w:ind w:right="222" w:firstLine="840" w:firstLineChars="400"/>
        <w:jc w:val="both"/>
        <w:rPr>
          <w:rFonts w:ascii="宋体" w:hAnsi="宋体" w:cs="宋体"/>
          <w:color w:val="auto"/>
          <w:sz w:val="21"/>
          <w:szCs w:val="21"/>
        </w:rPr>
      </w:pPr>
      <w:r>
        <w:rPr>
          <w:rFonts w:hint="eastAsia" w:ascii="宋体" w:hAnsi="宋体" w:cs="宋体"/>
          <w:color w:val="auto"/>
          <w:sz w:val="21"/>
          <w:szCs w:val="21"/>
        </w:rPr>
        <w:t>（1）因投标人原因造成投标文件未解密的；</w:t>
      </w:r>
    </w:p>
    <w:p>
      <w:pPr>
        <w:pStyle w:val="14"/>
        <w:kinsoku w:val="0"/>
        <w:overflowPunct w:val="0"/>
        <w:spacing w:line="310" w:lineRule="auto"/>
        <w:ind w:right="222" w:firstLine="840" w:firstLineChars="400"/>
        <w:jc w:val="both"/>
        <w:rPr>
          <w:rFonts w:ascii="宋体" w:hAnsi="宋体" w:cs="宋体"/>
          <w:color w:val="auto"/>
          <w:sz w:val="21"/>
          <w:szCs w:val="21"/>
        </w:rPr>
      </w:pPr>
      <w:r>
        <w:rPr>
          <w:rFonts w:hint="eastAsia" w:ascii="宋体" w:hAnsi="宋体" w:cs="宋体"/>
          <w:color w:val="auto"/>
          <w:sz w:val="21"/>
          <w:szCs w:val="21"/>
        </w:rPr>
        <w:t>（2）投标人在投标有效期内撤销投标标书；</w:t>
      </w:r>
    </w:p>
    <w:p>
      <w:pPr>
        <w:pStyle w:val="14"/>
        <w:kinsoku w:val="0"/>
        <w:overflowPunct w:val="0"/>
        <w:spacing w:line="310" w:lineRule="auto"/>
        <w:ind w:right="222" w:firstLine="840" w:firstLineChars="400"/>
        <w:jc w:val="both"/>
        <w:rPr>
          <w:rFonts w:ascii="宋体" w:hAnsi="宋体" w:cs="宋体"/>
          <w:color w:val="auto"/>
          <w:sz w:val="21"/>
          <w:szCs w:val="21"/>
        </w:rPr>
      </w:pPr>
      <w:r>
        <w:rPr>
          <w:rFonts w:hint="eastAsia" w:ascii="宋体" w:hAnsi="宋体" w:cs="宋体"/>
          <w:color w:val="auto"/>
          <w:sz w:val="21"/>
          <w:szCs w:val="21"/>
        </w:rPr>
        <w:t>（3）中标人未能在规定期限内按要求提交履约担保；</w:t>
      </w:r>
    </w:p>
    <w:p>
      <w:pPr>
        <w:pStyle w:val="14"/>
        <w:kinsoku w:val="0"/>
        <w:overflowPunct w:val="0"/>
        <w:spacing w:line="310" w:lineRule="auto"/>
        <w:ind w:right="222" w:firstLine="840" w:firstLineChars="400"/>
        <w:jc w:val="both"/>
        <w:rPr>
          <w:rFonts w:ascii="宋体" w:hAnsi="宋体" w:cs="宋体"/>
          <w:color w:val="auto"/>
          <w:sz w:val="21"/>
          <w:szCs w:val="21"/>
        </w:rPr>
      </w:pPr>
      <w:r>
        <w:rPr>
          <w:rFonts w:hint="eastAsia" w:ascii="宋体" w:hAnsi="宋体" w:cs="宋体"/>
          <w:color w:val="auto"/>
          <w:sz w:val="21"/>
          <w:szCs w:val="21"/>
        </w:rPr>
        <w:t>（4）中标人未能在规定期限内签署合同协议。</w:t>
      </w:r>
    </w:p>
    <w:p>
      <w:pPr>
        <w:pStyle w:val="14"/>
        <w:kinsoku w:val="0"/>
        <w:overflowPunct w:val="0"/>
        <w:spacing w:line="310" w:lineRule="auto"/>
        <w:ind w:right="222"/>
        <w:jc w:val="both"/>
        <w:rPr>
          <w:rFonts w:ascii="宋体" w:hAnsi="宋体" w:cs="宋体"/>
          <w:color w:val="auto"/>
          <w:sz w:val="21"/>
          <w:szCs w:val="21"/>
        </w:rPr>
      </w:pPr>
      <w:r>
        <w:rPr>
          <w:rFonts w:hint="eastAsia" w:ascii="宋体" w:hAnsi="宋体" w:cs="宋体"/>
          <w:color w:val="auto"/>
          <w:sz w:val="21"/>
          <w:szCs w:val="21"/>
        </w:rPr>
        <w:t>3.5资格审查资料（适用于已进行资格预审的）</w:t>
      </w:r>
    </w:p>
    <w:p>
      <w:pPr>
        <w:pStyle w:val="14"/>
        <w:kinsoku w:val="0"/>
        <w:overflowPunct w:val="0"/>
        <w:spacing w:line="310" w:lineRule="auto"/>
        <w:ind w:right="222" w:firstLine="424" w:firstLineChars="202"/>
        <w:jc w:val="both"/>
        <w:rPr>
          <w:rFonts w:ascii="宋体" w:hAnsi="宋体" w:cs="宋体"/>
          <w:strike/>
          <w:color w:val="auto"/>
          <w:sz w:val="21"/>
          <w:szCs w:val="21"/>
        </w:rPr>
      </w:pPr>
      <w:r>
        <w:rPr>
          <w:rFonts w:hint="eastAsia" w:ascii="宋体" w:hAnsi="宋体" w:cs="宋体"/>
          <w:strike/>
          <w:color w:val="auto"/>
          <w:sz w:val="21"/>
          <w:szCs w:val="21"/>
        </w:rPr>
        <w:t>投标人在递交投标文件前，发生可能影响其投标资格的新情况的，应更新或补充其在申请 资格预审时提供的资料，以证实其各项资格条件仍能继续满足资格预审文件的要求，且没有实 质性降低。</w:t>
      </w:r>
    </w:p>
    <w:p>
      <w:pPr>
        <w:pStyle w:val="5"/>
        <w:spacing w:after="281"/>
        <w:ind w:left="132" w:right="0"/>
        <w:rPr>
          <w:rFonts w:ascii="宋体" w:hAnsi="宋体" w:eastAsia="宋体" w:cs="宋体"/>
          <w:color w:val="auto"/>
          <w:sz w:val="21"/>
          <w:szCs w:val="21"/>
        </w:rPr>
      </w:pPr>
      <w:bookmarkStart w:id="89" w:name="_Toc508382117"/>
      <w:bookmarkStart w:id="90" w:name="_Toc142406599"/>
      <w:bookmarkStart w:id="91" w:name="_Toc508788634"/>
      <w:r>
        <w:rPr>
          <w:rFonts w:hint="eastAsia" w:ascii="宋体" w:hAnsi="宋体" w:eastAsia="宋体" w:cs="宋体"/>
          <w:color w:val="auto"/>
          <w:sz w:val="21"/>
          <w:szCs w:val="21"/>
        </w:rPr>
        <w:t>3.5 资格审查资料（适用于未进行资格预审的）</w:t>
      </w:r>
      <w:bookmarkEnd w:id="89"/>
      <w:bookmarkEnd w:id="90"/>
      <w:bookmarkEnd w:id="91"/>
    </w:p>
    <w:p>
      <w:pPr>
        <w:spacing w:after="18" w:line="355" w:lineRule="auto"/>
        <w:ind w:right="103" w:firstLine="420"/>
        <w:rPr>
          <w:rFonts w:ascii="宋体" w:hAnsi="宋体" w:eastAsia="宋体" w:cs="宋体"/>
          <w:color w:val="auto"/>
        </w:rPr>
      </w:pPr>
      <w:r>
        <w:rPr>
          <w:rFonts w:hint="eastAsia" w:ascii="宋体" w:hAnsi="宋体" w:eastAsia="宋体" w:cs="宋体"/>
          <w:color w:val="auto"/>
          <w:sz w:val="21"/>
          <w:szCs w:val="21"/>
        </w:rPr>
        <w:t>除投标人须知前附表另有规定外，投标人应按下列规定提供资格审查资料，以证明其满足本</w:t>
      </w:r>
      <w:r>
        <w:rPr>
          <w:rFonts w:hint="eastAsia" w:ascii="宋体" w:hAnsi="宋体" w:eastAsia="宋体" w:cs="宋体"/>
          <w:color w:val="auto"/>
          <w:sz w:val="21"/>
        </w:rPr>
        <w:t>章第 1.4 款规定的资质、财务、业绩、信誉等要求。</w:t>
      </w:r>
    </w:p>
    <w:p>
      <w:pPr>
        <w:spacing w:after="0" w:line="367" w:lineRule="auto"/>
        <w:ind w:right="103" w:firstLine="420"/>
        <w:rPr>
          <w:rFonts w:ascii="宋体" w:hAnsi="宋体" w:eastAsia="宋体" w:cs="宋体"/>
          <w:color w:val="auto"/>
          <w:sz w:val="21"/>
        </w:rPr>
      </w:pPr>
      <w:r>
        <w:rPr>
          <w:rFonts w:hint="eastAsia" w:ascii="宋体" w:hAnsi="宋体" w:eastAsia="宋体" w:cs="宋体"/>
          <w:color w:val="auto"/>
          <w:sz w:val="21"/>
        </w:rPr>
        <w:t>3.5.1投标人具有承接本工程所需的以下资质条件：</w:t>
      </w:r>
    </w:p>
    <w:p>
      <w:pPr>
        <w:spacing w:after="1" w:line="369" w:lineRule="auto"/>
        <w:ind w:right="103" w:firstLine="420"/>
        <w:rPr>
          <w:rFonts w:ascii="宋体" w:hAnsi="宋体" w:eastAsia="宋体" w:cs="宋体"/>
          <w:color w:val="auto"/>
          <w:sz w:val="21"/>
        </w:rPr>
      </w:pPr>
      <w:r>
        <w:rPr>
          <w:rFonts w:hint="eastAsia" w:ascii="宋体" w:hAnsi="宋体" w:eastAsia="宋体" w:cs="宋体"/>
          <w:color w:val="auto"/>
          <w:sz w:val="21"/>
        </w:rPr>
        <w:t>1）投标人参加投标的意思表达清楚，投标人代表被授权有效；</w:t>
      </w:r>
    </w:p>
    <w:p>
      <w:pPr>
        <w:spacing w:after="1" w:line="369" w:lineRule="auto"/>
        <w:ind w:right="103" w:firstLine="420"/>
        <w:rPr>
          <w:rFonts w:ascii="宋体" w:hAnsi="宋体" w:eastAsia="宋体" w:cs="宋体"/>
          <w:color w:val="auto"/>
          <w:sz w:val="21"/>
        </w:rPr>
      </w:pPr>
      <w:r>
        <w:rPr>
          <w:rFonts w:hint="eastAsia" w:ascii="宋体" w:hAnsi="宋体" w:eastAsia="宋体" w:cs="宋体"/>
          <w:color w:val="auto"/>
          <w:sz w:val="21"/>
        </w:rPr>
        <w:t>2）投标人（若为联合体投标，指联合体各方）均具有独立法人资格，按国家法律经营；持有事业单位登记管理部门核发的事业单位法人证书且在有效期内或工商行政管理部门核发的企业法人营业执照且在有效期内；</w:t>
      </w:r>
    </w:p>
    <w:p>
      <w:pPr>
        <w:spacing w:after="1" w:line="369" w:lineRule="auto"/>
        <w:ind w:right="103" w:firstLine="420"/>
        <w:rPr>
          <w:rFonts w:ascii="宋体" w:hAnsi="宋体" w:eastAsia="宋体" w:cs="宋体"/>
          <w:color w:val="auto"/>
          <w:sz w:val="21"/>
        </w:rPr>
      </w:pPr>
      <w:r>
        <w:rPr>
          <w:rFonts w:hint="eastAsia" w:ascii="宋体" w:hAnsi="宋体" w:eastAsia="宋体" w:cs="宋体"/>
          <w:color w:val="auto"/>
          <w:sz w:val="21"/>
        </w:rPr>
        <w:t>3）投标人须同时具备以下资质：</w:t>
      </w:r>
    </w:p>
    <w:p>
      <w:pPr>
        <w:spacing w:after="1" w:line="369" w:lineRule="auto"/>
        <w:ind w:right="103" w:firstLine="420"/>
        <w:rPr>
          <w:rFonts w:ascii="宋体" w:hAnsi="宋体" w:eastAsia="宋体" w:cs="宋体"/>
          <w:color w:val="auto"/>
          <w:sz w:val="21"/>
        </w:rPr>
      </w:pPr>
      <w:r>
        <w:rPr>
          <w:rFonts w:hint="eastAsia" w:ascii="宋体" w:hAnsi="宋体" w:eastAsia="宋体" w:cs="宋体"/>
          <w:color w:val="auto"/>
          <w:sz w:val="21"/>
        </w:rPr>
        <w:t>3.1</w:t>
      </w:r>
      <w:r>
        <w:rPr>
          <w:rFonts w:hint="eastAsia" w:ascii="宋体" w:hAnsi="宋体" w:eastAsia="宋体" w:cs="宋体"/>
          <w:color w:val="auto"/>
          <w:sz w:val="21"/>
          <w:szCs w:val="21"/>
        </w:rPr>
        <w:t>投</w:t>
      </w:r>
      <w:r>
        <w:rPr>
          <w:rFonts w:hint="eastAsia" w:ascii="宋体" w:hAnsi="宋体" w:eastAsia="宋体" w:cs="宋体"/>
          <w:sz w:val="21"/>
          <w:szCs w:val="21"/>
        </w:rPr>
        <w:t>标人</w:t>
      </w:r>
      <w:r>
        <w:rPr>
          <w:rFonts w:hint="eastAsia" w:ascii="宋体" w:hAnsi="宋体" w:eastAsia="宋体" w:cs="宋体"/>
          <w:b/>
          <w:sz w:val="21"/>
          <w:szCs w:val="21"/>
        </w:rPr>
        <w:t>（若为联合体投标，指承担检测任务的单位）</w:t>
      </w:r>
      <w:r>
        <w:rPr>
          <w:rFonts w:hint="eastAsia" w:ascii="宋体" w:hAnsi="宋体" w:eastAsia="宋体" w:cs="宋体"/>
          <w:color w:val="auto"/>
          <w:sz w:val="21"/>
          <w:szCs w:val="21"/>
        </w:rPr>
        <w:t>具有建设行政主管部门颁发的建设工程质量检测机构资质证书（检测范围须覆盖招标主要内容：主体结构工程现场检测、地基基础工程检测、见证取样检测），证书在有效期以内；</w:t>
      </w:r>
      <w:r>
        <w:rPr>
          <w:rFonts w:hint="eastAsia" w:cs="宋体" w:asciiTheme="majorEastAsia" w:hAnsiTheme="majorEastAsia" w:eastAsiaTheme="majorEastAsia"/>
          <w:color w:val="auto"/>
          <w:sz w:val="21"/>
          <w:szCs w:val="21"/>
        </w:rPr>
        <w:t>或根据《住房和城</w:t>
      </w:r>
      <w:r>
        <w:rPr>
          <w:rFonts w:hint="eastAsia" w:cs="宋体" w:asciiTheme="majorEastAsia" w:hAnsiTheme="majorEastAsia" w:eastAsiaTheme="majorEastAsia"/>
          <w:sz w:val="21"/>
          <w:szCs w:val="21"/>
        </w:rPr>
        <w:t>乡建设部关于印发《建设工程质量检测机构资质标准》的通知》（建质规〔2023〕1号，以下简称新标准）具有有效的建设行政主管部门颁发的建设工程质量检测机构综合资质证书或专项资质证书（专项资质证书包括：建筑材料及构配件、主体结构及装饰装修、地基基础）。</w:t>
      </w:r>
      <w:r>
        <w:rPr>
          <w:rFonts w:hint="eastAsia" w:cs="宋体" w:asciiTheme="majorEastAsia" w:hAnsiTheme="majorEastAsia" w:eastAsiaTheme="majorEastAsia"/>
          <w:sz w:val="21"/>
          <w:szCs w:val="21"/>
          <w:u w:val="single"/>
        </w:rPr>
        <w:t>如投标人检测机构资质证书的检测项目与</w:t>
      </w:r>
      <w:r>
        <w:rPr>
          <w:rFonts w:hint="eastAsia" w:cs="宋体" w:asciiTheme="majorEastAsia" w:hAnsiTheme="majorEastAsia" w:eastAsiaTheme="majorEastAsia"/>
          <w:bCs/>
          <w:sz w:val="21"/>
          <w:szCs w:val="21"/>
          <w:u w:val="single"/>
        </w:rPr>
        <w:t>主要检测内容</w:t>
      </w:r>
      <w:r>
        <w:rPr>
          <w:rFonts w:hint="eastAsia" w:cs="宋体" w:asciiTheme="majorEastAsia" w:hAnsiTheme="majorEastAsia" w:eastAsiaTheme="majorEastAsia"/>
          <w:sz w:val="21"/>
          <w:szCs w:val="21"/>
          <w:u w:val="single"/>
        </w:rPr>
        <w:t>名称不同，但表达的意思一致也视为满足该项条件</w:t>
      </w:r>
      <w:r>
        <w:rPr>
          <w:rFonts w:hint="eastAsia" w:cs="宋体" w:asciiTheme="majorEastAsia" w:hAnsiTheme="majorEastAsia" w:eastAsiaTheme="majorEastAsia"/>
          <w:bCs/>
          <w:sz w:val="21"/>
          <w:szCs w:val="21"/>
          <w:u w:val="single"/>
        </w:rPr>
        <w:t>。</w:t>
      </w:r>
    </w:p>
    <w:p>
      <w:pPr>
        <w:spacing w:after="1" w:line="369" w:lineRule="auto"/>
        <w:ind w:right="103" w:firstLine="420"/>
        <w:rPr>
          <w:rFonts w:ascii="宋体" w:hAnsi="宋体" w:eastAsia="宋体" w:cs="宋体"/>
          <w:color w:val="000000" w:themeColor="text1"/>
          <w:sz w:val="24"/>
          <w:szCs w:val="24"/>
        </w:rPr>
      </w:pPr>
      <w:r>
        <w:rPr>
          <w:rFonts w:hint="eastAsia" w:ascii="宋体" w:hAnsi="宋体" w:eastAsia="宋体" w:cs="宋体"/>
          <w:color w:val="auto"/>
          <w:sz w:val="21"/>
        </w:rPr>
        <w:t>3.2投标人</w:t>
      </w:r>
      <w:r>
        <w:rPr>
          <w:rFonts w:hint="eastAsia" w:ascii="宋体" w:hAnsi="宋体" w:eastAsia="宋体" w:cs="宋体"/>
          <w:color w:val="000000" w:themeColor="text1"/>
          <w:sz w:val="21"/>
        </w:rPr>
        <w:t>（若为联合体投标，指各自承担检测、监测任务的单位）持有质量技术监督部门颁发的CMA计量认证合格证书（认证范围须覆盖本次招标的主要内容,范围须涵盖包括：（1）检测认证范围为：主体结构工程现场检测、地基基础工程检测、见证取样检测。（2）监测认证范围为：基坑监测、沉降观测、高支模监测。如CMA计量认证合格证书中的认证项目与本次招标主要内容的名称不同，但表达的意思一致也视为满足该项条件），且计量认证证书需在有效期内；</w:t>
      </w:r>
    </w:p>
    <w:p>
      <w:pPr>
        <w:spacing w:line="440" w:lineRule="exact"/>
        <w:ind w:firstLine="480"/>
        <w:rPr>
          <w:rFonts w:ascii="宋体" w:hAnsi="宋体" w:cs="宋体"/>
          <w:sz w:val="21"/>
          <w:szCs w:val="21"/>
          <w:u w:val="single"/>
        </w:rPr>
      </w:pPr>
      <w:r>
        <w:rPr>
          <w:rFonts w:hint="eastAsia" w:ascii="宋体" w:hAnsi="宋体" w:eastAsia="宋体" w:cs="宋体"/>
          <w:color w:val="000000" w:themeColor="text1"/>
          <w:sz w:val="21"/>
        </w:rPr>
        <w:t>3.3</w:t>
      </w:r>
      <w:r>
        <w:rPr>
          <w:rFonts w:ascii="宋体" w:hAnsi="宋体" w:cs="宋体"/>
          <w:kern w:val="0"/>
          <w:sz w:val="21"/>
          <w:szCs w:val="21"/>
        </w:rPr>
        <w:t>投标人（若为联合体投标，指承担监测任务的单位）</w:t>
      </w:r>
      <w:r>
        <w:rPr>
          <w:rFonts w:hint="eastAsia" w:ascii="宋体" w:hAnsi="宋体" w:cs="宋体"/>
          <w:sz w:val="21"/>
          <w:szCs w:val="21"/>
          <w:u w:val="single"/>
        </w:rPr>
        <w:t>须具有建设行政主管部门颁发的以下任意一种①、②、③资质：</w:t>
      </w:r>
    </w:p>
    <w:p>
      <w:pPr>
        <w:pStyle w:val="75"/>
        <w:rPr>
          <w:rFonts w:ascii="宋体" w:hAnsi="宋体" w:cs="宋体"/>
          <w:color w:val="000000"/>
          <w:kern w:val="0"/>
          <w:szCs w:val="21"/>
        </w:rPr>
      </w:pPr>
      <w:r>
        <w:rPr>
          <w:rFonts w:hint="eastAsia" w:ascii="宋体" w:hAnsi="宋体" w:cs="宋体"/>
          <w:color w:val="000000"/>
          <w:szCs w:val="21"/>
          <w:u w:val="single"/>
        </w:rPr>
        <w:t>①</w:t>
      </w:r>
      <w:r>
        <w:rPr>
          <w:rFonts w:ascii="宋体" w:hAnsi="宋体" w:cs="宋体"/>
          <w:color w:val="000000"/>
          <w:kern w:val="0"/>
          <w:szCs w:val="21"/>
        </w:rPr>
        <w:t>工程勘察综合资质甲级资质；</w:t>
      </w:r>
    </w:p>
    <w:p>
      <w:pPr>
        <w:pStyle w:val="75"/>
        <w:rPr>
          <w:rFonts w:ascii="宋体" w:hAnsi="宋体" w:cs="宋体"/>
          <w:color w:val="000000"/>
          <w:kern w:val="0"/>
          <w:szCs w:val="21"/>
        </w:rPr>
      </w:pPr>
      <w:r>
        <w:rPr>
          <w:rFonts w:hint="eastAsia" w:ascii="宋体" w:hAnsi="宋体" w:cs="宋体"/>
          <w:color w:val="000000"/>
          <w:szCs w:val="21"/>
          <w:u w:val="single"/>
        </w:rPr>
        <w:t>②</w:t>
      </w:r>
      <w:r>
        <w:rPr>
          <w:rFonts w:ascii="宋体" w:hAnsi="宋体" w:cs="宋体"/>
          <w:color w:val="000000"/>
          <w:kern w:val="0"/>
          <w:szCs w:val="21"/>
        </w:rPr>
        <w:t>工程勘察专业（岩土工程）</w:t>
      </w:r>
      <w:r>
        <w:rPr>
          <w:rFonts w:hint="eastAsia" w:ascii="宋体" w:hAnsi="宋体" w:cs="宋体"/>
          <w:color w:val="000000"/>
          <w:kern w:val="0"/>
          <w:szCs w:val="21"/>
        </w:rPr>
        <w:t>甲</w:t>
      </w:r>
      <w:r>
        <w:rPr>
          <w:rFonts w:ascii="宋体" w:hAnsi="宋体" w:cs="宋体"/>
          <w:color w:val="000000"/>
          <w:kern w:val="0"/>
          <w:szCs w:val="21"/>
        </w:rPr>
        <w:t>级资质和工程勘察专业类工程测量丙级或以上资质；</w:t>
      </w:r>
    </w:p>
    <w:p>
      <w:pPr>
        <w:pStyle w:val="75"/>
        <w:rPr>
          <w:szCs w:val="21"/>
        </w:rPr>
      </w:pPr>
      <w:r>
        <w:rPr>
          <w:rFonts w:hint="eastAsia" w:ascii="宋体" w:hAnsi="宋体" w:cs="宋体"/>
          <w:color w:val="000000"/>
          <w:szCs w:val="21"/>
          <w:u w:val="single"/>
        </w:rPr>
        <w:t>③</w:t>
      </w:r>
      <w:r>
        <w:rPr>
          <w:rFonts w:ascii="宋体" w:hAnsi="宋体" w:cs="宋体"/>
          <w:color w:val="000000"/>
          <w:kern w:val="0"/>
          <w:szCs w:val="21"/>
        </w:rPr>
        <w:t>工程勘察专业（岩土工程（分项）物探测试检测监测）甲级资质和工程勘察专业类工程测量丙级或以上资质。</w:t>
      </w:r>
    </w:p>
    <w:p>
      <w:pPr>
        <w:spacing w:after="1" w:line="369" w:lineRule="auto"/>
        <w:ind w:right="103" w:firstLine="420" w:firstLineChars="200"/>
        <w:rPr>
          <w:rFonts w:ascii="宋体" w:hAnsi="宋体" w:eastAsia="宋体" w:cs="宋体"/>
          <w:color w:val="auto"/>
          <w:sz w:val="21"/>
        </w:rPr>
      </w:pPr>
      <w:r>
        <w:rPr>
          <w:rFonts w:hint="eastAsia" w:ascii="宋体" w:hAnsi="宋体" w:eastAsia="宋体" w:cs="宋体"/>
          <w:color w:val="auto"/>
          <w:sz w:val="21"/>
        </w:rPr>
        <w:t>4）其他要求：</w:t>
      </w:r>
    </w:p>
    <w:p>
      <w:pPr>
        <w:spacing w:after="1" w:line="369" w:lineRule="auto"/>
        <w:ind w:right="103" w:firstLine="420" w:firstLineChars="200"/>
        <w:rPr>
          <w:rFonts w:ascii="宋体" w:hAnsi="宋体" w:eastAsia="方正书宋简体" w:cs="宋体"/>
          <w:kern w:val="0"/>
          <w:sz w:val="24"/>
          <w:szCs w:val="20"/>
        </w:rPr>
      </w:pPr>
      <w:r>
        <w:rPr>
          <w:rFonts w:hint="eastAsia" w:ascii="宋体" w:hAnsi="宋体" w:eastAsia="宋体" w:cs="宋体"/>
          <w:color w:val="auto"/>
          <w:sz w:val="21"/>
        </w:rPr>
        <w:t>①投标人（若为联合体投标，指联合体各方）参加投标活动前3年内，在经营活动中没有重大违法记录。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ascii="宋体" w:hAnsi="宋体" w:eastAsia="宋体" w:cs="宋体"/>
          <w:color w:val="auto"/>
          <w:sz w:val="21"/>
        </w:rPr>
        <w:t>；（《投标人声明》中承诺）</w:t>
      </w:r>
    </w:p>
    <w:p>
      <w:pPr>
        <w:spacing w:after="1" w:line="369" w:lineRule="auto"/>
        <w:ind w:right="103" w:firstLine="420" w:firstLineChars="200"/>
        <w:rPr>
          <w:color w:val="auto"/>
          <w:sz w:val="21"/>
        </w:rPr>
      </w:pPr>
      <w:r>
        <w:rPr>
          <w:rFonts w:hint="eastAsia" w:ascii="宋体" w:hAnsi="宋体" w:eastAsia="宋体" w:cs="宋体"/>
          <w:color w:val="auto"/>
          <w:sz w:val="21"/>
        </w:rPr>
        <w:t>②投标人（若为联合体投标，指联合体各方）已按照附件一的内容签署盖章《投标人声明》；</w:t>
      </w:r>
    </w:p>
    <w:p>
      <w:pPr>
        <w:spacing w:after="1" w:line="369" w:lineRule="auto"/>
        <w:ind w:right="103" w:firstLine="420" w:firstLineChars="200"/>
        <w:rPr>
          <w:rFonts w:ascii="宋体" w:hAnsi="宋体" w:eastAsia="宋体" w:cs="宋体"/>
          <w:color w:val="000000" w:themeColor="text1"/>
          <w:sz w:val="21"/>
        </w:rPr>
      </w:pPr>
      <w:r>
        <w:rPr>
          <w:rFonts w:hint="eastAsia" w:ascii="宋体" w:hAnsi="宋体" w:eastAsia="宋体" w:cs="宋体"/>
          <w:color w:val="auto"/>
          <w:sz w:val="21"/>
        </w:rPr>
        <w:t>③投标人（若为联合体投标，指联合体各方）</w:t>
      </w:r>
      <w:r>
        <w:rPr>
          <w:rFonts w:hint="eastAsia" w:ascii="宋体" w:hAnsi="宋体" w:eastAsia="宋体" w:cs="宋体"/>
          <w:color w:val="000000" w:themeColor="text1"/>
          <w:sz w:val="21"/>
        </w:rPr>
        <w:t>必须于投标登记前在在广州市住建行业信用管理平台建立诚信档案；</w:t>
      </w:r>
    </w:p>
    <w:p>
      <w:pPr>
        <w:spacing w:after="1" w:line="369" w:lineRule="auto"/>
        <w:ind w:right="103" w:firstLine="420" w:firstLineChars="200"/>
        <w:rPr>
          <w:rFonts w:ascii="宋体" w:hAnsi="宋体" w:eastAsia="宋体" w:cs="宋体"/>
          <w:color w:val="auto"/>
          <w:sz w:val="21"/>
        </w:rPr>
      </w:pPr>
      <w:r>
        <w:rPr>
          <w:rFonts w:hint="eastAsia" w:ascii="宋体" w:hAnsi="宋体" w:eastAsia="宋体" w:cs="宋体"/>
          <w:color w:val="auto"/>
          <w:sz w:val="21"/>
        </w:rPr>
        <w:t>5）《联合体共同投标协议书》（投标人以联合体投标的需提供）。</w:t>
      </w:r>
    </w:p>
    <w:p>
      <w:pPr>
        <w:autoSpaceDE w:val="0"/>
        <w:spacing w:line="360" w:lineRule="auto"/>
        <w:ind w:firstLine="420" w:firstLineChars="200"/>
        <w:rPr>
          <w:color w:val="auto"/>
        </w:rPr>
      </w:pPr>
      <w:r>
        <w:rPr>
          <w:rFonts w:hint="eastAsia" w:ascii="宋体" w:hAnsi="宋体" w:eastAsia="宋体" w:cs="宋体"/>
          <w:color w:val="auto"/>
          <w:sz w:val="21"/>
        </w:rPr>
        <w:t>6）投标人认为有必要提供的其他材料。</w:t>
      </w:r>
    </w:p>
    <w:p>
      <w:pPr>
        <w:pStyle w:val="5"/>
        <w:spacing w:after="284"/>
        <w:ind w:left="132"/>
        <w:rPr>
          <w:rFonts w:ascii="宋体" w:hAnsi="宋体" w:eastAsia="宋体" w:cs="宋体"/>
          <w:color w:val="auto"/>
        </w:rPr>
      </w:pPr>
      <w:bookmarkStart w:id="92" w:name="_Toc508382118"/>
      <w:bookmarkStart w:id="93" w:name="_Toc142406600"/>
      <w:bookmarkStart w:id="94" w:name="_Toc508788635"/>
      <w:r>
        <w:rPr>
          <w:rFonts w:hint="eastAsia" w:ascii="宋体" w:hAnsi="宋体" w:eastAsia="宋体" w:cs="宋体"/>
          <w:color w:val="auto"/>
        </w:rPr>
        <w:t>3.6 备选投标方案</w:t>
      </w:r>
      <w:bookmarkEnd w:id="92"/>
      <w:bookmarkEnd w:id="93"/>
      <w:bookmarkEnd w:id="94"/>
    </w:p>
    <w:p>
      <w:pPr>
        <w:spacing w:after="0" w:line="368" w:lineRule="auto"/>
        <w:ind w:right="103" w:firstLine="420"/>
        <w:rPr>
          <w:rFonts w:ascii="宋体" w:hAnsi="宋体" w:eastAsia="宋体" w:cs="宋体"/>
          <w:color w:val="auto"/>
        </w:rPr>
      </w:pPr>
      <w:r>
        <w:rPr>
          <w:rFonts w:hint="eastAsia" w:ascii="宋体" w:hAnsi="宋体" w:eastAsia="宋体" w:cs="宋体"/>
          <w:color w:val="auto"/>
          <w:sz w:val="21"/>
        </w:rPr>
        <w:t xml:space="preserve">3.6.1 除投标人须知前附表规定允许外，投标人不得递交备选投标方案，否则其投标将被否决。 </w:t>
      </w:r>
    </w:p>
    <w:p>
      <w:pPr>
        <w:spacing w:after="9" w:line="359" w:lineRule="auto"/>
        <w:ind w:right="103" w:firstLine="420"/>
        <w:rPr>
          <w:rFonts w:ascii="宋体" w:hAnsi="宋体" w:eastAsia="宋体" w:cs="宋体"/>
          <w:color w:val="auto"/>
        </w:rPr>
      </w:pPr>
      <w:r>
        <w:rPr>
          <w:rFonts w:hint="eastAsia" w:ascii="宋体" w:hAnsi="宋体" w:eastAsia="宋体" w:cs="宋体"/>
          <w:color w:val="auto"/>
          <w:sz w:val="21"/>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pPr>
        <w:spacing w:after="222" w:line="369" w:lineRule="auto"/>
        <w:ind w:right="103" w:firstLine="420"/>
        <w:rPr>
          <w:rFonts w:ascii="宋体" w:hAnsi="宋体" w:eastAsia="宋体" w:cs="宋体"/>
          <w:color w:val="auto"/>
        </w:rPr>
      </w:pPr>
      <w:r>
        <w:rPr>
          <w:rFonts w:hint="eastAsia" w:ascii="宋体" w:hAnsi="宋体" w:eastAsia="宋体" w:cs="宋体"/>
          <w:color w:val="auto"/>
          <w:sz w:val="21"/>
        </w:rPr>
        <w:t>3.6.3 投标人提供两个或两个以上投标报价，或者在投标文件中提供一个报价，但同时提供两个或两个以上检测</w:t>
      </w:r>
      <w:r>
        <w:rPr>
          <w:rFonts w:hint="eastAsia" w:ascii="宋体" w:hAnsi="宋体" w:eastAsia="宋体" w:cs="宋体"/>
          <w:sz w:val="21"/>
          <w:szCs w:val="21"/>
        </w:rPr>
        <w:t>、</w:t>
      </w:r>
      <w:r>
        <w:rPr>
          <w:rFonts w:hint="eastAsia" w:ascii="宋体" w:hAnsi="宋体" w:eastAsia="宋体" w:cs="宋体"/>
          <w:color w:val="000000" w:themeColor="text1"/>
          <w:sz w:val="21"/>
          <w:szCs w:val="21"/>
        </w:rPr>
        <w:t>监测</w:t>
      </w:r>
      <w:r>
        <w:rPr>
          <w:rFonts w:hint="eastAsia" w:ascii="宋体" w:hAnsi="宋体" w:eastAsia="宋体" w:cs="宋体"/>
          <w:color w:val="000000" w:themeColor="text1"/>
          <w:sz w:val="21"/>
        </w:rPr>
        <w:t>方案的</w:t>
      </w:r>
      <w:r>
        <w:rPr>
          <w:rFonts w:hint="eastAsia" w:ascii="宋体" w:hAnsi="宋体" w:eastAsia="宋体" w:cs="宋体"/>
          <w:color w:val="auto"/>
          <w:sz w:val="21"/>
        </w:rPr>
        <w:t xml:space="preserve">，视为提供备选方案。 </w:t>
      </w:r>
    </w:p>
    <w:p>
      <w:pPr>
        <w:pStyle w:val="5"/>
        <w:spacing w:after="285"/>
        <w:ind w:left="132" w:right="0"/>
        <w:rPr>
          <w:rFonts w:ascii="宋体" w:hAnsi="宋体" w:eastAsia="宋体" w:cs="宋体"/>
          <w:color w:val="auto"/>
        </w:rPr>
      </w:pPr>
      <w:bookmarkStart w:id="95" w:name="_Toc508788636"/>
      <w:bookmarkStart w:id="96" w:name="_Toc142406601"/>
      <w:bookmarkStart w:id="97" w:name="_Toc508382119"/>
      <w:r>
        <w:rPr>
          <w:rFonts w:hint="eastAsia" w:ascii="宋体" w:hAnsi="宋体" w:eastAsia="宋体" w:cs="宋体"/>
          <w:color w:val="auto"/>
        </w:rPr>
        <w:t>3.7 投标文件的编制</w:t>
      </w:r>
      <w:bookmarkEnd w:id="95"/>
      <w:bookmarkEnd w:id="96"/>
      <w:bookmarkEnd w:id="97"/>
    </w:p>
    <w:p>
      <w:pPr>
        <w:spacing w:after="13" w:line="358" w:lineRule="auto"/>
        <w:ind w:right="103" w:firstLine="420"/>
        <w:rPr>
          <w:rFonts w:ascii="宋体" w:hAnsi="宋体" w:eastAsia="宋体" w:cs="宋体"/>
          <w:color w:val="auto"/>
        </w:rPr>
      </w:pPr>
      <w:r>
        <w:rPr>
          <w:rFonts w:hint="eastAsia" w:ascii="宋体" w:hAnsi="宋体" w:eastAsia="宋体" w:cs="宋体"/>
          <w:color w:val="auto"/>
          <w:sz w:val="21"/>
        </w:rPr>
        <w:t xml:space="preserve">3.7.1 投标文件应按第六章“投标文件格式”进行编写，如有必要，可以增加附页，作为投标文件的组成部分。其中，投标函附录在满足招标文件实质性要求的基础上，可以提出比招标文件要求更有利于招标人的承诺。 </w:t>
      </w:r>
    </w:p>
    <w:p>
      <w:pPr>
        <w:spacing w:after="3" w:line="367" w:lineRule="auto"/>
        <w:ind w:right="103" w:firstLine="420"/>
        <w:rPr>
          <w:rFonts w:ascii="宋体" w:hAnsi="宋体" w:eastAsia="宋体" w:cs="宋体"/>
          <w:color w:val="auto"/>
          <w:sz w:val="21"/>
        </w:rPr>
      </w:pPr>
      <w:r>
        <w:rPr>
          <w:rFonts w:hint="eastAsia" w:ascii="宋体" w:hAnsi="宋体" w:eastAsia="宋体" w:cs="宋体"/>
          <w:color w:val="auto"/>
          <w:sz w:val="21"/>
        </w:rPr>
        <w:t>3.7.2 投标文件应当对招标文件有关检测</w:t>
      </w:r>
      <w:r>
        <w:rPr>
          <w:rFonts w:hint="eastAsia" w:ascii="宋体" w:hAnsi="宋体" w:eastAsia="宋体" w:cs="宋体"/>
          <w:sz w:val="21"/>
          <w:szCs w:val="21"/>
        </w:rPr>
        <w:t>、</w:t>
      </w:r>
      <w:r>
        <w:rPr>
          <w:rFonts w:hint="eastAsia" w:ascii="宋体" w:hAnsi="宋体" w:eastAsia="宋体" w:cs="宋体"/>
          <w:color w:val="000000" w:themeColor="text1"/>
          <w:sz w:val="21"/>
          <w:szCs w:val="21"/>
        </w:rPr>
        <w:t>监测</w:t>
      </w:r>
      <w:r>
        <w:rPr>
          <w:rFonts w:hint="eastAsia" w:ascii="宋体" w:hAnsi="宋体" w:eastAsia="宋体" w:cs="宋体"/>
          <w:color w:val="000000" w:themeColor="text1"/>
          <w:sz w:val="21"/>
        </w:rPr>
        <w:t>服</w:t>
      </w:r>
      <w:r>
        <w:rPr>
          <w:rFonts w:hint="eastAsia" w:ascii="宋体" w:hAnsi="宋体" w:eastAsia="宋体" w:cs="宋体"/>
          <w:color w:val="auto"/>
          <w:sz w:val="21"/>
        </w:rPr>
        <w:t xml:space="preserve">务期限、投标有效期、委托人要求、招标范围等实质性内容作出响应。 </w:t>
      </w:r>
    </w:p>
    <w:p>
      <w:pPr>
        <w:spacing w:after="0" w:line="366" w:lineRule="auto"/>
        <w:ind w:right="103" w:firstLine="420"/>
        <w:rPr>
          <w:rFonts w:ascii="宋体" w:hAnsi="宋体" w:eastAsia="宋体" w:cs="宋体"/>
          <w:color w:val="auto"/>
          <w:sz w:val="21"/>
        </w:rPr>
      </w:pPr>
      <w:r>
        <w:rPr>
          <w:rFonts w:hint="eastAsia" w:ascii="宋体" w:hAnsi="宋体" w:eastAsia="宋体" w:cs="宋体"/>
          <w:color w:val="auto"/>
          <w:sz w:val="21"/>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after="0" w:line="366" w:lineRule="auto"/>
        <w:ind w:right="103" w:firstLine="420"/>
        <w:rPr>
          <w:rFonts w:ascii="宋体" w:hAnsi="宋体" w:eastAsia="宋体" w:cs="宋体"/>
          <w:color w:val="auto"/>
        </w:rPr>
      </w:pPr>
    </w:p>
    <w:p>
      <w:pPr>
        <w:pStyle w:val="4"/>
        <w:spacing w:after="500" w:line="262" w:lineRule="auto"/>
        <w:ind w:left="-5" w:right="0"/>
        <w:rPr>
          <w:rFonts w:ascii="宋体" w:hAnsi="宋体" w:eastAsia="宋体" w:cs="宋体"/>
          <w:color w:val="auto"/>
        </w:rPr>
      </w:pPr>
      <w:bookmarkStart w:id="98" w:name="_Toc142406602"/>
      <w:bookmarkStart w:id="99" w:name="_Toc508788637"/>
      <w:bookmarkStart w:id="100" w:name="_Toc508382120"/>
      <w:r>
        <w:rPr>
          <w:rFonts w:hint="eastAsia" w:ascii="宋体" w:hAnsi="宋体" w:eastAsia="宋体" w:cs="宋体"/>
          <w:b/>
          <w:color w:val="auto"/>
          <w:sz w:val="32"/>
        </w:rPr>
        <w:t xml:space="preserve">4. </w:t>
      </w:r>
      <w:r>
        <w:rPr>
          <w:rFonts w:hint="eastAsia" w:ascii="宋体" w:hAnsi="宋体" w:eastAsia="宋体" w:cs="宋体"/>
          <w:color w:val="auto"/>
          <w:sz w:val="32"/>
        </w:rPr>
        <w:t>投标</w:t>
      </w:r>
      <w:bookmarkEnd w:id="98"/>
      <w:bookmarkEnd w:id="99"/>
      <w:bookmarkEnd w:id="100"/>
    </w:p>
    <w:p>
      <w:pPr>
        <w:pStyle w:val="5"/>
        <w:spacing w:after="285"/>
        <w:ind w:left="132" w:right="0"/>
        <w:rPr>
          <w:rFonts w:ascii="宋体" w:hAnsi="宋体" w:eastAsia="宋体" w:cs="宋体"/>
          <w:color w:val="auto"/>
          <w:sz w:val="21"/>
        </w:rPr>
      </w:pPr>
      <w:bookmarkStart w:id="101" w:name="_Toc142406603"/>
      <w:bookmarkStart w:id="102" w:name="_Toc508788638"/>
      <w:bookmarkStart w:id="103" w:name="_Toc508382121"/>
      <w:r>
        <w:rPr>
          <w:rFonts w:hint="eastAsia" w:ascii="宋体" w:hAnsi="宋体" w:eastAsia="宋体" w:cs="宋体"/>
          <w:color w:val="auto"/>
        </w:rPr>
        <w:t>4.1 投标文件的密封和标记</w:t>
      </w:r>
      <w:bookmarkEnd w:id="101"/>
      <w:bookmarkEnd w:id="102"/>
      <w:bookmarkEnd w:id="103"/>
    </w:p>
    <w:p>
      <w:pPr>
        <w:pStyle w:val="14"/>
        <w:kinsoku w:val="0"/>
        <w:overflowPunct w:val="0"/>
        <w:spacing w:before="44" w:line="295" w:lineRule="auto"/>
        <w:ind w:left="100" w:right="113" w:firstLine="419"/>
        <w:rPr>
          <w:rFonts w:ascii="宋体" w:hAnsi="宋体" w:cs="宋体"/>
          <w:color w:val="auto"/>
          <w:sz w:val="21"/>
        </w:rPr>
      </w:pPr>
      <w:r>
        <w:rPr>
          <w:rFonts w:hint="eastAsia" w:ascii="宋体" w:hAnsi="宋体" w:cs="宋体"/>
          <w:color w:val="auto"/>
          <w:sz w:val="21"/>
        </w:rPr>
        <w:t>4.1.1 （B）投标人应当按照招标文件和电子招标投标交易平台的要求加密投标文件，具体要求见投标人须知前附表。</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4.1.2 投标文件封套上应写明的内容见投标人须知前附表。 </w:t>
      </w:r>
    </w:p>
    <w:p>
      <w:pPr>
        <w:spacing w:after="346" w:line="265" w:lineRule="auto"/>
        <w:ind w:left="417" w:right="103" w:hanging="10"/>
        <w:rPr>
          <w:rFonts w:ascii="宋体" w:hAnsi="宋体" w:eastAsia="宋体" w:cs="宋体"/>
          <w:color w:val="auto"/>
          <w:sz w:val="21"/>
        </w:rPr>
      </w:pPr>
      <w:r>
        <w:rPr>
          <w:rFonts w:hint="eastAsia" w:ascii="宋体" w:hAnsi="宋体" w:eastAsia="宋体" w:cs="宋体"/>
          <w:color w:val="auto"/>
          <w:sz w:val="21"/>
        </w:rPr>
        <w:t xml:space="preserve">4.1.3 未按本章第 4.1.1 项要求密封的投标文件，招标人将予以拒收。 </w:t>
      </w:r>
    </w:p>
    <w:p>
      <w:pPr>
        <w:pStyle w:val="5"/>
        <w:spacing w:after="284"/>
        <w:ind w:left="132" w:right="0"/>
        <w:rPr>
          <w:rFonts w:ascii="宋体" w:hAnsi="宋体" w:eastAsia="宋体" w:cs="宋体"/>
          <w:color w:val="auto"/>
        </w:rPr>
      </w:pPr>
      <w:bookmarkStart w:id="104" w:name="_Toc508382122"/>
      <w:bookmarkStart w:id="105" w:name="_Toc508788639"/>
      <w:bookmarkStart w:id="106" w:name="_Toc142406604"/>
      <w:r>
        <w:rPr>
          <w:rFonts w:hint="eastAsia" w:ascii="宋体" w:hAnsi="宋体" w:eastAsia="宋体" w:cs="宋体"/>
          <w:color w:val="auto"/>
        </w:rPr>
        <w:t>4.2 投标文件的递交</w:t>
      </w:r>
      <w:bookmarkEnd w:id="104"/>
      <w:bookmarkEnd w:id="105"/>
      <w:bookmarkEnd w:id="106"/>
    </w:p>
    <w:p>
      <w:pPr>
        <w:pStyle w:val="14"/>
        <w:kinsoku w:val="0"/>
        <w:overflowPunct w:val="0"/>
        <w:rPr>
          <w:rFonts w:ascii="宋体" w:hAnsi="宋体" w:cs="宋体"/>
          <w:color w:val="auto"/>
          <w:sz w:val="21"/>
        </w:rPr>
      </w:pPr>
      <w:r>
        <w:rPr>
          <w:rFonts w:hint="eastAsia" w:ascii="宋体" w:hAnsi="宋体" w:cs="宋体"/>
          <w:color w:val="auto"/>
          <w:sz w:val="21"/>
        </w:rPr>
        <w:t xml:space="preserve">    4.2.1 投标人应在投标人须知前附表规定的投标截止时间前递交投标文件。</w:t>
      </w:r>
    </w:p>
    <w:p>
      <w:pPr>
        <w:pStyle w:val="14"/>
        <w:kinsoku w:val="0"/>
        <w:overflowPunct w:val="0"/>
        <w:spacing w:before="75"/>
        <w:rPr>
          <w:rFonts w:ascii="宋体" w:hAnsi="宋体" w:cs="宋体"/>
          <w:dstrike/>
          <w:color w:val="auto"/>
          <w:sz w:val="21"/>
        </w:rPr>
      </w:pPr>
      <w:r>
        <w:rPr>
          <w:rFonts w:hint="eastAsia" w:ascii="宋体" w:hAnsi="宋体" w:cs="宋体"/>
          <w:color w:val="auto"/>
          <w:sz w:val="21"/>
        </w:rPr>
        <w:t xml:space="preserve">    4.2.2 （B）投标人通过下载招标文件的电子招标投标交易平台递交电子投标文件。</w:t>
      </w:r>
    </w:p>
    <w:p>
      <w:pPr>
        <w:pStyle w:val="14"/>
        <w:kinsoku w:val="0"/>
        <w:overflowPunct w:val="0"/>
        <w:spacing w:before="75"/>
        <w:rPr>
          <w:rFonts w:ascii="宋体" w:hAnsi="宋体" w:cs="宋体"/>
          <w:color w:val="auto"/>
          <w:sz w:val="21"/>
        </w:rPr>
      </w:pPr>
      <w:r>
        <w:rPr>
          <w:rFonts w:hint="eastAsia" w:ascii="宋体" w:hAnsi="宋体" w:cs="宋体"/>
          <w:color w:val="auto"/>
          <w:sz w:val="21"/>
        </w:rPr>
        <w:t xml:space="preserve">    4.2.3 除投标人须知前附表另有规定外，投标人所递交的投标文件不予退还。</w:t>
      </w:r>
    </w:p>
    <w:p>
      <w:pPr>
        <w:pStyle w:val="14"/>
        <w:kinsoku w:val="0"/>
        <w:overflowPunct w:val="0"/>
        <w:spacing w:before="72"/>
        <w:rPr>
          <w:rFonts w:ascii="宋体" w:hAnsi="宋体" w:cs="宋体"/>
          <w:dstrike/>
          <w:color w:val="auto"/>
          <w:sz w:val="21"/>
        </w:rPr>
      </w:pPr>
      <w:r>
        <w:rPr>
          <w:rFonts w:hint="eastAsia" w:ascii="宋体" w:hAnsi="宋体" w:cs="宋体"/>
          <w:color w:val="auto"/>
          <w:sz w:val="21"/>
        </w:rPr>
        <w:t xml:space="preserve">    4.2.4 （B）投标人完成电子投标文件上传后，电子招标投标交易平台即时向投标人发出递 交回执通知。递交时间以递交回执通知载明的传输完成时间为准。</w:t>
      </w:r>
    </w:p>
    <w:p>
      <w:pPr>
        <w:pStyle w:val="14"/>
        <w:kinsoku w:val="0"/>
        <w:overflowPunct w:val="0"/>
        <w:spacing w:before="75"/>
        <w:rPr>
          <w:rFonts w:ascii="宋体" w:hAnsi="宋体" w:cs="宋体"/>
          <w:color w:val="auto"/>
          <w:sz w:val="21"/>
        </w:rPr>
      </w:pPr>
      <w:r>
        <w:rPr>
          <w:rFonts w:hint="eastAsia" w:ascii="宋体" w:hAnsi="宋体" w:cs="宋体"/>
          <w:color w:val="auto"/>
          <w:sz w:val="21"/>
        </w:rPr>
        <w:t xml:space="preserve">    4.2.5 （B）逾期送达的投标文件，电子招标投标交易平台将予以拒收。</w:t>
      </w:r>
    </w:p>
    <w:p>
      <w:pPr>
        <w:spacing w:after="0"/>
        <w:ind w:left="420"/>
        <w:rPr>
          <w:rFonts w:ascii="宋体" w:hAnsi="宋体" w:eastAsia="宋体" w:cs="宋体"/>
          <w:color w:val="auto"/>
        </w:rPr>
      </w:pPr>
    </w:p>
    <w:p>
      <w:pPr>
        <w:pStyle w:val="5"/>
        <w:spacing w:after="285"/>
        <w:ind w:left="132" w:right="0"/>
        <w:rPr>
          <w:rFonts w:ascii="宋体" w:hAnsi="宋体" w:eastAsia="宋体" w:cs="宋体"/>
          <w:color w:val="auto"/>
        </w:rPr>
      </w:pPr>
      <w:bookmarkStart w:id="107" w:name="_Toc508382123"/>
      <w:bookmarkStart w:id="108" w:name="_Toc142406605"/>
      <w:bookmarkStart w:id="109" w:name="_Toc508788640"/>
      <w:r>
        <w:rPr>
          <w:rFonts w:hint="eastAsia" w:ascii="宋体" w:hAnsi="宋体" w:eastAsia="宋体" w:cs="宋体"/>
          <w:color w:val="auto"/>
        </w:rPr>
        <w:t>4.3 投标文件的修改与撤回</w:t>
      </w:r>
      <w:bookmarkEnd w:id="107"/>
      <w:bookmarkEnd w:id="108"/>
      <w:bookmarkEnd w:id="109"/>
    </w:p>
    <w:p>
      <w:pPr>
        <w:spacing w:after="0" w:line="371" w:lineRule="auto"/>
        <w:ind w:right="103" w:firstLine="420"/>
        <w:rPr>
          <w:rFonts w:ascii="宋体" w:hAnsi="宋体" w:eastAsia="宋体" w:cs="宋体"/>
          <w:color w:val="auto"/>
        </w:rPr>
      </w:pPr>
      <w:r>
        <w:rPr>
          <w:rFonts w:hint="eastAsia" w:ascii="宋体" w:hAnsi="宋体" w:eastAsia="宋体" w:cs="宋体"/>
          <w:color w:val="auto"/>
          <w:sz w:val="21"/>
        </w:rPr>
        <w:t xml:space="preserve">4.3.1 在本章第 4.2.1 项规定的投标截止时间前，投标人可以修改或撤回已递交的投标文件，但应以书面形式通知招标人。 </w:t>
      </w:r>
    </w:p>
    <w:p>
      <w:pPr>
        <w:pStyle w:val="14"/>
        <w:kinsoku w:val="0"/>
        <w:overflowPunct w:val="0"/>
        <w:spacing w:before="40" w:line="295" w:lineRule="auto"/>
        <w:ind w:left="100" w:firstLine="419"/>
        <w:rPr>
          <w:rFonts w:ascii="宋体" w:hAnsi="宋体" w:cs="宋体"/>
          <w:color w:val="auto"/>
          <w:sz w:val="21"/>
        </w:rPr>
      </w:pPr>
      <w:r>
        <w:rPr>
          <w:rFonts w:hint="eastAsia" w:ascii="宋体" w:hAnsi="宋体" w:cs="宋体"/>
          <w:color w:val="auto"/>
          <w:sz w:val="21"/>
        </w:rPr>
        <w:t>4.3.2 （B）投标人修改或撤回已递交投标文件的通知，应按照本章第 3.7.3（B）项的要求 加盖电子印章。电子招标投标交易平台收到通知后，即时向投标人发出确认回执通知。</w:t>
      </w:r>
    </w:p>
    <w:p>
      <w:pPr>
        <w:spacing w:after="0" w:line="371" w:lineRule="auto"/>
        <w:ind w:right="103" w:firstLine="420"/>
        <w:rPr>
          <w:rFonts w:ascii="宋体" w:hAnsi="宋体" w:eastAsia="宋体" w:cs="宋体"/>
          <w:color w:val="auto"/>
        </w:rPr>
      </w:pPr>
      <w:r>
        <w:rPr>
          <w:rFonts w:hint="eastAsia" w:ascii="宋体" w:hAnsi="宋体" w:eastAsia="宋体" w:cs="宋体"/>
          <w:color w:val="auto"/>
          <w:sz w:val="21"/>
        </w:rPr>
        <w:t xml:space="preserve">4.3.3 投标人撤回投标文件的，招标人自收到投标人书面撤回通知之日起 5 日内退还已收取的投标保证金。 </w:t>
      </w:r>
    </w:p>
    <w:p>
      <w:pPr>
        <w:spacing w:after="252" w:line="375" w:lineRule="auto"/>
        <w:ind w:right="103" w:firstLine="420"/>
        <w:rPr>
          <w:rFonts w:ascii="宋体" w:hAnsi="宋体" w:eastAsia="宋体" w:cs="宋体"/>
          <w:color w:val="auto"/>
        </w:rPr>
      </w:pPr>
      <w:r>
        <w:rPr>
          <w:rFonts w:hint="eastAsia" w:ascii="宋体" w:hAnsi="宋体" w:eastAsia="宋体" w:cs="宋体"/>
          <w:color w:val="auto"/>
          <w:sz w:val="21"/>
        </w:rPr>
        <w:t xml:space="preserve">4.3.4 修改的内容为投标文件的组成部分。修改的投标文件应按照本章第 3 条、第 4 条的规定进行编制、密封、标记和递交，并标明“修改”字样。 </w:t>
      </w:r>
    </w:p>
    <w:p>
      <w:pPr>
        <w:pStyle w:val="4"/>
        <w:spacing w:after="500" w:line="262" w:lineRule="auto"/>
        <w:ind w:left="-5" w:right="0"/>
        <w:rPr>
          <w:rFonts w:ascii="宋体" w:hAnsi="宋体" w:eastAsia="宋体" w:cs="宋体"/>
          <w:color w:val="auto"/>
        </w:rPr>
      </w:pPr>
      <w:bookmarkStart w:id="110" w:name="_Toc142406606"/>
      <w:bookmarkStart w:id="111" w:name="_Toc508382124"/>
      <w:bookmarkStart w:id="112" w:name="_Toc508788641"/>
      <w:r>
        <w:rPr>
          <w:rFonts w:hint="eastAsia" w:ascii="宋体" w:hAnsi="宋体" w:eastAsia="宋体" w:cs="宋体"/>
          <w:b/>
          <w:color w:val="auto"/>
          <w:sz w:val="32"/>
        </w:rPr>
        <w:t xml:space="preserve">5. </w:t>
      </w:r>
      <w:r>
        <w:rPr>
          <w:rFonts w:hint="eastAsia" w:ascii="宋体" w:hAnsi="宋体" w:eastAsia="宋体" w:cs="宋体"/>
          <w:color w:val="auto"/>
          <w:sz w:val="32"/>
        </w:rPr>
        <w:t>开标</w:t>
      </w:r>
      <w:bookmarkEnd w:id="110"/>
      <w:bookmarkEnd w:id="111"/>
      <w:bookmarkEnd w:id="112"/>
    </w:p>
    <w:p>
      <w:pPr>
        <w:pStyle w:val="5"/>
        <w:spacing w:after="281"/>
        <w:ind w:left="132" w:right="0"/>
        <w:rPr>
          <w:rFonts w:ascii="宋体" w:hAnsi="宋体" w:eastAsia="宋体" w:cs="宋体"/>
          <w:color w:val="auto"/>
        </w:rPr>
      </w:pPr>
      <w:bookmarkStart w:id="113" w:name="_Toc142406607"/>
      <w:bookmarkStart w:id="114" w:name="_Toc508788642"/>
      <w:bookmarkStart w:id="115" w:name="_Toc508382125"/>
      <w:r>
        <w:rPr>
          <w:rFonts w:hint="eastAsia" w:ascii="宋体" w:hAnsi="宋体" w:eastAsia="宋体" w:cs="宋体"/>
          <w:color w:val="auto"/>
        </w:rPr>
        <w:t>5.1 开标时间和地点（A）</w:t>
      </w:r>
      <w:bookmarkEnd w:id="113"/>
      <w:bookmarkEnd w:id="114"/>
      <w:bookmarkEnd w:id="115"/>
    </w:p>
    <w:p>
      <w:pPr>
        <w:spacing w:after="216" w:line="374" w:lineRule="auto"/>
        <w:ind w:right="103" w:firstLine="420"/>
        <w:rPr>
          <w:rFonts w:ascii="宋体" w:hAnsi="宋体" w:eastAsia="宋体" w:cs="宋体"/>
          <w:color w:val="auto"/>
          <w:sz w:val="21"/>
        </w:rPr>
      </w:pPr>
      <w:r>
        <w:rPr>
          <w:rFonts w:hint="eastAsia" w:ascii="宋体" w:hAnsi="宋体" w:eastAsia="宋体" w:cs="宋体"/>
          <w:color w:val="auto"/>
          <w:sz w:val="21"/>
        </w:rPr>
        <w:t>招标人在本章第 4.2.1 项规定的投标截止时间（开标时间）和投标人须知前附表规定的地点公开开标，并邀请所有投标人的法定代表人或其委托代理人准时参加。</w:t>
      </w:r>
    </w:p>
    <w:p>
      <w:pPr>
        <w:pStyle w:val="5"/>
        <w:spacing w:after="282"/>
        <w:ind w:left="132" w:right="0"/>
        <w:rPr>
          <w:rFonts w:ascii="宋体" w:hAnsi="宋体" w:eastAsia="宋体" w:cs="宋体"/>
          <w:color w:val="auto"/>
        </w:rPr>
      </w:pPr>
      <w:bookmarkStart w:id="116" w:name="_Toc508382126"/>
      <w:bookmarkStart w:id="117" w:name="_Toc508788643"/>
      <w:bookmarkStart w:id="118" w:name="_Toc142406608"/>
      <w:r>
        <w:rPr>
          <w:rFonts w:hint="eastAsia" w:ascii="宋体" w:hAnsi="宋体" w:eastAsia="宋体" w:cs="宋体"/>
          <w:color w:val="auto"/>
        </w:rPr>
        <w:t>5.2 开标程序</w:t>
      </w:r>
      <w:bookmarkEnd w:id="116"/>
      <w:bookmarkEnd w:id="117"/>
      <w:bookmarkEnd w:id="118"/>
    </w:p>
    <w:p>
      <w:pPr>
        <w:pStyle w:val="14"/>
        <w:kinsoku w:val="0"/>
        <w:overflowPunct w:val="0"/>
        <w:ind w:left="407"/>
        <w:rPr>
          <w:rFonts w:ascii="宋体" w:hAnsi="宋体" w:cs="宋体"/>
          <w:color w:val="auto"/>
          <w:sz w:val="21"/>
        </w:rPr>
      </w:pPr>
      <w:r>
        <w:rPr>
          <w:rFonts w:hint="eastAsia" w:ascii="宋体" w:hAnsi="宋体" w:cs="宋体"/>
          <w:color w:val="auto"/>
          <w:sz w:val="21"/>
          <w:u w:val="single"/>
        </w:rPr>
        <w:t>5.2.1</w:t>
      </w:r>
      <w:r>
        <w:rPr>
          <w:rFonts w:hint="eastAsia" w:ascii="宋体" w:hAnsi="宋体" w:cs="宋体"/>
          <w:color w:val="auto"/>
          <w:sz w:val="21"/>
        </w:rPr>
        <w:t>主持</w:t>
      </w:r>
      <w:r>
        <w:rPr>
          <w:rFonts w:hint="eastAsia" w:ascii="宋体" w:hAnsi="宋体" w:cs="宋体"/>
          <w:color w:val="auto"/>
          <w:spacing w:val="-3"/>
          <w:sz w:val="21"/>
        </w:rPr>
        <w:t>人</w:t>
      </w:r>
      <w:r>
        <w:rPr>
          <w:rFonts w:hint="eastAsia" w:ascii="宋体" w:hAnsi="宋体" w:cs="宋体"/>
          <w:color w:val="auto"/>
          <w:sz w:val="21"/>
        </w:rPr>
        <w:t>按</w:t>
      </w:r>
      <w:r>
        <w:rPr>
          <w:rFonts w:hint="eastAsia" w:ascii="宋体" w:hAnsi="宋体" w:cs="宋体"/>
          <w:color w:val="auto"/>
          <w:spacing w:val="-3"/>
          <w:sz w:val="21"/>
        </w:rPr>
        <w:t>下</w:t>
      </w:r>
      <w:r>
        <w:rPr>
          <w:rFonts w:hint="eastAsia" w:ascii="宋体" w:hAnsi="宋体" w:cs="宋体"/>
          <w:color w:val="auto"/>
          <w:sz w:val="21"/>
        </w:rPr>
        <w:t>列</w:t>
      </w:r>
      <w:r>
        <w:rPr>
          <w:rFonts w:hint="eastAsia" w:ascii="宋体" w:hAnsi="宋体" w:cs="宋体"/>
          <w:color w:val="auto"/>
          <w:spacing w:val="-3"/>
          <w:sz w:val="21"/>
        </w:rPr>
        <w:t>程</w:t>
      </w:r>
      <w:r>
        <w:rPr>
          <w:rFonts w:hint="eastAsia" w:ascii="宋体" w:hAnsi="宋体" w:cs="宋体"/>
          <w:color w:val="auto"/>
          <w:sz w:val="21"/>
        </w:rPr>
        <w:t>序</w:t>
      </w:r>
      <w:r>
        <w:rPr>
          <w:rFonts w:hint="eastAsia" w:ascii="宋体" w:hAnsi="宋体" w:cs="宋体"/>
          <w:color w:val="auto"/>
          <w:spacing w:val="-3"/>
          <w:sz w:val="21"/>
        </w:rPr>
        <w:t>进</w:t>
      </w:r>
      <w:r>
        <w:rPr>
          <w:rFonts w:hint="eastAsia" w:ascii="宋体" w:hAnsi="宋体" w:cs="宋体"/>
          <w:color w:val="auto"/>
          <w:sz w:val="21"/>
        </w:rPr>
        <w:t>行</w:t>
      </w:r>
      <w:r>
        <w:rPr>
          <w:rFonts w:hint="eastAsia" w:ascii="宋体" w:hAnsi="宋体" w:cs="宋体"/>
          <w:color w:val="auto"/>
          <w:spacing w:val="-3"/>
          <w:sz w:val="21"/>
        </w:rPr>
        <w:t>开</w:t>
      </w:r>
      <w:r>
        <w:rPr>
          <w:rFonts w:hint="eastAsia" w:ascii="宋体" w:hAnsi="宋体" w:cs="宋体"/>
          <w:color w:val="auto"/>
          <w:sz w:val="21"/>
        </w:rPr>
        <w:t>标：</w:t>
      </w:r>
    </w:p>
    <w:p>
      <w:pPr>
        <w:pStyle w:val="14"/>
        <w:kinsoku w:val="0"/>
        <w:overflowPunct w:val="0"/>
        <w:spacing w:before="91"/>
        <w:ind w:left="407"/>
        <w:rPr>
          <w:rFonts w:ascii="宋体" w:hAnsi="宋体" w:cs="宋体"/>
          <w:color w:val="auto"/>
          <w:sz w:val="21"/>
        </w:rPr>
      </w:pPr>
      <w:r>
        <w:rPr>
          <w:rFonts w:hint="eastAsia" w:ascii="宋体" w:hAnsi="宋体" w:cs="宋体"/>
          <w:color w:val="auto"/>
          <w:sz w:val="21"/>
        </w:rPr>
        <w:t>（1）宣布开标纪律；</w:t>
      </w:r>
    </w:p>
    <w:p>
      <w:pPr>
        <w:pStyle w:val="14"/>
        <w:kinsoku w:val="0"/>
        <w:overflowPunct w:val="0"/>
        <w:spacing w:before="72"/>
        <w:ind w:left="407"/>
        <w:rPr>
          <w:rFonts w:ascii="宋体" w:hAnsi="宋体" w:cs="宋体"/>
          <w:color w:val="auto"/>
          <w:sz w:val="21"/>
        </w:rPr>
      </w:pPr>
      <w:r>
        <w:rPr>
          <w:rFonts w:hint="eastAsia" w:ascii="宋体" w:hAnsi="宋体" w:cs="宋体"/>
          <w:color w:val="auto"/>
          <w:sz w:val="21"/>
        </w:rPr>
        <w:t>（2）公布在投标截止时间前递交投标文件的投标人名称；</w:t>
      </w:r>
    </w:p>
    <w:p>
      <w:pPr>
        <w:pStyle w:val="14"/>
        <w:kinsoku w:val="0"/>
        <w:overflowPunct w:val="0"/>
        <w:spacing w:before="75"/>
        <w:ind w:left="407"/>
        <w:rPr>
          <w:rFonts w:ascii="宋体" w:hAnsi="宋体" w:cs="宋体"/>
          <w:color w:val="auto"/>
          <w:sz w:val="21"/>
        </w:rPr>
      </w:pPr>
      <w:r>
        <w:rPr>
          <w:rFonts w:hint="eastAsia" w:ascii="宋体" w:hAnsi="宋体" w:cs="宋体"/>
          <w:color w:val="auto"/>
          <w:sz w:val="21"/>
        </w:rPr>
        <w:t>（3）宣布开标人、唱标人、记录人、监标人等有关人员姓名；</w:t>
      </w:r>
    </w:p>
    <w:p>
      <w:pPr>
        <w:pStyle w:val="14"/>
        <w:kinsoku w:val="0"/>
        <w:overflowPunct w:val="0"/>
        <w:spacing w:line="325" w:lineRule="exact"/>
        <w:ind w:left="407"/>
        <w:rPr>
          <w:rFonts w:ascii="宋体" w:hAnsi="宋体" w:cs="宋体"/>
          <w:color w:val="auto"/>
          <w:sz w:val="21"/>
        </w:rPr>
      </w:pPr>
      <w:r>
        <w:rPr>
          <w:rFonts w:hint="eastAsia" w:ascii="宋体" w:hAnsi="宋体" w:cs="宋体"/>
          <w:color w:val="auto"/>
          <w:sz w:val="21"/>
        </w:rPr>
        <w:t>（4）（B）投标人通过电子招标投标交易平台对已递交的电子投标文件进行解密，公布招标项目名称、投标人名称、投标保证金的递交情况、投标报价、检测</w:t>
      </w:r>
      <w:r>
        <w:rPr>
          <w:rFonts w:hint="eastAsia" w:ascii="宋体" w:hAnsi="宋体" w:cs="宋体"/>
          <w:sz w:val="21"/>
          <w:szCs w:val="21"/>
        </w:rPr>
        <w:t>、</w:t>
      </w:r>
      <w:r>
        <w:rPr>
          <w:rFonts w:hint="eastAsia" w:ascii="宋体" w:hAnsi="宋体" w:cs="宋体"/>
          <w:color w:val="auto"/>
          <w:sz w:val="21"/>
          <w:szCs w:val="21"/>
        </w:rPr>
        <w:t>监测</w:t>
      </w:r>
      <w:r>
        <w:rPr>
          <w:rFonts w:hint="eastAsia" w:ascii="宋体" w:hAnsi="宋体" w:cs="宋体"/>
          <w:color w:val="auto"/>
          <w:sz w:val="21"/>
        </w:rPr>
        <w:t>服务期限及其他内容，并记录在案；</w:t>
      </w:r>
    </w:p>
    <w:p>
      <w:pPr>
        <w:pStyle w:val="14"/>
        <w:kinsoku w:val="0"/>
        <w:overflowPunct w:val="0"/>
        <w:spacing w:before="31"/>
        <w:ind w:left="407"/>
        <w:rPr>
          <w:rFonts w:ascii="宋体" w:hAnsi="宋体" w:cs="宋体"/>
          <w:color w:val="auto"/>
          <w:sz w:val="21"/>
        </w:rPr>
      </w:pPr>
      <w:r>
        <w:rPr>
          <w:rFonts w:hint="eastAsia" w:ascii="宋体" w:hAnsi="宋体" w:cs="宋体"/>
          <w:color w:val="auto"/>
          <w:sz w:val="21"/>
        </w:rPr>
        <w:t>（5）（A）投标人代表、招标人代表、监标人、记录人等有关人员在开标记录上签字确认；</w:t>
      </w:r>
    </w:p>
    <w:p>
      <w:pPr>
        <w:pStyle w:val="14"/>
        <w:kinsoku w:val="0"/>
        <w:overflowPunct w:val="0"/>
        <w:spacing w:before="44"/>
        <w:ind w:left="407"/>
        <w:rPr>
          <w:rFonts w:ascii="宋体" w:hAnsi="宋体" w:cs="宋体"/>
          <w:color w:val="auto"/>
          <w:sz w:val="21"/>
        </w:rPr>
      </w:pPr>
      <w:r>
        <w:rPr>
          <w:rFonts w:hint="eastAsia" w:ascii="宋体" w:hAnsi="宋体" w:cs="宋体"/>
          <w:color w:val="auto"/>
          <w:sz w:val="21"/>
        </w:rPr>
        <w:t>（6）开标结束。</w:t>
      </w:r>
    </w:p>
    <w:p>
      <w:pPr>
        <w:spacing w:after="123" w:line="265" w:lineRule="auto"/>
        <w:ind w:left="817" w:right="103"/>
        <w:rPr>
          <w:rFonts w:ascii="宋体" w:hAnsi="宋体" w:eastAsia="宋体" w:cs="宋体"/>
          <w:color w:val="auto"/>
        </w:rPr>
      </w:pPr>
    </w:p>
    <w:p>
      <w:pPr>
        <w:pStyle w:val="5"/>
        <w:spacing w:after="282"/>
        <w:ind w:left="132" w:right="0"/>
        <w:rPr>
          <w:rFonts w:ascii="宋体" w:hAnsi="宋体" w:eastAsia="宋体" w:cs="宋体"/>
          <w:color w:val="auto"/>
        </w:rPr>
      </w:pPr>
      <w:bookmarkStart w:id="119" w:name="_Toc508382127"/>
      <w:bookmarkStart w:id="120" w:name="_Toc142406609"/>
      <w:bookmarkStart w:id="121" w:name="_Toc508788644"/>
      <w:r>
        <w:rPr>
          <w:rFonts w:hint="eastAsia" w:ascii="宋体" w:hAnsi="宋体" w:eastAsia="宋体" w:cs="宋体"/>
          <w:color w:val="auto"/>
        </w:rPr>
        <w:t>5.3 开标异议</w:t>
      </w:r>
      <w:bookmarkEnd w:id="119"/>
      <w:bookmarkEnd w:id="120"/>
      <w:bookmarkEnd w:id="121"/>
    </w:p>
    <w:p>
      <w:pPr>
        <w:spacing w:after="380"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投标人对开标有异议的，应当在开标现场提出，招标人当场作出答复，并制作记录。 </w:t>
      </w:r>
    </w:p>
    <w:p>
      <w:pPr>
        <w:pStyle w:val="4"/>
        <w:spacing w:after="500" w:line="262" w:lineRule="auto"/>
        <w:ind w:left="-5" w:right="0"/>
        <w:rPr>
          <w:rFonts w:ascii="宋体" w:hAnsi="宋体" w:eastAsia="宋体" w:cs="宋体"/>
          <w:color w:val="auto"/>
        </w:rPr>
      </w:pPr>
      <w:bookmarkStart w:id="122" w:name="_Toc508382128"/>
      <w:bookmarkStart w:id="123" w:name="_Toc508788645"/>
      <w:bookmarkStart w:id="124" w:name="_Toc142406610"/>
      <w:r>
        <w:rPr>
          <w:rFonts w:hint="eastAsia" w:ascii="宋体" w:hAnsi="宋体" w:eastAsia="宋体" w:cs="宋体"/>
          <w:b/>
          <w:color w:val="auto"/>
          <w:sz w:val="32"/>
        </w:rPr>
        <w:t xml:space="preserve">6. </w:t>
      </w:r>
      <w:r>
        <w:rPr>
          <w:rFonts w:hint="eastAsia" w:ascii="宋体" w:hAnsi="宋体" w:eastAsia="宋体" w:cs="宋体"/>
          <w:color w:val="auto"/>
          <w:sz w:val="32"/>
        </w:rPr>
        <w:t>评标</w:t>
      </w:r>
      <w:bookmarkEnd w:id="122"/>
      <w:bookmarkEnd w:id="123"/>
      <w:bookmarkEnd w:id="124"/>
    </w:p>
    <w:p>
      <w:pPr>
        <w:pStyle w:val="5"/>
        <w:spacing w:after="281"/>
        <w:ind w:left="132" w:right="0"/>
        <w:rPr>
          <w:rFonts w:ascii="宋体" w:hAnsi="宋体" w:eastAsia="宋体" w:cs="宋体"/>
          <w:color w:val="auto"/>
        </w:rPr>
      </w:pPr>
      <w:bookmarkStart w:id="125" w:name="_Toc508788646"/>
      <w:bookmarkStart w:id="126" w:name="_Toc142406611"/>
      <w:bookmarkStart w:id="127" w:name="_Toc508382129"/>
      <w:r>
        <w:rPr>
          <w:rFonts w:hint="eastAsia" w:ascii="宋体" w:hAnsi="宋体" w:eastAsia="宋体" w:cs="宋体"/>
          <w:color w:val="auto"/>
        </w:rPr>
        <w:t>6.1 评标委员会</w:t>
      </w:r>
      <w:bookmarkEnd w:id="125"/>
      <w:bookmarkEnd w:id="126"/>
      <w:bookmarkEnd w:id="127"/>
    </w:p>
    <w:p>
      <w:pPr>
        <w:spacing w:after="9" w:line="359" w:lineRule="auto"/>
        <w:ind w:right="103" w:firstLine="420"/>
        <w:rPr>
          <w:rFonts w:ascii="宋体" w:hAnsi="宋体" w:eastAsia="宋体" w:cs="宋体"/>
          <w:color w:val="auto"/>
        </w:rPr>
      </w:pPr>
      <w:r>
        <w:rPr>
          <w:rFonts w:hint="eastAsia" w:ascii="宋体" w:hAnsi="宋体" w:eastAsia="宋体" w:cs="宋体"/>
          <w:color w:val="auto"/>
          <w:sz w:val="21"/>
        </w:rPr>
        <w:t xml:space="preserve">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6.1.2 评标委员会成员有下列情形之一的，应当回避： </w:t>
      </w:r>
    </w:p>
    <w:p>
      <w:pPr>
        <w:numPr>
          <w:ilvl w:val="0"/>
          <w:numId w:val="5"/>
        </w:numPr>
        <w:spacing w:after="123" w:line="265" w:lineRule="auto"/>
        <w:ind w:right="103" w:firstLine="718"/>
        <w:rPr>
          <w:rFonts w:ascii="宋体" w:hAnsi="宋体" w:eastAsia="宋体" w:cs="宋体"/>
          <w:color w:val="auto"/>
        </w:rPr>
      </w:pPr>
      <w:r>
        <w:rPr>
          <w:rFonts w:hint="eastAsia" w:ascii="宋体" w:hAnsi="宋体" w:eastAsia="宋体" w:cs="宋体"/>
          <w:color w:val="auto"/>
          <w:sz w:val="21"/>
        </w:rPr>
        <w:t xml:space="preserve">投标人或投标人主要负责人的近亲属； </w:t>
      </w:r>
    </w:p>
    <w:p>
      <w:pPr>
        <w:numPr>
          <w:ilvl w:val="0"/>
          <w:numId w:val="5"/>
        </w:numPr>
        <w:spacing w:after="123" w:line="265" w:lineRule="auto"/>
        <w:ind w:right="103" w:firstLine="718"/>
        <w:rPr>
          <w:rFonts w:ascii="宋体" w:hAnsi="宋体" w:eastAsia="宋体" w:cs="宋体"/>
          <w:color w:val="auto"/>
        </w:rPr>
      </w:pPr>
      <w:r>
        <w:rPr>
          <w:rFonts w:hint="eastAsia" w:ascii="宋体" w:hAnsi="宋体" w:eastAsia="宋体" w:cs="宋体"/>
          <w:color w:val="auto"/>
          <w:sz w:val="21"/>
        </w:rPr>
        <w:t xml:space="preserve">项目主管部门或者行政监督部门的人员； </w:t>
      </w:r>
    </w:p>
    <w:p>
      <w:pPr>
        <w:numPr>
          <w:ilvl w:val="0"/>
          <w:numId w:val="5"/>
        </w:numPr>
        <w:spacing w:after="123" w:line="265" w:lineRule="auto"/>
        <w:ind w:right="103" w:firstLine="718"/>
        <w:rPr>
          <w:rFonts w:ascii="宋体" w:hAnsi="宋体" w:eastAsia="宋体" w:cs="宋体"/>
          <w:color w:val="auto"/>
        </w:rPr>
      </w:pPr>
      <w:r>
        <w:rPr>
          <w:rFonts w:hint="eastAsia" w:ascii="宋体" w:hAnsi="宋体" w:eastAsia="宋体" w:cs="宋体"/>
          <w:color w:val="auto"/>
          <w:sz w:val="21"/>
        </w:rPr>
        <w:t xml:space="preserve">与投标人有经济利益关系，可能影响对投标公正评审的； </w:t>
      </w:r>
    </w:p>
    <w:p>
      <w:pPr>
        <w:numPr>
          <w:ilvl w:val="0"/>
          <w:numId w:val="5"/>
        </w:numPr>
        <w:spacing w:after="0" w:line="370" w:lineRule="auto"/>
        <w:ind w:right="103" w:firstLine="718"/>
        <w:rPr>
          <w:rFonts w:ascii="宋体" w:hAnsi="宋体" w:eastAsia="宋体" w:cs="宋体"/>
          <w:color w:val="auto"/>
        </w:rPr>
      </w:pPr>
      <w:r>
        <w:rPr>
          <w:rFonts w:hint="eastAsia" w:ascii="宋体" w:hAnsi="宋体" w:eastAsia="宋体" w:cs="宋体"/>
          <w:color w:val="auto"/>
          <w:sz w:val="21"/>
        </w:rPr>
        <w:t xml:space="preserve">曾因在招标、评标以及其他与招标投标有关活动中从事违法行为而受过行政处罚或刑事处罚的； </w:t>
      </w:r>
    </w:p>
    <w:p>
      <w:pPr>
        <w:numPr>
          <w:ilvl w:val="0"/>
          <w:numId w:val="5"/>
        </w:numPr>
        <w:spacing w:after="123" w:line="265" w:lineRule="auto"/>
        <w:ind w:right="103" w:firstLine="718"/>
        <w:rPr>
          <w:rFonts w:ascii="宋体" w:hAnsi="宋体" w:eastAsia="宋体" w:cs="宋体"/>
          <w:color w:val="auto"/>
        </w:rPr>
      </w:pPr>
      <w:r>
        <w:rPr>
          <w:rFonts w:hint="eastAsia" w:ascii="宋体" w:hAnsi="宋体" w:eastAsia="宋体" w:cs="宋体"/>
          <w:color w:val="auto"/>
          <w:sz w:val="21"/>
        </w:rPr>
        <w:t xml:space="preserve">与投标人有其他利害关系。 </w:t>
      </w:r>
    </w:p>
    <w:p>
      <w:pPr>
        <w:spacing w:after="233" w:line="358" w:lineRule="auto"/>
        <w:ind w:right="103" w:firstLine="420"/>
        <w:rPr>
          <w:rFonts w:ascii="宋体" w:hAnsi="宋体" w:eastAsia="宋体" w:cs="宋体"/>
          <w:color w:val="auto"/>
        </w:rPr>
      </w:pPr>
      <w:r>
        <w:rPr>
          <w:rFonts w:hint="eastAsia" w:ascii="宋体" w:hAnsi="宋体" w:eastAsia="宋体" w:cs="宋体"/>
          <w:color w:val="auto"/>
          <w:sz w:val="21"/>
        </w:rPr>
        <w:t xml:space="preserve">6.1.3 评标过程中，评标委员会成员有回避事由、擅离职守或者因健康等原因不能继续评标的，招标人有权更换。被更换的评标委员会成员作出的评审结论无效，由更换后的评标委员会成员重新进行评审。 </w:t>
      </w:r>
    </w:p>
    <w:p>
      <w:pPr>
        <w:pStyle w:val="5"/>
        <w:spacing w:after="282"/>
        <w:ind w:left="132" w:right="0"/>
        <w:rPr>
          <w:rFonts w:ascii="宋体" w:hAnsi="宋体" w:eastAsia="宋体" w:cs="宋体"/>
          <w:color w:val="auto"/>
        </w:rPr>
      </w:pPr>
      <w:bookmarkStart w:id="128" w:name="_Toc508788647"/>
      <w:bookmarkStart w:id="129" w:name="_Toc142406612"/>
      <w:bookmarkStart w:id="130" w:name="_Toc508382130"/>
      <w:r>
        <w:rPr>
          <w:rFonts w:hint="eastAsia" w:ascii="宋体" w:hAnsi="宋体" w:eastAsia="宋体" w:cs="宋体"/>
          <w:color w:val="auto"/>
        </w:rPr>
        <w:t>6.2 评标原则</w:t>
      </w:r>
      <w:bookmarkEnd w:id="128"/>
      <w:bookmarkEnd w:id="129"/>
      <w:bookmarkEnd w:id="130"/>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评标活动遵循公平、公正、科学和择优的原则。 </w:t>
      </w:r>
    </w:p>
    <w:p>
      <w:pPr>
        <w:pStyle w:val="5"/>
        <w:spacing w:after="286" w:line="259" w:lineRule="auto"/>
        <w:ind w:left="132" w:right="0"/>
        <w:rPr>
          <w:rFonts w:ascii="宋体" w:hAnsi="宋体" w:eastAsia="宋体" w:cs="宋体"/>
          <w:color w:val="auto"/>
        </w:rPr>
      </w:pPr>
      <w:bookmarkStart w:id="131" w:name="_Toc508788648"/>
      <w:bookmarkStart w:id="132" w:name="_Toc508382131"/>
      <w:bookmarkStart w:id="133" w:name="_Toc142406613"/>
      <w:r>
        <w:rPr>
          <w:rFonts w:hint="eastAsia" w:ascii="宋体" w:hAnsi="宋体" w:eastAsia="宋体" w:cs="宋体"/>
          <w:color w:val="auto"/>
        </w:rPr>
        <w:t>6.3 评标</w:t>
      </w:r>
      <w:bookmarkEnd w:id="131"/>
      <w:bookmarkEnd w:id="132"/>
      <w:bookmarkEnd w:id="133"/>
    </w:p>
    <w:p>
      <w:pPr>
        <w:spacing w:after="0" w:line="372" w:lineRule="auto"/>
        <w:ind w:right="103" w:firstLine="420"/>
        <w:rPr>
          <w:rFonts w:ascii="宋体" w:hAnsi="宋体" w:eastAsia="宋体" w:cs="宋体"/>
          <w:color w:val="auto"/>
        </w:rPr>
      </w:pPr>
      <w:r>
        <w:rPr>
          <w:rFonts w:hint="eastAsia" w:ascii="宋体" w:hAnsi="宋体" w:eastAsia="宋体" w:cs="宋体"/>
          <w:color w:val="auto"/>
          <w:sz w:val="21"/>
        </w:rPr>
        <w:t xml:space="preserve">6.3.1 评标委员会按照第三章“评标办法”规定的方法、评审因素、标准和程序对投标文件进行评审。第三章“评标办法”没有规定的方法、评审因素和标准，不作为评标依据。 </w:t>
      </w:r>
    </w:p>
    <w:p>
      <w:pPr>
        <w:spacing w:after="255" w:line="374" w:lineRule="auto"/>
        <w:ind w:right="103" w:firstLine="420"/>
        <w:rPr>
          <w:rFonts w:ascii="宋体" w:hAnsi="宋体" w:eastAsia="宋体" w:cs="宋体"/>
          <w:color w:val="auto"/>
        </w:rPr>
      </w:pPr>
      <w:r>
        <w:rPr>
          <w:rFonts w:hint="eastAsia" w:ascii="宋体" w:hAnsi="宋体" w:eastAsia="宋体" w:cs="宋体"/>
          <w:color w:val="auto"/>
          <w:sz w:val="21"/>
        </w:rPr>
        <w:t xml:space="preserve">6.3.2 评标完成后，评标委员会应当向招标人提交书面评标报告和中标候选人名单。评标委员会推荐中标候选人的人数见投标人须知前附表。 </w:t>
      </w:r>
    </w:p>
    <w:p>
      <w:pPr>
        <w:pStyle w:val="4"/>
        <w:spacing w:after="503" w:line="264" w:lineRule="auto"/>
        <w:ind w:left="-5" w:right="0"/>
        <w:rPr>
          <w:rFonts w:ascii="宋体" w:hAnsi="宋体" w:eastAsia="宋体" w:cs="宋体"/>
          <w:color w:val="auto"/>
        </w:rPr>
      </w:pPr>
      <w:bookmarkStart w:id="134" w:name="_Toc508788649"/>
      <w:bookmarkStart w:id="135" w:name="_Toc142406614"/>
      <w:bookmarkStart w:id="136" w:name="_Toc508382132"/>
      <w:r>
        <w:rPr>
          <w:rFonts w:hint="eastAsia" w:ascii="宋体" w:hAnsi="宋体" w:eastAsia="宋体" w:cs="宋体"/>
          <w:b/>
          <w:color w:val="auto"/>
          <w:sz w:val="32"/>
        </w:rPr>
        <w:t xml:space="preserve">7. </w:t>
      </w:r>
      <w:r>
        <w:rPr>
          <w:rFonts w:hint="eastAsia" w:ascii="宋体" w:hAnsi="宋体" w:eastAsia="宋体" w:cs="宋体"/>
          <w:color w:val="auto"/>
          <w:sz w:val="32"/>
        </w:rPr>
        <w:t>合同授予</w:t>
      </w:r>
      <w:bookmarkEnd w:id="134"/>
      <w:bookmarkEnd w:id="135"/>
      <w:bookmarkEnd w:id="136"/>
    </w:p>
    <w:p>
      <w:pPr>
        <w:pStyle w:val="5"/>
        <w:spacing w:after="282"/>
        <w:ind w:left="132" w:right="0"/>
        <w:rPr>
          <w:rFonts w:ascii="宋体" w:hAnsi="宋体" w:eastAsia="宋体" w:cs="宋体"/>
          <w:color w:val="auto"/>
        </w:rPr>
      </w:pPr>
      <w:bookmarkStart w:id="137" w:name="_Toc142406615"/>
      <w:bookmarkStart w:id="138" w:name="_Toc508788650"/>
      <w:bookmarkStart w:id="139" w:name="_Toc508382133"/>
      <w:r>
        <w:rPr>
          <w:rFonts w:hint="eastAsia" w:ascii="宋体" w:hAnsi="宋体" w:eastAsia="宋体" w:cs="宋体"/>
          <w:color w:val="auto"/>
        </w:rPr>
        <w:t>7.1 中标候选人公示</w:t>
      </w:r>
      <w:bookmarkEnd w:id="137"/>
      <w:bookmarkEnd w:id="138"/>
      <w:bookmarkEnd w:id="139"/>
    </w:p>
    <w:p>
      <w:pPr>
        <w:spacing w:after="221" w:line="374" w:lineRule="auto"/>
        <w:ind w:right="103" w:firstLine="420"/>
        <w:rPr>
          <w:rFonts w:ascii="宋体" w:hAnsi="宋体" w:eastAsia="宋体" w:cs="宋体"/>
          <w:color w:val="auto"/>
          <w:u w:val="single"/>
        </w:rPr>
      </w:pPr>
      <w:r>
        <w:rPr>
          <w:rFonts w:hint="eastAsia" w:ascii="宋体" w:hAnsi="宋体" w:eastAsia="宋体" w:cs="宋体"/>
          <w:color w:val="auto"/>
          <w:sz w:val="21"/>
        </w:rPr>
        <w:t xml:space="preserve">招标人在收到评标报告之日起 3 日内，按照投标人须知前附表规定的公示媒介和期限公示中标候选人，公示期不得少于3 天。 </w:t>
      </w:r>
    </w:p>
    <w:p>
      <w:pPr>
        <w:pStyle w:val="5"/>
        <w:spacing w:after="278"/>
        <w:ind w:left="132" w:right="0"/>
        <w:rPr>
          <w:rFonts w:ascii="宋体" w:hAnsi="宋体" w:eastAsia="宋体" w:cs="宋体"/>
          <w:color w:val="auto"/>
        </w:rPr>
      </w:pPr>
      <w:bookmarkStart w:id="140" w:name="_Toc142406616"/>
      <w:bookmarkStart w:id="141" w:name="_Toc508788651"/>
      <w:bookmarkStart w:id="142" w:name="_Toc508382134"/>
      <w:r>
        <w:rPr>
          <w:rFonts w:hint="eastAsia" w:ascii="宋体" w:hAnsi="宋体" w:eastAsia="宋体" w:cs="宋体"/>
          <w:color w:val="auto"/>
        </w:rPr>
        <w:t>7.2 评标结果异议</w:t>
      </w:r>
      <w:bookmarkEnd w:id="140"/>
      <w:bookmarkEnd w:id="141"/>
      <w:bookmarkEnd w:id="142"/>
    </w:p>
    <w:p>
      <w:pPr>
        <w:spacing w:after="246" w:line="354" w:lineRule="auto"/>
        <w:ind w:right="103" w:firstLine="420"/>
        <w:rPr>
          <w:rFonts w:ascii="宋体" w:hAnsi="宋体" w:eastAsia="宋体" w:cs="宋体"/>
          <w:color w:val="auto"/>
        </w:rPr>
      </w:pPr>
      <w:r>
        <w:rPr>
          <w:rFonts w:hint="eastAsia" w:ascii="宋体" w:hAnsi="宋体" w:eastAsia="宋体" w:cs="宋体"/>
          <w:color w:val="auto"/>
          <w:sz w:val="21"/>
        </w:rPr>
        <w:t xml:space="preserve">投标人或者其他利害关系人对评标结果有异议的，应当在中标候选人公示期间提出。招标人将在收到异议之日起 3 日内作出答复；作出答复前，将暂停招标投标活动。 </w:t>
      </w:r>
    </w:p>
    <w:p>
      <w:pPr>
        <w:pStyle w:val="5"/>
        <w:spacing w:after="279"/>
        <w:ind w:left="132" w:right="0"/>
        <w:rPr>
          <w:rFonts w:ascii="宋体" w:hAnsi="宋体" w:eastAsia="宋体" w:cs="宋体"/>
          <w:color w:val="auto"/>
        </w:rPr>
      </w:pPr>
      <w:bookmarkStart w:id="143" w:name="_Toc142406617"/>
      <w:bookmarkStart w:id="144" w:name="_Toc508788652"/>
      <w:bookmarkStart w:id="145" w:name="_Toc508382135"/>
      <w:r>
        <w:rPr>
          <w:rFonts w:hint="eastAsia" w:ascii="宋体" w:hAnsi="宋体" w:eastAsia="宋体" w:cs="宋体"/>
          <w:color w:val="auto"/>
        </w:rPr>
        <w:t>7.3 中标候选人履约能力审查</w:t>
      </w:r>
      <w:bookmarkEnd w:id="143"/>
      <w:bookmarkEnd w:id="144"/>
      <w:bookmarkEnd w:id="145"/>
    </w:p>
    <w:p>
      <w:pPr>
        <w:spacing w:after="223"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 xml:space="preserve">中标候选人的经营、财务状况发生较大变化或存在违法行为，招标人认为可能影响其履约能力的，将在发出中标通知书前提请原评标委员会按照招标文件规定的标准和方法进行审查确认。 </w:t>
      </w:r>
    </w:p>
    <w:p>
      <w:pPr>
        <w:pStyle w:val="5"/>
        <w:spacing w:after="286" w:line="259" w:lineRule="auto"/>
        <w:ind w:left="132" w:right="0"/>
        <w:rPr>
          <w:rFonts w:ascii="宋体" w:hAnsi="宋体" w:eastAsia="宋体" w:cs="宋体"/>
          <w:color w:val="auto"/>
        </w:rPr>
      </w:pPr>
      <w:bookmarkStart w:id="146" w:name="_Toc142406618"/>
      <w:bookmarkStart w:id="147" w:name="_Toc508382136"/>
      <w:bookmarkStart w:id="148" w:name="_Toc508788653"/>
      <w:r>
        <w:rPr>
          <w:rFonts w:hint="eastAsia" w:ascii="宋体" w:hAnsi="宋体" w:eastAsia="宋体" w:cs="宋体"/>
          <w:color w:val="auto"/>
        </w:rPr>
        <w:t>7.4 定标</w:t>
      </w:r>
      <w:bookmarkEnd w:id="146"/>
      <w:bookmarkEnd w:id="147"/>
      <w:bookmarkEnd w:id="148"/>
    </w:p>
    <w:p>
      <w:pPr>
        <w:spacing w:after="347"/>
        <w:ind w:right="27" w:firstLine="420" w:firstLineChars="200"/>
        <w:jc w:val="both"/>
        <w:rPr>
          <w:rFonts w:ascii="宋体" w:hAnsi="宋体" w:eastAsia="宋体" w:cs="宋体"/>
          <w:color w:val="auto"/>
        </w:rPr>
      </w:pPr>
      <w:r>
        <w:rPr>
          <w:rFonts w:hint="eastAsia" w:ascii="宋体" w:hAnsi="宋体" w:eastAsia="宋体" w:cs="宋体"/>
          <w:color w:val="auto"/>
          <w:sz w:val="21"/>
        </w:rPr>
        <w:t xml:space="preserve">按照投标人须知前附表的规定，招标人或招标人授权的评标委员会依法确定中标人。 </w:t>
      </w:r>
    </w:p>
    <w:p>
      <w:pPr>
        <w:pStyle w:val="5"/>
        <w:spacing w:after="282"/>
        <w:ind w:left="132" w:right="0"/>
        <w:rPr>
          <w:rFonts w:ascii="宋体" w:hAnsi="宋体" w:eastAsia="宋体" w:cs="宋体"/>
          <w:color w:val="auto"/>
        </w:rPr>
      </w:pPr>
      <w:bookmarkStart w:id="149" w:name="_Toc142406619"/>
      <w:bookmarkStart w:id="150" w:name="_Toc508788654"/>
      <w:bookmarkStart w:id="151" w:name="_Toc508382137"/>
      <w:r>
        <w:rPr>
          <w:rFonts w:hint="eastAsia" w:ascii="宋体" w:hAnsi="宋体" w:eastAsia="宋体" w:cs="宋体"/>
          <w:color w:val="auto"/>
        </w:rPr>
        <w:t>7.5 中标通知</w:t>
      </w:r>
      <w:bookmarkEnd w:id="149"/>
      <w:bookmarkEnd w:id="150"/>
      <w:bookmarkEnd w:id="151"/>
    </w:p>
    <w:p>
      <w:pPr>
        <w:spacing w:after="218" w:line="372" w:lineRule="auto"/>
        <w:ind w:right="103" w:firstLine="420"/>
        <w:rPr>
          <w:rFonts w:ascii="宋体" w:hAnsi="宋体" w:eastAsia="宋体" w:cs="宋体"/>
          <w:color w:val="auto"/>
        </w:rPr>
      </w:pPr>
      <w:r>
        <w:rPr>
          <w:rFonts w:hint="eastAsia" w:ascii="宋体" w:hAnsi="宋体" w:eastAsia="宋体" w:cs="宋体"/>
          <w:color w:val="auto"/>
          <w:sz w:val="21"/>
        </w:rPr>
        <w:t>在本章第 3.3 款规定的投标有效期内，招标人以书面形式向中标人发出中标通知书，同时将中标结果通知未中标的投标人。</w:t>
      </w:r>
    </w:p>
    <w:p>
      <w:pPr>
        <w:pStyle w:val="5"/>
        <w:spacing w:after="284"/>
        <w:ind w:left="132" w:right="0"/>
        <w:rPr>
          <w:rFonts w:ascii="宋体" w:hAnsi="宋体" w:eastAsia="宋体" w:cs="宋体"/>
          <w:color w:val="auto"/>
        </w:rPr>
      </w:pPr>
      <w:bookmarkStart w:id="152" w:name="_Toc508788655"/>
      <w:bookmarkStart w:id="153" w:name="_Toc508382138"/>
      <w:bookmarkStart w:id="154" w:name="_Toc142406620"/>
      <w:r>
        <w:rPr>
          <w:rFonts w:hint="eastAsia" w:ascii="宋体" w:hAnsi="宋体" w:eastAsia="宋体" w:cs="宋体"/>
          <w:color w:val="auto"/>
        </w:rPr>
        <w:t>7.6 履约保证金</w:t>
      </w:r>
      <w:bookmarkEnd w:id="152"/>
      <w:bookmarkEnd w:id="153"/>
      <w:bookmarkEnd w:id="154"/>
    </w:p>
    <w:p>
      <w:pPr>
        <w:spacing w:after="0" w:line="371" w:lineRule="auto"/>
        <w:ind w:left="11" w:leftChars="5" w:right="198" w:firstLine="420" w:firstLineChars="200"/>
        <w:jc w:val="both"/>
        <w:rPr>
          <w:rFonts w:ascii="宋体" w:hAnsi="宋体" w:eastAsia="宋体" w:cs="宋体"/>
          <w:dstrike/>
          <w:color w:val="auto"/>
        </w:rPr>
      </w:pPr>
      <w:r>
        <w:rPr>
          <w:rFonts w:hint="eastAsia" w:ascii="宋体" w:hAnsi="宋体" w:eastAsia="宋体" w:cs="宋体"/>
          <w:color w:val="auto"/>
          <w:sz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10%的银行保函或担保公司担保。</w:t>
      </w:r>
      <w:bookmarkStart w:id="319" w:name="_GoBack"/>
      <w:bookmarkEnd w:id="319"/>
      <w:r>
        <w:rPr>
          <w:rFonts w:hint="eastAsia" w:ascii="宋体" w:hAnsi="宋体" w:eastAsia="宋体" w:cs="宋体"/>
          <w:color w:val="auto"/>
          <w:sz w:val="21"/>
        </w:rPr>
        <w:t xml:space="preserve"> </w:t>
      </w:r>
    </w:p>
    <w:p>
      <w:pPr>
        <w:spacing w:after="214" w:line="373" w:lineRule="auto"/>
        <w:ind w:right="103" w:firstLine="420"/>
        <w:jc w:val="both"/>
        <w:rPr>
          <w:rFonts w:ascii="宋体" w:hAnsi="宋体" w:eastAsia="宋体" w:cs="宋体"/>
          <w:color w:val="auto"/>
        </w:rPr>
      </w:pPr>
      <w:r>
        <w:rPr>
          <w:rFonts w:hint="eastAsia" w:ascii="宋体" w:hAnsi="宋体" w:eastAsia="宋体" w:cs="宋体"/>
          <w:color w:val="auto"/>
          <w:sz w:val="21"/>
        </w:rPr>
        <w:t xml:space="preserve">7.6.2 中标人不能按本章第 7.6.1 项要求提交履约保证金的，视为放弃中标，其投标保证金不予退还，给招标人造成的损失超过投标保证金数额的，中标人还应当对超过部分予以赔偿。 </w:t>
      </w:r>
    </w:p>
    <w:p>
      <w:pPr>
        <w:pStyle w:val="5"/>
        <w:spacing w:after="282"/>
        <w:ind w:left="132" w:right="0"/>
        <w:rPr>
          <w:rFonts w:ascii="宋体" w:hAnsi="宋体" w:eastAsia="宋体" w:cs="宋体"/>
          <w:color w:val="auto"/>
        </w:rPr>
      </w:pPr>
      <w:bookmarkStart w:id="155" w:name="_Toc508382139"/>
      <w:bookmarkStart w:id="156" w:name="_Toc508788656"/>
      <w:bookmarkStart w:id="157" w:name="_Toc142406621"/>
      <w:r>
        <w:rPr>
          <w:rFonts w:hint="eastAsia" w:ascii="宋体" w:hAnsi="宋体" w:eastAsia="宋体" w:cs="宋体"/>
          <w:color w:val="auto"/>
        </w:rPr>
        <w:t>7.7 签订合同</w:t>
      </w:r>
      <w:bookmarkEnd w:id="155"/>
      <w:bookmarkEnd w:id="156"/>
      <w:bookmarkEnd w:id="157"/>
    </w:p>
    <w:p>
      <w:pPr>
        <w:spacing w:after="14" w:line="357" w:lineRule="auto"/>
        <w:ind w:right="103" w:firstLine="420"/>
        <w:rPr>
          <w:rFonts w:ascii="宋体" w:hAnsi="宋体" w:eastAsia="宋体" w:cs="宋体"/>
          <w:color w:val="auto"/>
        </w:rPr>
      </w:pPr>
      <w:r>
        <w:rPr>
          <w:rFonts w:hint="eastAsia" w:ascii="宋体" w:hAnsi="宋体" w:eastAsia="宋体" w:cs="宋体"/>
          <w:color w:val="auto"/>
          <w:sz w:val="21"/>
        </w:rPr>
        <w:t xml:space="preserve">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 </w:t>
      </w:r>
    </w:p>
    <w:p>
      <w:p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7.7.2 发出中标通知书后，招标人无正当理由拒签合同，或者在签订合同时向中标人提出附加条件的，招标人向中标人退还投标保证金；给中标人造成损失的，还应当赔偿损失。 </w:t>
      </w:r>
    </w:p>
    <w:p>
      <w:pPr>
        <w:spacing w:after="258" w:line="374" w:lineRule="auto"/>
        <w:ind w:right="103" w:firstLine="420"/>
        <w:rPr>
          <w:rFonts w:ascii="宋体" w:hAnsi="宋体" w:eastAsia="宋体" w:cs="宋体"/>
          <w:color w:val="auto"/>
        </w:rPr>
      </w:pPr>
      <w:r>
        <w:rPr>
          <w:rFonts w:hint="eastAsia" w:ascii="宋体" w:hAnsi="宋体" w:eastAsia="宋体" w:cs="宋体"/>
          <w:color w:val="auto"/>
          <w:sz w:val="21"/>
        </w:rPr>
        <w:t xml:space="preserve">7.7.3 联合体中标的，联合体各方应当共同与招标人签订合同，就中标项目向招标人承担连带责任。 </w:t>
      </w:r>
    </w:p>
    <w:p>
      <w:pPr>
        <w:pStyle w:val="4"/>
        <w:spacing w:after="503" w:line="264" w:lineRule="auto"/>
        <w:ind w:left="-5" w:right="0"/>
        <w:rPr>
          <w:rFonts w:ascii="宋体" w:hAnsi="宋体" w:eastAsia="宋体" w:cs="宋体"/>
          <w:color w:val="auto"/>
        </w:rPr>
      </w:pPr>
      <w:bookmarkStart w:id="158" w:name="_Toc508382140"/>
      <w:bookmarkStart w:id="159" w:name="_Toc508788657"/>
      <w:bookmarkStart w:id="160" w:name="_Toc142406622"/>
      <w:r>
        <w:rPr>
          <w:rFonts w:hint="eastAsia" w:ascii="宋体" w:hAnsi="宋体" w:eastAsia="宋体" w:cs="宋体"/>
          <w:b/>
          <w:color w:val="auto"/>
          <w:sz w:val="32"/>
        </w:rPr>
        <w:t>8.</w:t>
      </w:r>
      <w:r>
        <w:rPr>
          <w:rFonts w:hint="eastAsia" w:ascii="宋体" w:hAnsi="宋体" w:eastAsia="宋体" w:cs="宋体"/>
          <w:color w:val="auto"/>
          <w:sz w:val="32"/>
        </w:rPr>
        <w:t>纪律和监督</w:t>
      </w:r>
      <w:bookmarkEnd w:id="158"/>
      <w:bookmarkEnd w:id="159"/>
      <w:bookmarkEnd w:id="160"/>
    </w:p>
    <w:p>
      <w:pPr>
        <w:pStyle w:val="5"/>
        <w:spacing w:after="278"/>
        <w:ind w:left="132" w:right="0"/>
        <w:rPr>
          <w:rFonts w:ascii="宋体" w:hAnsi="宋体" w:eastAsia="宋体" w:cs="宋体"/>
          <w:color w:val="auto"/>
        </w:rPr>
      </w:pPr>
      <w:bookmarkStart w:id="161" w:name="_Toc508788658"/>
      <w:bookmarkStart w:id="162" w:name="_Toc508382141"/>
      <w:bookmarkStart w:id="163" w:name="_Toc142406623"/>
      <w:r>
        <w:rPr>
          <w:rFonts w:hint="eastAsia" w:ascii="宋体" w:hAnsi="宋体" w:eastAsia="宋体" w:cs="宋体"/>
          <w:color w:val="auto"/>
        </w:rPr>
        <w:t>8.1 对招标人的纪律要求</w:t>
      </w:r>
      <w:bookmarkEnd w:id="161"/>
      <w:bookmarkEnd w:id="162"/>
      <w:bookmarkEnd w:id="163"/>
    </w:p>
    <w:p>
      <w:pPr>
        <w:spacing w:after="240" w:line="354" w:lineRule="auto"/>
        <w:ind w:right="103" w:firstLine="420"/>
        <w:rPr>
          <w:rFonts w:ascii="宋体" w:hAnsi="宋体" w:eastAsia="宋体" w:cs="宋体"/>
          <w:color w:val="auto"/>
        </w:rPr>
      </w:pPr>
      <w:r>
        <w:rPr>
          <w:rFonts w:hint="eastAsia" w:ascii="宋体" w:hAnsi="宋体" w:eastAsia="宋体" w:cs="宋体"/>
          <w:color w:val="auto"/>
          <w:sz w:val="21"/>
        </w:rPr>
        <w:t xml:space="preserve">招标人不得泄露招标投标活动中应当保密的情况和资料，不得与投标人串通损害国家利益、社会公共利益或者他人合法权益。 </w:t>
      </w:r>
    </w:p>
    <w:p>
      <w:pPr>
        <w:pStyle w:val="5"/>
        <w:spacing w:after="278"/>
        <w:ind w:left="132" w:right="0"/>
        <w:rPr>
          <w:rFonts w:ascii="宋体" w:hAnsi="宋体" w:eastAsia="宋体" w:cs="宋体"/>
          <w:color w:val="auto"/>
        </w:rPr>
      </w:pPr>
      <w:bookmarkStart w:id="164" w:name="_Toc142406624"/>
      <w:bookmarkStart w:id="165" w:name="_Toc508788659"/>
      <w:bookmarkStart w:id="166" w:name="_Toc508382142"/>
      <w:r>
        <w:rPr>
          <w:rFonts w:hint="eastAsia" w:ascii="宋体" w:hAnsi="宋体" w:eastAsia="宋体" w:cs="宋体"/>
          <w:color w:val="auto"/>
        </w:rPr>
        <w:t>8.2 对投标人的纪律要求</w:t>
      </w:r>
      <w:bookmarkEnd w:id="164"/>
      <w:bookmarkEnd w:id="165"/>
      <w:bookmarkEnd w:id="166"/>
    </w:p>
    <w:p>
      <w:pPr>
        <w:spacing w:after="242" w:line="352" w:lineRule="auto"/>
        <w:ind w:right="103" w:firstLine="420"/>
        <w:rPr>
          <w:rFonts w:ascii="宋体" w:hAnsi="宋体" w:eastAsia="宋体" w:cs="宋体"/>
          <w:color w:val="auto"/>
        </w:rPr>
      </w:pPr>
      <w:r>
        <w:rPr>
          <w:rFonts w:hint="eastAsia" w:ascii="宋体" w:hAnsi="宋体" w:eastAsia="宋体" w:cs="宋体"/>
          <w:color w:val="auto"/>
          <w:sz w:val="21"/>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pPr>
        <w:pStyle w:val="5"/>
        <w:spacing w:after="279"/>
        <w:ind w:left="132" w:right="0"/>
        <w:rPr>
          <w:rFonts w:ascii="宋体" w:hAnsi="宋体" w:eastAsia="宋体" w:cs="宋体"/>
          <w:color w:val="auto"/>
        </w:rPr>
      </w:pPr>
      <w:bookmarkStart w:id="167" w:name="_Toc142406625"/>
      <w:bookmarkStart w:id="168" w:name="_Toc508382143"/>
      <w:bookmarkStart w:id="169" w:name="_Toc508788660"/>
      <w:r>
        <w:rPr>
          <w:rFonts w:hint="eastAsia" w:ascii="宋体" w:hAnsi="宋体" w:eastAsia="宋体" w:cs="宋体"/>
          <w:color w:val="auto"/>
        </w:rPr>
        <w:t>8.3 对评标委员会成员的纪律要求</w:t>
      </w:r>
      <w:bookmarkEnd w:id="167"/>
      <w:bookmarkEnd w:id="168"/>
      <w:bookmarkEnd w:id="169"/>
    </w:p>
    <w:p>
      <w:pPr>
        <w:spacing w:after="348" w:line="349" w:lineRule="auto"/>
        <w:ind w:right="103" w:firstLine="420"/>
        <w:rPr>
          <w:rFonts w:ascii="宋体" w:hAnsi="宋体" w:eastAsia="宋体" w:cs="宋体"/>
          <w:color w:val="auto"/>
        </w:rPr>
      </w:pPr>
      <w:r>
        <w:rPr>
          <w:rFonts w:hint="eastAsia" w:ascii="宋体" w:hAnsi="宋体" w:eastAsia="宋体" w:cs="宋体"/>
          <w:color w:val="auto"/>
          <w:sz w:val="21"/>
        </w:rPr>
        <w:t xml:space="preserve">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 </w:t>
      </w:r>
    </w:p>
    <w:p>
      <w:pPr>
        <w:pStyle w:val="5"/>
        <w:spacing w:after="280"/>
        <w:ind w:left="132" w:right="0"/>
        <w:rPr>
          <w:rFonts w:ascii="宋体" w:hAnsi="宋体" w:eastAsia="宋体" w:cs="宋体"/>
          <w:color w:val="auto"/>
        </w:rPr>
      </w:pPr>
      <w:bookmarkStart w:id="170" w:name="_Toc508788661"/>
      <w:bookmarkStart w:id="171" w:name="_Toc142406626"/>
      <w:bookmarkStart w:id="172" w:name="_Toc508382144"/>
      <w:r>
        <w:rPr>
          <w:rFonts w:hint="eastAsia" w:ascii="宋体" w:hAnsi="宋体" w:eastAsia="宋体" w:cs="宋体"/>
          <w:color w:val="auto"/>
        </w:rPr>
        <w:t>8.4 对与评标活动有关的工作人员的纪律要求</w:t>
      </w:r>
      <w:bookmarkEnd w:id="170"/>
      <w:bookmarkEnd w:id="171"/>
      <w:bookmarkEnd w:id="172"/>
    </w:p>
    <w:p>
      <w:pPr>
        <w:spacing w:after="239" w:line="352" w:lineRule="auto"/>
        <w:ind w:right="103" w:firstLine="420"/>
        <w:rPr>
          <w:rFonts w:ascii="宋体" w:hAnsi="宋体" w:eastAsia="宋体" w:cs="宋体"/>
          <w:color w:val="auto"/>
        </w:rPr>
      </w:pPr>
      <w:r>
        <w:rPr>
          <w:rFonts w:hint="eastAsia" w:ascii="宋体" w:hAnsi="宋体" w:eastAsia="宋体" w:cs="宋体"/>
          <w:color w:val="auto"/>
          <w:sz w:val="21"/>
        </w:rPr>
        <w:t xml:space="preserve">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 </w:t>
      </w:r>
    </w:p>
    <w:p>
      <w:pPr>
        <w:pStyle w:val="5"/>
        <w:spacing w:after="286" w:line="259" w:lineRule="auto"/>
        <w:ind w:left="132" w:right="0"/>
        <w:rPr>
          <w:rFonts w:ascii="宋体" w:hAnsi="宋体" w:eastAsia="宋体" w:cs="宋体"/>
          <w:color w:val="auto"/>
        </w:rPr>
      </w:pPr>
      <w:bookmarkStart w:id="173" w:name="_Toc508382145"/>
      <w:bookmarkStart w:id="174" w:name="_Toc508788662"/>
      <w:bookmarkStart w:id="175" w:name="_Toc142406627"/>
      <w:r>
        <w:rPr>
          <w:rFonts w:hint="eastAsia" w:ascii="宋体" w:hAnsi="宋体" w:eastAsia="宋体" w:cs="宋体"/>
          <w:color w:val="auto"/>
        </w:rPr>
        <w:t>8.5 投诉</w:t>
      </w:r>
      <w:bookmarkEnd w:id="173"/>
      <w:bookmarkEnd w:id="174"/>
      <w:bookmarkEnd w:id="175"/>
    </w:p>
    <w:p>
      <w:pPr>
        <w:spacing w:after="5"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 xml:space="preserve">8.5.1 投标人或者其他利害关系人认为招标投标活动不符合法律、行政法规规定的，可以自知道或者应当知道之日起 10 日内向有关行政监督部门投诉。投诉应当有明确的请求和必要的证明材料。 </w:t>
      </w:r>
    </w:p>
    <w:p>
      <w:pPr>
        <w:spacing w:after="264"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 xml:space="preserve">8.5.2 投标人或者其他利害关系人对招标文件、开标和评标结果提出投诉的，应当按照投标人须知第 2.4 款、第 5.3 款和第 7.2 款的规定先向招标人提出异议。异议答复期间不计算在第 8.5.1 项规定的期限内。 </w:t>
      </w:r>
    </w:p>
    <w:p>
      <w:pPr>
        <w:pStyle w:val="4"/>
        <w:spacing w:after="245" w:line="264" w:lineRule="auto"/>
        <w:ind w:left="-5" w:right="0"/>
        <w:rPr>
          <w:rFonts w:ascii="宋体" w:hAnsi="宋体" w:eastAsia="宋体" w:cs="宋体"/>
          <w:color w:val="auto"/>
        </w:rPr>
      </w:pPr>
      <w:bookmarkStart w:id="176" w:name="_Toc508382146"/>
      <w:bookmarkStart w:id="177" w:name="_Toc142406628"/>
      <w:bookmarkStart w:id="178" w:name="_Toc508788663"/>
      <w:r>
        <w:rPr>
          <w:rFonts w:hint="eastAsia" w:ascii="宋体" w:hAnsi="宋体" w:eastAsia="宋体" w:cs="宋体"/>
          <w:b/>
          <w:color w:val="auto"/>
          <w:sz w:val="32"/>
        </w:rPr>
        <w:t xml:space="preserve">9. </w:t>
      </w:r>
      <w:r>
        <w:rPr>
          <w:rFonts w:hint="eastAsia" w:ascii="宋体" w:hAnsi="宋体" w:eastAsia="宋体" w:cs="宋体"/>
          <w:color w:val="auto"/>
          <w:sz w:val="32"/>
        </w:rPr>
        <w:t>是否采用电子招标投标</w:t>
      </w:r>
      <w:bookmarkEnd w:id="176"/>
      <w:bookmarkEnd w:id="177"/>
      <w:bookmarkEnd w:id="178"/>
    </w:p>
    <w:p>
      <w:pPr>
        <w:spacing w:after="385"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本招标项目是否采用电子招标投标方式，见投标人须知前附表。 </w:t>
      </w:r>
    </w:p>
    <w:p>
      <w:pPr>
        <w:pStyle w:val="4"/>
        <w:spacing w:after="244" w:line="264" w:lineRule="auto"/>
        <w:ind w:left="-5" w:right="0"/>
        <w:rPr>
          <w:rFonts w:ascii="宋体" w:hAnsi="宋体" w:eastAsia="宋体" w:cs="宋体"/>
          <w:color w:val="auto"/>
        </w:rPr>
      </w:pPr>
      <w:bookmarkStart w:id="179" w:name="_Toc142406629"/>
      <w:bookmarkStart w:id="180" w:name="_Toc508788664"/>
      <w:bookmarkStart w:id="181" w:name="_Toc508382147"/>
      <w:r>
        <w:rPr>
          <w:rFonts w:hint="eastAsia" w:ascii="宋体" w:hAnsi="宋体" w:eastAsia="宋体" w:cs="宋体"/>
          <w:b/>
          <w:color w:val="auto"/>
          <w:sz w:val="32"/>
        </w:rPr>
        <w:t xml:space="preserve">10. </w:t>
      </w:r>
      <w:r>
        <w:rPr>
          <w:rFonts w:hint="eastAsia" w:ascii="宋体" w:hAnsi="宋体" w:eastAsia="宋体" w:cs="宋体"/>
          <w:color w:val="auto"/>
          <w:sz w:val="32"/>
        </w:rPr>
        <w:t>需要补充的其他内容</w:t>
      </w:r>
      <w:bookmarkEnd w:id="179"/>
      <w:bookmarkEnd w:id="180"/>
      <w:bookmarkEnd w:id="181"/>
    </w:p>
    <w:p>
      <w:pPr>
        <w:spacing w:after="123" w:line="265" w:lineRule="auto"/>
        <w:ind w:left="417" w:right="103" w:hanging="10"/>
        <w:rPr>
          <w:rFonts w:ascii="宋体" w:hAnsi="宋体" w:eastAsia="宋体" w:cs="宋体"/>
          <w:color w:val="auto"/>
          <w:sz w:val="21"/>
        </w:rPr>
      </w:pPr>
      <w:r>
        <w:rPr>
          <w:rFonts w:hint="eastAsia" w:ascii="宋体" w:hAnsi="宋体" w:eastAsia="宋体" w:cs="宋体"/>
          <w:color w:val="auto"/>
          <w:sz w:val="21"/>
        </w:rPr>
        <w:t xml:space="preserve">需要补充的其他内容：见投标人须知前附表。 </w:t>
      </w:r>
    </w:p>
    <w:p>
      <w:pPr>
        <w:spacing w:after="123" w:line="265" w:lineRule="auto"/>
        <w:ind w:right="103"/>
        <w:rPr>
          <w:rFonts w:ascii="宋体" w:hAnsi="宋体" w:eastAsia="宋体" w:cs="宋体"/>
          <w:color w:val="auto"/>
          <w:sz w:val="21"/>
        </w:rPr>
      </w:pPr>
    </w:p>
    <w:p>
      <w:pPr>
        <w:spacing w:after="123" w:line="265" w:lineRule="auto"/>
        <w:ind w:right="103"/>
        <w:rPr>
          <w:rFonts w:ascii="宋体" w:hAnsi="宋体" w:eastAsia="宋体" w:cs="宋体"/>
          <w:color w:val="auto"/>
          <w:sz w:val="21"/>
        </w:rPr>
      </w:pPr>
    </w:p>
    <w:p>
      <w:pPr>
        <w:spacing w:after="123" w:line="265" w:lineRule="auto"/>
        <w:ind w:right="103"/>
        <w:rPr>
          <w:rFonts w:ascii="宋体" w:hAnsi="宋体" w:eastAsia="宋体" w:cs="宋体"/>
          <w:color w:val="auto"/>
        </w:rPr>
      </w:pPr>
    </w:p>
    <w:p>
      <w:pPr>
        <w:pStyle w:val="5"/>
        <w:spacing w:after="580"/>
        <w:ind w:left="132" w:right="0"/>
        <w:rPr>
          <w:rFonts w:ascii="宋体" w:hAnsi="宋体" w:eastAsia="宋体" w:cs="宋体"/>
          <w:color w:val="auto"/>
        </w:rPr>
        <w:sectPr>
          <w:headerReference r:id="rId7" w:type="default"/>
          <w:footerReference r:id="rId8" w:type="default"/>
          <w:pgSz w:w="11906" w:h="16838"/>
          <w:pgMar w:top="1588" w:right="1247" w:bottom="1418" w:left="1644" w:header="851" w:footer="992" w:gutter="0"/>
          <w:cols w:space="720" w:num="1"/>
          <w:docGrid w:type="lines" w:linePitch="312" w:charSpace="0"/>
        </w:sectPr>
      </w:pPr>
      <w:bookmarkStart w:id="182" w:name="_Toc508788665"/>
      <w:bookmarkStart w:id="183" w:name="_Toc508382148"/>
    </w:p>
    <w:p>
      <w:pPr>
        <w:pStyle w:val="5"/>
        <w:spacing w:after="580"/>
        <w:ind w:left="132" w:right="0"/>
        <w:rPr>
          <w:rFonts w:ascii="宋体" w:hAnsi="宋体" w:eastAsia="宋体" w:cs="宋体"/>
          <w:color w:val="auto"/>
        </w:rPr>
      </w:pPr>
      <w:bookmarkStart w:id="184" w:name="_Toc142406630"/>
      <w:r>
        <w:rPr>
          <w:rFonts w:hint="eastAsia" w:ascii="宋体" w:hAnsi="宋体" w:eastAsia="宋体" w:cs="宋体"/>
          <w:color w:val="auto"/>
        </w:rPr>
        <w:t xml:space="preserve">附件一：开标记录表 </w:t>
      </w:r>
      <w:bookmarkEnd w:id="182"/>
      <w:bookmarkEnd w:id="183"/>
      <w:r>
        <w:rPr>
          <w:rFonts w:hint="eastAsia" w:ascii="宋体" w:hAnsi="宋体" w:eastAsia="宋体" w:cs="宋体"/>
          <w:color w:val="auto"/>
        </w:rPr>
        <w:t>（见交易中心系统）</w:t>
      </w:r>
      <w:bookmarkEnd w:id="184"/>
    </w:p>
    <w:p>
      <w:pPr>
        <w:spacing w:after="0"/>
        <w:rPr>
          <w:rFonts w:ascii="宋体" w:hAnsi="宋体" w:eastAsia="宋体" w:cs="宋体"/>
          <w:color w:val="auto"/>
          <w:sz w:val="21"/>
        </w:rPr>
      </w:pPr>
    </w:p>
    <w:p>
      <w:pPr>
        <w:spacing w:after="0"/>
        <w:rPr>
          <w:rFonts w:ascii="宋体" w:hAnsi="宋体" w:eastAsia="宋体" w:cs="宋体"/>
          <w:color w:val="auto"/>
          <w:sz w:val="21"/>
        </w:rPr>
      </w:pPr>
      <w:bookmarkStart w:id="185" w:name="_Toc508788666"/>
      <w:bookmarkStart w:id="186" w:name="_Toc508382149"/>
      <w:r>
        <w:rPr>
          <w:rFonts w:hint="eastAsia" w:ascii="宋体" w:hAnsi="宋体" w:eastAsia="宋体" w:cs="宋体"/>
          <w:color w:val="auto"/>
        </w:rPr>
        <w:t>附件二：问题澄清通知</w:t>
      </w:r>
      <w:bookmarkEnd w:id="185"/>
      <w:bookmarkEnd w:id="186"/>
    </w:p>
    <w:p>
      <w:pPr>
        <w:spacing w:after="183"/>
        <w:ind w:right="161"/>
        <w:jc w:val="center"/>
        <w:rPr>
          <w:rFonts w:ascii="宋体" w:hAnsi="宋体" w:eastAsia="宋体" w:cs="宋体"/>
          <w:color w:val="auto"/>
        </w:rPr>
      </w:pPr>
    </w:p>
    <w:p>
      <w:pPr>
        <w:pStyle w:val="7"/>
        <w:spacing w:after="84"/>
        <w:ind w:right="212"/>
        <w:jc w:val="center"/>
        <w:rPr>
          <w:rFonts w:ascii="宋体" w:hAnsi="宋体" w:eastAsia="宋体" w:cs="宋体"/>
          <w:color w:val="auto"/>
        </w:rPr>
      </w:pPr>
      <w:r>
        <w:rPr>
          <w:rFonts w:hint="eastAsia" w:ascii="宋体" w:hAnsi="宋体" w:eastAsia="宋体" w:cs="宋体"/>
          <w:color w:val="auto"/>
        </w:rPr>
        <w:t xml:space="preserve">问题澄清通知 </w:t>
      </w:r>
    </w:p>
    <w:p>
      <w:pPr>
        <w:spacing w:after="99"/>
        <w:ind w:left="221" w:right="430" w:hanging="10"/>
        <w:jc w:val="center"/>
        <w:rPr>
          <w:rFonts w:ascii="宋体" w:hAnsi="宋体" w:eastAsia="宋体" w:cs="宋体"/>
          <w:color w:val="auto"/>
        </w:rPr>
      </w:pPr>
      <w:r>
        <w:rPr>
          <w:rFonts w:hint="eastAsia" w:ascii="宋体" w:hAnsi="宋体" w:eastAsia="宋体" w:cs="宋体"/>
          <w:color w:val="auto"/>
          <w:sz w:val="21"/>
        </w:rPr>
        <w:t xml:space="preserve">（编号：） </w:t>
      </w:r>
    </w:p>
    <w:p>
      <w:pPr>
        <w:spacing w:after="178"/>
        <w:rPr>
          <w:rFonts w:ascii="宋体" w:hAnsi="宋体" w:eastAsia="宋体" w:cs="宋体"/>
          <w:color w:val="auto"/>
        </w:rPr>
      </w:pPr>
    </w:p>
    <w:p>
      <w:pPr>
        <w:spacing w:after="147"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（投标人名称）： </w:t>
      </w:r>
    </w:p>
    <w:p>
      <w:pPr>
        <w:spacing w:after="175"/>
        <w:rPr>
          <w:rFonts w:ascii="宋体" w:hAnsi="宋体" w:eastAsia="宋体" w:cs="宋体"/>
          <w:color w:val="auto"/>
        </w:rPr>
      </w:pPr>
    </w:p>
    <w:p>
      <w:pPr>
        <w:spacing w:after="17" w:line="389" w:lineRule="auto"/>
        <w:ind w:left="10" w:right="103" w:hanging="10"/>
        <w:rPr>
          <w:rFonts w:ascii="宋体" w:hAnsi="宋体" w:eastAsia="宋体" w:cs="宋体"/>
          <w:color w:val="auto"/>
        </w:rPr>
      </w:pPr>
      <w:r>
        <w:rPr>
          <w:rFonts w:hint="eastAsia" w:ascii="宋体" w:hAnsi="宋体" w:eastAsia="宋体" w:cs="宋体"/>
          <w:color w:val="auto"/>
          <w:sz w:val="21"/>
        </w:rPr>
        <w:t xml:space="preserve">    评标委员会对你方的投标文件进行了仔细的审查，现需你方对下列问题以书面形式予以澄清、说明或补正： </w:t>
      </w:r>
    </w:p>
    <w:p>
      <w:pPr>
        <w:spacing w:after="156"/>
        <w:rPr>
          <w:rFonts w:ascii="宋体" w:hAnsi="宋体" w:eastAsia="宋体" w:cs="宋体"/>
          <w:color w:val="auto"/>
        </w:rPr>
      </w:pPr>
    </w:p>
    <w:p>
      <w:pPr>
        <w:spacing w:after="172" w:line="265" w:lineRule="auto"/>
        <w:ind w:left="10" w:hanging="10"/>
        <w:rPr>
          <w:rFonts w:ascii="宋体" w:hAnsi="宋体" w:eastAsia="宋体" w:cs="宋体"/>
          <w:color w:val="auto"/>
        </w:rPr>
      </w:pPr>
      <w:r>
        <w:rPr>
          <w:rFonts w:hint="eastAsia" w:ascii="宋体" w:hAnsi="宋体" w:eastAsia="宋体" w:cs="宋体"/>
          <w:color w:val="auto"/>
          <w:sz w:val="21"/>
        </w:rPr>
        <w:t xml:space="preserve">    1. </w:t>
      </w:r>
    </w:p>
    <w:p>
      <w:pPr>
        <w:spacing w:after="172" w:line="265" w:lineRule="auto"/>
        <w:ind w:left="10" w:hanging="10"/>
        <w:rPr>
          <w:rFonts w:ascii="宋体" w:hAnsi="宋体" w:eastAsia="宋体" w:cs="宋体"/>
          <w:color w:val="auto"/>
        </w:rPr>
      </w:pPr>
      <w:r>
        <w:rPr>
          <w:rFonts w:hint="eastAsia" w:ascii="宋体" w:hAnsi="宋体" w:eastAsia="宋体" w:cs="宋体"/>
          <w:color w:val="auto"/>
          <w:sz w:val="21"/>
        </w:rPr>
        <w:t xml:space="preserve">    2. </w:t>
      </w:r>
    </w:p>
    <w:p>
      <w:pPr>
        <w:spacing w:after="172" w:line="265" w:lineRule="auto"/>
        <w:ind w:left="10" w:hanging="10"/>
        <w:rPr>
          <w:rFonts w:ascii="宋体" w:hAnsi="宋体" w:eastAsia="宋体" w:cs="宋体"/>
          <w:color w:val="auto"/>
        </w:rPr>
      </w:pPr>
      <w:r>
        <w:rPr>
          <w:rFonts w:hint="eastAsia" w:ascii="宋体" w:hAnsi="宋体" w:eastAsia="宋体" w:cs="宋体"/>
          <w:color w:val="auto"/>
          <w:sz w:val="21"/>
        </w:rPr>
        <w:t xml:space="preserve">     ......    </w:t>
      </w:r>
    </w:p>
    <w:p>
      <w:pPr>
        <w:spacing w:after="0" w:line="398" w:lineRule="auto"/>
        <w:ind w:left="10" w:right="211" w:hanging="10"/>
        <w:rPr>
          <w:rFonts w:ascii="宋体" w:hAnsi="宋体" w:eastAsia="宋体" w:cs="宋体"/>
          <w:color w:val="auto"/>
        </w:rPr>
      </w:pPr>
      <w:r>
        <w:rPr>
          <w:rFonts w:hint="eastAsia" w:ascii="宋体" w:hAnsi="宋体" w:eastAsia="宋体" w:cs="宋体"/>
          <w:color w:val="auto"/>
          <w:sz w:val="21"/>
        </w:rPr>
        <w:t xml:space="preserve">    请将上述问题的澄清、说明或补正于年月日时前递交至 （详细地址）或传真至（传真号码）或</w:t>
      </w:r>
    </w:p>
    <w:p>
      <w:pPr>
        <w:spacing w:after="0" w:line="398" w:lineRule="auto"/>
        <w:ind w:left="10" w:right="398" w:hanging="10"/>
        <w:rPr>
          <w:rFonts w:ascii="宋体" w:hAnsi="宋体" w:eastAsia="宋体" w:cs="宋体"/>
          <w:color w:val="auto"/>
        </w:rPr>
      </w:pPr>
      <w:r>
        <w:rPr>
          <w:rFonts w:hint="eastAsia" w:ascii="宋体" w:hAnsi="宋体" w:eastAsia="宋体" w:cs="宋体"/>
          <w:color w:val="auto"/>
          <w:sz w:val="21"/>
        </w:rPr>
        <w:t xml:space="preserve">通过下载招标文件的电子招标交易平台上传。采用传真方式的，应在年月 日时前将原件递交至（详细地址）。 </w:t>
      </w:r>
    </w:p>
    <w:p>
      <w:pPr>
        <w:spacing w:after="176"/>
        <w:rPr>
          <w:rFonts w:ascii="宋体" w:hAnsi="宋体" w:eastAsia="宋体" w:cs="宋体"/>
          <w:color w:val="auto"/>
        </w:rPr>
      </w:pPr>
    </w:p>
    <w:p>
      <w:pPr>
        <w:spacing w:after="235"/>
        <w:rPr>
          <w:rFonts w:ascii="宋体" w:hAnsi="宋体" w:eastAsia="宋体" w:cs="宋体"/>
          <w:color w:val="auto"/>
        </w:rPr>
      </w:pPr>
    </w:p>
    <w:p>
      <w:pPr>
        <w:spacing w:after="117"/>
        <w:ind w:left="10" w:right="449" w:hanging="10"/>
        <w:jc w:val="right"/>
        <w:rPr>
          <w:rFonts w:ascii="宋体" w:hAnsi="宋体" w:eastAsia="宋体" w:cs="宋体"/>
          <w:color w:val="auto"/>
        </w:rPr>
      </w:pPr>
      <w:r>
        <w:rPr>
          <w:rFonts w:hint="eastAsia" w:ascii="宋体" w:hAnsi="宋体" w:eastAsia="宋体" w:cs="宋体"/>
          <w:color w:val="auto"/>
          <w:sz w:val="21"/>
        </w:rPr>
        <w:t xml:space="preserve">评标委员会授权的招标人或招标代理机构：（签字或盖章） </w:t>
      </w:r>
    </w:p>
    <w:p>
      <w:pPr>
        <w:spacing w:after="176"/>
        <w:rPr>
          <w:rFonts w:ascii="宋体" w:hAnsi="宋体" w:eastAsia="宋体" w:cs="宋体"/>
          <w:color w:val="auto"/>
        </w:rPr>
      </w:pPr>
    </w:p>
    <w:p>
      <w:pPr>
        <w:spacing w:after="112"/>
        <w:ind w:left="10" w:right="1052" w:hanging="10"/>
        <w:jc w:val="right"/>
        <w:rPr>
          <w:rFonts w:ascii="宋体" w:hAnsi="宋体" w:eastAsia="宋体" w:cs="宋体"/>
          <w:color w:val="auto"/>
        </w:rPr>
      </w:pPr>
      <w:r>
        <w:rPr>
          <w:rFonts w:hint="eastAsia" w:ascii="宋体" w:hAnsi="宋体" w:eastAsia="宋体" w:cs="宋体"/>
          <w:color w:val="auto"/>
          <w:sz w:val="21"/>
        </w:rPr>
        <w:t xml:space="preserve">年月日 </w:t>
      </w:r>
    </w:p>
    <w:p>
      <w:pPr>
        <w:spacing w:after="137"/>
        <w:rPr>
          <w:rFonts w:ascii="宋体" w:hAnsi="宋体" w:eastAsia="宋体" w:cs="宋体"/>
          <w:color w:val="auto"/>
          <w:sz w:val="21"/>
        </w:rPr>
      </w:pPr>
    </w:p>
    <w:p>
      <w:pPr>
        <w:spacing w:after="137"/>
        <w:rPr>
          <w:rFonts w:ascii="宋体" w:hAnsi="宋体" w:eastAsia="宋体" w:cs="宋体"/>
          <w:color w:val="auto"/>
          <w:sz w:val="21"/>
        </w:rPr>
      </w:pPr>
    </w:p>
    <w:p>
      <w:pPr>
        <w:pStyle w:val="5"/>
        <w:spacing w:after="538"/>
        <w:ind w:left="132" w:right="0"/>
        <w:rPr>
          <w:rFonts w:ascii="宋体" w:hAnsi="宋体" w:eastAsia="宋体" w:cs="宋体"/>
          <w:color w:val="auto"/>
        </w:rPr>
      </w:pPr>
      <w:bookmarkStart w:id="187" w:name="_Toc508788667"/>
      <w:bookmarkStart w:id="188" w:name="_Toc508382150"/>
      <w:r>
        <w:rPr>
          <w:rFonts w:hint="eastAsia" w:ascii="宋体" w:hAnsi="宋体" w:eastAsia="宋体" w:cs="宋体"/>
          <w:color w:val="auto"/>
        </w:rPr>
        <w:br w:type="page"/>
      </w:r>
      <w:bookmarkStart w:id="189" w:name="_Toc142406631"/>
      <w:r>
        <w:rPr>
          <w:rFonts w:hint="eastAsia" w:ascii="宋体" w:hAnsi="宋体" w:eastAsia="宋体" w:cs="宋体"/>
          <w:color w:val="auto"/>
        </w:rPr>
        <w:t>附件三：问题的澄清</w:t>
      </w:r>
      <w:bookmarkEnd w:id="187"/>
      <w:bookmarkEnd w:id="188"/>
      <w:bookmarkEnd w:id="189"/>
    </w:p>
    <w:p>
      <w:pPr>
        <w:spacing w:after="58"/>
        <w:ind w:right="144"/>
        <w:jc w:val="center"/>
        <w:rPr>
          <w:rFonts w:ascii="宋体" w:hAnsi="宋体" w:eastAsia="宋体" w:cs="宋体"/>
          <w:color w:val="auto"/>
        </w:rPr>
      </w:pPr>
    </w:p>
    <w:p>
      <w:pPr>
        <w:pStyle w:val="7"/>
        <w:spacing w:after="46"/>
        <w:ind w:right="214"/>
        <w:jc w:val="center"/>
        <w:rPr>
          <w:rFonts w:ascii="宋体" w:hAnsi="宋体" w:eastAsia="宋体" w:cs="宋体"/>
          <w:color w:val="auto"/>
        </w:rPr>
      </w:pPr>
      <w:r>
        <w:rPr>
          <w:rFonts w:hint="eastAsia" w:ascii="宋体" w:hAnsi="宋体" w:eastAsia="宋体" w:cs="宋体"/>
          <w:color w:val="auto"/>
        </w:rPr>
        <w:t xml:space="preserve">问题的澄清 </w:t>
      </w:r>
    </w:p>
    <w:p>
      <w:pPr>
        <w:spacing w:after="62"/>
        <w:ind w:left="680" w:hanging="10"/>
        <w:jc w:val="center"/>
        <w:rPr>
          <w:rFonts w:ascii="宋体" w:hAnsi="宋体" w:eastAsia="宋体" w:cs="宋体"/>
          <w:color w:val="auto"/>
        </w:rPr>
      </w:pPr>
      <w:r>
        <w:rPr>
          <w:rFonts w:hint="eastAsia" w:ascii="宋体" w:hAnsi="宋体" w:eastAsia="宋体" w:cs="宋体"/>
          <w:color w:val="auto"/>
          <w:sz w:val="21"/>
        </w:rPr>
        <w:t xml:space="preserve">（编号：） </w:t>
      </w:r>
    </w:p>
    <w:p>
      <w:pPr>
        <w:spacing w:after="177"/>
        <w:rPr>
          <w:rFonts w:ascii="宋体" w:hAnsi="宋体" w:eastAsia="宋体" w:cs="宋体"/>
          <w:color w:val="auto"/>
        </w:rPr>
      </w:pPr>
      <w:r>
        <w:rPr>
          <w:rFonts w:hint="eastAsia" w:ascii="宋体" w:hAnsi="宋体" w:eastAsia="宋体" w:cs="宋体"/>
          <w:color w:val="auto"/>
          <w:sz w:val="21"/>
        </w:rPr>
        <w:t xml:space="preserve"> 评标委员会： </w:t>
      </w:r>
    </w:p>
    <w:p>
      <w:pPr>
        <w:spacing w:after="236"/>
        <w:rPr>
          <w:rFonts w:ascii="宋体" w:hAnsi="宋体" w:eastAsia="宋体" w:cs="宋体"/>
          <w:color w:val="auto"/>
        </w:rPr>
      </w:pPr>
    </w:p>
    <w:p>
      <w:pPr>
        <w:spacing w:after="123"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  问题澄清通知（编号：）已收悉，现澄清、说明或补正如下： </w:t>
      </w:r>
    </w:p>
    <w:p>
      <w:pPr>
        <w:spacing w:after="140" w:line="265" w:lineRule="auto"/>
        <w:ind w:left="10" w:hanging="10"/>
        <w:rPr>
          <w:rFonts w:ascii="宋体" w:hAnsi="宋体" w:eastAsia="宋体" w:cs="宋体"/>
          <w:color w:val="auto"/>
        </w:rPr>
      </w:pPr>
      <w:r>
        <w:rPr>
          <w:rFonts w:hint="eastAsia" w:ascii="宋体" w:hAnsi="宋体" w:eastAsia="宋体" w:cs="宋体"/>
          <w:color w:val="auto"/>
          <w:sz w:val="21"/>
        </w:rPr>
        <w:t xml:space="preserve">      1. </w:t>
      </w:r>
    </w:p>
    <w:p>
      <w:pPr>
        <w:spacing w:after="2" w:line="386" w:lineRule="auto"/>
        <w:ind w:left="634" w:right="7645" w:hanging="634" w:hangingChars="302"/>
        <w:rPr>
          <w:rFonts w:ascii="宋体" w:hAnsi="宋体" w:eastAsia="宋体" w:cs="宋体"/>
          <w:color w:val="auto"/>
        </w:rPr>
      </w:pPr>
      <w:r>
        <w:rPr>
          <w:rFonts w:hint="eastAsia" w:ascii="宋体" w:hAnsi="宋体" w:eastAsia="宋体" w:cs="宋体"/>
          <w:color w:val="auto"/>
          <w:sz w:val="21"/>
        </w:rPr>
        <w:t xml:space="preserve">      2.      ..... </w:t>
      </w:r>
    </w:p>
    <w:p>
      <w:pPr>
        <w:spacing w:after="179"/>
        <w:rPr>
          <w:rFonts w:ascii="宋体" w:hAnsi="宋体" w:eastAsia="宋体" w:cs="宋体"/>
          <w:color w:val="auto"/>
        </w:rPr>
      </w:pPr>
    </w:p>
    <w:p>
      <w:pPr>
        <w:spacing w:after="153"/>
        <w:rPr>
          <w:rFonts w:ascii="宋体" w:hAnsi="宋体" w:eastAsia="宋体" w:cs="宋体"/>
          <w:color w:val="auto"/>
        </w:rPr>
      </w:pPr>
    </w:p>
    <w:p>
      <w:pPr>
        <w:spacing w:after="177"/>
        <w:rPr>
          <w:rFonts w:ascii="宋体" w:hAnsi="宋体" w:eastAsia="宋体" w:cs="宋体"/>
          <w:color w:val="auto"/>
        </w:rPr>
      </w:pPr>
    </w:p>
    <w:p>
      <w:pPr>
        <w:spacing w:after="143" w:line="265" w:lineRule="auto"/>
        <w:ind w:left="417" w:right="103" w:hanging="10"/>
        <w:rPr>
          <w:rFonts w:ascii="宋体" w:hAnsi="宋体" w:eastAsia="宋体" w:cs="宋体"/>
          <w:color w:val="auto"/>
        </w:rPr>
      </w:pPr>
      <w:r>
        <w:rPr>
          <w:rFonts w:hint="eastAsia" w:ascii="宋体" w:hAnsi="宋体" w:eastAsia="宋体" w:cs="宋体"/>
          <w:color w:val="auto"/>
          <w:sz w:val="21"/>
        </w:rPr>
        <w:t>上述问题澄清、说明或补正，不改变我方投标文件的实质性内容，构成我方投标文件的组</w:t>
      </w:r>
    </w:p>
    <w:p>
      <w:pPr>
        <w:spacing w:after="152"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成部分。 </w:t>
      </w:r>
    </w:p>
    <w:p>
      <w:pPr>
        <w:spacing w:after="177"/>
        <w:rPr>
          <w:rFonts w:ascii="宋体" w:hAnsi="宋体" w:eastAsia="宋体" w:cs="宋体"/>
          <w:color w:val="auto"/>
        </w:rPr>
      </w:pPr>
    </w:p>
    <w:p>
      <w:pPr>
        <w:spacing w:after="74"/>
        <w:rPr>
          <w:rFonts w:ascii="宋体" w:hAnsi="宋体" w:eastAsia="宋体" w:cs="宋体"/>
          <w:color w:val="auto"/>
        </w:rPr>
      </w:pPr>
    </w:p>
    <w:p>
      <w:pPr>
        <w:spacing w:after="212"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              投标人：（盖单位章） </w:t>
      </w:r>
    </w:p>
    <w:p>
      <w:pPr>
        <w:spacing w:after="404" w:line="265" w:lineRule="auto"/>
        <w:ind w:left="2845" w:right="103" w:hanging="10"/>
        <w:rPr>
          <w:rFonts w:ascii="宋体" w:hAnsi="宋体" w:eastAsia="宋体" w:cs="宋体"/>
          <w:color w:val="auto"/>
        </w:rPr>
      </w:pPr>
      <w:r>
        <w:rPr>
          <w:rFonts w:hint="eastAsia" w:ascii="宋体" w:hAnsi="宋体" w:eastAsia="宋体" w:cs="宋体"/>
          <w:color w:val="auto"/>
          <w:sz w:val="21"/>
        </w:rPr>
        <w:t xml:space="preserve"> 法定代表人或其委托代理人：（签字） </w:t>
      </w:r>
    </w:p>
    <w:p>
      <w:pPr>
        <w:spacing w:after="162"/>
        <w:rPr>
          <w:rFonts w:ascii="宋体" w:hAnsi="宋体" w:eastAsia="宋体" w:cs="宋体"/>
          <w:color w:val="auto"/>
        </w:rPr>
      </w:pPr>
    </w:p>
    <w:p>
      <w:pPr>
        <w:spacing w:after="121"/>
        <w:ind w:left="10" w:right="198" w:hanging="10"/>
        <w:jc w:val="right"/>
        <w:rPr>
          <w:rFonts w:ascii="宋体" w:hAnsi="宋体" w:eastAsia="宋体" w:cs="宋体"/>
          <w:color w:val="auto"/>
        </w:rPr>
      </w:pPr>
      <w:r>
        <w:rPr>
          <w:rFonts w:hint="eastAsia" w:ascii="宋体" w:hAnsi="宋体" w:eastAsia="宋体" w:cs="宋体"/>
          <w:color w:val="auto"/>
          <w:sz w:val="21"/>
        </w:rPr>
        <w:t xml:space="preserve">年月日 </w:t>
      </w:r>
    </w:p>
    <w:p>
      <w:pPr>
        <w:spacing w:after="134"/>
        <w:rPr>
          <w:rFonts w:ascii="宋体" w:hAnsi="宋体" w:eastAsia="宋体" w:cs="宋体"/>
          <w:color w:val="auto"/>
          <w:sz w:val="21"/>
        </w:rPr>
      </w:pPr>
    </w:p>
    <w:p>
      <w:pPr>
        <w:spacing w:after="134"/>
        <w:rPr>
          <w:rFonts w:ascii="宋体" w:hAnsi="宋体" w:eastAsia="宋体" w:cs="宋体"/>
          <w:color w:val="auto"/>
        </w:rPr>
      </w:pPr>
      <w:r>
        <w:rPr>
          <w:rFonts w:hint="eastAsia" w:ascii="宋体" w:hAnsi="宋体" w:eastAsia="宋体" w:cs="宋体"/>
          <w:color w:val="auto"/>
          <w:sz w:val="21"/>
        </w:rPr>
        <w:br w:type="page"/>
      </w:r>
      <w:bookmarkStart w:id="190" w:name="_Toc508788668"/>
      <w:bookmarkStart w:id="191" w:name="_Toc508382151"/>
      <w:r>
        <w:rPr>
          <w:rFonts w:hint="eastAsia" w:ascii="宋体" w:hAnsi="宋体" w:eastAsia="宋体" w:cs="宋体"/>
          <w:color w:val="auto"/>
        </w:rPr>
        <w:t>附件四：中标通知书</w:t>
      </w:r>
      <w:bookmarkEnd w:id="190"/>
      <w:bookmarkEnd w:id="191"/>
    </w:p>
    <w:p>
      <w:pPr>
        <w:pStyle w:val="7"/>
        <w:spacing w:after="454"/>
        <w:ind w:right="214"/>
        <w:jc w:val="center"/>
        <w:rPr>
          <w:rFonts w:ascii="宋体" w:hAnsi="宋体" w:eastAsia="宋体" w:cs="宋体"/>
          <w:color w:val="auto"/>
        </w:rPr>
      </w:pPr>
      <w:r>
        <w:rPr>
          <w:rFonts w:hint="eastAsia" w:ascii="宋体" w:hAnsi="宋体" w:eastAsia="宋体" w:cs="宋体"/>
          <w:color w:val="auto"/>
        </w:rPr>
        <w:t xml:space="preserve">中标通知书 </w:t>
      </w:r>
    </w:p>
    <w:p>
      <w:pPr>
        <w:spacing w:after="151"/>
        <w:ind w:left="10" w:right="1184" w:hanging="10"/>
        <w:jc w:val="center"/>
        <w:rPr>
          <w:rFonts w:ascii="宋体" w:hAnsi="宋体" w:eastAsia="宋体" w:cs="宋体"/>
          <w:color w:val="auto"/>
        </w:rPr>
      </w:pPr>
      <w:r>
        <w:rPr>
          <w:rFonts w:hint="eastAsia" w:ascii="宋体" w:hAnsi="宋体" w:eastAsia="宋体" w:cs="宋体"/>
          <w:color w:val="auto"/>
          <w:sz w:val="21"/>
        </w:rPr>
        <w:t>按广州公共资源交易中心格式。</w:t>
      </w:r>
    </w:p>
    <w:p>
      <w:pPr>
        <w:spacing w:after="135"/>
        <w:rPr>
          <w:rFonts w:ascii="宋体" w:hAnsi="宋体" w:eastAsia="宋体" w:cs="宋体"/>
          <w:color w:val="auto"/>
        </w:rPr>
      </w:pPr>
    </w:p>
    <w:p>
      <w:pPr>
        <w:spacing w:after="0"/>
        <w:rPr>
          <w:rFonts w:ascii="宋体" w:hAnsi="宋体" w:eastAsia="宋体" w:cs="宋体"/>
          <w:color w:val="auto"/>
          <w:sz w:val="21"/>
        </w:rPr>
      </w:pPr>
      <w:r>
        <w:rPr>
          <w:rFonts w:hint="eastAsia" w:ascii="宋体" w:hAnsi="宋体" w:eastAsia="宋体" w:cs="宋体"/>
          <w:color w:val="auto"/>
          <w:sz w:val="21"/>
        </w:rPr>
        <w:tab/>
      </w: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sz w:val="21"/>
        </w:rPr>
      </w:pPr>
    </w:p>
    <w:p>
      <w:pPr>
        <w:spacing w:after="0"/>
        <w:rPr>
          <w:rFonts w:ascii="宋体" w:hAnsi="宋体" w:eastAsia="宋体" w:cs="宋体"/>
          <w:color w:val="auto"/>
        </w:rPr>
      </w:pPr>
    </w:p>
    <w:p>
      <w:pPr>
        <w:pStyle w:val="3"/>
        <w:spacing w:afterLines="200" w:line="240" w:lineRule="auto"/>
        <w:ind w:left="11" w:right="1429" w:hanging="11"/>
        <w:rPr>
          <w:rFonts w:ascii="宋体" w:hAnsi="宋体" w:eastAsia="宋体" w:cs="宋体"/>
          <w:color w:val="auto"/>
          <w:sz w:val="44"/>
        </w:rPr>
      </w:pPr>
      <w:bookmarkStart w:id="192" w:name="_Toc508382154"/>
    </w:p>
    <w:p>
      <w:pPr>
        <w:pStyle w:val="3"/>
        <w:spacing w:afterLines="200" w:line="240" w:lineRule="auto"/>
        <w:ind w:left="11" w:right="1429" w:hanging="11"/>
        <w:rPr>
          <w:rFonts w:ascii="宋体" w:hAnsi="宋体" w:eastAsia="宋体" w:cs="宋体"/>
          <w:color w:val="auto"/>
        </w:rPr>
      </w:pPr>
      <w:r>
        <w:rPr>
          <w:rFonts w:hint="eastAsia" w:ascii="宋体" w:hAnsi="宋体" w:eastAsia="宋体" w:cs="宋体"/>
          <w:color w:val="auto"/>
          <w:sz w:val="44"/>
        </w:rPr>
        <w:br w:type="page"/>
      </w:r>
      <w:bookmarkStart w:id="193" w:name="_Toc142406632"/>
      <w:r>
        <w:rPr>
          <w:rFonts w:hint="eastAsia" w:ascii="宋体" w:hAnsi="宋体" w:eastAsia="宋体" w:cs="宋体"/>
          <w:color w:val="auto"/>
          <w:sz w:val="44"/>
        </w:rPr>
        <w:t>第三章评标办法（综合评分法）</w:t>
      </w:r>
      <w:bookmarkEnd w:id="192"/>
      <w:bookmarkEnd w:id="193"/>
    </w:p>
    <w:p>
      <w:pPr>
        <w:pStyle w:val="4"/>
        <w:spacing w:afterLines="100" w:line="264" w:lineRule="auto"/>
        <w:ind w:left="0" w:right="0" w:firstLine="0"/>
        <w:jc w:val="center"/>
        <w:rPr>
          <w:rFonts w:ascii="宋体" w:hAnsi="宋体" w:eastAsia="宋体" w:cs="宋体"/>
          <w:color w:val="auto"/>
          <w:sz w:val="32"/>
        </w:rPr>
      </w:pPr>
      <w:bookmarkStart w:id="194" w:name="_Toc508382155"/>
      <w:bookmarkStart w:id="195" w:name="_Toc142406633"/>
      <w:bookmarkStart w:id="196" w:name="_Toc508788672"/>
      <w:r>
        <w:rPr>
          <w:rFonts w:hint="eastAsia" w:ascii="宋体" w:hAnsi="宋体" w:eastAsia="宋体" w:cs="宋体"/>
          <w:color w:val="auto"/>
          <w:sz w:val="32"/>
        </w:rPr>
        <w:t>评标办法前附表</w:t>
      </w:r>
      <w:bookmarkEnd w:id="194"/>
      <w:bookmarkEnd w:id="195"/>
      <w:bookmarkEnd w:id="196"/>
    </w:p>
    <w:tbl>
      <w:tblPr>
        <w:tblStyle w:val="3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8"/>
        <w:gridCol w:w="170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noWrap/>
            <w:vAlign w:val="center"/>
          </w:tcPr>
          <w:p>
            <w:pPr>
              <w:spacing w:after="0" w:line="276" w:lineRule="auto"/>
              <w:ind w:firstLine="361"/>
              <w:jc w:val="center"/>
              <w:rPr>
                <w:rFonts w:ascii="宋体" w:hAnsi="宋体" w:eastAsia="宋体" w:cs="宋体"/>
                <w:b/>
                <w:color w:val="auto"/>
                <w:sz w:val="21"/>
                <w:szCs w:val="21"/>
              </w:rPr>
            </w:pPr>
            <w:r>
              <w:rPr>
                <w:rFonts w:hint="eastAsia" w:ascii="宋体" w:hAnsi="宋体" w:eastAsia="宋体" w:cs="宋体"/>
                <w:b/>
                <w:color w:val="auto"/>
                <w:sz w:val="21"/>
                <w:szCs w:val="21"/>
              </w:rPr>
              <w:t>条款号</w:t>
            </w:r>
          </w:p>
        </w:tc>
        <w:tc>
          <w:tcPr>
            <w:tcW w:w="1701" w:type="dxa"/>
            <w:noWrap/>
            <w:vAlign w:val="center"/>
          </w:tcPr>
          <w:p>
            <w:pPr>
              <w:spacing w:after="0" w:line="276" w:lineRule="auto"/>
              <w:ind w:firstLine="361"/>
              <w:jc w:val="center"/>
              <w:rPr>
                <w:rFonts w:ascii="宋体" w:hAnsi="宋体" w:eastAsia="宋体" w:cs="宋体"/>
                <w:b/>
                <w:color w:val="auto"/>
                <w:sz w:val="21"/>
                <w:szCs w:val="21"/>
              </w:rPr>
            </w:pPr>
            <w:r>
              <w:rPr>
                <w:rFonts w:hint="eastAsia" w:ascii="宋体" w:hAnsi="宋体" w:eastAsia="宋体" w:cs="宋体"/>
                <w:b/>
                <w:color w:val="auto"/>
                <w:sz w:val="21"/>
                <w:szCs w:val="21"/>
              </w:rPr>
              <w:t>条款内容</w:t>
            </w:r>
          </w:p>
        </w:tc>
        <w:tc>
          <w:tcPr>
            <w:tcW w:w="5387" w:type="dxa"/>
            <w:noWrap/>
            <w:vAlign w:val="center"/>
          </w:tcPr>
          <w:p>
            <w:pPr>
              <w:spacing w:after="0" w:line="276" w:lineRule="auto"/>
              <w:ind w:firstLine="361"/>
              <w:jc w:val="center"/>
              <w:rPr>
                <w:rFonts w:ascii="宋体" w:hAnsi="宋体" w:eastAsia="宋体" w:cs="宋体"/>
                <w:b/>
                <w:color w:val="auto"/>
                <w:sz w:val="21"/>
                <w:szCs w:val="21"/>
              </w:rPr>
            </w:pPr>
            <w:r>
              <w:rPr>
                <w:rFonts w:hint="eastAsia" w:ascii="宋体" w:hAnsi="宋体" w:eastAsia="宋体" w:cs="宋体"/>
                <w:b/>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noWrap/>
            <w:vAlign w:val="center"/>
          </w:tcPr>
          <w:p>
            <w:pPr>
              <w:spacing w:after="0" w:line="276" w:lineRule="auto"/>
              <w:ind w:firstLine="361"/>
              <w:jc w:val="center"/>
              <w:rPr>
                <w:rFonts w:ascii="宋体" w:hAnsi="宋体" w:eastAsia="宋体" w:cs="宋体"/>
                <w:b/>
                <w:color w:val="auto"/>
                <w:sz w:val="21"/>
                <w:szCs w:val="21"/>
              </w:rPr>
            </w:pPr>
            <w:r>
              <w:rPr>
                <w:rFonts w:hint="eastAsia" w:ascii="宋体" w:hAnsi="宋体" w:eastAsia="宋体" w:cs="宋体"/>
                <w:b/>
                <w:color w:val="auto"/>
                <w:sz w:val="21"/>
                <w:szCs w:val="21"/>
              </w:rPr>
              <w:t>1.评标办法</w:t>
            </w: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中标候选人</w:t>
            </w:r>
          </w:p>
          <w:p>
            <w:pPr>
              <w:jc w:val="center"/>
              <w:rPr>
                <w:rFonts w:ascii="宋体" w:hAnsi="宋体" w:eastAsia="宋体" w:cs="宋体"/>
                <w:color w:val="auto"/>
                <w:sz w:val="21"/>
                <w:szCs w:val="21"/>
              </w:rPr>
            </w:pPr>
            <w:r>
              <w:rPr>
                <w:rFonts w:hint="eastAsia" w:ascii="宋体" w:hAnsi="宋体" w:eastAsia="宋体" w:cs="宋体"/>
                <w:color w:val="auto"/>
                <w:sz w:val="21"/>
                <w:szCs w:val="21"/>
              </w:rPr>
              <w:t>排序方法</w:t>
            </w:r>
          </w:p>
        </w:tc>
        <w:tc>
          <w:tcPr>
            <w:tcW w:w="5387" w:type="dxa"/>
            <w:noWrap/>
            <w:vAlign w:val="center"/>
          </w:tcPr>
          <w:p>
            <w:pPr>
              <w:rPr>
                <w:rFonts w:ascii="宋体" w:hAnsi="宋体" w:eastAsia="宋体"/>
                <w:color w:val="auto"/>
                <w:sz w:val="21"/>
                <w:szCs w:val="21"/>
                <w:u w:val="single"/>
              </w:rPr>
            </w:pPr>
            <w:r>
              <w:rPr>
                <w:rFonts w:hint="eastAsia" w:ascii="宋体" w:hAnsi="宋体" w:eastAsia="宋体"/>
                <w:color w:val="auto"/>
                <w:sz w:val="21"/>
                <w:szCs w:val="21"/>
                <w:u w:val="single"/>
              </w:rPr>
              <w:t>综合评分法，投标人综合评分由高到低排序前3名作为第一、第二、第三中标候选人，综合评分相同时，以投标报价低的优先；投标报价也相同的，以技术服务方案得分高的优先；如仍存在相同情况，则对具有相同情况的投标人，按中标候选人数量规定，由评标委员会采用记名投票方式（不得弃权），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restart"/>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2.1.1</w:t>
            </w:r>
          </w:p>
          <w:p>
            <w:pPr>
              <w:jc w:val="center"/>
              <w:rPr>
                <w:rFonts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投标人名称</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与营业执照（事业单位法人证书）、资质证书一致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snapToGrid w:val="0"/>
              <w:jc w:val="center"/>
              <w:rPr>
                <w:rFonts w:ascii="宋体" w:hAnsi="宋体" w:eastAsia="宋体" w:cs="宋体"/>
                <w:color w:val="auto"/>
                <w:sz w:val="21"/>
                <w:szCs w:val="21"/>
              </w:rPr>
            </w:pPr>
            <w:r>
              <w:rPr>
                <w:rFonts w:hint="eastAsia" w:ascii="宋体" w:hAnsi="宋体" w:eastAsia="宋体" w:cs="宋体"/>
                <w:color w:val="auto"/>
                <w:sz w:val="21"/>
                <w:szCs w:val="21"/>
              </w:rPr>
              <w:t>投标函及投标函附录签字盖章</w:t>
            </w:r>
          </w:p>
        </w:tc>
        <w:tc>
          <w:tcPr>
            <w:tcW w:w="5387" w:type="dxa"/>
            <w:noWrap/>
            <w:vAlign w:val="center"/>
          </w:tcPr>
          <w:p>
            <w:pPr>
              <w:snapToGrid w:val="0"/>
              <w:rPr>
                <w:rFonts w:ascii="宋体" w:hAnsi="宋体" w:eastAsia="宋体" w:cs="宋体"/>
                <w:color w:val="auto"/>
                <w:sz w:val="21"/>
                <w:szCs w:val="21"/>
              </w:rPr>
            </w:pPr>
            <w:r>
              <w:rPr>
                <w:rFonts w:hint="eastAsia" w:ascii="宋体" w:hAnsi="宋体" w:eastAsia="宋体" w:cs="宋体"/>
                <w:color w:val="auto"/>
                <w:sz w:val="21"/>
                <w:szCs w:val="21"/>
              </w:rPr>
              <w:t>有法定代表人或其委托代理人签字</w:t>
            </w:r>
            <w:r>
              <w:rPr>
                <w:rFonts w:hint="eastAsia" w:ascii="宋体" w:hAnsi="宋体" w:eastAsia="宋体" w:cs="宋体"/>
                <w:color w:val="auto"/>
                <w:sz w:val="21"/>
                <w:szCs w:val="21"/>
                <w:u w:val="single"/>
              </w:rPr>
              <w:t>（或盖章）</w:t>
            </w:r>
            <w:r>
              <w:rPr>
                <w:rFonts w:hint="eastAsia" w:ascii="宋体" w:hAnsi="宋体" w:eastAsia="宋体" w:cs="宋体"/>
                <w:color w:val="auto"/>
                <w:sz w:val="21"/>
                <w:szCs w:val="21"/>
              </w:rPr>
              <w:t>及加盖单位章。由法定代表人签字</w:t>
            </w:r>
            <w:r>
              <w:rPr>
                <w:rFonts w:hint="eastAsia" w:ascii="宋体" w:hAnsi="宋体" w:eastAsia="宋体" w:cs="宋体"/>
                <w:color w:val="auto"/>
                <w:sz w:val="21"/>
                <w:szCs w:val="21"/>
                <w:u w:val="single"/>
              </w:rPr>
              <w:t>（或盖章）</w:t>
            </w:r>
            <w:r>
              <w:rPr>
                <w:rFonts w:hint="eastAsia" w:ascii="宋体" w:hAnsi="宋体" w:eastAsia="宋体" w:cs="宋体"/>
                <w:color w:val="auto"/>
                <w:sz w:val="21"/>
                <w:szCs w:val="21"/>
              </w:rPr>
              <w:t>的，应附法定代表人身份证明，由代理人签字</w:t>
            </w:r>
            <w:r>
              <w:rPr>
                <w:rFonts w:hint="eastAsia" w:ascii="宋体" w:hAnsi="宋体" w:eastAsia="宋体" w:cs="宋体"/>
                <w:color w:val="auto"/>
                <w:sz w:val="21"/>
                <w:szCs w:val="21"/>
                <w:u w:val="single"/>
              </w:rPr>
              <w:t>（或盖章）</w:t>
            </w:r>
            <w:r>
              <w:rPr>
                <w:rFonts w:hint="eastAsia" w:ascii="宋体" w:hAnsi="宋体" w:eastAsia="宋体" w:cs="宋体"/>
                <w:color w:val="auto"/>
                <w:sz w:val="21"/>
                <w:szCs w:val="21"/>
              </w:rPr>
              <w:t>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u w:val="singl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联合体投标人</w:t>
            </w:r>
          </w:p>
          <w:p>
            <w:pPr>
              <w:jc w:val="center"/>
              <w:rPr>
                <w:rFonts w:ascii="宋体" w:hAnsi="宋体" w:eastAsia="宋体" w:cs="宋体"/>
                <w:color w:val="auto"/>
                <w:sz w:val="21"/>
                <w:szCs w:val="21"/>
              </w:rPr>
            </w:pPr>
            <w:r>
              <w:rPr>
                <w:rFonts w:hint="eastAsia" w:ascii="宋体" w:hAnsi="宋体" w:eastAsia="宋体" w:cs="宋体"/>
                <w:color w:val="auto"/>
                <w:sz w:val="21"/>
                <w:szCs w:val="21"/>
              </w:rPr>
              <w:t>（如有）</w:t>
            </w:r>
          </w:p>
        </w:tc>
        <w:tc>
          <w:tcPr>
            <w:tcW w:w="5387" w:type="dxa"/>
            <w:noWrap/>
            <w:vAlign w:val="center"/>
          </w:tcPr>
          <w:p>
            <w:pPr>
              <w:rPr>
                <w:rFonts w:ascii="宋体" w:hAnsi="宋体" w:eastAsia="宋体" w:cs="宋体"/>
                <w:color w:val="auto"/>
                <w:sz w:val="21"/>
                <w:szCs w:val="21"/>
                <w:u w:val="single"/>
              </w:rPr>
            </w:pPr>
            <w:r>
              <w:rPr>
                <w:rFonts w:hint="eastAsia" w:ascii="宋体" w:hAnsi="宋体" w:eastAsia="宋体" w:cs="宋体"/>
                <w:color w:val="auto"/>
                <w:sz w:val="21"/>
                <w:szCs w:val="21"/>
              </w:rPr>
              <w:t xml:space="preserve">提交符合招标公告要求的《联合体共同投标协议书》，明确各方承担连带责任，并明确联合体牵头人。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备选投标方案</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u w:val="single"/>
              </w:rPr>
            </w:pPr>
            <w:r>
              <w:rPr>
                <w:rFonts w:hint="eastAsia" w:ascii="宋体" w:hAnsi="宋体" w:eastAsia="宋体" w:cs="宋体"/>
                <w:color w:val="auto"/>
                <w:sz w:val="21"/>
                <w:szCs w:val="21"/>
              </w:rPr>
              <w:t>投标人机器码</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u w:val="single"/>
              </w:rPr>
              <w:t>投标人与其他投标人加密打包投标文件电脑机器特征码一致的(以广州公共资源交易中心评标系统的检索信息为准),其投标将被否决。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restart"/>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2.1.2资格评审标准</w:t>
            </w:r>
          </w:p>
        </w:tc>
        <w:tc>
          <w:tcPr>
            <w:tcW w:w="1701" w:type="dxa"/>
            <w:noWrap/>
            <w:vAlign w:val="center"/>
          </w:tcPr>
          <w:p>
            <w:pPr>
              <w:snapToGrid w:val="0"/>
              <w:jc w:val="center"/>
              <w:rPr>
                <w:rFonts w:ascii="宋体" w:hAnsi="宋体" w:eastAsia="宋体" w:cs="宋体"/>
                <w:color w:val="auto"/>
                <w:sz w:val="21"/>
                <w:szCs w:val="21"/>
              </w:rPr>
            </w:pPr>
            <w:r>
              <w:rPr>
                <w:rFonts w:hint="eastAsia" w:ascii="宋体" w:hAnsi="宋体" w:eastAsia="宋体" w:cs="宋体"/>
                <w:color w:val="auto"/>
                <w:sz w:val="21"/>
                <w:szCs w:val="21"/>
              </w:rPr>
              <w:t>营业执照或事业单位法人证书</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持有事业单位登记管理部门核发的事业单位法人证书且在有效期内或工商行政管理部门核发的企业法人营业执照且在有效期内。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资质要求</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kern w:val="0"/>
                <w:sz w:val="21"/>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spacing w:line="240" w:lineRule="auto"/>
              <w:jc w:val="center"/>
              <w:rPr>
                <w:rFonts w:ascii="宋体" w:hAnsi="宋体" w:eastAsia="宋体" w:cs="宋体"/>
                <w:color w:val="auto"/>
                <w:sz w:val="21"/>
                <w:szCs w:val="21"/>
              </w:rPr>
            </w:pPr>
            <w:r>
              <w:rPr>
                <w:rFonts w:ascii="宋体" w:hAnsi="宋体" w:eastAsia="宋体" w:cs="宋体"/>
                <w:color w:val="auto"/>
                <w:sz w:val="21"/>
                <w:szCs w:val="21"/>
              </w:rPr>
              <w:t>CMA计量认证</w:t>
            </w:r>
            <w:r>
              <w:rPr>
                <w:rFonts w:hint="eastAsia" w:ascii="宋体" w:hAnsi="宋体" w:eastAsia="宋体" w:cs="宋体"/>
                <w:color w:val="auto"/>
                <w:sz w:val="21"/>
                <w:szCs w:val="21"/>
              </w:rPr>
              <w:t>要求</w:t>
            </w:r>
          </w:p>
        </w:tc>
        <w:tc>
          <w:tcPr>
            <w:tcW w:w="5387" w:type="dxa"/>
            <w:noWrap/>
            <w:vAlign w:val="center"/>
          </w:tcPr>
          <w:p>
            <w:pPr>
              <w:rPr>
                <w:rFonts w:ascii="宋体" w:hAnsi="宋体" w:eastAsia="宋体" w:cs="宋体"/>
                <w:color w:val="auto"/>
                <w:kern w:val="0"/>
                <w:sz w:val="21"/>
                <w:szCs w:val="21"/>
              </w:rPr>
            </w:pPr>
            <w:r>
              <w:rPr>
                <w:rFonts w:hint="eastAsia" w:ascii="宋体" w:hAnsi="宋体" w:eastAsia="宋体" w:cs="宋体"/>
                <w:color w:val="auto"/>
                <w:kern w:val="0"/>
                <w:sz w:val="21"/>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其他要求</w:t>
            </w:r>
          </w:p>
        </w:tc>
        <w:tc>
          <w:tcPr>
            <w:tcW w:w="5387" w:type="dxa"/>
            <w:noWrap/>
            <w:vAlign w:val="center"/>
          </w:tcPr>
          <w:p>
            <w:pPr>
              <w:rPr>
                <w:rFonts w:ascii="宋体" w:hAnsi="宋体" w:eastAsia="宋体" w:cs="宋体"/>
                <w:color w:val="auto"/>
                <w:sz w:val="21"/>
                <w:szCs w:val="21"/>
                <w:u w:val="single"/>
              </w:rPr>
            </w:pPr>
            <w:r>
              <w:rPr>
                <w:rFonts w:hint="eastAsia" w:ascii="宋体" w:hAnsi="宋体" w:eastAsia="宋体" w:cs="楷体"/>
                <w:color w:val="auto"/>
                <w:sz w:val="21"/>
                <w:szCs w:val="21"/>
              </w:rPr>
              <w:t>满足招标公告的要求。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snapToGrid w:val="0"/>
              <w:jc w:val="center"/>
              <w:rPr>
                <w:rFonts w:ascii="宋体" w:hAnsi="宋体" w:eastAsia="宋体" w:cs="宋体"/>
                <w:color w:val="auto"/>
                <w:sz w:val="21"/>
                <w:szCs w:val="21"/>
              </w:rPr>
            </w:pPr>
            <w:r>
              <w:rPr>
                <w:rFonts w:hint="eastAsia" w:ascii="宋体" w:hAnsi="宋体" w:eastAsia="宋体" w:cs="宋体"/>
                <w:color w:val="auto"/>
                <w:sz w:val="21"/>
                <w:szCs w:val="21"/>
              </w:rPr>
              <w:t>不存在禁止投标的情形</w:t>
            </w:r>
          </w:p>
        </w:tc>
        <w:tc>
          <w:tcPr>
            <w:tcW w:w="5387" w:type="dxa"/>
            <w:noWrap/>
            <w:vAlign w:val="center"/>
          </w:tcPr>
          <w:p>
            <w:pPr>
              <w:snapToGrid w:val="0"/>
              <w:rPr>
                <w:rFonts w:ascii="宋体" w:hAnsi="宋体" w:eastAsia="宋体" w:cs="宋体"/>
                <w:color w:val="auto"/>
                <w:sz w:val="21"/>
                <w:szCs w:val="21"/>
              </w:rPr>
            </w:pPr>
            <w:r>
              <w:rPr>
                <w:rFonts w:hint="eastAsia" w:ascii="宋体" w:hAnsi="宋体" w:eastAsia="宋体" w:cs="宋体"/>
                <w:color w:val="auto"/>
                <w:sz w:val="21"/>
                <w:szCs w:val="21"/>
              </w:rPr>
              <w:t>不存在第二章“投标人须知”第 1.4.3 项规定的任何一种情形</w:t>
            </w:r>
            <w:r>
              <w:rPr>
                <w:rFonts w:hint="eastAsia" w:ascii="宋体" w:hAnsi="宋体" w:eastAsia="宋体" w:cs="宋体"/>
                <w:color w:val="auto"/>
                <w:sz w:val="21"/>
                <w:szCs w:val="21"/>
                <w:u w:val="single"/>
              </w:rPr>
              <w:t>（以《投标人声明》为准）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restart"/>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2.1.3响应性评审标准</w:t>
            </w:r>
          </w:p>
        </w:tc>
        <w:tc>
          <w:tcPr>
            <w:tcW w:w="1701" w:type="dxa"/>
            <w:noWrap/>
            <w:vAlign w:val="center"/>
          </w:tcPr>
          <w:p>
            <w:pPr>
              <w:adjustRightInd w:val="0"/>
              <w:snapToGrid w:val="0"/>
              <w:jc w:val="center"/>
              <w:rPr>
                <w:rFonts w:ascii="宋体" w:hAnsi="宋体" w:eastAsia="宋体" w:cs="宋体"/>
                <w:strike/>
                <w:color w:val="auto"/>
                <w:sz w:val="21"/>
                <w:szCs w:val="21"/>
                <w:u w:val="single"/>
              </w:rPr>
            </w:pPr>
            <w:r>
              <w:rPr>
                <w:rFonts w:hint="eastAsia" w:ascii="宋体" w:hAnsi="宋体" w:eastAsia="宋体" w:cs="宋体"/>
                <w:color w:val="auto"/>
                <w:sz w:val="21"/>
                <w:szCs w:val="21"/>
              </w:rPr>
              <w:t>投标报价</w:t>
            </w:r>
          </w:p>
        </w:tc>
        <w:tc>
          <w:tcPr>
            <w:tcW w:w="5387" w:type="dxa"/>
            <w:noWrap/>
            <w:vAlign w:val="center"/>
          </w:tcPr>
          <w:p>
            <w:pPr>
              <w:adjustRightInd w:val="0"/>
              <w:snapToGrid w:val="0"/>
              <w:rPr>
                <w:rFonts w:ascii="宋体" w:hAnsi="宋体" w:eastAsia="宋体" w:cs="宋体"/>
                <w:strike/>
                <w:color w:val="auto"/>
                <w:sz w:val="21"/>
                <w:szCs w:val="21"/>
                <w:u w:val="single"/>
              </w:rPr>
            </w:pPr>
            <w:r>
              <w:rPr>
                <w:rFonts w:hint="eastAsia" w:ascii="宋体" w:hAnsi="宋体" w:eastAsia="宋体" w:cs="宋体"/>
                <w:color w:val="auto"/>
                <w:kern w:val="0"/>
                <w:sz w:val="21"/>
                <w:szCs w:val="21"/>
              </w:rPr>
              <w:t>符合第二章“投标人须知”第 3.2.3和3.2.4款规定填报投标报价的；对同一招标项目没有出现两个或以上的投标报价，且修正无依据；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投标内容</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符合第二章“投标人须知”第 1.3.1 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服务期限</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质量标准</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投标有效期</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投标保证金</w:t>
            </w:r>
          </w:p>
        </w:tc>
        <w:tc>
          <w:tcPr>
            <w:tcW w:w="5387" w:type="dxa"/>
            <w:noWrap/>
            <w:vAlign w:val="center"/>
          </w:tcPr>
          <w:p>
            <w:pPr>
              <w:rPr>
                <w:rFonts w:ascii="宋体" w:hAnsi="宋体" w:eastAsia="宋体" w:cs="宋体"/>
                <w:color w:val="auto"/>
                <w:sz w:val="21"/>
                <w:szCs w:val="21"/>
              </w:rPr>
            </w:pPr>
            <w:r>
              <w:rPr>
                <w:rFonts w:hint="eastAsia" w:ascii="宋体" w:hAnsi="宋体" w:eastAsia="宋体" w:cs="宋体"/>
                <w:color w:val="auto"/>
                <w:sz w:val="21"/>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vMerge w:val="continue"/>
            <w:noWrap/>
            <w:vAlign w:val="center"/>
          </w:tcPr>
          <w:p>
            <w:pPr>
              <w:jc w:val="center"/>
              <w:rPr>
                <w:rFonts w:ascii="宋体" w:hAnsi="宋体" w:eastAsia="宋体" w:cs="宋体"/>
                <w:color w:val="auto"/>
                <w:sz w:val="21"/>
                <w:szCs w:val="21"/>
              </w:rPr>
            </w:pPr>
          </w:p>
        </w:tc>
        <w:tc>
          <w:tcPr>
            <w:tcW w:w="1701" w:type="dxa"/>
            <w:noWrap/>
            <w:vAlign w:val="center"/>
          </w:tcPr>
          <w:p>
            <w:pPr>
              <w:jc w:val="center"/>
              <w:rPr>
                <w:rFonts w:ascii="宋体" w:hAnsi="宋体" w:eastAsia="宋体" w:cs="宋体"/>
                <w:color w:val="auto"/>
                <w:sz w:val="21"/>
                <w:szCs w:val="21"/>
                <w:u w:val="single"/>
              </w:rPr>
            </w:pPr>
            <w:r>
              <w:rPr>
                <w:rFonts w:hint="eastAsia" w:ascii="宋体" w:hAnsi="宋体" w:eastAsia="宋体" w:cs="宋体"/>
                <w:color w:val="auto"/>
                <w:sz w:val="21"/>
                <w:szCs w:val="21"/>
                <w:u w:val="single"/>
              </w:rPr>
              <w:t>串通投标情形</w:t>
            </w:r>
          </w:p>
        </w:tc>
        <w:tc>
          <w:tcPr>
            <w:tcW w:w="5387" w:type="dxa"/>
            <w:noWrap/>
            <w:vAlign w:val="center"/>
          </w:tcPr>
          <w:p>
            <w:pPr>
              <w:rPr>
                <w:rFonts w:ascii="宋体" w:hAnsi="宋体" w:eastAsia="宋体" w:cs="宋体"/>
                <w:color w:val="auto"/>
                <w:sz w:val="21"/>
                <w:szCs w:val="21"/>
                <w:u w:val="single"/>
              </w:rPr>
            </w:pPr>
            <w:r>
              <w:rPr>
                <w:rFonts w:hint="eastAsia" w:ascii="宋体" w:hAnsi="宋体" w:eastAsia="宋体" w:cs="宋体"/>
                <w:color w:val="auto"/>
                <w:sz w:val="21"/>
                <w:szCs w:val="21"/>
                <w:u w:val="single"/>
              </w:rPr>
              <w:t>投标人之间不存在《广东省实施&lt;中华人民共和国招标投标法&gt;办法》第十六条所禁止的情形的；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809" w:type="dxa"/>
            <w:gridSpan w:val="2"/>
            <w:noWrap/>
            <w:vAlign w:val="center"/>
          </w:tcPr>
          <w:p>
            <w:pPr>
              <w:spacing w:after="0" w:line="276" w:lineRule="auto"/>
              <w:ind w:firstLine="360"/>
              <w:jc w:val="center"/>
              <w:rPr>
                <w:rFonts w:ascii="宋体" w:hAnsi="宋体" w:eastAsia="宋体" w:cs="宋体"/>
                <w:color w:val="auto"/>
                <w:sz w:val="21"/>
                <w:szCs w:val="21"/>
              </w:rPr>
            </w:pPr>
            <w:r>
              <w:rPr>
                <w:rFonts w:hint="eastAsia" w:ascii="宋体" w:hAnsi="宋体" w:eastAsia="宋体" w:cs="宋体"/>
                <w:color w:val="auto"/>
                <w:sz w:val="21"/>
                <w:szCs w:val="21"/>
              </w:rPr>
              <w:t>2.2.1</w:t>
            </w:r>
          </w:p>
        </w:tc>
        <w:tc>
          <w:tcPr>
            <w:tcW w:w="1701" w:type="dxa"/>
            <w:noWrap/>
            <w:vAlign w:val="center"/>
          </w:tcPr>
          <w:p>
            <w:pPr>
              <w:spacing w:after="0" w:line="276" w:lineRule="auto"/>
              <w:ind w:firstLine="360"/>
              <w:jc w:val="center"/>
              <w:rPr>
                <w:rFonts w:ascii="宋体" w:hAnsi="宋体" w:eastAsia="宋体" w:cs="宋体"/>
                <w:color w:val="auto"/>
                <w:sz w:val="21"/>
                <w:szCs w:val="21"/>
              </w:rPr>
            </w:pPr>
            <w:r>
              <w:rPr>
                <w:rFonts w:hint="eastAsia" w:ascii="宋体" w:hAnsi="宋体" w:eastAsia="宋体" w:cs="宋体"/>
                <w:color w:val="auto"/>
                <w:sz w:val="21"/>
                <w:szCs w:val="21"/>
              </w:rPr>
              <w:t>分值构成</w:t>
            </w:r>
          </w:p>
          <w:p>
            <w:pPr>
              <w:spacing w:after="0" w:line="276" w:lineRule="auto"/>
              <w:ind w:firstLine="360"/>
              <w:jc w:val="center"/>
              <w:rPr>
                <w:rFonts w:ascii="宋体" w:hAnsi="宋体" w:eastAsia="宋体" w:cs="宋体"/>
                <w:color w:val="auto"/>
                <w:sz w:val="21"/>
                <w:szCs w:val="21"/>
              </w:rPr>
            </w:pPr>
            <w:r>
              <w:rPr>
                <w:rFonts w:hint="eastAsia" w:ascii="宋体" w:hAnsi="宋体" w:eastAsia="宋体" w:cs="宋体"/>
                <w:color w:val="auto"/>
                <w:sz w:val="21"/>
                <w:szCs w:val="21"/>
              </w:rPr>
              <w:t>(总分100分)</w:t>
            </w:r>
          </w:p>
        </w:tc>
        <w:tc>
          <w:tcPr>
            <w:tcW w:w="5387" w:type="dxa"/>
            <w:noWrap/>
            <w:vAlign w:val="center"/>
          </w:tcPr>
          <w:p>
            <w:pPr>
              <w:spacing w:after="0" w:line="276" w:lineRule="auto"/>
            </w:pPr>
            <w:r>
              <w:rPr>
                <w:rFonts w:hint="eastAsia"/>
              </w:rPr>
              <w:t>资信业绩部分：</w:t>
            </w:r>
            <w:r>
              <w:rPr>
                <w:rFonts w:hint="eastAsia" w:eastAsia="宋体"/>
              </w:rPr>
              <w:t>65</w:t>
            </w:r>
            <w:r>
              <w:rPr>
                <w:rFonts w:hint="eastAsia"/>
              </w:rPr>
              <w:t>分</w:t>
            </w:r>
          </w:p>
          <w:p>
            <w:pPr>
              <w:spacing w:after="0" w:line="276" w:lineRule="auto"/>
            </w:pPr>
            <w:r>
              <w:rPr>
                <w:rFonts w:hint="eastAsia"/>
              </w:rPr>
              <w:t>方案部分：</w:t>
            </w:r>
            <w:r>
              <w:rPr>
                <w:rFonts w:hint="eastAsia" w:eastAsiaTheme="minorEastAsia"/>
              </w:rPr>
              <w:t>15</w:t>
            </w:r>
            <w:r>
              <w:rPr>
                <w:rFonts w:hint="eastAsia"/>
              </w:rPr>
              <w:t>分</w:t>
            </w:r>
          </w:p>
          <w:p>
            <w:pPr>
              <w:spacing w:after="0" w:line="276" w:lineRule="auto"/>
            </w:pPr>
            <w:r>
              <w:rPr>
                <w:rFonts w:hint="eastAsia"/>
              </w:rPr>
              <w:t>投标报价：</w:t>
            </w:r>
            <w:r>
              <w:rPr>
                <w:rFonts w:hint="eastAsia" w:eastAsia="宋体"/>
              </w:rPr>
              <w:t>20</w:t>
            </w:r>
            <w:r>
              <w:rPr>
                <w:rFonts w:hint="eastAsia"/>
              </w:rPr>
              <w:t>分</w:t>
            </w:r>
          </w:p>
          <w:p>
            <w:pPr>
              <w:spacing w:after="0" w:line="276" w:lineRule="auto"/>
            </w:pPr>
            <w:r>
              <w:rPr>
                <w:rFonts w:hint="eastAsia" w:ascii="宋体" w:hAnsi="宋体" w:eastAsia="宋体" w:cs="宋体"/>
                <w:bCs/>
              </w:rPr>
              <w:t>投标人总得分</w:t>
            </w:r>
            <w:r>
              <w:rPr>
                <w:bCs/>
              </w:rPr>
              <w:t>=</w:t>
            </w:r>
            <w:r>
              <w:rPr>
                <w:rStyle w:val="39"/>
                <w:rFonts w:hint="eastAsia" w:eastAsia="宋体"/>
              </w:rPr>
              <w:t>资信业绩部分得分+方案部分得分+投标报价得分。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809" w:type="dxa"/>
            <w:gridSpan w:val="2"/>
            <w:noWrap/>
            <w:vAlign w:val="center"/>
          </w:tcPr>
          <w:p>
            <w:pPr>
              <w:spacing w:after="0" w:line="276" w:lineRule="auto"/>
              <w:ind w:firstLine="360"/>
              <w:jc w:val="center"/>
              <w:rPr>
                <w:rFonts w:ascii="宋体" w:hAnsi="宋体" w:eastAsia="宋体" w:cs="宋体"/>
                <w:color w:val="auto"/>
                <w:sz w:val="21"/>
                <w:szCs w:val="21"/>
              </w:rPr>
            </w:pPr>
            <w:r>
              <w:rPr>
                <w:rFonts w:hint="eastAsia" w:ascii="宋体" w:hAnsi="宋体" w:eastAsia="宋体" w:cs="宋体"/>
                <w:color w:val="auto"/>
                <w:sz w:val="21"/>
                <w:szCs w:val="21"/>
              </w:rPr>
              <w:t>2.2.2</w:t>
            </w:r>
          </w:p>
        </w:tc>
        <w:tc>
          <w:tcPr>
            <w:tcW w:w="1701" w:type="dxa"/>
            <w:noWrap/>
            <w:vAlign w:val="center"/>
          </w:tcPr>
          <w:p>
            <w:pPr>
              <w:spacing w:after="0" w:line="276" w:lineRule="auto"/>
              <w:jc w:val="center"/>
              <w:rPr>
                <w:rFonts w:ascii="宋体" w:hAnsi="宋体" w:eastAsia="宋体" w:cs="宋体"/>
                <w:color w:val="auto"/>
                <w:sz w:val="21"/>
                <w:szCs w:val="21"/>
              </w:rPr>
            </w:pPr>
            <w:r>
              <w:rPr>
                <w:rFonts w:hint="eastAsia" w:ascii="宋体" w:hAnsi="宋体" w:eastAsia="宋体" w:cs="宋体"/>
                <w:color w:val="auto"/>
                <w:sz w:val="21"/>
                <w:szCs w:val="21"/>
              </w:rPr>
              <w:t>评标基准价计算方法</w:t>
            </w:r>
          </w:p>
        </w:tc>
        <w:tc>
          <w:tcPr>
            <w:tcW w:w="5387" w:type="dxa"/>
            <w:noWrap/>
            <w:vAlign w:val="center"/>
          </w:tcPr>
          <w:p>
            <w:pPr>
              <w:rPr>
                <w:rFonts w:ascii="宋体" w:hAnsi="宋体" w:cs="Calibri"/>
                <w:b/>
                <w:szCs w:val="21"/>
              </w:rPr>
            </w:pPr>
            <w:r>
              <w:rPr>
                <w:rFonts w:hint="eastAsia" w:ascii="宋体" w:hAnsi="宋体" w:cs="Calibri"/>
                <w:b/>
                <w:szCs w:val="21"/>
              </w:rPr>
              <w:t>参与评标基准价计算范围为[最高投标限价×80%，最高投标限价]，超过此范围的报价不参与评标基准价的计算。</w:t>
            </w:r>
          </w:p>
          <w:p>
            <w:pPr>
              <w:rPr>
                <w:rFonts w:ascii="宋体" w:hAnsi="宋体" w:cs="宋体"/>
                <w:szCs w:val="21"/>
              </w:rPr>
            </w:pPr>
            <w:r>
              <w:rPr>
                <w:rFonts w:hint="eastAsia" w:ascii="宋体" w:hAnsi="宋体" w:cs="宋体"/>
                <w:szCs w:val="21"/>
              </w:rPr>
              <w:t>1.当投标报价在参与评标基准价计算范围内且通过形式评审、资格评审、响应性评审的有效投标人大于等于5名时，所有入围的有效投标价中去掉一个最高价和一个最低价，取余下有效投标价的算术平均值的作为评标基准价。</w:t>
            </w:r>
          </w:p>
          <w:p>
            <w:pPr>
              <w:rPr>
                <w:rFonts w:ascii="宋体" w:hAnsi="宋体" w:cs="宋体"/>
                <w:szCs w:val="21"/>
              </w:rPr>
            </w:pPr>
            <w:r>
              <w:rPr>
                <w:rFonts w:hint="eastAsia" w:ascii="宋体" w:hAnsi="宋体" w:cs="宋体"/>
                <w:szCs w:val="21"/>
              </w:rPr>
              <w:t>2.当投标报价在参与评标基准价计算范围内且通过形式评审、资格评审、响应性评审的有效投标人小于5（不包含0）名时，取所有入围的有效投标价的算术平均值的作为评标基准价。</w:t>
            </w:r>
          </w:p>
          <w:p>
            <w:pPr>
              <w:spacing w:after="0" w:line="276" w:lineRule="auto"/>
              <w:rPr>
                <w:rFonts w:ascii="宋体" w:hAnsi="宋体" w:eastAsia="宋体" w:cs="宋体"/>
                <w:szCs w:val="21"/>
              </w:rPr>
            </w:pPr>
            <w:r>
              <w:rPr>
                <w:rFonts w:hint="eastAsia" w:ascii="宋体" w:hAnsi="宋体" w:cs="宋体"/>
                <w:szCs w:val="21"/>
              </w:rPr>
              <w:t>3.若没有投标报价在参与评标基准价计算范围内且通过形式评审、资格评审、响应性评审的有效投标人时，最高投标限价×80%为评标基准价。</w:t>
            </w:r>
          </w:p>
          <w:p>
            <w:pPr>
              <w:spacing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09" w:type="dxa"/>
            <w:gridSpan w:val="2"/>
            <w:noWrap/>
            <w:vAlign w:val="center"/>
          </w:tcPr>
          <w:p>
            <w:pPr>
              <w:spacing w:after="0" w:line="276" w:lineRule="auto"/>
              <w:ind w:firstLine="360"/>
              <w:jc w:val="center"/>
              <w:rPr>
                <w:rFonts w:ascii="宋体" w:hAnsi="宋体" w:eastAsia="宋体" w:cs="宋体"/>
                <w:color w:val="auto"/>
                <w:sz w:val="21"/>
                <w:szCs w:val="21"/>
              </w:rPr>
            </w:pPr>
            <w:r>
              <w:rPr>
                <w:rFonts w:hint="eastAsia" w:ascii="宋体" w:hAnsi="宋体" w:eastAsia="宋体" w:cs="宋体"/>
                <w:color w:val="auto"/>
                <w:sz w:val="21"/>
                <w:szCs w:val="21"/>
              </w:rPr>
              <w:t>2.2.3</w:t>
            </w:r>
          </w:p>
        </w:tc>
        <w:tc>
          <w:tcPr>
            <w:tcW w:w="1701" w:type="dxa"/>
            <w:noWrap/>
            <w:vAlign w:val="center"/>
          </w:tcPr>
          <w:p>
            <w:pPr>
              <w:spacing w:after="0" w:line="276" w:lineRule="auto"/>
              <w:jc w:val="center"/>
              <w:rPr>
                <w:rFonts w:ascii="宋体" w:hAnsi="宋体" w:eastAsia="宋体" w:cs="宋体"/>
                <w:color w:val="auto"/>
                <w:sz w:val="21"/>
                <w:szCs w:val="21"/>
              </w:rPr>
            </w:pPr>
            <w:r>
              <w:rPr>
                <w:rFonts w:hint="eastAsia" w:ascii="宋体" w:hAnsi="宋体" w:eastAsia="宋体" w:cs="宋体"/>
                <w:color w:val="auto"/>
                <w:sz w:val="21"/>
                <w:szCs w:val="21"/>
              </w:rPr>
              <w:t>投标报价的偏差率计算公式</w:t>
            </w:r>
          </w:p>
        </w:tc>
        <w:tc>
          <w:tcPr>
            <w:tcW w:w="5387" w:type="dxa"/>
            <w:noWrap/>
            <w:vAlign w:val="center"/>
          </w:tcPr>
          <w:p>
            <w:pPr>
              <w:spacing w:after="0" w:line="276" w:lineRule="auto"/>
              <w:rPr>
                <w:rFonts w:ascii="宋体" w:hAnsi="宋体" w:eastAsia="宋体" w:cs="宋体"/>
                <w:color w:val="auto"/>
                <w:sz w:val="21"/>
                <w:szCs w:val="21"/>
              </w:rPr>
            </w:pPr>
            <w:r>
              <w:rPr>
                <w:rFonts w:hint="eastAsia" w:ascii="宋体" w:hAnsi="宋体" w:eastAsia="宋体" w:cs="宋体"/>
                <w:color w:val="auto"/>
                <w:sz w:val="21"/>
                <w:szCs w:val="21"/>
                <w:u w:val="single"/>
              </w:rPr>
              <w:t>投标报价的偏差率=|（投标报价-评标基准价）|/评标基准价×100%（偏差率出现小数点时，保留小数点后2位，第三位小数四舍五入）</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809" w:type="dxa"/>
            <w:gridSpan w:val="2"/>
            <w:tcBorders>
              <w:top w:val="single" w:color="auto" w:sz="4" w:space="0"/>
              <w:left w:val="single" w:color="auto" w:sz="4" w:space="0"/>
              <w:bottom w:val="single" w:color="auto" w:sz="4" w:space="0"/>
              <w:right w:val="single" w:color="auto" w:sz="4" w:space="0"/>
            </w:tcBorders>
            <w:noWrap/>
            <w:vAlign w:val="center"/>
          </w:tcPr>
          <w:p>
            <w:pPr>
              <w:spacing w:after="0" w:line="276" w:lineRule="auto"/>
              <w:ind w:firstLine="361"/>
              <w:jc w:val="center"/>
              <w:rPr>
                <w:rFonts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after="0" w:line="276" w:lineRule="auto"/>
              <w:ind w:firstLine="361"/>
              <w:jc w:val="center"/>
              <w:rPr>
                <w:rFonts w:ascii="宋体" w:hAnsi="宋体" w:eastAsia="宋体" w:cs="宋体"/>
                <w:b/>
                <w:bCs/>
                <w:color w:val="auto"/>
                <w:sz w:val="21"/>
                <w:szCs w:val="21"/>
              </w:rPr>
            </w:pPr>
            <w:r>
              <w:rPr>
                <w:rFonts w:hint="eastAsia" w:ascii="宋体" w:hAnsi="宋体" w:eastAsia="宋体" w:cs="宋体"/>
                <w:b/>
                <w:bCs/>
                <w:color w:val="auto"/>
                <w:sz w:val="21"/>
                <w:szCs w:val="21"/>
              </w:rPr>
              <w:t>评分因素</w:t>
            </w:r>
          </w:p>
        </w:tc>
        <w:tc>
          <w:tcPr>
            <w:tcW w:w="5387" w:type="dxa"/>
            <w:tcBorders>
              <w:top w:val="single" w:color="auto" w:sz="4" w:space="0"/>
              <w:left w:val="single" w:color="auto" w:sz="4" w:space="0"/>
              <w:bottom w:val="single" w:color="auto" w:sz="4" w:space="0"/>
              <w:right w:val="single" w:color="auto" w:sz="4" w:space="0"/>
            </w:tcBorders>
            <w:noWrap/>
            <w:vAlign w:val="center"/>
          </w:tcPr>
          <w:p>
            <w:pPr>
              <w:pStyle w:val="4"/>
              <w:ind w:left="0" w:firstLine="0"/>
              <w:jc w:val="center"/>
              <w:rPr>
                <w:rFonts w:ascii="宋体" w:hAnsi="宋体" w:eastAsia="宋体" w:cs="宋体"/>
                <w:b/>
                <w:bCs/>
                <w:color w:val="auto"/>
                <w:sz w:val="21"/>
                <w:szCs w:val="21"/>
                <w:u w:val="single"/>
              </w:rPr>
            </w:pPr>
            <w:bookmarkStart w:id="197" w:name="_Toc142406634"/>
            <w:r>
              <w:rPr>
                <w:rFonts w:hint="eastAsia" w:ascii="宋体" w:hAnsi="宋体" w:eastAsia="宋体" w:cs="宋体"/>
                <w:b/>
                <w:bCs/>
                <w:color w:val="auto"/>
                <w:sz w:val="21"/>
                <w:szCs w:val="21"/>
                <w:u w:val="single"/>
              </w:rPr>
              <w:t>评分标准</w:t>
            </w:r>
            <w:bookmarkEnd w:id="1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41" w:type="dxa"/>
            <w:vMerge w:val="restart"/>
            <w:noWrap/>
            <w:vAlign w:val="center"/>
          </w:tcPr>
          <w:p>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2.2.4</w:t>
            </w:r>
          </w:p>
          <w:p>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（1）</w:t>
            </w:r>
          </w:p>
        </w:tc>
        <w:tc>
          <w:tcPr>
            <w:tcW w:w="1068" w:type="dxa"/>
            <w:vMerge w:val="restart"/>
            <w:noWrap/>
            <w:vAlign w:val="center"/>
          </w:tcPr>
          <w:p>
            <w:pPr>
              <w:spacing w:line="276" w:lineRule="auto"/>
              <w:jc w:val="both"/>
              <w:rPr>
                <w:rFonts w:ascii="宋体" w:hAnsi="宋体" w:eastAsia="宋体" w:cs="宋体"/>
                <w:color w:val="auto"/>
                <w:sz w:val="21"/>
                <w:szCs w:val="21"/>
              </w:rPr>
            </w:pPr>
            <w:r>
              <w:rPr>
                <w:rFonts w:hint="eastAsia" w:ascii="宋体" w:hAnsi="宋体" w:eastAsia="宋体" w:cs="宋体"/>
                <w:color w:val="auto"/>
                <w:sz w:val="21"/>
                <w:szCs w:val="21"/>
              </w:rPr>
              <w:t>资信业绩 评分标准（65分）</w:t>
            </w:r>
          </w:p>
        </w:tc>
        <w:tc>
          <w:tcPr>
            <w:tcW w:w="1701" w:type="dxa"/>
            <w:noWrap/>
            <w:vAlign w:val="center"/>
          </w:tcPr>
          <w:p>
            <w:pPr>
              <w:pStyle w:val="18"/>
              <w:spacing w:line="360" w:lineRule="auto"/>
              <w:jc w:val="center"/>
              <w:rPr>
                <w:rFonts w:hAnsi="宋体" w:cs="宋体"/>
                <w:sz w:val="21"/>
              </w:rPr>
            </w:pPr>
            <w:r>
              <w:rPr>
                <w:rFonts w:hint="eastAsia" w:hAnsi="宋体" w:cs="宋体"/>
                <w:sz w:val="21"/>
              </w:rPr>
              <w:t>类似业绩</w:t>
            </w:r>
          </w:p>
          <w:p>
            <w:pPr>
              <w:spacing w:line="276" w:lineRule="auto"/>
              <w:ind w:firstLine="360"/>
              <w:jc w:val="center"/>
              <w:rPr>
                <w:rFonts w:ascii="宋体" w:hAnsi="宋体" w:eastAsia="宋体" w:cs="宋体"/>
                <w:color w:val="auto"/>
                <w:sz w:val="21"/>
                <w:szCs w:val="21"/>
              </w:rPr>
            </w:pPr>
            <w:r>
              <w:rPr>
                <w:rFonts w:hint="eastAsia" w:ascii="宋体" w:hAnsi="宋体" w:eastAsia="宋体" w:cs="宋体"/>
                <w:sz w:val="21"/>
                <w:szCs w:val="21"/>
              </w:rPr>
              <w:t>（20分）</w:t>
            </w:r>
          </w:p>
        </w:tc>
        <w:tc>
          <w:tcPr>
            <w:tcW w:w="5387" w:type="dxa"/>
            <w:noWrap/>
            <w:vAlign w:val="center"/>
          </w:tcPr>
          <w:p>
            <w:pPr>
              <w:pStyle w:val="18"/>
              <w:spacing w:line="360" w:lineRule="auto"/>
              <w:jc w:val="left"/>
              <w:rPr>
                <w:rFonts w:hAnsi="宋体" w:cs="宋体"/>
                <w:sz w:val="21"/>
              </w:rPr>
            </w:pPr>
            <w:r>
              <w:rPr>
                <w:rFonts w:hAnsi="宋体" w:cs="宋体"/>
                <w:sz w:val="21"/>
              </w:rPr>
              <w:t>投标人自201</w:t>
            </w:r>
            <w:r>
              <w:rPr>
                <w:rFonts w:hint="eastAsia" w:hAnsi="宋体" w:cs="宋体"/>
                <w:sz w:val="21"/>
              </w:rPr>
              <w:t>6</w:t>
            </w:r>
            <w:r>
              <w:rPr>
                <w:rFonts w:hAnsi="宋体" w:cs="宋体"/>
                <w:sz w:val="21"/>
              </w:rPr>
              <w:t>年1月1日至投标截止时间止，</w:t>
            </w:r>
          </w:p>
          <w:p>
            <w:pPr>
              <w:pStyle w:val="18"/>
              <w:spacing w:line="360" w:lineRule="auto"/>
              <w:jc w:val="left"/>
              <w:rPr>
                <w:rFonts w:hAnsi="宋体" w:cs="宋体"/>
                <w:sz w:val="21"/>
              </w:rPr>
            </w:pPr>
            <w:r>
              <w:rPr>
                <w:rFonts w:hint="eastAsia" w:hAnsi="宋体" w:cs="宋体"/>
                <w:sz w:val="21"/>
              </w:rPr>
              <w:t>①投标人承接过单个合同额≥100万元的类似检测业绩（指涵盖本项目招标范围中一项或多项的检测业绩），每个得2分，本项最高得10分；</w:t>
            </w:r>
          </w:p>
          <w:p>
            <w:pPr>
              <w:pStyle w:val="18"/>
              <w:spacing w:line="360" w:lineRule="auto"/>
              <w:jc w:val="left"/>
              <w:rPr>
                <w:rFonts w:hAnsi="宋体" w:cs="宋体"/>
                <w:sz w:val="21"/>
              </w:rPr>
            </w:pPr>
            <w:r>
              <w:rPr>
                <w:rFonts w:hint="eastAsia" w:hAnsi="宋体" w:cs="宋体"/>
                <w:sz w:val="21"/>
              </w:rPr>
              <w:t>②投标人承接过单个合同额≥100万元的类似监测业绩（指涵盖本项目招标范围中一项或多项的监测业绩），每个得2分，本项最高得10分。</w:t>
            </w:r>
          </w:p>
          <w:p>
            <w:pPr>
              <w:spacing w:after="0" w:line="276" w:lineRule="auto"/>
              <w:rPr>
                <w:rFonts w:ascii="宋体" w:hAnsi="宋体" w:eastAsia="宋体" w:cs="宋体"/>
                <w:b/>
                <w:color w:val="auto"/>
                <w:sz w:val="21"/>
                <w:szCs w:val="21"/>
              </w:rPr>
            </w:pPr>
            <w:r>
              <w:rPr>
                <w:rFonts w:hint="eastAsia" w:ascii="宋体" w:hAnsi="宋体" w:eastAsia="宋体" w:cs="宋体"/>
                <w:b/>
                <w:bCs/>
                <w:sz w:val="21"/>
                <w:szCs w:val="21"/>
              </w:rPr>
              <w:t>注：</w:t>
            </w:r>
            <w:r>
              <w:rPr>
                <w:rFonts w:hint="eastAsia" w:ascii="宋体" w:hAnsi="宋体" w:eastAsia="宋体" w:cs="宋体"/>
                <w:sz w:val="21"/>
                <w:szCs w:val="21"/>
              </w:rPr>
              <w:t>须提供中标通知书或合同关键页的复印件，并加盖公章，否则不得分。日期以合同签订日期或中标通知书日期为准</w:t>
            </w:r>
            <w:r>
              <w:rPr>
                <w:rFonts w:hint="eastAsia" w:ascii="宋体" w:hAnsi="宋体" w:eastAsia="宋体" w:cs="宋体"/>
                <w:bCs/>
                <w:color w:val="auto"/>
                <w:sz w:val="21"/>
                <w:szCs w:val="21"/>
              </w:rPr>
              <w:t>（若为联合体投标，可按联合体各方提供的证明资料进行评审）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0" w:hRule="atLeast"/>
        </w:trPr>
        <w:tc>
          <w:tcPr>
            <w:tcW w:w="741" w:type="dxa"/>
            <w:vMerge w:val="continue"/>
            <w:noWrap/>
            <w:vAlign w:val="center"/>
          </w:tcPr>
          <w:p>
            <w:pPr>
              <w:spacing w:line="276" w:lineRule="auto"/>
              <w:ind w:firstLine="360"/>
              <w:jc w:val="center"/>
              <w:rPr>
                <w:rFonts w:ascii="宋体" w:hAnsi="宋体" w:eastAsia="宋体" w:cs="宋体"/>
                <w:color w:val="auto"/>
                <w:sz w:val="21"/>
                <w:szCs w:val="21"/>
              </w:rPr>
            </w:pPr>
          </w:p>
        </w:tc>
        <w:tc>
          <w:tcPr>
            <w:tcW w:w="1068" w:type="dxa"/>
            <w:vMerge w:val="continue"/>
            <w:noWrap/>
            <w:vAlign w:val="center"/>
          </w:tcPr>
          <w:p>
            <w:pPr>
              <w:spacing w:line="276" w:lineRule="auto"/>
              <w:ind w:firstLine="360"/>
              <w:jc w:val="center"/>
              <w:rPr>
                <w:rFonts w:ascii="宋体" w:hAnsi="宋体" w:eastAsia="宋体" w:cs="宋体"/>
                <w:color w:val="auto"/>
                <w:sz w:val="21"/>
                <w:szCs w:val="21"/>
              </w:rPr>
            </w:pPr>
          </w:p>
        </w:tc>
        <w:tc>
          <w:tcPr>
            <w:tcW w:w="1701" w:type="dxa"/>
            <w:noWrap/>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企业综合实力评价</w:t>
            </w:r>
          </w:p>
          <w:p>
            <w:pPr>
              <w:spacing w:line="276" w:lineRule="auto"/>
              <w:ind w:firstLine="360"/>
              <w:jc w:val="center"/>
              <w:rPr>
                <w:rFonts w:ascii="宋体" w:hAnsi="宋体" w:eastAsia="宋体" w:cs="宋体"/>
                <w:color w:val="auto"/>
                <w:sz w:val="21"/>
                <w:szCs w:val="21"/>
              </w:rPr>
            </w:pPr>
            <w:r>
              <w:rPr>
                <w:rFonts w:hint="eastAsia" w:ascii="宋体" w:hAnsi="宋体" w:cs="宋体"/>
                <w:color w:val="auto"/>
                <w:kern w:val="0"/>
                <w:sz w:val="21"/>
                <w:szCs w:val="21"/>
              </w:rPr>
              <w:t>（</w:t>
            </w:r>
            <w:r>
              <w:rPr>
                <w:rFonts w:hint="eastAsia" w:ascii="宋体" w:hAnsi="宋体" w:cs="宋体" w:eastAsiaTheme="minorEastAsia"/>
                <w:color w:val="auto"/>
                <w:kern w:val="0"/>
                <w:sz w:val="21"/>
                <w:szCs w:val="21"/>
              </w:rPr>
              <w:t>2</w:t>
            </w:r>
            <w:r>
              <w:rPr>
                <w:rFonts w:hint="eastAsia" w:ascii="宋体" w:hAnsi="宋体" w:cs="宋体"/>
                <w:color w:val="auto"/>
                <w:kern w:val="0"/>
                <w:sz w:val="21"/>
                <w:szCs w:val="21"/>
              </w:rPr>
              <w:t>0分）</w:t>
            </w:r>
          </w:p>
        </w:tc>
        <w:tc>
          <w:tcPr>
            <w:tcW w:w="5387" w:type="dxa"/>
            <w:noWrap/>
            <w:vAlign w:val="center"/>
          </w:tcPr>
          <w:p>
            <w:pPr>
              <w:pStyle w:val="18"/>
              <w:spacing w:line="360" w:lineRule="auto"/>
              <w:jc w:val="left"/>
              <w:rPr>
                <w:rFonts w:hAnsi="宋体" w:cs="宋体"/>
                <w:sz w:val="21"/>
              </w:rPr>
            </w:pPr>
            <w:r>
              <w:rPr>
                <w:rFonts w:hint="eastAsia"/>
                <w:sz w:val="21"/>
              </w:rPr>
              <w:t>1、</w:t>
            </w:r>
            <w:r>
              <w:rPr>
                <w:rFonts w:hint="eastAsia" w:hAnsi="宋体" w:cs="宋体"/>
                <w:sz w:val="21"/>
              </w:rPr>
              <w:t>投标人同时通过“质量管理体系、环境管理体系、职业健康安全管理体系、测量管理体系”4项认证，得8分；通过其中3项认证，得6分；通过其中2项认证，得4分；通过其中1项认证，得2分；未通过认证或不在有效期内的不得分。</w:t>
            </w:r>
          </w:p>
          <w:p>
            <w:pPr>
              <w:pStyle w:val="4"/>
              <w:rPr>
                <w:rFonts w:ascii="宋体" w:hAnsi="宋体" w:eastAsia="宋体" w:cs="宋体"/>
                <w:bCs/>
                <w:color w:val="auto"/>
                <w:sz w:val="21"/>
                <w:szCs w:val="21"/>
              </w:rPr>
            </w:pPr>
            <w:bookmarkStart w:id="198" w:name="_Toc142406635"/>
            <w:r>
              <w:rPr>
                <w:rFonts w:hint="eastAsia" w:ascii="宋体" w:hAnsi="宋体" w:eastAsia="宋体" w:cs="宋体"/>
                <w:b/>
                <w:bCs/>
                <w:sz w:val="21"/>
                <w:szCs w:val="21"/>
              </w:rPr>
              <w:t>注：</w:t>
            </w:r>
            <w:r>
              <w:rPr>
                <w:rFonts w:hint="eastAsia" w:hAnsi="宋体" w:eastAsia="宋体" w:cs="宋体"/>
                <w:sz w:val="21"/>
                <w:szCs w:val="21"/>
              </w:rPr>
              <w:t>须</w:t>
            </w:r>
            <w:r>
              <w:rPr>
                <w:rFonts w:hint="eastAsia" w:ascii="宋体" w:hAnsi="宋体" w:eastAsia="宋体" w:cs="宋体"/>
                <w:sz w:val="21"/>
                <w:szCs w:val="21"/>
              </w:rPr>
              <w:t>提供</w:t>
            </w:r>
            <w:r>
              <w:rPr>
                <w:rFonts w:hint="eastAsia" w:hAnsi="宋体" w:eastAsia="宋体" w:cs="宋体"/>
                <w:sz w:val="21"/>
                <w:szCs w:val="21"/>
              </w:rPr>
              <w:t>在有效期内的证书</w:t>
            </w:r>
            <w:r>
              <w:rPr>
                <w:rFonts w:hint="eastAsia" w:ascii="宋体" w:hAnsi="宋体" w:eastAsia="宋体" w:cs="宋体"/>
                <w:sz w:val="21"/>
                <w:szCs w:val="21"/>
              </w:rPr>
              <w:t>复印件，并加盖公章，否则不得分。</w:t>
            </w:r>
            <w:r>
              <w:rPr>
                <w:rFonts w:hint="eastAsia" w:ascii="宋体" w:hAnsi="宋体" w:eastAsia="宋体" w:cs="宋体"/>
                <w:bCs/>
                <w:color w:val="auto"/>
                <w:sz w:val="21"/>
                <w:szCs w:val="21"/>
              </w:rPr>
              <w:t>（若为联合体投标，可按联合体各方提供的证明资料进行评审）</w:t>
            </w:r>
            <w:bookmarkEnd w:id="198"/>
          </w:p>
          <w:p>
            <w:pPr>
              <w:pStyle w:val="18"/>
              <w:spacing w:line="360" w:lineRule="auto"/>
              <w:jc w:val="left"/>
              <w:rPr>
                <w:rFonts w:hAnsi="宋体" w:cs="宋体"/>
                <w:sz w:val="21"/>
              </w:rPr>
            </w:pPr>
            <w:r>
              <w:rPr>
                <w:rFonts w:hint="eastAsia" w:hAnsi="宋体" w:cs="宋体"/>
                <w:b/>
                <w:bCs/>
                <w:sz w:val="21"/>
              </w:rPr>
              <w:t>2、</w:t>
            </w:r>
            <w:r>
              <w:rPr>
                <w:rFonts w:hint="eastAsia" w:cs="宋体" w:asciiTheme="minorEastAsia" w:hAnsiTheme="minorEastAsia" w:eastAsiaTheme="minorEastAsia"/>
                <w:sz w:val="21"/>
              </w:rPr>
              <w:t>投标人获得科技、财政、税务</w:t>
            </w:r>
            <w:r>
              <w:rPr>
                <w:rFonts w:hint="eastAsia" w:cs="宋体" w:asciiTheme="minorEastAsia" w:hAnsiTheme="minorEastAsia" w:eastAsiaTheme="minorEastAsia"/>
                <w:sz w:val="21"/>
                <w:lang w:val="en-US" w:eastAsia="zh-CN"/>
              </w:rPr>
              <w:t>部门</w:t>
            </w:r>
            <w:r>
              <w:rPr>
                <w:rFonts w:hint="eastAsia" w:cs="宋体" w:asciiTheme="minorEastAsia" w:hAnsiTheme="minorEastAsia" w:eastAsiaTheme="minorEastAsia"/>
                <w:sz w:val="21"/>
              </w:rPr>
              <w:t>联合颁发的高新技术企业证书</w:t>
            </w:r>
            <w:r>
              <w:rPr>
                <w:rFonts w:hint="eastAsia" w:hAnsi="宋体" w:cs="宋体"/>
                <w:sz w:val="21"/>
              </w:rPr>
              <w:t>，得3分，无则不得分。</w:t>
            </w:r>
          </w:p>
          <w:p>
            <w:pPr>
              <w:rPr>
                <w:rFonts w:ascii="宋体" w:hAnsi="宋体" w:eastAsia="宋体" w:cs="宋体"/>
                <w:bCs/>
                <w:color w:val="auto"/>
                <w:sz w:val="21"/>
                <w:szCs w:val="21"/>
              </w:rPr>
            </w:pPr>
            <w:r>
              <w:rPr>
                <w:rFonts w:hint="eastAsia" w:ascii="宋体" w:hAnsi="宋体" w:eastAsia="宋体" w:cs="宋体"/>
                <w:b/>
                <w:bCs/>
                <w:sz w:val="21"/>
                <w:szCs w:val="21"/>
              </w:rPr>
              <w:t>注：</w:t>
            </w:r>
            <w:r>
              <w:rPr>
                <w:rFonts w:hint="eastAsia" w:hAnsi="宋体" w:eastAsia="宋体" w:cs="宋体"/>
                <w:sz w:val="21"/>
                <w:szCs w:val="21"/>
              </w:rPr>
              <w:t>须</w:t>
            </w:r>
            <w:r>
              <w:rPr>
                <w:rFonts w:hint="eastAsia" w:ascii="宋体" w:hAnsi="宋体" w:eastAsia="宋体" w:cs="宋体"/>
                <w:sz w:val="21"/>
                <w:szCs w:val="21"/>
              </w:rPr>
              <w:t>提供</w:t>
            </w:r>
            <w:r>
              <w:rPr>
                <w:rFonts w:hint="eastAsia" w:hAnsi="宋体" w:eastAsia="宋体" w:cs="宋体"/>
                <w:sz w:val="21"/>
                <w:szCs w:val="21"/>
              </w:rPr>
              <w:t>在有效期内的证书</w:t>
            </w:r>
            <w:r>
              <w:rPr>
                <w:rFonts w:hint="eastAsia" w:ascii="宋体" w:hAnsi="宋体" w:eastAsia="宋体" w:cs="宋体"/>
                <w:sz w:val="21"/>
                <w:szCs w:val="21"/>
              </w:rPr>
              <w:t>复印件，并加盖公章，否则不得分。</w:t>
            </w:r>
            <w:r>
              <w:rPr>
                <w:rFonts w:hint="eastAsia" w:ascii="宋体" w:hAnsi="宋体" w:eastAsia="宋体" w:cs="宋体"/>
                <w:bCs/>
                <w:color w:val="auto"/>
                <w:sz w:val="21"/>
                <w:szCs w:val="21"/>
              </w:rPr>
              <w:t>（若为联合体投标，可按联合体各方提供的证明资料进行评审）</w:t>
            </w:r>
          </w:p>
          <w:p>
            <w:pPr>
              <w:pStyle w:val="18"/>
              <w:spacing w:line="360" w:lineRule="auto"/>
              <w:jc w:val="left"/>
              <w:rPr>
                <w:rFonts w:hAnsi="宋体" w:cs="宋体"/>
                <w:sz w:val="21"/>
              </w:rPr>
            </w:pPr>
            <w:r>
              <w:rPr>
                <w:rFonts w:hint="eastAsia" w:eastAsiaTheme="minorEastAsia"/>
                <w:sz w:val="21"/>
              </w:rPr>
              <w:t>3、</w:t>
            </w:r>
            <w:r>
              <w:rPr>
                <w:rFonts w:hint="eastAsia" w:hAnsi="宋体" w:cs="宋体"/>
                <w:sz w:val="21"/>
              </w:rPr>
              <w:t>投标人具有中国建筑业协会颁发的企业信用等级证书，评定结果为AAA级得3分；评定结果为AA级得2分；评定结果为A级得1分，无则不得分。</w:t>
            </w:r>
          </w:p>
          <w:p>
            <w:pPr>
              <w:pStyle w:val="2"/>
              <w:ind w:firstLine="0"/>
              <w:rPr>
                <w:rFonts w:ascii="宋体" w:hAnsi="宋体" w:eastAsia="宋体" w:cs="宋体"/>
                <w:bCs/>
                <w:color w:val="auto"/>
                <w:sz w:val="21"/>
                <w:szCs w:val="21"/>
              </w:rPr>
            </w:pPr>
            <w:r>
              <w:rPr>
                <w:rFonts w:hint="eastAsia" w:ascii="宋体" w:hAnsi="宋体" w:eastAsia="宋体" w:cs="宋体"/>
                <w:b/>
                <w:bCs/>
                <w:sz w:val="21"/>
                <w:szCs w:val="21"/>
              </w:rPr>
              <w:t>注：</w:t>
            </w:r>
            <w:r>
              <w:rPr>
                <w:rFonts w:hint="eastAsia" w:hAnsi="宋体" w:eastAsia="宋体" w:cs="宋体"/>
                <w:sz w:val="21"/>
                <w:szCs w:val="21"/>
              </w:rPr>
              <w:t>须</w:t>
            </w:r>
            <w:r>
              <w:rPr>
                <w:rFonts w:hint="eastAsia" w:ascii="宋体" w:hAnsi="宋体" w:eastAsia="宋体" w:cs="宋体"/>
                <w:sz w:val="21"/>
                <w:szCs w:val="21"/>
              </w:rPr>
              <w:t>提供</w:t>
            </w:r>
            <w:r>
              <w:rPr>
                <w:rFonts w:hint="eastAsia" w:hAnsi="宋体" w:eastAsia="宋体" w:cs="宋体"/>
                <w:sz w:val="21"/>
                <w:szCs w:val="21"/>
              </w:rPr>
              <w:t>在有效期内的证书</w:t>
            </w:r>
            <w:r>
              <w:rPr>
                <w:rFonts w:hint="eastAsia" w:ascii="宋体" w:hAnsi="宋体" w:eastAsia="宋体" w:cs="宋体"/>
                <w:sz w:val="21"/>
                <w:szCs w:val="21"/>
              </w:rPr>
              <w:t>复印件，并加盖公章，否则不得分。</w:t>
            </w:r>
            <w:r>
              <w:rPr>
                <w:rFonts w:hint="eastAsia" w:ascii="宋体" w:hAnsi="宋体" w:eastAsia="宋体" w:cs="宋体"/>
                <w:bCs/>
                <w:color w:val="auto"/>
                <w:sz w:val="21"/>
                <w:szCs w:val="21"/>
              </w:rPr>
              <w:t>（若为联合体投标，可按联合体各方提供的证明资料进行评审）</w:t>
            </w:r>
          </w:p>
          <w:p>
            <w:pPr>
              <w:pStyle w:val="18"/>
              <w:spacing w:line="360" w:lineRule="auto"/>
              <w:jc w:val="left"/>
              <w:rPr>
                <w:rFonts w:hAnsi="宋体" w:cs="宋体"/>
                <w:sz w:val="21"/>
              </w:rPr>
            </w:pPr>
            <w:r>
              <w:rPr>
                <w:rFonts w:hint="eastAsia" w:eastAsiaTheme="minorEastAsia"/>
                <w:sz w:val="21"/>
              </w:rPr>
              <w:t>4、</w:t>
            </w:r>
            <w:r>
              <w:rPr>
                <w:rFonts w:hint="eastAsia" w:hAnsi="宋体" w:cs="宋体"/>
                <w:sz w:val="21"/>
              </w:rPr>
              <w:t>投标人具有工程检测或监测类（专利名称带有“检测”或“监测”字样）的发明专利或实用新型专利，每项得1分，本项最高得6分，无则不得分。</w:t>
            </w:r>
          </w:p>
          <w:p>
            <w:pPr>
              <w:rPr>
                <w:rFonts w:eastAsiaTheme="minorEastAsia"/>
                <w:sz w:val="21"/>
                <w:szCs w:val="21"/>
              </w:rPr>
            </w:pPr>
            <w:r>
              <w:rPr>
                <w:rFonts w:hint="eastAsia" w:ascii="宋体" w:hAnsi="宋体" w:eastAsia="宋体" w:cs="宋体"/>
                <w:b/>
                <w:bCs/>
                <w:sz w:val="21"/>
                <w:szCs w:val="21"/>
              </w:rPr>
              <w:t>注：</w:t>
            </w:r>
            <w:r>
              <w:rPr>
                <w:rFonts w:hint="eastAsia" w:hAnsi="宋体" w:eastAsia="宋体" w:cs="宋体"/>
                <w:sz w:val="21"/>
                <w:szCs w:val="21"/>
              </w:rPr>
              <w:t>须</w:t>
            </w:r>
            <w:r>
              <w:rPr>
                <w:rFonts w:hint="eastAsia" w:ascii="宋体" w:hAnsi="宋体" w:eastAsia="宋体" w:cs="宋体"/>
                <w:sz w:val="21"/>
                <w:szCs w:val="21"/>
              </w:rPr>
              <w:t>提供</w:t>
            </w:r>
            <w:r>
              <w:rPr>
                <w:rFonts w:hint="eastAsia" w:hAnsi="宋体" w:eastAsia="宋体" w:cs="宋体"/>
                <w:sz w:val="21"/>
                <w:szCs w:val="21"/>
              </w:rPr>
              <w:t>在有效期内的证书</w:t>
            </w:r>
            <w:r>
              <w:rPr>
                <w:rFonts w:hint="eastAsia" w:ascii="宋体" w:hAnsi="宋体" w:eastAsia="宋体" w:cs="宋体"/>
                <w:sz w:val="21"/>
                <w:szCs w:val="21"/>
              </w:rPr>
              <w:t>复印件，并加盖公章，否则不得分。</w:t>
            </w:r>
            <w:r>
              <w:rPr>
                <w:rFonts w:hint="eastAsia" w:ascii="宋体" w:hAnsi="宋体" w:eastAsia="宋体" w:cs="宋体"/>
                <w:bCs/>
                <w:color w:val="auto"/>
                <w:sz w:val="21"/>
                <w:szCs w:val="21"/>
              </w:rPr>
              <w:t>（若为联合体投标，可按联合体各方提供的证明资料进行评审）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41" w:type="dxa"/>
            <w:vMerge w:val="continue"/>
            <w:noWrap/>
            <w:vAlign w:val="center"/>
          </w:tcPr>
          <w:p>
            <w:pPr>
              <w:spacing w:after="0" w:line="276" w:lineRule="auto"/>
              <w:ind w:firstLine="360"/>
              <w:rPr>
                <w:rFonts w:ascii="宋体" w:hAnsi="宋体" w:eastAsia="宋体" w:cs="宋体"/>
                <w:bCs/>
                <w:color w:val="auto"/>
                <w:sz w:val="21"/>
                <w:szCs w:val="21"/>
              </w:rPr>
            </w:pPr>
          </w:p>
        </w:tc>
        <w:tc>
          <w:tcPr>
            <w:tcW w:w="1068" w:type="dxa"/>
            <w:vMerge w:val="continue"/>
            <w:noWrap/>
            <w:vAlign w:val="center"/>
          </w:tcPr>
          <w:p>
            <w:pPr>
              <w:spacing w:after="0" w:line="276" w:lineRule="auto"/>
              <w:ind w:firstLine="360"/>
              <w:rPr>
                <w:rFonts w:ascii="宋体" w:hAnsi="宋体" w:eastAsia="宋体" w:cs="宋体"/>
                <w:bCs/>
                <w:color w:val="auto"/>
                <w:sz w:val="21"/>
                <w:szCs w:val="21"/>
              </w:rPr>
            </w:pPr>
          </w:p>
        </w:tc>
        <w:tc>
          <w:tcPr>
            <w:tcW w:w="1701" w:type="dxa"/>
            <w:noWrap/>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拟投入本项目人员的技术水平</w:t>
            </w:r>
          </w:p>
          <w:p>
            <w:pPr>
              <w:spacing w:after="0" w:line="276" w:lineRule="auto"/>
              <w:ind w:firstLine="360"/>
              <w:rPr>
                <w:rFonts w:ascii="宋体" w:hAnsi="宋体" w:eastAsia="宋体" w:cs="宋体"/>
                <w:bCs/>
                <w:color w:val="auto"/>
                <w:sz w:val="21"/>
                <w:szCs w:val="21"/>
              </w:rPr>
            </w:pPr>
            <w:r>
              <w:rPr>
                <w:rFonts w:hint="eastAsia" w:ascii="宋体" w:hAnsi="宋体" w:cs="宋体"/>
                <w:color w:val="auto"/>
                <w:kern w:val="0"/>
                <w:sz w:val="21"/>
                <w:szCs w:val="21"/>
              </w:rPr>
              <w:t>（</w:t>
            </w:r>
            <w:r>
              <w:rPr>
                <w:rFonts w:hint="eastAsia" w:ascii="宋体" w:hAnsi="宋体" w:cs="宋体" w:eastAsiaTheme="minorEastAsia"/>
                <w:color w:val="auto"/>
                <w:kern w:val="0"/>
                <w:sz w:val="21"/>
                <w:szCs w:val="21"/>
              </w:rPr>
              <w:t>20</w:t>
            </w:r>
            <w:r>
              <w:rPr>
                <w:rFonts w:hint="eastAsia" w:ascii="宋体" w:hAnsi="宋体" w:cs="宋体"/>
                <w:color w:val="auto"/>
                <w:kern w:val="0"/>
                <w:sz w:val="21"/>
                <w:szCs w:val="21"/>
              </w:rPr>
              <w:t>分）</w:t>
            </w:r>
          </w:p>
        </w:tc>
        <w:tc>
          <w:tcPr>
            <w:tcW w:w="5387" w:type="dxa"/>
            <w:noWrap/>
            <w:vAlign w:val="center"/>
          </w:tcPr>
          <w:p>
            <w:pPr>
              <w:pStyle w:val="18"/>
              <w:spacing w:line="360" w:lineRule="auto"/>
              <w:jc w:val="left"/>
              <w:rPr>
                <w:rFonts w:hAnsi="宋体" w:cs="宋体"/>
                <w:sz w:val="21"/>
              </w:rPr>
            </w:pPr>
            <w:r>
              <w:rPr>
                <w:rFonts w:hint="eastAsia" w:hAnsi="宋体" w:cs="宋体"/>
                <w:sz w:val="21"/>
              </w:rPr>
              <w:t>1、项目负责人（6分）</w:t>
            </w:r>
          </w:p>
          <w:p>
            <w:pPr>
              <w:pStyle w:val="18"/>
              <w:spacing w:line="360" w:lineRule="auto"/>
              <w:jc w:val="left"/>
              <w:rPr>
                <w:rFonts w:hAnsi="宋体" w:cs="宋体"/>
                <w:sz w:val="21"/>
              </w:rPr>
            </w:pPr>
            <w:r>
              <w:rPr>
                <w:rFonts w:hint="eastAsia" w:hAnsi="宋体" w:cs="宋体"/>
                <w:sz w:val="21"/>
              </w:rPr>
              <w:t>①同时具有注册土木工程师（岩土）和注册结构工程师执业证书，得3分，其它不得分。</w:t>
            </w:r>
          </w:p>
          <w:p>
            <w:pPr>
              <w:pStyle w:val="18"/>
              <w:spacing w:line="360" w:lineRule="auto"/>
              <w:jc w:val="left"/>
              <w:rPr>
                <w:rFonts w:hAnsi="宋体" w:cs="宋体"/>
                <w:sz w:val="21"/>
              </w:rPr>
            </w:pPr>
            <w:r>
              <w:rPr>
                <w:rFonts w:hint="eastAsia" w:hAnsi="宋体" w:cs="宋体"/>
                <w:sz w:val="21"/>
              </w:rPr>
              <w:t>②具有岩土工程专业高级工程师（或以上）职称，得2分；具有岩土工程专业中级工程师职称，得1分；其它不得分。</w:t>
            </w:r>
          </w:p>
          <w:p>
            <w:pPr>
              <w:pStyle w:val="18"/>
              <w:spacing w:line="360" w:lineRule="auto"/>
              <w:jc w:val="left"/>
              <w:rPr>
                <w:rFonts w:hAnsi="宋体" w:cs="宋体"/>
                <w:sz w:val="21"/>
              </w:rPr>
            </w:pPr>
            <w:r>
              <w:rPr>
                <w:rFonts w:hint="eastAsia" w:hAnsi="宋体" w:cs="宋体"/>
                <w:sz w:val="21"/>
              </w:rPr>
              <w:t>③具有省级（或以上）建设工程质量安全监督部门或其委托的机构、行业协会颁发的检测员证或检测鉴定培训合格证（至少具有一项本项目招标范围中对应的专业），得1分；无则不得分。</w:t>
            </w:r>
          </w:p>
          <w:p>
            <w:pPr>
              <w:rPr>
                <w:rFonts w:ascii="宋体" w:hAnsi="宋体" w:cs="宋体" w:eastAsiaTheme="minorEastAsia"/>
                <w:b/>
                <w:color w:val="auto"/>
                <w:kern w:val="0"/>
                <w:sz w:val="21"/>
                <w:szCs w:val="21"/>
              </w:rPr>
            </w:pPr>
            <w:r>
              <w:rPr>
                <w:rFonts w:hint="eastAsia" w:ascii="宋体" w:hAnsi="宋体" w:eastAsia="宋体" w:cs="宋体"/>
                <w:b/>
                <w:bCs/>
                <w:sz w:val="21"/>
                <w:szCs w:val="21"/>
              </w:rPr>
              <w:t>注：</w:t>
            </w:r>
            <w:r>
              <w:rPr>
                <w:rFonts w:hint="eastAsia" w:ascii="宋体" w:hAnsi="宋体" w:eastAsia="宋体" w:cs="宋体"/>
                <w:sz w:val="21"/>
                <w:szCs w:val="21"/>
              </w:rPr>
              <w:t>须提供注册证（如有）、职称证、检测员证或检测鉴定培训合格证的复印件及投标截止日前六个月投标人为其缴纳的社保证明材料，并加盖公章，否则不得分。</w:t>
            </w:r>
            <w:r>
              <w:rPr>
                <w:rFonts w:hint="eastAsia" w:ascii="宋体" w:hAnsi="宋体" w:eastAsia="宋体" w:cs="宋体"/>
                <w:bCs/>
                <w:color w:val="auto"/>
                <w:sz w:val="21"/>
                <w:szCs w:val="21"/>
              </w:rPr>
              <w:t>（若为联合体投标，按主办方提供的证明资料进行评审）</w:t>
            </w:r>
          </w:p>
          <w:p>
            <w:pPr>
              <w:rPr>
                <w:rFonts w:ascii="宋体" w:hAnsi="宋体" w:cs="宋体"/>
                <w:color w:val="auto"/>
                <w:kern w:val="0"/>
                <w:sz w:val="21"/>
                <w:szCs w:val="21"/>
              </w:rPr>
            </w:pPr>
            <w:r>
              <w:rPr>
                <w:rFonts w:hint="eastAsia" w:ascii="宋体" w:hAnsi="宋体" w:cs="宋体"/>
                <w:b/>
                <w:color w:val="auto"/>
                <w:kern w:val="0"/>
                <w:sz w:val="21"/>
                <w:szCs w:val="21"/>
              </w:rPr>
              <w:t>2、技术负责人（</w:t>
            </w:r>
            <w:r>
              <w:rPr>
                <w:rFonts w:hint="eastAsia" w:ascii="宋体" w:hAnsi="宋体" w:cs="宋体" w:eastAsiaTheme="minorEastAsia"/>
                <w:b/>
                <w:color w:val="auto"/>
                <w:kern w:val="0"/>
                <w:sz w:val="21"/>
                <w:szCs w:val="21"/>
              </w:rPr>
              <w:t>4分</w:t>
            </w:r>
            <w:r>
              <w:rPr>
                <w:rFonts w:hint="eastAsia" w:ascii="宋体" w:hAnsi="宋体" w:cs="宋体"/>
                <w:b/>
                <w:color w:val="auto"/>
                <w:kern w:val="0"/>
                <w:sz w:val="21"/>
                <w:szCs w:val="21"/>
              </w:rPr>
              <w:t>）</w:t>
            </w:r>
            <w:r>
              <w:rPr>
                <w:rFonts w:ascii="宋体" w:hAnsi="宋体" w:cs="宋体"/>
                <w:color w:val="auto"/>
                <w:kern w:val="0"/>
                <w:sz w:val="21"/>
                <w:szCs w:val="21"/>
              </w:rPr>
              <w:t>：</w:t>
            </w:r>
          </w:p>
          <w:p>
            <w:pPr>
              <w:pStyle w:val="18"/>
              <w:spacing w:line="360" w:lineRule="auto"/>
              <w:jc w:val="left"/>
              <w:rPr>
                <w:rFonts w:hAnsi="宋体" w:cs="宋体"/>
                <w:sz w:val="21"/>
              </w:rPr>
            </w:pPr>
            <w:r>
              <w:rPr>
                <w:rFonts w:hint="eastAsia" w:hAnsi="宋体" w:cs="宋体"/>
                <w:sz w:val="21"/>
              </w:rPr>
              <w:t>①具有工程类相关专业高级工程师（或以上）职称或具有注册土木工程师（岩土）或注册结构工程师执业证书，得3分。</w:t>
            </w:r>
          </w:p>
          <w:p>
            <w:pPr>
              <w:pStyle w:val="18"/>
              <w:spacing w:line="360" w:lineRule="auto"/>
              <w:jc w:val="left"/>
              <w:rPr>
                <w:rFonts w:hAnsi="宋体" w:cs="宋体"/>
                <w:sz w:val="21"/>
              </w:rPr>
            </w:pPr>
            <w:r>
              <w:rPr>
                <w:rFonts w:hint="eastAsia" w:hAnsi="宋体" w:cs="宋体"/>
                <w:sz w:val="21"/>
              </w:rPr>
              <w:t>②具有省级（或以上）建设工程质量安全监督部门或其委托的机构、行业协会颁发的检测员证或检测鉴定培训合格证（至少具有一项本项目招标范围中对应的专业），得1分；无则不得分。</w:t>
            </w:r>
          </w:p>
          <w:p>
            <w:pPr>
              <w:rPr>
                <w:rFonts w:ascii="宋体" w:hAnsi="宋体" w:eastAsia="宋体" w:cs="宋体"/>
                <w:bCs/>
                <w:color w:val="auto"/>
                <w:sz w:val="21"/>
                <w:szCs w:val="21"/>
              </w:rPr>
            </w:pPr>
            <w:r>
              <w:rPr>
                <w:rFonts w:hint="eastAsia" w:ascii="宋体" w:hAnsi="宋体" w:eastAsia="宋体" w:cs="宋体"/>
                <w:b/>
                <w:bCs/>
                <w:sz w:val="21"/>
                <w:szCs w:val="21"/>
              </w:rPr>
              <w:t>注：</w:t>
            </w:r>
            <w:r>
              <w:rPr>
                <w:rFonts w:hint="eastAsia" w:ascii="宋体" w:hAnsi="宋体" w:eastAsia="宋体" w:cs="宋体"/>
                <w:sz w:val="21"/>
                <w:szCs w:val="21"/>
              </w:rPr>
              <w:t>须提供职称证、检测员证或检测鉴定培训合格证的复印件及投标截止日前六个月投标人为其缴纳的社保证明材料，并加盖公章，否则不得分。</w:t>
            </w:r>
            <w:r>
              <w:rPr>
                <w:rFonts w:hint="eastAsia" w:ascii="宋体" w:hAnsi="宋体" w:eastAsia="宋体" w:cs="宋体"/>
                <w:bCs/>
                <w:color w:val="auto"/>
                <w:sz w:val="21"/>
                <w:szCs w:val="21"/>
              </w:rPr>
              <w:t>（若为联合体投标，按主办方提供的证明资料进行评审）</w:t>
            </w:r>
          </w:p>
          <w:p>
            <w:pPr>
              <w:rPr>
                <w:rFonts w:ascii="宋体" w:hAnsi="宋体" w:cs="宋体"/>
                <w:color w:val="auto"/>
                <w:kern w:val="0"/>
                <w:sz w:val="21"/>
                <w:szCs w:val="21"/>
              </w:rPr>
            </w:pPr>
            <w:r>
              <w:rPr>
                <w:rFonts w:hint="eastAsia" w:ascii="宋体" w:hAnsi="宋体" w:cs="宋体"/>
                <w:b/>
                <w:color w:val="auto"/>
                <w:kern w:val="0"/>
                <w:sz w:val="21"/>
                <w:szCs w:val="21"/>
              </w:rPr>
              <w:t>3、主要检测技术人员（10分）（不含项目负责人及技术负责人）：</w:t>
            </w:r>
          </w:p>
          <w:p>
            <w:pPr>
              <w:pStyle w:val="18"/>
              <w:spacing w:line="360" w:lineRule="auto"/>
              <w:jc w:val="left"/>
              <w:rPr>
                <w:rFonts w:hAnsi="宋体" w:cs="宋体"/>
                <w:sz w:val="21"/>
              </w:rPr>
            </w:pPr>
            <w:r>
              <w:rPr>
                <w:rFonts w:hint="eastAsia" w:hAnsi="宋体" w:cs="宋体"/>
                <w:sz w:val="21"/>
              </w:rPr>
              <w:t>①具有工程类相关专业中级工程师（或以上）职称，每人得1分，最多得5分；</w:t>
            </w:r>
          </w:p>
          <w:p>
            <w:pPr>
              <w:pStyle w:val="18"/>
              <w:spacing w:line="360" w:lineRule="auto"/>
              <w:jc w:val="left"/>
              <w:rPr>
                <w:rFonts w:hAnsi="宋体" w:cs="宋体"/>
                <w:sz w:val="21"/>
              </w:rPr>
            </w:pPr>
            <w:r>
              <w:rPr>
                <w:rFonts w:hint="eastAsia" w:hAnsi="宋体" w:cs="宋体"/>
                <w:sz w:val="21"/>
              </w:rPr>
              <w:t>②上述人员中具有省级（或以上）建设工程质量安全监督部门或其委托的机构、行业协会颁发的检测员证或检测鉴定培训合格证（至少具有一项本项目招标范围中对应的专业），每人可累计加1分，最多加5分。</w:t>
            </w:r>
          </w:p>
          <w:p>
            <w:pPr>
              <w:spacing w:after="0" w:line="276" w:lineRule="auto"/>
              <w:rPr>
                <w:rFonts w:ascii="宋体" w:hAnsi="宋体" w:eastAsia="宋体" w:cs="宋体"/>
                <w:color w:val="auto"/>
                <w:kern w:val="0"/>
                <w:sz w:val="21"/>
                <w:szCs w:val="21"/>
              </w:rPr>
            </w:pPr>
            <w:r>
              <w:rPr>
                <w:rFonts w:hint="eastAsia" w:ascii="宋体" w:hAnsi="宋体" w:eastAsia="宋体" w:cs="宋体"/>
                <w:b/>
                <w:bCs/>
                <w:sz w:val="21"/>
                <w:szCs w:val="21"/>
              </w:rPr>
              <w:t>注：</w:t>
            </w:r>
            <w:r>
              <w:rPr>
                <w:rFonts w:hint="eastAsia" w:ascii="宋体" w:hAnsi="宋体" w:eastAsia="宋体" w:cs="宋体"/>
                <w:sz w:val="21"/>
                <w:szCs w:val="21"/>
              </w:rPr>
              <w:t>须提供职称证、检测员证或检测鉴定培训合格证的复印件及投标截止日前六个月投标人为其缴纳的社保证明材料，并加盖公章，否则不得分。</w:t>
            </w:r>
            <w:r>
              <w:rPr>
                <w:rFonts w:hint="eastAsia" w:ascii="宋体" w:hAnsi="宋体" w:eastAsia="宋体" w:cs="宋体"/>
                <w:bCs/>
                <w:color w:val="auto"/>
                <w:sz w:val="21"/>
                <w:szCs w:val="21"/>
              </w:rPr>
              <w:t>（若为联合体投标，可按联合体各方提供的证明资料进行评审）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741" w:type="dxa"/>
            <w:vMerge w:val="continue"/>
            <w:noWrap/>
            <w:vAlign w:val="center"/>
          </w:tcPr>
          <w:p>
            <w:pPr>
              <w:spacing w:after="0" w:line="276" w:lineRule="auto"/>
              <w:ind w:firstLine="360"/>
              <w:rPr>
                <w:rFonts w:ascii="宋体" w:hAnsi="宋体" w:eastAsia="宋体" w:cs="宋体"/>
                <w:bCs/>
                <w:color w:val="auto"/>
                <w:sz w:val="21"/>
                <w:szCs w:val="21"/>
              </w:rPr>
            </w:pPr>
          </w:p>
        </w:tc>
        <w:tc>
          <w:tcPr>
            <w:tcW w:w="1068" w:type="dxa"/>
            <w:vMerge w:val="continue"/>
            <w:noWrap/>
            <w:vAlign w:val="center"/>
          </w:tcPr>
          <w:p>
            <w:pPr>
              <w:spacing w:after="0" w:line="276" w:lineRule="auto"/>
              <w:ind w:firstLine="360"/>
              <w:rPr>
                <w:rFonts w:ascii="宋体" w:hAnsi="宋体" w:eastAsia="宋体" w:cs="宋体"/>
                <w:bCs/>
                <w:color w:val="auto"/>
                <w:sz w:val="21"/>
                <w:szCs w:val="21"/>
              </w:rPr>
            </w:pPr>
          </w:p>
        </w:tc>
        <w:tc>
          <w:tcPr>
            <w:tcW w:w="1701" w:type="dxa"/>
            <w:noWrap/>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拟投入的检测、监测设备</w:t>
            </w:r>
          </w:p>
          <w:p>
            <w:pPr>
              <w:spacing w:after="0" w:line="276" w:lineRule="auto"/>
              <w:ind w:firstLine="360"/>
              <w:rPr>
                <w:rFonts w:ascii="宋体" w:hAnsi="宋体" w:eastAsia="宋体" w:cs="宋体"/>
                <w:bCs/>
                <w:color w:val="auto"/>
                <w:sz w:val="21"/>
                <w:szCs w:val="21"/>
              </w:rPr>
            </w:pPr>
            <w:r>
              <w:rPr>
                <w:rFonts w:hint="eastAsia" w:ascii="宋体" w:hAnsi="宋体" w:cs="宋体"/>
                <w:color w:val="auto"/>
                <w:kern w:val="0"/>
                <w:sz w:val="21"/>
                <w:szCs w:val="21"/>
              </w:rPr>
              <w:t>（5分）</w:t>
            </w:r>
          </w:p>
        </w:tc>
        <w:tc>
          <w:tcPr>
            <w:tcW w:w="5387" w:type="dxa"/>
            <w:noWrap/>
            <w:vAlign w:val="center"/>
          </w:tcPr>
          <w:p>
            <w:pPr>
              <w:pStyle w:val="18"/>
              <w:spacing w:line="360" w:lineRule="auto"/>
              <w:jc w:val="left"/>
              <w:rPr>
                <w:rFonts w:hAnsi="宋体" w:cs="宋体"/>
                <w:sz w:val="21"/>
                <w:lang w:bidi="zh-CN"/>
              </w:rPr>
            </w:pPr>
            <w:r>
              <w:rPr>
                <w:rFonts w:hint="eastAsia" w:hAnsi="宋体" w:cs="宋体"/>
                <w:sz w:val="21"/>
                <w:lang w:bidi="zh-CN"/>
              </w:rPr>
              <w:t>优：设备齐全、先进、现代化，满足本项目招标需求，年检合格，设备全部属于自有，得5分；</w:t>
            </w:r>
          </w:p>
          <w:p>
            <w:pPr>
              <w:pStyle w:val="18"/>
              <w:spacing w:line="360" w:lineRule="auto"/>
              <w:jc w:val="left"/>
              <w:rPr>
                <w:rFonts w:hAnsi="宋体" w:cs="宋体"/>
                <w:sz w:val="21"/>
                <w:lang w:bidi="zh-CN"/>
              </w:rPr>
            </w:pPr>
            <w:r>
              <w:rPr>
                <w:rFonts w:hint="eastAsia" w:hAnsi="宋体" w:cs="宋体"/>
                <w:sz w:val="21"/>
                <w:lang w:bidi="zh-CN"/>
              </w:rPr>
              <w:t>良：设备齐全，满足本项目招标需求，年检合格，80%（含）以上设备属于自有，得2-3分；</w:t>
            </w:r>
          </w:p>
          <w:p>
            <w:pPr>
              <w:pStyle w:val="18"/>
              <w:spacing w:line="360" w:lineRule="auto"/>
              <w:jc w:val="left"/>
              <w:rPr>
                <w:rFonts w:hAnsi="宋体" w:cs="宋体"/>
                <w:sz w:val="21"/>
                <w:lang w:bidi="zh-CN"/>
              </w:rPr>
            </w:pPr>
            <w:r>
              <w:rPr>
                <w:rFonts w:hint="eastAsia" w:hAnsi="宋体" w:cs="宋体"/>
                <w:sz w:val="21"/>
                <w:lang w:bidi="zh-CN"/>
              </w:rPr>
              <w:t>差：设备不能满足本项目招标需求，50%（不含）以下设备属于自有，得0-1分。</w:t>
            </w:r>
          </w:p>
          <w:p>
            <w:pPr>
              <w:spacing w:after="0" w:line="276" w:lineRule="auto"/>
              <w:rPr>
                <w:rFonts w:ascii="宋体" w:hAnsi="宋体" w:eastAsia="宋体" w:cs="宋体"/>
                <w:sz w:val="21"/>
                <w:szCs w:val="21"/>
              </w:rPr>
            </w:pPr>
            <w:r>
              <w:rPr>
                <w:rFonts w:hint="eastAsia" w:ascii="宋体" w:hAnsi="宋体" w:eastAsia="宋体" w:cs="宋体"/>
                <w:b/>
                <w:bCs/>
                <w:sz w:val="21"/>
                <w:szCs w:val="21"/>
              </w:rPr>
              <w:t>注：</w:t>
            </w:r>
            <w:r>
              <w:rPr>
                <w:rFonts w:ascii="宋体" w:hAnsi="宋体" w:eastAsia="宋体" w:cs="宋体"/>
                <w:sz w:val="21"/>
                <w:szCs w:val="21"/>
              </w:rPr>
              <w:t>拟投入的检测、监测设备</w:t>
            </w:r>
            <w:r>
              <w:rPr>
                <w:rFonts w:hint="eastAsia" w:ascii="宋体" w:hAnsi="宋体" w:eastAsia="宋体" w:cs="宋体"/>
                <w:sz w:val="21"/>
                <w:szCs w:val="21"/>
              </w:rPr>
              <w:t>详见《</w:t>
            </w:r>
            <w:r>
              <w:rPr>
                <w:rFonts w:ascii="宋体" w:hAnsi="宋体" w:eastAsia="宋体" w:cs="宋体"/>
                <w:sz w:val="21"/>
                <w:szCs w:val="21"/>
              </w:rPr>
              <w:t>拟投入的检测、监测设备</w:t>
            </w:r>
            <w:r>
              <w:rPr>
                <w:rFonts w:hint="eastAsia" w:ascii="宋体" w:hAnsi="宋体" w:eastAsia="宋体" w:cs="宋体"/>
                <w:sz w:val="21"/>
                <w:szCs w:val="21"/>
              </w:rPr>
              <w:t>》表。须提供设备购置发票（或租赁合同）和检定/校准证书的复印件，并加盖公章，否则不得分。</w:t>
            </w:r>
          </w:p>
          <w:p>
            <w:pPr>
              <w:spacing w:after="0" w:line="276"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41" w:type="dxa"/>
            <w:noWrap/>
            <w:vAlign w:val="center"/>
          </w:tcPr>
          <w:p>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2.2.4</w:t>
            </w:r>
          </w:p>
          <w:p>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（2）</w:t>
            </w:r>
          </w:p>
        </w:tc>
        <w:tc>
          <w:tcPr>
            <w:tcW w:w="1068" w:type="dxa"/>
            <w:noWrap/>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方案部分评分标准</w:t>
            </w:r>
          </w:p>
          <w:p>
            <w:pPr>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eastAsiaTheme="minorEastAsia"/>
                <w:color w:val="auto"/>
                <w:kern w:val="0"/>
                <w:sz w:val="24"/>
                <w:szCs w:val="24"/>
              </w:rPr>
              <w:t>15</w:t>
            </w:r>
            <w:r>
              <w:rPr>
                <w:rFonts w:hint="eastAsia" w:ascii="宋体" w:hAnsi="宋体" w:cs="宋体"/>
                <w:color w:val="auto"/>
                <w:kern w:val="0"/>
                <w:sz w:val="24"/>
                <w:szCs w:val="24"/>
              </w:rPr>
              <w:t>分）</w:t>
            </w:r>
          </w:p>
        </w:tc>
        <w:tc>
          <w:tcPr>
            <w:tcW w:w="1701" w:type="dxa"/>
            <w:noWrap/>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检测、监测方案纲要</w:t>
            </w:r>
          </w:p>
          <w:p>
            <w:pPr>
              <w:jc w:val="center"/>
              <w:rPr>
                <w:rFonts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eastAsiaTheme="minorEastAsia"/>
                <w:color w:val="auto"/>
                <w:kern w:val="0"/>
                <w:sz w:val="21"/>
                <w:szCs w:val="21"/>
              </w:rPr>
              <w:t>15</w:t>
            </w:r>
            <w:r>
              <w:rPr>
                <w:rFonts w:hint="eastAsia" w:ascii="宋体" w:hAnsi="宋体" w:cs="宋体"/>
                <w:color w:val="auto"/>
                <w:kern w:val="0"/>
                <w:sz w:val="21"/>
                <w:szCs w:val="21"/>
              </w:rPr>
              <w:t>分）</w:t>
            </w:r>
          </w:p>
        </w:tc>
        <w:tc>
          <w:tcPr>
            <w:tcW w:w="5387" w:type="dxa"/>
            <w:noWrap/>
            <w:vAlign w:val="center"/>
          </w:tcPr>
          <w:p>
            <w:pPr>
              <w:ind w:firstLine="317" w:firstLineChars="151"/>
              <w:rPr>
                <w:rFonts w:ascii="宋体" w:hAnsi="宋体" w:cs="宋体"/>
                <w:color w:val="auto"/>
                <w:kern w:val="0"/>
                <w:sz w:val="21"/>
                <w:szCs w:val="21"/>
              </w:rPr>
            </w:pPr>
            <w:r>
              <w:rPr>
                <w:rFonts w:hint="eastAsia" w:ascii="宋体" w:hAnsi="宋体" w:cs="宋体"/>
                <w:color w:val="auto"/>
                <w:kern w:val="0"/>
                <w:sz w:val="21"/>
                <w:szCs w:val="21"/>
              </w:rPr>
              <w:t>优：检测、监测方案详细、具体，内容齐全，方法合理可行，能满足本工程提出的所有项目，有合理可行的保证通过相关验收、满足工程进度、质量和安全确保措施，得</w:t>
            </w:r>
            <w:r>
              <w:rPr>
                <w:rFonts w:hint="eastAsia" w:ascii="宋体" w:hAnsi="宋体" w:cs="宋体" w:eastAsiaTheme="minorEastAsia"/>
                <w:color w:val="auto"/>
                <w:kern w:val="0"/>
                <w:sz w:val="21"/>
                <w:szCs w:val="21"/>
              </w:rPr>
              <w:t>11</w:t>
            </w:r>
            <w:r>
              <w:rPr>
                <w:rFonts w:hint="eastAsia" w:ascii="宋体" w:hAnsi="宋体" w:cs="宋体"/>
                <w:color w:val="auto"/>
                <w:kern w:val="0"/>
                <w:sz w:val="21"/>
                <w:szCs w:val="21"/>
              </w:rPr>
              <w:t>-</w:t>
            </w:r>
            <w:r>
              <w:rPr>
                <w:rFonts w:hint="eastAsia" w:ascii="宋体" w:hAnsi="宋体" w:cs="宋体" w:eastAsiaTheme="minorEastAsia"/>
                <w:color w:val="auto"/>
                <w:kern w:val="0"/>
                <w:sz w:val="21"/>
                <w:szCs w:val="21"/>
              </w:rPr>
              <w:t>15</w:t>
            </w:r>
            <w:r>
              <w:rPr>
                <w:rFonts w:hint="eastAsia" w:ascii="宋体" w:hAnsi="宋体" w:cs="宋体"/>
                <w:color w:val="auto"/>
                <w:kern w:val="0"/>
                <w:sz w:val="21"/>
                <w:szCs w:val="21"/>
              </w:rPr>
              <w:t>分；</w:t>
            </w:r>
          </w:p>
          <w:p>
            <w:pPr>
              <w:ind w:firstLine="317" w:firstLineChars="151"/>
              <w:rPr>
                <w:rFonts w:ascii="宋体" w:hAnsi="宋体" w:cs="宋体"/>
                <w:color w:val="auto"/>
                <w:kern w:val="0"/>
                <w:sz w:val="21"/>
                <w:szCs w:val="21"/>
              </w:rPr>
            </w:pPr>
            <w:r>
              <w:rPr>
                <w:rFonts w:hint="eastAsia" w:ascii="宋体" w:hAnsi="宋体" w:cs="宋体"/>
                <w:color w:val="auto"/>
                <w:kern w:val="0"/>
                <w:sz w:val="21"/>
                <w:szCs w:val="21"/>
              </w:rPr>
              <w:t>良：检测、监测方案较详细、较具体，内容较齐全，方法较合理可行，有比较可行的保证通过相关验收、满足工程进度、质量和安全确保措施，得</w:t>
            </w:r>
            <w:r>
              <w:rPr>
                <w:rFonts w:hint="eastAsia" w:ascii="宋体" w:hAnsi="宋体" w:cs="宋体" w:eastAsiaTheme="minorEastAsia"/>
                <w:color w:val="auto"/>
                <w:kern w:val="0"/>
                <w:sz w:val="21"/>
                <w:szCs w:val="21"/>
              </w:rPr>
              <w:t>6</w:t>
            </w:r>
            <w:r>
              <w:rPr>
                <w:rFonts w:hint="eastAsia" w:ascii="宋体" w:hAnsi="宋体" w:cs="宋体"/>
                <w:color w:val="auto"/>
                <w:kern w:val="0"/>
                <w:sz w:val="21"/>
                <w:szCs w:val="21"/>
              </w:rPr>
              <w:t>-1</w:t>
            </w:r>
            <w:r>
              <w:rPr>
                <w:rFonts w:hint="eastAsia" w:ascii="宋体" w:hAnsi="宋体" w:cs="宋体" w:eastAsiaTheme="minorEastAsia"/>
                <w:color w:val="auto"/>
                <w:kern w:val="0"/>
                <w:sz w:val="21"/>
                <w:szCs w:val="21"/>
              </w:rPr>
              <w:t>0</w:t>
            </w:r>
            <w:r>
              <w:rPr>
                <w:rFonts w:hint="eastAsia" w:ascii="宋体" w:hAnsi="宋体" w:cs="宋体"/>
                <w:color w:val="auto"/>
                <w:kern w:val="0"/>
                <w:sz w:val="21"/>
                <w:szCs w:val="21"/>
              </w:rPr>
              <w:t>分；</w:t>
            </w:r>
          </w:p>
          <w:p>
            <w:pPr>
              <w:ind w:firstLine="317" w:firstLineChars="151"/>
              <w:rPr>
                <w:rFonts w:ascii="宋体" w:hAnsi="宋体" w:cs="宋体"/>
                <w:color w:val="auto"/>
                <w:kern w:val="0"/>
                <w:sz w:val="21"/>
                <w:szCs w:val="21"/>
              </w:rPr>
            </w:pPr>
            <w:r>
              <w:rPr>
                <w:rFonts w:hint="eastAsia" w:ascii="宋体" w:hAnsi="宋体" w:cs="宋体"/>
                <w:color w:val="auto"/>
                <w:kern w:val="0"/>
                <w:sz w:val="21"/>
                <w:szCs w:val="21"/>
              </w:rPr>
              <w:t>中：检测、监测方案基本内容满足要求，方法符合规范要求，有能通过相关验收、满足工程进度、质量和安全的确保措施，得3-</w:t>
            </w:r>
            <w:r>
              <w:rPr>
                <w:rFonts w:hint="eastAsia" w:ascii="宋体" w:hAnsi="宋体" w:cs="宋体" w:eastAsiaTheme="minorEastAsia"/>
                <w:color w:val="auto"/>
                <w:kern w:val="0"/>
                <w:sz w:val="21"/>
                <w:szCs w:val="21"/>
              </w:rPr>
              <w:t>5</w:t>
            </w:r>
            <w:r>
              <w:rPr>
                <w:rFonts w:hint="eastAsia" w:ascii="宋体" w:hAnsi="宋体" w:cs="宋体"/>
                <w:color w:val="auto"/>
                <w:kern w:val="0"/>
                <w:sz w:val="21"/>
                <w:szCs w:val="21"/>
              </w:rPr>
              <w:t>分；</w:t>
            </w:r>
          </w:p>
          <w:p>
            <w:pPr>
              <w:ind w:firstLine="317" w:firstLineChars="151"/>
              <w:rPr>
                <w:rFonts w:ascii="宋体" w:hAnsi="宋体" w:cs="宋体"/>
                <w:color w:val="auto"/>
                <w:kern w:val="0"/>
                <w:sz w:val="21"/>
                <w:szCs w:val="21"/>
              </w:rPr>
            </w:pPr>
            <w:r>
              <w:rPr>
                <w:rFonts w:hint="eastAsia" w:ascii="宋体" w:hAnsi="宋体" w:cs="宋体"/>
                <w:color w:val="auto"/>
                <w:kern w:val="0"/>
                <w:sz w:val="21"/>
                <w:szCs w:val="21"/>
              </w:rPr>
              <w:t>差：检测、监测方案基本内容阐述缺项，方法基本不能满足检测要求，得0-2分。</w:t>
            </w:r>
          </w:p>
          <w:p>
            <w:pPr>
              <w:spacing w:after="0" w:line="276" w:lineRule="auto"/>
              <w:rPr>
                <w:rFonts w:ascii="宋体" w:hAnsi="宋体" w:eastAsia="宋体" w:cs="宋体"/>
                <w:color w:val="auto"/>
                <w:sz w:val="21"/>
                <w:szCs w:val="21"/>
              </w:rPr>
            </w:pPr>
            <w:r>
              <w:rPr>
                <w:rFonts w:hint="eastAsia" w:ascii="宋体" w:hAnsi="宋体" w:cs="宋体"/>
                <w:color w:val="auto"/>
                <w:kern w:val="0"/>
                <w:sz w:val="21"/>
                <w:szCs w:val="21"/>
              </w:rPr>
              <w:t>没有提供方案不得分，本项最高可得</w:t>
            </w:r>
            <w:r>
              <w:rPr>
                <w:rFonts w:hint="eastAsia" w:ascii="宋体" w:hAnsi="宋体" w:cs="宋体" w:eastAsiaTheme="minorEastAsia"/>
                <w:color w:val="auto"/>
                <w:kern w:val="0"/>
                <w:sz w:val="21"/>
                <w:szCs w:val="21"/>
              </w:rPr>
              <w:t>15</w:t>
            </w:r>
            <w:r>
              <w:rPr>
                <w:rFonts w:hint="eastAsia" w:ascii="宋体" w:hAnsi="宋体" w:cs="宋体"/>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41" w:type="dxa"/>
            <w:noWrap/>
            <w:vAlign w:val="center"/>
          </w:tcPr>
          <w:p>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2.2.4</w:t>
            </w:r>
          </w:p>
          <w:p>
            <w:pPr>
              <w:rPr>
                <w:rFonts w:ascii="宋体" w:hAnsi="宋体" w:cs="宋体"/>
                <w:color w:val="auto"/>
                <w:kern w:val="0"/>
                <w:sz w:val="24"/>
                <w:szCs w:val="24"/>
              </w:rPr>
            </w:pPr>
            <w:r>
              <w:rPr>
                <w:rFonts w:hint="eastAsia" w:ascii="宋体" w:hAnsi="宋体" w:eastAsia="宋体" w:cs="宋体"/>
                <w:color w:val="auto"/>
                <w:sz w:val="21"/>
                <w:szCs w:val="21"/>
              </w:rPr>
              <w:t>（3）</w:t>
            </w:r>
          </w:p>
        </w:tc>
        <w:tc>
          <w:tcPr>
            <w:tcW w:w="1068" w:type="dxa"/>
            <w:noWrap/>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投标报价评分标准</w:t>
            </w:r>
          </w:p>
          <w:p>
            <w:pPr>
              <w:ind w:firstLine="7"/>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eastAsia="宋体" w:cs="宋体"/>
                <w:color w:val="auto"/>
                <w:kern w:val="0"/>
                <w:sz w:val="24"/>
                <w:szCs w:val="24"/>
              </w:rPr>
              <w:t>20</w:t>
            </w:r>
            <w:r>
              <w:rPr>
                <w:rFonts w:hint="eastAsia" w:ascii="宋体" w:hAnsi="宋体" w:cs="宋体"/>
                <w:color w:val="auto"/>
                <w:kern w:val="0"/>
                <w:sz w:val="24"/>
                <w:szCs w:val="24"/>
              </w:rPr>
              <w:t>分）</w:t>
            </w:r>
          </w:p>
        </w:tc>
        <w:tc>
          <w:tcPr>
            <w:tcW w:w="1701" w:type="dxa"/>
            <w:noWrap/>
            <w:vAlign w:val="center"/>
          </w:tcPr>
          <w:p>
            <w:pPr>
              <w:ind w:hanging="3"/>
              <w:jc w:val="center"/>
              <w:rPr>
                <w:rFonts w:ascii="宋体" w:hAnsi="宋体" w:cs="宋体"/>
                <w:color w:val="auto"/>
                <w:kern w:val="0"/>
                <w:sz w:val="21"/>
                <w:szCs w:val="21"/>
              </w:rPr>
            </w:pPr>
            <w:r>
              <w:rPr>
                <w:rFonts w:hint="eastAsia" w:ascii="宋体" w:hAnsi="宋体" w:cs="宋体"/>
                <w:color w:val="auto"/>
                <w:kern w:val="0"/>
                <w:sz w:val="21"/>
                <w:szCs w:val="21"/>
              </w:rPr>
              <w:t>计算方法</w:t>
            </w:r>
          </w:p>
        </w:tc>
        <w:tc>
          <w:tcPr>
            <w:tcW w:w="5387" w:type="dxa"/>
            <w:noWrap/>
            <w:vAlign w:val="center"/>
          </w:tcPr>
          <w:p>
            <w:pPr>
              <w:ind w:firstLine="420" w:firstLineChars="200"/>
              <w:rPr>
                <w:rFonts w:ascii="宋体" w:hAnsi="宋体" w:cs="宋体"/>
                <w:color w:val="auto"/>
                <w:kern w:val="0"/>
                <w:sz w:val="21"/>
                <w:szCs w:val="21"/>
              </w:rPr>
            </w:pPr>
            <w:r>
              <w:rPr>
                <w:rFonts w:hint="eastAsia" w:ascii="宋体" w:hAnsi="宋体" w:cs="宋体"/>
                <w:color w:val="auto"/>
                <w:kern w:val="0"/>
                <w:sz w:val="21"/>
                <w:szCs w:val="21"/>
              </w:rPr>
              <w:t>投标报价得分以评标基准价作为计算各有效投标报价得分的基础，当有效投标报价等于评标基准价时得</w:t>
            </w:r>
            <w:r>
              <w:rPr>
                <w:rFonts w:hint="eastAsia" w:ascii="宋体" w:hAnsi="宋体" w:eastAsia="宋体" w:cs="宋体"/>
                <w:color w:val="auto"/>
                <w:kern w:val="0"/>
                <w:sz w:val="21"/>
                <w:szCs w:val="21"/>
              </w:rPr>
              <w:t>20</w:t>
            </w:r>
            <w:r>
              <w:rPr>
                <w:rFonts w:hint="eastAsia" w:ascii="宋体" w:hAnsi="宋体" w:cs="宋体"/>
                <w:color w:val="auto"/>
                <w:kern w:val="0"/>
                <w:sz w:val="21"/>
                <w:szCs w:val="21"/>
              </w:rPr>
              <w:t>分；有效投标报价每高出评标基准价1%减1分，每低于评标基准价1%减0.</w:t>
            </w:r>
            <w:r>
              <w:rPr>
                <w:rFonts w:hint="eastAsia" w:ascii="宋体" w:hAnsi="宋体" w:cs="宋体" w:eastAsiaTheme="minorEastAsia"/>
                <w:color w:val="auto"/>
                <w:kern w:val="0"/>
                <w:sz w:val="21"/>
                <w:szCs w:val="21"/>
              </w:rPr>
              <w:t>5</w:t>
            </w:r>
            <w:r>
              <w:rPr>
                <w:rFonts w:hint="eastAsia" w:ascii="宋体" w:hAnsi="宋体" w:cs="宋体"/>
                <w:color w:val="auto"/>
                <w:kern w:val="0"/>
                <w:sz w:val="21"/>
                <w:szCs w:val="21"/>
              </w:rPr>
              <w:t>分，最多减至0分止，计算出报价得分。</w:t>
            </w:r>
          </w:p>
        </w:tc>
      </w:tr>
    </w:tbl>
    <w:p>
      <w:pPr>
        <w:rPr>
          <w:rFonts w:eastAsia="宋体"/>
        </w:rPr>
      </w:pPr>
      <w:bookmarkStart w:id="199" w:name="_Toc508788673"/>
      <w:bookmarkStart w:id="200" w:name="_Toc508382156"/>
      <w:r>
        <w:rPr>
          <w:rFonts w:hint="eastAsia" w:ascii="宋体" w:hAnsi="宋体" w:eastAsia="宋体"/>
          <w:color w:val="auto"/>
          <w:sz w:val="21"/>
        </w:rPr>
        <w:t>投标人的得分为各评委评分的算术平均分。评分分数出现小数点时，保留小数点后二位，第三位小数四舍五入。</w:t>
      </w:r>
    </w:p>
    <w:p>
      <w:pPr>
        <w:pStyle w:val="4"/>
        <w:spacing w:after="503" w:line="264" w:lineRule="auto"/>
        <w:ind w:left="-5" w:right="0"/>
        <w:rPr>
          <w:rFonts w:ascii="宋体" w:hAnsi="宋体" w:eastAsia="宋体" w:cs="宋体"/>
          <w:color w:val="auto"/>
          <w:sz w:val="32"/>
          <w:szCs w:val="32"/>
        </w:rPr>
      </w:pPr>
      <w:bookmarkStart w:id="201" w:name="_Toc142406636"/>
      <w:r>
        <w:rPr>
          <w:rFonts w:hint="eastAsia" w:ascii="宋体" w:hAnsi="宋体" w:eastAsia="宋体" w:cs="宋体"/>
          <w:b/>
          <w:color w:val="auto"/>
          <w:sz w:val="32"/>
        </w:rPr>
        <w:t>1. 评标方法</w:t>
      </w:r>
      <w:bookmarkEnd w:id="199"/>
      <w:bookmarkEnd w:id="200"/>
      <w:bookmarkEnd w:id="201"/>
    </w:p>
    <w:p>
      <w:pPr>
        <w:pStyle w:val="5"/>
        <w:spacing w:after="281" w:line="360" w:lineRule="auto"/>
        <w:ind w:left="0" w:right="0" w:firstLine="420" w:firstLineChars="200"/>
        <w:rPr>
          <w:rFonts w:ascii="宋体" w:hAnsi="宋体" w:eastAsia="宋体" w:cs="宋体"/>
          <w:kern w:val="2"/>
          <w:sz w:val="21"/>
          <w:szCs w:val="22"/>
        </w:rPr>
      </w:pPr>
      <w:bookmarkStart w:id="202" w:name="_Toc142406637"/>
      <w:bookmarkStart w:id="203" w:name="_Toc508382157"/>
      <w:bookmarkStart w:id="204" w:name="_Toc508788674"/>
      <w:r>
        <w:rPr>
          <w:rFonts w:hint="eastAsia" w:ascii="宋体" w:hAnsi="宋体" w:eastAsia="宋体" w:cs="宋体"/>
          <w:color w:val="auto"/>
          <w:kern w:val="2"/>
          <w:sz w:val="21"/>
          <w:szCs w:val="22"/>
        </w:rPr>
        <w:t>本次评标采用综合评估法。评标委员会对满足招标文件实质性要求的投标文件，按照本章第2.2款规定的评分标准进行打分，并按得分由高到低顺序推荐中标候选人，或根据招标人授权直接确定中标</w:t>
      </w:r>
      <w:r>
        <w:rPr>
          <w:rFonts w:hint="eastAsia" w:ascii="宋体" w:hAnsi="宋体" w:eastAsia="宋体" w:cs="宋体"/>
          <w:kern w:val="2"/>
          <w:sz w:val="21"/>
          <w:szCs w:val="22"/>
        </w:rPr>
        <w:t>人，但投标报价低于其成本的除</w:t>
      </w:r>
      <w:bookmarkStart w:id="205" w:name="_Toc300835008"/>
      <w:bookmarkStart w:id="206" w:name="_Toc247527623"/>
      <w:bookmarkStart w:id="207" w:name="_Toc144974565"/>
      <w:bookmarkStart w:id="208" w:name="_Toc361508646"/>
      <w:bookmarkStart w:id="209" w:name="_Toc247514022"/>
      <w:bookmarkStart w:id="210" w:name="_Toc152045598"/>
      <w:bookmarkStart w:id="211" w:name="_Toc384308272"/>
      <w:bookmarkStart w:id="212" w:name="_Toc152042375"/>
      <w:bookmarkStart w:id="213" w:name="_Toc4497"/>
      <w:bookmarkStart w:id="214" w:name="_Toc352691533"/>
      <w:bookmarkStart w:id="215" w:name="_Toc369531577"/>
      <w:r>
        <w:rPr>
          <w:rFonts w:hint="eastAsia" w:ascii="宋体" w:hAnsi="宋体" w:eastAsia="宋体" w:cs="宋体"/>
          <w:kern w:val="2"/>
          <w:sz w:val="21"/>
          <w:szCs w:val="22"/>
        </w:rPr>
        <w:t>外。综合评分相等</w:t>
      </w:r>
      <w:bookmarkEnd w:id="205"/>
      <w:bookmarkEnd w:id="206"/>
      <w:bookmarkEnd w:id="207"/>
      <w:bookmarkEnd w:id="208"/>
      <w:bookmarkEnd w:id="209"/>
      <w:bookmarkEnd w:id="210"/>
      <w:bookmarkEnd w:id="211"/>
      <w:bookmarkEnd w:id="212"/>
      <w:r>
        <w:rPr>
          <w:rFonts w:hint="eastAsia" w:ascii="宋体" w:hAnsi="宋体" w:eastAsia="宋体" w:cs="宋体"/>
          <w:kern w:val="2"/>
          <w:sz w:val="21"/>
          <w:szCs w:val="22"/>
        </w:rPr>
        <w:t>时，以投标报价低的</w:t>
      </w:r>
      <w:bookmarkEnd w:id="213"/>
      <w:bookmarkEnd w:id="214"/>
      <w:bookmarkEnd w:id="215"/>
      <w:r>
        <w:rPr>
          <w:rFonts w:hint="eastAsia" w:ascii="宋体" w:hAnsi="宋体" w:eastAsia="宋体" w:cs="宋体"/>
          <w:kern w:val="2"/>
          <w:sz w:val="21"/>
          <w:szCs w:val="22"/>
        </w:rPr>
        <w:t>优</w:t>
      </w:r>
      <w:bookmarkStart w:id="216" w:name="_Toc152045599"/>
      <w:bookmarkStart w:id="217" w:name="_Toc361508647"/>
      <w:bookmarkStart w:id="218" w:name="_Toc152042376"/>
      <w:bookmarkStart w:id="219" w:name="_Toc384308273"/>
      <w:bookmarkStart w:id="220" w:name="_Toc144974566"/>
      <w:bookmarkStart w:id="221" w:name="_Toc300835009"/>
      <w:bookmarkStart w:id="222" w:name="_Toc352691534"/>
      <w:bookmarkStart w:id="223" w:name="_Toc247527624"/>
      <w:bookmarkStart w:id="224" w:name="_Toc369531578"/>
      <w:bookmarkStart w:id="225" w:name="_Toc39"/>
      <w:bookmarkStart w:id="226" w:name="_Toc247514023"/>
      <w:r>
        <w:rPr>
          <w:rFonts w:hint="eastAsia" w:ascii="宋体" w:hAnsi="宋体" w:eastAsia="宋体" w:cs="宋体"/>
          <w:kern w:val="2"/>
          <w:sz w:val="21"/>
          <w:szCs w:val="22"/>
        </w:rPr>
        <w:t>先；投标报价也相等</w:t>
      </w:r>
      <w:bookmarkEnd w:id="216"/>
      <w:bookmarkEnd w:id="217"/>
      <w:bookmarkEnd w:id="218"/>
      <w:bookmarkEnd w:id="219"/>
      <w:bookmarkEnd w:id="220"/>
      <w:bookmarkEnd w:id="221"/>
      <w:bookmarkEnd w:id="222"/>
      <w:bookmarkEnd w:id="223"/>
      <w:bookmarkEnd w:id="224"/>
      <w:bookmarkEnd w:id="225"/>
      <w:bookmarkEnd w:id="226"/>
      <w:r>
        <w:rPr>
          <w:rFonts w:hint="eastAsia" w:ascii="宋体" w:hAnsi="宋体" w:eastAsia="宋体" w:cs="宋体"/>
          <w:kern w:val="2"/>
          <w:sz w:val="21"/>
          <w:szCs w:val="22"/>
        </w:rPr>
        <w:t>的，以检测、监测方案得分高的优先；如果检测、监测方案得分也相等，按照评标办法前附表的规定确定中标候选人顺序。</w:t>
      </w:r>
      <w:bookmarkEnd w:id="202"/>
    </w:p>
    <w:p>
      <w:pPr>
        <w:pStyle w:val="4"/>
        <w:spacing w:after="503" w:line="264" w:lineRule="auto"/>
        <w:ind w:left="-5" w:right="0"/>
        <w:rPr>
          <w:rFonts w:ascii="宋体" w:hAnsi="宋体" w:eastAsia="宋体" w:cs="宋体"/>
          <w:color w:val="auto"/>
        </w:rPr>
      </w:pPr>
      <w:bookmarkStart w:id="227" w:name="_Toc142406638"/>
      <w:r>
        <w:rPr>
          <w:rFonts w:hint="eastAsia" w:ascii="宋体" w:hAnsi="宋体" w:eastAsia="宋体" w:cs="宋体"/>
          <w:b/>
          <w:color w:val="auto"/>
          <w:sz w:val="32"/>
        </w:rPr>
        <w:t xml:space="preserve">2. </w:t>
      </w:r>
      <w:r>
        <w:rPr>
          <w:rFonts w:hint="eastAsia" w:ascii="宋体" w:hAnsi="宋体" w:eastAsia="宋体" w:cs="宋体"/>
          <w:color w:val="auto"/>
          <w:sz w:val="32"/>
        </w:rPr>
        <w:t>评审标准</w:t>
      </w:r>
      <w:bookmarkEnd w:id="203"/>
      <w:bookmarkEnd w:id="204"/>
      <w:bookmarkEnd w:id="227"/>
    </w:p>
    <w:p>
      <w:pPr>
        <w:pStyle w:val="5"/>
        <w:spacing w:after="281"/>
        <w:ind w:left="132" w:right="0"/>
        <w:rPr>
          <w:rFonts w:ascii="宋体" w:hAnsi="宋体" w:eastAsia="宋体" w:cs="宋体"/>
          <w:color w:val="auto"/>
          <w:kern w:val="2"/>
          <w:sz w:val="21"/>
          <w:szCs w:val="22"/>
        </w:rPr>
      </w:pPr>
      <w:bookmarkStart w:id="228" w:name="_Toc508788675"/>
      <w:bookmarkStart w:id="229" w:name="_Toc142406639"/>
      <w:bookmarkStart w:id="230" w:name="_Toc508382158"/>
      <w:r>
        <w:rPr>
          <w:rFonts w:hint="eastAsia" w:ascii="宋体" w:hAnsi="宋体" w:eastAsia="宋体" w:cs="宋体"/>
          <w:color w:val="auto"/>
          <w:kern w:val="2"/>
          <w:sz w:val="21"/>
          <w:szCs w:val="22"/>
        </w:rPr>
        <w:t>2.1 初步评审标准</w:t>
      </w:r>
      <w:bookmarkEnd w:id="228"/>
      <w:bookmarkEnd w:id="229"/>
      <w:bookmarkEnd w:id="230"/>
    </w:p>
    <w:p>
      <w:pPr>
        <w:spacing w:after="115" w:line="265" w:lineRule="auto"/>
        <w:ind w:left="415" w:hanging="10"/>
        <w:rPr>
          <w:rFonts w:ascii="宋体" w:hAnsi="宋体" w:eastAsia="宋体" w:cs="宋体"/>
          <w:color w:val="auto"/>
          <w:sz w:val="21"/>
        </w:rPr>
      </w:pPr>
      <w:r>
        <w:rPr>
          <w:rFonts w:hint="eastAsia" w:ascii="宋体" w:hAnsi="宋体" w:eastAsia="宋体" w:cs="宋体"/>
          <w:color w:val="auto"/>
          <w:sz w:val="21"/>
        </w:rPr>
        <w:t xml:space="preserve">2.1.1 形式评审标准：见评标办法前附表。 </w:t>
      </w:r>
    </w:p>
    <w:p>
      <w:pPr>
        <w:spacing w:after="115" w:line="265" w:lineRule="auto"/>
        <w:ind w:left="415" w:hanging="10"/>
        <w:rPr>
          <w:rFonts w:ascii="宋体" w:hAnsi="宋体" w:eastAsia="宋体" w:cs="宋体"/>
          <w:color w:val="auto"/>
          <w:sz w:val="21"/>
        </w:rPr>
      </w:pPr>
      <w:r>
        <w:rPr>
          <w:rFonts w:hint="eastAsia" w:ascii="宋体" w:hAnsi="宋体" w:eastAsia="宋体" w:cs="宋体"/>
          <w:color w:val="auto"/>
          <w:sz w:val="21"/>
        </w:rPr>
        <w:t xml:space="preserve">2.1.2 资格评审标准：见评标办法前附表。 </w:t>
      </w:r>
    </w:p>
    <w:p>
      <w:pPr>
        <w:spacing w:after="115" w:line="265" w:lineRule="auto"/>
        <w:ind w:left="415" w:hanging="10"/>
        <w:rPr>
          <w:rFonts w:ascii="宋体" w:hAnsi="宋体" w:eastAsia="宋体" w:cs="宋体"/>
          <w:color w:val="auto"/>
          <w:sz w:val="21"/>
        </w:rPr>
      </w:pPr>
      <w:r>
        <w:rPr>
          <w:rFonts w:hint="eastAsia" w:ascii="宋体" w:hAnsi="宋体" w:eastAsia="宋体" w:cs="宋体"/>
          <w:color w:val="auto"/>
          <w:sz w:val="21"/>
        </w:rPr>
        <w:t xml:space="preserve">2.1.3 响应性评审标准：见评标办法前附表。 </w:t>
      </w:r>
    </w:p>
    <w:p>
      <w:pPr>
        <w:pStyle w:val="5"/>
        <w:spacing w:after="281"/>
        <w:ind w:left="132" w:right="0"/>
        <w:rPr>
          <w:rFonts w:ascii="宋体" w:hAnsi="宋体" w:eastAsia="宋体" w:cs="宋体"/>
          <w:color w:val="auto"/>
          <w:kern w:val="2"/>
          <w:sz w:val="21"/>
          <w:szCs w:val="22"/>
        </w:rPr>
      </w:pPr>
      <w:bookmarkStart w:id="231" w:name="_Toc508788676"/>
      <w:bookmarkStart w:id="232" w:name="_Toc142406640"/>
      <w:bookmarkStart w:id="233" w:name="_Toc508382159"/>
      <w:r>
        <w:rPr>
          <w:rFonts w:hint="eastAsia" w:ascii="宋体" w:hAnsi="宋体" w:eastAsia="宋体" w:cs="宋体"/>
          <w:color w:val="auto"/>
          <w:kern w:val="2"/>
          <w:sz w:val="21"/>
          <w:szCs w:val="22"/>
        </w:rPr>
        <w:t>2.2 分值构成与评分标准</w:t>
      </w:r>
      <w:bookmarkEnd w:id="231"/>
      <w:bookmarkEnd w:id="232"/>
      <w:bookmarkEnd w:id="233"/>
    </w:p>
    <w:p>
      <w:pPr>
        <w:spacing w:after="115" w:line="265" w:lineRule="auto"/>
        <w:ind w:left="415" w:hanging="10"/>
        <w:rPr>
          <w:rFonts w:ascii="宋体" w:hAnsi="宋体" w:eastAsia="宋体" w:cs="宋体"/>
          <w:color w:val="auto"/>
          <w:sz w:val="21"/>
        </w:rPr>
      </w:pPr>
      <w:r>
        <w:rPr>
          <w:rFonts w:hint="eastAsia" w:ascii="宋体" w:hAnsi="宋体" w:eastAsia="宋体" w:cs="宋体"/>
          <w:color w:val="auto"/>
          <w:sz w:val="21"/>
        </w:rPr>
        <w:t xml:space="preserve">2.2.1 分值构成 </w:t>
      </w:r>
    </w:p>
    <w:p>
      <w:pPr>
        <w:spacing w:after="115" w:line="265" w:lineRule="auto"/>
        <w:ind w:left="415" w:hanging="10"/>
        <w:rPr>
          <w:rFonts w:ascii="宋体" w:hAnsi="宋体" w:eastAsia="宋体" w:cs="宋体"/>
          <w:color w:val="auto"/>
          <w:sz w:val="21"/>
        </w:rPr>
      </w:pPr>
      <w:r>
        <w:rPr>
          <w:rFonts w:hint="eastAsia" w:ascii="宋体" w:hAnsi="宋体" w:eastAsia="宋体" w:cs="宋体"/>
          <w:color w:val="auto"/>
          <w:sz w:val="21"/>
        </w:rPr>
        <w:t>（1）资信业绩部分：见评标办法前附表；</w:t>
      </w:r>
    </w:p>
    <w:p>
      <w:pPr>
        <w:spacing w:after="115" w:line="265" w:lineRule="auto"/>
        <w:ind w:left="415" w:hanging="10"/>
        <w:rPr>
          <w:rFonts w:ascii="宋体" w:hAnsi="宋体" w:eastAsia="宋体" w:cs="宋体"/>
          <w:sz w:val="21"/>
        </w:rPr>
      </w:pPr>
      <w:r>
        <w:rPr>
          <w:rFonts w:hint="eastAsia" w:ascii="宋体" w:hAnsi="宋体" w:eastAsia="宋体" w:cs="宋体"/>
          <w:color w:val="auto"/>
          <w:sz w:val="21"/>
        </w:rPr>
        <w:t>（2）检测、</w:t>
      </w:r>
      <w:r>
        <w:rPr>
          <w:rFonts w:hint="eastAsia" w:ascii="宋体" w:hAnsi="宋体" w:eastAsia="宋体" w:cs="宋体"/>
          <w:sz w:val="21"/>
        </w:rPr>
        <w:t xml:space="preserve">监测方案部分：见评标办法前附表； </w:t>
      </w:r>
    </w:p>
    <w:p>
      <w:pPr>
        <w:spacing w:after="115" w:line="265" w:lineRule="auto"/>
        <w:ind w:left="415" w:hanging="10"/>
        <w:rPr>
          <w:rFonts w:ascii="宋体" w:hAnsi="宋体" w:eastAsia="宋体" w:cs="宋体"/>
          <w:sz w:val="21"/>
        </w:rPr>
      </w:pPr>
      <w:r>
        <w:rPr>
          <w:rFonts w:hint="eastAsia" w:ascii="宋体" w:hAnsi="宋体" w:eastAsia="宋体" w:cs="宋体"/>
          <w:sz w:val="21"/>
        </w:rPr>
        <w:t xml:space="preserve">（3）投标报价：见评标办法前附表； </w:t>
      </w:r>
    </w:p>
    <w:p>
      <w:pPr>
        <w:spacing w:after="115" w:line="265" w:lineRule="auto"/>
        <w:ind w:left="415" w:hanging="10"/>
        <w:rPr>
          <w:rFonts w:ascii="宋体" w:hAnsi="宋体" w:eastAsia="宋体" w:cs="宋体"/>
          <w:strike/>
          <w:sz w:val="21"/>
        </w:rPr>
      </w:pPr>
      <w:r>
        <w:rPr>
          <w:rFonts w:hint="eastAsia" w:ascii="宋体" w:hAnsi="宋体" w:eastAsia="宋体" w:cs="宋体"/>
          <w:strike/>
          <w:sz w:val="21"/>
        </w:rPr>
        <w:t xml:space="preserve">（4）其他评分因素：见评标办法前附表。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2.2.2 评标基准价计算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评标基准价计算方法：见评标办法前附表。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2.2.3 投标报价的偏差率计算 </w:t>
      </w:r>
    </w:p>
    <w:p>
      <w:pPr>
        <w:spacing w:after="123" w:line="265" w:lineRule="auto"/>
        <w:ind w:left="417" w:right="103" w:hanging="10"/>
        <w:rPr>
          <w:rFonts w:ascii="宋体" w:hAnsi="宋体" w:eastAsia="宋体" w:cs="宋体"/>
        </w:rPr>
      </w:pPr>
      <w:r>
        <w:rPr>
          <w:rFonts w:hint="eastAsia" w:ascii="宋体" w:hAnsi="宋体" w:eastAsia="宋体" w:cs="宋体"/>
          <w:sz w:val="21"/>
        </w:rPr>
        <w:t xml:space="preserve">投标报价的偏差率计算公式：见评标办法前附表。 </w:t>
      </w:r>
    </w:p>
    <w:p>
      <w:pPr>
        <w:spacing w:after="115" w:line="265" w:lineRule="auto"/>
        <w:ind w:left="415" w:hanging="10"/>
        <w:rPr>
          <w:rFonts w:ascii="宋体" w:hAnsi="宋体" w:eastAsia="宋体" w:cs="宋体"/>
        </w:rPr>
      </w:pPr>
      <w:r>
        <w:rPr>
          <w:rFonts w:hint="eastAsia" w:ascii="宋体" w:hAnsi="宋体" w:eastAsia="宋体" w:cs="宋体"/>
          <w:sz w:val="21"/>
        </w:rPr>
        <w:t xml:space="preserve">2.2.4 评分标准 </w:t>
      </w:r>
    </w:p>
    <w:p>
      <w:pPr>
        <w:spacing w:after="0" w:line="369" w:lineRule="auto"/>
        <w:ind w:left="417" w:right="103" w:hanging="10"/>
        <w:rPr>
          <w:rFonts w:ascii="宋体" w:hAnsi="宋体" w:eastAsia="宋体" w:cs="宋体"/>
          <w:sz w:val="21"/>
        </w:rPr>
      </w:pPr>
      <w:r>
        <w:rPr>
          <w:rFonts w:hint="eastAsia" w:ascii="宋体" w:hAnsi="宋体" w:eastAsia="宋体" w:cs="宋体"/>
          <w:sz w:val="21"/>
        </w:rPr>
        <w:t>（1）资信业绩评分标准：见评标办法前附表；</w:t>
      </w:r>
    </w:p>
    <w:p>
      <w:pPr>
        <w:spacing w:after="0" w:line="369" w:lineRule="auto"/>
        <w:ind w:left="417" w:right="103" w:hanging="10"/>
        <w:rPr>
          <w:rFonts w:ascii="宋体" w:hAnsi="宋体" w:eastAsia="宋体" w:cs="宋体"/>
          <w:color w:val="auto"/>
        </w:rPr>
      </w:pPr>
      <w:r>
        <w:rPr>
          <w:rFonts w:hint="eastAsia" w:ascii="宋体" w:hAnsi="宋体" w:eastAsia="宋体" w:cs="宋体"/>
          <w:sz w:val="21"/>
        </w:rPr>
        <w:t>（2）检测、监测方案评分标准：见评标</w:t>
      </w:r>
      <w:r>
        <w:rPr>
          <w:rFonts w:hint="eastAsia" w:ascii="宋体" w:hAnsi="宋体" w:eastAsia="宋体" w:cs="宋体"/>
          <w:color w:val="auto"/>
          <w:sz w:val="21"/>
        </w:rPr>
        <w:t xml:space="preserve">办法前附表； </w:t>
      </w:r>
    </w:p>
    <w:p>
      <w:pPr>
        <w:numPr>
          <w:ilvl w:val="0"/>
          <w:numId w:val="6"/>
        </w:numPr>
        <w:spacing w:after="123" w:line="265" w:lineRule="auto"/>
        <w:ind w:right="103" w:hanging="526"/>
        <w:rPr>
          <w:rFonts w:ascii="宋体" w:hAnsi="宋体" w:eastAsia="宋体" w:cs="宋体"/>
          <w:color w:val="auto"/>
        </w:rPr>
      </w:pPr>
      <w:r>
        <w:rPr>
          <w:rFonts w:hint="eastAsia" w:ascii="宋体" w:hAnsi="宋体" w:eastAsia="宋体" w:cs="宋体"/>
          <w:color w:val="auto"/>
          <w:sz w:val="21"/>
        </w:rPr>
        <w:t xml:space="preserve">投标报价评分标准：见评标办法前附表； </w:t>
      </w:r>
    </w:p>
    <w:p>
      <w:pPr>
        <w:numPr>
          <w:ilvl w:val="0"/>
          <w:numId w:val="6"/>
        </w:numPr>
        <w:spacing w:after="123" w:line="265" w:lineRule="auto"/>
        <w:ind w:right="103" w:hanging="526"/>
        <w:rPr>
          <w:rFonts w:ascii="宋体" w:hAnsi="宋体" w:eastAsia="宋体" w:cs="宋体"/>
          <w:strike/>
          <w:color w:val="auto"/>
        </w:rPr>
      </w:pPr>
      <w:r>
        <w:rPr>
          <w:rFonts w:hint="eastAsia" w:ascii="宋体" w:hAnsi="宋体" w:eastAsia="宋体" w:cs="宋体"/>
          <w:strike/>
          <w:color w:val="auto"/>
          <w:sz w:val="21"/>
        </w:rPr>
        <w:t xml:space="preserve">其他因素评分标准：见评标办法前附表。 </w:t>
      </w:r>
    </w:p>
    <w:p>
      <w:pPr>
        <w:pStyle w:val="4"/>
        <w:spacing w:after="503" w:line="264" w:lineRule="auto"/>
        <w:ind w:left="-5" w:right="0"/>
        <w:rPr>
          <w:rFonts w:ascii="宋体" w:hAnsi="宋体" w:eastAsia="宋体" w:cs="宋体"/>
          <w:color w:val="auto"/>
        </w:rPr>
      </w:pPr>
      <w:bookmarkStart w:id="234" w:name="_Toc142406641"/>
      <w:bookmarkStart w:id="235" w:name="_Toc508788677"/>
      <w:bookmarkStart w:id="236" w:name="_Toc508382160"/>
      <w:r>
        <w:rPr>
          <w:rFonts w:hint="eastAsia" w:ascii="宋体" w:hAnsi="宋体" w:eastAsia="宋体" w:cs="宋体"/>
          <w:b/>
          <w:color w:val="auto"/>
          <w:sz w:val="32"/>
        </w:rPr>
        <w:t xml:space="preserve">3. </w:t>
      </w:r>
      <w:r>
        <w:rPr>
          <w:rFonts w:hint="eastAsia" w:ascii="宋体" w:hAnsi="宋体" w:eastAsia="宋体" w:cs="宋体"/>
          <w:color w:val="auto"/>
          <w:sz w:val="32"/>
        </w:rPr>
        <w:t>评标程序</w:t>
      </w:r>
      <w:bookmarkEnd w:id="234"/>
      <w:bookmarkEnd w:id="235"/>
      <w:bookmarkEnd w:id="236"/>
    </w:p>
    <w:p>
      <w:pPr>
        <w:pStyle w:val="5"/>
        <w:spacing w:after="283"/>
        <w:ind w:left="132" w:right="0"/>
        <w:rPr>
          <w:rFonts w:ascii="宋体" w:hAnsi="宋体" w:eastAsia="宋体" w:cs="宋体"/>
          <w:color w:val="auto"/>
        </w:rPr>
      </w:pPr>
      <w:bookmarkStart w:id="237" w:name="_Toc508382161"/>
      <w:bookmarkStart w:id="238" w:name="_Toc508788678"/>
      <w:bookmarkStart w:id="239" w:name="_Toc142406642"/>
      <w:r>
        <w:rPr>
          <w:rFonts w:hint="eastAsia" w:ascii="宋体" w:hAnsi="宋体" w:eastAsia="宋体" w:cs="宋体"/>
          <w:color w:val="auto"/>
        </w:rPr>
        <w:t>3.1 初步评审</w:t>
      </w:r>
      <w:bookmarkEnd w:id="237"/>
      <w:bookmarkEnd w:id="238"/>
      <w:bookmarkEnd w:id="239"/>
    </w:p>
    <w:p>
      <w:pPr>
        <w:spacing w:after="123" w:line="265" w:lineRule="auto"/>
        <w:ind w:right="103" w:firstLine="407"/>
        <w:rPr>
          <w:rFonts w:ascii="宋体" w:hAnsi="宋体" w:eastAsia="宋体" w:cs="宋体"/>
          <w:color w:val="auto"/>
        </w:rPr>
      </w:pPr>
      <w:r>
        <w:rPr>
          <w:rFonts w:hint="eastAsia" w:ascii="宋体" w:hAnsi="宋体" w:eastAsia="宋体" w:cs="宋体"/>
          <w:color w:val="auto"/>
          <w:sz w:val="21"/>
        </w:rPr>
        <w:t xml:space="preserve">3.1.1 评标委员会可以要求投标人提交第二章“投标人须知”规定的有关证明和证件的原件，以便核验。评标委员会依据本章第 2.1 款规定的标准对投标文件进行初步评审。有一项不符合评审标准的，评标委员会应当否决其投标。 </w:t>
      </w:r>
    </w:p>
    <w:p>
      <w:pPr>
        <w:spacing w:after="12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3.1.2 投标人有以下情形之一的，评标委员会应当否决其投标： </w:t>
      </w:r>
    </w:p>
    <w:p>
      <w:pPr>
        <w:numPr>
          <w:ilvl w:val="0"/>
          <w:numId w:val="7"/>
        </w:num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投标文件没有对招标文件的实质性要求和条件作出响应，或者对招标文件的偏差超出招标文件规定的偏差范围或最高项数； </w:t>
      </w:r>
    </w:p>
    <w:p>
      <w:pPr>
        <w:numPr>
          <w:ilvl w:val="0"/>
          <w:numId w:val="7"/>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有串通投标、弄虚作假、行贿等违法行为。 </w:t>
      </w:r>
    </w:p>
    <w:p>
      <w:pPr>
        <w:spacing w:after="123" w:line="265" w:lineRule="auto"/>
        <w:ind w:right="103" w:firstLine="407"/>
        <w:rPr>
          <w:rFonts w:ascii="宋体" w:hAnsi="宋体" w:eastAsia="宋体" w:cs="宋体"/>
          <w:color w:val="auto"/>
          <w:u w:val="single"/>
        </w:rPr>
      </w:pPr>
      <w:r>
        <w:rPr>
          <w:rFonts w:hint="eastAsia" w:ascii="宋体" w:hAnsi="宋体" w:eastAsia="宋体" w:cs="宋体"/>
          <w:color w:val="auto"/>
          <w:sz w:val="21"/>
        </w:rPr>
        <w:t xml:space="preserve">3.1.3 投标报价有算术错误及其他错误的，评标委员会按以下原则要求投标人对投标报价进行修正，并要求投标人书面澄清确认。投标人拒不澄清确认的，评标委员会应当否决其投标： </w:t>
      </w:r>
    </w:p>
    <w:p>
      <w:pPr>
        <w:numPr>
          <w:ilvl w:val="0"/>
          <w:numId w:val="8"/>
        </w:numPr>
        <w:spacing w:after="123" w:line="265" w:lineRule="auto"/>
        <w:ind w:right="103" w:firstLine="420"/>
        <w:rPr>
          <w:rFonts w:ascii="宋体" w:hAnsi="宋体" w:eastAsia="宋体" w:cs="宋体"/>
          <w:color w:val="auto"/>
        </w:rPr>
      </w:pPr>
      <w:r>
        <w:rPr>
          <w:rFonts w:hint="eastAsia" w:ascii="宋体" w:hAnsi="宋体" w:eastAsia="宋体" w:cs="宋体"/>
          <w:color w:val="auto"/>
          <w:sz w:val="21"/>
        </w:rPr>
        <w:t xml:space="preserve">投标文件中的大写金额与小写金额不一致的，以大写金额为准； </w:t>
      </w:r>
    </w:p>
    <w:p>
      <w:pPr>
        <w:numPr>
          <w:ilvl w:val="0"/>
          <w:numId w:val="8"/>
        </w:numPr>
        <w:spacing w:after="219" w:line="369" w:lineRule="auto"/>
        <w:ind w:right="103" w:firstLine="420"/>
        <w:rPr>
          <w:rFonts w:ascii="宋体" w:hAnsi="宋体" w:eastAsia="宋体" w:cs="宋体"/>
          <w:color w:val="auto"/>
        </w:rPr>
      </w:pPr>
      <w:r>
        <w:rPr>
          <w:rFonts w:hint="eastAsia" w:ascii="宋体" w:hAnsi="宋体" w:eastAsia="宋体" w:cs="宋体"/>
          <w:color w:val="auto"/>
          <w:sz w:val="21"/>
        </w:rPr>
        <w:t xml:space="preserve">总价金额与单价金额不一致的，以单价金额为准，但单价金额小数点有明显错误的除外。 </w:t>
      </w:r>
    </w:p>
    <w:p>
      <w:pPr>
        <w:pStyle w:val="5"/>
        <w:spacing w:after="282"/>
        <w:ind w:left="132" w:right="0"/>
        <w:rPr>
          <w:rFonts w:ascii="宋体" w:hAnsi="宋体" w:eastAsia="宋体" w:cs="宋体"/>
          <w:color w:val="auto"/>
        </w:rPr>
      </w:pPr>
      <w:bookmarkStart w:id="240" w:name="_Toc508382162"/>
      <w:bookmarkStart w:id="241" w:name="_Toc508788679"/>
      <w:bookmarkStart w:id="242" w:name="_Toc142406643"/>
      <w:r>
        <w:rPr>
          <w:rFonts w:hint="eastAsia" w:ascii="宋体" w:hAnsi="宋体" w:eastAsia="宋体" w:cs="宋体"/>
          <w:color w:val="auto"/>
        </w:rPr>
        <w:t>3.2 详细评审</w:t>
      </w:r>
      <w:bookmarkEnd w:id="240"/>
      <w:bookmarkEnd w:id="241"/>
      <w:bookmarkEnd w:id="242"/>
    </w:p>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3.2.1评标委员会按本章第2.2款规定的量化因素和分值进行打分，并计算出综合评估得分。</w:t>
      </w:r>
    </w:p>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（1）按本章第2.2.4（1）目规定的评审因素和分值对资信业绩部分计算出得分A；</w:t>
      </w:r>
    </w:p>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（2）按本章第2.2.4（2）目规定的评审因素和分值对检</w:t>
      </w:r>
      <w:r>
        <w:rPr>
          <w:rFonts w:hint="eastAsia" w:ascii="宋体" w:hAnsi="宋体" w:eastAsia="宋体" w:cs="宋体"/>
          <w:sz w:val="21"/>
          <w:u w:val="single"/>
        </w:rPr>
        <w:t>测、监测方案部</w:t>
      </w:r>
      <w:r>
        <w:rPr>
          <w:rFonts w:hint="eastAsia" w:ascii="宋体" w:hAnsi="宋体" w:eastAsia="宋体" w:cs="宋体"/>
          <w:color w:val="auto"/>
          <w:sz w:val="21"/>
          <w:u w:val="single"/>
        </w:rPr>
        <w:t>分计算出得分B；</w:t>
      </w:r>
    </w:p>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（3）按本章第2.2.4（3）目规定的评审因素和</w:t>
      </w:r>
      <w:bookmarkStart w:id="243" w:name="_Toc247514028"/>
      <w:bookmarkStart w:id="244" w:name="_Toc152045604"/>
      <w:bookmarkStart w:id="245" w:name="_Toc144974571"/>
      <w:bookmarkStart w:id="246" w:name="_Toc24330"/>
      <w:bookmarkStart w:id="247" w:name="_Toc152042381"/>
      <w:bookmarkStart w:id="248" w:name="_Toc352691539"/>
      <w:bookmarkStart w:id="249" w:name="_Toc361508652"/>
      <w:bookmarkStart w:id="250" w:name="_Toc247527629"/>
      <w:bookmarkStart w:id="251" w:name="_Toc384308278"/>
      <w:bookmarkStart w:id="252" w:name="_Toc300835014"/>
      <w:bookmarkStart w:id="253" w:name="_Toc369531583"/>
      <w:r>
        <w:rPr>
          <w:rFonts w:hint="eastAsia" w:ascii="宋体" w:hAnsi="宋体" w:eastAsia="宋体" w:cs="宋体"/>
          <w:color w:val="auto"/>
          <w:sz w:val="21"/>
          <w:u w:val="single"/>
        </w:rPr>
        <w:t>分值对投标报价</w:t>
      </w:r>
      <w:bookmarkEnd w:id="243"/>
      <w:bookmarkEnd w:id="244"/>
      <w:bookmarkEnd w:id="245"/>
      <w:bookmarkEnd w:id="246"/>
      <w:bookmarkEnd w:id="247"/>
      <w:bookmarkEnd w:id="248"/>
      <w:bookmarkEnd w:id="249"/>
      <w:bookmarkEnd w:id="250"/>
      <w:bookmarkEnd w:id="251"/>
      <w:bookmarkEnd w:id="252"/>
      <w:bookmarkEnd w:id="253"/>
      <w:r>
        <w:rPr>
          <w:rFonts w:hint="eastAsia" w:ascii="宋体" w:hAnsi="宋体" w:eastAsia="宋体" w:cs="宋体"/>
          <w:color w:val="auto"/>
          <w:sz w:val="21"/>
          <w:u w:val="single"/>
        </w:rPr>
        <w:t>计</w:t>
      </w:r>
      <w:bookmarkStart w:id="254" w:name="_Toc152042382"/>
      <w:bookmarkStart w:id="255" w:name="_Toc247514029"/>
      <w:bookmarkStart w:id="256" w:name="_Toc144974572"/>
      <w:bookmarkStart w:id="257" w:name="_Toc352691540"/>
      <w:bookmarkStart w:id="258" w:name="_Toc18141"/>
      <w:bookmarkStart w:id="259" w:name="_Toc300835015"/>
      <w:bookmarkStart w:id="260" w:name="_Toc384308279"/>
      <w:bookmarkStart w:id="261" w:name="_Toc361508653"/>
      <w:bookmarkStart w:id="262" w:name="_Toc369531584"/>
      <w:bookmarkStart w:id="263" w:name="_Toc247527630"/>
      <w:bookmarkStart w:id="264" w:name="_Toc152045605"/>
      <w:r>
        <w:rPr>
          <w:rFonts w:hint="eastAsia" w:ascii="宋体" w:hAnsi="宋体" w:eastAsia="宋体" w:cs="宋体"/>
          <w:color w:val="auto"/>
          <w:sz w:val="21"/>
          <w:u w:val="single"/>
        </w:rPr>
        <w:t>算出得分C；</w:t>
      </w:r>
    </w:p>
    <w:bookmarkEnd w:id="254"/>
    <w:bookmarkEnd w:id="255"/>
    <w:bookmarkEnd w:id="256"/>
    <w:bookmarkEnd w:id="257"/>
    <w:bookmarkEnd w:id="258"/>
    <w:bookmarkEnd w:id="259"/>
    <w:bookmarkEnd w:id="260"/>
    <w:bookmarkEnd w:id="261"/>
    <w:bookmarkEnd w:id="262"/>
    <w:bookmarkEnd w:id="263"/>
    <w:bookmarkEnd w:id="264"/>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3.2.2评分分值计算保留小数点后两位，小数点后第三位“四舍五入”。</w:t>
      </w:r>
    </w:p>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3.2.3投标人得分=A+B+C。</w:t>
      </w:r>
    </w:p>
    <w:p>
      <w:pPr>
        <w:spacing w:after="231" w:line="359" w:lineRule="auto"/>
        <w:ind w:right="103" w:firstLine="420"/>
        <w:rPr>
          <w:rFonts w:ascii="宋体" w:hAnsi="宋体" w:eastAsia="宋体" w:cs="宋体"/>
          <w:color w:val="auto"/>
          <w:sz w:val="21"/>
          <w:u w:val="single"/>
        </w:rPr>
      </w:pPr>
      <w:r>
        <w:rPr>
          <w:rFonts w:hint="eastAsia" w:ascii="宋体" w:hAnsi="宋体" w:eastAsia="宋体" w:cs="宋体"/>
          <w:color w:val="auto"/>
          <w:sz w:val="21"/>
          <w:u w:val="singl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after="284"/>
        <w:ind w:right="0"/>
        <w:rPr>
          <w:rFonts w:ascii="宋体" w:hAnsi="宋体" w:eastAsia="宋体" w:cs="宋体"/>
          <w:color w:val="auto"/>
        </w:rPr>
      </w:pPr>
      <w:bookmarkStart w:id="265" w:name="_Toc142406644"/>
      <w:bookmarkStart w:id="266" w:name="_Toc508382163"/>
      <w:bookmarkStart w:id="267" w:name="_Toc508788680"/>
      <w:r>
        <w:rPr>
          <w:rFonts w:hint="eastAsia" w:ascii="宋体" w:hAnsi="宋体" w:eastAsia="宋体" w:cs="宋体"/>
          <w:color w:val="auto"/>
        </w:rPr>
        <w:t>3.3 投标文件的澄清</w:t>
      </w:r>
      <w:bookmarkEnd w:id="265"/>
      <w:bookmarkEnd w:id="266"/>
      <w:bookmarkEnd w:id="267"/>
    </w:p>
    <w:p>
      <w:pPr>
        <w:spacing w:after="13" w:line="356" w:lineRule="auto"/>
        <w:ind w:right="103" w:firstLine="407"/>
        <w:rPr>
          <w:rFonts w:ascii="宋体" w:hAnsi="宋体" w:eastAsia="宋体" w:cs="宋体"/>
          <w:color w:val="auto"/>
        </w:rPr>
      </w:pPr>
      <w:r>
        <w:rPr>
          <w:rFonts w:hint="eastAsia" w:ascii="宋体" w:hAnsi="宋体" w:eastAsia="宋体" w:cs="宋体"/>
          <w:color w:val="auto"/>
          <w:sz w:val="21"/>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p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3.3.2 澄清、说明或补正不得超出投标文件的范围且不得改变投标文件的实质性内容，并构成投标文件的组成部分。 </w:t>
      </w:r>
    </w:p>
    <w:p>
      <w:pPr>
        <w:spacing w:after="223" w:line="367" w:lineRule="auto"/>
        <w:ind w:right="103" w:firstLine="420"/>
        <w:rPr>
          <w:rFonts w:ascii="宋体" w:hAnsi="宋体" w:eastAsia="宋体" w:cs="宋体"/>
          <w:color w:val="auto"/>
        </w:rPr>
      </w:pPr>
      <w:r>
        <w:rPr>
          <w:rFonts w:hint="eastAsia" w:ascii="宋体" w:hAnsi="宋体" w:eastAsia="宋体" w:cs="宋体"/>
          <w:color w:val="auto"/>
          <w:sz w:val="21"/>
        </w:rPr>
        <w:t xml:space="preserve">3.3.3 评标委员会对投标人提交的澄清、说明或补正有疑问的，可以要求投标人进一步澄清、说明或补正，直至满足评标委员会的要求。 </w:t>
      </w:r>
    </w:p>
    <w:p>
      <w:pPr>
        <w:pStyle w:val="5"/>
        <w:spacing w:after="283"/>
        <w:ind w:left="132" w:right="0"/>
        <w:rPr>
          <w:rFonts w:ascii="宋体" w:hAnsi="宋体" w:eastAsia="宋体" w:cs="宋体"/>
          <w:color w:val="auto"/>
        </w:rPr>
      </w:pPr>
      <w:bookmarkStart w:id="268" w:name="_Toc142406645"/>
      <w:bookmarkStart w:id="269" w:name="_Toc508788681"/>
      <w:bookmarkStart w:id="270" w:name="_Toc508382164"/>
      <w:r>
        <w:rPr>
          <w:rFonts w:hint="eastAsia" w:ascii="宋体" w:hAnsi="宋体" w:eastAsia="宋体" w:cs="宋体"/>
          <w:color w:val="auto"/>
        </w:rPr>
        <w:t>3.4 评标结果</w:t>
      </w:r>
      <w:bookmarkEnd w:id="268"/>
      <w:bookmarkEnd w:id="269"/>
      <w:bookmarkEnd w:id="270"/>
    </w:p>
    <w:p>
      <w:pPr>
        <w:spacing w:after="0" w:line="369" w:lineRule="auto"/>
        <w:ind w:right="103" w:firstLine="420"/>
        <w:rPr>
          <w:rFonts w:ascii="宋体" w:hAnsi="宋体" w:eastAsia="宋体" w:cs="宋体"/>
          <w:color w:val="auto"/>
        </w:rPr>
      </w:pPr>
      <w:r>
        <w:rPr>
          <w:rFonts w:hint="eastAsia" w:ascii="宋体" w:hAnsi="宋体" w:eastAsia="宋体" w:cs="宋体"/>
          <w:color w:val="auto"/>
          <w:sz w:val="21"/>
        </w:rPr>
        <w:t xml:space="preserve">3.4.1 除第二章“投标人须知”前附表授权直接确定中标人外，评标委员会按照得分由高到低的顺序推荐中标候选人，并标明排序。 </w:t>
      </w:r>
    </w:p>
    <w:p>
      <w:pPr>
        <w:spacing w:after="202"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3.4.2 评标委员会完成评标后，应当向招标人提交书面评标报告和中标候选人名单。 </w:t>
      </w:r>
    </w:p>
    <w:p>
      <w:pPr>
        <w:spacing w:after="0"/>
        <w:ind w:left="4321"/>
        <w:rPr>
          <w:rFonts w:ascii="宋体" w:hAnsi="宋体" w:eastAsia="宋体" w:cs="宋体"/>
          <w:color w:val="auto"/>
        </w:rPr>
      </w:pPr>
      <w:r>
        <w:rPr>
          <w:rFonts w:hint="eastAsia" w:ascii="宋体" w:hAnsi="宋体" w:eastAsia="宋体" w:cs="宋体"/>
          <w:b/>
          <w:color w:val="auto"/>
          <w:sz w:val="44"/>
        </w:rPr>
        <w:tab/>
      </w:r>
      <w:r>
        <w:rPr>
          <w:rFonts w:hint="eastAsia" w:ascii="宋体" w:hAnsi="宋体" w:eastAsia="宋体" w:cs="宋体"/>
          <w:color w:val="auto"/>
        </w:rPr>
        <w:br w:type="page"/>
      </w:r>
    </w:p>
    <w:p>
      <w:pPr>
        <w:pStyle w:val="3"/>
        <w:spacing w:after="1017" w:line="259" w:lineRule="auto"/>
        <w:ind w:left="0" w:right="217" w:firstLine="0"/>
        <w:rPr>
          <w:rFonts w:ascii="宋体" w:hAnsi="宋体" w:eastAsia="宋体" w:cs="宋体"/>
          <w:b/>
          <w:color w:val="auto"/>
          <w:sz w:val="44"/>
        </w:rPr>
      </w:pPr>
      <w:bookmarkStart w:id="271" w:name="_Toc142406646"/>
      <w:bookmarkStart w:id="272" w:name="_Toc508382165"/>
      <w:r>
        <w:rPr>
          <w:rFonts w:hint="eastAsia" w:ascii="宋体" w:hAnsi="宋体" w:eastAsia="宋体" w:cs="宋体"/>
          <w:color w:val="auto"/>
          <w:sz w:val="44"/>
        </w:rPr>
        <w:t>第四章合同条款及格式</w:t>
      </w:r>
      <w:bookmarkEnd w:id="271"/>
      <w:bookmarkEnd w:id="272"/>
    </w:p>
    <w:p>
      <w:pPr>
        <w:pStyle w:val="3"/>
        <w:spacing w:after="1017" w:line="259" w:lineRule="auto"/>
        <w:ind w:left="0" w:right="217" w:firstLine="0"/>
        <w:rPr>
          <w:rFonts w:ascii="宋体" w:hAnsi="宋体" w:eastAsia="宋体" w:cs="宋体"/>
          <w:color w:val="auto"/>
        </w:rPr>
      </w:pPr>
      <w:bookmarkStart w:id="273" w:name="_Toc142406647"/>
      <w:r>
        <w:rPr>
          <w:rFonts w:hint="eastAsia" w:ascii="宋体" w:hAnsi="宋体" w:eastAsia="宋体" w:cs="宋体"/>
          <w:b/>
          <w:color w:val="auto"/>
          <w:sz w:val="28"/>
          <w:szCs w:val="28"/>
        </w:rPr>
        <w:t>（另册）</w:t>
      </w:r>
      <w:bookmarkEnd w:id="273"/>
    </w:p>
    <w:p>
      <w:pPr>
        <w:spacing w:line="400" w:lineRule="exact"/>
        <w:jc w:val="center"/>
        <w:rPr>
          <w:rFonts w:ascii="宋体" w:hAnsi="宋体" w:eastAsia="宋体" w:cs="宋体"/>
          <w:b/>
          <w:color w:val="auto"/>
          <w:sz w:val="52"/>
          <w:szCs w:val="52"/>
        </w:rPr>
      </w:pPr>
    </w:p>
    <w:p>
      <w:pPr>
        <w:spacing w:line="400" w:lineRule="exact"/>
        <w:jc w:val="center"/>
        <w:rPr>
          <w:rFonts w:ascii="宋体" w:hAnsi="宋体" w:eastAsia="宋体" w:cs="宋体"/>
          <w:b/>
          <w:color w:val="auto"/>
          <w:sz w:val="52"/>
          <w:szCs w:val="52"/>
        </w:rPr>
      </w:pPr>
    </w:p>
    <w:p>
      <w:pPr>
        <w:spacing w:line="400" w:lineRule="exact"/>
        <w:jc w:val="center"/>
        <w:rPr>
          <w:rFonts w:ascii="宋体" w:hAnsi="宋体" w:eastAsia="宋体" w:cs="宋体"/>
          <w:b/>
          <w:color w:val="auto"/>
          <w:sz w:val="52"/>
          <w:szCs w:val="52"/>
        </w:rPr>
      </w:pPr>
    </w:p>
    <w:p>
      <w:pPr>
        <w:spacing w:line="400" w:lineRule="exact"/>
        <w:jc w:val="center"/>
        <w:rPr>
          <w:rFonts w:ascii="宋体" w:hAnsi="宋体" w:eastAsia="宋体" w:cs="宋体"/>
          <w:b/>
          <w:color w:val="auto"/>
          <w:sz w:val="52"/>
          <w:szCs w:val="52"/>
        </w:rPr>
      </w:pPr>
    </w:p>
    <w:p>
      <w:pPr>
        <w:spacing w:line="360" w:lineRule="auto"/>
        <w:jc w:val="center"/>
        <w:rPr>
          <w:rFonts w:ascii="宋体" w:hAnsi="宋体" w:eastAsia="宋体" w:cs="宋体"/>
          <w:snapToGrid w:val="0"/>
          <w:color w:val="auto"/>
          <w:sz w:val="20"/>
          <w:lang w:val="zh-CN"/>
        </w:rPr>
      </w:pPr>
      <w:r>
        <w:rPr>
          <w:rFonts w:hint="eastAsia" w:ascii="宋体" w:hAnsi="宋体" w:eastAsia="宋体" w:cs="宋体"/>
          <w:color w:val="auto"/>
          <w:sz w:val="48"/>
        </w:rPr>
        <w:br w:type="page"/>
      </w:r>
    </w:p>
    <w:p>
      <w:pPr>
        <w:pStyle w:val="3"/>
        <w:spacing w:after="914"/>
        <w:ind w:right="0"/>
        <w:rPr>
          <w:rFonts w:ascii="宋体" w:hAnsi="宋体" w:eastAsia="宋体" w:cs="宋体"/>
          <w:color w:val="auto"/>
        </w:rPr>
      </w:pPr>
      <w:bookmarkStart w:id="274" w:name="_Toc142406648"/>
      <w:r>
        <w:rPr>
          <w:rFonts w:hint="eastAsia" w:ascii="宋体" w:hAnsi="宋体" w:eastAsia="宋体" w:cs="宋体"/>
          <w:color w:val="auto"/>
          <w:sz w:val="44"/>
        </w:rPr>
        <w:t>第二卷</w:t>
      </w:r>
      <w:bookmarkEnd w:id="274"/>
    </w:p>
    <w:p>
      <w:pPr>
        <w:spacing w:after="0"/>
        <w:ind w:right="1604"/>
        <w:jc w:val="right"/>
        <w:rPr>
          <w:rFonts w:ascii="宋体" w:hAnsi="宋体" w:eastAsia="宋体" w:cs="宋体"/>
          <w:color w:val="auto"/>
        </w:rPr>
      </w:pPr>
      <w:r>
        <w:rPr>
          <w:rFonts w:hint="eastAsia" w:ascii="宋体" w:hAnsi="宋体" w:eastAsia="宋体" w:cs="宋体"/>
          <w:b/>
          <w:color w:val="auto"/>
          <w:sz w:val="44"/>
        </w:rPr>
        <w:tab/>
      </w: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spacing w:after="0"/>
        <w:ind w:right="1604"/>
        <w:jc w:val="right"/>
        <w:rPr>
          <w:rFonts w:ascii="宋体" w:hAnsi="宋体" w:eastAsia="宋体" w:cs="宋体"/>
          <w:color w:val="auto"/>
        </w:rPr>
      </w:pPr>
    </w:p>
    <w:p>
      <w:pPr>
        <w:pStyle w:val="3"/>
        <w:spacing w:after="1017"/>
        <w:ind w:left="2564" w:right="0"/>
        <w:jc w:val="left"/>
        <w:rPr>
          <w:rFonts w:ascii="宋体" w:hAnsi="宋体" w:eastAsia="宋体" w:cs="宋体"/>
          <w:color w:val="auto"/>
        </w:rPr>
      </w:pPr>
      <w:bookmarkStart w:id="275" w:name="_Toc142406649"/>
      <w:r>
        <w:rPr>
          <w:rFonts w:hint="eastAsia" w:ascii="宋体" w:hAnsi="宋体" w:eastAsia="宋体" w:cs="宋体"/>
          <w:color w:val="auto"/>
          <w:sz w:val="44"/>
        </w:rPr>
        <w:t>第五章委托人要求</w:t>
      </w:r>
      <w:bookmarkEnd w:id="275"/>
    </w:p>
    <w:p>
      <w:pPr>
        <w:spacing w:after="142"/>
        <w:ind w:firstLine="3150" w:firstLineChars="1500"/>
        <w:rPr>
          <w:rFonts w:ascii="宋体" w:hAnsi="宋体" w:eastAsia="宋体" w:cs="宋体"/>
          <w:color w:val="auto"/>
        </w:rPr>
      </w:pPr>
      <w:r>
        <w:rPr>
          <w:rFonts w:hint="eastAsia" w:ascii="宋体" w:hAnsi="宋体" w:eastAsia="宋体" w:cs="宋体"/>
          <w:color w:val="auto"/>
          <w:sz w:val="21"/>
        </w:rPr>
        <w:t>按现行国家相关要求</w:t>
      </w:r>
    </w:p>
    <w:p>
      <w:pPr>
        <w:spacing w:after="0" w:line="480" w:lineRule="auto"/>
        <w:ind w:left="-15" w:right="103" w:firstLine="420"/>
        <w:jc w:val="center"/>
        <w:rPr>
          <w:rFonts w:ascii="宋体" w:hAnsi="宋体" w:eastAsia="宋体" w:cs="宋体"/>
          <w:b/>
          <w:color w:val="auto"/>
          <w:sz w:val="44"/>
        </w:rPr>
      </w:pPr>
      <w:r>
        <w:rPr>
          <w:rFonts w:hint="eastAsia" w:ascii="宋体" w:hAnsi="宋体" w:eastAsia="宋体" w:cs="宋体"/>
          <w:color w:val="auto"/>
          <w:spacing w:val="1"/>
          <w:kern w:val="0"/>
          <w:sz w:val="21"/>
          <w:szCs w:val="21"/>
        </w:rPr>
        <w:br w:type="page"/>
      </w:r>
    </w:p>
    <w:p>
      <w:pPr>
        <w:spacing w:after="1050"/>
        <w:ind w:left="4321"/>
        <w:rPr>
          <w:rFonts w:ascii="宋体" w:hAnsi="宋体" w:eastAsia="宋体" w:cs="宋体"/>
          <w:b/>
          <w:color w:val="auto"/>
          <w:sz w:val="44"/>
        </w:rPr>
      </w:pPr>
    </w:p>
    <w:p>
      <w:pPr>
        <w:spacing w:after="1050"/>
        <w:ind w:left="4321"/>
        <w:rPr>
          <w:rFonts w:ascii="宋体" w:hAnsi="宋体" w:eastAsia="宋体" w:cs="宋体"/>
          <w:b/>
          <w:color w:val="auto"/>
          <w:sz w:val="44"/>
        </w:rPr>
      </w:pPr>
    </w:p>
    <w:p>
      <w:pPr>
        <w:spacing w:after="1050"/>
        <w:ind w:left="4321"/>
        <w:rPr>
          <w:rFonts w:ascii="宋体" w:hAnsi="宋体" w:eastAsia="宋体" w:cs="宋体"/>
          <w:color w:val="auto"/>
        </w:rPr>
      </w:pPr>
    </w:p>
    <w:p>
      <w:pPr>
        <w:pStyle w:val="3"/>
        <w:spacing w:after="982"/>
        <w:ind w:left="3653" w:right="0"/>
        <w:jc w:val="left"/>
        <w:rPr>
          <w:rFonts w:ascii="宋体" w:hAnsi="宋体" w:eastAsia="宋体" w:cs="宋体"/>
          <w:color w:val="auto"/>
        </w:rPr>
      </w:pPr>
      <w:bookmarkStart w:id="276" w:name="_Toc142406650"/>
      <w:r>
        <w:rPr>
          <w:rFonts w:hint="eastAsia" w:ascii="宋体" w:hAnsi="宋体" w:eastAsia="宋体" w:cs="宋体"/>
          <w:color w:val="auto"/>
          <w:sz w:val="44"/>
        </w:rPr>
        <w:t>第三卷</w:t>
      </w:r>
      <w:bookmarkEnd w:id="276"/>
    </w:p>
    <w:p>
      <w:pPr>
        <w:spacing w:after="0"/>
        <w:ind w:right="1601"/>
        <w:jc w:val="right"/>
        <w:rPr>
          <w:rFonts w:ascii="宋体" w:hAnsi="宋体" w:eastAsia="宋体" w:cs="宋体"/>
          <w:color w:val="auto"/>
        </w:rPr>
      </w:pPr>
      <w:r>
        <w:rPr>
          <w:rFonts w:hint="eastAsia" w:ascii="宋体" w:hAnsi="宋体" w:eastAsia="宋体" w:cs="宋体"/>
          <w:color w:val="auto"/>
          <w:sz w:val="21"/>
        </w:rPr>
        <w:tab/>
      </w:r>
      <w:r>
        <w:rPr>
          <w:rFonts w:hint="eastAsia" w:ascii="宋体" w:hAnsi="宋体" w:eastAsia="宋体" w:cs="宋体"/>
          <w:color w:val="auto"/>
        </w:rPr>
        <w:br w:type="page"/>
      </w:r>
    </w:p>
    <w:p>
      <w:pPr>
        <w:pStyle w:val="3"/>
        <w:spacing w:after="850" w:line="345" w:lineRule="auto"/>
        <w:ind w:right="2550"/>
        <w:jc w:val="right"/>
        <w:rPr>
          <w:rFonts w:ascii="宋体" w:hAnsi="宋体" w:eastAsia="宋体" w:cs="宋体"/>
          <w:color w:val="auto"/>
        </w:rPr>
      </w:pPr>
      <w:bookmarkStart w:id="277" w:name="_Toc142406651"/>
      <w:r>
        <w:rPr>
          <w:rFonts w:hint="eastAsia" w:ascii="宋体" w:hAnsi="宋体" w:eastAsia="宋体" w:cs="宋体"/>
          <w:color w:val="auto"/>
          <w:sz w:val="44"/>
        </w:rPr>
        <w:t>第六章投标文件格式</w:t>
      </w:r>
      <w:bookmarkEnd w:id="277"/>
    </w:p>
    <w:p>
      <w:pPr>
        <w:spacing w:after="137"/>
        <w:rPr>
          <w:rFonts w:ascii="宋体" w:hAnsi="宋体" w:eastAsia="宋体" w:cs="宋体"/>
          <w:color w:val="auto"/>
        </w:rPr>
      </w:pPr>
    </w:p>
    <w:p>
      <w:pPr>
        <w:spacing w:after="0"/>
        <w:rPr>
          <w:rFonts w:ascii="宋体" w:hAnsi="宋体" w:eastAsia="宋体" w:cs="宋体"/>
          <w:color w:val="auto"/>
        </w:rPr>
      </w:pPr>
      <w:r>
        <w:rPr>
          <w:rFonts w:hint="eastAsia" w:ascii="宋体" w:hAnsi="宋体" w:eastAsia="宋体" w:cs="宋体"/>
          <w:color w:val="auto"/>
          <w:sz w:val="21"/>
        </w:rPr>
        <w:tab/>
      </w:r>
      <w:r>
        <w:rPr>
          <w:rFonts w:hint="eastAsia" w:ascii="宋体" w:hAnsi="宋体" w:eastAsia="宋体" w:cs="宋体"/>
          <w:color w:val="auto"/>
        </w:rPr>
        <w:br w:type="page"/>
      </w:r>
    </w:p>
    <w:p>
      <w:pPr>
        <w:spacing w:after="0"/>
        <w:rPr>
          <w:rFonts w:ascii="宋体" w:hAnsi="宋体" w:eastAsia="宋体" w:cs="宋体"/>
          <w:color w:val="auto"/>
        </w:rPr>
      </w:pPr>
    </w:p>
    <w:p>
      <w:pPr>
        <w:spacing w:after="0" w:line="265" w:lineRule="auto"/>
        <w:ind w:left="10" w:right="212" w:hanging="10"/>
        <w:jc w:val="center"/>
        <w:rPr>
          <w:rFonts w:ascii="宋体" w:hAnsi="宋体" w:eastAsia="宋体" w:cs="宋体"/>
          <w:color w:val="auto"/>
        </w:rPr>
      </w:pPr>
      <w:r>
        <w:rPr>
          <w:rFonts w:hint="eastAsia" w:ascii="宋体" w:hAnsi="宋体" w:eastAsia="宋体" w:cs="宋体"/>
          <w:color w:val="auto"/>
          <w:sz w:val="28"/>
        </w:rPr>
        <w:t>（项目名称）</w:t>
      </w:r>
    </w:p>
    <w:p>
      <w:pPr>
        <w:spacing w:after="0"/>
        <w:rPr>
          <w:rFonts w:ascii="宋体" w:hAnsi="宋体" w:eastAsia="宋体" w:cs="宋体"/>
          <w:color w:val="auto"/>
        </w:rPr>
      </w:pPr>
    </w:p>
    <w:p>
      <w:pPr>
        <w:spacing w:after="254"/>
        <w:rPr>
          <w:rFonts w:ascii="宋体" w:hAnsi="宋体" w:eastAsia="宋体" w:cs="宋体"/>
          <w:color w:val="auto"/>
        </w:rPr>
      </w:pPr>
    </w:p>
    <w:p>
      <w:pPr>
        <w:spacing w:after="0"/>
        <w:ind w:right="213"/>
        <w:jc w:val="center"/>
        <w:rPr>
          <w:rFonts w:ascii="宋体" w:hAnsi="宋体" w:eastAsia="宋体" w:cs="宋体"/>
          <w:color w:val="auto"/>
        </w:rPr>
      </w:pPr>
      <w:r>
        <w:rPr>
          <w:rFonts w:hint="eastAsia" w:ascii="宋体" w:hAnsi="宋体" w:eastAsia="宋体" w:cs="宋体"/>
          <w:color w:val="auto"/>
          <w:sz w:val="44"/>
        </w:rPr>
        <w:t xml:space="preserve">投 标 文 件 </w:t>
      </w:r>
    </w:p>
    <w:p>
      <w:pPr>
        <w:spacing w:after="0"/>
        <w:ind w:right="104"/>
        <w:jc w:val="center"/>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0"/>
        <w:rPr>
          <w:rFonts w:ascii="宋体" w:hAnsi="宋体" w:eastAsia="宋体" w:cs="宋体"/>
          <w:color w:val="auto"/>
        </w:rPr>
      </w:pPr>
    </w:p>
    <w:p>
      <w:pPr>
        <w:spacing w:after="196"/>
        <w:rPr>
          <w:rFonts w:ascii="宋体" w:hAnsi="宋体" w:eastAsia="宋体" w:cs="宋体"/>
          <w:color w:val="auto"/>
        </w:rPr>
      </w:pPr>
    </w:p>
    <w:p>
      <w:pPr>
        <w:spacing w:after="0" w:line="379" w:lineRule="auto"/>
        <w:ind w:left="1131" w:hanging="10"/>
        <w:rPr>
          <w:rFonts w:ascii="宋体" w:hAnsi="宋体" w:eastAsia="宋体" w:cs="宋体"/>
          <w:color w:val="auto"/>
          <w:sz w:val="28"/>
        </w:rPr>
      </w:pPr>
      <w:r>
        <w:rPr>
          <w:rFonts w:hint="eastAsia" w:ascii="宋体" w:hAnsi="宋体" w:eastAsia="宋体" w:cs="宋体"/>
          <w:color w:val="auto"/>
          <w:sz w:val="28"/>
        </w:rPr>
        <w:t>投标人：（盖单位章）</w:t>
      </w:r>
    </w:p>
    <w:p>
      <w:pPr>
        <w:spacing w:after="0" w:line="379" w:lineRule="auto"/>
        <w:ind w:left="1131" w:hanging="10"/>
        <w:rPr>
          <w:rFonts w:ascii="宋体" w:hAnsi="宋体" w:eastAsia="宋体" w:cs="宋体"/>
          <w:color w:val="auto"/>
        </w:rPr>
      </w:pPr>
      <w:r>
        <w:rPr>
          <w:rFonts w:hint="eastAsia" w:ascii="宋体" w:hAnsi="宋体" w:eastAsia="宋体" w:cs="宋体"/>
          <w:color w:val="auto"/>
          <w:sz w:val="28"/>
        </w:rPr>
        <w:t xml:space="preserve">法定代表人或其委托代理人：（签字或盖章） </w:t>
      </w:r>
    </w:p>
    <w:p>
      <w:pPr>
        <w:spacing w:after="73"/>
        <w:ind w:right="144"/>
        <w:jc w:val="center"/>
        <w:rPr>
          <w:rFonts w:ascii="宋体" w:hAnsi="宋体" w:eastAsia="宋体" w:cs="宋体"/>
          <w:color w:val="auto"/>
        </w:rPr>
      </w:pPr>
    </w:p>
    <w:p>
      <w:pPr>
        <w:tabs>
          <w:tab w:val="center" w:pos="4320"/>
          <w:tab w:val="center" w:pos="8723"/>
        </w:tabs>
        <w:spacing w:after="127"/>
        <w:rPr>
          <w:rFonts w:ascii="宋体" w:hAnsi="宋体" w:eastAsia="宋体" w:cs="宋体"/>
          <w:color w:val="auto"/>
          <w:sz w:val="21"/>
        </w:rPr>
      </w:pPr>
      <w:r>
        <w:rPr>
          <w:rFonts w:hint="eastAsia" w:ascii="宋体" w:hAnsi="宋体" w:eastAsia="宋体" w:cs="宋体"/>
          <w:color w:val="auto"/>
        </w:rPr>
        <w:tab/>
      </w:r>
      <w:r>
        <w:rPr>
          <w:rFonts w:hint="eastAsia" w:ascii="宋体" w:hAnsi="宋体" w:eastAsia="宋体" w:cs="宋体"/>
          <w:color w:val="auto"/>
          <w:sz w:val="28"/>
        </w:rPr>
        <w:t>年月日</w:t>
      </w:r>
    </w:p>
    <w:p>
      <w:pPr>
        <w:tabs>
          <w:tab w:val="center" w:pos="4320"/>
          <w:tab w:val="center" w:pos="8723"/>
        </w:tabs>
        <w:spacing w:after="127"/>
        <w:rPr>
          <w:rFonts w:ascii="宋体" w:hAnsi="宋体" w:eastAsia="宋体" w:cs="宋体"/>
          <w:color w:val="auto"/>
        </w:rPr>
      </w:pPr>
      <w:r>
        <w:rPr>
          <w:rFonts w:hint="eastAsia" w:ascii="宋体" w:hAnsi="宋体" w:eastAsia="宋体" w:cs="宋体"/>
          <w:color w:val="auto"/>
          <w:sz w:val="21"/>
        </w:rPr>
        <w:br w:type="page"/>
      </w:r>
      <w:r>
        <w:rPr>
          <w:rFonts w:hint="eastAsia" w:ascii="宋体" w:hAnsi="宋体" w:eastAsia="宋体" w:cs="宋体"/>
          <w:color w:val="auto"/>
          <w:sz w:val="21"/>
        </w:rPr>
        <w:tab/>
      </w:r>
    </w:p>
    <w:p>
      <w:pPr>
        <w:pStyle w:val="4"/>
        <w:spacing w:after="645" w:line="267" w:lineRule="auto"/>
        <w:ind w:right="4215"/>
        <w:jc w:val="right"/>
        <w:rPr>
          <w:rFonts w:ascii="宋体" w:hAnsi="宋体" w:eastAsia="宋体" w:cs="宋体"/>
          <w:color w:val="auto"/>
        </w:rPr>
      </w:pPr>
      <w:bookmarkStart w:id="278" w:name="_Toc508788697"/>
      <w:bookmarkStart w:id="279" w:name="_Toc142406652"/>
      <w:r>
        <w:rPr>
          <w:rFonts w:hint="eastAsia" w:ascii="宋体" w:hAnsi="宋体" w:eastAsia="宋体" w:cs="宋体"/>
          <w:color w:val="auto"/>
          <w:sz w:val="32"/>
        </w:rPr>
        <w:t>目录</w:t>
      </w:r>
      <w:bookmarkEnd w:id="278"/>
      <w:bookmarkEnd w:id="279"/>
    </w:p>
    <w:p>
      <w:pPr>
        <w:spacing w:after="282"/>
        <w:rPr>
          <w:rFonts w:ascii="宋体" w:hAnsi="宋体" w:eastAsia="宋体" w:cs="宋体"/>
          <w:color w:val="auto"/>
        </w:rPr>
      </w:pPr>
      <w:r>
        <w:rPr>
          <w:rFonts w:hint="eastAsia" w:ascii="宋体" w:hAnsi="宋体" w:eastAsia="宋体" w:cs="宋体"/>
          <w:color w:val="auto"/>
          <w:sz w:val="21"/>
        </w:rPr>
        <w:t>注：除本章“格式一”必须按招标文件规定的格式进行编制外，其余格式仅供参考。</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一、投标函及投标函附录</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二、法定代表人身份证明（适用于无委托代理人的情况）</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三、授权委托书（适用于有委托代理人的情况）</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四、联合体共同投标协议书（如有）</w:t>
      </w:r>
    </w:p>
    <w:p>
      <w:pPr>
        <w:spacing w:line="380" w:lineRule="exact"/>
        <w:rPr>
          <w:rFonts w:ascii="宋体" w:hAnsi="宋体" w:eastAsia="宋体" w:cs="宋体"/>
          <w:color w:val="auto"/>
        </w:rPr>
      </w:pPr>
      <w:r>
        <w:rPr>
          <w:rFonts w:hint="eastAsia" w:ascii="宋体" w:hAnsi="宋体" w:eastAsia="宋体" w:cs="宋体"/>
          <w:color w:val="auto"/>
          <w:sz w:val="21"/>
          <w:u w:val="single"/>
        </w:rPr>
        <w:t>五、投标保证金</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六、资格审查资料</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七、资信业绩资料</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八、检测、监测方案</w:t>
      </w:r>
    </w:p>
    <w:p>
      <w:pPr>
        <w:spacing w:line="380" w:lineRule="exact"/>
        <w:rPr>
          <w:rFonts w:ascii="宋体" w:hAnsi="宋体" w:eastAsia="宋体" w:cs="宋体"/>
          <w:color w:val="auto"/>
          <w:sz w:val="21"/>
          <w:u w:val="single"/>
        </w:rPr>
      </w:pPr>
      <w:r>
        <w:rPr>
          <w:rFonts w:hint="eastAsia" w:ascii="宋体" w:hAnsi="宋体" w:eastAsia="宋体" w:cs="宋体"/>
          <w:color w:val="auto"/>
          <w:sz w:val="21"/>
          <w:u w:val="single"/>
        </w:rPr>
        <w:t>九、其他资料</w:t>
      </w:r>
    </w:p>
    <w:p>
      <w:pPr>
        <w:spacing w:after="0"/>
        <w:rPr>
          <w:rFonts w:ascii="宋体" w:hAnsi="宋体" w:eastAsia="宋体" w:cs="宋体"/>
          <w:color w:val="auto"/>
          <w:sz w:val="20"/>
        </w:rPr>
      </w:pPr>
      <w:r>
        <w:rPr>
          <w:rFonts w:hint="eastAsia" w:ascii="宋体" w:hAnsi="宋体" w:eastAsia="宋体" w:cs="宋体"/>
          <w:color w:val="auto"/>
          <w:sz w:val="21"/>
        </w:rPr>
        <w:tab/>
      </w:r>
    </w:p>
    <w:p>
      <w:pPr>
        <w:pStyle w:val="4"/>
        <w:spacing w:line="600" w:lineRule="auto"/>
        <w:jc w:val="center"/>
        <w:rPr>
          <w:rFonts w:ascii="宋体" w:hAnsi="宋体" w:eastAsia="宋体"/>
          <w:sz w:val="30"/>
          <w:szCs w:val="30"/>
        </w:rPr>
      </w:pPr>
      <w:bookmarkStart w:id="280" w:name="_Toc508788698"/>
      <w:r>
        <w:rPr>
          <w:rFonts w:hint="eastAsia" w:ascii="宋体" w:hAnsi="宋体" w:eastAsia="宋体" w:cs="宋体"/>
          <w:color w:val="auto"/>
          <w:sz w:val="32"/>
        </w:rPr>
        <w:br w:type="page"/>
      </w:r>
      <w:bookmarkStart w:id="281" w:name="_Toc142406653"/>
      <w:r>
        <w:rPr>
          <w:rFonts w:hint="eastAsia" w:ascii="宋体" w:hAnsi="宋体" w:eastAsia="宋体" w:cs="宋体"/>
          <w:b/>
          <w:bCs/>
          <w:color w:val="auto"/>
          <w:sz w:val="32"/>
        </w:rPr>
        <w:t>格式一、投标函及投标函附录</w:t>
      </w:r>
      <w:bookmarkEnd w:id="280"/>
      <w:bookmarkEnd w:id="281"/>
      <w:bookmarkStart w:id="282" w:name="_Toc352691656"/>
      <w:bookmarkStart w:id="283" w:name="_Toc6931"/>
      <w:bookmarkStart w:id="284" w:name="_Toc369531692"/>
    </w:p>
    <w:bookmarkEnd w:id="282"/>
    <w:bookmarkEnd w:id="283"/>
    <w:bookmarkEnd w:id="284"/>
    <w:p>
      <w:pPr>
        <w:pStyle w:val="5"/>
        <w:spacing w:line="240" w:lineRule="auto"/>
        <w:jc w:val="center"/>
        <w:rPr>
          <w:rFonts w:ascii="宋体" w:hAnsi="宋体" w:eastAsia="宋体"/>
          <w:sz w:val="28"/>
          <w:szCs w:val="28"/>
        </w:rPr>
      </w:pPr>
      <w:bookmarkStart w:id="285" w:name="_Toc8858"/>
      <w:bookmarkStart w:id="286" w:name="_Toc535938752"/>
      <w:bookmarkStart w:id="287" w:name="_Toc142406654"/>
      <w:bookmarkStart w:id="288" w:name="_Toc529196601"/>
      <w:bookmarkStart w:id="289" w:name="_Toc530470643"/>
      <w:r>
        <w:rPr>
          <w:rFonts w:ascii="宋体" w:hAnsi="宋体" w:eastAsia="宋体"/>
          <w:sz w:val="28"/>
          <w:szCs w:val="28"/>
        </w:rPr>
        <w:t>（一）投标函</w:t>
      </w:r>
      <w:bookmarkEnd w:id="285"/>
      <w:bookmarkEnd w:id="286"/>
      <w:bookmarkEnd w:id="287"/>
      <w:bookmarkEnd w:id="288"/>
      <w:bookmarkEnd w:id="289"/>
    </w:p>
    <w:p>
      <w:pPr>
        <w:spacing w:line="360" w:lineRule="auto"/>
        <w:rPr>
          <w:rFonts w:ascii="宋体" w:hAnsi="宋体"/>
          <w:sz w:val="24"/>
          <w:szCs w:val="24"/>
        </w:rPr>
      </w:pPr>
      <w:bookmarkStart w:id="290" w:name="_Toc482188652"/>
      <w:bookmarkStart w:id="291" w:name="_Toc385943066"/>
      <w:bookmarkStart w:id="292" w:name="_Toc370676427"/>
      <w:bookmarkStart w:id="293" w:name="_Toc391394112"/>
      <w:bookmarkStart w:id="294" w:name="_Toc359594236"/>
      <w:r>
        <w:rPr>
          <w:rFonts w:hint="eastAsia" w:ascii="宋体" w:hAnsi="宋体"/>
          <w:sz w:val="24"/>
          <w:szCs w:val="24"/>
        </w:rPr>
        <w:t xml:space="preserve">致：  </w:t>
      </w:r>
      <w:r>
        <w:rPr>
          <w:rFonts w:hint="eastAsia" w:ascii="宋体" w:hAnsi="宋体"/>
          <w:sz w:val="24"/>
          <w:szCs w:val="24"/>
          <w:u w:val="single"/>
        </w:rPr>
        <w:t xml:space="preserve">（招标人）          </w:t>
      </w:r>
    </w:p>
    <w:p>
      <w:pPr>
        <w:pStyle w:val="14"/>
        <w:spacing w:after="0" w:line="360" w:lineRule="auto"/>
        <w:ind w:firstLine="480" w:firstLineChars="200"/>
        <w:rPr>
          <w:rFonts w:ascii="宋体" w:hAnsi="宋体"/>
          <w:sz w:val="24"/>
        </w:rPr>
      </w:pPr>
      <w:r>
        <w:rPr>
          <w:rFonts w:hint="eastAsia" w:ascii="宋体" w:hAnsi="宋体"/>
          <w:sz w:val="24"/>
        </w:rPr>
        <w:t>1. 在仔细分析研究了贵单位提供的</w:t>
      </w:r>
      <w:r>
        <w:rPr>
          <w:rFonts w:hint="eastAsia" w:ascii="宋体" w:hAnsi="宋体"/>
          <w:sz w:val="24"/>
          <w:u w:val="single"/>
        </w:rPr>
        <w:t xml:space="preserve">        （项目名称）      </w:t>
      </w:r>
      <w:r>
        <w:rPr>
          <w:rFonts w:hint="eastAsia" w:ascii="宋体" w:hAnsi="宋体"/>
          <w:sz w:val="24"/>
        </w:rPr>
        <w:t>招标文件后，我方愿意以招标控制价下浮</w:t>
      </w:r>
      <w:r>
        <w:rPr>
          <w:rFonts w:hint="eastAsia" w:ascii="宋体" w:hAnsi="宋体"/>
          <w:sz w:val="24"/>
          <w:u w:val="single"/>
        </w:rPr>
        <w:t xml:space="preserve">    %</w:t>
      </w:r>
      <w:r>
        <w:rPr>
          <w:rFonts w:hint="eastAsia" w:ascii="宋体" w:hAnsi="宋体"/>
          <w:sz w:val="24"/>
        </w:rPr>
        <w:t>，即人民币（大写）（小写：</w:t>
      </w:r>
      <w:r>
        <w:rPr>
          <w:rFonts w:hint="eastAsia" w:ascii="宋体" w:hAnsi="宋体"/>
          <w:sz w:val="24"/>
          <w:u w:val="single"/>
        </w:rPr>
        <w:t>　　　　　元</w:t>
      </w:r>
      <w:r>
        <w:rPr>
          <w:rFonts w:hint="eastAsia" w:ascii="宋体" w:hAnsi="宋体"/>
          <w:sz w:val="24"/>
        </w:rPr>
        <w:t>）作为本项目的投标总价，并按招标文件的有关规定要求，承担全部服务任务工作。</w:t>
      </w:r>
    </w:p>
    <w:p>
      <w:pPr>
        <w:pStyle w:val="14"/>
        <w:numPr>
          <w:ilvl w:val="0"/>
          <w:numId w:val="9"/>
        </w:numPr>
        <w:spacing w:after="0" w:line="360" w:lineRule="auto"/>
        <w:ind w:firstLine="480" w:firstLineChars="200"/>
        <w:rPr>
          <w:rFonts w:ascii="宋体" w:hAnsi="宋体"/>
          <w:sz w:val="24"/>
          <w:szCs w:val="24"/>
        </w:rPr>
      </w:pPr>
      <w:r>
        <w:rPr>
          <w:rFonts w:hint="eastAsia" w:ascii="宋体" w:hAnsi="宋体"/>
          <w:sz w:val="24"/>
          <w:szCs w:val="24"/>
        </w:rPr>
        <w:t>我方完全愿意接受本项目招标文件中的合同条款，如我方中标，我们将在招标人要求的时间内签订技术服务合同。</w:t>
      </w:r>
    </w:p>
    <w:p>
      <w:pPr>
        <w:pStyle w:val="14"/>
        <w:numPr>
          <w:ilvl w:val="0"/>
          <w:numId w:val="9"/>
        </w:numPr>
        <w:spacing w:after="0" w:line="360" w:lineRule="auto"/>
        <w:ind w:firstLine="480" w:firstLineChars="200"/>
        <w:rPr>
          <w:rFonts w:ascii="宋体" w:hAnsi="宋体"/>
          <w:sz w:val="24"/>
          <w:szCs w:val="24"/>
        </w:rPr>
      </w:pPr>
      <w:r>
        <w:rPr>
          <w:rFonts w:hint="eastAsia" w:ascii="宋体" w:hAnsi="宋体"/>
          <w:sz w:val="24"/>
          <w:szCs w:val="24"/>
        </w:rPr>
        <w:t>我单位承诺，如果我单位中标，我单位保证在接到委托人开工指令后，按承诺工期完成并交付合同规定的全部工作内容；若委托人在工程实施过程中根据项目实际需要提出增加检测、监测工作（包括增加检测、监测项目等）的指令，我单位将无条件按委托人要求开展相关工作。</w:t>
      </w:r>
    </w:p>
    <w:p>
      <w:pPr>
        <w:spacing w:line="360" w:lineRule="auto"/>
        <w:ind w:firstLine="480" w:firstLineChars="200"/>
        <w:rPr>
          <w:rFonts w:ascii="宋体" w:hAnsi="宋体"/>
          <w:sz w:val="24"/>
          <w:szCs w:val="24"/>
        </w:rPr>
      </w:pPr>
      <w:r>
        <w:rPr>
          <w:rFonts w:hint="eastAsia" w:ascii="宋体" w:hAnsi="宋体"/>
          <w:sz w:val="24"/>
          <w:szCs w:val="24"/>
        </w:rPr>
        <w:t>4.我单位承诺，如果我单位中标，我单位将按本投标文件的承诺为上述工作投入足够的设备、仪器、软件以及项目管理人员和技术人员等，并按要求驻场服务。</w:t>
      </w:r>
    </w:p>
    <w:p>
      <w:pPr>
        <w:numPr>
          <w:ilvl w:val="255"/>
          <w:numId w:val="0"/>
        </w:numPr>
        <w:spacing w:after="0" w:line="360" w:lineRule="auto"/>
        <w:ind w:firstLine="440" w:firstLineChars="200"/>
        <w:rPr>
          <w:rFonts w:ascii="宋体" w:hAnsi="宋体"/>
          <w:sz w:val="24"/>
          <w:szCs w:val="24"/>
        </w:rPr>
      </w:pPr>
      <w:r>
        <w:rPr>
          <w:rFonts w:hint="eastAsia" w:eastAsia="宋体"/>
        </w:rPr>
        <w:t>5</w:t>
      </w:r>
      <w:r>
        <w:rPr>
          <w:rFonts w:hint="eastAsia" w:ascii="宋体" w:hAnsi="宋体"/>
          <w:sz w:val="24"/>
          <w:szCs w:val="24"/>
        </w:rPr>
        <w:t>.我方同意在规定的投标有效期内严格遵守本投标书，本投标书对我单位始终有约束力，且随时接受中标。</w:t>
      </w:r>
    </w:p>
    <w:p>
      <w:pPr>
        <w:spacing w:line="360" w:lineRule="auto"/>
        <w:ind w:firstLine="480" w:firstLineChars="200"/>
        <w:rPr>
          <w:rFonts w:ascii="宋体" w:hAnsi="宋体"/>
          <w:sz w:val="24"/>
          <w:szCs w:val="24"/>
        </w:rPr>
      </w:pPr>
      <w:r>
        <w:rPr>
          <w:rFonts w:hint="eastAsia" w:ascii="宋体" w:hAnsi="宋体" w:eastAsia="宋体"/>
          <w:sz w:val="24"/>
          <w:szCs w:val="24"/>
        </w:rPr>
        <w:t>6</w:t>
      </w:r>
      <w:r>
        <w:rPr>
          <w:rFonts w:hint="eastAsia" w:ascii="宋体" w:hAnsi="宋体"/>
          <w:sz w:val="24"/>
          <w:szCs w:val="24"/>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hint="eastAsia" w:ascii="宋体" w:hAnsi="宋体"/>
          <w:sz w:val="24"/>
          <w:szCs w:val="24"/>
        </w:rPr>
      </w:pPr>
      <w:r>
        <w:rPr>
          <w:rFonts w:hint="eastAsia" w:ascii="宋体" w:hAnsi="宋体" w:eastAsia="宋体"/>
          <w:sz w:val="24"/>
          <w:szCs w:val="24"/>
        </w:rPr>
        <w:t>7</w:t>
      </w:r>
      <w:r>
        <w:rPr>
          <w:rFonts w:hint="eastAsia" w:ascii="宋体" w:hAnsi="宋体"/>
          <w:sz w:val="24"/>
          <w:szCs w:val="24"/>
        </w:rPr>
        <w:t>.我们理解，贵单位不一定接受最低标价的投标文件或可能接受其他任何投标文件，同时也理解，贵单位不负担我们的任何投标费用。</w:t>
      </w:r>
    </w:p>
    <w:p>
      <w:pPr>
        <w:spacing w:line="360" w:lineRule="auto"/>
        <w:ind w:firstLine="480" w:firstLineChars="200"/>
        <w:rPr>
          <w:rFonts w:hint="eastAsia" w:ascii="宋体" w:hAnsi="宋体"/>
          <w:bCs w:val="0"/>
          <w:color w:val="000000"/>
          <w:sz w:val="24"/>
          <w:szCs w:val="24"/>
        </w:rPr>
      </w:pPr>
      <w:r>
        <w:rPr>
          <w:rFonts w:hint="eastAsia" w:ascii="宋体" w:hAnsi="宋体" w:eastAsia="Times New Roman"/>
          <w:sz w:val="24"/>
          <w:szCs w:val="24"/>
          <w:lang w:val="en-US" w:eastAsia="zh-CN"/>
        </w:rPr>
        <w:t>8.</w:t>
      </w:r>
      <w:r>
        <w:rPr>
          <w:rFonts w:hint="eastAsia" w:ascii="宋体" w:hAnsi="宋体"/>
          <w:bCs w:val="0"/>
          <w:color w:val="000000"/>
          <w:sz w:val="24"/>
          <w:szCs w:val="24"/>
        </w:rPr>
        <w:t>我方承诺不存在《广东省实施&lt;中华人民共和国招标投标法&gt;办法》第十六条所禁止的情形的。</w:t>
      </w:r>
    </w:p>
    <w:p>
      <w:pPr>
        <w:spacing w:line="360" w:lineRule="auto"/>
        <w:ind w:firstLine="3120" w:firstLineChars="1300"/>
        <w:rPr>
          <w:rFonts w:ascii="宋体" w:hAnsi="宋体"/>
          <w:sz w:val="24"/>
        </w:rPr>
      </w:pPr>
      <w:bookmarkStart w:id="295" w:name="_Toc529196602"/>
      <w:bookmarkStart w:id="296" w:name="_Toc7291"/>
      <w:bookmarkStart w:id="297" w:name="_Toc535938753"/>
      <w:bookmarkStart w:id="298" w:name="_Toc530470645"/>
      <w:r>
        <w:rPr>
          <w:rFonts w:ascii="宋体" w:hAnsi="宋体"/>
          <w:sz w:val="24"/>
        </w:rPr>
        <w:t>投标人</w:t>
      </w:r>
      <w:r>
        <w:rPr>
          <w:rFonts w:hint="eastAsia" w:ascii="宋体" w:hAnsi="宋体"/>
          <w:sz w:val="24"/>
        </w:rPr>
        <w:t>名称</w:t>
      </w:r>
      <w:r>
        <w:rPr>
          <w:rFonts w:ascii="宋体" w:hAnsi="宋体"/>
          <w:sz w:val="24"/>
        </w:rPr>
        <w:t>：</w:t>
      </w:r>
      <w:r>
        <w:rPr>
          <w:rFonts w:ascii="宋体" w:hAnsi="宋体"/>
          <w:sz w:val="24"/>
          <w:u w:val="single"/>
        </w:rPr>
        <w:tab/>
      </w:r>
      <w:r>
        <w:rPr>
          <w:rFonts w:ascii="宋体" w:hAnsi="宋体"/>
          <w:sz w:val="24"/>
        </w:rPr>
        <w:t>（盖单位章）</w:t>
      </w:r>
    </w:p>
    <w:p>
      <w:pPr>
        <w:spacing w:line="360" w:lineRule="auto"/>
        <w:ind w:firstLine="3120" w:firstLineChars="1300"/>
        <w:rPr>
          <w:rFonts w:ascii="宋体" w:hAnsi="宋体"/>
          <w:sz w:val="24"/>
        </w:rPr>
      </w:pPr>
      <w:r>
        <w:rPr>
          <w:rFonts w:ascii="宋体" w:hAnsi="宋体"/>
          <w:sz w:val="24"/>
        </w:rPr>
        <w:t>法定代表人或其委托代理人：（签字</w:t>
      </w:r>
      <w:r>
        <w:rPr>
          <w:rFonts w:hint="eastAsia" w:ascii="宋体" w:hAnsi="宋体"/>
          <w:sz w:val="24"/>
        </w:rPr>
        <w:t>或盖章</w:t>
      </w:r>
      <w:r>
        <w:rPr>
          <w:rFonts w:ascii="宋体" w:hAnsi="宋体"/>
          <w:sz w:val="24"/>
        </w:rPr>
        <w:t>）</w:t>
      </w:r>
    </w:p>
    <w:p>
      <w:pPr>
        <w:pStyle w:val="2"/>
        <w:ind w:firstLine="5400"/>
        <w:rPr>
          <w:rFonts w:ascii="宋体" w:hAnsi="宋体"/>
          <w:sz w:val="24"/>
          <w:szCs w:val="24"/>
        </w:rPr>
      </w:pPr>
      <w:r>
        <w:rPr>
          <w:rFonts w:ascii="宋体" w:hAnsi="宋体"/>
          <w:sz w:val="24"/>
        </w:rPr>
        <w:t>年</w:t>
      </w:r>
      <w:r>
        <w:rPr>
          <w:rFonts w:hint="eastAsia" w:ascii="宋体" w:hAnsi="宋体" w:eastAsia="宋体"/>
          <w:sz w:val="24"/>
        </w:rPr>
        <w:t xml:space="preserve">    </w:t>
      </w:r>
      <w:r>
        <w:rPr>
          <w:rFonts w:ascii="宋体" w:hAnsi="宋体"/>
          <w:sz w:val="24"/>
        </w:rPr>
        <w:t>月</w:t>
      </w:r>
      <w:r>
        <w:rPr>
          <w:rFonts w:hint="eastAsia" w:ascii="宋体" w:hAnsi="宋体" w:eastAsia="宋体"/>
          <w:sz w:val="24"/>
        </w:rPr>
        <w:t xml:space="preserve">    </w:t>
      </w:r>
      <w:r>
        <w:rPr>
          <w:rFonts w:ascii="宋体" w:hAnsi="宋体"/>
          <w:sz w:val="24"/>
        </w:rPr>
        <w:t>日</w:t>
      </w:r>
    </w:p>
    <w:p>
      <w:pPr>
        <w:spacing w:line="360" w:lineRule="auto"/>
        <w:ind w:firstLine="4950" w:firstLineChars="2250"/>
        <w:rPr>
          <w:rFonts w:ascii="宋体" w:hAnsi="宋体"/>
          <w:szCs w:val="21"/>
        </w:rPr>
      </w:pPr>
      <w:r>
        <w:rPr>
          <w:rFonts w:ascii="宋体" w:hAnsi="宋体"/>
          <w:szCs w:val="21"/>
        </w:rPr>
        <w:br w:type="page"/>
      </w:r>
    </w:p>
    <w:p>
      <w:pPr>
        <w:pStyle w:val="5"/>
        <w:spacing w:line="240" w:lineRule="auto"/>
        <w:jc w:val="center"/>
        <w:rPr>
          <w:rFonts w:ascii="宋体" w:hAnsi="宋体" w:eastAsia="宋体"/>
          <w:sz w:val="28"/>
          <w:szCs w:val="28"/>
        </w:rPr>
      </w:pPr>
      <w:bookmarkStart w:id="299" w:name="_Toc142406655"/>
      <w:r>
        <w:rPr>
          <w:rFonts w:ascii="宋体" w:hAnsi="宋体" w:eastAsia="宋体"/>
          <w:sz w:val="28"/>
          <w:szCs w:val="28"/>
        </w:rPr>
        <w:t>（二）投标函附录</w:t>
      </w:r>
      <w:bookmarkEnd w:id="290"/>
      <w:bookmarkEnd w:id="291"/>
      <w:bookmarkEnd w:id="292"/>
      <w:bookmarkEnd w:id="293"/>
      <w:bookmarkEnd w:id="294"/>
      <w:bookmarkEnd w:id="295"/>
      <w:bookmarkEnd w:id="296"/>
      <w:bookmarkEnd w:id="297"/>
      <w:bookmarkEnd w:id="298"/>
      <w:bookmarkEnd w:id="299"/>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2618"/>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666" w:type="dxa"/>
            <w:noWrap/>
            <w:vAlign w:val="center"/>
          </w:tcPr>
          <w:p>
            <w:pPr>
              <w:jc w:val="center"/>
              <w:rPr>
                <w:rFonts w:ascii="宋体" w:hAnsi="宋体" w:cs="宋体"/>
                <w:bCs/>
              </w:rPr>
            </w:pPr>
            <w:r>
              <w:rPr>
                <w:rFonts w:hint="eastAsia" w:ascii="宋体" w:hAnsi="宋体" w:cs="宋体"/>
                <w:bCs/>
              </w:rPr>
              <w:t>工程名称</w:t>
            </w:r>
          </w:p>
        </w:tc>
        <w:tc>
          <w:tcPr>
            <w:tcW w:w="6105" w:type="dxa"/>
            <w:gridSpan w:val="2"/>
            <w:noWrap/>
            <w:vAlign w:val="center"/>
          </w:tcPr>
          <w:p>
            <w:pPr>
              <w:wordWrap w:val="0"/>
              <w:spacing w:line="360" w:lineRule="auto"/>
              <w:jc w:val="center"/>
              <w:rPr>
                <w:rFonts w:ascii="宋体" w:hAnsi="宋体" w:cs="宋体"/>
                <w:bCs/>
              </w:rPr>
            </w:pPr>
          </w:p>
          <w:p>
            <w:pPr>
              <w:wordWrap w:val="0"/>
              <w:spacing w:line="360" w:lineRule="auto"/>
              <w:jc w:val="center"/>
              <w:rPr>
                <w:rFonts w:ascii="宋体" w:hAnsi="宋体" w:cs="宋体"/>
                <w:sz w:val="24"/>
                <w:szCs w:val="24"/>
              </w:rPr>
            </w:pPr>
            <w:r>
              <w:rPr>
                <w:rFonts w:ascii="宋体" w:hAnsi="宋体" w:cs="宋体"/>
                <w:szCs w:val="21"/>
              </w:rPr>
              <w:t>广州北站东侧老旧小区成片连片微改造</w:t>
            </w:r>
            <w:r>
              <w:rPr>
                <w:rFonts w:hint="eastAsia" w:ascii="宋体" w:hAnsi="宋体" w:cs="宋体"/>
                <w:szCs w:val="21"/>
              </w:rPr>
              <w:t>项目第三方检测、监测</w:t>
            </w:r>
            <w:r>
              <w:rPr>
                <w:rStyle w:val="39"/>
                <w:rFonts w:hint="eastAsia"/>
              </w:rPr>
              <w:t>服务</w:t>
            </w:r>
          </w:p>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666" w:type="dxa"/>
            <w:noWrap/>
            <w:vAlign w:val="center"/>
          </w:tcPr>
          <w:p>
            <w:pPr>
              <w:jc w:val="center"/>
              <w:rPr>
                <w:rFonts w:ascii="宋体" w:hAnsi="宋体" w:cs="宋体"/>
                <w:bCs/>
              </w:rPr>
            </w:pPr>
            <w:r>
              <w:rPr>
                <w:rFonts w:hint="eastAsia" w:ascii="宋体" w:hAnsi="宋体" w:cs="宋体"/>
                <w:bCs/>
              </w:rPr>
              <w:t>投标总报价</w:t>
            </w:r>
          </w:p>
        </w:tc>
        <w:tc>
          <w:tcPr>
            <w:tcW w:w="6105" w:type="dxa"/>
            <w:gridSpan w:val="2"/>
            <w:noWrap/>
            <w:vAlign w:val="center"/>
          </w:tcPr>
          <w:p>
            <w:pPr>
              <w:jc w:val="center"/>
              <w:rPr>
                <w:rFonts w:ascii="宋体" w:hAnsi="宋体" w:cs="宋体"/>
                <w:bCs/>
              </w:rPr>
            </w:pPr>
            <w:r>
              <w:rPr>
                <w:rFonts w:hint="eastAsia" w:ascii="宋体" w:hAnsi="宋体" w:cs="宋体"/>
                <w:bCs/>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66" w:type="dxa"/>
            <w:noWrap/>
            <w:vAlign w:val="center"/>
          </w:tcPr>
          <w:p>
            <w:pPr>
              <w:jc w:val="center"/>
              <w:rPr>
                <w:rFonts w:ascii="宋体" w:hAnsi="宋体" w:cs="宋体"/>
                <w:bCs/>
              </w:rPr>
            </w:pPr>
            <w:r>
              <w:rPr>
                <w:rFonts w:hint="eastAsia" w:ascii="宋体" w:hAnsi="宋体" w:cs="宋体"/>
                <w:bCs/>
              </w:rPr>
              <w:t>下浮率</w:t>
            </w:r>
          </w:p>
        </w:tc>
        <w:tc>
          <w:tcPr>
            <w:tcW w:w="6105" w:type="dxa"/>
            <w:gridSpan w:val="2"/>
            <w:noWrap/>
            <w:vAlign w:val="center"/>
          </w:tcPr>
          <w:p>
            <w:pPr>
              <w:ind w:firstLine="2200" w:firstLineChars="1000"/>
              <w:rPr>
                <w:rFonts w:ascii="宋体" w:hAnsi="宋体" w:cs="宋体"/>
                <w:bCs/>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66" w:type="dxa"/>
            <w:noWrap/>
            <w:vAlign w:val="center"/>
          </w:tcPr>
          <w:p>
            <w:pPr>
              <w:jc w:val="center"/>
              <w:rPr>
                <w:rFonts w:ascii="宋体" w:hAnsi="宋体" w:cs="宋体"/>
                <w:bCs/>
              </w:rPr>
            </w:pPr>
            <w:r>
              <w:rPr>
                <w:rFonts w:hint="eastAsia" w:ascii="宋体" w:hAnsi="宋体" w:cs="宋体"/>
                <w:bCs/>
              </w:rPr>
              <w:t>服务期</w:t>
            </w:r>
          </w:p>
        </w:tc>
        <w:tc>
          <w:tcPr>
            <w:tcW w:w="6105" w:type="dxa"/>
            <w:gridSpan w:val="2"/>
            <w:noWrap/>
            <w:vAlign w:val="center"/>
          </w:tcPr>
          <w:p>
            <w:pPr>
              <w:jc w:val="center"/>
              <w:rPr>
                <w:rFonts w:ascii="宋体" w:hAnsi="宋体" w:cs="宋体"/>
                <w:bCs/>
              </w:rPr>
            </w:pPr>
            <w:r>
              <w:rPr>
                <w:rFonts w:ascii="宋体" w:hAnsi="宋体" w:cs="宋体"/>
                <w:bCs/>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66" w:type="dxa"/>
            <w:noWrap/>
            <w:vAlign w:val="center"/>
          </w:tcPr>
          <w:p>
            <w:pPr>
              <w:jc w:val="center"/>
              <w:rPr>
                <w:rFonts w:ascii="宋体" w:hAnsi="宋体" w:cs="宋体"/>
                <w:bCs/>
              </w:rPr>
            </w:pPr>
            <w:r>
              <w:rPr>
                <w:rFonts w:hint="eastAsia" w:ascii="宋体" w:hAnsi="宋体" w:cs="宋体"/>
                <w:bCs/>
              </w:rPr>
              <w:t>质量标准</w:t>
            </w:r>
          </w:p>
        </w:tc>
        <w:tc>
          <w:tcPr>
            <w:tcW w:w="6105" w:type="dxa"/>
            <w:gridSpan w:val="2"/>
            <w:noWrap/>
            <w:vAlign w:val="center"/>
          </w:tcPr>
          <w:p>
            <w:pPr>
              <w:jc w:val="center"/>
              <w:rPr>
                <w:rFonts w:ascii="宋体" w:hAnsi="宋体" w:cs="宋体"/>
                <w:bCs/>
              </w:rPr>
            </w:pPr>
            <w:r>
              <w:rPr>
                <w:rFonts w:ascii="宋体" w:hAnsi="宋体" w:cs="宋体"/>
                <w:bCs/>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66" w:type="dxa"/>
            <w:noWrap/>
            <w:vAlign w:val="center"/>
          </w:tcPr>
          <w:p>
            <w:pPr>
              <w:jc w:val="center"/>
              <w:rPr>
                <w:rFonts w:ascii="宋体" w:hAnsi="宋体" w:cs="宋体"/>
                <w:bCs/>
              </w:rPr>
            </w:pPr>
            <w:r>
              <w:rPr>
                <w:rFonts w:hint="eastAsia" w:ascii="宋体" w:hAnsi="宋体" w:cs="宋体"/>
                <w:bCs/>
              </w:rPr>
              <w:t>投标有效期</w:t>
            </w:r>
          </w:p>
        </w:tc>
        <w:tc>
          <w:tcPr>
            <w:tcW w:w="6105" w:type="dxa"/>
            <w:gridSpan w:val="2"/>
            <w:noWrap/>
            <w:vAlign w:val="center"/>
          </w:tcPr>
          <w:p>
            <w:pPr>
              <w:jc w:val="center"/>
              <w:rPr>
                <w:rFonts w:ascii="宋体" w:hAnsi="宋体" w:cs="宋体" w:eastAsiaTheme="minorEastAsia"/>
                <w:bCs/>
              </w:rPr>
            </w:pPr>
            <w:r>
              <w:rPr>
                <w:rFonts w:hint="eastAsia" w:ascii="宋体" w:hAnsi="宋体" w:cs="宋体" w:eastAsiaTheme="minorEastAsia"/>
                <w:bCs/>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666" w:type="dxa"/>
            <w:vMerge w:val="restart"/>
            <w:noWrap/>
            <w:vAlign w:val="center"/>
          </w:tcPr>
          <w:p>
            <w:pPr>
              <w:jc w:val="center"/>
              <w:rPr>
                <w:rFonts w:ascii="宋体" w:hAnsi="宋体" w:cs="宋体"/>
                <w:bCs/>
              </w:rPr>
            </w:pPr>
            <w:r>
              <w:rPr>
                <w:rFonts w:hint="eastAsia" w:ascii="宋体" w:hAnsi="宋体" w:cs="宋体"/>
                <w:bCs/>
              </w:rPr>
              <w:t>委派的项目负责人</w:t>
            </w:r>
          </w:p>
        </w:tc>
        <w:tc>
          <w:tcPr>
            <w:tcW w:w="2618" w:type="dxa"/>
            <w:noWrap/>
            <w:vAlign w:val="center"/>
          </w:tcPr>
          <w:p>
            <w:pPr>
              <w:jc w:val="center"/>
              <w:rPr>
                <w:rFonts w:ascii="宋体" w:hAnsi="宋体" w:cs="宋体"/>
                <w:bCs/>
              </w:rPr>
            </w:pPr>
            <w:r>
              <w:rPr>
                <w:rFonts w:hint="eastAsia" w:ascii="宋体" w:hAnsi="宋体" w:cs="宋体"/>
                <w:bCs/>
              </w:rPr>
              <w:t>姓名</w:t>
            </w:r>
          </w:p>
        </w:tc>
        <w:tc>
          <w:tcPr>
            <w:tcW w:w="3487" w:type="dxa"/>
            <w:noWrap/>
            <w:vAlign w:val="center"/>
          </w:tcPr>
          <w:p>
            <w:pPr>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666" w:type="dxa"/>
            <w:vMerge w:val="continue"/>
            <w:noWrap/>
            <w:vAlign w:val="center"/>
          </w:tcPr>
          <w:p>
            <w:pPr>
              <w:jc w:val="center"/>
              <w:rPr>
                <w:rFonts w:ascii="宋体" w:hAnsi="宋体" w:cs="宋体"/>
                <w:bCs/>
              </w:rPr>
            </w:pPr>
          </w:p>
        </w:tc>
        <w:tc>
          <w:tcPr>
            <w:tcW w:w="2618" w:type="dxa"/>
            <w:noWrap/>
            <w:vAlign w:val="center"/>
          </w:tcPr>
          <w:p>
            <w:pPr>
              <w:rPr>
                <w:rFonts w:ascii="宋体" w:hAnsi="宋体" w:cs="宋体"/>
                <w:bCs/>
              </w:rPr>
            </w:pPr>
            <w:r>
              <w:rPr>
                <w:rFonts w:hint="eastAsia" w:ascii="宋体" w:hAnsi="宋体" w:cs="宋体"/>
                <w:bCs/>
              </w:rPr>
              <w:t>技术职称、技术证书编号</w:t>
            </w:r>
          </w:p>
        </w:tc>
        <w:tc>
          <w:tcPr>
            <w:tcW w:w="3487" w:type="dxa"/>
            <w:noWrap/>
            <w:vAlign w:val="center"/>
          </w:tcPr>
          <w:p>
            <w:pPr>
              <w:jc w:val="center"/>
              <w:rPr>
                <w:rFonts w:ascii="宋体" w:hAnsi="宋体" w:cs="宋体"/>
                <w:bCs/>
              </w:rPr>
            </w:pPr>
          </w:p>
        </w:tc>
      </w:tr>
    </w:tbl>
    <w:p>
      <w:pPr>
        <w:spacing w:line="440" w:lineRule="exact"/>
        <w:ind w:firstLine="440" w:firstLineChars="200"/>
        <w:rPr>
          <w:rFonts w:ascii="宋体" w:hAnsi="宋体"/>
          <w:sz w:val="24"/>
        </w:rPr>
      </w:pPr>
      <w:r>
        <w:rPr>
          <w:rFonts w:hint="eastAsia" w:ascii="宋体" w:hAnsi="宋体" w:cs="宋体"/>
        </w:rPr>
        <w:t>本项目投标报价采用的币种为人民币，以元为单位，投标总报价、报价下浮率保留小数点后两位小数,第三位小数四舍五入。</w:t>
      </w:r>
    </w:p>
    <w:p>
      <w:pPr>
        <w:pStyle w:val="75"/>
      </w:pPr>
    </w:p>
    <w:p>
      <w:pPr>
        <w:spacing w:line="360" w:lineRule="auto"/>
        <w:ind w:firstLine="2880" w:firstLineChars="1200"/>
        <w:rPr>
          <w:rFonts w:ascii="宋体" w:hAnsi="宋体"/>
          <w:sz w:val="24"/>
        </w:rPr>
      </w:pPr>
      <w:r>
        <w:rPr>
          <w:rFonts w:ascii="宋体" w:hAnsi="宋体"/>
          <w:sz w:val="24"/>
        </w:rPr>
        <w:t>投标人</w:t>
      </w:r>
      <w:r>
        <w:rPr>
          <w:rFonts w:hint="eastAsia" w:ascii="宋体" w:hAnsi="宋体"/>
          <w:sz w:val="24"/>
        </w:rPr>
        <w:t>名称</w:t>
      </w:r>
      <w:r>
        <w:rPr>
          <w:rFonts w:ascii="宋体" w:hAnsi="宋体"/>
          <w:sz w:val="24"/>
        </w:rPr>
        <w:t>：</w:t>
      </w:r>
      <w:r>
        <w:rPr>
          <w:rFonts w:ascii="宋体" w:hAnsi="宋体"/>
          <w:sz w:val="24"/>
          <w:u w:val="single"/>
        </w:rPr>
        <w:tab/>
      </w:r>
      <w:r>
        <w:rPr>
          <w:rFonts w:ascii="宋体" w:hAnsi="宋体"/>
          <w:sz w:val="24"/>
        </w:rPr>
        <w:t>（盖单位章）</w:t>
      </w:r>
    </w:p>
    <w:p>
      <w:pPr>
        <w:spacing w:line="360" w:lineRule="auto"/>
        <w:ind w:firstLine="3120" w:firstLineChars="1300"/>
        <w:rPr>
          <w:rFonts w:ascii="宋体" w:hAnsi="宋体"/>
          <w:sz w:val="24"/>
        </w:rPr>
      </w:pPr>
      <w:r>
        <w:rPr>
          <w:rFonts w:ascii="宋体" w:hAnsi="宋体"/>
          <w:sz w:val="24"/>
        </w:rPr>
        <w:t>法定代表人或其委托代理人：（签字</w:t>
      </w:r>
      <w:r>
        <w:rPr>
          <w:rFonts w:hint="eastAsia" w:ascii="宋体" w:hAnsi="宋体"/>
          <w:sz w:val="24"/>
        </w:rPr>
        <w:t>或盖章</w:t>
      </w:r>
      <w:r>
        <w:rPr>
          <w:rFonts w:ascii="宋体" w:hAnsi="宋体"/>
          <w:sz w:val="24"/>
        </w:rPr>
        <w:t>）</w:t>
      </w:r>
    </w:p>
    <w:p>
      <w:pPr>
        <w:pStyle w:val="2"/>
        <w:ind w:firstLine="5400"/>
        <w:rPr>
          <w:rFonts w:eastAsiaTheme="minorEastAsia"/>
        </w:rPr>
      </w:pPr>
      <w:bookmarkStart w:id="300" w:name="_Toc508788700"/>
      <w:r>
        <w:rPr>
          <w:rFonts w:ascii="宋体" w:hAnsi="宋体"/>
          <w:sz w:val="24"/>
        </w:rPr>
        <w:t>年月日</w:t>
      </w: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ind w:firstLine="4950"/>
        <w:rPr>
          <w:rFonts w:eastAsiaTheme="minorEastAsia"/>
        </w:rPr>
      </w:pPr>
    </w:p>
    <w:bookmarkEnd w:id="300"/>
    <w:p>
      <w:pPr>
        <w:pStyle w:val="4"/>
        <w:spacing w:after="573"/>
        <w:ind w:right="215"/>
        <w:jc w:val="center"/>
        <w:rPr>
          <w:rFonts w:ascii="宋体" w:hAnsi="宋体" w:eastAsia="宋体" w:cs="宋体"/>
          <w:b/>
          <w:bCs/>
          <w:color w:val="auto"/>
        </w:rPr>
      </w:pPr>
      <w:bookmarkStart w:id="301" w:name="_Toc508788701"/>
      <w:bookmarkStart w:id="302" w:name="_Toc142406656"/>
      <w:r>
        <w:rPr>
          <w:rFonts w:hint="eastAsia" w:ascii="宋体" w:hAnsi="宋体" w:eastAsia="宋体" w:cs="宋体"/>
          <w:b/>
          <w:bCs/>
          <w:color w:val="auto"/>
          <w:sz w:val="32"/>
        </w:rPr>
        <w:t>格式二、法定代表人身份证明</w:t>
      </w:r>
      <w:bookmarkEnd w:id="301"/>
      <w:r>
        <w:rPr>
          <w:rFonts w:hint="eastAsia" w:ascii="宋体" w:hAnsi="宋体" w:eastAsia="宋体" w:cs="宋体"/>
          <w:b/>
          <w:bCs/>
          <w:color w:val="auto"/>
          <w:sz w:val="32"/>
        </w:rPr>
        <w:t xml:space="preserve"> （格式可自定）</w:t>
      </w:r>
      <w:bookmarkEnd w:id="302"/>
    </w:p>
    <w:p>
      <w:pPr>
        <w:spacing w:after="0" w:line="433" w:lineRule="auto"/>
        <w:ind w:right="8802"/>
        <w:rPr>
          <w:rFonts w:ascii="宋体" w:hAnsi="宋体" w:eastAsia="宋体" w:cs="宋体"/>
          <w:color w:val="auto"/>
        </w:rPr>
      </w:pPr>
    </w:p>
    <w:p>
      <w:pPr>
        <w:spacing w:after="145"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投标人名称：                     </w:t>
      </w:r>
    </w:p>
    <w:p>
      <w:pPr>
        <w:spacing w:after="2" w:line="395" w:lineRule="auto"/>
        <w:ind w:left="218" w:right="1870" w:hanging="218" w:hangingChars="104"/>
        <w:rPr>
          <w:rFonts w:ascii="宋体" w:hAnsi="宋体" w:eastAsia="宋体" w:cs="宋体"/>
          <w:color w:val="auto"/>
        </w:rPr>
      </w:pPr>
      <w:r>
        <w:rPr>
          <w:rFonts w:hint="eastAsia" w:ascii="宋体" w:hAnsi="宋体" w:eastAsia="宋体" w:cs="宋体"/>
          <w:color w:val="auto"/>
          <w:sz w:val="21"/>
        </w:rPr>
        <w:t xml:space="preserve">姓名：         性别：      年龄：     职务：            系           （投标人名称）的法定代表人。 </w:t>
      </w:r>
    </w:p>
    <w:p>
      <w:pPr>
        <w:spacing w:after="152"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特此证明。 </w:t>
      </w:r>
    </w:p>
    <w:p>
      <w:pPr>
        <w:spacing w:after="184"/>
        <w:rPr>
          <w:rFonts w:ascii="宋体" w:hAnsi="宋体" w:eastAsia="宋体" w:cs="宋体"/>
          <w:color w:val="auto"/>
        </w:rPr>
      </w:pPr>
    </w:p>
    <w:p>
      <w:pPr>
        <w:spacing w:after="153"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附：法定代表人身份证复印件。 </w:t>
      </w:r>
    </w:p>
    <w:p>
      <w:pPr>
        <w:spacing w:after="182"/>
        <w:rPr>
          <w:rFonts w:ascii="宋体" w:hAnsi="宋体" w:eastAsia="宋体" w:cs="宋体"/>
          <w:color w:val="auto"/>
        </w:rPr>
      </w:pPr>
    </w:p>
    <w:p>
      <w:pPr>
        <w:spacing w:after="155"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注：本身份证明需由投标人加盖单位公章。 </w:t>
      </w:r>
    </w:p>
    <w:p>
      <w:pPr>
        <w:spacing w:after="175"/>
        <w:rPr>
          <w:rFonts w:ascii="宋体" w:hAnsi="宋体" w:eastAsia="宋体" w:cs="宋体"/>
          <w:color w:val="auto"/>
        </w:rPr>
      </w:pPr>
    </w:p>
    <w:p>
      <w:pPr>
        <w:spacing w:after="177"/>
        <w:rPr>
          <w:rFonts w:ascii="宋体" w:hAnsi="宋体" w:eastAsia="宋体" w:cs="宋体"/>
          <w:color w:val="auto"/>
        </w:rPr>
      </w:pPr>
    </w:p>
    <w:p>
      <w:pPr>
        <w:tabs>
          <w:tab w:val="center" w:pos="2956"/>
          <w:tab w:val="center" w:pos="7052"/>
        </w:tabs>
        <w:spacing w:after="151"/>
        <w:rPr>
          <w:rFonts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sz w:val="21"/>
        </w:rPr>
        <w:t xml:space="preserve">                              投标人：</w:t>
      </w:r>
      <w:r>
        <w:rPr>
          <w:rFonts w:hint="eastAsia" w:ascii="宋体" w:hAnsi="宋体" w:eastAsia="宋体" w:cs="宋体"/>
          <w:color w:val="auto"/>
          <w:sz w:val="21"/>
          <w:u w:val="single" w:color="000000"/>
        </w:rPr>
        <w:tab/>
      </w:r>
      <w:r>
        <w:rPr>
          <w:rFonts w:hint="eastAsia" w:ascii="宋体" w:hAnsi="宋体" w:eastAsia="宋体" w:cs="宋体"/>
          <w:color w:val="auto"/>
          <w:sz w:val="21"/>
        </w:rPr>
        <w:t xml:space="preserve">（盖单位章） </w:t>
      </w:r>
    </w:p>
    <w:p>
      <w:pPr>
        <w:spacing w:after="177"/>
        <w:rPr>
          <w:rFonts w:ascii="宋体" w:hAnsi="宋体" w:eastAsia="宋体" w:cs="宋体"/>
          <w:color w:val="auto"/>
        </w:rPr>
      </w:pPr>
    </w:p>
    <w:p>
      <w:pPr>
        <w:spacing w:after="151"/>
        <w:ind w:left="10" w:right="1712" w:hanging="10"/>
        <w:jc w:val="right"/>
        <w:rPr>
          <w:rFonts w:ascii="宋体" w:hAnsi="宋体" w:eastAsia="宋体" w:cs="宋体"/>
          <w:color w:val="auto"/>
        </w:rPr>
      </w:pPr>
      <w:r>
        <w:rPr>
          <w:rFonts w:hint="eastAsia" w:ascii="宋体" w:hAnsi="宋体" w:eastAsia="宋体" w:cs="宋体"/>
          <w:color w:val="auto"/>
          <w:sz w:val="21"/>
        </w:rPr>
        <w:t xml:space="preserve">年月日 </w:t>
      </w:r>
    </w:p>
    <w:p>
      <w:pPr>
        <w:spacing w:after="192"/>
        <w:rPr>
          <w:rFonts w:ascii="宋体" w:hAnsi="宋体" w:eastAsia="宋体" w:cs="宋体"/>
          <w:color w:val="auto"/>
          <w:sz w:val="20"/>
        </w:rPr>
      </w:pPr>
    </w:p>
    <w:p>
      <w:pPr>
        <w:spacing w:after="192"/>
        <w:rPr>
          <w:rFonts w:ascii="宋体" w:hAnsi="宋体" w:eastAsia="宋体" w:cs="宋体"/>
          <w:color w:val="auto"/>
          <w:sz w:val="20"/>
        </w:rPr>
      </w:pPr>
    </w:p>
    <w:p>
      <w:pPr>
        <w:spacing w:after="192"/>
        <w:rPr>
          <w:rFonts w:ascii="宋体" w:hAnsi="宋体" w:eastAsia="宋体" w:cs="宋体"/>
          <w:color w:val="auto"/>
        </w:rPr>
      </w:pPr>
      <w:r>
        <w:rPr>
          <w:rFonts w:hint="eastAsia" w:ascii="宋体" w:hAnsi="宋体"/>
          <w:color w:val="auto"/>
        </w:rPr>
        <w:t>注：联合体投标的，法定代表人身份证明书由联合体主办方出具，“投标人名称”一栏可只填写联合体主办方名称即可。</w:t>
      </w:r>
      <w:r>
        <w:rPr>
          <w:rFonts w:hint="eastAsia" w:ascii="宋体" w:hAnsi="宋体" w:eastAsia="宋体" w:cs="宋体"/>
          <w:color w:val="auto"/>
          <w:sz w:val="20"/>
        </w:rPr>
        <w:br w:type="page"/>
      </w:r>
    </w:p>
    <w:p>
      <w:pPr>
        <w:spacing w:after="0"/>
        <w:ind w:right="1604"/>
        <w:jc w:val="right"/>
        <w:rPr>
          <w:rFonts w:ascii="宋体" w:hAnsi="宋体" w:eastAsia="宋体" w:cs="宋体"/>
          <w:color w:val="auto"/>
        </w:rPr>
      </w:pPr>
      <w:r>
        <w:rPr>
          <w:rFonts w:hint="eastAsia" w:ascii="宋体" w:hAnsi="宋体" w:eastAsia="宋体" w:cs="宋体"/>
          <w:color w:val="auto"/>
          <w:sz w:val="20"/>
        </w:rPr>
        <w:tab/>
      </w:r>
    </w:p>
    <w:p>
      <w:pPr>
        <w:pStyle w:val="4"/>
        <w:spacing w:after="573"/>
        <w:ind w:right="216"/>
        <w:jc w:val="center"/>
        <w:rPr>
          <w:rFonts w:ascii="宋体" w:hAnsi="宋体" w:eastAsia="宋体" w:cs="宋体"/>
          <w:b/>
          <w:bCs/>
          <w:color w:val="auto"/>
        </w:rPr>
      </w:pPr>
      <w:bookmarkStart w:id="303" w:name="_Toc508788702"/>
      <w:bookmarkStart w:id="304" w:name="_Toc142406657"/>
      <w:r>
        <w:rPr>
          <w:rFonts w:hint="eastAsia" w:ascii="宋体" w:hAnsi="宋体" w:eastAsia="宋体" w:cs="宋体"/>
          <w:b/>
          <w:bCs/>
          <w:color w:val="auto"/>
          <w:sz w:val="32"/>
        </w:rPr>
        <w:t>格式三、授权委托书</w:t>
      </w:r>
      <w:bookmarkEnd w:id="303"/>
      <w:r>
        <w:rPr>
          <w:rFonts w:hint="eastAsia" w:ascii="宋体" w:hAnsi="宋体" w:eastAsia="宋体" w:cs="宋体"/>
          <w:b/>
          <w:bCs/>
          <w:color w:val="auto"/>
          <w:sz w:val="32"/>
        </w:rPr>
        <w:t xml:space="preserve"> （格式可自定）</w:t>
      </w:r>
      <w:bookmarkEnd w:id="304"/>
    </w:p>
    <w:p>
      <w:pPr>
        <w:spacing w:after="181"/>
        <w:rPr>
          <w:rFonts w:ascii="宋体" w:hAnsi="宋体" w:eastAsia="宋体" w:cs="宋体"/>
          <w:color w:val="auto"/>
        </w:rPr>
      </w:pPr>
    </w:p>
    <w:p>
      <w:pPr>
        <w:spacing w:after="30" w:line="369" w:lineRule="auto"/>
        <w:ind w:left="-15" w:right="197" w:firstLine="410"/>
        <w:jc w:val="both"/>
        <w:rPr>
          <w:rFonts w:ascii="宋体" w:hAnsi="宋体" w:eastAsia="宋体" w:cs="宋体"/>
          <w:color w:val="auto"/>
        </w:rPr>
      </w:pPr>
      <w:r>
        <w:rPr>
          <w:rFonts w:hint="eastAsia" w:ascii="宋体" w:hAnsi="宋体" w:eastAsia="宋体" w:cs="宋体"/>
          <w:color w:val="auto"/>
          <w:sz w:val="21"/>
        </w:rPr>
        <w:t xml:space="preserve">本人         （姓名）系             （投标人名称）的法定代表人，现委托        （姓名）为我方代理人。代理人根据授权，以我方名义签署、澄清确认、递交、撤回、修改             招标项目投标文件、签订合同和处理有关事宜，其法律后果由我方承担。 </w:t>
      </w:r>
    </w:p>
    <w:p>
      <w:pPr>
        <w:spacing w:after="149"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委托期限：                     。 </w:t>
      </w:r>
    </w:p>
    <w:p>
      <w:pPr>
        <w:spacing w:after="153"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代理人无转委托权。 </w:t>
      </w:r>
    </w:p>
    <w:p>
      <w:pPr>
        <w:spacing w:after="184"/>
        <w:ind w:left="420"/>
        <w:rPr>
          <w:rFonts w:ascii="宋体" w:hAnsi="宋体" w:eastAsia="宋体" w:cs="宋体"/>
          <w:color w:val="auto"/>
        </w:rPr>
      </w:pPr>
    </w:p>
    <w:p>
      <w:pPr>
        <w:spacing w:after="153" w:line="265" w:lineRule="auto"/>
        <w:ind w:left="10" w:right="103" w:hanging="10"/>
        <w:rPr>
          <w:rFonts w:ascii="宋体" w:hAnsi="宋体" w:eastAsia="宋体" w:cs="宋体"/>
          <w:color w:val="auto"/>
        </w:rPr>
      </w:pPr>
      <w:r>
        <w:rPr>
          <w:rFonts w:hint="eastAsia" w:ascii="宋体" w:hAnsi="宋体" w:eastAsia="宋体" w:cs="宋体"/>
          <w:color w:val="auto"/>
          <w:sz w:val="21"/>
        </w:rPr>
        <w:t xml:space="preserve">附：法定代表人身份证复印件及委托代理人身份证复印件 </w:t>
      </w:r>
    </w:p>
    <w:p>
      <w:pPr>
        <w:spacing w:after="182"/>
        <w:rPr>
          <w:rFonts w:ascii="宋体" w:hAnsi="宋体" w:eastAsia="宋体" w:cs="宋体"/>
          <w:color w:val="auto"/>
        </w:rPr>
      </w:pPr>
    </w:p>
    <w:p>
      <w:pPr>
        <w:spacing w:after="0" w:line="265" w:lineRule="auto"/>
        <w:ind w:left="10" w:right="103" w:hanging="10"/>
        <w:rPr>
          <w:rFonts w:ascii="宋体" w:hAnsi="宋体" w:eastAsia="宋体" w:cs="宋体"/>
          <w:color w:val="auto"/>
          <w:sz w:val="21"/>
        </w:rPr>
      </w:pPr>
      <w:r>
        <w:rPr>
          <w:rFonts w:hint="eastAsia" w:ascii="宋体" w:hAnsi="宋体" w:eastAsia="宋体" w:cs="宋体"/>
          <w:color w:val="auto"/>
          <w:sz w:val="21"/>
        </w:rPr>
        <w:t xml:space="preserve">注：本授权委托书需由投标人加盖单位公章并由其法定代表人和委托代理人签字。 </w:t>
      </w:r>
    </w:p>
    <w:p>
      <w:pPr>
        <w:spacing w:after="0" w:line="265" w:lineRule="auto"/>
        <w:ind w:left="10" w:right="103" w:hanging="10"/>
        <w:rPr>
          <w:rFonts w:ascii="宋体" w:hAnsi="宋体" w:eastAsia="宋体" w:cs="宋体"/>
          <w:color w:val="auto"/>
          <w:sz w:val="21"/>
        </w:rPr>
      </w:pPr>
    </w:p>
    <w:p>
      <w:pPr>
        <w:spacing w:after="0" w:line="265" w:lineRule="auto"/>
        <w:ind w:left="10" w:right="103" w:hanging="10"/>
        <w:rPr>
          <w:rFonts w:ascii="宋体" w:hAnsi="宋体" w:eastAsia="宋体" w:cs="宋体"/>
          <w:color w:val="auto"/>
          <w:sz w:val="21"/>
        </w:rPr>
      </w:pPr>
    </w:p>
    <w:p>
      <w:pPr>
        <w:spacing w:line="440" w:lineRule="exact"/>
        <w:ind w:right="840" w:firstLine="2100" w:firstLineChars="1000"/>
        <w:jc w:val="right"/>
        <w:rPr>
          <w:rFonts w:ascii="宋体" w:hAnsi="宋体" w:eastAsia="宋体" w:cs="宋体"/>
          <w:color w:val="auto"/>
          <w:sz w:val="21"/>
          <w:szCs w:val="21"/>
        </w:rPr>
      </w:pPr>
      <w:r>
        <w:rPr>
          <w:rFonts w:hint="eastAsia" w:ascii="宋体" w:hAnsi="宋体" w:eastAsia="宋体" w:cs="宋体"/>
          <w:color w:val="auto"/>
          <w:sz w:val="21"/>
          <w:szCs w:val="21"/>
        </w:rPr>
        <w:t>投  标  人：</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（盖单位章）</w:t>
      </w:r>
    </w:p>
    <w:p>
      <w:pPr>
        <w:spacing w:line="440" w:lineRule="exact"/>
        <w:ind w:right="420" w:firstLine="2100" w:firstLineChars="1000"/>
        <w:jc w:val="center"/>
        <w:rPr>
          <w:rFonts w:ascii="宋体" w:hAnsi="宋体" w:eastAsia="宋体" w:cs="宋体"/>
          <w:color w:val="auto"/>
          <w:sz w:val="21"/>
          <w:szCs w:val="21"/>
        </w:rPr>
      </w:pP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（签字）</w:t>
      </w:r>
    </w:p>
    <w:p>
      <w:pPr>
        <w:spacing w:line="440" w:lineRule="exact"/>
        <w:ind w:right="840" w:firstLine="3990" w:firstLineChars="1900"/>
        <w:rPr>
          <w:rFonts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spacing w:line="440" w:lineRule="exact"/>
        <w:ind w:right="840" w:firstLine="2100" w:firstLineChars="1000"/>
        <w:jc w:val="center"/>
        <w:rPr>
          <w:rFonts w:ascii="宋体" w:hAnsi="宋体" w:eastAsia="宋体" w:cs="宋体"/>
          <w:color w:val="auto"/>
          <w:sz w:val="21"/>
          <w:szCs w:val="21"/>
        </w:rPr>
      </w:pP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（签字）</w:t>
      </w:r>
    </w:p>
    <w:p>
      <w:pPr>
        <w:spacing w:after="0" w:line="265" w:lineRule="auto"/>
        <w:ind w:left="10" w:right="1153" w:firstLine="1995" w:firstLineChars="950"/>
        <w:jc w:val="center"/>
        <w:rPr>
          <w:rFonts w:ascii="宋体" w:hAnsi="宋体" w:eastAsia="宋体" w:cs="宋体"/>
          <w:color w:val="auto"/>
          <w:sz w:val="21"/>
          <w:szCs w:val="21"/>
        </w:rPr>
      </w:pPr>
      <w:r>
        <w:rPr>
          <w:rFonts w:hint="eastAsia" w:ascii="宋体" w:hAnsi="宋体" w:eastAsia="宋体" w:cs="宋体"/>
          <w:color w:val="auto"/>
          <w:sz w:val="21"/>
          <w:szCs w:val="21"/>
        </w:rPr>
        <w:t xml:space="preserve">       身份证号码：</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spacing w:after="0" w:line="265" w:lineRule="auto"/>
        <w:ind w:left="10" w:right="103" w:hanging="10"/>
        <w:rPr>
          <w:rFonts w:ascii="宋体" w:hAnsi="宋体" w:eastAsia="宋体" w:cs="宋体"/>
          <w:color w:val="auto"/>
          <w:sz w:val="21"/>
          <w:szCs w:val="21"/>
        </w:rPr>
      </w:pPr>
    </w:p>
    <w:p>
      <w:pPr>
        <w:spacing w:after="0" w:line="265" w:lineRule="auto"/>
        <w:ind w:left="10" w:right="103" w:hanging="10"/>
        <w:rPr>
          <w:rFonts w:ascii="宋体" w:hAnsi="宋体" w:eastAsia="宋体" w:cs="宋体"/>
          <w:color w:val="auto"/>
          <w:sz w:val="21"/>
          <w:szCs w:val="21"/>
        </w:rPr>
      </w:pPr>
    </w:p>
    <w:p>
      <w:pPr>
        <w:spacing w:after="0" w:line="265" w:lineRule="auto"/>
        <w:ind w:left="10" w:right="103" w:hanging="10"/>
        <w:rPr>
          <w:rFonts w:ascii="宋体" w:hAnsi="宋体" w:eastAsia="宋体" w:cs="宋体"/>
          <w:color w:val="auto"/>
          <w:sz w:val="21"/>
          <w:szCs w:val="21"/>
        </w:rPr>
      </w:pPr>
    </w:p>
    <w:p>
      <w:pPr>
        <w:spacing w:after="0" w:line="265" w:lineRule="auto"/>
        <w:ind w:left="10" w:right="103" w:hanging="10"/>
        <w:rPr>
          <w:rFonts w:ascii="宋体" w:hAnsi="宋体" w:eastAsia="宋体" w:cs="宋体"/>
          <w:color w:val="auto"/>
          <w:sz w:val="21"/>
          <w:szCs w:val="21"/>
        </w:rPr>
      </w:pPr>
    </w:p>
    <w:p>
      <w:pPr>
        <w:wordWrap w:val="0"/>
        <w:spacing w:after="151"/>
        <w:ind w:left="10" w:right="198" w:hanging="10"/>
        <w:jc w:val="right"/>
        <w:rPr>
          <w:rFonts w:ascii="宋体" w:hAnsi="宋体" w:eastAsia="宋体" w:cs="宋体"/>
          <w:color w:val="auto"/>
        </w:rPr>
      </w:pPr>
      <w:r>
        <w:rPr>
          <w:rFonts w:hint="eastAsia" w:ascii="宋体" w:hAnsi="宋体" w:eastAsia="宋体" w:cs="宋体"/>
          <w:color w:val="auto"/>
          <w:sz w:val="21"/>
          <w:szCs w:val="21"/>
        </w:rPr>
        <w:t>年   月   日</w:t>
      </w:r>
    </w:p>
    <w:p>
      <w:pPr>
        <w:spacing w:after="0"/>
        <w:ind w:right="161"/>
        <w:jc w:val="right"/>
        <w:rPr>
          <w:rFonts w:ascii="宋体" w:hAnsi="宋体" w:eastAsia="宋体" w:cs="宋体"/>
          <w:color w:val="auto"/>
          <w:sz w:val="21"/>
        </w:rPr>
      </w:pPr>
    </w:p>
    <w:p>
      <w:pPr>
        <w:spacing w:after="0"/>
        <w:ind w:right="161"/>
        <w:jc w:val="right"/>
        <w:rPr>
          <w:rFonts w:ascii="宋体" w:hAnsi="宋体" w:eastAsia="宋体" w:cs="宋体"/>
          <w:color w:val="auto"/>
          <w:sz w:val="21"/>
        </w:rPr>
      </w:pPr>
    </w:p>
    <w:p>
      <w:pPr>
        <w:pStyle w:val="32"/>
        <w:ind w:firstLine="400" w:firstLineChars="200"/>
        <w:rPr>
          <w:rFonts w:ascii="宋体" w:hAnsi="宋体"/>
        </w:rPr>
      </w:pPr>
      <w:r>
        <w:rPr>
          <w:rFonts w:hint="eastAsia" w:ascii="宋体" w:hAnsi="宋体"/>
        </w:rPr>
        <w:t>注：联合体投标的，授权委托书由联合体主办方出具，“投标人名称”一栏可只填写联合体主办方名称即可。</w:t>
      </w:r>
    </w:p>
    <w:p>
      <w:pPr>
        <w:spacing w:after="0"/>
        <w:ind w:right="161"/>
        <w:jc w:val="right"/>
        <w:rPr>
          <w:rFonts w:ascii="宋体" w:hAnsi="宋体" w:eastAsia="宋体" w:cs="宋体"/>
          <w:b/>
          <w:bCs/>
          <w:color w:val="auto"/>
        </w:rPr>
      </w:pPr>
      <w:r>
        <w:rPr>
          <w:rFonts w:hint="eastAsia" w:ascii="宋体" w:hAnsi="宋体" w:eastAsia="宋体" w:cs="宋体"/>
          <w:color w:val="auto"/>
          <w:sz w:val="21"/>
        </w:rPr>
        <w:br w:type="page"/>
      </w:r>
    </w:p>
    <w:p>
      <w:pPr>
        <w:pStyle w:val="4"/>
        <w:spacing w:after="573"/>
        <w:ind w:right="216"/>
        <w:jc w:val="center"/>
        <w:rPr>
          <w:rFonts w:ascii="宋体" w:hAnsi="宋体" w:eastAsia="宋体" w:cs="宋体"/>
          <w:b/>
          <w:bCs/>
          <w:color w:val="auto"/>
          <w:sz w:val="32"/>
        </w:rPr>
      </w:pPr>
      <w:bookmarkStart w:id="305" w:name="_Toc142406658"/>
      <w:bookmarkStart w:id="306" w:name="_Toc508788704"/>
      <w:r>
        <w:rPr>
          <w:rFonts w:hint="eastAsia" w:ascii="宋体" w:hAnsi="宋体" w:eastAsia="宋体" w:cs="宋体"/>
          <w:b/>
          <w:bCs/>
          <w:color w:val="auto"/>
          <w:sz w:val="32"/>
        </w:rPr>
        <w:t>格式四、联合体共同投标协议书（如有）</w:t>
      </w:r>
      <w:bookmarkEnd w:id="305"/>
    </w:p>
    <w:p>
      <w:pPr>
        <w:spacing w:after="573"/>
        <w:ind w:right="216"/>
        <w:jc w:val="center"/>
        <w:rPr>
          <w:rFonts w:ascii="宋体" w:hAnsi="宋体" w:eastAsia="宋体" w:cs="宋体"/>
          <w:b/>
          <w:bCs/>
          <w:color w:val="auto"/>
          <w:szCs w:val="18"/>
        </w:rPr>
      </w:pPr>
      <w:r>
        <w:rPr>
          <w:rFonts w:hint="eastAsia" w:ascii="宋体" w:hAnsi="宋体" w:eastAsia="宋体" w:cs="宋体"/>
          <w:b/>
          <w:bCs/>
          <w:color w:val="auto"/>
          <w:szCs w:val="18"/>
        </w:rPr>
        <w:t>（详见招标公告附件二）</w:t>
      </w:r>
    </w:p>
    <w:p>
      <w:pPr>
        <w:spacing w:after="573"/>
        <w:ind w:right="216"/>
        <w:jc w:val="center"/>
        <w:rPr>
          <w:rFonts w:ascii="宋体" w:hAnsi="宋体" w:eastAsia="宋体" w:cs="宋体"/>
          <w:b/>
          <w:bCs/>
          <w:color w:val="auto"/>
          <w:sz w:val="32"/>
        </w:rPr>
      </w:pPr>
      <w:r>
        <w:rPr>
          <w:rFonts w:hint="eastAsia" w:ascii="宋体" w:hAnsi="宋体" w:eastAsia="宋体" w:cs="宋体"/>
          <w:b/>
          <w:bCs/>
          <w:color w:val="auto"/>
          <w:sz w:val="32"/>
        </w:rPr>
        <w:br w:type="page"/>
      </w:r>
    </w:p>
    <w:p>
      <w:pPr>
        <w:pStyle w:val="4"/>
        <w:spacing w:after="573"/>
        <w:ind w:right="216"/>
        <w:jc w:val="center"/>
        <w:rPr>
          <w:rFonts w:ascii="宋体" w:hAnsi="宋体" w:eastAsia="宋体" w:cs="宋体"/>
          <w:b/>
          <w:bCs/>
          <w:color w:val="auto"/>
        </w:rPr>
      </w:pPr>
      <w:bookmarkStart w:id="307" w:name="_Toc142406659"/>
      <w:r>
        <w:rPr>
          <w:rFonts w:hint="eastAsia" w:ascii="宋体" w:hAnsi="宋体" w:eastAsia="宋体" w:cs="宋体"/>
          <w:b/>
          <w:bCs/>
          <w:color w:val="auto"/>
          <w:sz w:val="32"/>
        </w:rPr>
        <w:t>格式五、投标保证金</w:t>
      </w:r>
      <w:bookmarkEnd w:id="306"/>
      <w:bookmarkEnd w:id="307"/>
    </w:p>
    <w:p>
      <w:pPr>
        <w:spacing w:after="162" w:line="265" w:lineRule="auto"/>
        <w:ind w:left="417" w:right="103" w:hanging="10"/>
        <w:rPr>
          <w:rFonts w:ascii="宋体" w:hAnsi="宋体" w:eastAsia="宋体" w:cs="宋体"/>
          <w:color w:val="auto"/>
        </w:rPr>
      </w:pPr>
      <w:r>
        <w:rPr>
          <w:rFonts w:hint="eastAsia" w:ascii="宋体" w:hAnsi="宋体" w:eastAsia="宋体" w:cs="宋体"/>
          <w:color w:val="auto"/>
          <w:sz w:val="21"/>
        </w:rPr>
        <w:t xml:space="preserve">投标人应在此提供缴纳投标保证金证明的复印件。 </w:t>
      </w:r>
    </w:p>
    <w:p>
      <w:pPr>
        <w:spacing w:after="175"/>
        <w:ind w:right="161"/>
        <w:jc w:val="right"/>
        <w:rPr>
          <w:rFonts w:ascii="宋体" w:hAnsi="宋体" w:eastAsia="宋体" w:cs="宋体"/>
          <w:color w:val="auto"/>
        </w:rPr>
      </w:pPr>
    </w:p>
    <w:p>
      <w:pPr>
        <w:spacing w:after="0"/>
        <w:ind w:left="2160"/>
        <w:rPr>
          <w:rFonts w:ascii="宋体" w:hAnsi="宋体" w:eastAsia="宋体" w:cs="宋体"/>
          <w:color w:val="auto"/>
          <w:sz w:val="21"/>
        </w:rPr>
      </w:pPr>
    </w:p>
    <w:p>
      <w:pPr>
        <w:spacing w:after="7"/>
        <w:ind w:left="420"/>
        <w:rPr>
          <w:rFonts w:ascii="宋体" w:hAnsi="宋体" w:eastAsia="宋体" w:cs="宋体"/>
          <w:b/>
          <w:bCs/>
          <w:color w:val="auto"/>
          <w:kern w:val="0"/>
          <w:sz w:val="32"/>
          <w:szCs w:val="20"/>
        </w:rPr>
      </w:pPr>
      <w:r>
        <w:rPr>
          <w:rFonts w:hint="eastAsia" w:ascii="宋体" w:hAnsi="宋体" w:eastAsia="宋体" w:cs="宋体"/>
          <w:color w:val="auto"/>
          <w:sz w:val="21"/>
        </w:rPr>
        <w:br w:type="page"/>
      </w:r>
      <w:bookmarkStart w:id="308" w:name="_Toc508788706"/>
      <w:r>
        <w:rPr>
          <w:rFonts w:hint="eastAsia" w:ascii="宋体" w:hAnsi="宋体" w:eastAsia="宋体" w:cs="宋体"/>
          <w:b/>
          <w:bCs/>
          <w:color w:val="auto"/>
          <w:kern w:val="0"/>
          <w:sz w:val="32"/>
          <w:szCs w:val="20"/>
        </w:rPr>
        <w:t>格式六、资格审查资料（格式自定）</w:t>
      </w:r>
    </w:p>
    <w:p>
      <w:pPr>
        <w:spacing w:after="269"/>
        <w:ind w:right="220"/>
        <w:jc w:val="center"/>
        <w:rPr>
          <w:rFonts w:ascii="宋体" w:hAnsi="宋体" w:eastAsia="宋体" w:cs="宋体"/>
          <w:color w:val="auto"/>
          <w:sz w:val="32"/>
        </w:rPr>
      </w:pPr>
    </w:p>
    <w:p>
      <w:pPr>
        <w:spacing w:after="269"/>
        <w:ind w:right="220"/>
        <w:jc w:val="center"/>
        <w:rPr>
          <w:rFonts w:ascii="宋体" w:hAnsi="宋体" w:eastAsia="宋体" w:cs="宋体"/>
          <w:color w:val="auto"/>
          <w:sz w:val="32"/>
        </w:rPr>
      </w:pPr>
    </w:p>
    <w:p>
      <w:pPr>
        <w:rPr>
          <w:rFonts w:ascii="宋体" w:hAnsi="宋体" w:eastAsia="宋体" w:cs="宋体"/>
          <w:color w:val="auto"/>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pStyle w:val="32"/>
        <w:rPr>
          <w:rFonts w:ascii="宋体" w:hAnsi="宋体" w:cs="宋体"/>
          <w:sz w:val="32"/>
        </w:rPr>
      </w:pPr>
    </w:p>
    <w:p>
      <w:pPr>
        <w:spacing w:after="269"/>
        <w:ind w:right="220"/>
        <w:jc w:val="center"/>
        <w:rPr>
          <w:rFonts w:ascii="宋体" w:hAnsi="宋体" w:eastAsia="宋体" w:cs="宋体"/>
          <w:color w:val="auto"/>
          <w:sz w:val="32"/>
        </w:rPr>
      </w:pPr>
    </w:p>
    <w:p>
      <w:pPr>
        <w:pStyle w:val="4"/>
        <w:spacing w:after="269"/>
        <w:ind w:right="220"/>
        <w:jc w:val="center"/>
        <w:rPr>
          <w:rFonts w:ascii="宋体" w:hAnsi="宋体" w:eastAsia="宋体" w:cs="宋体"/>
          <w:b/>
          <w:bCs/>
          <w:color w:val="auto"/>
        </w:rPr>
      </w:pPr>
      <w:bookmarkStart w:id="309" w:name="_Toc142406660"/>
      <w:r>
        <w:rPr>
          <w:rFonts w:hint="eastAsia" w:ascii="宋体" w:hAnsi="宋体" w:eastAsia="宋体" w:cs="宋体"/>
          <w:b/>
          <w:bCs/>
          <w:color w:val="auto"/>
          <w:sz w:val="32"/>
        </w:rPr>
        <w:t>格式七、资信业绩资料</w:t>
      </w:r>
      <w:bookmarkEnd w:id="308"/>
      <w:bookmarkEnd w:id="309"/>
    </w:p>
    <w:p>
      <w:pPr>
        <w:pStyle w:val="5"/>
        <w:spacing w:after="0"/>
        <w:ind w:left="132" w:right="0"/>
        <w:jc w:val="center"/>
        <w:rPr>
          <w:rFonts w:ascii="宋体" w:hAnsi="宋体" w:eastAsia="宋体" w:cs="宋体"/>
          <w:color w:val="auto"/>
        </w:rPr>
      </w:pPr>
      <w:bookmarkStart w:id="310" w:name="_Toc508788707"/>
      <w:bookmarkStart w:id="311" w:name="_Toc142406661"/>
      <w:r>
        <w:rPr>
          <w:rFonts w:hint="eastAsia" w:ascii="宋体" w:hAnsi="宋体" w:eastAsia="宋体" w:cs="宋体"/>
          <w:color w:val="auto"/>
        </w:rPr>
        <w:t>（一）基本情况表</w:t>
      </w:r>
      <w:bookmarkEnd w:id="310"/>
      <w:bookmarkEnd w:id="311"/>
    </w:p>
    <w:tbl>
      <w:tblPr>
        <w:tblStyle w:val="33"/>
        <w:tblW w:w="0" w:type="auto"/>
        <w:jc w:val="center"/>
        <w:tblLayout w:type="fixed"/>
        <w:tblCellMar>
          <w:top w:w="0" w:type="dxa"/>
          <w:left w:w="108" w:type="dxa"/>
          <w:bottom w:w="46" w:type="dxa"/>
          <w:right w:w="43" w:type="dxa"/>
        </w:tblCellMar>
      </w:tblPr>
      <w:tblGrid>
        <w:gridCol w:w="2045"/>
        <w:gridCol w:w="898"/>
        <w:gridCol w:w="1027"/>
        <w:gridCol w:w="1287"/>
        <w:gridCol w:w="415"/>
        <w:gridCol w:w="871"/>
        <w:gridCol w:w="828"/>
        <w:gridCol w:w="286"/>
        <w:gridCol w:w="1229"/>
      </w:tblGrid>
      <w:tr>
        <w:tblPrEx>
          <w:tblCellMar>
            <w:top w:w="0" w:type="dxa"/>
            <w:left w:w="108" w:type="dxa"/>
            <w:bottom w:w="46" w:type="dxa"/>
            <w:right w:w="43" w:type="dxa"/>
          </w:tblCellMar>
        </w:tblPrEx>
        <w:trPr>
          <w:trHeight w:val="451"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投标人名称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5943" w:type="dxa"/>
            <w:gridSpan w:val="7"/>
            <w:tcBorders>
              <w:top w:val="single" w:color="000000" w:sz="4" w:space="0"/>
              <w:left w:val="nil"/>
              <w:bottom w:val="single" w:color="000000" w:sz="4" w:space="0"/>
              <w:right w:val="single" w:color="000000" w:sz="4" w:space="0"/>
            </w:tcBorders>
            <w:noWrap/>
            <w:vAlign w:val="bottom"/>
          </w:tcPr>
          <w:p>
            <w:pPr>
              <w:spacing w:after="0"/>
              <w:ind w:left="2415"/>
              <w:rPr>
                <w:rFonts w:ascii="宋体" w:hAnsi="宋体" w:eastAsia="宋体" w:cs="宋体"/>
                <w:color w:val="auto"/>
              </w:rPr>
            </w:pPr>
          </w:p>
        </w:tc>
      </w:tr>
      <w:tr>
        <w:tblPrEx>
          <w:tblCellMar>
            <w:top w:w="0" w:type="dxa"/>
            <w:left w:w="108" w:type="dxa"/>
            <w:bottom w:w="46" w:type="dxa"/>
            <w:right w:w="43" w:type="dxa"/>
          </w:tblCellMar>
        </w:tblPrEx>
        <w:trPr>
          <w:trHeight w:val="449"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注册地址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2314" w:type="dxa"/>
            <w:gridSpan w:val="2"/>
            <w:tcBorders>
              <w:top w:val="single" w:color="000000" w:sz="4" w:space="0"/>
              <w:left w:val="nil"/>
              <w:bottom w:val="single" w:color="000000" w:sz="4" w:space="0"/>
              <w:right w:val="single" w:color="000000" w:sz="4" w:space="0"/>
            </w:tcBorders>
            <w:noWrap/>
            <w:vAlign w:val="bottom"/>
          </w:tcPr>
          <w:p>
            <w:pPr>
              <w:spacing w:after="0"/>
              <w:ind w:left="600"/>
              <w:rPr>
                <w:rFonts w:ascii="宋体" w:hAnsi="宋体" w:eastAsia="宋体" w:cs="宋体"/>
                <w:color w:val="auto"/>
              </w:rPr>
            </w:pPr>
          </w:p>
        </w:tc>
        <w:tc>
          <w:tcPr>
            <w:tcW w:w="1286"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left="115"/>
              <w:rPr>
                <w:rFonts w:ascii="宋体" w:hAnsi="宋体" w:eastAsia="宋体" w:cs="宋体"/>
                <w:color w:val="auto"/>
              </w:rPr>
            </w:pPr>
            <w:r>
              <w:rPr>
                <w:rFonts w:hint="eastAsia" w:ascii="宋体" w:hAnsi="宋体" w:eastAsia="宋体" w:cs="宋体"/>
                <w:color w:val="auto"/>
                <w:sz w:val="21"/>
              </w:rPr>
              <w:t xml:space="preserve">邮政编码 </w:t>
            </w:r>
          </w:p>
        </w:tc>
        <w:tc>
          <w:tcPr>
            <w:tcW w:w="2343" w:type="dxa"/>
            <w:gridSpan w:val="3"/>
            <w:tcBorders>
              <w:top w:val="single" w:color="000000" w:sz="4" w:space="0"/>
              <w:left w:val="single" w:color="000000" w:sz="4" w:space="0"/>
              <w:bottom w:val="single" w:color="000000" w:sz="4" w:space="0"/>
              <w:right w:val="single" w:color="000000" w:sz="4" w:space="0"/>
            </w:tcBorders>
            <w:noWrap/>
            <w:vAlign w:val="bottom"/>
          </w:tcPr>
          <w:p>
            <w:pPr>
              <w:spacing w:after="0"/>
              <w:ind w:right="13"/>
              <w:jc w:val="center"/>
              <w:rPr>
                <w:rFonts w:ascii="宋体" w:hAnsi="宋体" w:eastAsia="宋体" w:cs="宋体"/>
                <w:color w:val="auto"/>
              </w:rPr>
            </w:pPr>
          </w:p>
        </w:tc>
      </w:tr>
      <w:tr>
        <w:tblPrEx>
          <w:tblCellMar>
            <w:top w:w="0" w:type="dxa"/>
            <w:left w:w="108" w:type="dxa"/>
            <w:bottom w:w="46" w:type="dxa"/>
            <w:right w:w="43" w:type="dxa"/>
          </w:tblCellMar>
        </w:tblPrEx>
        <w:trPr>
          <w:trHeight w:val="451" w:hRule="atLeast"/>
          <w:jc w:val="center"/>
        </w:trPr>
        <w:tc>
          <w:tcPr>
            <w:tcW w:w="2045" w:type="dxa"/>
            <w:vMerge w:val="restart"/>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联系方式 </w:t>
            </w:r>
          </w:p>
        </w:tc>
        <w:tc>
          <w:tcPr>
            <w:tcW w:w="898" w:type="dxa"/>
            <w:tcBorders>
              <w:top w:val="single" w:color="000000" w:sz="4" w:space="0"/>
              <w:left w:val="single" w:color="000000" w:sz="4" w:space="0"/>
              <w:bottom w:val="single" w:color="000000" w:sz="4" w:space="0"/>
              <w:right w:val="single" w:color="000000" w:sz="4" w:space="0"/>
            </w:tcBorders>
            <w:noWrap/>
            <w:vAlign w:val="bottom"/>
          </w:tcPr>
          <w:p>
            <w:pPr>
              <w:spacing w:after="0"/>
              <w:ind w:left="24"/>
              <w:jc w:val="both"/>
              <w:rPr>
                <w:rFonts w:ascii="宋体" w:hAnsi="宋体" w:eastAsia="宋体" w:cs="宋体"/>
                <w:color w:val="auto"/>
              </w:rPr>
            </w:pPr>
            <w:r>
              <w:rPr>
                <w:rFonts w:hint="eastAsia" w:ascii="宋体" w:hAnsi="宋体" w:eastAsia="宋体" w:cs="宋体"/>
                <w:color w:val="auto"/>
                <w:sz w:val="21"/>
              </w:rPr>
              <w:t xml:space="preserve">联系人 </w:t>
            </w:r>
          </w:p>
        </w:tc>
        <w:tc>
          <w:tcPr>
            <w:tcW w:w="2314"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2"/>
              <w:jc w:val="center"/>
              <w:rPr>
                <w:rFonts w:ascii="宋体" w:hAnsi="宋体" w:eastAsia="宋体" w:cs="宋体"/>
                <w:color w:val="auto"/>
              </w:rPr>
            </w:pPr>
          </w:p>
        </w:tc>
        <w:tc>
          <w:tcPr>
            <w:tcW w:w="1286"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65"/>
              <w:jc w:val="center"/>
              <w:rPr>
                <w:rFonts w:ascii="宋体" w:hAnsi="宋体" w:eastAsia="宋体" w:cs="宋体"/>
                <w:color w:val="auto"/>
              </w:rPr>
            </w:pPr>
            <w:r>
              <w:rPr>
                <w:rFonts w:hint="eastAsia" w:ascii="宋体" w:hAnsi="宋体" w:eastAsia="宋体" w:cs="宋体"/>
                <w:color w:val="auto"/>
                <w:sz w:val="21"/>
              </w:rPr>
              <w:t xml:space="preserve">电 话 </w:t>
            </w:r>
          </w:p>
        </w:tc>
        <w:tc>
          <w:tcPr>
            <w:tcW w:w="2343" w:type="dxa"/>
            <w:gridSpan w:val="3"/>
            <w:tcBorders>
              <w:top w:val="single" w:color="000000" w:sz="4" w:space="0"/>
              <w:left w:val="single" w:color="000000" w:sz="4" w:space="0"/>
              <w:bottom w:val="single" w:color="000000" w:sz="4" w:space="0"/>
              <w:right w:val="single" w:color="000000" w:sz="4" w:space="0"/>
            </w:tcBorders>
            <w:noWrap/>
            <w:vAlign w:val="bottom"/>
          </w:tcPr>
          <w:p>
            <w:pPr>
              <w:spacing w:after="0"/>
              <w:ind w:right="13"/>
              <w:jc w:val="center"/>
              <w:rPr>
                <w:rFonts w:ascii="宋体" w:hAnsi="宋体" w:eastAsia="宋体" w:cs="宋体"/>
                <w:color w:val="auto"/>
              </w:rPr>
            </w:pPr>
          </w:p>
        </w:tc>
      </w:tr>
      <w:tr>
        <w:tblPrEx>
          <w:tblCellMar>
            <w:top w:w="0" w:type="dxa"/>
            <w:left w:w="108" w:type="dxa"/>
            <w:bottom w:w="46" w:type="dxa"/>
            <w:right w:w="43" w:type="dxa"/>
          </w:tblCellMar>
        </w:tblPrEx>
        <w:trPr>
          <w:trHeight w:val="449" w:hRule="atLeast"/>
          <w:jc w:val="center"/>
        </w:trPr>
        <w:tc>
          <w:tcPr>
            <w:tcW w:w="2045" w:type="dxa"/>
            <w:vMerge w:val="continue"/>
            <w:tcBorders>
              <w:top w:val="nil"/>
              <w:left w:val="single" w:color="000000" w:sz="4" w:space="0"/>
              <w:bottom w:val="single" w:color="000000" w:sz="4" w:space="0"/>
              <w:right w:val="single" w:color="000000" w:sz="4" w:space="0"/>
            </w:tcBorders>
            <w:noWrap/>
          </w:tcPr>
          <w:p>
            <w:pPr>
              <w:rPr>
                <w:rFonts w:ascii="宋体" w:hAnsi="宋体" w:eastAsia="宋体" w:cs="宋体"/>
                <w:color w:val="auto"/>
              </w:rPr>
            </w:pPr>
          </w:p>
        </w:tc>
        <w:tc>
          <w:tcPr>
            <w:tcW w:w="898" w:type="dxa"/>
            <w:tcBorders>
              <w:top w:val="single" w:color="000000" w:sz="4" w:space="0"/>
              <w:left w:val="single" w:color="000000" w:sz="4" w:space="0"/>
              <w:bottom w:val="single" w:color="000000" w:sz="4" w:space="0"/>
              <w:right w:val="single" w:color="000000" w:sz="4" w:space="0"/>
            </w:tcBorders>
            <w:noWrap/>
            <w:vAlign w:val="bottom"/>
          </w:tcPr>
          <w:p>
            <w:pPr>
              <w:spacing w:after="0"/>
              <w:ind w:left="24"/>
              <w:rPr>
                <w:rFonts w:ascii="宋体" w:hAnsi="宋体" w:eastAsia="宋体" w:cs="宋体"/>
                <w:color w:val="auto"/>
              </w:rPr>
            </w:pPr>
            <w:r>
              <w:rPr>
                <w:rFonts w:hint="eastAsia" w:ascii="宋体" w:hAnsi="宋体" w:eastAsia="宋体" w:cs="宋体"/>
                <w:color w:val="auto"/>
                <w:sz w:val="21"/>
              </w:rPr>
              <w:t xml:space="preserve">传  真 </w:t>
            </w:r>
          </w:p>
        </w:tc>
        <w:tc>
          <w:tcPr>
            <w:tcW w:w="2314"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2"/>
              <w:jc w:val="center"/>
              <w:rPr>
                <w:rFonts w:ascii="宋体" w:hAnsi="宋体" w:eastAsia="宋体" w:cs="宋体"/>
                <w:color w:val="auto"/>
              </w:rPr>
            </w:pPr>
          </w:p>
        </w:tc>
        <w:tc>
          <w:tcPr>
            <w:tcW w:w="1286"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65"/>
              <w:jc w:val="center"/>
              <w:rPr>
                <w:rFonts w:ascii="宋体" w:hAnsi="宋体" w:eastAsia="宋体" w:cs="宋体"/>
                <w:color w:val="auto"/>
              </w:rPr>
            </w:pPr>
            <w:r>
              <w:rPr>
                <w:rFonts w:hint="eastAsia" w:ascii="宋体" w:hAnsi="宋体" w:eastAsia="宋体" w:cs="宋体"/>
                <w:color w:val="auto"/>
                <w:sz w:val="21"/>
              </w:rPr>
              <w:t xml:space="preserve">网 址 </w:t>
            </w:r>
          </w:p>
        </w:tc>
        <w:tc>
          <w:tcPr>
            <w:tcW w:w="2343" w:type="dxa"/>
            <w:gridSpan w:val="3"/>
            <w:tcBorders>
              <w:top w:val="single" w:color="000000" w:sz="4" w:space="0"/>
              <w:left w:val="single" w:color="000000" w:sz="4" w:space="0"/>
              <w:bottom w:val="single" w:color="000000" w:sz="4" w:space="0"/>
              <w:right w:val="single" w:color="000000" w:sz="4" w:space="0"/>
            </w:tcBorders>
            <w:noWrap/>
            <w:vAlign w:val="bottom"/>
          </w:tcPr>
          <w:p>
            <w:pPr>
              <w:spacing w:after="0"/>
              <w:ind w:right="13"/>
              <w:jc w:val="center"/>
              <w:rPr>
                <w:rFonts w:ascii="宋体" w:hAnsi="宋体" w:eastAsia="宋体" w:cs="宋体"/>
                <w:color w:val="auto"/>
              </w:rPr>
            </w:pPr>
          </w:p>
        </w:tc>
      </w:tr>
      <w:tr>
        <w:tblPrEx>
          <w:tblCellMar>
            <w:top w:w="0" w:type="dxa"/>
            <w:left w:w="108" w:type="dxa"/>
            <w:bottom w:w="46" w:type="dxa"/>
            <w:right w:w="43" w:type="dxa"/>
          </w:tblCellMar>
        </w:tblPrEx>
        <w:trPr>
          <w:trHeight w:val="451"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法定代表人 </w:t>
            </w:r>
          </w:p>
        </w:tc>
        <w:tc>
          <w:tcPr>
            <w:tcW w:w="898" w:type="dxa"/>
            <w:tcBorders>
              <w:top w:val="single" w:color="000000" w:sz="4" w:space="0"/>
              <w:left w:val="single" w:color="000000" w:sz="4" w:space="0"/>
              <w:bottom w:val="single" w:color="000000" w:sz="4" w:space="0"/>
              <w:right w:val="single" w:color="000000" w:sz="4" w:space="0"/>
            </w:tcBorders>
            <w:noWrap/>
            <w:vAlign w:val="bottom"/>
          </w:tcPr>
          <w:p>
            <w:pPr>
              <w:spacing w:after="0"/>
              <w:ind w:left="130"/>
              <w:rPr>
                <w:rFonts w:ascii="宋体" w:hAnsi="宋体" w:eastAsia="宋体" w:cs="宋体"/>
                <w:color w:val="auto"/>
              </w:rPr>
            </w:pPr>
            <w:r>
              <w:rPr>
                <w:rFonts w:hint="eastAsia" w:ascii="宋体" w:hAnsi="宋体" w:eastAsia="宋体" w:cs="宋体"/>
                <w:color w:val="auto"/>
                <w:sz w:val="21"/>
              </w:rPr>
              <w:t xml:space="preserve">姓名 </w:t>
            </w:r>
          </w:p>
        </w:tc>
        <w:tc>
          <w:tcPr>
            <w:tcW w:w="1027" w:type="dxa"/>
            <w:tcBorders>
              <w:top w:val="single" w:color="000000" w:sz="4" w:space="0"/>
              <w:left w:val="single" w:color="000000" w:sz="4" w:space="0"/>
              <w:bottom w:val="single" w:color="000000" w:sz="4" w:space="0"/>
              <w:right w:val="single" w:color="000000" w:sz="4" w:space="0"/>
            </w:tcBorders>
            <w:noWrap/>
            <w:vAlign w:val="bottom"/>
          </w:tcPr>
          <w:p>
            <w:pPr>
              <w:spacing w:after="0"/>
              <w:ind w:right="12"/>
              <w:jc w:val="center"/>
              <w:rPr>
                <w:rFonts w:ascii="宋体" w:hAnsi="宋体" w:eastAsia="宋体" w:cs="宋体"/>
                <w:color w:val="auto"/>
              </w:rPr>
            </w:pPr>
          </w:p>
        </w:tc>
        <w:tc>
          <w:tcPr>
            <w:tcW w:w="1287" w:type="dxa"/>
            <w:tcBorders>
              <w:top w:val="single" w:color="000000" w:sz="4" w:space="0"/>
              <w:left w:val="single" w:color="000000" w:sz="4" w:space="0"/>
              <w:bottom w:val="single" w:color="000000" w:sz="4" w:space="0"/>
              <w:right w:val="single" w:color="000000" w:sz="4" w:space="0"/>
            </w:tcBorders>
            <w:noWrap/>
            <w:vAlign w:val="bottom"/>
          </w:tcPr>
          <w:p>
            <w:pPr>
              <w:spacing w:after="0"/>
              <w:ind w:left="115"/>
              <w:rPr>
                <w:rFonts w:ascii="宋体" w:hAnsi="宋体" w:eastAsia="宋体" w:cs="宋体"/>
                <w:color w:val="auto"/>
              </w:rPr>
            </w:pPr>
            <w:r>
              <w:rPr>
                <w:rFonts w:hint="eastAsia" w:ascii="宋体" w:hAnsi="宋体" w:eastAsia="宋体" w:cs="宋体"/>
                <w:color w:val="auto"/>
                <w:sz w:val="21"/>
              </w:rPr>
              <w:t xml:space="preserve">技术职称 </w:t>
            </w:r>
          </w:p>
        </w:tc>
        <w:tc>
          <w:tcPr>
            <w:tcW w:w="1286"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2"/>
              <w:jc w:val="center"/>
              <w:rPr>
                <w:rFonts w:ascii="宋体" w:hAnsi="宋体" w:eastAsia="宋体" w:cs="宋体"/>
                <w:color w:val="auto"/>
              </w:rPr>
            </w:pPr>
          </w:p>
        </w:tc>
        <w:tc>
          <w:tcPr>
            <w:tcW w:w="1114"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65"/>
              <w:jc w:val="center"/>
              <w:rPr>
                <w:rFonts w:ascii="宋体" w:hAnsi="宋体" w:eastAsia="宋体" w:cs="宋体"/>
                <w:color w:val="auto"/>
              </w:rPr>
            </w:pPr>
            <w:r>
              <w:rPr>
                <w:rFonts w:hint="eastAsia" w:ascii="宋体" w:hAnsi="宋体" w:eastAsia="宋体" w:cs="宋体"/>
                <w:color w:val="auto"/>
                <w:sz w:val="21"/>
              </w:rPr>
              <w:t xml:space="preserve">电话 </w:t>
            </w:r>
          </w:p>
        </w:tc>
        <w:tc>
          <w:tcPr>
            <w:tcW w:w="1229" w:type="dxa"/>
            <w:tcBorders>
              <w:top w:val="single" w:color="000000" w:sz="4" w:space="0"/>
              <w:left w:val="single" w:color="000000" w:sz="4" w:space="0"/>
              <w:bottom w:val="single" w:color="000000" w:sz="4" w:space="0"/>
              <w:right w:val="single" w:color="000000" w:sz="4" w:space="0"/>
            </w:tcBorders>
            <w:noWrap/>
            <w:vAlign w:val="bottom"/>
          </w:tcPr>
          <w:p>
            <w:pPr>
              <w:spacing w:after="0"/>
              <w:ind w:right="11"/>
              <w:jc w:val="center"/>
              <w:rPr>
                <w:rFonts w:ascii="宋体" w:hAnsi="宋体" w:eastAsia="宋体" w:cs="宋体"/>
                <w:color w:val="auto"/>
              </w:rPr>
            </w:pPr>
          </w:p>
        </w:tc>
      </w:tr>
      <w:tr>
        <w:tblPrEx>
          <w:tblCellMar>
            <w:top w:w="0" w:type="dxa"/>
            <w:left w:w="108" w:type="dxa"/>
            <w:bottom w:w="46" w:type="dxa"/>
            <w:right w:w="43" w:type="dxa"/>
          </w:tblCellMar>
        </w:tblPrEx>
        <w:trPr>
          <w:trHeight w:val="449"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技术负责人 </w:t>
            </w:r>
          </w:p>
        </w:tc>
        <w:tc>
          <w:tcPr>
            <w:tcW w:w="898" w:type="dxa"/>
            <w:tcBorders>
              <w:top w:val="single" w:color="000000" w:sz="4" w:space="0"/>
              <w:left w:val="single" w:color="000000" w:sz="4" w:space="0"/>
              <w:bottom w:val="single" w:color="000000" w:sz="4" w:space="0"/>
              <w:right w:val="single" w:color="000000" w:sz="4" w:space="0"/>
            </w:tcBorders>
            <w:noWrap/>
            <w:vAlign w:val="bottom"/>
          </w:tcPr>
          <w:p>
            <w:pPr>
              <w:spacing w:after="0"/>
              <w:ind w:left="130"/>
              <w:rPr>
                <w:rFonts w:ascii="宋体" w:hAnsi="宋体" w:eastAsia="宋体" w:cs="宋体"/>
                <w:color w:val="auto"/>
              </w:rPr>
            </w:pPr>
            <w:r>
              <w:rPr>
                <w:rFonts w:hint="eastAsia" w:ascii="宋体" w:hAnsi="宋体" w:eastAsia="宋体" w:cs="宋体"/>
                <w:color w:val="auto"/>
                <w:sz w:val="21"/>
              </w:rPr>
              <w:t xml:space="preserve">姓名 </w:t>
            </w:r>
          </w:p>
        </w:tc>
        <w:tc>
          <w:tcPr>
            <w:tcW w:w="1027" w:type="dxa"/>
            <w:tcBorders>
              <w:top w:val="single" w:color="000000" w:sz="4" w:space="0"/>
              <w:left w:val="single" w:color="000000" w:sz="4" w:space="0"/>
              <w:bottom w:val="single" w:color="000000" w:sz="4" w:space="0"/>
              <w:right w:val="single" w:color="000000" w:sz="4" w:space="0"/>
            </w:tcBorders>
            <w:noWrap/>
            <w:vAlign w:val="bottom"/>
          </w:tcPr>
          <w:p>
            <w:pPr>
              <w:spacing w:after="0"/>
              <w:ind w:right="12"/>
              <w:jc w:val="center"/>
              <w:rPr>
                <w:rFonts w:ascii="宋体" w:hAnsi="宋体" w:eastAsia="宋体" w:cs="宋体"/>
                <w:color w:val="auto"/>
              </w:rPr>
            </w:pPr>
          </w:p>
        </w:tc>
        <w:tc>
          <w:tcPr>
            <w:tcW w:w="1287" w:type="dxa"/>
            <w:tcBorders>
              <w:top w:val="single" w:color="000000" w:sz="4" w:space="0"/>
              <w:left w:val="single" w:color="000000" w:sz="4" w:space="0"/>
              <w:bottom w:val="single" w:color="000000" w:sz="4" w:space="0"/>
              <w:right w:val="single" w:color="000000" w:sz="4" w:space="0"/>
            </w:tcBorders>
            <w:noWrap/>
            <w:vAlign w:val="bottom"/>
          </w:tcPr>
          <w:p>
            <w:pPr>
              <w:spacing w:after="0"/>
              <w:ind w:left="115"/>
              <w:rPr>
                <w:rFonts w:ascii="宋体" w:hAnsi="宋体" w:eastAsia="宋体" w:cs="宋体"/>
                <w:color w:val="auto"/>
              </w:rPr>
            </w:pPr>
            <w:r>
              <w:rPr>
                <w:rFonts w:hint="eastAsia" w:ascii="宋体" w:hAnsi="宋体" w:eastAsia="宋体" w:cs="宋体"/>
                <w:color w:val="auto"/>
                <w:sz w:val="21"/>
              </w:rPr>
              <w:t xml:space="preserve">技术职称 </w:t>
            </w:r>
          </w:p>
        </w:tc>
        <w:tc>
          <w:tcPr>
            <w:tcW w:w="1286"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2"/>
              <w:jc w:val="center"/>
              <w:rPr>
                <w:rFonts w:ascii="宋体" w:hAnsi="宋体" w:eastAsia="宋体" w:cs="宋体"/>
                <w:color w:val="auto"/>
              </w:rPr>
            </w:pPr>
          </w:p>
        </w:tc>
        <w:tc>
          <w:tcPr>
            <w:tcW w:w="1114"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65"/>
              <w:jc w:val="center"/>
              <w:rPr>
                <w:rFonts w:ascii="宋体" w:hAnsi="宋体" w:eastAsia="宋体" w:cs="宋体"/>
                <w:color w:val="auto"/>
              </w:rPr>
            </w:pPr>
            <w:r>
              <w:rPr>
                <w:rFonts w:hint="eastAsia" w:ascii="宋体" w:hAnsi="宋体" w:eastAsia="宋体" w:cs="宋体"/>
                <w:color w:val="auto"/>
                <w:sz w:val="21"/>
              </w:rPr>
              <w:t xml:space="preserve">电话 </w:t>
            </w:r>
          </w:p>
        </w:tc>
        <w:tc>
          <w:tcPr>
            <w:tcW w:w="1229" w:type="dxa"/>
            <w:tcBorders>
              <w:top w:val="single" w:color="000000" w:sz="4" w:space="0"/>
              <w:left w:val="single" w:color="000000" w:sz="4" w:space="0"/>
              <w:bottom w:val="single" w:color="000000" w:sz="4" w:space="0"/>
              <w:right w:val="single" w:color="000000" w:sz="4" w:space="0"/>
            </w:tcBorders>
            <w:noWrap/>
            <w:vAlign w:val="bottom"/>
          </w:tcPr>
          <w:p>
            <w:pPr>
              <w:spacing w:after="0"/>
              <w:ind w:right="11"/>
              <w:jc w:val="center"/>
              <w:rPr>
                <w:rFonts w:ascii="宋体" w:hAnsi="宋体" w:eastAsia="宋体" w:cs="宋体"/>
                <w:color w:val="auto"/>
              </w:rPr>
            </w:pPr>
          </w:p>
        </w:tc>
      </w:tr>
      <w:tr>
        <w:tblPrEx>
          <w:tblCellMar>
            <w:top w:w="0" w:type="dxa"/>
            <w:left w:w="108" w:type="dxa"/>
            <w:bottom w:w="46" w:type="dxa"/>
            <w:right w:w="43" w:type="dxa"/>
          </w:tblCellMar>
        </w:tblPrEx>
        <w:trPr>
          <w:trHeight w:val="451"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left="74"/>
              <w:jc w:val="both"/>
              <w:rPr>
                <w:rFonts w:ascii="宋体" w:hAnsi="宋体" w:eastAsia="宋体" w:cs="宋体"/>
                <w:color w:val="auto"/>
              </w:rPr>
            </w:pPr>
            <w:r>
              <w:rPr>
                <w:rFonts w:hint="eastAsia" w:ascii="宋体" w:hAnsi="宋体" w:eastAsia="宋体" w:cs="宋体"/>
                <w:color w:val="auto"/>
                <w:sz w:val="21"/>
              </w:rPr>
              <w:t xml:space="preserve">企业资质证书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5943" w:type="dxa"/>
            <w:gridSpan w:val="7"/>
            <w:tcBorders>
              <w:top w:val="single" w:color="000000" w:sz="4" w:space="0"/>
              <w:left w:val="nil"/>
              <w:bottom w:val="single" w:color="000000" w:sz="4" w:space="0"/>
              <w:right w:val="single" w:color="000000" w:sz="4" w:space="0"/>
            </w:tcBorders>
            <w:noWrap/>
            <w:vAlign w:val="bottom"/>
          </w:tcPr>
          <w:p>
            <w:pPr>
              <w:spacing w:after="0"/>
              <w:ind w:left="53"/>
              <w:rPr>
                <w:rFonts w:ascii="宋体" w:hAnsi="宋体" w:eastAsia="宋体" w:cs="宋体"/>
                <w:color w:val="auto"/>
              </w:rPr>
            </w:pPr>
            <w:r>
              <w:rPr>
                <w:rFonts w:hint="eastAsia" w:ascii="宋体" w:hAnsi="宋体" w:eastAsia="宋体" w:cs="宋体"/>
                <w:color w:val="auto"/>
                <w:sz w:val="21"/>
              </w:rPr>
              <w:t xml:space="preserve">类型：                    等级：      证书号： </w:t>
            </w:r>
          </w:p>
        </w:tc>
      </w:tr>
      <w:tr>
        <w:tblPrEx>
          <w:tblCellMar>
            <w:top w:w="0" w:type="dxa"/>
            <w:left w:w="108" w:type="dxa"/>
            <w:bottom w:w="46" w:type="dxa"/>
            <w:right w:w="43" w:type="dxa"/>
          </w:tblCellMar>
        </w:tblPrEx>
        <w:trPr>
          <w:trHeight w:val="890"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149"/>
              <w:ind w:left="74"/>
              <w:jc w:val="both"/>
              <w:rPr>
                <w:rFonts w:ascii="宋体" w:hAnsi="宋体" w:eastAsia="宋体" w:cs="宋体"/>
                <w:color w:val="auto"/>
              </w:rPr>
            </w:pPr>
            <w:r>
              <w:rPr>
                <w:rFonts w:hint="eastAsia" w:ascii="宋体" w:hAnsi="宋体" w:eastAsia="宋体" w:cs="宋体"/>
                <w:color w:val="auto"/>
                <w:sz w:val="21"/>
              </w:rPr>
              <w:t>质量管理体系证书</w:t>
            </w:r>
          </w:p>
          <w:p>
            <w:pPr>
              <w:spacing w:after="0"/>
              <w:ind w:right="168"/>
              <w:jc w:val="center"/>
              <w:rPr>
                <w:rFonts w:ascii="宋体" w:hAnsi="宋体" w:eastAsia="宋体" w:cs="宋体"/>
                <w:color w:val="auto"/>
              </w:rPr>
            </w:pPr>
            <w:r>
              <w:rPr>
                <w:rFonts w:hint="eastAsia" w:ascii="宋体" w:hAnsi="宋体" w:eastAsia="宋体" w:cs="宋体"/>
                <w:color w:val="auto"/>
                <w:sz w:val="21"/>
              </w:rPr>
              <w:t xml:space="preserve">（如有）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5943" w:type="dxa"/>
            <w:gridSpan w:val="7"/>
            <w:tcBorders>
              <w:top w:val="single" w:color="000000" w:sz="4" w:space="0"/>
              <w:left w:val="nil"/>
              <w:bottom w:val="single" w:color="000000" w:sz="4" w:space="0"/>
              <w:right w:val="single" w:color="000000" w:sz="4" w:space="0"/>
            </w:tcBorders>
            <w:noWrap/>
            <w:vAlign w:val="bottom"/>
          </w:tcPr>
          <w:p>
            <w:pPr>
              <w:spacing w:after="0"/>
              <w:ind w:left="53"/>
              <w:rPr>
                <w:rFonts w:ascii="宋体" w:hAnsi="宋体" w:eastAsia="宋体" w:cs="宋体"/>
                <w:color w:val="auto"/>
              </w:rPr>
            </w:pPr>
            <w:r>
              <w:rPr>
                <w:rFonts w:hint="eastAsia" w:ascii="宋体" w:hAnsi="宋体" w:eastAsia="宋体" w:cs="宋体"/>
                <w:color w:val="auto"/>
                <w:sz w:val="21"/>
              </w:rPr>
              <w:t xml:space="preserve">类型：                    等级：      证书号： </w:t>
            </w:r>
          </w:p>
        </w:tc>
      </w:tr>
      <w:tr>
        <w:tblPrEx>
          <w:tblCellMar>
            <w:top w:w="0" w:type="dxa"/>
            <w:left w:w="108" w:type="dxa"/>
            <w:bottom w:w="46" w:type="dxa"/>
            <w:right w:w="43" w:type="dxa"/>
          </w:tblCellMar>
        </w:tblPrEx>
        <w:trPr>
          <w:trHeight w:val="449"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营业执照号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2314" w:type="dxa"/>
            <w:gridSpan w:val="2"/>
            <w:tcBorders>
              <w:top w:val="single" w:color="000000" w:sz="4" w:space="0"/>
              <w:left w:val="nil"/>
              <w:bottom w:val="single" w:color="000000" w:sz="4" w:space="0"/>
              <w:right w:val="single" w:color="000000" w:sz="4" w:space="0"/>
            </w:tcBorders>
            <w:noWrap/>
            <w:vAlign w:val="bottom"/>
          </w:tcPr>
          <w:p>
            <w:pPr>
              <w:spacing w:after="0"/>
              <w:ind w:left="600"/>
              <w:rPr>
                <w:rFonts w:ascii="宋体" w:hAnsi="宋体" w:eastAsia="宋体" w:cs="宋体"/>
                <w:color w:val="auto"/>
              </w:rPr>
            </w:pPr>
          </w:p>
        </w:tc>
        <w:tc>
          <w:tcPr>
            <w:tcW w:w="3629" w:type="dxa"/>
            <w:gridSpan w:val="5"/>
            <w:tcBorders>
              <w:top w:val="single" w:color="000000" w:sz="4" w:space="0"/>
              <w:left w:val="single" w:color="000000" w:sz="4" w:space="0"/>
              <w:bottom w:val="single" w:color="000000" w:sz="4" w:space="0"/>
              <w:right w:val="single" w:color="000000" w:sz="4" w:space="0"/>
            </w:tcBorders>
            <w:noWrap/>
            <w:vAlign w:val="bottom"/>
          </w:tcPr>
          <w:p>
            <w:pPr>
              <w:spacing w:after="0"/>
              <w:ind w:right="65"/>
              <w:jc w:val="center"/>
              <w:rPr>
                <w:rFonts w:ascii="宋体" w:hAnsi="宋体" w:eastAsia="宋体" w:cs="宋体"/>
                <w:color w:val="auto"/>
              </w:rPr>
            </w:pPr>
            <w:r>
              <w:rPr>
                <w:rFonts w:hint="eastAsia" w:ascii="宋体" w:hAnsi="宋体" w:eastAsia="宋体" w:cs="宋体"/>
                <w:color w:val="auto"/>
                <w:sz w:val="21"/>
              </w:rPr>
              <w:t xml:space="preserve">员工总人数： </w:t>
            </w:r>
          </w:p>
        </w:tc>
      </w:tr>
      <w:tr>
        <w:tblPrEx>
          <w:tblCellMar>
            <w:top w:w="0" w:type="dxa"/>
            <w:left w:w="108" w:type="dxa"/>
            <w:bottom w:w="46" w:type="dxa"/>
            <w:right w:w="43" w:type="dxa"/>
          </w:tblCellMar>
        </w:tblPrEx>
        <w:trPr>
          <w:trHeight w:val="451"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注册资本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2314" w:type="dxa"/>
            <w:gridSpan w:val="2"/>
            <w:tcBorders>
              <w:top w:val="single" w:color="000000" w:sz="4" w:space="0"/>
              <w:left w:val="nil"/>
              <w:bottom w:val="single" w:color="000000" w:sz="4" w:space="0"/>
              <w:right w:val="single" w:color="000000" w:sz="4" w:space="0"/>
            </w:tcBorders>
            <w:noWrap/>
            <w:vAlign w:val="bottom"/>
          </w:tcPr>
          <w:p>
            <w:pPr>
              <w:spacing w:after="0"/>
              <w:ind w:left="600"/>
              <w:rPr>
                <w:rFonts w:ascii="宋体" w:hAnsi="宋体" w:eastAsia="宋体" w:cs="宋体"/>
                <w:color w:val="auto"/>
              </w:rPr>
            </w:pPr>
          </w:p>
        </w:tc>
        <w:tc>
          <w:tcPr>
            <w:tcW w:w="415" w:type="dxa"/>
            <w:vMerge w:val="restart"/>
            <w:tcBorders>
              <w:top w:val="single" w:color="000000" w:sz="4" w:space="0"/>
              <w:left w:val="single" w:color="000000" w:sz="4" w:space="0"/>
              <w:bottom w:val="single" w:color="000000" w:sz="4" w:space="0"/>
              <w:right w:val="single" w:color="000000" w:sz="4" w:space="0"/>
            </w:tcBorders>
            <w:noWrap/>
            <w:vAlign w:val="bottom"/>
          </w:tcPr>
          <w:p>
            <w:pPr>
              <w:spacing w:after="0"/>
              <w:jc w:val="center"/>
              <w:rPr>
                <w:rFonts w:ascii="宋体" w:hAnsi="宋体" w:eastAsia="宋体" w:cs="宋体"/>
                <w:color w:val="auto"/>
              </w:rPr>
            </w:pPr>
            <w:r>
              <w:rPr>
                <w:rFonts w:hint="eastAsia" w:ascii="宋体" w:hAnsi="宋体" w:eastAsia="宋体" w:cs="宋体"/>
                <w:color w:val="auto"/>
                <w:sz w:val="21"/>
              </w:rPr>
              <w:t xml:space="preserve">其中 </w:t>
            </w:r>
          </w:p>
        </w:tc>
        <w:tc>
          <w:tcPr>
            <w:tcW w:w="1699"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left="113"/>
              <w:rPr>
                <w:rFonts w:ascii="宋体" w:hAnsi="宋体" w:eastAsia="宋体" w:cs="宋体"/>
                <w:color w:val="auto"/>
              </w:rPr>
            </w:pPr>
            <w:r>
              <w:rPr>
                <w:rFonts w:hint="eastAsia" w:ascii="宋体" w:hAnsi="宋体" w:eastAsia="宋体" w:cs="宋体"/>
                <w:color w:val="auto"/>
                <w:sz w:val="21"/>
              </w:rPr>
              <w:t xml:space="preserve">高级职称人员 </w:t>
            </w:r>
          </w:p>
        </w:tc>
        <w:tc>
          <w:tcPr>
            <w:tcW w:w="1515"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4"/>
              <w:jc w:val="center"/>
              <w:rPr>
                <w:rFonts w:ascii="宋体" w:hAnsi="宋体" w:eastAsia="宋体" w:cs="宋体"/>
                <w:color w:val="auto"/>
              </w:rPr>
            </w:pPr>
          </w:p>
        </w:tc>
      </w:tr>
      <w:tr>
        <w:tblPrEx>
          <w:tblCellMar>
            <w:top w:w="0" w:type="dxa"/>
            <w:left w:w="108" w:type="dxa"/>
            <w:bottom w:w="46" w:type="dxa"/>
            <w:right w:w="43" w:type="dxa"/>
          </w:tblCellMar>
        </w:tblPrEx>
        <w:trPr>
          <w:trHeight w:val="449"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2"/>
              <w:jc w:val="center"/>
              <w:rPr>
                <w:rFonts w:ascii="宋体" w:hAnsi="宋体" w:eastAsia="宋体" w:cs="宋体"/>
                <w:color w:val="auto"/>
              </w:rPr>
            </w:pPr>
            <w:r>
              <w:rPr>
                <w:rFonts w:hint="eastAsia" w:ascii="宋体" w:hAnsi="宋体" w:eastAsia="宋体" w:cs="宋体"/>
                <w:color w:val="auto"/>
                <w:sz w:val="21"/>
              </w:rPr>
              <w:t xml:space="preserve">成立日期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2314" w:type="dxa"/>
            <w:gridSpan w:val="2"/>
            <w:tcBorders>
              <w:top w:val="single" w:color="000000" w:sz="4" w:space="0"/>
              <w:left w:val="nil"/>
              <w:bottom w:val="single" w:color="000000" w:sz="4" w:space="0"/>
              <w:right w:val="single" w:color="000000" w:sz="4" w:space="0"/>
            </w:tcBorders>
            <w:noWrap/>
            <w:vAlign w:val="bottom"/>
          </w:tcPr>
          <w:p>
            <w:pPr>
              <w:spacing w:after="0"/>
              <w:ind w:left="600"/>
              <w:rPr>
                <w:rFonts w:ascii="宋体" w:hAnsi="宋体" w:eastAsia="宋体" w:cs="宋体"/>
                <w:color w:val="auto"/>
              </w:rPr>
            </w:pPr>
          </w:p>
        </w:tc>
        <w:tc>
          <w:tcPr>
            <w:tcW w:w="415" w:type="dxa"/>
            <w:vMerge w:val="continue"/>
            <w:tcBorders>
              <w:top w:val="nil"/>
              <w:left w:val="single" w:color="000000" w:sz="4" w:space="0"/>
              <w:bottom w:val="nil"/>
              <w:right w:val="single" w:color="000000" w:sz="4" w:space="0"/>
            </w:tcBorders>
            <w:noWrap/>
          </w:tcPr>
          <w:p>
            <w:pPr>
              <w:rPr>
                <w:rFonts w:ascii="宋体" w:hAnsi="宋体" w:eastAsia="宋体" w:cs="宋体"/>
                <w:color w:val="auto"/>
              </w:rPr>
            </w:pPr>
          </w:p>
        </w:tc>
        <w:tc>
          <w:tcPr>
            <w:tcW w:w="1699"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left="113"/>
              <w:rPr>
                <w:rFonts w:ascii="宋体" w:hAnsi="宋体" w:eastAsia="宋体" w:cs="宋体"/>
                <w:color w:val="auto"/>
              </w:rPr>
            </w:pPr>
            <w:r>
              <w:rPr>
                <w:rFonts w:hint="eastAsia" w:ascii="宋体" w:hAnsi="宋体" w:eastAsia="宋体" w:cs="宋体"/>
                <w:color w:val="auto"/>
                <w:sz w:val="21"/>
              </w:rPr>
              <w:t xml:space="preserve">中级职称人员 </w:t>
            </w:r>
          </w:p>
        </w:tc>
        <w:tc>
          <w:tcPr>
            <w:tcW w:w="1515"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4"/>
              <w:jc w:val="center"/>
              <w:rPr>
                <w:rFonts w:ascii="宋体" w:hAnsi="宋体" w:eastAsia="宋体" w:cs="宋体"/>
                <w:color w:val="auto"/>
              </w:rPr>
            </w:pPr>
          </w:p>
        </w:tc>
      </w:tr>
      <w:tr>
        <w:tblPrEx>
          <w:tblCellMar>
            <w:top w:w="0" w:type="dxa"/>
            <w:left w:w="108" w:type="dxa"/>
            <w:bottom w:w="46" w:type="dxa"/>
            <w:right w:w="43" w:type="dxa"/>
          </w:tblCellMar>
        </w:tblPrEx>
        <w:trPr>
          <w:trHeight w:val="451"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left="74"/>
              <w:jc w:val="both"/>
              <w:rPr>
                <w:rFonts w:ascii="宋体" w:hAnsi="宋体" w:eastAsia="宋体" w:cs="宋体"/>
                <w:color w:val="auto"/>
              </w:rPr>
            </w:pPr>
            <w:r>
              <w:rPr>
                <w:rFonts w:hint="eastAsia" w:ascii="宋体" w:hAnsi="宋体" w:eastAsia="宋体" w:cs="宋体"/>
                <w:color w:val="auto"/>
                <w:sz w:val="21"/>
              </w:rPr>
              <w:t xml:space="preserve">基本账户开户银行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2314" w:type="dxa"/>
            <w:gridSpan w:val="2"/>
            <w:tcBorders>
              <w:top w:val="single" w:color="000000" w:sz="4" w:space="0"/>
              <w:left w:val="nil"/>
              <w:bottom w:val="single" w:color="000000" w:sz="4" w:space="0"/>
              <w:right w:val="single" w:color="000000" w:sz="4" w:space="0"/>
            </w:tcBorders>
            <w:noWrap/>
            <w:vAlign w:val="bottom"/>
          </w:tcPr>
          <w:p>
            <w:pPr>
              <w:spacing w:after="0"/>
              <w:ind w:left="600"/>
              <w:rPr>
                <w:rFonts w:ascii="宋体" w:hAnsi="宋体" w:eastAsia="宋体" w:cs="宋体"/>
                <w:color w:val="auto"/>
              </w:rPr>
            </w:pPr>
          </w:p>
        </w:tc>
        <w:tc>
          <w:tcPr>
            <w:tcW w:w="415" w:type="dxa"/>
            <w:vMerge w:val="continue"/>
            <w:tcBorders>
              <w:top w:val="nil"/>
              <w:left w:val="single" w:color="000000" w:sz="4" w:space="0"/>
              <w:bottom w:val="nil"/>
              <w:right w:val="single" w:color="000000" w:sz="4" w:space="0"/>
            </w:tcBorders>
            <w:noWrap/>
          </w:tcPr>
          <w:p>
            <w:pPr>
              <w:rPr>
                <w:rFonts w:ascii="宋体" w:hAnsi="宋体" w:eastAsia="宋体" w:cs="宋体"/>
                <w:color w:val="auto"/>
              </w:rPr>
            </w:pPr>
          </w:p>
        </w:tc>
        <w:tc>
          <w:tcPr>
            <w:tcW w:w="1699"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left="113"/>
              <w:rPr>
                <w:rFonts w:ascii="宋体" w:hAnsi="宋体" w:eastAsia="宋体" w:cs="宋体"/>
                <w:color w:val="auto"/>
              </w:rPr>
            </w:pPr>
            <w:r>
              <w:rPr>
                <w:rFonts w:hint="eastAsia" w:ascii="宋体" w:hAnsi="宋体" w:eastAsia="宋体" w:cs="宋体"/>
                <w:color w:val="auto"/>
                <w:sz w:val="21"/>
              </w:rPr>
              <w:t xml:space="preserve">技术人员数量 </w:t>
            </w:r>
          </w:p>
        </w:tc>
        <w:tc>
          <w:tcPr>
            <w:tcW w:w="1515"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4"/>
              <w:jc w:val="center"/>
              <w:rPr>
                <w:rFonts w:ascii="宋体" w:hAnsi="宋体" w:eastAsia="宋体" w:cs="宋体"/>
                <w:color w:val="auto"/>
              </w:rPr>
            </w:pPr>
          </w:p>
        </w:tc>
      </w:tr>
      <w:tr>
        <w:tblPrEx>
          <w:tblCellMar>
            <w:top w:w="0" w:type="dxa"/>
            <w:left w:w="108" w:type="dxa"/>
            <w:bottom w:w="46" w:type="dxa"/>
            <w:right w:w="43" w:type="dxa"/>
          </w:tblCellMar>
        </w:tblPrEx>
        <w:trPr>
          <w:trHeight w:val="449"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left="74"/>
              <w:jc w:val="both"/>
              <w:rPr>
                <w:rFonts w:ascii="宋体" w:hAnsi="宋体" w:eastAsia="宋体" w:cs="宋体"/>
                <w:color w:val="auto"/>
              </w:rPr>
            </w:pPr>
            <w:r>
              <w:rPr>
                <w:rFonts w:hint="eastAsia" w:ascii="宋体" w:hAnsi="宋体" w:eastAsia="宋体" w:cs="宋体"/>
                <w:color w:val="auto"/>
                <w:sz w:val="21"/>
              </w:rPr>
              <w:t xml:space="preserve">基本账户银行账号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2314" w:type="dxa"/>
            <w:gridSpan w:val="2"/>
            <w:tcBorders>
              <w:top w:val="single" w:color="000000" w:sz="4" w:space="0"/>
              <w:left w:val="nil"/>
              <w:bottom w:val="single" w:color="000000" w:sz="4" w:space="0"/>
              <w:right w:val="single" w:color="000000" w:sz="4" w:space="0"/>
            </w:tcBorders>
            <w:noWrap/>
            <w:vAlign w:val="bottom"/>
          </w:tcPr>
          <w:p>
            <w:pPr>
              <w:spacing w:after="0"/>
              <w:ind w:left="600"/>
              <w:rPr>
                <w:rFonts w:ascii="宋体" w:hAnsi="宋体" w:eastAsia="宋体" w:cs="宋体"/>
                <w:color w:val="auto"/>
              </w:rPr>
            </w:pPr>
          </w:p>
        </w:tc>
        <w:tc>
          <w:tcPr>
            <w:tcW w:w="415" w:type="dxa"/>
            <w:vMerge w:val="continue"/>
            <w:tcBorders>
              <w:top w:val="nil"/>
              <w:left w:val="single" w:color="000000" w:sz="4" w:space="0"/>
              <w:bottom w:val="single" w:color="000000" w:sz="4" w:space="0"/>
              <w:right w:val="single" w:color="000000" w:sz="4" w:space="0"/>
            </w:tcBorders>
            <w:noWrap/>
          </w:tcPr>
          <w:p>
            <w:pPr>
              <w:rPr>
                <w:rFonts w:ascii="宋体" w:hAnsi="宋体" w:eastAsia="宋体" w:cs="宋体"/>
                <w:color w:val="auto"/>
              </w:rPr>
            </w:pPr>
          </w:p>
        </w:tc>
        <w:tc>
          <w:tcPr>
            <w:tcW w:w="1699"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left="113"/>
              <w:rPr>
                <w:rFonts w:ascii="宋体" w:hAnsi="宋体" w:eastAsia="宋体" w:cs="宋体"/>
                <w:color w:val="auto"/>
              </w:rPr>
            </w:pPr>
            <w:r>
              <w:rPr>
                <w:rFonts w:hint="eastAsia" w:ascii="宋体" w:hAnsi="宋体" w:eastAsia="宋体" w:cs="宋体"/>
                <w:color w:val="auto"/>
                <w:sz w:val="21"/>
              </w:rPr>
              <w:t xml:space="preserve">各类注册人员 </w:t>
            </w:r>
          </w:p>
        </w:tc>
        <w:tc>
          <w:tcPr>
            <w:tcW w:w="1515" w:type="dxa"/>
            <w:gridSpan w:val="2"/>
            <w:tcBorders>
              <w:top w:val="single" w:color="000000" w:sz="4" w:space="0"/>
              <w:left w:val="single" w:color="000000" w:sz="4" w:space="0"/>
              <w:bottom w:val="single" w:color="000000" w:sz="4" w:space="0"/>
              <w:right w:val="single" w:color="000000" w:sz="4" w:space="0"/>
            </w:tcBorders>
            <w:noWrap/>
            <w:vAlign w:val="bottom"/>
          </w:tcPr>
          <w:p>
            <w:pPr>
              <w:spacing w:after="0"/>
              <w:ind w:right="14"/>
              <w:jc w:val="center"/>
              <w:rPr>
                <w:rFonts w:ascii="宋体" w:hAnsi="宋体" w:eastAsia="宋体" w:cs="宋体"/>
                <w:color w:val="auto"/>
              </w:rPr>
            </w:pPr>
          </w:p>
        </w:tc>
      </w:tr>
      <w:tr>
        <w:tblPrEx>
          <w:tblCellMar>
            <w:top w:w="0" w:type="dxa"/>
            <w:left w:w="108" w:type="dxa"/>
            <w:bottom w:w="46" w:type="dxa"/>
            <w:right w:w="43" w:type="dxa"/>
          </w:tblCellMar>
        </w:tblPrEx>
        <w:trPr>
          <w:trHeight w:val="451"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left="149"/>
              <w:jc w:val="center"/>
              <w:rPr>
                <w:rFonts w:ascii="宋体" w:hAnsi="宋体" w:eastAsia="宋体" w:cs="宋体"/>
                <w:color w:val="auto"/>
              </w:rPr>
            </w:pPr>
            <w:r>
              <w:rPr>
                <w:rFonts w:hint="eastAsia" w:ascii="宋体" w:hAnsi="宋体" w:eastAsia="宋体" w:cs="宋体"/>
                <w:color w:val="auto"/>
                <w:sz w:val="21"/>
              </w:rPr>
              <w:t xml:space="preserve">经营范围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5943" w:type="dxa"/>
            <w:gridSpan w:val="7"/>
            <w:tcBorders>
              <w:top w:val="single" w:color="000000" w:sz="4" w:space="0"/>
              <w:left w:val="nil"/>
              <w:bottom w:val="single" w:color="000000" w:sz="4" w:space="0"/>
              <w:right w:val="single" w:color="000000" w:sz="4" w:space="0"/>
            </w:tcBorders>
            <w:noWrap/>
            <w:vAlign w:val="bottom"/>
          </w:tcPr>
          <w:p>
            <w:pPr>
              <w:spacing w:after="0"/>
              <w:ind w:left="2415"/>
              <w:rPr>
                <w:rFonts w:ascii="宋体" w:hAnsi="宋体" w:eastAsia="宋体" w:cs="宋体"/>
                <w:color w:val="auto"/>
              </w:rPr>
            </w:pPr>
          </w:p>
        </w:tc>
      </w:tr>
      <w:tr>
        <w:tblPrEx>
          <w:tblCellMar>
            <w:top w:w="0" w:type="dxa"/>
            <w:left w:w="108" w:type="dxa"/>
            <w:bottom w:w="46" w:type="dxa"/>
            <w:right w:w="43" w:type="dxa"/>
          </w:tblCellMar>
        </w:tblPrEx>
        <w:trPr>
          <w:trHeight w:val="2650"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2" w:line="384" w:lineRule="auto"/>
              <w:jc w:val="center"/>
              <w:rPr>
                <w:rFonts w:ascii="宋体" w:hAnsi="宋体" w:eastAsia="宋体" w:cs="宋体"/>
                <w:color w:val="auto"/>
              </w:rPr>
            </w:pPr>
            <w:r>
              <w:rPr>
                <w:rFonts w:hint="eastAsia" w:ascii="宋体" w:hAnsi="宋体" w:eastAsia="宋体" w:cs="宋体"/>
                <w:color w:val="auto"/>
                <w:sz w:val="21"/>
              </w:rPr>
              <w:t>投标人关联企业情况（包括但不限于与投标人法定代表人</w:t>
            </w:r>
          </w:p>
          <w:p>
            <w:pPr>
              <w:spacing w:after="142"/>
              <w:ind w:left="74"/>
              <w:jc w:val="both"/>
              <w:rPr>
                <w:rFonts w:ascii="宋体" w:hAnsi="宋体" w:eastAsia="宋体" w:cs="宋体"/>
                <w:color w:val="auto"/>
              </w:rPr>
            </w:pPr>
            <w:r>
              <w:rPr>
                <w:rFonts w:hint="eastAsia" w:ascii="宋体" w:hAnsi="宋体" w:eastAsia="宋体" w:cs="宋体"/>
                <w:color w:val="auto"/>
                <w:sz w:val="21"/>
              </w:rPr>
              <w:t>为同一人或者存在</w:t>
            </w:r>
          </w:p>
          <w:p>
            <w:pPr>
              <w:spacing w:after="149"/>
              <w:jc w:val="both"/>
              <w:rPr>
                <w:rFonts w:ascii="宋体" w:hAnsi="宋体" w:eastAsia="宋体" w:cs="宋体"/>
                <w:color w:val="auto"/>
              </w:rPr>
            </w:pPr>
            <w:r>
              <w:rPr>
                <w:rFonts w:hint="eastAsia" w:ascii="宋体" w:hAnsi="宋体" w:eastAsia="宋体" w:cs="宋体"/>
                <w:color w:val="auto"/>
                <w:sz w:val="21"/>
              </w:rPr>
              <w:t>控股、管理关系的不</w:t>
            </w:r>
          </w:p>
          <w:p>
            <w:pPr>
              <w:spacing w:after="0"/>
              <w:ind w:right="62"/>
              <w:jc w:val="center"/>
              <w:rPr>
                <w:rFonts w:ascii="宋体" w:hAnsi="宋体" w:eastAsia="宋体" w:cs="宋体"/>
                <w:color w:val="auto"/>
              </w:rPr>
            </w:pPr>
            <w:r>
              <w:rPr>
                <w:rFonts w:hint="eastAsia" w:ascii="宋体" w:hAnsi="宋体" w:eastAsia="宋体" w:cs="宋体"/>
                <w:color w:val="auto"/>
                <w:sz w:val="21"/>
              </w:rPr>
              <w:t xml:space="preserve">同单位）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5943" w:type="dxa"/>
            <w:gridSpan w:val="7"/>
            <w:tcBorders>
              <w:top w:val="single" w:color="000000" w:sz="4" w:space="0"/>
              <w:left w:val="nil"/>
              <w:bottom w:val="single" w:color="000000" w:sz="4" w:space="0"/>
              <w:right w:val="single" w:color="000000" w:sz="4" w:space="0"/>
            </w:tcBorders>
            <w:noWrap/>
            <w:vAlign w:val="bottom"/>
          </w:tcPr>
          <w:p>
            <w:pPr>
              <w:spacing w:after="0"/>
              <w:ind w:left="2415"/>
              <w:rPr>
                <w:rFonts w:ascii="宋体" w:hAnsi="宋体" w:eastAsia="宋体" w:cs="宋体"/>
                <w:color w:val="auto"/>
              </w:rPr>
            </w:pPr>
          </w:p>
        </w:tc>
      </w:tr>
      <w:tr>
        <w:tblPrEx>
          <w:tblCellMar>
            <w:top w:w="0" w:type="dxa"/>
            <w:left w:w="108" w:type="dxa"/>
            <w:bottom w:w="46" w:type="dxa"/>
            <w:right w:w="43" w:type="dxa"/>
          </w:tblCellMar>
        </w:tblPrEx>
        <w:trPr>
          <w:trHeight w:val="449" w:hRule="atLeast"/>
          <w:jc w:val="center"/>
        </w:trPr>
        <w:tc>
          <w:tcPr>
            <w:tcW w:w="2045" w:type="dxa"/>
            <w:tcBorders>
              <w:top w:val="single" w:color="000000" w:sz="4" w:space="0"/>
              <w:left w:val="single" w:color="000000" w:sz="4" w:space="0"/>
              <w:bottom w:val="single" w:color="000000" w:sz="4" w:space="0"/>
              <w:right w:val="single" w:color="000000" w:sz="4" w:space="0"/>
            </w:tcBorders>
            <w:noWrap/>
            <w:vAlign w:val="bottom"/>
          </w:tcPr>
          <w:p>
            <w:pPr>
              <w:spacing w:after="0"/>
              <w:ind w:right="60"/>
              <w:jc w:val="center"/>
              <w:rPr>
                <w:rFonts w:ascii="宋体" w:hAnsi="宋体" w:eastAsia="宋体" w:cs="宋体"/>
                <w:color w:val="auto"/>
              </w:rPr>
            </w:pPr>
            <w:r>
              <w:rPr>
                <w:rFonts w:hint="eastAsia" w:ascii="宋体" w:hAnsi="宋体" w:eastAsia="宋体" w:cs="宋体"/>
                <w:color w:val="auto"/>
                <w:sz w:val="21"/>
              </w:rPr>
              <w:t xml:space="preserve">备注 </w:t>
            </w:r>
          </w:p>
        </w:tc>
        <w:tc>
          <w:tcPr>
            <w:tcW w:w="898" w:type="dxa"/>
            <w:tcBorders>
              <w:top w:val="single" w:color="000000" w:sz="4" w:space="0"/>
              <w:left w:val="single" w:color="000000" w:sz="4" w:space="0"/>
              <w:bottom w:val="single" w:color="000000" w:sz="4" w:space="0"/>
              <w:right w:val="nil"/>
            </w:tcBorders>
            <w:noWrap/>
          </w:tcPr>
          <w:p>
            <w:pPr>
              <w:rPr>
                <w:rFonts w:ascii="宋体" w:hAnsi="宋体" w:eastAsia="宋体" w:cs="宋体"/>
                <w:color w:val="auto"/>
              </w:rPr>
            </w:pPr>
          </w:p>
        </w:tc>
        <w:tc>
          <w:tcPr>
            <w:tcW w:w="5943" w:type="dxa"/>
            <w:gridSpan w:val="7"/>
            <w:tcBorders>
              <w:top w:val="single" w:color="000000" w:sz="4" w:space="0"/>
              <w:left w:val="nil"/>
              <w:bottom w:val="single" w:color="000000" w:sz="4" w:space="0"/>
              <w:right w:val="single" w:color="000000" w:sz="4" w:space="0"/>
            </w:tcBorders>
            <w:noWrap/>
            <w:vAlign w:val="bottom"/>
          </w:tcPr>
          <w:p>
            <w:pPr>
              <w:spacing w:after="0"/>
              <w:ind w:left="2415"/>
              <w:rPr>
                <w:rFonts w:ascii="宋体" w:hAnsi="宋体" w:eastAsia="宋体" w:cs="宋体"/>
                <w:color w:val="auto"/>
              </w:rPr>
            </w:pPr>
          </w:p>
        </w:tc>
      </w:tr>
    </w:tbl>
    <w:p>
      <w:pPr>
        <w:rPr>
          <w:rFonts w:ascii="宋体" w:hAnsi="宋体" w:eastAsia="宋体" w:cs="宋体"/>
          <w:b/>
          <w:color w:val="auto"/>
          <w:sz w:val="28"/>
          <w:szCs w:val="28"/>
        </w:rPr>
      </w:pPr>
      <w:r>
        <w:rPr>
          <w:rFonts w:ascii="宋体" w:hAnsi="宋体" w:eastAsia="宋体" w:cs="宋体"/>
          <w:b/>
          <w:color w:val="auto"/>
          <w:sz w:val="28"/>
          <w:szCs w:val="28"/>
        </w:rPr>
        <w:br w:type="page"/>
      </w:r>
    </w:p>
    <w:p/>
    <w:p>
      <w:pPr>
        <w:pStyle w:val="4"/>
        <w:rPr>
          <w:rFonts w:ascii="宋体" w:hAnsi="宋体" w:eastAsia="宋体" w:cs="宋体"/>
          <w:b/>
          <w:color w:val="auto"/>
          <w:kern w:val="2"/>
          <w:sz w:val="28"/>
          <w:szCs w:val="28"/>
        </w:rPr>
      </w:pPr>
      <w:bookmarkStart w:id="312" w:name="_Toc142406662"/>
      <w:r>
        <w:rPr>
          <w:rFonts w:hint="eastAsia" w:ascii="宋体" w:hAnsi="宋体" w:eastAsia="宋体" w:cs="宋体"/>
          <w:b/>
          <w:color w:val="auto"/>
          <w:kern w:val="2"/>
          <w:sz w:val="28"/>
          <w:szCs w:val="28"/>
        </w:rPr>
        <w:t>表格</w:t>
      </w:r>
      <w:bookmarkEnd w:id="312"/>
    </w:p>
    <w:p>
      <w:pPr>
        <w:spacing w:beforeLines="50" w:afterLines="5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表1、投标单位一般情况表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88"/>
        <w:gridCol w:w="240"/>
        <w:gridCol w:w="1270"/>
        <w:gridCol w:w="1070"/>
        <w:gridCol w:w="264"/>
        <w:gridCol w:w="1176"/>
        <w:gridCol w:w="720"/>
        <w:gridCol w:w="1440"/>
        <w:gridCol w:w="11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832" w:type="dxa"/>
            <w:gridSpan w:val="9"/>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1、简况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28" w:type="dxa"/>
            <w:gridSpan w:val="2"/>
            <w:tcBorders>
              <w:right w:val="single" w:color="auto" w:sz="4"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单位名称</w:t>
            </w:r>
          </w:p>
        </w:tc>
        <w:tc>
          <w:tcPr>
            <w:tcW w:w="7104" w:type="dxa"/>
            <w:gridSpan w:val="7"/>
            <w:tcBorders>
              <w:left w:val="single" w:color="auto" w:sz="4" w:space="0"/>
            </w:tcBorders>
            <w:noWrap/>
            <w:vAlign w:val="center"/>
          </w:tcPr>
          <w:p>
            <w:pP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28"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具备资质情况</w:t>
            </w:r>
          </w:p>
        </w:tc>
        <w:tc>
          <w:tcPr>
            <w:tcW w:w="7104" w:type="dxa"/>
            <w:gridSpan w:val="7"/>
            <w:noWrap/>
            <w:vAlign w:val="center"/>
          </w:tcPr>
          <w:p>
            <w:pP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28"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证书编号</w:t>
            </w:r>
          </w:p>
        </w:tc>
        <w:tc>
          <w:tcPr>
            <w:tcW w:w="7104" w:type="dxa"/>
            <w:gridSpan w:val="7"/>
            <w:noWrap/>
            <w:vAlign w:val="center"/>
          </w:tcPr>
          <w:p>
            <w:pP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832" w:type="dxa"/>
            <w:gridSpan w:val="9"/>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2、人员结构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88" w:type="dxa"/>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职工总数</w:t>
            </w:r>
          </w:p>
        </w:tc>
        <w:tc>
          <w:tcPr>
            <w:tcW w:w="1510" w:type="dxa"/>
            <w:gridSpan w:val="2"/>
            <w:noWrap/>
            <w:vAlign w:val="center"/>
          </w:tcPr>
          <w:p>
            <w:pPr>
              <w:ind w:left="52"/>
              <w:jc w:val="center"/>
              <w:rPr>
                <w:rFonts w:ascii="宋体" w:hAnsi="宋体" w:eastAsia="宋体" w:cs="宋体"/>
                <w:color w:val="auto"/>
                <w:position w:val="-30"/>
              </w:rPr>
            </w:pPr>
          </w:p>
        </w:tc>
        <w:tc>
          <w:tcPr>
            <w:tcW w:w="1334" w:type="dxa"/>
            <w:gridSpan w:val="2"/>
            <w:noWrap/>
            <w:vAlign w:val="center"/>
          </w:tcPr>
          <w:p>
            <w:pPr>
              <w:ind w:left="52"/>
              <w:jc w:val="center"/>
              <w:rPr>
                <w:rFonts w:ascii="宋体" w:hAnsi="宋体" w:eastAsia="宋体" w:cs="宋体"/>
                <w:color w:val="auto"/>
                <w:position w:val="-30"/>
              </w:rPr>
            </w:pPr>
            <w:r>
              <w:rPr>
                <w:rFonts w:hint="eastAsia" w:ascii="宋体" w:hAnsi="宋体" w:eastAsia="宋体" w:cs="宋体"/>
                <w:color w:val="auto"/>
                <w:position w:val="-30"/>
              </w:rPr>
              <w:t>专业人数</w:t>
            </w:r>
          </w:p>
        </w:tc>
        <w:tc>
          <w:tcPr>
            <w:tcW w:w="1176" w:type="dxa"/>
            <w:noWrap/>
            <w:vAlign w:val="center"/>
          </w:tcPr>
          <w:p>
            <w:pPr>
              <w:ind w:left="52"/>
              <w:jc w:val="center"/>
              <w:rPr>
                <w:rFonts w:ascii="宋体" w:hAnsi="宋体" w:eastAsia="宋体" w:cs="宋体"/>
                <w:color w:val="auto"/>
                <w:position w:val="-30"/>
              </w:rPr>
            </w:pPr>
          </w:p>
        </w:tc>
        <w:tc>
          <w:tcPr>
            <w:tcW w:w="2160" w:type="dxa"/>
            <w:gridSpan w:val="2"/>
            <w:noWrap/>
            <w:vAlign w:val="center"/>
          </w:tcPr>
          <w:p>
            <w:pPr>
              <w:ind w:left="52"/>
              <w:jc w:val="center"/>
              <w:rPr>
                <w:rFonts w:ascii="宋体" w:hAnsi="宋体" w:eastAsia="宋体" w:cs="宋体"/>
                <w:color w:val="auto"/>
                <w:position w:val="-30"/>
              </w:rPr>
            </w:pPr>
            <w:r>
              <w:rPr>
                <w:rFonts w:hint="eastAsia" w:ascii="宋体" w:hAnsi="宋体" w:eastAsia="宋体" w:cs="宋体"/>
                <w:color w:val="auto"/>
                <w:position w:val="-30"/>
              </w:rPr>
              <w:t>中级以上职称人数</w:t>
            </w:r>
          </w:p>
        </w:tc>
        <w:tc>
          <w:tcPr>
            <w:tcW w:w="1164" w:type="dxa"/>
            <w:noWrap/>
            <w:vAlign w:val="center"/>
          </w:tcPr>
          <w:p>
            <w:pPr>
              <w:ind w:left="52"/>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4" w:hRule="atLeast"/>
        </w:trPr>
        <w:tc>
          <w:tcPr>
            <w:tcW w:w="2998" w:type="dxa"/>
            <w:gridSpan w:val="3"/>
            <w:noWrap/>
            <w:vAlign w:val="center"/>
          </w:tcPr>
          <w:p>
            <w:pPr>
              <w:spacing w:line="240" w:lineRule="atLeast"/>
              <w:rPr>
                <w:rFonts w:ascii="宋体" w:hAnsi="宋体" w:eastAsia="宋体" w:cs="宋体"/>
                <w:color w:val="auto"/>
                <w:position w:val="-30"/>
              </w:rPr>
            </w:pPr>
            <w:r>
              <w:rPr>
                <w:rFonts w:hint="eastAsia" w:ascii="宋体" w:hAnsi="宋体" w:eastAsia="宋体" w:cs="宋体"/>
                <w:color w:val="auto"/>
                <w:position w:val="-30"/>
              </w:rPr>
              <w:t>从事检测、监测工作10年以上人数</w:t>
            </w:r>
          </w:p>
        </w:tc>
        <w:tc>
          <w:tcPr>
            <w:tcW w:w="1334" w:type="dxa"/>
            <w:gridSpan w:val="2"/>
            <w:noWrap/>
            <w:vAlign w:val="center"/>
          </w:tcPr>
          <w:p>
            <w:pPr>
              <w:spacing w:line="240" w:lineRule="atLeast"/>
              <w:rPr>
                <w:rFonts w:ascii="宋体" w:hAnsi="宋体" w:eastAsia="宋体" w:cs="宋体"/>
                <w:color w:val="auto"/>
                <w:position w:val="-30"/>
              </w:rPr>
            </w:pPr>
          </w:p>
        </w:tc>
        <w:tc>
          <w:tcPr>
            <w:tcW w:w="3336" w:type="dxa"/>
            <w:gridSpan w:val="3"/>
            <w:noWrap/>
            <w:vAlign w:val="center"/>
          </w:tcPr>
          <w:p>
            <w:pPr>
              <w:rPr>
                <w:rFonts w:ascii="宋体" w:hAnsi="宋体" w:eastAsia="宋体" w:cs="宋体"/>
                <w:color w:val="auto"/>
                <w:position w:val="-30"/>
              </w:rPr>
            </w:pPr>
            <w:r>
              <w:rPr>
                <w:rFonts w:hint="eastAsia" w:ascii="宋体" w:hAnsi="宋体" w:eastAsia="宋体" w:cs="宋体"/>
                <w:color w:val="auto"/>
                <w:position w:val="-30"/>
              </w:rPr>
              <w:t>从事检测、监测工作3～10年</w:t>
            </w:r>
          </w:p>
          <w:p>
            <w:pPr>
              <w:rPr>
                <w:rFonts w:ascii="宋体" w:hAnsi="宋体" w:eastAsia="宋体" w:cs="宋体"/>
                <w:color w:val="auto"/>
                <w:position w:val="-30"/>
              </w:rPr>
            </w:pPr>
            <w:r>
              <w:rPr>
                <w:rFonts w:hint="eastAsia" w:ascii="宋体" w:hAnsi="宋体" w:eastAsia="宋体" w:cs="宋体"/>
                <w:color w:val="auto"/>
                <w:position w:val="-30"/>
              </w:rPr>
              <w:t>人数</w:t>
            </w:r>
          </w:p>
        </w:tc>
        <w:tc>
          <w:tcPr>
            <w:tcW w:w="1164" w:type="dxa"/>
            <w:noWrap/>
            <w:vAlign w:val="center"/>
          </w:tcPr>
          <w:p>
            <w:pP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8832" w:type="dxa"/>
            <w:gridSpan w:val="9"/>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3、领导人名单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28"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职务</w:t>
            </w:r>
          </w:p>
        </w:tc>
        <w:tc>
          <w:tcPr>
            <w:tcW w:w="2340"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姓名</w:t>
            </w:r>
          </w:p>
        </w:tc>
        <w:tc>
          <w:tcPr>
            <w:tcW w:w="2160" w:type="dxa"/>
            <w:gridSpan w:val="3"/>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职称</w:t>
            </w:r>
          </w:p>
        </w:tc>
        <w:tc>
          <w:tcPr>
            <w:tcW w:w="2604"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从事岗位业务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28" w:type="dxa"/>
            <w:gridSpan w:val="2"/>
            <w:noWrap/>
            <w:vAlign w:val="center"/>
          </w:tcPr>
          <w:p>
            <w:pPr>
              <w:jc w:val="center"/>
              <w:rPr>
                <w:rFonts w:ascii="宋体" w:hAnsi="宋体" w:eastAsia="宋体" w:cs="宋体"/>
                <w:color w:val="auto"/>
                <w:position w:val="-30"/>
              </w:rPr>
            </w:pPr>
          </w:p>
        </w:tc>
        <w:tc>
          <w:tcPr>
            <w:tcW w:w="2340" w:type="dxa"/>
            <w:gridSpan w:val="2"/>
            <w:noWrap/>
            <w:vAlign w:val="center"/>
          </w:tcPr>
          <w:p>
            <w:pPr>
              <w:jc w:val="center"/>
              <w:rPr>
                <w:rFonts w:ascii="宋体" w:hAnsi="宋体" w:eastAsia="宋体" w:cs="宋体"/>
                <w:color w:val="auto"/>
                <w:position w:val="-30"/>
              </w:rPr>
            </w:pPr>
          </w:p>
        </w:tc>
        <w:tc>
          <w:tcPr>
            <w:tcW w:w="2160" w:type="dxa"/>
            <w:gridSpan w:val="3"/>
            <w:noWrap/>
            <w:vAlign w:val="center"/>
          </w:tcPr>
          <w:p>
            <w:pPr>
              <w:jc w:val="center"/>
              <w:rPr>
                <w:rFonts w:ascii="宋体" w:hAnsi="宋体" w:eastAsia="宋体" w:cs="宋体"/>
                <w:color w:val="auto"/>
                <w:position w:val="-30"/>
              </w:rPr>
            </w:pPr>
          </w:p>
        </w:tc>
        <w:tc>
          <w:tcPr>
            <w:tcW w:w="2604" w:type="dxa"/>
            <w:gridSpan w:val="2"/>
            <w:noWrap/>
            <w:vAlign w:val="center"/>
          </w:tcPr>
          <w:p>
            <w:pPr>
              <w:jc w:val="cente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28" w:type="dxa"/>
            <w:gridSpan w:val="2"/>
            <w:noWrap/>
            <w:vAlign w:val="center"/>
          </w:tcPr>
          <w:p>
            <w:pPr>
              <w:rPr>
                <w:rFonts w:ascii="宋体" w:hAnsi="宋体" w:eastAsia="宋体" w:cs="宋体"/>
                <w:color w:val="auto"/>
                <w:position w:val="-30"/>
              </w:rPr>
            </w:pPr>
          </w:p>
        </w:tc>
        <w:tc>
          <w:tcPr>
            <w:tcW w:w="2340" w:type="dxa"/>
            <w:gridSpan w:val="2"/>
            <w:noWrap/>
            <w:vAlign w:val="center"/>
          </w:tcPr>
          <w:p>
            <w:pPr>
              <w:rPr>
                <w:rFonts w:ascii="宋体" w:hAnsi="宋体" w:eastAsia="宋体" w:cs="宋体"/>
                <w:color w:val="auto"/>
                <w:position w:val="-30"/>
              </w:rPr>
            </w:pPr>
          </w:p>
        </w:tc>
        <w:tc>
          <w:tcPr>
            <w:tcW w:w="2160" w:type="dxa"/>
            <w:gridSpan w:val="3"/>
            <w:noWrap/>
            <w:vAlign w:val="center"/>
          </w:tcPr>
          <w:p>
            <w:pPr>
              <w:rPr>
                <w:rFonts w:ascii="宋体" w:hAnsi="宋体" w:eastAsia="宋体" w:cs="宋体"/>
                <w:color w:val="auto"/>
                <w:position w:val="-30"/>
              </w:rPr>
            </w:pPr>
          </w:p>
        </w:tc>
        <w:tc>
          <w:tcPr>
            <w:tcW w:w="2604" w:type="dxa"/>
            <w:gridSpan w:val="2"/>
            <w:noWrap/>
            <w:vAlign w:val="center"/>
          </w:tcPr>
          <w:p>
            <w:pP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8832" w:type="dxa"/>
            <w:gridSpan w:val="9"/>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4、联系方式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28"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联系人</w:t>
            </w:r>
          </w:p>
        </w:tc>
        <w:tc>
          <w:tcPr>
            <w:tcW w:w="2340"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电话</w:t>
            </w:r>
          </w:p>
        </w:tc>
        <w:tc>
          <w:tcPr>
            <w:tcW w:w="2160" w:type="dxa"/>
            <w:gridSpan w:val="3"/>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手机</w:t>
            </w:r>
          </w:p>
        </w:tc>
        <w:tc>
          <w:tcPr>
            <w:tcW w:w="2604" w:type="dxa"/>
            <w:gridSpan w:val="2"/>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传真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28" w:type="dxa"/>
            <w:gridSpan w:val="2"/>
            <w:noWrap/>
            <w:vAlign w:val="center"/>
          </w:tcPr>
          <w:p>
            <w:pPr>
              <w:jc w:val="center"/>
              <w:rPr>
                <w:rFonts w:ascii="宋体" w:hAnsi="宋体" w:eastAsia="宋体" w:cs="宋体"/>
                <w:color w:val="auto"/>
                <w:position w:val="-30"/>
              </w:rPr>
            </w:pPr>
          </w:p>
        </w:tc>
        <w:tc>
          <w:tcPr>
            <w:tcW w:w="2340" w:type="dxa"/>
            <w:gridSpan w:val="2"/>
            <w:noWrap/>
            <w:vAlign w:val="center"/>
          </w:tcPr>
          <w:p>
            <w:pPr>
              <w:jc w:val="center"/>
              <w:rPr>
                <w:rFonts w:ascii="宋体" w:hAnsi="宋体" w:eastAsia="宋体" w:cs="宋体"/>
                <w:color w:val="auto"/>
                <w:position w:val="-30"/>
              </w:rPr>
            </w:pPr>
          </w:p>
        </w:tc>
        <w:tc>
          <w:tcPr>
            <w:tcW w:w="2160" w:type="dxa"/>
            <w:gridSpan w:val="3"/>
            <w:noWrap/>
            <w:vAlign w:val="center"/>
          </w:tcPr>
          <w:p>
            <w:pPr>
              <w:jc w:val="center"/>
              <w:rPr>
                <w:rFonts w:ascii="宋体" w:hAnsi="宋体" w:eastAsia="宋体" w:cs="宋体"/>
                <w:color w:val="auto"/>
                <w:position w:val="-30"/>
              </w:rPr>
            </w:pPr>
          </w:p>
        </w:tc>
        <w:tc>
          <w:tcPr>
            <w:tcW w:w="2604" w:type="dxa"/>
            <w:gridSpan w:val="2"/>
            <w:noWrap/>
            <w:vAlign w:val="center"/>
          </w:tcPr>
          <w:p>
            <w:pPr>
              <w:jc w:val="center"/>
              <w:rPr>
                <w:rFonts w:ascii="宋体" w:hAnsi="宋体" w:eastAsia="宋体" w:cs="宋体"/>
                <w:color w:val="auto"/>
                <w:position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28" w:type="dxa"/>
            <w:gridSpan w:val="2"/>
            <w:noWrap/>
            <w:vAlign w:val="center"/>
          </w:tcPr>
          <w:p>
            <w:pPr>
              <w:rPr>
                <w:rFonts w:ascii="宋体" w:hAnsi="宋体" w:eastAsia="宋体" w:cs="宋体"/>
                <w:color w:val="auto"/>
                <w:position w:val="-30"/>
              </w:rPr>
            </w:pPr>
          </w:p>
        </w:tc>
        <w:tc>
          <w:tcPr>
            <w:tcW w:w="2340" w:type="dxa"/>
            <w:gridSpan w:val="2"/>
            <w:noWrap/>
            <w:vAlign w:val="center"/>
          </w:tcPr>
          <w:p>
            <w:pPr>
              <w:rPr>
                <w:rFonts w:ascii="宋体" w:hAnsi="宋体" w:eastAsia="宋体" w:cs="宋体"/>
                <w:color w:val="auto"/>
                <w:position w:val="-30"/>
              </w:rPr>
            </w:pPr>
          </w:p>
        </w:tc>
        <w:tc>
          <w:tcPr>
            <w:tcW w:w="2160" w:type="dxa"/>
            <w:gridSpan w:val="3"/>
            <w:noWrap/>
            <w:vAlign w:val="center"/>
          </w:tcPr>
          <w:p>
            <w:pPr>
              <w:rPr>
                <w:rFonts w:ascii="宋体" w:hAnsi="宋体" w:eastAsia="宋体" w:cs="宋体"/>
                <w:color w:val="auto"/>
                <w:position w:val="-30"/>
              </w:rPr>
            </w:pPr>
          </w:p>
        </w:tc>
        <w:tc>
          <w:tcPr>
            <w:tcW w:w="2604" w:type="dxa"/>
            <w:gridSpan w:val="2"/>
            <w:noWrap/>
            <w:vAlign w:val="center"/>
          </w:tcPr>
          <w:p>
            <w:pPr>
              <w:rPr>
                <w:rFonts w:ascii="宋体" w:hAnsi="宋体" w:eastAsia="宋体" w:cs="宋体"/>
                <w:color w:val="auto"/>
                <w:position w:val="-30"/>
              </w:rPr>
            </w:pPr>
          </w:p>
        </w:tc>
      </w:tr>
    </w:tbl>
    <w:p>
      <w:pPr>
        <w:snapToGrid w:val="0"/>
        <w:rPr>
          <w:rFonts w:ascii="宋体" w:hAnsi="宋体" w:eastAsia="宋体" w:cs="宋体"/>
          <w:color w:val="auto"/>
          <w:position w:val="-30"/>
        </w:rPr>
      </w:pPr>
      <w:r>
        <w:rPr>
          <w:rFonts w:hint="eastAsia" w:ascii="宋体" w:hAnsi="宋体" w:eastAsia="宋体" w:cs="宋体"/>
          <w:color w:val="auto"/>
          <w:position w:val="-30"/>
        </w:rPr>
        <w:t>注：1、联系人栏应填写两个人的联系方式以便于联系；</w:t>
      </w:r>
    </w:p>
    <w:p>
      <w:pPr>
        <w:pStyle w:val="4"/>
        <w:jc w:val="center"/>
        <w:rPr>
          <w:rFonts w:ascii="宋体" w:hAnsi="宋体" w:eastAsia="宋体" w:cs="宋体"/>
          <w:color w:val="auto"/>
        </w:rPr>
      </w:pPr>
      <w:r>
        <w:rPr>
          <w:rFonts w:hint="eastAsia" w:ascii="宋体" w:hAnsi="宋体" w:eastAsia="宋体" w:cs="宋体"/>
          <w:b/>
          <w:color w:val="auto"/>
          <w:sz w:val="28"/>
          <w:szCs w:val="28"/>
        </w:rPr>
        <w:br w:type="page"/>
      </w:r>
      <w:bookmarkStart w:id="313" w:name="_Toc142406663"/>
      <w:r>
        <w:rPr>
          <w:rFonts w:hint="eastAsia" w:ascii="宋体" w:hAnsi="宋体" w:eastAsia="宋体" w:cs="宋体"/>
          <w:b/>
          <w:color w:val="auto"/>
          <w:sz w:val="28"/>
          <w:szCs w:val="28"/>
        </w:rPr>
        <w:t>表2、2016年1月1日至今完成过的类似项目业绩</w:t>
      </w:r>
      <w:bookmarkEnd w:id="313"/>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507"/>
        <w:gridCol w:w="1507"/>
        <w:gridCol w:w="1403"/>
        <w:gridCol w:w="180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4"/>
              </w:rPr>
            </w:pPr>
            <w:r>
              <w:rPr>
                <w:rFonts w:hint="eastAsia" w:ascii="宋体" w:hAnsi="宋体" w:eastAsia="宋体" w:cs="宋体"/>
                <w:color w:val="auto"/>
                <w:sz w:val="24"/>
              </w:rPr>
              <w:t>序号</w:t>
            </w:r>
          </w:p>
        </w:tc>
        <w:tc>
          <w:tcPr>
            <w:tcW w:w="1507" w:type="dxa"/>
            <w:noWrap/>
          </w:tcPr>
          <w:p>
            <w:pPr>
              <w:spacing w:line="520" w:lineRule="atLeast"/>
              <w:rPr>
                <w:rFonts w:ascii="宋体" w:hAnsi="宋体" w:eastAsia="宋体" w:cs="宋体"/>
                <w:color w:val="auto"/>
                <w:sz w:val="24"/>
              </w:rPr>
            </w:pPr>
            <w:r>
              <w:rPr>
                <w:rFonts w:hint="eastAsia" w:ascii="宋体" w:hAnsi="宋体" w:eastAsia="宋体" w:cs="宋体"/>
                <w:color w:val="auto"/>
                <w:sz w:val="24"/>
              </w:rPr>
              <w:t>建设单位</w:t>
            </w:r>
          </w:p>
        </w:tc>
        <w:tc>
          <w:tcPr>
            <w:tcW w:w="1507" w:type="dxa"/>
            <w:noWrap/>
          </w:tcPr>
          <w:p>
            <w:pPr>
              <w:spacing w:line="520" w:lineRule="atLeast"/>
              <w:rPr>
                <w:rFonts w:ascii="宋体" w:hAnsi="宋体" w:eastAsia="宋体" w:cs="宋体"/>
                <w:color w:val="auto"/>
                <w:sz w:val="24"/>
              </w:rPr>
            </w:pPr>
            <w:r>
              <w:rPr>
                <w:rFonts w:hint="eastAsia" w:ascii="宋体" w:hAnsi="宋体" w:eastAsia="宋体" w:cs="宋体"/>
                <w:color w:val="auto"/>
                <w:sz w:val="24"/>
              </w:rPr>
              <w:t>工程名称</w:t>
            </w:r>
          </w:p>
        </w:tc>
        <w:tc>
          <w:tcPr>
            <w:tcW w:w="1403" w:type="dxa"/>
            <w:noWrap/>
          </w:tcPr>
          <w:p>
            <w:pPr>
              <w:spacing w:line="520" w:lineRule="atLeast"/>
              <w:rPr>
                <w:rFonts w:ascii="宋体" w:hAnsi="宋体" w:eastAsia="宋体" w:cs="宋体"/>
                <w:color w:val="auto"/>
                <w:sz w:val="24"/>
              </w:rPr>
            </w:pPr>
            <w:r>
              <w:rPr>
                <w:rFonts w:hint="eastAsia" w:ascii="宋体" w:hAnsi="宋体" w:eastAsia="宋体" w:cs="宋体"/>
                <w:color w:val="auto"/>
                <w:sz w:val="24"/>
              </w:rPr>
              <w:t>合同金额</w:t>
            </w:r>
          </w:p>
        </w:tc>
        <w:tc>
          <w:tcPr>
            <w:tcW w:w="1800" w:type="dxa"/>
            <w:noWrap/>
          </w:tcPr>
          <w:p>
            <w:pPr>
              <w:spacing w:line="520" w:lineRule="atLeast"/>
              <w:rPr>
                <w:rFonts w:ascii="宋体" w:hAnsi="宋体" w:eastAsia="宋体" w:cs="宋体"/>
                <w:color w:val="auto"/>
                <w:sz w:val="24"/>
              </w:rPr>
            </w:pPr>
            <w:r>
              <w:rPr>
                <w:rFonts w:hint="eastAsia" w:ascii="宋体" w:hAnsi="宋体" w:eastAsia="宋体" w:cs="宋体"/>
                <w:color w:val="auto"/>
                <w:sz w:val="24"/>
              </w:rPr>
              <w:t>签订日期</w:t>
            </w:r>
          </w:p>
        </w:tc>
        <w:tc>
          <w:tcPr>
            <w:tcW w:w="1130" w:type="dxa"/>
            <w:noWrap/>
          </w:tcPr>
          <w:p>
            <w:pPr>
              <w:spacing w:line="520" w:lineRule="atLeast"/>
              <w:rPr>
                <w:rFonts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507" w:type="dxa"/>
            <w:noWrap/>
          </w:tcPr>
          <w:p>
            <w:pPr>
              <w:spacing w:line="520" w:lineRule="atLeast"/>
              <w:rPr>
                <w:rFonts w:ascii="宋体" w:hAnsi="宋体" w:eastAsia="宋体" w:cs="宋体"/>
                <w:color w:val="auto"/>
                <w:sz w:val="28"/>
              </w:rPr>
            </w:pPr>
          </w:p>
        </w:tc>
        <w:tc>
          <w:tcPr>
            <w:tcW w:w="1403" w:type="dxa"/>
            <w:noWrap/>
          </w:tcPr>
          <w:p>
            <w:pPr>
              <w:spacing w:line="520" w:lineRule="atLeast"/>
              <w:rPr>
                <w:rFonts w:ascii="宋体" w:hAnsi="宋体" w:eastAsia="宋体" w:cs="宋体"/>
                <w:color w:val="auto"/>
                <w:sz w:val="28"/>
              </w:rPr>
            </w:pPr>
          </w:p>
        </w:tc>
        <w:tc>
          <w:tcPr>
            <w:tcW w:w="1800" w:type="dxa"/>
            <w:noWrap/>
          </w:tcPr>
          <w:p>
            <w:pPr>
              <w:spacing w:line="520" w:lineRule="atLeast"/>
              <w:rPr>
                <w:rFonts w:ascii="宋体" w:hAnsi="宋体" w:eastAsia="宋体" w:cs="宋体"/>
                <w:color w:val="auto"/>
                <w:sz w:val="28"/>
              </w:rPr>
            </w:pPr>
          </w:p>
        </w:tc>
        <w:tc>
          <w:tcPr>
            <w:tcW w:w="1130" w:type="dxa"/>
            <w:noWrap/>
          </w:tcPr>
          <w:p>
            <w:pPr>
              <w:spacing w:line="520" w:lineRule="atLeast"/>
              <w:rPr>
                <w:rFonts w:ascii="宋体" w:hAnsi="宋体" w:eastAsia="宋体" w:cs="宋体"/>
                <w:color w:val="auto"/>
                <w:sz w:val="28"/>
              </w:rPr>
            </w:pPr>
          </w:p>
        </w:tc>
      </w:tr>
    </w:tbl>
    <w:p>
      <w:pPr>
        <w:spacing w:after="0"/>
        <w:rPr>
          <w:rFonts w:ascii="宋体" w:hAnsi="宋体" w:eastAsia="宋体" w:cs="宋体"/>
          <w:b/>
          <w:color w:val="auto"/>
          <w:sz w:val="28"/>
          <w:szCs w:val="28"/>
        </w:rPr>
      </w:pPr>
      <w:r>
        <w:rPr>
          <w:rFonts w:hint="eastAsia" w:ascii="宋体" w:hAnsi="宋体" w:eastAsia="宋体" w:cs="宋体"/>
          <w:bCs/>
          <w:color w:val="auto"/>
          <w:sz w:val="24"/>
        </w:rPr>
        <w:t>注：本表后按评分标准要求提供相关证明材料。</w:t>
      </w:r>
      <w:r>
        <w:rPr>
          <w:rFonts w:hint="eastAsia" w:ascii="宋体" w:hAnsi="宋体" w:eastAsia="宋体" w:cs="宋体"/>
          <w:b/>
          <w:color w:val="auto"/>
          <w:sz w:val="28"/>
          <w:szCs w:val="28"/>
        </w:rPr>
        <w:br w:type="page"/>
      </w:r>
      <w:r>
        <w:rPr>
          <w:rFonts w:hint="eastAsia" w:ascii="宋体" w:hAnsi="宋体" w:eastAsia="宋体" w:cs="宋体"/>
          <w:b/>
          <w:color w:val="auto"/>
          <w:sz w:val="28"/>
          <w:szCs w:val="28"/>
        </w:rPr>
        <w:t>表3、拟投入本项目的检测、监测人员一览表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38"/>
        <w:gridCol w:w="904"/>
        <w:gridCol w:w="1484"/>
        <w:gridCol w:w="1608"/>
        <w:gridCol w:w="732"/>
        <w:gridCol w:w="990"/>
        <w:gridCol w:w="1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48" w:type="dxa"/>
            <w:tcBorders>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序</w:t>
            </w:r>
          </w:p>
          <w:p>
            <w:pPr>
              <w:jc w:val="center"/>
              <w:rPr>
                <w:rFonts w:ascii="宋体" w:hAnsi="宋体" w:eastAsia="宋体" w:cs="宋体"/>
                <w:color w:val="auto"/>
                <w:position w:val="-30"/>
              </w:rPr>
            </w:pPr>
            <w:r>
              <w:rPr>
                <w:rFonts w:hint="eastAsia" w:ascii="宋体" w:hAnsi="宋体" w:eastAsia="宋体" w:cs="宋体"/>
                <w:color w:val="auto"/>
                <w:position w:val="-30"/>
              </w:rPr>
              <w:t>号</w:t>
            </w:r>
          </w:p>
        </w:tc>
        <w:tc>
          <w:tcPr>
            <w:tcW w:w="738" w:type="dxa"/>
            <w:tcBorders>
              <w:bottom w:val="single" w:color="auto" w:sz="12" w:space="0"/>
              <w:right w:val="single" w:color="auto" w:sz="6"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姓名</w:t>
            </w:r>
          </w:p>
        </w:tc>
        <w:tc>
          <w:tcPr>
            <w:tcW w:w="904" w:type="dxa"/>
            <w:tcBorders>
              <w:left w:val="single" w:color="auto" w:sz="6" w:space="0"/>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年龄</w:t>
            </w:r>
          </w:p>
        </w:tc>
        <w:tc>
          <w:tcPr>
            <w:tcW w:w="1484" w:type="dxa"/>
            <w:tcBorders>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拟     在</w:t>
            </w:r>
          </w:p>
          <w:p>
            <w:pPr>
              <w:jc w:val="center"/>
              <w:rPr>
                <w:rFonts w:ascii="宋体" w:hAnsi="宋体" w:eastAsia="宋体" w:cs="宋体"/>
                <w:color w:val="auto"/>
                <w:position w:val="-30"/>
              </w:rPr>
            </w:pPr>
            <w:r>
              <w:rPr>
                <w:rFonts w:hint="eastAsia" w:ascii="宋体" w:hAnsi="宋体" w:eastAsia="宋体" w:cs="宋体"/>
                <w:color w:val="auto"/>
                <w:position w:val="-30"/>
              </w:rPr>
              <w:t>本项目任职</w:t>
            </w:r>
          </w:p>
        </w:tc>
        <w:tc>
          <w:tcPr>
            <w:tcW w:w="1608" w:type="dxa"/>
            <w:tcBorders>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毕业学校/专业</w:t>
            </w:r>
          </w:p>
        </w:tc>
        <w:tc>
          <w:tcPr>
            <w:tcW w:w="732" w:type="dxa"/>
            <w:tcBorders>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学历</w:t>
            </w:r>
          </w:p>
        </w:tc>
        <w:tc>
          <w:tcPr>
            <w:tcW w:w="990" w:type="dxa"/>
            <w:tcBorders>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职称</w:t>
            </w:r>
          </w:p>
        </w:tc>
        <w:tc>
          <w:tcPr>
            <w:tcW w:w="1231" w:type="dxa"/>
            <w:tcBorders>
              <w:bottom w:val="single" w:color="auto" w:sz="12" w:space="0"/>
            </w:tcBorders>
            <w:noWrap/>
            <w:vAlign w:val="center"/>
          </w:tcPr>
          <w:p>
            <w:pPr>
              <w:jc w:val="center"/>
              <w:rPr>
                <w:rFonts w:ascii="宋体" w:hAnsi="宋体" w:eastAsia="宋体" w:cs="宋体"/>
                <w:color w:val="auto"/>
                <w:position w:val="-30"/>
              </w:rPr>
            </w:pPr>
            <w:r>
              <w:rPr>
                <w:rFonts w:hint="eastAsia" w:ascii="宋体" w:hAnsi="宋体" w:eastAsia="宋体" w:cs="宋体"/>
                <w:color w:val="auto"/>
                <w:position w:val="-30"/>
              </w:rPr>
              <w:t>从事检测</w:t>
            </w:r>
            <w:r>
              <w:rPr>
                <w:rFonts w:hint="eastAsia" w:ascii="宋体" w:hAnsi="宋体" w:eastAsia="宋体"/>
                <w:color w:val="auto"/>
                <w:sz w:val="21"/>
                <w:szCs w:val="21"/>
              </w:rPr>
              <w:t>或监测</w:t>
            </w:r>
          </w:p>
          <w:p>
            <w:pPr>
              <w:jc w:val="center"/>
              <w:rPr>
                <w:rFonts w:ascii="宋体" w:hAnsi="宋体" w:eastAsia="宋体" w:cs="宋体"/>
                <w:color w:val="auto"/>
                <w:position w:val="-30"/>
              </w:rPr>
            </w:pPr>
            <w:r>
              <w:rPr>
                <w:rFonts w:hint="eastAsia" w:ascii="宋体" w:hAnsi="宋体" w:eastAsia="宋体" w:cs="宋体"/>
                <w:color w:val="auto"/>
                <w:position w:val="-30"/>
              </w:rPr>
              <w:t>工作年限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tcBorders>
              <w:top w:val="single" w:color="auto" w:sz="12" w:space="0"/>
            </w:tcBorders>
            <w:noWrap/>
            <w:vAlign w:val="center"/>
          </w:tcPr>
          <w:p>
            <w:pPr>
              <w:jc w:val="center"/>
              <w:rPr>
                <w:rFonts w:ascii="宋体" w:hAnsi="宋体" w:eastAsia="宋体" w:cs="宋体"/>
                <w:color w:val="auto"/>
              </w:rPr>
            </w:pPr>
            <w:r>
              <w:rPr>
                <w:rFonts w:hint="eastAsia" w:ascii="宋体" w:hAnsi="宋体" w:eastAsia="宋体" w:cs="宋体"/>
                <w:color w:val="auto"/>
              </w:rPr>
              <w:t>1</w:t>
            </w:r>
          </w:p>
        </w:tc>
        <w:tc>
          <w:tcPr>
            <w:tcW w:w="738" w:type="dxa"/>
            <w:tcBorders>
              <w:top w:val="single" w:color="auto" w:sz="12" w:space="0"/>
              <w:right w:val="single" w:color="auto" w:sz="6" w:space="0"/>
            </w:tcBorders>
            <w:noWrap/>
            <w:vAlign w:val="center"/>
          </w:tcPr>
          <w:p>
            <w:pPr>
              <w:jc w:val="center"/>
              <w:rPr>
                <w:rFonts w:ascii="宋体" w:hAnsi="宋体" w:eastAsia="宋体" w:cs="宋体"/>
                <w:color w:val="auto"/>
              </w:rPr>
            </w:pPr>
          </w:p>
        </w:tc>
        <w:tc>
          <w:tcPr>
            <w:tcW w:w="904" w:type="dxa"/>
            <w:tcBorders>
              <w:top w:val="single" w:color="auto" w:sz="12" w:space="0"/>
              <w:left w:val="single" w:color="auto" w:sz="6" w:space="0"/>
            </w:tcBorders>
            <w:noWrap/>
            <w:vAlign w:val="center"/>
          </w:tcPr>
          <w:p>
            <w:pPr>
              <w:jc w:val="center"/>
              <w:rPr>
                <w:rFonts w:ascii="宋体" w:hAnsi="宋体" w:eastAsia="宋体" w:cs="宋体"/>
                <w:color w:val="auto"/>
              </w:rPr>
            </w:pPr>
          </w:p>
        </w:tc>
        <w:tc>
          <w:tcPr>
            <w:tcW w:w="1484" w:type="dxa"/>
            <w:tcBorders>
              <w:top w:val="single" w:color="auto" w:sz="12" w:space="0"/>
            </w:tcBorders>
            <w:noWrap/>
            <w:vAlign w:val="center"/>
          </w:tcPr>
          <w:p>
            <w:pPr>
              <w:jc w:val="center"/>
              <w:rPr>
                <w:rFonts w:ascii="宋体" w:hAnsi="宋体" w:eastAsia="宋体" w:cs="宋体"/>
                <w:color w:val="auto"/>
              </w:rPr>
            </w:pPr>
            <w:r>
              <w:rPr>
                <w:rFonts w:hint="eastAsia" w:ascii="宋体" w:hAnsi="宋体"/>
                <w:color w:val="auto"/>
                <w:sz w:val="21"/>
                <w:szCs w:val="21"/>
              </w:rPr>
              <w:t>项目负责人</w:t>
            </w:r>
          </w:p>
        </w:tc>
        <w:tc>
          <w:tcPr>
            <w:tcW w:w="1608" w:type="dxa"/>
            <w:tcBorders>
              <w:top w:val="single" w:color="auto" w:sz="12" w:space="0"/>
            </w:tcBorders>
            <w:noWrap/>
            <w:vAlign w:val="center"/>
          </w:tcPr>
          <w:p>
            <w:pPr>
              <w:jc w:val="center"/>
              <w:rPr>
                <w:rFonts w:ascii="宋体" w:hAnsi="宋体" w:eastAsia="宋体" w:cs="宋体"/>
                <w:color w:val="auto"/>
              </w:rPr>
            </w:pPr>
          </w:p>
        </w:tc>
        <w:tc>
          <w:tcPr>
            <w:tcW w:w="732" w:type="dxa"/>
            <w:tcBorders>
              <w:top w:val="single" w:color="auto" w:sz="12" w:space="0"/>
            </w:tcBorders>
            <w:noWrap/>
            <w:vAlign w:val="center"/>
          </w:tcPr>
          <w:p>
            <w:pPr>
              <w:jc w:val="center"/>
              <w:rPr>
                <w:rFonts w:ascii="宋体" w:hAnsi="宋体" w:eastAsia="宋体" w:cs="宋体"/>
                <w:color w:val="auto"/>
              </w:rPr>
            </w:pPr>
          </w:p>
        </w:tc>
        <w:tc>
          <w:tcPr>
            <w:tcW w:w="990" w:type="dxa"/>
            <w:tcBorders>
              <w:top w:val="single" w:color="auto" w:sz="12" w:space="0"/>
            </w:tcBorders>
            <w:noWrap/>
            <w:vAlign w:val="center"/>
          </w:tcPr>
          <w:p>
            <w:pPr>
              <w:jc w:val="center"/>
              <w:rPr>
                <w:rFonts w:ascii="宋体" w:hAnsi="宋体" w:eastAsia="宋体" w:cs="宋体"/>
                <w:color w:val="auto"/>
              </w:rPr>
            </w:pPr>
          </w:p>
        </w:tc>
        <w:tc>
          <w:tcPr>
            <w:tcW w:w="1231" w:type="dxa"/>
            <w:tcBorders>
              <w:top w:val="single" w:color="auto" w:sz="12" w:space="0"/>
            </w:tcBorders>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2</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技术负责人</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3</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4</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5</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6</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7</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8</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9</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10</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11</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12</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color w:val="auto"/>
                <w:sz w:val="21"/>
                <w:szCs w:val="21"/>
              </w:rPr>
              <w:t>主要检测</w:t>
            </w:r>
            <w:r>
              <w:rPr>
                <w:rFonts w:hint="eastAsia" w:ascii="宋体" w:hAnsi="宋体" w:eastAsia="宋体"/>
                <w:color w:val="auto"/>
                <w:sz w:val="21"/>
                <w:szCs w:val="21"/>
              </w:rPr>
              <w:t>或监测</w:t>
            </w:r>
            <w:r>
              <w:rPr>
                <w:rFonts w:hint="eastAsia" w:ascii="宋体" w:hAnsi="宋体"/>
                <w:color w:val="auto"/>
                <w:sz w:val="21"/>
                <w:szCs w:val="21"/>
              </w:rPr>
              <w:t>人员</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48" w:type="dxa"/>
            <w:noWrap/>
            <w:vAlign w:val="center"/>
          </w:tcPr>
          <w:p>
            <w:pPr>
              <w:jc w:val="center"/>
              <w:rPr>
                <w:rFonts w:ascii="宋体" w:hAnsi="宋体" w:eastAsia="宋体" w:cs="宋体"/>
                <w:color w:val="auto"/>
              </w:rPr>
            </w:pPr>
            <w:r>
              <w:rPr>
                <w:rFonts w:hint="eastAsia" w:ascii="宋体" w:hAnsi="宋体" w:eastAsia="宋体" w:cs="宋体"/>
                <w:color w:val="auto"/>
              </w:rPr>
              <w:t>13</w:t>
            </w:r>
          </w:p>
        </w:tc>
        <w:tc>
          <w:tcPr>
            <w:tcW w:w="738" w:type="dxa"/>
            <w:tcBorders>
              <w:right w:val="single" w:color="auto" w:sz="6" w:space="0"/>
            </w:tcBorders>
            <w:noWrap/>
            <w:vAlign w:val="center"/>
          </w:tcPr>
          <w:p>
            <w:pPr>
              <w:jc w:val="center"/>
              <w:rPr>
                <w:rFonts w:ascii="宋体" w:hAnsi="宋体" w:eastAsia="宋体" w:cs="宋体"/>
                <w:color w:val="auto"/>
              </w:rPr>
            </w:pPr>
          </w:p>
        </w:tc>
        <w:tc>
          <w:tcPr>
            <w:tcW w:w="904" w:type="dxa"/>
            <w:tcBorders>
              <w:left w:val="single" w:color="auto" w:sz="6" w:space="0"/>
            </w:tcBorders>
            <w:noWrap/>
            <w:vAlign w:val="center"/>
          </w:tcPr>
          <w:p>
            <w:pPr>
              <w:jc w:val="center"/>
              <w:rPr>
                <w:rFonts w:ascii="宋体" w:hAnsi="宋体" w:eastAsia="宋体" w:cs="宋体"/>
                <w:color w:val="auto"/>
              </w:rPr>
            </w:pPr>
          </w:p>
        </w:tc>
        <w:tc>
          <w:tcPr>
            <w:tcW w:w="1484" w:type="dxa"/>
            <w:noWrap/>
            <w:vAlign w:val="center"/>
          </w:tcPr>
          <w:p>
            <w:pPr>
              <w:jc w:val="center"/>
              <w:rPr>
                <w:rFonts w:ascii="宋体" w:hAnsi="宋体" w:eastAsia="宋体" w:cs="宋体"/>
                <w:color w:val="auto"/>
              </w:rPr>
            </w:pPr>
            <w:r>
              <w:rPr>
                <w:rFonts w:hint="eastAsia" w:ascii="宋体" w:hAnsi="宋体" w:eastAsia="宋体"/>
                <w:color w:val="auto"/>
                <w:sz w:val="21"/>
                <w:szCs w:val="21"/>
              </w:rPr>
              <w:t>。。。。</w:t>
            </w:r>
          </w:p>
        </w:tc>
        <w:tc>
          <w:tcPr>
            <w:tcW w:w="1608" w:type="dxa"/>
            <w:noWrap/>
            <w:vAlign w:val="center"/>
          </w:tcPr>
          <w:p>
            <w:pPr>
              <w:jc w:val="center"/>
              <w:rPr>
                <w:rFonts w:ascii="宋体" w:hAnsi="宋体" w:eastAsia="宋体" w:cs="宋体"/>
                <w:color w:val="auto"/>
              </w:rPr>
            </w:pPr>
          </w:p>
        </w:tc>
        <w:tc>
          <w:tcPr>
            <w:tcW w:w="732" w:type="dxa"/>
            <w:noWrap/>
            <w:vAlign w:val="center"/>
          </w:tcPr>
          <w:p>
            <w:pPr>
              <w:jc w:val="center"/>
              <w:rPr>
                <w:rFonts w:ascii="宋体" w:hAnsi="宋体" w:eastAsia="宋体" w:cs="宋体"/>
                <w:color w:val="auto"/>
              </w:rPr>
            </w:pPr>
          </w:p>
        </w:tc>
        <w:tc>
          <w:tcPr>
            <w:tcW w:w="990" w:type="dxa"/>
            <w:noWrap/>
            <w:vAlign w:val="center"/>
          </w:tcPr>
          <w:p>
            <w:pPr>
              <w:jc w:val="center"/>
              <w:rPr>
                <w:rFonts w:ascii="宋体" w:hAnsi="宋体" w:eastAsia="宋体" w:cs="宋体"/>
                <w:color w:val="auto"/>
              </w:rPr>
            </w:pPr>
          </w:p>
        </w:tc>
        <w:tc>
          <w:tcPr>
            <w:tcW w:w="1231" w:type="dxa"/>
            <w:noWrap/>
            <w:vAlign w:val="center"/>
          </w:tcPr>
          <w:p>
            <w:pPr>
              <w:jc w:val="center"/>
              <w:rPr>
                <w:rFonts w:ascii="宋体" w:hAnsi="宋体" w:eastAsia="宋体" w:cs="宋体"/>
                <w:color w:val="auto"/>
              </w:rPr>
            </w:pPr>
          </w:p>
        </w:tc>
      </w:tr>
    </w:tbl>
    <w:p>
      <w:pPr>
        <w:spacing w:beforeLines="50" w:afterLines="50" w:line="360" w:lineRule="auto"/>
        <w:jc w:val="center"/>
        <w:rPr>
          <w:rFonts w:ascii="宋体" w:hAnsi="宋体" w:eastAsia="宋体" w:cs="宋体"/>
          <w:b/>
          <w:color w:val="auto"/>
          <w:sz w:val="28"/>
          <w:szCs w:val="28"/>
        </w:rPr>
      </w:pPr>
    </w:p>
    <w:p>
      <w:pPr>
        <w:pStyle w:val="4"/>
        <w:rPr>
          <w:color w:val="auto"/>
        </w:rPr>
      </w:pPr>
      <w:r>
        <w:rPr>
          <w:color w:val="auto"/>
        </w:rPr>
        <w:br w:type="page"/>
      </w:r>
      <w:bookmarkStart w:id="314" w:name="_Toc142406664"/>
      <w:r>
        <w:rPr>
          <w:rFonts w:hint="eastAsia" w:ascii="宋体" w:hAnsi="宋体" w:eastAsia="宋体" w:cs="宋体"/>
          <w:b/>
          <w:color w:val="auto"/>
          <w:kern w:val="2"/>
          <w:sz w:val="28"/>
          <w:szCs w:val="28"/>
        </w:rPr>
        <w:t>表4、拟投入本项目的主要检测</w:t>
      </w:r>
      <w:r>
        <w:rPr>
          <w:rFonts w:hint="eastAsia" w:ascii="宋体" w:hAnsi="宋体" w:eastAsia="宋体" w:cs="宋体"/>
          <w:b/>
          <w:color w:val="auto"/>
          <w:sz w:val="28"/>
          <w:szCs w:val="28"/>
        </w:rPr>
        <w:t>、监测</w:t>
      </w:r>
      <w:r>
        <w:rPr>
          <w:rFonts w:hint="eastAsia" w:ascii="宋体" w:hAnsi="宋体" w:eastAsia="宋体" w:cs="宋体"/>
          <w:b/>
          <w:color w:val="auto"/>
          <w:kern w:val="2"/>
          <w:sz w:val="28"/>
          <w:szCs w:val="28"/>
        </w:rPr>
        <w:t>人员简历表</w:t>
      </w:r>
      <w:bookmarkEnd w:id="314"/>
    </w:p>
    <w:p>
      <w:pPr>
        <w:jc w:val="center"/>
        <w:rPr>
          <w:rFonts w:ascii="宋体" w:hAnsi="宋体" w:eastAsia="宋体" w:cs="宋体"/>
          <w:color w:val="auto"/>
          <w:sz w:val="24"/>
          <w:u w:val="singl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91"/>
        <w:gridCol w:w="174"/>
        <w:gridCol w:w="695"/>
        <w:gridCol w:w="797"/>
        <w:gridCol w:w="827"/>
        <w:gridCol w:w="637"/>
        <w:gridCol w:w="697"/>
        <w:gridCol w:w="697"/>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rPr>
        <w:tc>
          <w:tcPr>
            <w:tcW w:w="1147" w:type="dxa"/>
            <w:tcBorders>
              <w:top w:val="single" w:color="auto" w:sz="12" w:space="0"/>
              <w:left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姓名</w:t>
            </w:r>
          </w:p>
        </w:tc>
        <w:tc>
          <w:tcPr>
            <w:tcW w:w="1391" w:type="dxa"/>
            <w:tcBorders>
              <w:top w:val="single" w:color="auto" w:sz="12" w:space="0"/>
            </w:tcBorders>
            <w:noWrap/>
            <w:vAlign w:val="center"/>
          </w:tcPr>
          <w:p>
            <w:pPr>
              <w:jc w:val="center"/>
              <w:rPr>
                <w:rFonts w:ascii="宋体" w:hAnsi="宋体" w:eastAsia="宋体" w:cs="宋体"/>
                <w:color w:val="auto"/>
                <w:position w:val="-30"/>
                <w:sz w:val="24"/>
              </w:rPr>
            </w:pPr>
          </w:p>
        </w:tc>
        <w:tc>
          <w:tcPr>
            <w:tcW w:w="869" w:type="dxa"/>
            <w:gridSpan w:val="2"/>
            <w:tcBorders>
              <w:top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性别</w:t>
            </w:r>
          </w:p>
        </w:tc>
        <w:tc>
          <w:tcPr>
            <w:tcW w:w="797" w:type="dxa"/>
            <w:tcBorders>
              <w:top w:val="single" w:color="auto" w:sz="12" w:space="0"/>
            </w:tcBorders>
            <w:noWrap/>
            <w:vAlign w:val="center"/>
          </w:tcPr>
          <w:p>
            <w:pPr>
              <w:jc w:val="center"/>
              <w:rPr>
                <w:rFonts w:ascii="宋体" w:hAnsi="宋体" w:eastAsia="宋体" w:cs="宋体"/>
                <w:color w:val="auto"/>
                <w:position w:val="-30"/>
                <w:sz w:val="24"/>
              </w:rPr>
            </w:pPr>
          </w:p>
        </w:tc>
        <w:tc>
          <w:tcPr>
            <w:tcW w:w="827" w:type="dxa"/>
            <w:tcBorders>
              <w:top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出生</w:t>
            </w:r>
          </w:p>
          <w:p>
            <w:pPr>
              <w:jc w:val="center"/>
              <w:rPr>
                <w:rFonts w:ascii="宋体" w:hAnsi="宋体" w:eastAsia="宋体" w:cs="宋体"/>
                <w:color w:val="auto"/>
                <w:position w:val="-30"/>
                <w:sz w:val="24"/>
              </w:rPr>
            </w:pPr>
            <w:r>
              <w:rPr>
                <w:rFonts w:hint="eastAsia" w:ascii="宋体" w:hAnsi="宋体" w:eastAsia="宋体" w:cs="宋体"/>
                <w:color w:val="auto"/>
                <w:position w:val="-30"/>
                <w:sz w:val="24"/>
              </w:rPr>
              <w:t>年月</w:t>
            </w:r>
          </w:p>
        </w:tc>
        <w:tc>
          <w:tcPr>
            <w:tcW w:w="1334" w:type="dxa"/>
            <w:gridSpan w:val="2"/>
            <w:tcBorders>
              <w:top w:val="single" w:color="auto" w:sz="12" w:space="0"/>
            </w:tcBorders>
            <w:noWrap/>
            <w:vAlign w:val="center"/>
          </w:tcPr>
          <w:p>
            <w:pPr>
              <w:jc w:val="center"/>
              <w:rPr>
                <w:rFonts w:ascii="宋体" w:hAnsi="宋体" w:eastAsia="宋体" w:cs="宋体"/>
                <w:color w:val="auto"/>
                <w:position w:val="-30"/>
                <w:sz w:val="24"/>
              </w:rPr>
            </w:pPr>
          </w:p>
        </w:tc>
        <w:tc>
          <w:tcPr>
            <w:tcW w:w="697" w:type="dxa"/>
            <w:tcBorders>
              <w:top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文化程度</w:t>
            </w:r>
          </w:p>
        </w:tc>
        <w:tc>
          <w:tcPr>
            <w:tcW w:w="1390" w:type="dxa"/>
            <w:tcBorders>
              <w:top w:val="single" w:color="auto" w:sz="12" w:space="0"/>
              <w:right w:val="single" w:color="auto" w:sz="12" w:space="0"/>
            </w:tcBorders>
            <w:noWrap/>
            <w:vAlign w:val="center"/>
          </w:tcPr>
          <w:p>
            <w:pPr>
              <w:jc w:val="center"/>
              <w:rPr>
                <w:rFonts w:ascii="宋体" w:hAnsi="宋体" w:eastAsia="宋体" w:cs="宋体"/>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147" w:type="dxa"/>
            <w:tcBorders>
              <w:left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毕业院校</w:t>
            </w:r>
          </w:p>
        </w:tc>
        <w:tc>
          <w:tcPr>
            <w:tcW w:w="2259" w:type="dxa"/>
            <w:gridSpan w:val="3"/>
            <w:noWrap/>
            <w:vAlign w:val="center"/>
          </w:tcPr>
          <w:p>
            <w:pPr>
              <w:jc w:val="center"/>
              <w:rPr>
                <w:rFonts w:ascii="宋体" w:hAnsi="宋体" w:eastAsia="宋体" w:cs="宋体"/>
                <w:color w:val="auto"/>
                <w:position w:val="-30"/>
                <w:sz w:val="24"/>
              </w:rPr>
            </w:pPr>
          </w:p>
        </w:tc>
        <w:tc>
          <w:tcPr>
            <w:tcW w:w="797" w:type="dxa"/>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专业</w:t>
            </w:r>
          </w:p>
        </w:tc>
        <w:tc>
          <w:tcPr>
            <w:tcW w:w="1464" w:type="dxa"/>
            <w:gridSpan w:val="2"/>
            <w:noWrap/>
            <w:vAlign w:val="center"/>
          </w:tcPr>
          <w:p>
            <w:pPr>
              <w:jc w:val="center"/>
              <w:rPr>
                <w:rFonts w:ascii="宋体" w:hAnsi="宋体" w:eastAsia="宋体" w:cs="宋体"/>
                <w:color w:val="auto"/>
                <w:position w:val="-30"/>
                <w:sz w:val="24"/>
              </w:rPr>
            </w:pPr>
          </w:p>
        </w:tc>
        <w:tc>
          <w:tcPr>
            <w:tcW w:w="1393" w:type="dxa"/>
            <w:gridSpan w:val="2"/>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毕业时间</w:t>
            </w:r>
          </w:p>
        </w:tc>
        <w:tc>
          <w:tcPr>
            <w:tcW w:w="1390" w:type="dxa"/>
            <w:tcBorders>
              <w:right w:val="single" w:color="auto" w:sz="12" w:space="0"/>
            </w:tcBorders>
            <w:noWrap/>
            <w:vAlign w:val="center"/>
          </w:tcPr>
          <w:p>
            <w:pPr>
              <w:jc w:val="center"/>
              <w:rPr>
                <w:rFonts w:ascii="宋体" w:hAnsi="宋体" w:eastAsia="宋体" w:cs="宋体"/>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rPr>
        <w:tc>
          <w:tcPr>
            <w:tcW w:w="1147" w:type="dxa"/>
            <w:tcBorders>
              <w:left w:val="single" w:color="auto" w:sz="12" w:space="0"/>
              <w:bottom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技术职称</w:t>
            </w:r>
          </w:p>
        </w:tc>
        <w:tc>
          <w:tcPr>
            <w:tcW w:w="1565" w:type="dxa"/>
            <w:gridSpan w:val="2"/>
            <w:tcBorders>
              <w:bottom w:val="single" w:color="auto" w:sz="12" w:space="0"/>
            </w:tcBorders>
            <w:noWrap/>
            <w:vAlign w:val="center"/>
          </w:tcPr>
          <w:p>
            <w:pPr>
              <w:jc w:val="center"/>
              <w:rPr>
                <w:rFonts w:ascii="宋体" w:hAnsi="宋体" w:eastAsia="宋体" w:cs="宋体"/>
                <w:color w:val="auto"/>
                <w:position w:val="-30"/>
                <w:sz w:val="24"/>
              </w:rPr>
            </w:pPr>
          </w:p>
        </w:tc>
        <w:tc>
          <w:tcPr>
            <w:tcW w:w="1492" w:type="dxa"/>
            <w:gridSpan w:val="2"/>
            <w:tcBorders>
              <w:bottom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从事检测或监测工作年限</w:t>
            </w:r>
          </w:p>
        </w:tc>
        <w:tc>
          <w:tcPr>
            <w:tcW w:w="1464" w:type="dxa"/>
            <w:gridSpan w:val="2"/>
            <w:tcBorders>
              <w:bottom w:val="single" w:color="auto" w:sz="12" w:space="0"/>
            </w:tcBorders>
            <w:noWrap/>
            <w:vAlign w:val="center"/>
          </w:tcPr>
          <w:p>
            <w:pPr>
              <w:jc w:val="center"/>
              <w:rPr>
                <w:rFonts w:ascii="宋体" w:hAnsi="宋体" w:eastAsia="宋体" w:cs="宋体"/>
                <w:color w:val="auto"/>
                <w:position w:val="-30"/>
                <w:sz w:val="24"/>
              </w:rPr>
            </w:pPr>
          </w:p>
        </w:tc>
        <w:tc>
          <w:tcPr>
            <w:tcW w:w="1393" w:type="dxa"/>
            <w:gridSpan w:val="2"/>
            <w:tcBorders>
              <w:bottom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拟在本项目担任的职务</w:t>
            </w:r>
          </w:p>
        </w:tc>
        <w:tc>
          <w:tcPr>
            <w:tcW w:w="1390" w:type="dxa"/>
            <w:tcBorders>
              <w:bottom w:val="single" w:color="auto" w:sz="12" w:space="0"/>
              <w:right w:val="single" w:color="auto" w:sz="12" w:space="0"/>
            </w:tcBorders>
            <w:noWrap/>
            <w:vAlign w:val="center"/>
          </w:tcPr>
          <w:p>
            <w:pPr>
              <w:jc w:val="center"/>
              <w:rPr>
                <w:rFonts w:ascii="宋体" w:hAnsi="宋体" w:eastAsia="宋体" w:cs="宋体"/>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47" w:type="dxa"/>
            <w:vMerge w:val="restart"/>
            <w:tcBorders>
              <w:top w:val="single" w:color="auto" w:sz="12" w:space="0"/>
              <w:left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检测或监测</w:t>
            </w:r>
          </w:p>
          <w:p>
            <w:pPr>
              <w:jc w:val="center"/>
              <w:rPr>
                <w:rFonts w:ascii="宋体" w:hAnsi="宋体" w:eastAsia="宋体" w:cs="宋体"/>
                <w:color w:val="auto"/>
                <w:position w:val="-30"/>
                <w:sz w:val="24"/>
              </w:rPr>
            </w:pPr>
            <w:r>
              <w:rPr>
                <w:rFonts w:hint="eastAsia" w:ascii="宋体" w:hAnsi="宋体" w:eastAsia="宋体" w:cs="宋体"/>
                <w:color w:val="auto"/>
                <w:position w:val="-30"/>
                <w:sz w:val="24"/>
              </w:rPr>
              <w:t>主要经历</w:t>
            </w:r>
          </w:p>
        </w:tc>
        <w:tc>
          <w:tcPr>
            <w:tcW w:w="1565" w:type="dxa"/>
            <w:gridSpan w:val="2"/>
            <w:tcBorders>
              <w:top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起讫时间</w:t>
            </w:r>
          </w:p>
        </w:tc>
        <w:tc>
          <w:tcPr>
            <w:tcW w:w="1492" w:type="dxa"/>
            <w:gridSpan w:val="2"/>
            <w:tcBorders>
              <w:top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任  职</w:t>
            </w:r>
          </w:p>
        </w:tc>
        <w:tc>
          <w:tcPr>
            <w:tcW w:w="1464" w:type="dxa"/>
            <w:gridSpan w:val="2"/>
            <w:tcBorders>
              <w:top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工程名称</w:t>
            </w:r>
          </w:p>
        </w:tc>
        <w:tc>
          <w:tcPr>
            <w:tcW w:w="2783" w:type="dxa"/>
            <w:gridSpan w:val="3"/>
            <w:tcBorders>
              <w:top w:val="single" w:color="auto" w:sz="12" w:space="0"/>
              <w:right w:val="single" w:color="auto" w:sz="12" w:space="0"/>
            </w:tcBorders>
            <w:noWrap/>
            <w:vAlign w:val="center"/>
          </w:tcPr>
          <w:p>
            <w:pPr>
              <w:jc w:val="center"/>
              <w:rPr>
                <w:rFonts w:ascii="宋体" w:hAnsi="宋体" w:eastAsia="宋体" w:cs="宋体"/>
                <w:color w:val="auto"/>
                <w:position w:val="-30"/>
                <w:sz w:val="24"/>
              </w:rPr>
            </w:pPr>
            <w:r>
              <w:rPr>
                <w:rFonts w:hint="eastAsia" w:ascii="宋体" w:hAnsi="宋体" w:eastAsia="宋体" w:cs="宋体"/>
                <w:color w:val="auto"/>
                <w:position w:val="-30"/>
                <w:sz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4" w:hRule="atLeast"/>
        </w:trPr>
        <w:tc>
          <w:tcPr>
            <w:tcW w:w="1147" w:type="dxa"/>
            <w:vMerge w:val="continue"/>
            <w:tcBorders>
              <w:left w:val="single" w:color="auto" w:sz="12" w:space="0"/>
              <w:bottom w:val="single" w:color="auto" w:sz="12" w:space="0"/>
            </w:tcBorders>
            <w:noWrap/>
          </w:tcPr>
          <w:p>
            <w:pPr>
              <w:rPr>
                <w:rFonts w:ascii="宋体" w:hAnsi="宋体" w:eastAsia="宋体" w:cs="宋体"/>
                <w:color w:val="auto"/>
                <w:position w:val="-30"/>
                <w:sz w:val="24"/>
              </w:rPr>
            </w:pPr>
          </w:p>
        </w:tc>
        <w:tc>
          <w:tcPr>
            <w:tcW w:w="1565" w:type="dxa"/>
            <w:gridSpan w:val="2"/>
            <w:tcBorders>
              <w:bottom w:val="single" w:color="auto" w:sz="12" w:space="0"/>
            </w:tcBorders>
            <w:noWrap/>
          </w:tcPr>
          <w:p>
            <w:pPr>
              <w:rPr>
                <w:rFonts w:ascii="宋体" w:hAnsi="宋体" w:eastAsia="宋体" w:cs="宋体"/>
                <w:color w:val="auto"/>
                <w:position w:val="-30"/>
                <w:sz w:val="24"/>
              </w:rPr>
            </w:pPr>
          </w:p>
        </w:tc>
        <w:tc>
          <w:tcPr>
            <w:tcW w:w="1492" w:type="dxa"/>
            <w:gridSpan w:val="2"/>
            <w:tcBorders>
              <w:bottom w:val="single" w:color="auto" w:sz="12" w:space="0"/>
            </w:tcBorders>
            <w:noWrap/>
          </w:tcPr>
          <w:p>
            <w:pPr>
              <w:rPr>
                <w:rFonts w:ascii="宋体" w:hAnsi="宋体" w:eastAsia="宋体" w:cs="宋体"/>
                <w:color w:val="auto"/>
                <w:position w:val="-30"/>
                <w:sz w:val="24"/>
              </w:rPr>
            </w:pPr>
          </w:p>
        </w:tc>
        <w:tc>
          <w:tcPr>
            <w:tcW w:w="1464" w:type="dxa"/>
            <w:gridSpan w:val="2"/>
            <w:tcBorders>
              <w:bottom w:val="single" w:color="auto" w:sz="12" w:space="0"/>
            </w:tcBorders>
            <w:noWrap/>
          </w:tcPr>
          <w:p>
            <w:pPr>
              <w:rPr>
                <w:rFonts w:ascii="宋体" w:hAnsi="宋体" w:eastAsia="宋体" w:cs="宋体"/>
                <w:color w:val="auto"/>
                <w:position w:val="-30"/>
                <w:sz w:val="24"/>
              </w:rPr>
            </w:pPr>
          </w:p>
        </w:tc>
        <w:tc>
          <w:tcPr>
            <w:tcW w:w="2783" w:type="dxa"/>
            <w:gridSpan w:val="3"/>
            <w:tcBorders>
              <w:bottom w:val="single" w:color="auto" w:sz="12" w:space="0"/>
              <w:right w:val="single" w:color="auto" w:sz="12" w:space="0"/>
            </w:tcBorders>
            <w:noWrap/>
          </w:tcPr>
          <w:p>
            <w:pPr>
              <w:rPr>
                <w:rFonts w:ascii="宋体" w:hAnsi="宋体" w:eastAsia="宋体" w:cs="宋体"/>
                <w:color w:val="auto"/>
                <w:position w:val="-30"/>
                <w:sz w:val="24"/>
              </w:rPr>
            </w:pPr>
          </w:p>
        </w:tc>
      </w:tr>
    </w:tbl>
    <w:p>
      <w:pPr>
        <w:rPr>
          <w:rFonts w:ascii="宋体" w:hAnsi="宋体" w:eastAsia="宋体" w:cs="宋体"/>
          <w:color w:val="auto"/>
          <w:sz w:val="24"/>
        </w:rPr>
        <w:sectPr>
          <w:pgSz w:w="11906" w:h="16838"/>
          <w:pgMar w:top="1588" w:right="1247" w:bottom="1418" w:left="1644" w:header="851" w:footer="992" w:gutter="0"/>
          <w:cols w:space="720" w:num="1"/>
          <w:docGrid w:linePitch="312" w:charSpace="0"/>
        </w:sectPr>
      </w:pPr>
      <w:r>
        <w:rPr>
          <w:rFonts w:hint="eastAsia" w:ascii="宋体" w:hAnsi="宋体" w:eastAsia="宋体" w:cs="宋体"/>
          <w:color w:val="auto"/>
          <w:sz w:val="24"/>
        </w:rPr>
        <w:t>注：本表后按评分标准要求提供相关证明材料。</w:t>
      </w:r>
    </w:p>
    <w:p>
      <w:pPr>
        <w:spacing w:beforeLines="50" w:afterLines="5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表5、拟投入本项目的主要检测、监测仪器设备一览表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09"/>
        <w:gridCol w:w="637"/>
        <w:gridCol w:w="763"/>
        <w:gridCol w:w="1275"/>
        <w:gridCol w:w="1002"/>
        <w:gridCol w:w="12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43" w:type="dxa"/>
            <w:vMerge w:val="restart"/>
            <w:tcBorders>
              <w:top w:val="single" w:color="auto" w:sz="12" w:space="0"/>
              <w:left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序号</w:t>
            </w:r>
          </w:p>
        </w:tc>
        <w:tc>
          <w:tcPr>
            <w:tcW w:w="1909" w:type="dxa"/>
            <w:vMerge w:val="restart"/>
            <w:tcBorders>
              <w:top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设备名称</w:t>
            </w:r>
          </w:p>
        </w:tc>
        <w:tc>
          <w:tcPr>
            <w:tcW w:w="637" w:type="dxa"/>
            <w:vMerge w:val="restart"/>
            <w:tcBorders>
              <w:top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本项目</w:t>
            </w:r>
          </w:p>
          <w:p>
            <w:pPr>
              <w:jc w:val="center"/>
              <w:rPr>
                <w:rFonts w:ascii="宋体" w:hAnsi="宋体" w:eastAsia="宋体" w:cs="宋体"/>
                <w:color w:val="auto"/>
                <w:szCs w:val="21"/>
              </w:rPr>
            </w:pPr>
            <w:r>
              <w:rPr>
                <w:rFonts w:hint="eastAsia" w:ascii="宋体" w:hAnsi="宋体" w:eastAsia="宋体" w:cs="宋体"/>
                <w:color w:val="auto"/>
                <w:szCs w:val="21"/>
              </w:rPr>
              <w:t>数量基本要求</w:t>
            </w:r>
          </w:p>
        </w:tc>
        <w:tc>
          <w:tcPr>
            <w:tcW w:w="5214" w:type="dxa"/>
            <w:gridSpan w:val="5"/>
            <w:tcBorders>
              <w:top w:val="single" w:color="auto" w:sz="12" w:space="0"/>
              <w:bottom w:val="single" w:color="auto" w:sz="4" w:space="0"/>
              <w:right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43" w:type="dxa"/>
            <w:vMerge w:val="continue"/>
            <w:tcBorders>
              <w:left w:val="single" w:color="auto" w:sz="12" w:space="0"/>
              <w:bottom w:val="single" w:color="auto" w:sz="12" w:space="0"/>
            </w:tcBorders>
            <w:noWrap/>
            <w:vAlign w:val="center"/>
          </w:tcPr>
          <w:p>
            <w:pPr>
              <w:jc w:val="center"/>
              <w:rPr>
                <w:rFonts w:ascii="宋体" w:hAnsi="宋体" w:eastAsia="宋体" w:cs="宋体"/>
                <w:color w:val="auto"/>
                <w:szCs w:val="21"/>
              </w:rPr>
            </w:pPr>
          </w:p>
        </w:tc>
        <w:tc>
          <w:tcPr>
            <w:tcW w:w="1909" w:type="dxa"/>
            <w:vMerge w:val="continue"/>
            <w:tcBorders>
              <w:bottom w:val="single" w:color="auto" w:sz="12" w:space="0"/>
            </w:tcBorders>
            <w:noWrap/>
            <w:vAlign w:val="center"/>
          </w:tcPr>
          <w:p>
            <w:pPr>
              <w:jc w:val="center"/>
              <w:rPr>
                <w:rFonts w:ascii="宋体" w:hAnsi="宋体" w:eastAsia="宋体" w:cs="宋体"/>
                <w:color w:val="auto"/>
                <w:szCs w:val="21"/>
              </w:rPr>
            </w:pPr>
          </w:p>
        </w:tc>
        <w:tc>
          <w:tcPr>
            <w:tcW w:w="637" w:type="dxa"/>
            <w:vMerge w:val="continue"/>
            <w:noWrap/>
            <w:vAlign w:val="center"/>
          </w:tcPr>
          <w:p>
            <w:pPr>
              <w:jc w:val="center"/>
              <w:rPr>
                <w:rFonts w:ascii="宋体" w:hAnsi="宋体" w:eastAsia="宋体" w:cs="宋体"/>
                <w:color w:val="auto"/>
                <w:szCs w:val="21"/>
              </w:rPr>
            </w:pPr>
          </w:p>
        </w:tc>
        <w:tc>
          <w:tcPr>
            <w:tcW w:w="763" w:type="dxa"/>
            <w:tcBorders>
              <w:top w:val="single" w:color="auto" w:sz="4"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数量</w:t>
            </w:r>
          </w:p>
        </w:tc>
        <w:tc>
          <w:tcPr>
            <w:tcW w:w="1275" w:type="dxa"/>
            <w:tcBorders>
              <w:top w:val="single" w:color="auto" w:sz="4" w:space="0"/>
              <w:bottom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检定/校准机构</w:t>
            </w:r>
          </w:p>
        </w:tc>
        <w:tc>
          <w:tcPr>
            <w:tcW w:w="1002" w:type="dxa"/>
            <w:tcBorders>
              <w:top w:val="single" w:color="auto" w:sz="4" w:space="0"/>
              <w:bottom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有效期</w:t>
            </w:r>
          </w:p>
        </w:tc>
        <w:tc>
          <w:tcPr>
            <w:tcW w:w="1204" w:type="dxa"/>
            <w:tcBorders>
              <w:top w:val="single" w:color="auto" w:sz="4" w:space="0"/>
              <w:bottom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检定/校准周期</w:t>
            </w:r>
          </w:p>
        </w:tc>
        <w:tc>
          <w:tcPr>
            <w:tcW w:w="970" w:type="dxa"/>
            <w:tcBorders>
              <w:top w:val="single" w:color="auto" w:sz="4" w:space="0"/>
              <w:bottom w:val="single" w:color="auto" w:sz="12" w:space="0"/>
              <w:right w:val="single" w:color="auto" w:sz="12" w:space="0"/>
            </w:tcBorders>
            <w:noWrap/>
            <w:vAlign w:val="center"/>
          </w:tcPr>
          <w:p>
            <w:pPr>
              <w:jc w:val="center"/>
              <w:rPr>
                <w:rFonts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top w:val="single" w:color="auto" w:sz="12" w:space="0"/>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1</w:t>
            </w:r>
          </w:p>
        </w:tc>
        <w:tc>
          <w:tcPr>
            <w:tcW w:w="1909" w:type="dxa"/>
            <w:tcBorders>
              <w:top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微机控制电液伺服万能试验机</w:t>
            </w:r>
          </w:p>
        </w:tc>
        <w:tc>
          <w:tcPr>
            <w:tcW w:w="637" w:type="dxa"/>
            <w:noWrap/>
            <w:vAlign w:val="center"/>
          </w:tcPr>
          <w:p>
            <w:pPr>
              <w:spacing w:line="240" w:lineRule="exact"/>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tcBorders>
              <w:top w:val="single" w:color="auto" w:sz="12" w:space="0"/>
            </w:tcBorders>
            <w:noWrap/>
            <w:vAlign w:val="center"/>
          </w:tcPr>
          <w:p>
            <w:pPr>
              <w:spacing w:line="240" w:lineRule="exact"/>
              <w:rPr>
                <w:rFonts w:ascii="宋体" w:hAnsi="宋体" w:eastAsia="宋体" w:cs="宋体"/>
                <w:color w:val="auto"/>
                <w:szCs w:val="21"/>
              </w:rPr>
            </w:pPr>
          </w:p>
        </w:tc>
        <w:tc>
          <w:tcPr>
            <w:tcW w:w="1002" w:type="dxa"/>
            <w:tcBorders>
              <w:top w:val="single" w:color="auto" w:sz="12" w:space="0"/>
            </w:tcBorders>
            <w:noWrap/>
            <w:vAlign w:val="center"/>
          </w:tcPr>
          <w:p>
            <w:pPr>
              <w:spacing w:line="240" w:lineRule="exact"/>
              <w:rPr>
                <w:rFonts w:ascii="宋体" w:hAnsi="宋体" w:eastAsia="宋体" w:cs="宋体"/>
                <w:color w:val="auto"/>
                <w:szCs w:val="21"/>
              </w:rPr>
            </w:pPr>
          </w:p>
        </w:tc>
        <w:tc>
          <w:tcPr>
            <w:tcW w:w="1204" w:type="dxa"/>
            <w:tcBorders>
              <w:top w:val="single" w:color="auto" w:sz="12" w:space="0"/>
            </w:tcBorders>
            <w:noWrap/>
            <w:vAlign w:val="center"/>
          </w:tcPr>
          <w:p>
            <w:pPr>
              <w:spacing w:line="240" w:lineRule="exact"/>
              <w:rPr>
                <w:rFonts w:ascii="宋体" w:hAnsi="宋体" w:eastAsia="宋体" w:cs="宋体"/>
                <w:color w:val="auto"/>
                <w:szCs w:val="21"/>
              </w:rPr>
            </w:pPr>
          </w:p>
        </w:tc>
        <w:tc>
          <w:tcPr>
            <w:tcW w:w="970" w:type="dxa"/>
            <w:tcBorders>
              <w:top w:val="single" w:color="auto" w:sz="12" w:space="0"/>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2</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钢筋弯曲试验机</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3</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压力试验机</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i/>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4</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微机控制热变形维卡软化点试验机</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5</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气相色谱仪</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6</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回弹仪</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7</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建筑门窗保温性能试验机</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8</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门窗物理性能试验机</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9</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万能试验机</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10</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涂层测厚仪</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11</w:t>
            </w:r>
          </w:p>
        </w:tc>
        <w:tc>
          <w:tcPr>
            <w:tcW w:w="1909" w:type="dxa"/>
            <w:noWrap/>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跨孔超声检测仪</w:t>
            </w:r>
          </w:p>
        </w:tc>
        <w:tc>
          <w:tcPr>
            <w:tcW w:w="637" w:type="dxa"/>
            <w:noWrap/>
            <w:vAlign w:val="center"/>
          </w:tcPr>
          <w:p>
            <w:pPr>
              <w:jc w:val="right"/>
              <w:rPr>
                <w:rFonts w:ascii="宋体" w:hAnsi="宋体" w:eastAsia="宋体" w:cs="宋体"/>
                <w:color w:val="auto"/>
                <w:szCs w:val="21"/>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Cs w:val="21"/>
              </w:rPr>
            </w:pPr>
          </w:p>
        </w:tc>
        <w:tc>
          <w:tcPr>
            <w:tcW w:w="1275" w:type="dxa"/>
            <w:noWrap/>
            <w:vAlign w:val="center"/>
          </w:tcPr>
          <w:p>
            <w:pPr>
              <w:spacing w:line="240" w:lineRule="exact"/>
              <w:rPr>
                <w:rFonts w:ascii="宋体" w:hAnsi="宋体" w:eastAsia="宋体" w:cs="宋体"/>
                <w:color w:val="auto"/>
                <w:szCs w:val="21"/>
              </w:rPr>
            </w:pPr>
          </w:p>
        </w:tc>
        <w:tc>
          <w:tcPr>
            <w:tcW w:w="1002" w:type="dxa"/>
            <w:noWrap/>
            <w:vAlign w:val="center"/>
          </w:tcPr>
          <w:p>
            <w:pPr>
              <w:spacing w:line="240" w:lineRule="exact"/>
              <w:rPr>
                <w:rFonts w:ascii="宋体" w:hAnsi="宋体" w:eastAsia="宋体" w:cs="宋体"/>
                <w:color w:val="auto"/>
                <w:szCs w:val="21"/>
              </w:rPr>
            </w:pPr>
          </w:p>
        </w:tc>
        <w:tc>
          <w:tcPr>
            <w:tcW w:w="1204" w:type="dxa"/>
            <w:noWrap/>
            <w:vAlign w:val="center"/>
          </w:tcPr>
          <w:p>
            <w:pPr>
              <w:spacing w:line="240" w:lineRule="exact"/>
              <w:rPr>
                <w:rFonts w:ascii="宋体" w:hAnsi="宋体" w:eastAsia="宋体" w:cs="宋体"/>
                <w:color w:val="auto"/>
                <w:szCs w:val="21"/>
              </w:rPr>
            </w:pPr>
          </w:p>
        </w:tc>
        <w:tc>
          <w:tcPr>
            <w:tcW w:w="970" w:type="dxa"/>
            <w:tcBorders>
              <w:right w:val="single" w:color="auto" w:sz="12" w:space="0"/>
            </w:tcBorders>
            <w:noWrap/>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 w:val="24"/>
              </w:rPr>
            </w:pPr>
            <w:r>
              <w:rPr>
                <w:rFonts w:hint="eastAsia" w:ascii="宋体" w:hAnsi="宋体" w:eastAsia="宋体" w:cs="宋体"/>
                <w:color w:val="auto"/>
                <w:sz w:val="24"/>
              </w:rPr>
              <w:t>12</w:t>
            </w:r>
          </w:p>
        </w:tc>
        <w:tc>
          <w:tcPr>
            <w:tcW w:w="1909" w:type="dxa"/>
            <w:noWrap/>
            <w:vAlign w:val="center"/>
          </w:tcPr>
          <w:p>
            <w:pPr>
              <w:spacing w:line="240" w:lineRule="exact"/>
              <w:rPr>
                <w:rFonts w:ascii="宋体" w:hAnsi="宋体" w:eastAsia="宋体" w:cs="宋体"/>
                <w:color w:val="auto"/>
                <w:sz w:val="18"/>
                <w:szCs w:val="18"/>
              </w:rPr>
            </w:pPr>
            <w:r>
              <w:rPr>
                <w:rFonts w:hint="eastAsia" w:ascii="宋体" w:hAnsi="宋体" w:eastAsia="宋体" w:cs="宋体"/>
                <w:color w:val="auto"/>
                <w:szCs w:val="21"/>
              </w:rPr>
              <w:t>一体式钢筋扫描仪</w:t>
            </w:r>
          </w:p>
        </w:tc>
        <w:tc>
          <w:tcPr>
            <w:tcW w:w="637" w:type="dxa"/>
            <w:noWrap/>
            <w:vAlign w:val="center"/>
          </w:tcPr>
          <w:p>
            <w:pPr>
              <w:spacing w:line="240" w:lineRule="exact"/>
              <w:jc w:val="right"/>
              <w:rPr>
                <w:rFonts w:ascii="宋体" w:hAnsi="宋体" w:eastAsia="宋体" w:cs="宋体"/>
                <w:color w:val="auto"/>
                <w:sz w:val="24"/>
              </w:rPr>
            </w:pPr>
            <w:r>
              <w:rPr>
                <w:rFonts w:hint="eastAsia" w:ascii="宋体" w:hAnsi="宋体" w:eastAsia="宋体" w:cs="宋体"/>
                <w:color w:val="auto"/>
                <w:szCs w:val="21"/>
              </w:rPr>
              <w:t>1台</w:t>
            </w:r>
          </w:p>
        </w:tc>
        <w:tc>
          <w:tcPr>
            <w:tcW w:w="763" w:type="dxa"/>
            <w:noWrap/>
            <w:vAlign w:val="center"/>
          </w:tcPr>
          <w:p>
            <w:pPr>
              <w:spacing w:line="240" w:lineRule="exact"/>
              <w:rPr>
                <w:rFonts w:ascii="宋体" w:hAnsi="宋体" w:eastAsia="宋体" w:cs="宋体"/>
                <w:color w:val="auto"/>
                <w:sz w:val="24"/>
              </w:rPr>
            </w:pPr>
          </w:p>
        </w:tc>
        <w:tc>
          <w:tcPr>
            <w:tcW w:w="1275" w:type="dxa"/>
            <w:noWrap/>
            <w:vAlign w:val="center"/>
          </w:tcPr>
          <w:p>
            <w:pPr>
              <w:spacing w:line="240" w:lineRule="exact"/>
              <w:rPr>
                <w:rFonts w:ascii="宋体" w:hAnsi="宋体" w:eastAsia="宋体" w:cs="宋体"/>
                <w:color w:val="auto"/>
                <w:sz w:val="24"/>
              </w:rPr>
            </w:pPr>
          </w:p>
        </w:tc>
        <w:tc>
          <w:tcPr>
            <w:tcW w:w="1002" w:type="dxa"/>
            <w:noWrap/>
            <w:vAlign w:val="center"/>
          </w:tcPr>
          <w:p>
            <w:pPr>
              <w:spacing w:line="240" w:lineRule="exact"/>
              <w:rPr>
                <w:rFonts w:ascii="宋体" w:hAnsi="宋体" w:eastAsia="宋体" w:cs="宋体"/>
                <w:color w:val="auto"/>
                <w:sz w:val="24"/>
              </w:rPr>
            </w:pPr>
          </w:p>
        </w:tc>
        <w:tc>
          <w:tcPr>
            <w:tcW w:w="1204" w:type="dxa"/>
            <w:noWrap/>
            <w:vAlign w:val="center"/>
          </w:tcPr>
          <w:p>
            <w:pPr>
              <w:spacing w:line="240" w:lineRule="exact"/>
              <w:rPr>
                <w:rFonts w:ascii="宋体" w:hAnsi="宋体" w:eastAsia="宋体" w:cs="宋体"/>
                <w:color w:val="auto"/>
                <w:sz w:val="24"/>
              </w:rPr>
            </w:pPr>
          </w:p>
        </w:tc>
        <w:tc>
          <w:tcPr>
            <w:tcW w:w="970" w:type="dxa"/>
            <w:tcBorders>
              <w:right w:val="single" w:color="auto" w:sz="12" w:space="0"/>
            </w:tcBorders>
            <w:noWrap/>
            <w:vAlign w:val="center"/>
          </w:tcPr>
          <w:p>
            <w:pPr>
              <w:spacing w:line="240" w:lineRule="exact"/>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3" w:type="dxa"/>
            <w:tcBorders>
              <w:left w:val="single" w:color="auto" w:sz="12" w:space="0"/>
            </w:tcBorders>
            <w:noWrap/>
            <w:vAlign w:val="center"/>
          </w:tcPr>
          <w:p>
            <w:pPr>
              <w:spacing w:line="240" w:lineRule="exact"/>
              <w:rPr>
                <w:rFonts w:ascii="宋体" w:hAnsi="宋体" w:eastAsia="宋体" w:cs="宋体"/>
                <w:color w:val="auto"/>
                <w:sz w:val="24"/>
              </w:rPr>
            </w:pPr>
            <w:r>
              <w:rPr>
                <w:rFonts w:hint="eastAsia" w:ascii="宋体" w:hAnsi="宋体" w:eastAsia="宋体" w:cs="宋体"/>
                <w:color w:val="auto"/>
                <w:sz w:val="24"/>
              </w:rPr>
              <w:t>13</w:t>
            </w:r>
          </w:p>
        </w:tc>
        <w:tc>
          <w:tcPr>
            <w:tcW w:w="1909" w:type="dxa"/>
            <w:noWrap/>
            <w:vAlign w:val="center"/>
          </w:tcPr>
          <w:p>
            <w:pPr>
              <w:spacing w:line="240" w:lineRule="exact"/>
              <w:rPr>
                <w:rFonts w:ascii="宋体" w:hAnsi="宋体" w:eastAsia="宋体" w:cs="宋体"/>
                <w:color w:val="auto"/>
                <w:sz w:val="18"/>
                <w:szCs w:val="18"/>
              </w:rPr>
            </w:pPr>
            <w:r>
              <w:rPr>
                <w:rFonts w:hint="eastAsia" w:ascii="宋体" w:hAnsi="宋体" w:eastAsia="宋体" w:cs="宋体"/>
                <w:color w:val="auto"/>
                <w:sz w:val="18"/>
                <w:szCs w:val="18"/>
              </w:rPr>
              <w:t>…</w:t>
            </w:r>
          </w:p>
        </w:tc>
        <w:tc>
          <w:tcPr>
            <w:tcW w:w="637" w:type="dxa"/>
            <w:noWrap/>
            <w:vAlign w:val="center"/>
          </w:tcPr>
          <w:p>
            <w:pPr>
              <w:spacing w:line="240" w:lineRule="exact"/>
              <w:jc w:val="right"/>
              <w:rPr>
                <w:rFonts w:ascii="宋体" w:hAnsi="宋体" w:eastAsia="宋体" w:cs="宋体"/>
                <w:color w:val="auto"/>
                <w:sz w:val="24"/>
              </w:rPr>
            </w:pPr>
          </w:p>
        </w:tc>
        <w:tc>
          <w:tcPr>
            <w:tcW w:w="763" w:type="dxa"/>
            <w:noWrap/>
            <w:vAlign w:val="center"/>
          </w:tcPr>
          <w:p>
            <w:pPr>
              <w:spacing w:line="240" w:lineRule="exact"/>
              <w:rPr>
                <w:rFonts w:ascii="宋体" w:hAnsi="宋体" w:eastAsia="宋体" w:cs="宋体"/>
                <w:color w:val="auto"/>
                <w:sz w:val="24"/>
              </w:rPr>
            </w:pPr>
          </w:p>
        </w:tc>
        <w:tc>
          <w:tcPr>
            <w:tcW w:w="1275" w:type="dxa"/>
            <w:noWrap/>
            <w:vAlign w:val="center"/>
          </w:tcPr>
          <w:p>
            <w:pPr>
              <w:spacing w:line="240" w:lineRule="exact"/>
              <w:rPr>
                <w:rFonts w:ascii="宋体" w:hAnsi="宋体" w:eastAsia="宋体" w:cs="宋体"/>
                <w:color w:val="auto"/>
                <w:sz w:val="24"/>
              </w:rPr>
            </w:pPr>
          </w:p>
        </w:tc>
        <w:tc>
          <w:tcPr>
            <w:tcW w:w="1002" w:type="dxa"/>
            <w:noWrap/>
            <w:vAlign w:val="center"/>
          </w:tcPr>
          <w:p>
            <w:pPr>
              <w:spacing w:line="240" w:lineRule="exact"/>
              <w:rPr>
                <w:rFonts w:ascii="宋体" w:hAnsi="宋体" w:eastAsia="宋体" w:cs="宋体"/>
                <w:color w:val="auto"/>
                <w:sz w:val="24"/>
              </w:rPr>
            </w:pPr>
          </w:p>
        </w:tc>
        <w:tc>
          <w:tcPr>
            <w:tcW w:w="1204" w:type="dxa"/>
            <w:noWrap/>
            <w:vAlign w:val="center"/>
          </w:tcPr>
          <w:p>
            <w:pPr>
              <w:spacing w:line="240" w:lineRule="exact"/>
              <w:rPr>
                <w:rFonts w:ascii="宋体" w:hAnsi="宋体" w:eastAsia="宋体" w:cs="宋体"/>
                <w:color w:val="auto"/>
                <w:sz w:val="24"/>
              </w:rPr>
            </w:pPr>
          </w:p>
        </w:tc>
        <w:tc>
          <w:tcPr>
            <w:tcW w:w="970" w:type="dxa"/>
            <w:tcBorders>
              <w:right w:val="single" w:color="auto" w:sz="12" w:space="0"/>
            </w:tcBorders>
            <w:noWrap/>
            <w:vAlign w:val="center"/>
          </w:tcPr>
          <w:p>
            <w:pPr>
              <w:spacing w:line="240" w:lineRule="exact"/>
              <w:rPr>
                <w:rFonts w:ascii="宋体" w:hAnsi="宋体" w:eastAsia="宋体" w:cs="宋体"/>
                <w:color w:val="auto"/>
                <w:sz w:val="24"/>
              </w:rPr>
            </w:pPr>
          </w:p>
        </w:tc>
      </w:tr>
    </w:tbl>
    <w:p>
      <w:pPr>
        <w:ind w:left="1174" w:hanging="1174"/>
        <w:rPr>
          <w:rFonts w:ascii="宋体" w:hAnsi="宋体" w:eastAsia="宋体" w:cs="宋体"/>
          <w:bCs/>
          <w:color w:val="auto"/>
          <w:sz w:val="24"/>
        </w:rPr>
      </w:pPr>
    </w:p>
    <w:p>
      <w:pPr>
        <w:spacing w:after="0"/>
        <w:rPr>
          <w:rFonts w:ascii="宋体" w:hAnsi="宋体" w:eastAsia="宋体" w:cs="宋体"/>
          <w:bCs/>
          <w:color w:val="auto"/>
          <w:sz w:val="24"/>
        </w:rPr>
        <w:sectPr>
          <w:pgSz w:w="11906" w:h="16838"/>
          <w:pgMar w:top="1588" w:right="1247" w:bottom="1418" w:left="1644" w:header="851" w:footer="992" w:gutter="0"/>
          <w:cols w:space="720" w:num="1"/>
          <w:docGrid w:linePitch="312" w:charSpace="0"/>
        </w:sectPr>
      </w:pPr>
      <w:r>
        <w:rPr>
          <w:rFonts w:hint="eastAsia" w:ascii="宋体" w:hAnsi="宋体" w:eastAsia="宋体" w:cs="宋体"/>
          <w:bCs/>
          <w:color w:val="auto"/>
          <w:sz w:val="24"/>
        </w:rPr>
        <w:t>注：本表后按评分标准要求提供相关证明材料。</w:t>
      </w:r>
    </w:p>
    <w:p>
      <w:pPr>
        <w:pStyle w:val="4"/>
        <w:spacing w:after="269"/>
        <w:ind w:left="0" w:right="220" w:firstLine="0"/>
        <w:jc w:val="center"/>
        <w:rPr>
          <w:rFonts w:ascii="宋体" w:hAnsi="宋体" w:eastAsia="宋体" w:cs="宋体"/>
          <w:b/>
          <w:bCs/>
          <w:color w:val="auto"/>
          <w:sz w:val="32"/>
        </w:rPr>
      </w:pPr>
      <w:bookmarkStart w:id="315" w:name="_Toc508788715"/>
      <w:bookmarkStart w:id="316" w:name="_Toc142406665"/>
      <w:r>
        <w:rPr>
          <w:rFonts w:hint="eastAsia" w:ascii="宋体" w:hAnsi="宋体" w:eastAsia="宋体" w:cs="宋体"/>
          <w:b/>
          <w:bCs/>
          <w:color w:val="auto"/>
          <w:sz w:val="32"/>
        </w:rPr>
        <w:t>格式八、</w:t>
      </w:r>
      <w:bookmarkEnd w:id="315"/>
      <w:r>
        <w:rPr>
          <w:rFonts w:hint="eastAsia" w:ascii="宋体" w:hAnsi="宋体" w:eastAsia="宋体" w:cs="宋体"/>
          <w:b/>
          <w:bCs/>
          <w:color w:val="auto"/>
          <w:sz w:val="32"/>
        </w:rPr>
        <w:t>检测</w:t>
      </w:r>
      <w:r>
        <w:rPr>
          <w:rFonts w:hint="eastAsia" w:ascii="宋体" w:hAnsi="宋体" w:cs="宋体"/>
          <w:color w:val="auto"/>
          <w:sz w:val="32"/>
          <w:szCs w:val="32"/>
          <w:u w:val="single"/>
        </w:rPr>
        <w:t>、监测</w:t>
      </w:r>
      <w:r>
        <w:rPr>
          <w:rFonts w:hint="eastAsia" w:ascii="宋体" w:hAnsi="宋体" w:eastAsia="宋体" w:cs="宋体"/>
          <w:b/>
          <w:bCs/>
          <w:color w:val="auto"/>
          <w:sz w:val="32"/>
        </w:rPr>
        <w:t>方案</w:t>
      </w:r>
      <w:r>
        <w:rPr>
          <w:rFonts w:hint="eastAsia" w:ascii="宋体" w:hAnsi="宋体" w:eastAsia="宋体" w:cs="宋体"/>
          <w:b/>
          <w:bCs/>
          <w:color w:val="auto"/>
          <w:sz w:val="28"/>
          <w:szCs w:val="28"/>
        </w:rPr>
        <w:t>（格式可自定）</w:t>
      </w:r>
      <w:bookmarkEnd w:id="316"/>
    </w:p>
    <w:p>
      <w:pPr>
        <w:snapToGrid w:val="0"/>
        <w:ind w:firstLine="440" w:firstLineChars="200"/>
        <w:rPr>
          <w:rFonts w:ascii="宋体" w:hAnsi="宋体" w:eastAsia="宋体" w:cs="宋体"/>
          <w:bCs/>
          <w:color w:val="auto"/>
          <w:szCs w:val="21"/>
        </w:rPr>
      </w:pPr>
    </w:p>
    <w:p>
      <w:pPr>
        <w:pStyle w:val="32"/>
        <w:ind w:firstLine="0"/>
        <w:jc w:val="center"/>
        <w:rPr>
          <w:rFonts w:ascii="宋体" w:hAnsi="宋体" w:cs="宋体"/>
          <w:szCs w:val="21"/>
        </w:rPr>
      </w:pPr>
      <w:r>
        <w:rPr>
          <w:rFonts w:hint="eastAsia" w:ascii="宋体" w:hAnsi="宋体" w:cs="宋体"/>
          <w:b/>
          <w:szCs w:val="21"/>
        </w:rPr>
        <w:t>（由投标单位根据招标文件要求结合本工程的特点和实际情况自行编写）</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服务方案应包括（但不限于）下列内容：</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一、检测</w:t>
      </w:r>
      <w:r>
        <w:rPr>
          <w:rFonts w:hint="eastAsia" w:ascii="宋体" w:hAnsi="宋体" w:cs="宋体"/>
          <w:color w:val="auto"/>
          <w:sz w:val="24"/>
          <w:szCs w:val="24"/>
          <w:u w:val="single"/>
        </w:rPr>
        <w:t>、监测</w:t>
      </w:r>
      <w:r>
        <w:rPr>
          <w:rFonts w:hint="eastAsia" w:ascii="宋体" w:hAnsi="宋体" w:eastAsia="宋体" w:cs="宋体"/>
          <w:color w:val="auto"/>
          <w:szCs w:val="21"/>
        </w:rPr>
        <w:t>工程概况；</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二、检测</w:t>
      </w:r>
      <w:r>
        <w:rPr>
          <w:rFonts w:hint="eastAsia" w:ascii="宋体" w:hAnsi="宋体" w:cs="宋体"/>
          <w:color w:val="auto"/>
          <w:sz w:val="24"/>
          <w:szCs w:val="24"/>
          <w:u w:val="single"/>
        </w:rPr>
        <w:t>、监测</w:t>
      </w:r>
      <w:r>
        <w:rPr>
          <w:rFonts w:hint="eastAsia" w:ascii="宋体" w:hAnsi="宋体" w:eastAsia="宋体" w:cs="宋体"/>
          <w:color w:val="auto"/>
          <w:szCs w:val="21"/>
        </w:rPr>
        <w:t>范围、检测内容；</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三、检测</w:t>
      </w:r>
      <w:r>
        <w:rPr>
          <w:rFonts w:hint="eastAsia" w:ascii="宋体" w:hAnsi="宋体" w:cs="宋体"/>
          <w:color w:val="auto"/>
          <w:sz w:val="24"/>
          <w:szCs w:val="24"/>
          <w:u w:val="single"/>
        </w:rPr>
        <w:t>、监测</w:t>
      </w:r>
      <w:r>
        <w:rPr>
          <w:rFonts w:hint="eastAsia" w:ascii="宋体" w:hAnsi="宋体" w:eastAsia="宋体" w:cs="宋体"/>
          <w:color w:val="auto"/>
          <w:szCs w:val="21"/>
        </w:rPr>
        <w:t>依据、检测</w:t>
      </w:r>
      <w:r>
        <w:rPr>
          <w:rFonts w:hint="eastAsia" w:ascii="宋体" w:hAnsi="宋体" w:eastAsia="宋体" w:cs="宋体"/>
          <w:color w:val="auto"/>
        </w:rPr>
        <w:t>工作目标</w:t>
      </w:r>
      <w:r>
        <w:rPr>
          <w:rFonts w:hint="eastAsia" w:ascii="宋体" w:hAnsi="宋体" w:eastAsia="宋体" w:cs="宋体"/>
          <w:color w:val="auto"/>
          <w:szCs w:val="21"/>
        </w:rPr>
        <w:t>；</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四、检测</w:t>
      </w:r>
      <w:r>
        <w:rPr>
          <w:rFonts w:hint="eastAsia" w:ascii="宋体" w:hAnsi="宋体" w:cs="宋体"/>
          <w:color w:val="auto"/>
          <w:sz w:val="24"/>
          <w:szCs w:val="24"/>
          <w:u w:val="single"/>
        </w:rPr>
        <w:t>、监测</w:t>
      </w:r>
      <w:r>
        <w:rPr>
          <w:rFonts w:hint="eastAsia" w:ascii="宋体" w:hAnsi="宋体" w:eastAsia="宋体" w:cs="宋体"/>
          <w:color w:val="auto"/>
          <w:szCs w:val="21"/>
        </w:rPr>
        <w:t>机构设置（框图）、岗位职责；</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五、检测</w:t>
      </w:r>
      <w:r>
        <w:rPr>
          <w:rFonts w:hint="eastAsia" w:ascii="宋体" w:hAnsi="宋体" w:cs="宋体"/>
          <w:color w:val="auto"/>
          <w:sz w:val="24"/>
          <w:szCs w:val="24"/>
          <w:u w:val="single"/>
        </w:rPr>
        <w:t>、监测</w:t>
      </w:r>
      <w:r>
        <w:rPr>
          <w:rFonts w:hint="eastAsia" w:ascii="宋体" w:hAnsi="宋体" w:eastAsia="宋体" w:cs="宋体"/>
          <w:color w:val="auto"/>
          <w:szCs w:val="21"/>
        </w:rPr>
        <w:t>工作程序和方法；</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六、拟投入的人员、试验检测仪器设备；</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七、质量、进度、安全、检测措施；</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八、合同、信息管理方案；</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九、检测</w:t>
      </w:r>
      <w:r>
        <w:rPr>
          <w:rFonts w:hint="eastAsia" w:ascii="宋体" w:hAnsi="宋体" w:cs="宋体"/>
          <w:color w:val="auto"/>
          <w:sz w:val="24"/>
          <w:szCs w:val="24"/>
          <w:u w:val="single"/>
        </w:rPr>
        <w:t>、监测</w:t>
      </w:r>
      <w:r>
        <w:rPr>
          <w:rFonts w:hint="eastAsia" w:ascii="宋体" w:hAnsi="宋体" w:eastAsia="宋体" w:cs="宋体"/>
          <w:color w:val="auto"/>
          <w:szCs w:val="21"/>
        </w:rPr>
        <w:t>工作重点、难点分析；</w:t>
      </w:r>
    </w:p>
    <w:p>
      <w:pPr>
        <w:spacing w:line="360" w:lineRule="auto"/>
        <w:ind w:firstLine="497" w:firstLineChars="226"/>
        <w:rPr>
          <w:rFonts w:ascii="宋体" w:hAnsi="宋体" w:eastAsia="宋体" w:cs="宋体"/>
          <w:color w:val="auto"/>
          <w:szCs w:val="21"/>
        </w:rPr>
      </w:pPr>
      <w:r>
        <w:rPr>
          <w:rFonts w:hint="eastAsia" w:ascii="宋体" w:hAnsi="宋体" w:eastAsia="宋体" w:cs="宋体"/>
          <w:color w:val="auto"/>
          <w:szCs w:val="21"/>
        </w:rPr>
        <w:t>十、对本工程检测</w:t>
      </w:r>
      <w:r>
        <w:rPr>
          <w:rFonts w:hint="eastAsia" w:ascii="宋体" w:hAnsi="宋体" w:cs="宋体"/>
          <w:color w:val="auto"/>
          <w:sz w:val="24"/>
          <w:szCs w:val="24"/>
          <w:u w:val="single"/>
        </w:rPr>
        <w:t>、监测</w:t>
      </w:r>
      <w:r>
        <w:rPr>
          <w:rFonts w:hint="eastAsia" w:ascii="宋体" w:hAnsi="宋体" w:eastAsia="宋体" w:cs="宋体"/>
          <w:color w:val="auto"/>
          <w:szCs w:val="21"/>
        </w:rPr>
        <w:t>的合理化建议。</w:t>
      </w:r>
    </w:p>
    <w:p>
      <w:pPr>
        <w:pStyle w:val="3"/>
        <w:spacing w:after="176"/>
        <w:ind w:right="216"/>
        <w:rPr>
          <w:rFonts w:ascii="宋体" w:hAnsi="宋体" w:eastAsia="宋体" w:cs="宋体"/>
          <w:b/>
          <w:bCs/>
          <w:color w:val="auto"/>
          <w:sz w:val="32"/>
        </w:rPr>
      </w:pPr>
      <w:r>
        <w:rPr>
          <w:rFonts w:hint="eastAsia" w:ascii="宋体" w:hAnsi="宋体" w:eastAsia="宋体" w:cs="宋体"/>
          <w:color w:val="auto"/>
          <w:sz w:val="21"/>
        </w:rPr>
        <w:br w:type="page"/>
      </w:r>
      <w:bookmarkStart w:id="317" w:name="_Toc508788716"/>
      <w:bookmarkStart w:id="318" w:name="_Toc142406666"/>
      <w:r>
        <w:rPr>
          <w:rFonts w:hint="eastAsia" w:ascii="宋体" w:hAnsi="宋体" w:eastAsia="宋体" w:cs="宋体"/>
          <w:b/>
          <w:bCs/>
          <w:color w:val="auto"/>
          <w:sz w:val="32"/>
          <w:szCs w:val="32"/>
        </w:rPr>
        <w:t>格式</w:t>
      </w:r>
      <w:r>
        <w:rPr>
          <w:rFonts w:hint="eastAsia" w:ascii="宋体" w:hAnsi="宋体" w:eastAsia="宋体" w:cs="宋体"/>
          <w:b/>
          <w:bCs/>
          <w:color w:val="auto"/>
          <w:sz w:val="32"/>
        </w:rPr>
        <w:t>九、其他资料</w:t>
      </w:r>
      <w:bookmarkEnd w:id="317"/>
      <w:bookmarkEnd w:id="318"/>
    </w:p>
    <w:p>
      <w:pPr>
        <w:rPr>
          <w:rFonts w:ascii="宋体" w:hAnsi="宋体" w:eastAsia="宋体" w:cs="宋体"/>
          <w:color w:val="auto"/>
        </w:rPr>
      </w:pPr>
    </w:p>
    <w:sectPr>
      <w:headerReference r:id="rId9" w:type="default"/>
      <w:footerReference r:id="rId10" w:type="default"/>
      <w:pgSz w:w="11907" w:h="16840"/>
      <w:pgMar w:top="1446" w:right="1134" w:bottom="1469" w:left="1134"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书宋简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11</w:t>
    </w:r>
    <w:r>
      <w:fldChar w:fldCharType="end"/>
    </w:r>
  </w:p>
  <w:p>
    <w:pPr>
      <w:spacing w:after="0"/>
      <w:ind w:right="8233"/>
      <w:jc w:val="right"/>
    </w:pPr>
  </w:p>
  <w:p>
    <w:pPr>
      <w:spacing w:after="0"/>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4410" w:firstLineChars="2450"/>
    </w:pPr>
    <w:r>
      <w:fldChar w:fldCharType="begin"/>
    </w:r>
    <w:r>
      <w:rPr>
        <w:rStyle w:val="35"/>
      </w:rPr>
      <w:instrText xml:space="preserve"> PAGE </w:instrText>
    </w:r>
    <w:r>
      <w:fldChar w:fldCharType="separate"/>
    </w:r>
    <w:r>
      <w:rPr>
        <w:rStyle w:val="35"/>
      </w:rPr>
      <w:t>57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4410" w:firstLineChars="2450"/>
    </w:pPr>
    <w:r>
      <w:fldChar w:fldCharType="begin"/>
    </w:r>
    <w:r>
      <w:rPr>
        <w:rStyle w:val="35"/>
      </w:rPr>
      <w:instrText xml:space="preserve"> PAGE </w:instrText>
    </w:r>
    <w:r>
      <w:fldChar w:fldCharType="separate"/>
    </w:r>
    <w:r>
      <w:rPr>
        <w:rStyle w:val="35"/>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C114D"/>
    <w:multiLevelType w:val="multilevel"/>
    <w:tmpl w:val="0C7C114D"/>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1">
    <w:nsid w:val="119B2B79"/>
    <w:multiLevelType w:val="multilevel"/>
    <w:tmpl w:val="119B2B79"/>
    <w:lvl w:ilvl="0" w:tentative="0">
      <w:start w:val="3"/>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2">
    <w:nsid w:val="16416FCA"/>
    <w:multiLevelType w:val="multilevel"/>
    <w:tmpl w:val="16416FCA"/>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3">
    <w:nsid w:val="58C01329"/>
    <w:multiLevelType w:val="multilevel"/>
    <w:tmpl w:val="58C01329"/>
    <w:lvl w:ilvl="0" w:tentative="0">
      <w:start w:val="1"/>
      <w:numFmt w:val="decimal"/>
      <w:lvlText w:val="（%1）"/>
      <w:lvlJc w:val="left"/>
      <w:pPr>
        <w:ind w:left="718"/>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vertAlign w:val="baseline"/>
      </w:rPr>
    </w:lvl>
  </w:abstractNum>
  <w:abstractNum w:abstractNumId="4">
    <w:nsid w:val="5E3156E4"/>
    <w:multiLevelType w:val="multilevel"/>
    <w:tmpl w:val="5E3156E4"/>
    <w:lvl w:ilvl="0" w:tentative="0">
      <w:start w:val="1"/>
      <w:numFmt w:val="decimal"/>
      <w:lvlText w:val="（%1）"/>
      <w:lvlJc w:val="left"/>
      <w:pPr>
        <w:ind w:left="407"/>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5">
    <w:nsid w:val="66226E52"/>
    <w:multiLevelType w:val="multilevel"/>
    <w:tmpl w:val="66226E52"/>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6">
    <w:nsid w:val="67DED61F"/>
    <w:multiLevelType w:val="singleLevel"/>
    <w:tmpl w:val="67DED61F"/>
    <w:lvl w:ilvl="0" w:tentative="0">
      <w:start w:val="2"/>
      <w:numFmt w:val="decimal"/>
      <w:lvlText w:val="%1."/>
      <w:lvlJc w:val="left"/>
      <w:pPr>
        <w:tabs>
          <w:tab w:val="left" w:pos="312"/>
        </w:tabs>
      </w:pPr>
    </w:lvl>
  </w:abstractNum>
  <w:abstractNum w:abstractNumId="7">
    <w:nsid w:val="69455A11"/>
    <w:multiLevelType w:val="multilevel"/>
    <w:tmpl w:val="69455A11"/>
    <w:lvl w:ilvl="0" w:tentative="0">
      <w:start w:val="1"/>
      <w:numFmt w:val="decimal"/>
      <w:lvlText w:val="（%1）"/>
      <w:lvlJc w:val="left"/>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8">
    <w:nsid w:val="783B3B81"/>
    <w:multiLevelType w:val="multilevel"/>
    <w:tmpl w:val="783B3B81"/>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vertAlign w:val="baseline"/>
      </w:rPr>
    </w:lvl>
  </w:abstractNum>
  <w:num w:numId="1">
    <w:abstractNumId w:val="5"/>
  </w:num>
  <w:num w:numId="2">
    <w:abstractNumId w:val="7"/>
  </w:num>
  <w:num w:numId="3">
    <w:abstractNumId w:val="4"/>
  </w:num>
  <w:num w:numId="4">
    <w:abstractNumId w:val="8"/>
  </w:num>
  <w:num w:numId="5">
    <w:abstractNumId w:val="3"/>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trackRevisions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1MjZmMGQ5OWYwZDM3M2U5ZjNmOGExZDQ5MjZlNDYifQ=="/>
  </w:docVars>
  <w:rsids>
    <w:rsidRoot w:val="00FD6C24"/>
    <w:rsid w:val="00000982"/>
    <w:rsid w:val="00017180"/>
    <w:rsid w:val="00026EAB"/>
    <w:rsid w:val="00036397"/>
    <w:rsid w:val="00040C3A"/>
    <w:rsid w:val="00041D3C"/>
    <w:rsid w:val="00042369"/>
    <w:rsid w:val="0005051F"/>
    <w:rsid w:val="0005363F"/>
    <w:rsid w:val="000678FD"/>
    <w:rsid w:val="000707FF"/>
    <w:rsid w:val="00072900"/>
    <w:rsid w:val="00084C0A"/>
    <w:rsid w:val="00086242"/>
    <w:rsid w:val="00087260"/>
    <w:rsid w:val="000A0165"/>
    <w:rsid w:val="000A2FB8"/>
    <w:rsid w:val="000A3457"/>
    <w:rsid w:val="000B3CF7"/>
    <w:rsid w:val="000B43E2"/>
    <w:rsid w:val="000C477D"/>
    <w:rsid w:val="000C4BB5"/>
    <w:rsid w:val="000C5062"/>
    <w:rsid w:val="000C61C6"/>
    <w:rsid w:val="000C7C55"/>
    <w:rsid w:val="000E4C78"/>
    <w:rsid w:val="000E535F"/>
    <w:rsid w:val="000E5F2B"/>
    <w:rsid w:val="000F1161"/>
    <w:rsid w:val="001166E7"/>
    <w:rsid w:val="00157AAF"/>
    <w:rsid w:val="00162651"/>
    <w:rsid w:val="0016607C"/>
    <w:rsid w:val="00171518"/>
    <w:rsid w:val="00186EBA"/>
    <w:rsid w:val="001908E5"/>
    <w:rsid w:val="00195A79"/>
    <w:rsid w:val="001A7CEA"/>
    <w:rsid w:val="001A7FA2"/>
    <w:rsid w:val="001B2375"/>
    <w:rsid w:val="001B4421"/>
    <w:rsid w:val="001B7234"/>
    <w:rsid w:val="001B7B1C"/>
    <w:rsid w:val="001C32C0"/>
    <w:rsid w:val="001C77C2"/>
    <w:rsid w:val="001D4B50"/>
    <w:rsid w:val="001D75AF"/>
    <w:rsid w:val="001E1012"/>
    <w:rsid w:val="001E3AA1"/>
    <w:rsid w:val="001E451B"/>
    <w:rsid w:val="002000F3"/>
    <w:rsid w:val="00201081"/>
    <w:rsid w:val="002064B6"/>
    <w:rsid w:val="00207F47"/>
    <w:rsid w:val="00215BC4"/>
    <w:rsid w:val="0022356E"/>
    <w:rsid w:val="0022693C"/>
    <w:rsid w:val="0022747D"/>
    <w:rsid w:val="00231E63"/>
    <w:rsid w:val="00234EFC"/>
    <w:rsid w:val="002451FA"/>
    <w:rsid w:val="00246207"/>
    <w:rsid w:val="0025512C"/>
    <w:rsid w:val="00255BA7"/>
    <w:rsid w:val="00260084"/>
    <w:rsid w:val="0026130B"/>
    <w:rsid w:val="0027088C"/>
    <w:rsid w:val="0028138C"/>
    <w:rsid w:val="002824A2"/>
    <w:rsid w:val="00284E3C"/>
    <w:rsid w:val="00290AC3"/>
    <w:rsid w:val="0029267A"/>
    <w:rsid w:val="002964BE"/>
    <w:rsid w:val="002A5A60"/>
    <w:rsid w:val="002B3364"/>
    <w:rsid w:val="002B34F4"/>
    <w:rsid w:val="002C1195"/>
    <w:rsid w:val="002C3F84"/>
    <w:rsid w:val="002D07E6"/>
    <w:rsid w:val="002D1315"/>
    <w:rsid w:val="002D33AB"/>
    <w:rsid w:val="002F5538"/>
    <w:rsid w:val="002F59B7"/>
    <w:rsid w:val="002F7B9A"/>
    <w:rsid w:val="00313649"/>
    <w:rsid w:val="003204E8"/>
    <w:rsid w:val="003209F6"/>
    <w:rsid w:val="0032528D"/>
    <w:rsid w:val="003311E4"/>
    <w:rsid w:val="00345284"/>
    <w:rsid w:val="00350478"/>
    <w:rsid w:val="003550AF"/>
    <w:rsid w:val="00355317"/>
    <w:rsid w:val="003634B3"/>
    <w:rsid w:val="00363D02"/>
    <w:rsid w:val="00376A83"/>
    <w:rsid w:val="003907C3"/>
    <w:rsid w:val="003A2B67"/>
    <w:rsid w:val="003B01F9"/>
    <w:rsid w:val="003C39E3"/>
    <w:rsid w:val="003C64BC"/>
    <w:rsid w:val="003D041F"/>
    <w:rsid w:val="003D3C99"/>
    <w:rsid w:val="003D48BA"/>
    <w:rsid w:val="003E6888"/>
    <w:rsid w:val="003F5689"/>
    <w:rsid w:val="00403649"/>
    <w:rsid w:val="00406DBC"/>
    <w:rsid w:val="00413EE8"/>
    <w:rsid w:val="00427462"/>
    <w:rsid w:val="0043373E"/>
    <w:rsid w:val="00437933"/>
    <w:rsid w:val="004429D1"/>
    <w:rsid w:val="00445BB4"/>
    <w:rsid w:val="004479A7"/>
    <w:rsid w:val="00453300"/>
    <w:rsid w:val="00455942"/>
    <w:rsid w:val="00460D1F"/>
    <w:rsid w:val="00464C0D"/>
    <w:rsid w:val="00472B36"/>
    <w:rsid w:val="00477296"/>
    <w:rsid w:val="00480EA5"/>
    <w:rsid w:val="00483049"/>
    <w:rsid w:val="004842DA"/>
    <w:rsid w:val="00485685"/>
    <w:rsid w:val="00490A97"/>
    <w:rsid w:val="00495DFB"/>
    <w:rsid w:val="004960B2"/>
    <w:rsid w:val="00497A1A"/>
    <w:rsid w:val="004A0FBB"/>
    <w:rsid w:val="004A2B07"/>
    <w:rsid w:val="004B14F3"/>
    <w:rsid w:val="004C5966"/>
    <w:rsid w:val="004D1A83"/>
    <w:rsid w:val="004E1A03"/>
    <w:rsid w:val="004E2CF2"/>
    <w:rsid w:val="004E4F3B"/>
    <w:rsid w:val="004F7A7B"/>
    <w:rsid w:val="00500C1D"/>
    <w:rsid w:val="00502585"/>
    <w:rsid w:val="00507C55"/>
    <w:rsid w:val="00516D74"/>
    <w:rsid w:val="00527803"/>
    <w:rsid w:val="00542605"/>
    <w:rsid w:val="00542ABF"/>
    <w:rsid w:val="00542F83"/>
    <w:rsid w:val="0055411D"/>
    <w:rsid w:val="005621D0"/>
    <w:rsid w:val="005645A4"/>
    <w:rsid w:val="00564A88"/>
    <w:rsid w:val="00567A9A"/>
    <w:rsid w:val="005713FC"/>
    <w:rsid w:val="005734DC"/>
    <w:rsid w:val="00585C6E"/>
    <w:rsid w:val="00586AD7"/>
    <w:rsid w:val="00587D55"/>
    <w:rsid w:val="00591D50"/>
    <w:rsid w:val="00594479"/>
    <w:rsid w:val="005A5A37"/>
    <w:rsid w:val="005B01F4"/>
    <w:rsid w:val="005B2241"/>
    <w:rsid w:val="005C18BD"/>
    <w:rsid w:val="005D3CC4"/>
    <w:rsid w:val="005D61D8"/>
    <w:rsid w:val="005E2C8F"/>
    <w:rsid w:val="005E7A94"/>
    <w:rsid w:val="005F255F"/>
    <w:rsid w:val="005F7678"/>
    <w:rsid w:val="00600F1C"/>
    <w:rsid w:val="00612DB6"/>
    <w:rsid w:val="006150E8"/>
    <w:rsid w:val="00615955"/>
    <w:rsid w:val="006165F6"/>
    <w:rsid w:val="00621301"/>
    <w:rsid w:val="0062435B"/>
    <w:rsid w:val="0063660E"/>
    <w:rsid w:val="00644E9B"/>
    <w:rsid w:val="00651EE0"/>
    <w:rsid w:val="0067647F"/>
    <w:rsid w:val="00691D55"/>
    <w:rsid w:val="00692CE7"/>
    <w:rsid w:val="00695089"/>
    <w:rsid w:val="006A0764"/>
    <w:rsid w:val="006A3006"/>
    <w:rsid w:val="006A449B"/>
    <w:rsid w:val="006D6271"/>
    <w:rsid w:val="0070206F"/>
    <w:rsid w:val="00704A05"/>
    <w:rsid w:val="0071782F"/>
    <w:rsid w:val="00727724"/>
    <w:rsid w:val="00734C32"/>
    <w:rsid w:val="007446AD"/>
    <w:rsid w:val="007514CF"/>
    <w:rsid w:val="00760996"/>
    <w:rsid w:val="00773904"/>
    <w:rsid w:val="00777418"/>
    <w:rsid w:val="00782FC3"/>
    <w:rsid w:val="00785B8A"/>
    <w:rsid w:val="007925E3"/>
    <w:rsid w:val="007A7998"/>
    <w:rsid w:val="007B7C7F"/>
    <w:rsid w:val="007C1183"/>
    <w:rsid w:val="007C4957"/>
    <w:rsid w:val="007D6101"/>
    <w:rsid w:val="007E124E"/>
    <w:rsid w:val="007E610F"/>
    <w:rsid w:val="007F3344"/>
    <w:rsid w:val="00814455"/>
    <w:rsid w:val="00817580"/>
    <w:rsid w:val="00824691"/>
    <w:rsid w:val="00824B3B"/>
    <w:rsid w:val="00827FAF"/>
    <w:rsid w:val="00850945"/>
    <w:rsid w:val="00851B2A"/>
    <w:rsid w:val="00862C26"/>
    <w:rsid w:val="008730AD"/>
    <w:rsid w:val="00873A1A"/>
    <w:rsid w:val="00891E2D"/>
    <w:rsid w:val="00892232"/>
    <w:rsid w:val="008936C3"/>
    <w:rsid w:val="00896D1C"/>
    <w:rsid w:val="008973C6"/>
    <w:rsid w:val="00897782"/>
    <w:rsid w:val="008A1BE2"/>
    <w:rsid w:val="008A4790"/>
    <w:rsid w:val="008A4811"/>
    <w:rsid w:val="008B057D"/>
    <w:rsid w:val="008B2F79"/>
    <w:rsid w:val="008D45FD"/>
    <w:rsid w:val="008D53C0"/>
    <w:rsid w:val="008E06F6"/>
    <w:rsid w:val="008E493E"/>
    <w:rsid w:val="00906673"/>
    <w:rsid w:val="0091121A"/>
    <w:rsid w:val="009151D1"/>
    <w:rsid w:val="00916718"/>
    <w:rsid w:val="00917822"/>
    <w:rsid w:val="00923B73"/>
    <w:rsid w:val="0092669E"/>
    <w:rsid w:val="00935F52"/>
    <w:rsid w:val="00942615"/>
    <w:rsid w:val="009508A3"/>
    <w:rsid w:val="00952B70"/>
    <w:rsid w:val="00953475"/>
    <w:rsid w:val="009638D3"/>
    <w:rsid w:val="00963AAE"/>
    <w:rsid w:val="00970DF8"/>
    <w:rsid w:val="009765C0"/>
    <w:rsid w:val="00981061"/>
    <w:rsid w:val="00983BF5"/>
    <w:rsid w:val="009875EC"/>
    <w:rsid w:val="009B09D9"/>
    <w:rsid w:val="009B4380"/>
    <w:rsid w:val="009B6176"/>
    <w:rsid w:val="009E7EE5"/>
    <w:rsid w:val="009F2228"/>
    <w:rsid w:val="009F2679"/>
    <w:rsid w:val="00A01356"/>
    <w:rsid w:val="00A20A75"/>
    <w:rsid w:val="00A23771"/>
    <w:rsid w:val="00A327F1"/>
    <w:rsid w:val="00A37AA2"/>
    <w:rsid w:val="00A401A3"/>
    <w:rsid w:val="00A44F84"/>
    <w:rsid w:val="00A53822"/>
    <w:rsid w:val="00A63631"/>
    <w:rsid w:val="00A707C0"/>
    <w:rsid w:val="00A71CEA"/>
    <w:rsid w:val="00A72279"/>
    <w:rsid w:val="00A75E42"/>
    <w:rsid w:val="00A90F5C"/>
    <w:rsid w:val="00A91F54"/>
    <w:rsid w:val="00A92E9C"/>
    <w:rsid w:val="00A95A79"/>
    <w:rsid w:val="00AA6817"/>
    <w:rsid w:val="00AC7DAF"/>
    <w:rsid w:val="00AD531B"/>
    <w:rsid w:val="00AD5E60"/>
    <w:rsid w:val="00AD6F28"/>
    <w:rsid w:val="00AE23CB"/>
    <w:rsid w:val="00AE620E"/>
    <w:rsid w:val="00AE7C48"/>
    <w:rsid w:val="00B00635"/>
    <w:rsid w:val="00B0290A"/>
    <w:rsid w:val="00B05CE8"/>
    <w:rsid w:val="00B079D6"/>
    <w:rsid w:val="00B21DF8"/>
    <w:rsid w:val="00B40C75"/>
    <w:rsid w:val="00B5189E"/>
    <w:rsid w:val="00B61ACE"/>
    <w:rsid w:val="00B70176"/>
    <w:rsid w:val="00B81439"/>
    <w:rsid w:val="00B839B1"/>
    <w:rsid w:val="00B8729F"/>
    <w:rsid w:val="00BA5082"/>
    <w:rsid w:val="00BB1558"/>
    <w:rsid w:val="00BB161B"/>
    <w:rsid w:val="00BB54C5"/>
    <w:rsid w:val="00BC3071"/>
    <w:rsid w:val="00BD38F2"/>
    <w:rsid w:val="00BD4CCF"/>
    <w:rsid w:val="00C1332C"/>
    <w:rsid w:val="00C215EF"/>
    <w:rsid w:val="00C24789"/>
    <w:rsid w:val="00C2755C"/>
    <w:rsid w:val="00C37839"/>
    <w:rsid w:val="00C41AAC"/>
    <w:rsid w:val="00C41E3C"/>
    <w:rsid w:val="00C42BE2"/>
    <w:rsid w:val="00C4628C"/>
    <w:rsid w:val="00C46734"/>
    <w:rsid w:val="00C54292"/>
    <w:rsid w:val="00C5480A"/>
    <w:rsid w:val="00C54C4A"/>
    <w:rsid w:val="00C63063"/>
    <w:rsid w:val="00C80BDB"/>
    <w:rsid w:val="00C85997"/>
    <w:rsid w:val="00C87917"/>
    <w:rsid w:val="00C93432"/>
    <w:rsid w:val="00CA425A"/>
    <w:rsid w:val="00CB1901"/>
    <w:rsid w:val="00CB364B"/>
    <w:rsid w:val="00CC2424"/>
    <w:rsid w:val="00CC2E74"/>
    <w:rsid w:val="00CC31EE"/>
    <w:rsid w:val="00CC38E5"/>
    <w:rsid w:val="00CE0271"/>
    <w:rsid w:val="00CF0EFC"/>
    <w:rsid w:val="00CF2FAB"/>
    <w:rsid w:val="00CF4DAF"/>
    <w:rsid w:val="00CF51D6"/>
    <w:rsid w:val="00CF6276"/>
    <w:rsid w:val="00CF7D01"/>
    <w:rsid w:val="00D12342"/>
    <w:rsid w:val="00D457B9"/>
    <w:rsid w:val="00D56CAC"/>
    <w:rsid w:val="00D63BCE"/>
    <w:rsid w:val="00D70055"/>
    <w:rsid w:val="00D71D80"/>
    <w:rsid w:val="00D83227"/>
    <w:rsid w:val="00D83B58"/>
    <w:rsid w:val="00D83E9E"/>
    <w:rsid w:val="00D8722D"/>
    <w:rsid w:val="00D912F9"/>
    <w:rsid w:val="00DA0B44"/>
    <w:rsid w:val="00DA4C9C"/>
    <w:rsid w:val="00DB2E56"/>
    <w:rsid w:val="00DB5135"/>
    <w:rsid w:val="00DC12DA"/>
    <w:rsid w:val="00DC513D"/>
    <w:rsid w:val="00DC7B20"/>
    <w:rsid w:val="00DD0651"/>
    <w:rsid w:val="00DE0886"/>
    <w:rsid w:val="00DE5F35"/>
    <w:rsid w:val="00DE667F"/>
    <w:rsid w:val="00DE76C7"/>
    <w:rsid w:val="00DF68BF"/>
    <w:rsid w:val="00E04708"/>
    <w:rsid w:val="00E07F09"/>
    <w:rsid w:val="00E136B5"/>
    <w:rsid w:val="00E13B09"/>
    <w:rsid w:val="00E209F0"/>
    <w:rsid w:val="00E26588"/>
    <w:rsid w:val="00E30AA1"/>
    <w:rsid w:val="00E364F3"/>
    <w:rsid w:val="00E36963"/>
    <w:rsid w:val="00E41B97"/>
    <w:rsid w:val="00E44BC8"/>
    <w:rsid w:val="00E5472E"/>
    <w:rsid w:val="00E6261D"/>
    <w:rsid w:val="00E759C8"/>
    <w:rsid w:val="00E80A2C"/>
    <w:rsid w:val="00E82683"/>
    <w:rsid w:val="00E8477E"/>
    <w:rsid w:val="00E877B5"/>
    <w:rsid w:val="00EA68BA"/>
    <w:rsid w:val="00EB4F0E"/>
    <w:rsid w:val="00EC3C1F"/>
    <w:rsid w:val="00EC6363"/>
    <w:rsid w:val="00ED0B3C"/>
    <w:rsid w:val="00ED3CBB"/>
    <w:rsid w:val="00EE3E4D"/>
    <w:rsid w:val="00EE4173"/>
    <w:rsid w:val="00EE6E62"/>
    <w:rsid w:val="00EF1EEB"/>
    <w:rsid w:val="00EF4C89"/>
    <w:rsid w:val="00EF68AC"/>
    <w:rsid w:val="00F05DF2"/>
    <w:rsid w:val="00F160A8"/>
    <w:rsid w:val="00F37986"/>
    <w:rsid w:val="00F70F86"/>
    <w:rsid w:val="00F72E6B"/>
    <w:rsid w:val="00F83DFB"/>
    <w:rsid w:val="00F90FAB"/>
    <w:rsid w:val="00FB17A7"/>
    <w:rsid w:val="00FB47E4"/>
    <w:rsid w:val="00FC0622"/>
    <w:rsid w:val="00FC37B7"/>
    <w:rsid w:val="00FD2405"/>
    <w:rsid w:val="00FD31CD"/>
    <w:rsid w:val="00FD6C24"/>
    <w:rsid w:val="00FD7EBC"/>
    <w:rsid w:val="00FE768E"/>
    <w:rsid w:val="01306557"/>
    <w:rsid w:val="017E42CE"/>
    <w:rsid w:val="01CC6457"/>
    <w:rsid w:val="01D44259"/>
    <w:rsid w:val="027435A8"/>
    <w:rsid w:val="03F60FF6"/>
    <w:rsid w:val="05D3248E"/>
    <w:rsid w:val="065D640E"/>
    <w:rsid w:val="06782196"/>
    <w:rsid w:val="067C06E7"/>
    <w:rsid w:val="06B371AA"/>
    <w:rsid w:val="07487DBA"/>
    <w:rsid w:val="07A82607"/>
    <w:rsid w:val="085F798A"/>
    <w:rsid w:val="08A52FEB"/>
    <w:rsid w:val="095D3592"/>
    <w:rsid w:val="09B94F7E"/>
    <w:rsid w:val="09E15CD7"/>
    <w:rsid w:val="0A270279"/>
    <w:rsid w:val="0A312D88"/>
    <w:rsid w:val="0A4F76B2"/>
    <w:rsid w:val="0A870BFA"/>
    <w:rsid w:val="0AE918B4"/>
    <w:rsid w:val="0B1F7084"/>
    <w:rsid w:val="0BFA364D"/>
    <w:rsid w:val="0CBD0903"/>
    <w:rsid w:val="0CEA438E"/>
    <w:rsid w:val="0D1F511A"/>
    <w:rsid w:val="0DF76096"/>
    <w:rsid w:val="0EB02260"/>
    <w:rsid w:val="0EE95213"/>
    <w:rsid w:val="0F9D4A1B"/>
    <w:rsid w:val="10305890"/>
    <w:rsid w:val="114A0BD3"/>
    <w:rsid w:val="114B6417"/>
    <w:rsid w:val="11B30526"/>
    <w:rsid w:val="121B3FD8"/>
    <w:rsid w:val="12333415"/>
    <w:rsid w:val="12525F91"/>
    <w:rsid w:val="125B5A76"/>
    <w:rsid w:val="141A663B"/>
    <w:rsid w:val="154020D1"/>
    <w:rsid w:val="155362A8"/>
    <w:rsid w:val="1642631D"/>
    <w:rsid w:val="1792373B"/>
    <w:rsid w:val="18214EF6"/>
    <w:rsid w:val="182B69DC"/>
    <w:rsid w:val="19B25567"/>
    <w:rsid w:val="1A6B4094"/>
    <w:rsid w:val="1AA5488D"/>
    <w:rsid w:val="1AAB329B"/>
    <w:rsid w:val="1ABA2925"/>
    <w:rsid w:val="1AD210BA"/>
    <w:rsid w:val="1AEF0791"/>
    <w:rsid w:val="1C5F5CD0"/>
    <w:rsid w:val="1C9378D2"/>
    <w:rsid w:val="1E0F2F88"/>
    <w:rsid w:val="1F022AED"/>
    <w:rsid w:val="1FFA4A26"/>
    <w:rsid w:val="205D41BE"/>
    <w:rsid w:val="20A57BD4"/>
    <w:rsid w:val="21574859"/>
    <w:rsid w:val="217C6B87"/>
    <w:rsid w:val="228E4DC3"/>
    <w:rsid w:val="2378337E"/>
    <w:rsid w:val="241F44DB"/>
    <w:rsid w:val="24945F95"/>
    <w:rsid w:val="25C82F40"/>
    <w:rsid w:val="26025181"/>
    <w:rsid w:val="2756664D"/>
    <w:rsid w:val="28DF7E06"/>
    <w:rsid w:val="2A1D28B2"/>
    <w:rsid w:val="2A224043"/>
    <w:rsid w:val="2A461AE0"/>
    <w:rsid w:val="2A7A0E2E"/>
    <w:rsid w:val="2ABF42B1"/>
    <w:rsid w:val="2AC86999"/>
    <w:rsid w:val="2B05199B"/>
    <w:rsid w:val="2E5D389C"/>
    <w:rsid w:val="2EE43DBF"/>
    <w:rsid w:val="2F332198"/>
    <w:rsid w:val="2F3960B7"/>
    <w:rsid w:val="2FD61478"/>
    <w:rsid w:val="303D5733"/>
    <w:rsid w:val="30C40ADE"/>
    <w:rsid w:val="3101174C"/>
    <w:rsid w:val="313703D4"/>
    <w:rsid w:val="313E1763"/>
    <w:rsid w:val="31415630"/>
    <w:rsid w:val="31AD0D66"/>
    <w:rsid w:val="31B47BA4"/>
    <w:rsid w:val="31C83722"/>
    <w:rsid w:val="329D695D"/>
    <w:rsid w:val="332D7CE1"/>
    <w:rsid w:val="34216365"/>
    <w:rsid w:val="34621C0C"/>
    <w:rsid w:val="34A7338E"/>
    <w:rsid w:val="34E262D3"/>
    <w:rsid w:val="353C245D"/>
    <w:rsid w:val="358D2CB9"/>
    <w:rsid w:val="36940077"/>
    <w:rsid w:val="36981915"/>
    <w:rsid w:val="36D93CDC"/>
    <w:rsid w:val="382316B2"/>
    <w:rsid w:val="38CA7D80"/>
    <w:rsid w:val="39974106"/>
    <w:rsid w:val="39C66799"/>
    <w:rsid w:val="39F76793"/>
    <w:rsid w:val="3A1514CF"/>
    <w:rsid w:val="3A8E22FE"/>
    <w:rsid w:val="3A97714E"/>
    <w:rsid w:val="3A993EAE"/>
    <w:rsid w:val="3D581DFE"/>
    <w:rsid w:val="3D712EC0"/>
    <w:rsid w:val="3E4660FB"/>
    <w:rsid w:val="3FBA3CF3"/>
    <w:rsid w:val="4043339B"/>
    <w:rsid w:val="41911D83"/>
    <w:rsid w:val="4199089A"/>
    <w:rsid w:val="41B03EA4"/>
    <w:rsid w:val="41E2438C"/>
    <w:rsid w:val="427047FA"/>
    <w:rsid w:val="43F32881"/>
    <w:rsid w:val="44F74669"/>
    <w:rsid w:val="45A8769B"/>
    <w:rsid w:val="46162856"/>
    <w:rsid w:val="47046B53"/>
    <w:rsid w:val="47156903"/>
    <w:rsid w:val="47544C5C"/>
    <w:rsid w:val="47F96A4A"/>
    <w:rsid w:val="48474F49"/>
    <w:rsid w:val="48547666"/>
    <w:rsid w:val="498126DD"/>
    <w:rsid w:val="49AA39E1"/>
    <w:rsid w:val="4AAE7501"/>
    <w:rsid w:val="4B83098E"/>
    <w:rsid w:val="4BEB1608"/>
    <w:rsid w:val="4BF137DA"/>
    <w:rsid w:val="4C07336D"/>
    <w:rsid w:val="4C20442F"/>
    <w:rsid w:val="4D44278D"/>
    <w:rsid w:val="4D92310A"/>
    <w:rsid w:val="4E022332"/>
    <w:rsid w:val="4E0B4C6B"/>
    <w:rsid w:val="4F0E67C1"/>
    <w:rsid w:val="4F5A1A06"/>
    <w:rsid w:val="4FA669F9"/>
    <w:rsid w:val="507C3BFE"/>
    <w:rsid w:val="50850D04"/>
    <w:rsid w:val="51004B7A"/>
    <w:rsid w:val="537A31DB"/>
    <w:rsid w:val="53D72DCC"/>
    <w:rsid w:val="54BB2F47"/>
    <w:rsid w:val="54C65448"/>
    <w:rsid w:val="558A0B6B"/>
    <w:rsid w:val="55D1678C"/>
    <w:rsid w:val="55FA7755"/>
    <w:rsid w:val="56861332"/>
    <w:rsid w:val="56932502"/>
    <w:rsid w:val="5698194C"/>
    <w:rsid w:val="56C1236A"/>
    <w:rsid w:val="56D55E16"/>
    <w:rsid w:val="56D63A0A"/>
    <w:rsid w:val="578C2978"/>
    <w:rsid w:val="57EA58F1"/>
    <w:rsid w:val="57F329F7"/>
    <w:rsid w:val="589F0489"/>
    <w:rsid w:val="58DA2DFB"/>
    <w:rsid w:val="593908DE"/>
    <w:rsid w:val="59574C63"/>
    <w:rsid w:val="599C0E6D"/>
    <w:rsid w:val="59EC3BA2"/>
    <w:rsid w:val="5ADE2F5B"/>
    <w:rsid w:val="5B025ACC"/>
    <w:rsid w:val="5C877BB2"/>
    <w:rsid w:val="5D001F09"/>
    <w:rsid w:val="5DD45079"/>
    <w:rsid w:val="5DDB01B6"/>
    <w:rsid w:val="5E99201D"/>
    <w:rsid w:val="5F84662B"/>
    <w:rsid w:val="60E455D3"/>
    <w:rsid w:val="61181721"/>
    <w:rsid w:val="612A4F72"/>
    <w:rsid w:val="61FE26C5"/>
    <w:rsid w:val="625A7457"/>
    <w:rsid w:val="629E1E32"/>
    <w:rsid w:val="62BE1AB7"/>
    <w:rsid w:val="630B2950"/>
    <w:rsid w:val="63770981"/>
    <w:rsid w:val="63F91396"/>
    <w:rsid w:val="64B51918"/>
    <w:rsid w:val="64C25C2B"/>
    <w:rsid w:val="667016B7"/>
    <w:rsid w:val="66F127F8"/>
    <w:rsid w:val="677E2744"/>
    <w:rsid w:val="67FA24BB"/>
    <w:rsid w:val="67FD51CC"/>
    <w:rsid w:val="6873723D"/>
    <w:rsid w:val="6897117D"/>
    <w:rsid w:val="68F71BAD"/>
    <w:rsid w:val="69272501"/>
    <w:rsid w:val="698F62F8"/>
    <w:rsid w:val="69D46D93"/>
    <w:rsid w:val="6AB4611B"/>
    <w:rsid w:val="6CAB3449"/>
    <w:rsid w:val="6D5F355D"/>
    <w:rsid w:val="6E58315D"/>
    <w:rsid w:val="70016EE0"/>
    <w:rsid w:val="700417EE"/>
    <w:rsid w:val="70D9609A"/>
    <w:rsid w:val="71381023"/>
    <w:rsid w:val="72A913EA"/>
    <w:rsid w:val="731D042C"/>
    <w:rsid w:val="7378602E"/>
    <w:rsid w:val="73D414D7"/>
    <w:rsid w:val="74644BC7"/>
    <w:rsid w:val="753510E3"/>
    <w:rsid w:val="75D161E1"/>
    <w:rsid w:val="767E397C"/>
    <w:rsid w:val="76856AB9"/>
    <w:rsid w:val="76E47C83"/>
    <w:rsid w:val="77416E84"/>
    <w:rsid w:val="774A43CE"/>
    <w:rsid w:val="77CA7735"/>
    <w:rsid w:val="782D70C9"/>
    <w:rsid w:val="783B7D77"/>
    <w:rsid w:val="79856DD0"/>
    <w:rsid w:val="79C142AC"/>
    <w:rsid w:val="79FC3D51"/>
    <w:rsid w:val="7AC8166A"/>
    <w:rsid w:val="7AD85D51"/>
    <w:rsid w:val="7B3665D4"/>
    <w:rsid w:val="7C005D79"/>
    <w:rsid w:val="7C9B5288"/>
    <w:rsid w:val="7D752AF5"/>
    <w:rsid w:val="7D80622C"/>
    <w:rsid w:val="7E094473"/>
    <w:rsid w:val="7E6624B1"/>
    <w:rsid w:val="7EE66563"/>
    <w:rsid w:val="7F141322"/>
    <w:rsid w:val="7F682A90"/>
    <w:rsid w:val="7F7F6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3">
    <w:name w:val="heading 1"/>
    <w:basedOn w:val="1"/>
    <w:next w:val="1"/>
    <w:link w:val="41"/>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4">
    <w:name w:val="heading 2"/>
    <w:basedOn w:val="1"/>
    <w:next w:val="1"/>
    <w:link w:val="40"/>
    <w:qFormat/>
    <w:uiPriority w:val="0"/>
    <w:pPr>
      <w:keepNext/>
      <w:keepLines/>
      <w:spacing w:after="172" w:line="265" w:lineRule="auto"/>
      <w:ind w:left="10" w:right="116" w:hanging="10"/>
      <w:outlineLvl w:val="1"/>
    </w:pPr>
    <w:rPr>
      <w:rFonts w:ascii="黑体" w:hAnsi="黑体" w:eastAsia="黑体"/>
      <w:kern w:val="0"/>
      <w:szCs w:val="20"/>
    </w:rPr>
  </w:style>
  <w:style w:type="paragraph" w:styleId="5">
    <w:name w:val="heading 3"/>
    <w:basedOn w:val="1"/>
    <w:next w:val="1"/>
    <w:link w:val="42"/>
    <w:qFormat/>
    <w:uiPriority w:val="0"/>
    <w:pPr>
      <w:keepNext/>
      <w:keepLines/>
      <w:spacing w:after="172" w:line="265" w:lineRule="auto"/>
      <w:ind w:left="10" w:right="116" w:hanging="10"/>
      <w:outlineLvl w:val="2"/>
    </w:pPr>
    <w:rPr>
      <w:rFonts w:ascii="黑体" w:hAnsi="黑体" w:eastAsia="黑体"/>
      <w:kern w:val="0"/>
      <w:szCs w:val="20"/>
    </w:rPr>
  </w:style>
  <w:style w:type="paragraph" w:styleId="6">
    <w:name w:val="heading 4"/>
    <w:basedOn w:val="1"/>
    <w:next w:val="1"/>
    <w:link w:val="43"/>
    <w:qFormat/>
    <w:uiPriority w:val="0"/>
    <w:pPr>
      <w:keepNext/>
      <w:keepLines/>
      <w:spacing w:after="172" w:line="265" w:lineRule="auto"/>
      <w:ind w:left="10" w:right="116" w:hanging="10"/>
      <w:outlineLvl w:val="3"/>
    </w:pPr>
    <w:rPr>
      <w:rFonts w:ascii="黑体" w:hAnsi="黑体" w:eastAsia="黑体"/>
      <w:kern w:val="0"/>
      <w:szCs w:val="20"/>
    </w:rPr>
  </w:style>
  <w:style w:type="paragraph" w:styleId="7">
    <w:name w:val="heading 5"/>
    <w:basedOn w:val="1"/>
    <w:next w:val="1"/>
    <w:link w:val="44"/>
    <w:qFormat/>
    <w:uiPriority w:val="0"/>
    <w:pPr>
      <w:keepNext/>
      <w:keepLines/>
      <w:spacing w:after="172" w:line="265" w:lineRule="auto"/>
      <w:ind w:left="10" w:right="116" w:hanging="10"/>
      <w:outlineLvl w:val="4"/>
    </w:pPr>
    <w:rPr>
      <w:rFonts w:ascii="黑体" w:hAnsi="黑体" w:eastAsia="黑体"/>
      <w:kern w:val="0"/>
      <w:szCs w:val="20"/>
    </w:rPr>
  </w:style>
  <w:style w:type="paragraph" w:styleId="8">
    <w:name w:val="heading 6"/>
    <w:basedOn w:val="1"/>
    <w:next w:val="1"/>
    <w:link w:val="45"/>
    <w:qFormat/>
    <w:uiPriority w:val="0"/>
    <w:pPr>
      <w:keepNext/>
      <w:keepLines/>
      <w:spacing w:after="172" w:line="265" w:lineRule="auto"/>
      <w:ind w:left="10" w:right="116" w:hanging="10"/>
      <w:outlineLvl w:val="5"/>
    </w:pPr>
    <w:rPr>
      <w:rFonts w:ascii="黑体" w:hAnsi="黑体" w:eastAsia="黑体"/>
      <w:kern w:val="0"/>
      <w:szCs w:val="20"/>
    </w:rPr>
  </w:style>
  <w:style w:type="paragraph" w:styleId="9">
    <w:name w:val="heading 7"/>
    <w:basedOn w:val="1"/>
    <w:next w:val="1"/>
    <w:link w:val="46"/>
    <w:qFormat/>
    <w:uiPriority w:val="0"/>
    <w:pPr>
      <w:keepNext/>
      <w:keepLines/>
      <w:spacing w:after="172" w:line="265" w:lineRule="auto"/>
      <w:ind w:left="10" w:right="116" w:hanging="10"/>
      <w:outlineLvl w:val="6"/>
    </w:pPr>
    <w:rPr>
      <w:rFonts w:ascii="黑体" w:hAnsi="黑体" w:eastAsia="黑体"/>
      <w:kern w:val="0"/>
      <w:szCs w:val="20"/>
    </w:rPr>
  </w:style>
  <w:style w:type="character" w:default="1" w:styleId="34">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10">
    <w:name w:val="toc 7"/>
    <w:basedOn w:val="1"/>
    <w:next w:val="1"/>
    <w:unhideWhenUsed/>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1">
    <w:name w:val="Document Map"/>
    <w:basedOn w:val="1"/>
    <w:link w:val="47"/>
    <w:semiHidden/>
    <w:qFormat/>
    <w:uiPriority w:val="0"/>
    <w:pPr>
      <w:widowControl w:val="0"/>
      <w:shd w:val="clear" w:color="auto" w:fill="000080"/>
      <w:spacing w:after="0" w:line="240" w:lineRule="auto"/>
      <w:jc w:val="both"/>
    </w:pPr>
    <w:rPr>
      <w:rFonts w:eastAsia="宋体"/>
      <w:color w:val="auto"/>
      <w:kern w:val="0"/>
      <w:sz w:val="20"/>
      <w:szCs w:val="20"/>
      <w:shd w:val="clear" w:color="auto" w:fill="000080"/>
    </w:rPr>
  </w:style>
  <w:style w:type="paragraph" w:styleId="12">
    <w:name w:val="annotation text"/>
    <w:basedOn w:val="1"/>
    <w:link w:val="48"/>
    <w:qFormat/>
    <w:uiPriority w:val="99"/>
    <w:rPr>
      <w:rFonts w:eastAsia="宋体"/>
    </w:rPr>
  </w:style>
  <w:style w:type="paragraph" w:styleId="13">
    <w:name w:val="Body Text 3"/>
    <w:basedOn w:val="1"/>
    <w:link w:val="49"/>
    <w:qFormat/>
    <w:uiPriority w:val="0"/>
    <w:pPr>
      <w:spacing w:after="120"/>
    </w:pPr>
    <w:rPr>
      <w:rFonts w:ascii="Calibri" w:hAnsi="Calibri" w:eastAsia="宋体"/>
      <w:kern w:val="0"/>
      <w:sz w:val="16"/>
      <w:szCs w:val="16"/>
    </w:rPr>
  </w:style>
  <w:style w:type="paragraph" w:styleId="14">
    <w:name w:val="Body Text"/>
    <w:basedOn w:val="1"/>
    <w:link w:val="50"/>
    <w:qFormat/>
    <w:uiPriority w:val="0"/>
    <w:pPr>
      <w:spacing w:after="120"/>
    </w:pPr>
    <w:rPr>
      <w:rFonts w:eastAsia="宋体"/>
    </w:rPr>
  </w:style>
  <w:style w:type="paragraph" w:styleId="15">
    <w:name w:val="Body Text Indent"/>
    <w:basedOn w:val="1"/>
    <w:link w:val="51"/>
    <w:qFormat/>
    <w:uiPriority w:val="0"/>
    <w:pPr>
      <w:widowControl w:val="0"/>
      <w:spacing w:after="120" w:line="240" w:lineRule="auto"/>
      <w:ind w:left="420" w:leftChars="200"/>
      <w:jc w:val="both"/>
    </w:pPr>
    <w:rPr>
      <w:rFonts w:eastAsia="宋体"/>
      <w:color w:val="auto"/>
      <w:kern w:val="0"/>
      <w:sz w:val="20"/>
      <w:szCs w:val="20"/>
    </w:rPr>
  </w:style>
  <w:style w:type="paragraph" w:styleId="16">
    <w:name w:val="toc 5"/>
    <w:basedOn w:val="1"/>
    <w:next w:val="1"/>
    <w:unhideWhenUsed/>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7">
    <w:name w:val="toc 3"/>
    <w:basedOn w:val="1"/>
    <w:next w:val="1"/>
    <w:qFormat/>
    <w:uiPriority w:val="39"/>
    <w:pPr>
      <w:spacing w:after="6" w:line="257" w:lineRule="auto"/>
      <w:ind w:left="847" w:right="129" w:hanging="10"/>
      <w:jc w:val="both"/>
    </w:pPr>
    <w:rPr>
      <w:sz w:val="21"/>
    </w:rPr>
  </w:style>
  <w:style w:type="paragraph" w:styleId="18">
    <w:name w:val="Plain Text"/>
    <w:basedOn w:val="1"/>
    <w:link w:val="52"/>
    <w:qFormat/>
    <w:uiPriority w:val="0"/>
    <w:pPr>
      <w:widowControl w:val="0"/>
      <w:spacing w:after="0" w:line="240" w:lineRule="auto"/>
      <w:jc w:val="both"/>
    </w:pPr>
    <w:rPr>
      <w:rFonts w:ascii="宋体" w:hAnsi="Courier New" w:eastAsia="宋体"/>
      <w:color w:val="auto"/>
      <w:kern w:val="0"/>
      <w:sz w:val="20"/>
      <w:szCs w:val="21"/>
    </w:rPr>
  </w:style>
  <w:style w:type="paragraph" w:styleId="19">
    <w:name w:val="toc 8"/>
    <w:basedOn w:val="1"/>
    <w:next w:val="1"/>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20">
    <w:name w:val="Body Text Indent 2"/>
    <w:basedOn w:val="1"/>
    <w:link w:val="53"/>
    <w:qFormat/>
    <w:uiPriority w:val="0"/>
    <w:pPr>
      <w:widowControl w:val="0"/>
      <w:spacing w:after="120" w:line="480" w:lineRule="auto"/>
      <w:ind w:left="420" w:leftChars="200"/>
      <w:jc w:val="both"/>
    </w:pPr>
    <w:rPr>
      <w:rFonts w:eastAsia="宋体"/>
      <w:color w:val="auto"/>
      <w:sz w:val="21"/>
      <w:szCs w:val="24"/>
    </w:rPr>
  </w:style>
  <w:style w:type="paragraph" w:styleId="21">
    <w:name w:val="Balloon Text"/>
    <w:basedOn w:val="1"/>
    <w:link w:val="54"/>
    <w:semiHidden/>
    <w:qFormat/>
    <w:uiPriority w:val="0"/>
    <w:pPr>
      <w:widowControl w:val="0"/>
      <w:spacing w:after="0" w:line="240" w:lineRule="auto"/>
      <w:jc w:val="both"/>
    </w:pPr>
    <w:rPr>
      <w:rFonts w:eastAsia="宋体"/>
      <w:color w:val="auto"/>
      <w:kern w:val="0"/>
      <w:sz w:val="18"/>
      <w:szCs w:val="18"/>
    </w:rPr>
  </w:style>
  <w:style w:type="paragraph" w:styleId="22">
    <w:name w:val="footer"/>
    <w:basedOn w:val="1"/>
    <w:link w:val="55"/>
    <w:qFormat/>
    <w:uiPriority w:val="99"/>
    <w:pPr>
      <w:widowControl w:val="0"/>
      <w:tabs>
        <w:tab w:val="center" w:pos="4153"/>
        <w:tab w:val="right" w:pos="8306"/>
      </w:tabs>
      <w:snapToGrid w:val="0"/>
      <w:spacing w:after="0" w:line="240" w:lineRule="auto"/>
    </w:pPr>
    <w:rPr>
      <w:rFonts w:eastAsia="宋体"/>
      <w:color w:val="auto"/>
      <w:kern w:val="0"/>
      <w:sz w:val="18"/>
      <w:szCs w:val="20"/>
    </w:rPr>
  </w:style>
  <w:style w:type="paragraph" w:styleId="23">
    <w:name w:val="header"/>
    <w:basedOn w:val="1"/>
    <w:link w:val="56"/>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kern w:val="0"/>
      <w:sz w:val="18"/>
      <w:szCs w:val="20"/>
    </w:rPr>
  </w:style>
  <w:style w:type="paragraph" w:styleId="24">
    <w:name w:val="toc 1"/>
    <w:basedOn w:val="1"/>
    <w:next w:val="1"/>
    <w:qFormat/>
    <w:uiPriority w:val="39"/>
    <w:pPr>
      <w:spacing w:after="3" w:line="261" w:lineRule="auto"/>
      <w:ind w:left="25" w:right="134" w:hanging="10"/>
      <w:jc w:val="right"/>
    </w:pPr>
    <w:rPr>
      <w:sz w:val="21"/>
    </w:rPr>
  </w:style>
  <w:style w:type="paragraph" w:styleId="25">
    <w:name w:val="toc 4"/>
    <w:basedOn w:val="1"/>
    <w:next w:val="1"/>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6">
    <w:name w:val="Subtitle"/>
    <w:basedOn w:val="1"/>
    <w:next w:val="1"/>
    <w:link w:val="74"/>
    <w:qFormat/>
    <w:uiPriority w:val="0"/>
    <w:pPr>
      <w:spacing w:before="240" w:after="60" w:line="312" w:lineRule="auto"/>
      <w:jc w:val="center"/>
      <w:outlineLvl w:val="1"/>
    </w:pPr>
    <w:rPr>
      <w:rFonts w:ascii="Cambria" w:hAnsi="Cambria" w:eastAsia="宋体"/>
      <w:b/>
      <w:bCs/>
      <w:kern w:val="28"/>
      <w:sz w:val="32"/>
      <w:szCs w:val="32"/>
    </w:rPr>
  </w:style>
  <w:style w:type="paragraph" w:styleId="27">
    <w:name w:val="toc 6"/>
    <w:basedOn w:val="1"/>
    <w:next w:val="1"/>
    <w:unhideWhenUsed/>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8">
    <w:name w:val="toc 2"/>
    <w:basedOn w:val="1"/>
    <w:next w:val="1"/>
    <w:qFormat/>
    <w:uiPriority w:val="39"/>
    <w:pPr>
      <w:spacing w:after="6" w:line="257" w:lineRule="auto"/>
      <w:ind w:left="430" w:right="127" w:hanging="10"/>
      <w:jc w:val="both"/>
    </w:pPr>
    <w:rPr>
      <w:sz w:val="21"/>
    </w:rPr>
  </w:style>
  <w:style w:type="paragraph" w:styleId="29">
    <w:name w:val="toc 9"/>
    <w:basedOn w:val="1"/>
    <w:next w:val="1"/>
    <w:unhideWhenUsed/>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30">
    <w:name w:val="Body Text 2"/>
    <w:basedOn w:val="1"/>
    <w:link w:val="57"/>
    <w:qFormat/>
    <w:uiPriority w:val="0"/>
    <w:pPr>
      <w:widowControl w:val="0"/>
      <w:spacing w:after="120" w:line="480" w:lineRule="auto"/>
      <w:jc w:val="both"/>
    </w:pPr>
    <w:rPr>
      <w:rFonts w:ascii="Calibri" w:hAnsi="Calibri" w:eastAsia="宋体"/>
      <w:kern w:val="0"/>
      <w:szCs w:val="20"/>
    </w:rPr>
  </w:style>
  <w:style w:type="paragraph" w:styleId="31">
    <w:name w:val="annotation subject"/>
    <w:basedOn w:val="12"/>
    <w:next w:val="12"/>
    <w:link w:val="58"/>
    <w:semiHidden/>
    <w:qFormat/>
    <w:uiPriority w:val="0"/>
    <w:rPr>
      <w:rFonts w:ascii="Calibri" w:hAnsi="Calibri"/>
      <w:b/>
      <w:bCs/>
      <w:kern w:val="0"/>
      <w:szCs w:val="20"/>
    </w:rPr>
  </w:style>
  <w:style w:type="paragraph" w:styleId="32">
    <w:name w:val="Body Text First Indent"/>
    <w:basedOn w:val="1"/>
    <w:link w:val="59"/>
    <w:qFormat/>
    <w:uiPriority w:val="0"/>
    <w:pPr>
      <w:widowControl w:val="0"/>
      <w:spacing w:line="240" w:lineRule="auto"/>
      <w:ind w:firstLine="420"/>
      <w:jc w:val="both"/>
    </w:pPr>
    <w:rPr>
      <w:rFonts w:eastAsia="宋体"/>
      <w:color w:val="auto"/>
      <w:kern w:val="0"/>
      <w:sz w:val="20"/>
      <w:szCs w:val="20"/>
    </w:rPr>
  </w:style>
  <w:style w:type="character" w:styleId="35">
    <w:name w:val="page number"/>
    <w:basedOn w:val="34"/>
    <w:qFormat/>
    <w:uiPriority w:val="0"/>
  </w:style>
  <w:style w:type="character" w:styleId="36">
    <w:name w:val="FollowedHyperlink"/>
    <w:qFormat/>
    <w:uiPriority w:val="0"/>
    <w:rPr>
      <w:color w:val="000000"/>
      <w:u w:val="none"/>
    </w:rPr>
  </w:style>
  <w:style w:type="character" w:styleId="37">
    <w:name w:val="Emphasis"/>
    <w:basedOn w:val="34"/>
    <w:qFormat/>
    <w:uiPriority w:val="20"/>
    <w:rPr>
      <w:i/>
      <w:iCs/>
    </w:rPr>
  </w:style>
  <w:style w:type="character" w:styleId="38">
    <w:name w:val="Hyperlink"/>
    <w:qFormat/>
    <w:uiPriority w:val="99"/>
    <w:rPr>
      <w:rFonts w:cs="Times New Roman"/>
      <w:color w:val="0563C1"/>
      <w:u w:val="single"/>
    </w:rPr>
  </w:style>
  <w:style w:type="character" w:styleId="39">
    <w:name w:val="annotation reference"/>
    <w:unhideWhenUsed/>
    <w:qFormat/>
    <w:uiPriority w:val="0"/>
    <w:rPr>
      <w:sz w:val="21"/>
      <w:szCs w:val="21"/>
    </w:rPr>
  </w:style>
  <w:style w:type="character" w:customStyle="1" w:styleId="40">
    <w:name w:val="标题 2 Char"/>
    <w:link w:val="4"/>
    <w:qFormat/>
    <w:uiPriority w:val="0"/>
    <w:rPr>
      <w:rFonts w:ascii="黑体" w:hAnsi="黑体" w:eastAsia="黑体"/>
      <w:color w:val="000000"/>
      <w:sz w:val="22"/>
      <w:lang w:bidi="ar-SA"/>
    </w:rPr>
  </w:style>
  <w:style w:type="character" w:customStyle="1" w:styleId="41">
    <w:name w:val="标题 1 Char"/>
    <w:link w:val="3"/>
    <w:qFormat/>
    <w:uiPriority w:val="0"/>
    <w:rPr>
      <w:rFonts w:ascii="黑体" w:hAnsi="黑体" w:eastAsia="黑体"/>
      <w:color w:val="000000"/>
      <w:sz w:val="22"/>
      <w:lang w:bidi="ar-SA"/>
    </w:rPr>
  </w:style>
  <w:style w:type="character" w:customStyle="1" w:styleId="42">
    <w:name w:val="标题 3 Char"/>
    <w:link w:val="5"/>
    <w:qFormat/>
    <w:uiPriority w:val="0"/>
    <w:rPr>
      <w:rFonts w:ascii="黑体" w:hAnsi="黑体" w:eastAsia="黑体"/>
      <w:color w:val="000000"/>
      <w:sz w:val="22"/>
      <w:lang w:bidi="ar-SA"/>
    </w:rPr>
  </w:style>
  <w:style w:type="character" w:customStyle="1" w:styleId="43">
    <w:name w:val="标题 4 Char"/>
    <w:link w:val="6"/>
    <w:qFormat/>
    <w:uiPriority w:val="0"/>
    <w:rPr>
      <w:rFonts w:ascii="黑体" w:hAnsi="黑体" w:eastAsia="黑体"/>
      <w:color w:val="000000"/>
      <w:sz w:val="22"/>
      <w:lang w:bidi="ar-SA"/>
    </w:rPr>
  </w:style>
  <w:style w:type="character" w:customStyle="1" w:styleId="44">
    <w:name w:val="标题 5 Char"/>
    <w:link w:val="7"/>
    <w:qFormat/>
    <w:uiPriority w:val="0"/>
    <w:rPr>
      <w:rFonts w:ascii="黑体" w:hAnsi="黑体" w:eastAsia="黑体"/>
      <w:color w:val="000000"/>
      <w:sz w:val="22"/>
      <w:lang w:bidi="ar-SA"/>
    </w:rPr>
  </w:style>
  <w:style w:type="character" w:customStyle="1" w:styleId="45">
    <w:name w:val="标题 6 Char"/>
    <w:link w:val="8"/>
    <w:qFormat/>
    <w:uiPriority w:val="0"/>
    <w:rPr>
      <w:rFonts w:ascii="黑体" w:hAnsi="黑体" w:eastAsia="黑体"/>
      <w:color w:val="000000"/>
      <w:sz w:val="22"/>
      <w:lang w:bidi="ar-SA"/>
    </w:rPr>
  </w:style>
  <w:style w:type="character" w:customStyle="1" w:styleId="46">
    <w:name w:val="标题 7 Char"/>
    <w:link w:val="9"/>
    <w:qFormat/>
    <w:uiPriority w:val="0"/>
    <w:rPr>
      <w:rFonts w:ascii="黑体" w:hAnsi="黑体" w:eastAsia="黑体"/>
      <w:color w:val="000000"/>
      <w:sz w:val="22"/>
      <w:lang w:bidi="ar-SA"/>
    </w:rPr>
  </w:style>
  <w:style w:type="character" w:customStyle="1" w:styleId="47">
    <w:name w:val="文档结构图 Char"/>
    <w:link w:val="11"/>
    <w:semiHidden/>
    <w:qFormat/>
    <w:uiPriority w:val="0"/>
    <w:rPr>
      <w:rFonts w:eastAsia="宋体"/>
      <w:shd w:val="clear" w:color="auto" w:fill="000080"/>
      <w:lang w:bidi="ar-SA"/>
    </w:rPr>
  </w:style>
  <w:style w:type="character" w:customStyle="1" w:styleId="48">
    <w:name w:val="批注文字 Char"/>
    <w:link w:val="12"/>
    <w:semiHidden/>
    <w:qFormat/>
    <w:uiPriority w:val="99"/>
    <w:rPr>
      <w:color w:val="000000"/>
      <w:kern w:val="2"/>
      <w:sz w:val="22"/>
      <w:szCs w:val="22"/>
      <w:lang w:val="en-US" w:eastAsia="zh-CN" w:bidi="ar-SA"/>
    </w:rPr>
  </w:style>
  <w:style w:type="character" w:customStyle="1" w:styleId="49">
    <w:name w:val="正文文本 3 Char"/>
    <w:link w:val="13"/>
    <w:qFormat/>
    <w:uiPriority w:val="0"/>
    <w:rPr>
      <w:rFonts w:ascii="Calibri" w:hAnsi="Calibri"/>
      <w:color w:val="000000"/>
      <w:sz w:val="16"/>
      <w:szCs w:val="16"/>
      <w:lang w:bidi="ar-SA"/>
    </w:rPr>
  </w:style>
  <w:style w:type="character" w:customStyle="1" w:styleId="50">
    <w:name w:val="正文文本 Char"/>
    <w:link w:val="14"/>
    <w:semiHidden/>
    <w:qFormat/>
    <w:uiPriority w:val="0"/>
    <w:rPr>
      <w:color w:val="000000"/>
      <w:kern w:val="2"/>
      <w:sz w:val="22"/>
      <w:szCs w:val="22"/>
      <w:lang w:val="en-US" w:eastAsia="zh-CN" w:bidi="ar-SA"/>
    </w:rPr>
  </w:style>
  <w:style w:type="character" w:customStyle="1" w:styleId="51">
    <w:name w:val="正文文本缩进 Char"/>
    <w:link w:val="15"/>
    <w:qFormat/>
    <w:uiPriority w:val="0"/>
    <w:rPr>
      <w:rFonts w:eastAsia="宋体"/>
      <w:lang w:bidi="ar-SA"/>
    </w:rPr>
  </w:style>
  <w:style w:type="character" w:customStyle="1" w:styleId="52">
    <w:name w:val="纯文本 Char"/>
    <w:link w:val="18"/>
    <w:qFormat/>
    <w:uiPriority w:val="99"/>
    <w:rPr>
      <w:rFonts w:ascii="宋体" w:hAnsi="Courier New"/>
      <w:szCs w:val="21"/>
      <w:lang w:bidi="ar-SA"/>
    </w:rPr>
  </w:style>
  <w:style w:type="character" w:customStyle="1" w:styleId="53">
    <w:name w:val="正文文本缩进 2 Char"/>
    <w:link w:val="20"/>
    <w:qFormat/>
    <w:uiPriority w:val="0"/>
    <w:rPr>
      <w:kern w:val="2"/>
      <w:sz w:val="21"/>
      <w:szCs w:val="24"/>
      <w:lang w:bidi="ar-SA"/>
    </w:rPr>
  </w:style>
  <w:style w:type="character" w:customStyle="1" w:styleId="54">
    <w:name w:val="批注框文本 Char"/>
    <w:link w:val="21"/>
    <w:semiHidden/>
    <w:qFormat/>
    <w:uiPriority w:val="0"/>
    <w:rPr>
      <w:rFonts w:eastAsia="宋体"/>
      <w:sz w:val="18"/>
      <w:szCs w:val="18"/>
      <w:lang w:bidi="ar-SA"/>
    </w:rPr>
  </w:style>
  <w:style w:type="character" w:customStyle="1" w:styleId="55">
    <w:name w:val="页脚 Char"/>
    <w:link w:val="22"/>
    <w:qFormat/>
    <w:uiPriority w:val="99"/>
    <w:rPr>
      <w:sz w:val="18"/>
      <w:lang w:bidi="ar-SA"/>
    </w:rPr>
  </w:style>
  <w:style w:type="character" w:customStyle="1" w:styleId="56">
    <w:name w:val="页眉 Char"/>
    <w:link w:val="23"/>
    <w:qFormat/>
    <w:uiPriority w:val="0"/>
    <w:rPr>
      <w:rFonts w:eastAsia="宋体"/>
      <w:sz w:val="18"/>
      <w:lang w:bidi="ar-SA"/>
    </w:rPr>
  </w:style>
  <w:style w:type="character" w:customStyle="1" w:styleId="57">
    <w:name w:val="正文文本 2 Char"/>
    <w:link w:val="30"/>
    <w:qFormat/>
    <w:uiPriority w:val="0"/>
    <w:rPr>
      <w:rFonts w:ascii="Calibri" w:hAnsi="Calibri"/>
      <w:color w:val="000000"/>
      <w:sz w:val="22"/>
      <w:lang w:bidi="ar-SA"/>
    </w:rPr>
  </w:style>
  <w:style w:type="character" w:customStyle="1" w:styleId="58">
    <w:name w:val="批注主题 Char"/>
    <w:link w:val="31"/>
    <w:semiHidden/>
    <w:qFormat/>
    <w:uiPriority w:val="0"/>
    <w:rPr>
      <w:rFonts w:ascii="Calibri" w:hAnsi="Calibri"/>
      <w:b/>
      <w:bCs/>
      <w:color w:val="000000"/>
      <w:sz w:val="22"/>
      <w:lang w:bidi="ar-SA"/>
    </w:rPr>
  </w:style>
  <w:style w:type="character" w:customStyle="1" w:styleId="59">
    <w:name w:val="正文首行缩进 Char"/>
    <w:link w:val="32"/>
    <w:qFormat/>
    <w:uiPriority w:val="0"/>
    <w:rPr>
      <w:rFonts w:eastAsia="宋体"/>
      <w:lang w:bidi="ar-SA"/>
    </w:rPr>
  </w:style>
  <w:style w:type="character" w:customStyle="1" w:styleId="60">
    <w:name w:val="纯文本 Char1"/>
    <w:qFormat/>
    <w:uiPriority w:val="99"/>
    <w:rPr>
      <w:rFonts w:ascii="宋体" w:hAnsi="Courier New" w:cs="Courier New"/>
      <w:color w:val="000000"/>
      <w:kern w:val="2"/>
      <w:sz w:val="21"/>
      <w:szCs w:val="21"/>
    </w:rPr>
  </w:style>
  <w:style w:type="character" w:customStyle="1" w:styleId="61">
    <w:name w:val="正文文本 2 Char1"/>
    <w:qFormat/>
    <w:uiPriority w:val="0"/>
    <w:rPr>
      <w:rFonts w:ascii="Calibri" w:hAnsi="Calibri" w:eastAsia="Times New Roman" w:cs="Calibri"/>
      <w:color w:val="000000"/>
      <w:kern w:val="2"/>
      <w:sz w:val="22"/>
      <w:szCs w:val="22"/>
    </w:rPr>
  </w:style>
  <w:style w:type="character" w:customStyle="1" w:styleId="62">
    <w:name w:val="hover37"/>
    <w:basedOn w:val="34"/>
    <w:qFormat/>
    <w:uiPriority w:val="0"/>
  </w:style>
  <w:style w:type="character" w:customStyle="1" w:styleId="63">
    <w:name w:val="times1"/>
    <w:qFormat/>
    <w:uiPriority w:val="0"/>
    <w:rPr>
      <w:color w:val="3399FF"/>
      <w:bdr w:val="single" w:color="D1EDF8" w:sz="6" w:space="0"/>
      <w:shd w:val="clear" w:color="auto" w:fill="EAF9FF"/>
    </w:rPr>
  </w:style>
  <w:style w:type="character" w:customStyle="1" w:styleId="64">
    <w:name w:val="times"/>
    <w:qFormat/>
    <w:uiPriority w:val="0"/>
    <w:rPr>
      <w:color w:val="CDCDCD"/>
      <w:bdr w:val="single" w:color="CDCDCD" w:sz="6" w:space="0"/>
      <w:shd w:val="clear" w:color="auto" w:fill="EFEFEF"/>
    </w:rPr>
  </w:style>
  <w:style w:type="paragraph" w:customStyle="1" w:styleId="6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 31"/>
    <w:basedOn w:val="1"/>
    <w:unhideWhenUsed/>
    <w:qFormat/>
    <w:uiPriority w:val="0"/>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6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8">
    <w:name w:val="_Style 59"/>
    <w:unhideWhenUsed/>
    <w:qFormat/>
    <w:uiPriority w:val="99"/>
    <w:rPr>
      <w:rFonts w:ascii="Times New Roman" w:hAnsi="Times New Roman" w:eastAsia="Times New Roman" w:cs="Times New Roman"/>
      <w:color w:val="000000"/>
      <w:kern w:val="2"/>
      <w:sz w:val="22"/>
      <w:szCs w:val="22"/>
      <w:lang w:val="en-US" w:eastAsia="zh-CN" w:bidi="ar-SA"/>
    </w:rPr>
  </w:style>
  <w:style w:type="paragraph" w:customStyle="1" w:styleId="6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Table Paragraph"/>
    <w:basedOn w:val="1"/>
    <w:unhideWhenUsed/>
    <w:qFormat/>
    <w:uiPriority w:val="1"/>
  </w:style>
  <w:style w:type="paragraph" w:styleId="72">
    <w:name w:val="List Paragraph"/>
    <w:basedOn w:val="1"/>
    <w:qFormat/>
    <w:uiPriority w:val="0"/>
    <w:pPr>
      <w:widowControl w:val="0"/>
      <w:spacing w:after="0" w:line="240" w:lineRule="auto"/>
      <w:ind w:firstLine="420" w:firstLineChars="200"/>
      <w:jc w:val="both"/>
    </w:pPr>
    <w:rPr>
      <w:rFonts w:ascii="Calibri" w:hAnsi="Calibri" w:eastAsia="宋体" w:cs="Calibri"/>
      <w:color w:val="auto"/>
      <w:sz w:val="21"/>
      <w:szCs w:val="21"/>
    </w:rPr>
  </w:style>
  <w:style w:type="character" w:customStyle="1" w:styleId="73">
    <w:name w:val="正文文本首行缩进 字符"/>
    <w:qFormat/>
    <w:uiPriority w:val="0"/>
    <w:rPr>
      <w:kern w:val="2"/>
      <w:sz w:val="21"/>
      <w:szCs w:val="24"/>
    </w:rPr>
  </w:style>
  <w:style w:type="character" w:customStyle="1" w:styleId="74">
    <w:name w:val="副标题 Char"/>
    <w:link w:val="26"/>
    <w:qFormat/>
    <w:uiPriority w:val="0"/>
    <w:rPr>
      <w:rFonts w:ascii="Cambria" w:hAnsi="Cambria" w:cs="Times New Roman"/>
      <w:b/>
      <w:bCs/>
      <w:color w:val="000000"/>
      <w:kern w:val="28"/>
      <w:sz w:val="32"/>
      <w:szCs w:val="32"/>
    </w:rPr>
  </w:style>
  <w:style w:type="paragraph" w:customStyle="1" w:styleId="75">
    <w:name w:val="首行缩进"/>
    <w:basedOn w:val="1"/>
    <w:qFormat/>
    <w:uiPriority w:val="0"/>
    <w:pPr>
      <w:widowControl w:val="0"/>
      <w:spacing w:after="0" w:line="300" w:lineRule="auto"/>
      <w:ind w:firstLine="420" w:firstLineChars="200"/>
      <w:jc w:val="both"/>
    </w:pPr>
    <w:rPr>
      <w:rFonts w:ascii="Calibri" w:hAnsi="Calibri" w:eastAsia="方正书宋简体"/>
      <w:color w:val="auto"/>
      <w:sz w:val="21"/>
      <w:szCs w:val="20"/>
    </w:rPr>
  </w:style>
  <w:style w:type="paragraph" w:customStyle="1" w:styleId="76">
    <w:name w:val="修订1"/>
    <w:hidden/>
    <w:unhideWhenUsed/>
    <w:qFormat/>
    <w:uiPriority w:val="99"/>
    <w:rPr>
      <w:rFonts w:ascii="Times New Roman" w:hAnsi="Times New Roman" w:eastAsia="Times New Roman" w:cs="Times New Roman"/>
      <w:color w:val="000000"/>
      <w:kern w:val="2"/>
      <w:sz w:val="22"/>
      <w:szCs w:val="22"/>
      <w:lang w:val="en-US" w:eastAsia="zh-CN" w:bidi="ar-SA"/>
    </w:rPr>
  </w:style>
  <w:style w:type="paragraph" w:customStyle="1" w:styleId="77">
    <w:name w:val="修订2"/>
    <w:hidden/>
    <w:unhideWhenUsed/>
    <w:qFormat/>
    <w:uiPriority w:val="99"/>
    <w:rPr>
      <w:rFonts w:ascii="Times New Roman" w:hAnsi="Times New Roman" w:eastAsia="Times New Roman" w:cs="Times New Roman"/>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BBDE-504D-4D71-B990-9636E274157D}">
  <ds:schemaRefs/>
</ds:datastoreItem>
</file>

<file path=docProps/app.xml><?xml version="1.0" encoding="utf-8"?>
<Properties xmlns="http://schemas.openxmlformats.org/officeDocument/2006/extended-properties" xmlns:vt="http://schemas.openxmlformats.org/officeDocument/2006/docPropsVTypes">
  <Template>Normal</Template>
  <Pages>59</Pages>
  <Words>24034</Words>
  <Characters>25375</Characters>
  <Lines>48</Lines>
  <Paragraphs>56</Paragraphs>
  <TotalTime>0</TotalTime>
  <ScaleCrop>false</ScaleCrop>
  <LinksUpToDate>false</LinksUpToDate>
  <CharactersWithSpaces>26361</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2020-07-02T03:34:00Z</dcterms:created>
  <dc:creator>jieling</dc:creator>
  <cp:lastModifiedBy>HP</cp:lastModifiedBy>
  <cp:lastPrinted>2023-07-28T01:57:00Z</cp:lastPrinted>
  <dcterms:modified xsi:type="dcterms:W3CDTF">2023-08-09T03:29:08Z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B316BAEFB85C49E9BE5E9C4FC02E05CC_13</vt:lpwstr>
  </property>
</Properties>
</file>