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after="0" w:line="360" w:lineRule="auto"/>
        <w:jc w:val="center"/>
      </w:pPr>
      <w:r>
        <w:rPr>
          <w:rFonts w:ascii="黑体" w:hAnsi="黑体" w:eastAsia="黑体" w:cs="黑体"/>
          <w:b/>
          <w:color w:val="000000"/>
          <w:sz w:val="36"/>
        </w:rPr>
        <w:t>设计任务书</w:t>
      </w:r>
    </w:p>
    <w:p>
      <w:pPr>
        <w:snapToGrid/>
        <w:spacing w:before="0" w:after="0" w:line="360" w:lineRule="auto"/>
        <w:ind w:left="510" w:hanging="510"/>
        <w:jc w:val="both"/>
        <w:rPr>
          <w:rFonts w:hint="eastAsia" w:ascii="宋体" w:hAnsi="宋体" w:eastAsia="宋体" w:cs="宋体"/>
          <w:color w:val="auto"/>
          <w:highlight w:val="none"/>
        </w:rPr>
      </w:pPr>
      <w:r>
        <w:rPr>
          <w:rFonts w:hint="eastAsia" w:ascii="宋体" w:hAnsi="宋体" w:eastAsia="宋体" w:cs="宋体"/>
          <w:b/>
          <w:color w:val="auto"/>
          <w:sz w:val="24"/>
          <w:highlight w:val="none"/>
        </w:rPr>
        <w:t>一、项目名称</w:t>
      </w:r>
    </w:p>
    <w:p>
      <w:pPr>
        <w:snapToGrid/>
        <w:spacing w:before="0" w:after="0" w:line="360" w:lineRule="auto"/>
        <w:ind w:left="510"/>
        <w:jc w:val="both"/>
        <w:rPr>
          <w:rFonts w:hint="eastAsia" w:ascii="宋体" w:hAnsi="宋体" w:eastAsia="宋体" w:cs="宋体"/>
          <w:color w:val="auto"/>
          <w:highlight w:val="none"/>
        </w:rPr>
      </w:pPr>
      <w:r>
        <w:rPr>
          <w:rFonts w:hint="eastAsia" w:ascii="宋体" w:hAnsi="宋体" w:eastAsia="宋体" w:cs="宋体"/>
          <w:color w:val="auto"/>
          <w:sz w:val="24"/>
          <w:highlight w:val="none"/>
        </w:rPr>
        <w:t>花都区老城区停车场改造项目（分项目三：花都区老干部活动中心项目）</w:t>
      </w:r>
    </w:p>
    <w:p>
      <w:pPr>
        <w:snapToGrid/>
        <w:spacing w:before="0" w:after="0" w:line="360" w:lineRule="auto"/>
        <w:ind w:left="510"/>
        <w:jc w:val="both"/>
        <w:rPr>
          <w:rFonts w:hint="eastAsia" w:ascii="宋体" w:hAnsi="宋体" w:eastAsia="宋体" w:cs="宋体"/>
          <w:color w:val="auto"/>
          <w:highlight w:val="none"/>
        </w:rPr>
      </w:pPr>
    </w:p>
    <w:p>
      <w:pPr>
        <w:snapToGrid/>
        <w:spacing w:before="0" w:after="0" w:line="360" w:lineRule="auto"/>
        <w:ind w:left="510" w:hanging="510"/>
        <w:jc w:val="both"/>
        <w:rPr>
          <w:rFonts w:hint="eastAsia" w:ascii="宋体" w:hAnsi="宋体" w:eastAsia="宋体" w:cs="宋体"/>
          <w:color w:val="auto"/>
          <w:highlight w:val="none"/>
        </w:rPr>
      </w:pPr>
      <w:r>
        <w:rPr>
          <w:rFonts w:hint="eastAsia" w:ascii="宋体" w:hAnsi="宋体" w:eastAsia="宋体" w:cs="宋体"/>
          <w:b/>
          <w:color w:val="auto"/>
          <w:sz w:val="24"/>
          <w:highlight w:val="none"/>
        </w:rPr>
        <w:t>二、项目用地概况：</w:t>
      </w:r>
    </w:p>
    <w:p>
      <w:pPr>
        <w:snapToGrid/>
        <w:spacing w:before="0" w:after="0"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2.1地块位置：</w:t>
      </w:r>
    </w:p>
    <w:p>
      <w:pPr>
        <w:snapToGrid/>
        <w:spacing w:before="0" w:after="0"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sz w:val="24"/>
          <w:highlight w:val="none"/>
        </w:rPr>
        <w:t>广东省广州市花都区新华路22号</w:t>
      </w:r>
    </w:p>
    <w:p>
      <w:pPr>
        <w:snapToGrid/>
        <w:spacing w:before="0" w:after="0" w:line="360" w:lineRule="auto"/>
        <w:ind w:firstLine="440" w:firstLineChars="200"/>
        <w:jc w:val="both"/>
        <w:rPr>
          <w:rFonts w:hint="eastAsia" w:ascii="宋体" w:hAnsi="宋体" w:eastAsia="宋体" w:cs="宋体"/>
          <w:color w:val="auto"/>
          <w:highlight w:val="none"/>
        </w:rPr>
      </w:pPr>
    </w:p>
    <w:p>
      <w:pPr>
        <w:snapToGrid/>
        <w:spacing w:before="0" w:after="0"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2.2项目规模及面积：</w:t>
      </w:r>
    </w:p>
    <w:p>
      <w:pPr>
        <w:snapToGrid/>
        <w:spacing w:before="0" w:after="0"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sz w:val="24"/>
          <w:highlight w:val="none"/>
        </w:rPr>
        <w:t>本次项目设计范围约为8515平方米，包括花都区委老干部局院内前广场建设地下停车场2层，以及地面景观改造等。</w:t>
      </w:r>
    </w:p>
    <w:p>
      <w:pPr>
        <w:snapToGrid/>
        <w:spacing w:before="0" w:after="0" w:line="360" w:lineRule="auto"/>
        <w:ind w:firstLine="440" w:firstLineChars="200"/>
        <w:jc w:val="both"/>
        <w:rPr>
          <w:rFonts w:hint="eastAsia" w:ascii="宋体" w:hAnsi="宋体" w:eastAsia="宋体" w:cs="宋体"/>
          <w:color w:val="auto"/>
          <w:highlight w:val="none"/>
        </w:rPr>
      </w:pPr>
    </w:p>
    <w:p>
      <w:pPr>
        <w:snapToGrid/>
        <w:spacing w:before="0" w:after="0"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2.3用地性质：</w:t>
      </w:r>
    </w:p>
    <w:p>
      <w:pPr>
        <w:snapToGrid/>
        <w:spacing w:before="0" w:after="0"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sz w:val="24"/>
          <w:highlight w:val="none"/>
        </w:rPr>
        <w:t>花都区委老干部局原为花县人民政府办公用地，后移交给老干部局作为活动中心使用。</w:t>
      </w:r>
    </w:p>
    <w:p>
      <w:pPr>
        <w:snapToGrid/>
        <w:spacing w:before="0" w:after="0" w:line="360" w:lineRule="auto"/>
        <w:ind w:firstLine="440" w:firstLineChars="200"/>
        <w:jc w:val="both"/>
        <w:rPr>
          <w:rFonts w:hint="eastAsia" w:ascii="宋体" w:hAnsi="宋体" w:eastAsia="宋体" w:cs="宋体"/>
          <w:color w:val="auto"/>
          <w:highlight w:val="none"/>
        </w:rPr>
      </w:pPr>
    </w:p>
    <w:p>
      <w:pPr>
        <w:snapToGrid/>
        <w:spacing w:before="0" w:after="0"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2.4用地周边现状：</w:t>
      </w:r>
    </w:p>
    <w:p>
      <w:pPr>
        <w:snapToGrid/>
        <w:spacing w:before="0" w:after="0" w:line="360" w:lineRule="auto"/>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位于广州市花都区老干部活动中心大院内，地块北至新华路，南侧为残疾人联合会，东侧为广州市公安局花都区分局，西侧临花都区粮食局房改楼。项目范围内现状为居民小区，本次项目主要为解决花都老城区停车难，公共空间缺失等问题，打造暖心友好街区。项目用地为机关团体用地、城镇住宅用地，项目处于城镇开发边界内，项目类型为道路及广场改建工程，同时新建地下车库，解决车辆占用公共空间问题。场地内含老干部活动中心主楼一栋，门楼一栋，其他附属用房及一处门球场。</w:t>
      </w:r>
    </w:p>
    <w:p>
      <w:pPr>
        <w:snapToGrid/>
        <w:spacing w:before="0" w:after="0" w:line="360" w:lineRule="auto"/>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项目符合控制性详细规划、土地利用规划、国土空</w:t>
      </w:r>
      <w:r>
        <w:rPr>
          <w:rFonts w:hint="eastAsia" w:ascii="宋体" w:hAnsi="宋体" w:eastAsia="宋体" w:cs="宋体"/>
          <w:color w:val="auto"/>
          <w:kern w:val="0"/>
          <w:sz w:val="24"/>
          <w:szCs w:val="24"/>
          <w:highlight w:val="none"/>
        </w:rPr>
        <w:t>间规划等。</w:t>
      </w:r>
    </w:p>
    <w:p>
      <w:pPr>
        <w:snapToGrid/>
        <w:spacing w:before="0" w:after="0" w:line="360" w:lineRule="auto"/>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项目建设单位：</w:t>
      </w:r>
      <w:r>
        <w:rPr>
          <w:rFonts w:hint="eastAsia" w:ascii="宋体" w:hAnsi="宋体" w:eastAsia="宋体" w:cs="宋体"/>
          <w:color w:val="auto"/>
          <w:sz w:val="24"/>
          <w:highlight w:val="none"/>
          <w:u w:val="single"/>
        </w:rPr>
        <w:t>广州花都产城建设投资有限公司</w:t>
      </w:r>
    </w:p>
    <w:p>
      <w:pPr>
        <w:snapToGrid/>
        <w:spacing w:before="0" w:after="0" w:line="360" w:lineRule="auto"/>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项目建设管理单位：</w:t>
      </w:r>
      <w:r>
        <w:rPr>
          <w:rFonts w:hint="eastAsia" w:ascii="宋体" w:hAnsi="宋体" w:eastAsia="宋体" w:cs="宋体"/>
          <w:color w:val="auto"/>
          <w:sz w:val="24"/>
          <w:highlight w:val="none"/>
          <w:u w:val="single"/>
        </w:rPr>
        <w:t>广州花都产城建设投资有限公司</w:t>
      </w:r>
    </w:p>
    <w:p>
      <w:pPr>
        <w:snapToGrid/>
        <w:spacing w:before="0" w:after="0" w:line="360" w:lineRule="auto"/>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项目总投资和资金来源：项目建设投资为</w:t>
      </w:r>
      <w:r>
        <w:rPr>
          <w:rFonts w:hint="eastAsia" w:ascii="宋体" w:hAnsi="宋体" w:eastAsia="宋体" w:cs="宋体"/>
          <w:color w:val="auto"/>
          <w:sz w:val="24"/>
          <w:highlight w:val="none"/>
          <w:u w:val="single"/>
        </w:rPr>
        <w:t>857</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20</w:t>
      </w:r>
      <w:r>
        <w:rPr>
          <w:rFonts w:hint="eastAsia" w:ascii="宋体" w:hAnsi="宋体" w:eastAsia="宋体" w:cs="宋体"/>
          <w:color w:val="auto"/>
          <w:sz w:val="24"/>
          <w:highlight w:val="none"/>
        </w:rPr>
        <w:t>万元。其中工程费用</w:t>
      </w:r>
      <w:r>
        <w:rPr>
          <w:rFonts w:hint="eastAsia" w:ascii="宋体" w:hAnsi="宋体" w:eastAsia="宋体" w:cs="宋体"/>
          <w:color w:val="auto"/>
          <w:sz w:val="24"/>
          <w:highlight w:val="none"/>
          <w:u w:val="single"/>
        </w:rPr>
        <w:t>6562.90</w:t>
      </w:r>
      <w:r>
        <w:rPr>
          <w:rFonts w:hint="eastAsia" w:ascii="宋体" w:hAnsi="宋体" w:eastAsia="宋体" w:cs="宋体"/>
          <w:color w:val="auto"/>
          <w:sz w:val="24"/>
          <w:highlight w:val="none"/>
        </w:rPr>
        <w:t>万元，工程建设其他费用</w:t>
      </w:r>
      <w:r>
        <w:rPr>
          <w:rFonts w:hint="eastAsia" w:ascii="宋体" w:hAnsi="宋体" w:eastAsia="宋体" w:cs="宋体"/>
          <w:color w:val="auto"/>
          <w:sz w:val="24"/>
          <w:highlight w:val="none"/>
          <w:u w:val="single"/>
        </w:rPr>
        <w:t>160</w:t>
      </w:r>
      <w:r>
        <w:rPr>
          <w:rFonts w:hint="eastAsia" w:ascii="宋体" w:hAnsi="宋体" w:eastAsia="宋体" w:cs="宋体"/>
          <w:color w:val="auto"/>
          <w:sz w:val="24"/>
          <w:highlight w:val="none"/>
          <w:u w:val="single"/>
          <w:lang w:val="en-US" w:eastAsia="zh-CN"/>
        </w:rPr>
        <w:t>4</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91</w:t>
      </w:r>
      <w:r>
        <w:rPr>
          <w:rFonts w:hint="eastAsia" w:ascii="宋体" w:hAnsi="宋体" w:eastAsia="宋体" w:cs="宋体"/>
          <w:color w:val="auto"/>
          <w:sz w:val="24"/>
          <w:highlight w:val="none"/>
        </w:rPr>
        <w:t>万元，预备费</w:t>
      </w:r>
      <w:r>
        <w:rPr>
          <w:rFonts w:hint="eastAsia" w:ascii="宋体" w:hAnsi="宋体" w:eastAsia="宋体" w:cs="宋体"/>
          <w:color w:val="auto"/>
          <w:sz w:val="24"/>
          <w:highlight w:val="none"/>
          <w:u w:val="single"/>
        </w:rPr>
        <w:t>408.3</w:t>
      </w:r>
      <w:r>
        <w:rPr>
          <w:rFonts w:hint="eastAsia" w:ascii="宋体" w:hAnsi="宋体" w:eastAsia="宋体" w:cs="宋体"/>
          <w:color w:val="auto"/>
          <w:sz w:val="24"/>
          <w:highlight w:val="none"/>
          <w:u w:val="single"/>
          <w:lang w:val="en-US" w:eastAsia="zh-CN"/>
        </w:rPr>
        <w:t>9</w:t>
      </w:r>
      <w:r>
        <w:rPr>
          <w:rFonts w:hint="eastAsia" w:ascii="宋体" w:hAnsi="宋体" w:eastAsia="宋体" w:cs="宋体"/>
          <w:color w:val="auto"/>
          <w:sz w:val="24"/>
          <w:highlight w:val="none"/>
        </w:rPr>
        <w:t>万元。</w:t>
      </w:r>
    </w:p>
    <w:p>
      <w:pPr>
        <w:snapToGrid/>
        <w:spacing w:before="0" w:after="0"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sz w:val="24"/>
          <w:highlight w:val="none"/>
        </w:rPr>
        <w:t>资金来源</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4</w:t>
      </w:r>
      <w:r>
        <w:rPr>
          <w:rFonts w:hint="eastAsia" w:ascii="宋体" w:hAnsi="宋体" w:eastAsia="宋体" w:cs="宋体"/>
          <w:color w:val="auto"/>
          <w:sz w:val="24"/>
          <w:highlight w:val="none"/>
          <w:u w:val="single"/>
        </w:rPr>
        <w:t>0%来自自有资金，</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0%来自银行贷款。</w:t>
      </w:r>
    </w:p>
    <w:p>
      <w:pPr>
        <w:snapToGrid/>
        <w:spacing w:before="0" w:after="0" w:line="360" w:lineRule="auto"/>
        <w:ind w:left="510" w:hanging="510"/>
        <w:jc w:val="both"/>
        <w:rPr>
          <w:rFonts w:hint="eastAsia" w:ascii="宋体" w:hAnsi="宋体" w:eastAsia="宋体" w:cs="宋体"/>
          <w:color w:val="auto"/>
          <w:highlight w:val="none"/>
        </w:rPr>
      </w:pPr>
      <w:r>
        <w:rPr>
          <w:rFonts w:hint="eastAsia" w:ascii="宋体" w:hAnsi="宋体" w:eastAsia="宋体" w:cs="宋体"/>
          <w:b/>
          <w:color w:val="auto"/>
          <w:sz w:val="24"/>
          <w:highlight w:val="none"/>
        </w:rPr>
        <w:t>三、 设计目标：</w:t>
      </w:r>
    </w:p>
    <w:p>
      <w:pPr>
        <w:snapToGrid/>
        <w:spacing w:before="0" w:after="0"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sz w:val="24"/>
          <w:highlight w:val="none"/>
        </w:rPr>
        <w:t>通过建设地下停车场解决场地内及部分周边停车难的问题，同时将地面停车空间腾出来作为户外休憩活动空间，提升老干部活动中心的景观风貌，从而有效盘活当地资源，重新激发花都老城区的活力。</w:t>
      </w:r>
    </w:p>
    <w:p>
      <w:pPr>
        <w:snapToGrid/>
        <w:spacing w:before="0" w:after="0" w:line="360" w:lineRule="auto"/>
        <w:jc w:val="both"/>
        <w:rPr>
          <w:rFonts w:hint="eastAsia" w:ascii="宋体" w:hAnsi="宋体" w:eastAsia="宋体" w:cs="宋体"/>
          <w:color w:val="auto"/>
          <w:highlight w:val="none"/>
        </w:rPr>
      </w:pPr>
    </w:p>
    <w:p>
      <w:pPr>
        <w:numPr>
          <w:ilvl w:val="0"/>
          <w:numId w:val="2"/>
        </w:numPr>
        <w:snapToGrid/>
        <w:spacing w:before="0" w:after="0" w:line="360" w:lineRule="auto"/>
        <w:ind w:left="510" w:hanging="510"/>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设计依据</w:t>
      </w:r>
    </w:p>
    <w:p>
      <w:pPr>
        <w:snapToGrid/>
        <w:spacing w:before="0" w:after="0" w:line="360" w:lineRule="auto"/>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4.1现行法律法规</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国家和广东省、广州市关于工程建设强制性标准、抗震防灾要求，及有关土地管理、水土保持、文物保护、地铁保护、消防安全、人防、卫生防疫、节能环保措施、防雷等法律、法规和行业相关的最新规定等。</w:t>
      </w:r>
    </w:p>
    <w:p>
      <w:pPr>
        <w:snapToGrid/>
        <w:spacing w:before="0" w:after="0" w:line="360" w:lineRule="auto"/>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4.2现行技术标准与规范</w:t>
      </w:r>
    </w:p>
    <w:p>
      <w:pPr>
        <w:snapToGrid/>
        <w:spacing w:before="0" w:after="0"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1、《城市绿化条例》（1992 年，国务院令100 号）；</w:t>
      </w:r>
    </w:p>
    <w:p>
      <w:pPr>
        <w:snapToGrid/>
        <w:spacing w:before="0" w:after="0"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2、《关于加强城市绿化建设的通知》（国发[2001]20 号）；</w:t>
      </w:r>
    </w:p>
    <w:p>
      <w:pPr>
        <w:snapToGrid/>
        <w:spacing w:before="0" w:after="0"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3、《广东省城市绿化条例》（2014 年修正）；</w:t>
      </w:r>
    </w:p>
    <w:p>
      <w:pPr>
        <w:snapToGrid/>
        <w:spacing w:before="0" w:after="0"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4、《广州市城市绿地系统规划（2001-2020 年）》；</w:t>
      </w:r>
    </w:p>
    <w:p>
      <w:pPr>
        <w:snapToGrid/>
        <w:spacing w:before="0" w:after="0"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5、《城市绿地管理办法》（建设部城[2002]112 号）；</w:t>
      </w:r>
    </w:p>
    <w:p>
      <w:pPr>
        <w:snapToGrid/>
        <w:spacing w:before="0" w:after="0"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6、《城市绿地分类标准》（建设部CJJ/T85-2002）；</w:t>
      </w:r>
    </w:p>
    <w:p>
      <w:pPr>
        <w:snapToGrid/>
        <w:spacing w:before="0" w:after="0"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7、《公园设计规范》GB 51192-2016；</w:t>
      </w:r>
    </w:p>
    <w:p>
      <w:pPr>
        <w:snapToGrid/>
        <w:spacing w:before="0" w:after="0"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8、《城市道路设计规范》（CJJ37－2012）</w:t>
      </w:r>
    </w:p>
    <w:p>
      <w:pPr>
        <w:snapToGrid/>
        <w:spacing w:before="0" w:after="0"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9、《城市道路绿化规划与设计规范》（CJJ75－97）；</w:t>
      </w:r>
    </w:p>
    <w:p>
      <w:pPr>
        <w:snapToGrid/>
        <w:spacing w:before="0" w:after="0"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10、《城市道路路线设计规范》（CJJ193-2012）；</w:t>
      </w:r>
    </w:p>
    <w:p>
      <w:pPr>
        <w:snapToGrid/>
        <w:spacing w:before="0" w:after="0"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11、《城镇道路路面设计规范》（CJJ169-2012）；</w:t>
      </w:r>
    </w:p>
    <w:p>
      <w:pPr>
        <w:snapToGrid/>
        <w:spacing w:before="0" w:after="0"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12、《城市无障碍设计规范》（GB50763-2012）；</w:t>
      </w:r>
    </w:p>
    <w:p>
      <w:pPr>
        <w:snapToGrid/>
        <w:spacing w:before="0" w:after="0"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13、《民用建筑设计统一标准》（GB50352-2019）；</w:t>
      </w:r>
    </w:p>
    <w:p>
      <w:pPr>
        <w:snapToGrid/>
        <w:spacing w:before="0" w:after="0"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14、《建筑设计防火规范》（GB 50016—2014）（2018年版）；</w:t>
      </w:r>
    </w:p>
    <w:p>
      <w:pPr>
        <w:snapToGrid/>
        <w:spacing w:before="0" w:after="0"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15、《汽车库、修车库、停车场设计防火规范》（GB 50067-2014）；</w:t>
      </w:r>
    </w:p>
    <w:p>
      <w:pPr>
        <w:snapToGrid/>
        <w:spacing w:before="0" w:after="0"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16、《建筑与市政工程无障碍通用规范》 GB 55019-2021</w:t>
      </w:r>
    </w:p>
    <w:p>
      <w:pPr>
        <w:snapToGrid/>
        <w:spacing w:before="0" w:after="0"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17、《建筑内部装修设计防火规范》（GB50022-2017）；</w:t>
      </w:r>
    </w:p>
    <w:p>
      <w:pPr>
        <w:snapToGrid/>
        <w:spacing w:before="0" w:after="0"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18、《车库建筑设计规范》（JGJ100-2015）；</w:t>
      </w:r>
    </w:p>
    <w:p>
      <w:pPr>
        <w:snapToGrid/>
        <w:spacing w:before="0" w:after="0"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19、《地下工程防水技术规范》GB 50108-2008；</w:t>
      </w:r>
    </w:p>
    <w:p>
      <w:pPr>
        <w:snapToGrid/>
        <w:spacing w:before="0" w:after="0"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20、《建筑给水排水与节水通用规范》GB 55020-2021</w:t>
      </w:r>
    </w:p>
    <w:p>
      <w:pPr>
        <w:snapToGrid/>
        <w:spacing w:before="0" w:after="0"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21、《广州市海绵城市建设指标体系的通知》（穗水[2017]16号）</w:t>
      </w:r>
    </w:p>
    <w:p>
      <w:pPr>
        <w:snapToGrid/>
        <w:spacing w:before="0" w:after="0"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22、国家及地方现行其他现行相关法规、规范；</w:t>
      </w:r>
    </w:p>
    <w:p>
      <w:pPr>
        <w:snapToGrid/>
        <w:spacing w:before="0" w:after="0"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23、项目建设提供相关设计要求和设计资料；</w:t>
      </w:r>
    </w:p>
    <w:p>
      <w:pPr>
        <w:snapToGrid/>
        <w:spacing w:before="0" w:after="0"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24、国家及省市有关环保、卫生、消防、防疫、交通、市政、绿化等部门的法规及规范。</w:t>
      </w:r>
    </w:p>
    <w:p>
      <w:pPr>
        <w:pStyle w:val="2"/>
        <w:rPr>
          <w:rFonts w:hint="eastAsia" w:ascii="宋体" w:hAnsi="宋体" w:eastAsia="宋体" w:cs="宋体"/>
          <w:color w:val="auto"/>
          <w:highlight w:val="none"/>
        </w:rPr>
      </w:pPr>
    </w:p>
    <w:p>
      <w:pPr>
        <w:snapToGrid/>
        <w:spacing w:before="0" w:after="0" w:line="360" w:lineRule="auto"/>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4.3建设单位提供的有关资料</w:t>
      </w:r>
    </w:p>
    <w:p>
      <w:pPr>
        <w:snapToGrid/>
        <w:spacing w:before="0" w:after="0"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项目设计任务书；</w:t>
      </w:r>
    </w:p>
    <w:p>
      <w:pPr>
        <w:snapToGrid/>
        <w:spacing w:before="0" w:after="0"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市政部门相关的意见和要求；</w:t>
      </w:r>
    </w:p>
    <w:p>
      <w:pPr>
        <w:snapToGrid/>
        <w:spacing w:before="0" w:after="0"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规划主管部门提供的规划设计条件和已批复的详细规划图纸；</w:t>
      </w:r>
    </w:p>
    <w:p>
      <w:pPr>
        <w:snapToGrid/>
        <w:spacing w:before="0" w:after="0"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测绘部门提供的实测地形图和水文地质勘测资料；</w:t>
      </w:r>
    </w:p>
    <w:p>
      <w:pPr>
        <w:snapToGrid/>
        <w:spacing w:before="0" w:after="0"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甲方对各阶段设计图纸的评审意见；</w:t>
      </w:r>
    </w:p>
    <w:p>
      <w:pPr>
        <w:snapToGrid/>
        <w:spacing w:before="0" w:after="0"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双方签定的设计合同内所包含的服务性条款及要求。</w:t>
      </w:r>
    </w:p>
    <w:p>
      <w:pPr>
        <w:pStyle w:val="2"/>
        <w:rPr>
          <w:rFonts w:hint="eastAsia" w:ascii="宋体" w:hAnsi="宋体" w:eastAsia="宋体" w:cs="宋体"/>
          <w:color w:val="auto"/>
          <w:highlight w:val="none"/>
        </w:rPr>
      </w:pPr>
    </w:p>
    <w:p>
      <w:pPr>
        <w:snapToGrid/>
        <w:spacing w:before="0" w:after="0" w:line="360" w:lineRule="auto"/>
        <w:ind w:left="510" w:hanging="510"/>
        <w:jc w:val="both"/>
        <w:rPr>
          <w:rFonts w:hint="eastAsia" w:ascii="宋体" w:hAnsi="宋体" w:eastAsia="宋体" w:cs="宋体"/>
          <w:color w:val="auto"/>
          <w:highlight w:val="none"/>
        </w:rPr>
      </w:pPr>
      <w:r>
        <w:rPr>
          <w:rFonts w:hint="eastAsia" w:ascii="宋体" w:hAnsi="宋体" w:eastAsia="宋体" w:cs="宋体"/>
          <w:b/>
          <w:color w:val="auto"/>
          <w:sz w:val="24"/>
          <w:highlight w:val="none"/>
        </w:rPr>
        <w:t>五、 设计要求：</w:t>
      </w:r>
    </w:p>
    <w:p>
      <w:pPr>
        <w:snapToGrid/>
        <w:spacing w:before="0" w:after="0" w:line="24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5.1设计范围</w:t>
      </w:r>
    </w:p>
    <w:p>
      <w:pPr>
        <w:snapToGrid/>
        <w:spacing w:before="0" w:after="0" w:line="240" w:lineRule="auto"/>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本项目建设内容包括地上和地下两大部分：</w:t>
      </w:r>
    </w:p>
    <w:p>
      <w:pPr>
        <w:numPr>
          <w:ilvl w:val="0"/>
          <w:numId w:val="3"/>
        </w:numPr>
        <w:snapToGrid/>
        <w:spacing w:before="0" w:after="0" w:line="240" w:lineRule="auto"/>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地上部分</w:t>
      </w:r>
    </w:p>
    <w:p>
      <w:pPr>
        <w:pStyle w:val="2"/>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地上部分为老干局前广场地面景观改造，用地面积为</w:t>
      </w:r>
      <w:r>
        <w:rPr>
          <w:rFonts w:hint="eastAsia" w:ascii="宋体" w:hAnsi="宋体" w:eastAsia="宋体" w:cs="宋体"/>
          <w:color w:val="auto"/>
          <w:sz w:val="24"/>
          <w:highlight w:val="none"/>
          <w:u w:val="single"/>
        </w:rPr>
        <w:t>8515</w:t>
      </w:r>
      <w:r>
        <w:rPr>
          <w:rFonts w:hint="eastAsia" w:ascii="宋体" w:hAnsi="宋体" w:eastAsia="宋体" w:cs="宋体"/>
          <w:color w:val="auto"/>
          <w:sz w:val="24"/>
          <w:highlight w:val="none"/>
        </w:rPr>
        <w:t>㎡，改造需包含一个门球场，可供退休老干部及周边居民使用的活动场地；同时，地面景观需结合地下建筑设备及梯井位置、地面大树位置等因素考虑。</w:t>
      </w:r>
    </w:p>
    <w:p>
      <w:pPr>
        <w:pStyle w:val="2"/>
        <w:ind w:firstLine="480" w:firstLineChars="200"/>
        <w:rPr>
          <w:rFonts w:hint="eastAsia" w:ascii="宋体" w:hAnsi="宋体" w:eastAsia="宋体" w:cs="宋体"/>
          <w:color w:val="auto"/>
          <w:sz w:val="24"/>
          <w:highlight w:val="none"/>
        </w:rPr>
      </w:pPr>
    </w:p>
    <w:p>
      <w:pPr>
        <w:numPr>
          <w:ilvl w:val="0"/>
          <w:numId w:val="3"/>
        </w:numPr>
        <w:snapToGrid/>
        <w:spacing w:before="0" w:after="0" w:line="24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sz w:val="24"/>
          <w:highlight w:val="none"/>
        </w:rPr>
        <w:t>地下部分</w:t>
      </w:r>
    </w:p>
    <w:p>
      <w:pPr>
        <w:pStyle w:val="2"/>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地下部分拟在老干局前广场建设地下停车场2层，用地面积为8515㎡，地下室占地面积为</w:t>
      </w:r>
      <w:r>
        <w:rPr>
          <w:rFonts w:hint="eastAsia" w:ascii="宋体" w:hAnsi="宋体" w:eastAsia="宋体" w:cs="宋体"/>
          <w:color w:val="auto"/>
          <w:sz w:val="24"/>
          <w:highlight w:val="none"/>
          <w:u w:val="single"/>
        </w:rPr>
        <w:t>2530（参可研）</w:t>
      </w:r>
      <w:r>
        <w:rPr>
          <w:rFonts w:hint="eastAsia" w:ascii="宋体" w:hAnsi="宋体" w:eastAsia="宋体" w:cs="宋体"/>
          <w:color w:val="auto"/>
          <w:sz w:val="24"/>
          <w:highlight w:val="none"/>
        </w:rPr>
        <w:t>㎡，总建筑面积为</w:t>
      </w:r>
      <w:r>
        <w:rPr>
          <w:rFonts w:hint="eastAsia" w:ascii="宋体" w:hAnsi="宋体" w:eastAsia="宋体" w:cs="宋体"/>
          <w:color w:val="auto"/>
          <w:sz w:val="24"/>
          <w:highlight w:val="none"/>
          <w:u w:val="single"/>
        </w:rPr>
        <w:t>5200（参可研）</w:t>
      </w:r>
      <w:r>
        <w:rPr>
          <w:rFonts w:hint="eastAsia" w:ascii="宋体" w:hAnsi="宋体" w:eastAsia="宋体" w:cs="宋体"/>
          <w:color w:val="auto"/>
          <w:sz w:val="24"/>
          <w:highlight w:val="none"/>
        </w:rPr>
        <w:t>㎡，包括地下室停车场、设备用房、电梯及楼梯等交通设施，项目建成后应提供不低于</w:t>
      </w:r>
      <w:r>
        <w:rPr>
          <w:rFonts w:hint="eastAsia" w:ascii="宋体" w:hAnsi="宋体" w:eastAsia="宋体" w:cs="宋体"/>
          <w:color w:val="auto"/>
          <w:sz w:val="24"/>
          <w:highlight w:val="none"/>
          <w:u w:val="single"/>
        </w:rPr>
        <w:t>150（参可研）</w:t>
      </w:r>
      <w:r>
        <w:rPr>
          <w:rFonts w:hint="eastAsia" w:ascii="宋体" w:hAnsi="宋体" w:eastAsia="宋体" w:cs="宋体"/>
          <w:color w:val="auto"/>
          <w:sz w:val="24"/>
          <w:highlight w:val="none"/>
        </w:rPr>
        <w:t>个机动车停车位，应依照经济适用、绿色生态的原则，结合地上景观广场空间进行设计。</w:t>
      </w:r>
    </w:p>
    <w:p>
      <w:pPr>
        <w:pStyle w:val="2"/>
        <w:rPr>
          <w:rFonts w:hint="eastAsia" w:ascii="宋体" w:hAnsi="宋体" w:eastAsia="宋体" w:cs="宋体"/>
          <w:color w:val="auto"/>
          <w:highlight w:val="none"/>
        </w:rPr>
      </w:pPr>
      <w:r>
        <w:rPr>
          <w:rFonts w:hint="eastAsia" w:ascii="宋体" w:hAnsi="宋体" w:eastAsia="宋体" w:cs="宋体"/>
          <w:color w:val="auto"/>
          <w:sz w:val="24"/>
          <w:highlight w:val="none"/>
        </w:rPr>
        <w:t>5.2主要设计工作</w:t>
      </w:r>
      <w:r>
        <w:rPr>
          <w:rFonts w:hint="eastAsia" w:ascii="宋体" w:hAnsi="宋体" w:eastAsia="宋体" w:cs="宋体"/>
          <w:color w:val="auto"/>
          <w:highlight w:val="none"/>
        </w:rPr>
        <w:t>：</w:t>
      </w:r>
    </w:p>
    <w:p>
      <w:pPr>
        <w:pStyle w:val="2"/>
        <w:spacing w:before="105" w:line="357" w:lineRule="auto"/>
        <w:ind w:right="111"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本项目应至少包括以下设计内容：在规划红线范围内，修规、土方平衡计算、土建及机电设计、临水、 </w:t>
      </w:r>
      <w:r>
        <w:rPr>
          <w:rFonts w:hint="eastAsia" w:ascii="宋体" w:hAnsi="宋体" w:eastAsia="宋体" w:cs="宋体"/>
          <w:color w:val="auto"/>
          <w:spacing w:val="-4"/>
          <w:highlight w:val="none"/>
        </w:rPr>
        <w:t>临电设计、智能化专项设计</w:t>
      </w:r>
      <w:r>
        <w:rPr>
          <w:rFonts w:hint="eastAsia" w:ascii="宋体" w:hAnsi="宋体" w:eastAsia="宋体" w:cs="宋体"/>
          <w:color w:val="auto"/>
          <w:highlight w:val="none"/>
        </w:rPr>
        <w:t>、景观设计、设计总协调、施工图预算编制、竣工图编制、基坑支护设计。</w:t>
      </w:r>
    </w:p>
    <w:p>
      <w:pPr>
        <w:pStyle w:val="2"/>
        <w:spacing w:line="343" w:lineRule="auto"/>
        <w:ind w:right="111" w:firstLine="480"/>
        <w:rPr>
          <w:rFonts w:hint="eastAsia" w:ascii="宋体" w:hAnsi="宋体" w:eastAsia="宋体" w:cs="宋体"/>
          <w:color w:val="auto"/>
          <w:highlight w:val="none"/>
        </w:rPr>
      </w:pPr>
      <w:r>
        <w:rPr>
          <w:rFonts w:hint="eastAsia" w:ascii="宋体" w:hAnsi="宋体" w:eastAsia="宋体" w:cs="宋体"/>
          <w:color w:val="auto"/>
          <w:highlight w:val="none"/>
        </w:rPr>
        <w:t>1）建设区域内修建性详细规划的设计：本项目用地红线范围内总平面及竖向规划设计、建筑布局、交通组织、景观绿化、环境保护等。</w:t>
      </w:r>
      <w:bookmarkStart w:id="8" w:name="_GoBack"/>
      <w:bookmarkEnd w:id="8"/>
    </w:p>
    <w:p>
      <w:pPr>
        <w:pStyle w:val="2"/>
        <w:spacing w:line="343" w:lineRule="auto"/>
        <w:ind w:right="111" w:firstLine="480"/>
        <w:rPr>
          <w:rFonts w:hint="eastAsia" w:ascii="宋体" w:hAnsi="宋体" w:eastAsia="宋体" w:cs="宋体"/>
          <w:color w:val="auto"/>
          <w:highlight w:val="none"/>
        </w:rPr>
      </w:pPr>
      <w:r>
        <w:rPr>
          <w:rFonts w:hint="eastAsia" w:ascii="宋体" w:hAnsi="宋体" w:eastAsia="宋体" w:cs="宋体"/>
          <w:color w:val="auto"/>
          <w:highlight w:val="none"/>
        </w:rPr>
        <w:t>2）建筑设计：包括但不限于提供主体建筑与附属建筑各层平面图，建筑四个方向立面图、主要剖面图、地下空间剖面图、功能区域设计、交通组织图及室内装修工程构造做法表。</w:t>
      </w:r>
    </w:p>
    <w:p>
      <w:pPr>
        <w:pStyle w:val="2"/>
        <w:spacing w:line="343" w:lineRule="auto"/>
        <w:ind w:right="111" w:firstLine="480"/>
        <w:rPr>
          <w:rFonts w:hint="eastAsia" w:ascii="宋体" w:hAnsi="宋体" w:eastAsia="宋体" w:cs="宋体"/>
          <w:color w:val="auto"/>
          <w:highlight w:val="none"/>
        </w:rPr>
      </w:pPr>
      <w:r>
        <w:rPr>
          <w:rFonts w:hint="eastAsia" w:ascii="宋体" w:hAnsi="宋体" w:eastAsia="宋体" w:cs="宋体"/>
          <w:color w:val="auto"/>
          <w:highlight w:val="none"/>
        </w:rPr>
        <w:t>3）结构设计：包括总平面范围内主体、附属的结构设计、基坑支护设计、</w:t>
      </w:r>
      <w:r>
        <w:rPr>
          <w:rFonts w:hint="eastAsia" w:ascii="宋体" w:hAnsi="宋体" w:eastAsia="宋体" w:cs="宋体"/>
          <w:color w:val="auto"/>
          <w:spacing w:val="-2"/>
          <w:highlight w:val="none"/>
        </w:rPr>
        <w:t>楼梯（含梯屋）、开关房和出风口等建（构）筑物的结构设计</w:t>
      </w:r>
      <w:r>
        <w:rPr>
          <w:rFonts w:hint="eastAsia" w:ascii="宋体" w:hAnsi="宋体" w:eastAsia="宋体" w:cs="宋体"/>
          <w:color w:val="auto"/>
          <w:highlight w:val="none"/>
        </w:rPr>
        <w:t>。</w:t>
      </w:r>
    </w:p>
    <w:p>
      <w:pPr>
        <w:pStyle w:val="2"/>
        <w:spacing w:line="357" w:lineRule="auto"/>
        <w:ind w:right="157" w:firstLine="480"/>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4）强电设计：包括红线范围内的10/0.4KV变配电系统、应急电源供电系统、动力配电系统、照明系统（仅含室内照明）、火灾自动报警系统、建筑物防雷、接地系统及安全措施。</w:t>
      </w:r>
    </w:p>
    <w:p>
      <w:pPr>
        <w:pStyle w:val="2"/>
        <w:spacing w:line="343" w:lineRule="auto"/>
        <w:ind w:right="111" w:firstLine="480"/>
        <w:rPr>
          <w:rFonts w:hint="eastAsia" w:ascii="宋体" w:hAnsi="宋体" w:eastAsia="宋体" w:cs="宋体"/>
          <w:color w:val="auto"/>
          <w:highlight w:val="none"/>
        </w:rPr>
      </w:pPr>
      <w:r>
        <w:rPr>
          <w:rFonts w:hint="eastAsia" w:ascii="宋体" w:hAnsi="宋体" w:eastAsia="宋体" w:cs="宋体"/>
          <w:color w:val="auto"/>
          <w:highlight w:val="none"/>
        </w:rPr>
        <w:t>5）智能化系统设计：包括光纤接入系统、综合布线系统、有线电视、视频安防监控系统、停车场管理系统、访客非可视对讲系统、电梯三方对讲系统、智能卡应用系统、机房工程及智能化系统的防雷接地。</w:t>
      </w:r>
    </w:p>
    <w:p>
      <w:pPr>
        <w:pStyle w:val="2"/>
        <w:spacing w:line="357" w:lineRule="auto"/>
        <w:ind w:right="157" w:firstLine="480"/>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6）给排水设计：包括红线范围内的①室内、外给水排水系统；②室内、外消火栓系统；③自动喷水灭火系统；④灭火器配置；⑤气体灭火系统。</w:t>
      </w:r>
    </w:p>
    <w:p>
      <w:pPr>
        <w:pStyle w:val="2"/>
        <w:spacing w:line="357" w:lineRule="auto"/>
        <w:ind w:right="157" w:firstLine="480"/>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7）消防设计：消火栓系统、自动喷淋系统、气体灭火系统、防排烟系统、火灾自动报警及联动控制系统。</w:t>
      </w:r>
    </w:p>
    <w:p>
      <w:pPr>
        <w:pStyle w:val="2"/>
        <w:spacing w:line="357" w:lineRule="auto"/>
        <w:ind w:right="157" w:firstLine="480"/>
        <w:jc w:val="both"/>
        <w:rPr>
          <w:rFonts w:hint="eastAsia" w:ascii="宋体" w:hAnsi="宋体" w:eastAsia="宋体" w:cs="宋体"/>
          <w:color w:val="auto"/>
          <w:highlight w:val="none"/>
        </w:rPr>
      </w:pPr>
      <w:r>
        <w:rPr>
          <w:rFonts w:hint="eastAsia" w:ascii="宋体" w:hAnsi="宋体" w:eastAsia="宋体" w:cs="宋体"/>
          <w:color w:val="auto"/>
          <w:highlight w:val="none"/>
        </w:rPr>
        <w:t>8）电梯工程设计与相关配合。</w:t>
      </w:r>
    </w:p>
    <w:p>
      <w:pPr>
        <w:pStyle w:val="2"/>
        <w:spacing w:line="343" w:lineRule="auto"/>
        <w:ind w:right="111" w:firstLine="480"/>
        <w:rPr>
          <w:rFonts w:hint="eastAsia" w:ascii="宋体" w:hAnsi="宋体" w:eastAsia="宋体" w:cs="宋体"/>
          <w:color w:val="auto"/>
          <w:highlight w:val="none"/>
        </w:rPr>
      </w:pPr>
      <w:r>
        <w:rPr>
          <w:rFonts w:hint="eastAsia" w:ascii="宋体" w:hAnsi="宋体" w:eastAsia="宋体" w:cs="宋体"/>
          <w:color w:val="auto"/>
          <w:highlight w:val="none"/>
        </w:rPr>
        <w:t>9）编制方案设计投资估算、初步设计概算、施工图预算。</w:t>
      </w:r>
    </w:p>
    <w:p>
      <w:pPr>
        <w:pStyle w:val="2"/>
        <w:spacing w:line="343" w:lineRule="auto"/>
        <w:ind w:right="111" w:firstLine="480"/>
        <w:rPr>
          <w:rFonts w:hint="eastAsia" w:ascii="宋体" w:hAnsi="宋体" w:eastAsia="宋体" w:cs="宋体"/>
          <w:color w:val="auto"/>
          <w:highlight w:val="none"/>
        </w:rPr>
      </w:pPr>
      <w:r>
        <w:rPr>
          <w:rFonts w:hint="eastAsia" w:ascii="宋体" w:hAnsi="宋体" w:eastAsia="宋体" w:cs="宋体"/>
          <w:color w:val="auto"/>
          <w:highlight w:val="none"/>
        </w:rPr>
        <w:t>10）海绵城市设计，确保海绵城市设施落实到位，室外场地雨水控制须满足《广州市水务管理条例》、《广州市排水管理办法》、《广州市建设项目雨水径流控制管理办法》、《广州市海绵城市规划设计导则-低影响开发雨水系统构建（试行）》等法规的要求。</w:t>
      </w:r>
    </w:p>
    <w:p>
      <w:pPr>
        <w:pStyle w:val="2"/>
        <w:spacing w:line="343" w:lineRule="auto"/>
        <w:ind w:right="111" w:firstLine="480"/>
        <w:rPr>
          <w:rFonts w:hint="eastAsia" w:ascii="宋体" w:hAnsi="宋体" w:eastAsia="宋体" w:cs="宋体"/>
          <w:color w:val="auto"/>
          <w:highlight w:val="none"/>
        </w:rPr>
      </w:pPr>
      <w:r>
        <w:rPr>
          <w:rFonts w:hint="eastAsia" w:ascii="宋体" w:hAnsi="宋体" w:eastAsia="宋体" w:cs="宋体"/>
          <w:color w:val="auto"/>
          <w:highlight w:val="none"/>
        </w:rPr>
        <w:t>11）本项目中，在规划红线范围内，设计人应保证按规划及建筑功能要求、配套设施要求完成本工程造价中包含的全部项目的专业专项设计。</w:t>
      </w:r>
    </w:p>
    <w:p>
      <w:pPr>
        <w:pStyle w:val="2"/>
        <w:spacing w:line="343" w:lineRule="auto"/>
        <w:ind w:right="111" w:firstLine="480"/>
        <w:rPr>
          <w:rFonts w:hint="eastAsia" w:ascii="宋体" w:hAnsi="宋体" w:eastAsia="宋体" w:cs="宋体"/>
          <w:color w:val="auto"/>
          <w:highlight w:val="none"/>
        </w:rPr>
      </w:pPr>
      <w:r>
        <w:rPr>
          <w:rFonts w:hint="eastAsia" w:ascii="宋体" w:hAnsi="宋体" w:eastAsia="宋体" w:cs="宋体"/>
          <w:color w:val="auto"/>
          <w:highlight w:val="none"/>
        </w:rPr>
        <w:t>12）专项分包施工图设计文件中，需设计人校核确认的部分由设计人及专项分包方人员进行会签并盖章确认。</w:t>
      </w:r>
    </w:p>
    <w:p>
      <w:pPr>
        <w:pStyle w:val="2"/>
        <w:spacing w:line="343" w:lineRule="auto"/>
        <w:ind w:right="111" w:firstLine="480"/>
        <w:rPr>
          <w:rFonts w:hint="eastAsia" w:ascii="宋体" w:hAnsi="宋体" w:eastAsia="宋体" w:cs="宋体"/>
          <w:color w:val="auto"/>
          <w:highlight w:val="none"/>
        </w:rPr>
      </w:pPr>
      <w:r>
        <w:rPr>
          <w:rFonts w:hint="eastAsia" w:ascii="宋体" w:hAnsi="宋体" w:eastAsia="宋体" w:cs="宋体"/>
          <w:color w:val="auto"/>
          <w:highlight w:val="none"/>
        </w:rPr>
        <w:t>13）设计人应对外电设计、专业深化设计单位的出图予以配合。</w:t>
      </w:r>
    </w:p>
    <w:p>
      <w:pPr>
        <w:pStyle w:val="2"/>
        <w:spacing w:line="343" w:lineRule="auto"/>
        <w:ind w:right="111" w:firstLine="480"/>
        <w:rPr>
          <w:rFonts w:hint="eastAsia" w:ascii="宋体" w:hAnsi="宋体" w:eastAsia="宋体" w:cs="宋体"/>
          <w:color w:val="auto"/>
          <w:highlight w:val="none"/>
        </w:rPr>
      </w:pPr>
      <w:r>
        <w:rPr>
          <w:rFonts w:hint="eastAsia" w:ascii="宋体" w:hAnsi="宋体" w:eastAsia="宋体" w:cs="宋体"/>
          <w:color w:val="auto"/>
          <w:highlight w:val="none"/>
        </w:rPr>
        <w:t>14）现场指导和配合服务（设计阶段根据工程建设的需要及建设方的要求确定服务时间）。</w:t>
      </w:r>
    </w:p>
    <w:p>
      <w:pPr>
        <w:pStyle w:val="2"/>
        <w:spacing w:line="343" w:lineRule="auto"/>
        <w:ind w:right="111" w:firstLine="480"/>
        <w:rPr>
          <w:rFonts w:hint="eastAsia" w:ascii="宋体" w:hAnsi="宋体" w:eastAsia="宋体" w:cs="宋体"/>
          <w:color w:val="auto"/>
          <w:highlight w:val="none"/>
        </w:rPr>
      </w:pPr>
      <w:r>
        <w:rPr>
          <w:rFonts w:hint="eastAsia" w:ascii="宋体" w:hAnsi="宋体" w:eastAsia="宋体" w:cs="宋体"/>
          <w:color w:val="auto"/>
          <w:highlight w:val="none"/>
        </w:rPr>
        <w:t>15）招标文件及合同约定的其他设计、服务工作。</w:t>
      </w:r>
    </w:p>
    <w:p>
      <w:pPr>
        <w:pStyle w:val="2"/>
        <w:rPr>
          <w:rFonts w:hint="eastAsia" w:ascii="宋体" w:hAnsi="宋体" w:eastAsia="宋体" w:cs="宋体"/>
          <w:color w:val="auto"/>
          <w:sz w:val="24"/>
          <w:highlight w:val="none"/>
        </w:rPr>
      </w:pPr>
    </w:p>
    <w:p>
      <w:pPr>
        <w:snapToGrid/>
        <w:spacing w:before="0" w:after="0" w:line="360" w:lineRule="auto"/>
        <w:ind w:left="510" w:hanging="510"/>
        <w:jc w:val="both"/>
        <w:rPr>
          <w:rFonts w:hint="eastAsia" w:ascii="宋体" w:hAnsi="宋体" w:eastAsia="宋体" w:cs="宋体"/>
          <w:color w:val="auto"/>
          <w:highlight w:val="none"/>
        </w:rPr>
      </w:pPr>
      <w:r>
        <w:rPr>
          <w:rFonts w:hint="eastAsia" w:ascii="宋体" w:hAnsi="宋体" w:eastAsia="宋体" w:cs="宋体"/>
          <w:b/>
          <w:color w:val="auto"/>
          <w:sz w:val="24"/>
          <w:highlight w:val="none"/>
        </w:rPr>
        <w:t>六、 工程造价编制要求：</w:t>
      </w:r>
    </w:p>
    <w:p>
      <w:pPr>
        <w:pStyle w:val="3"/>
        <w:numPr>
          <w:ilvl w:val="1"/>
          <w:numId w:val="4"/>
        </w:numPr>
        <w:spacing w:before="240" w:after="240"/>
        <w:rPr>
          <w:rFonts w:hint="eastAsia" w:ascii="宋体" w:hAnsi="宋体" w:eastAsia="宋体" w:cs="宋体"/>
          <w:snapToGrid w:val="0"/>
          <w:color w:val="auto"/>
          <w:szCs w:val="24"/>
          <w:highlight w:val="none"/>
        </w:rPr>
      </w:pPr>
      <w:bookmarkStart w:id="0" w:name="_Toc452973738"/>
      <w:r>
        <w:rPr>
          <w:rFonts w:hint="eastAsia" w:ascii="宋体" w:hAnsi="宋体" w:eastAsia="宋体" w:cs="宋体"/>
          <w:snapToGrid w:val="0"/>
          <w:color w:val="auto"/>
          <w:szCs w:val="24"/>
          <w:highlight w:val="none"/>
        </w:rPr>
        <w:t xml:space="preserve"> </w:t>
      </w:r>
      <w:bookmarkStart w:id="1" w:name="_Toc18"/>
      <w:bookmarkStart w:id="2" w:name="_Toc23901"/>
      <w:bookmarkStart w:id="3" w:name="_Toc28589"/>
      <w:r>
        <w:rPr>
          <w:rFonts w:hint="eastAsia" w:ascii="宋体" w:hAnsi="宋体" w:eastAsia="宋体" w:cs="宋体"/>
          <w:snapToGrid w:val="0"/>
          <w:color w:val="auto"/>
          <w:szCs w:val="24"/>
          <w:highlight w:val="none"/>
        </w:rPr>
        <w:t>造价文件编制及报审工作</w:t>
      </w:r>
      <w:bookmarkEnd w:id="0"/>
      <w:bookmarkEnd w:id="1"/>
      <w:bookmarkEnd w:id="2"/>
      <w:bookmarkEnd w:id="3"/>
    </w:p>
    <w:p>
      <w:pPr>
        <w:ind w:firstLine="389" w:firstLineChars="177"/>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（1）承包人负责</w:t>
      </w:r>
      <w:r>
        <w:rPr>
          <w:rFonts w:hint="eastAsia" w:ascii="宋体" w:hAnsi="宋体" w:eastAsia="宋体" w:cs="宋体"/>
          <w:snapToGrid w:val="0"/>
          <w:color w:val="auto"/>
          <w:szCs w:val="21"/>
          <w:highlight w:val="none"/>
        </w:rPr>
        <w:t>编制合同设计范围内方案估算、初步设计概算、施工图设计预算文件；</w:t>
      </w:r>
    </w:p>
    <w:p>
      <w:pPr>
        <w:ind w:firstLine="389" w:firstLineChars="177"/>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（2）承包人</w:t>
      </w:r>
      <w:r>
        <w:rPr>
          <w:rFonts w:hint="eastAsia" w:ascii="宋体" w:hAnsi="宋体" w:eastAsia="宋体" w:cs="宋体"/>
          <w:snapToGrid w:val="0"/>
          <w:color w:val="auto"/>
          <w:szCs w:val="21"/>
          <w:highlight w:val="none"/>
        </w:rPr>
        <w:t>配合初步设计概算等报审、施工图设计预算送报审工作；</w:t>
      </w:r>
    </w:p>
    <w:p>
      <w:pPr>
        <w:ind w:firstLine="389" w:firstLineChars="177"/>
        <w:rPr>
          <w:rFonts w:hint="eastAsia" w:ascii="宋体" w:hAnsi="宋体" w:eastAsia="宋体" w:cs="宋体"/>
          <w:snapToGrid w:val="0"/>
          <w:color w:val="auto"/>
          <w:highlight w:val="none"/>
        </w:rPr>
      </w:pPr>
    </w:p>
    <w:p>
      <w:pPr>
        <w:pStyle w:val="3"/>
        <w:numPr>
          <w:ilvl w:val="1"/>
          <w:numId w:val="4"/>
        </w:numPr>
        <w:spacing w:before="240" w:after="240"/>
        <w:rPr>
          <w:rFonts w:hint="eastAsia" w:ascii="宋体" w:hAnsi="宋体" w:eastAsia="宋体" w:cs="宋体"/>
          <w:snapToGrid w:val="0"/>
          <w:color w:val="auto"/>
          <w:szCs w:val="24"/>
          <w:highlight w:val="none"/>
        </w:rPr>
      </w:pPr>
      <w:bookmarkStart w:id="4" w:name="_Toc452973739"/>
      <w:r>
        <w:rPr>
          <w:rFonts w:hint="eastAsia" w:ascii="宋体" w:hAnsi="宋体" w:eastAsia="宋体" w:cs="宋体"/>
          <w:snapToGrid w:val="0"/>
          <w:color w:val="auto"/>
          <w:szCs w:val="24"/>
          <w:highlight w:val="none"/>
        </w:rPr>
        <w:t xml:space="preserve"> </w:t>
      </w:r>
      <w:bookmarkStart w:id="5" w:name="_Toc25252"/>
      <w:bookmarkStart w:id="6" w:name="_Toc17810"/>
      <w:bookmarkStart w:id="7" w:name="_Toc12459"/>
      <w:r>
        <w:rPr>
          <w:rFonts w:hint="eastAsia" w:ascii="宋体" w:hAnsi="宋体" w:eastAsia="宋体" w:cs="宋体"/>
          <w:snapToGrid w:val="0"/>
          <w:color w:val="auto"/>
          <w:szCs w:val="24"/>
          <w:highlight w:val="none"/>
        </w:rPr>
        <w:t>造价控制要求及工作要求</w:t>
      </w:r>
      <w:bookmarkEnd w:id="4"/>
      <w:bookmarkEnd w:id="5"/>
      <w:bookmarkEnd w:id="6"/>
      <w:bookmarkEnd w:id="7"/>
    </w:p>
    <w:p>
      <w:pPr>
        <w:ind w:firstLine="389" w:firstLineChars="177"/>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乙方除按合同要求做好工程投资控制外，还要做到以下要求：</w:t>
      </w:r>
    </w:p>
    <w:p>
      <w:pPr>
        <w:ind w:firstLine="389" w:firstLineChars="177"/>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1．本阶段的造价文件编制需满足对应阶段造价文件深度要求。造价成果文件误差控制不超过±10%。</w:t>
      </w:r>
    </w:p>
    <w:p>
      <w:pPr>
        <w:ind w:firstLine="389" w:firstLineChars="177"/>
        <w:rPr>
          <w:rFonts w:hint="eastAsia" w:ascii="宋体" w:hAnsi="宋体" w:eastAsia="宋体" w:cs="宋体"/>
          <w:color w:val="auto"/>
          <w:sz w:val="24"/>
          <w:highlight w:val="none"/>
        </w:rPr>
      </w:pPr>
      <w:r>
        <w:rPr>
          <w:rFonts w:hint="eastAsia" w:ascii="宋体" w:hAnsi="宋体" w:eastAsia="宋体" w:cs="宋体"/>
          <w:snapToGrid w:val="0"/>
          <w:color w:val="auto"/>
          <w:szCs w:val="21"/>
          <w:highlight w:val="none"/>
        </w:rPr>
        <w:t>2. 乙方须保证概算文件、施工图预算与项目建设管理单位、施工图审查单位或项目建设管理单位委托的第三方的审核结果的误差不超过±10%，且不超过有权审核部门审定的工程设计概算中建安工程费总额的10%，确保满足项目建设管理单位对工程投资控制的要求。</w:t>
      </w:r>
    </w:p>
    <w:p>
      <w:pPr>
        <w:pStyle w:val="2"/>
        <w:rPr>
          <w:rFonts w:hint="eastAsia" w:ascii="宋体" w:hAnsi="宋体" w:eastAsia="宋体" w:cs="宋体"/>
          <w:color w:val="auto"/>
          <w:highlight w:val="none"/>
        </w:rPr>
      </w:pPr>
    </w:p>
    <w:p>
      <w:pPr>
        <w:snapToGrid/>
        <w:spacing w:before="0" w:after="0" w:line="360" w:lineRule="auto"/>
        <w:ind w:left="510" w:hanging="510"/>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七、投标设计成果要求</w:t>
      </w:r>
    </w:p>
    <w:p>
      <w:pPr>
        <w:snapToGrid/>
        <w:spacing w:before="0" w:after="0"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sz w:val="24"/>
          <w:highlight w:val="none"/>
        </w:rPr>
        <w:t>投标设计成果应满足设计要求中的内容及深度，包括文本文件、展示图板及电子文件。</w:t>
      </w:r>
    </w:p>
    <w:p>
      <w:pPr>
        <w:snapToGrid/>
        <w:spacing w:before="0" w:after="0"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7.1文本文件</w:t>
      </w:r>
    </w:p>
    <w:p>
      <w:pPr>
        <w:snapToGrid/>
        <w:spacing w:before="0" w:after="0" w:line="360" w:lineRule="auto"/>
        <w:ind w:left="390" w:hanging="390"/>
        <w:jc w:val="both"/>
        <w:rPr>
          <w:rFonts w:hint="eastAsia" w:ascii="宋体" w:hAnsi="宋体" w:eastAsia="宋体" w:cs="宋体"/>
          <w:color w:val="auto"/>
          <w:highlight w:val="none"/>
        </w:rPr>
      </w:pPr>
      <w:r>
        <w:rPr>
          <w:rFonts w:hint="eastAsia" w:ascii="宋体" w:hAnsi="宋体" w:eastAsia="宋体" w:cs="宋体"/>
          <w:color w:val="auto"/>
          <w:sz w:val="24"/>
          <w:highlight w:val="none"/>
        </w:rPr>
        <w:t>1、 设计说明、设计构思</w:t>
      </w:r>
    </w:p>
    <w:p>
      <w:pPr>
        <w:snapToGrid/>
        <w:spacing w:before="0" w:after="0" w:line="360" w:lineRule="auto"/>
        <w:ind w:left="390" w:hanging="390"/>
        <w:jc w:val="both"/>
        <w:rPr>
          <w:rFonts w:hint="eastAsia" w:ascii="宋体" w:hAnsi="宋体" w:eastAsia="宋体" w:cs="宋体"/>
          <w:color w:val="auto"/>
          <w:highlight w:val="none"/>
        </w:rPr>
      </w:pPr>
      <w:r>
        <w:rPr>
          <w:rFonts w:hint="eastAsia" w:ascii="宋体" w:hAnsi="宋体" w:eastAsia="宋体" w:cs="宋体"/>
          <w:color w:val="auto"/>
          <w:sz w:val="24"/>
          <w:highlight w:val="none"/>
        </w:rPr>
        <w:t>2、 总平面图及主要经济技术指标</w:t>
      </w:r>
    </w:p>
    <w:p>
      <w:pPr>
        <w:snapToGrid/>
        <w:spacing w:before="0" w:after="0" w:line="360" w:lineRule="auto"/>
        <w:ind w:left="390" w:hanging="390"/>
        <w:jc w:val="both"/>
        <w:rPr>
          <w:rFonts w:hint="eastAsia" w:ascii="宋体" w:hAnsi="宋体" w:eastAsia="宋体" w:cs="宋体"/>
          <w:color w:val="auto"/>
          <w:highlight w:val="none"/>
        </w:rPr>
      </w:pPr>
      <w:r>
        <w:rPr>
          <w:rFonts w:hint="eastAsia" w:ascii="宋体" w:hAnsi="宋体" w:eastAsia="宋体" w:cs="宋体"/>
          <w:color w:val="auto"/>
          <w:sz w:val="24"/>
          <w:highlight w:val="none"/>
        </w:rPr>
        <w:t>3、 功能分区图</w:t>
      </w:r>
    </w:p>
    <w:p>
      <w:pPr>
        <w:snapToGrid/>
        <w:spacing w:before="0" w:after="0" w:line="360" w:lineRule="auto"/>
        <w:ind w:left="390" w:hanging="390"/>
        <w:jc w:val="both"/>
        <w:rPr>
          <w:rFonts w:hint="eastAsia" w:ascii="宋体" w:hAnsi="宋体" w:eastAsia="宋体" w:cs="宋体"/>
          <w:color w:val="auto"/>
          <w:highlight w:val="none"/>
        </w:rPr>
      </w:pPr>
      <w:r>
        <w:rPr>
          <w:rFonts w:hint="eastAsia" w:ascii="宋体" w:hAnsi="宋体" w:eastAsia="宋体" w:cs="宋体"/>
          <w:color w:val="auto"/>
          <w:sz w:val="24"/>
          <w:highlight w:val="none"/>
        </w:rPr>
        <w:t>4、 交通分析图</w:t>
      </w:r>
    </w:p>
    <w:p>
      <w:pPr>
        <w:snapToGrid/>
        <w:spacing w:before="0" w:after="0" w:line="360" w:lineRule="auto"/>
        <w:ind w:left="390" w:hanging="390"/>
        <w:jc w:val="both"/>
        <w:rPr>
          <w:rFonts w:hint="eastAsia" w:ascii="宋体" w:hAnsi="宋体" w:eastAsia="宋体" w:cs="宋体"/>
          <w:color w:val="auto"/>
          <w:highlight w:val="none"/>
        </w:rPr>
      </w:pPr>
      <w:r>
        <w:rPr>
          <w:rFonts w:hint="eastAsia" w:ascii="宋体" w:hAnsi="宋体" w:eastAsia="宋体" w:cs="宋体"/>
          <w:color w:val="auto"/>
          <w:sz w:val="24"/>
          <w:highlight w:val="none"/>
        </w:rPr>
        <w:t>5、 重要节点效果图</w:t>
      </w:r>
    </w:p>
    <w:p>
      <w:pPr>
        <w:snapToGrid/>
        <w:spacing w:before="0" w:after="0" w:line="360" w:lineRule="auto"/>
        <w:ind w:left="390" w:hanging="390"/>
        <w:jc w:val="both"/>
        <w:rPr>
          <w:rFonts w:hint="eastAsia" w:ascii="宋体" w:hAnsi="宋体" w:eastAsia="宋体" w:cs="宋体"/>
          <w:color w:val="auto"/>
          <w:highlight w:val="none"/>
        </w:rPr>
      </w:pPr>
      <w:r>
        <w:rPr>
          <w:rFonts w:hint="eastAsia" w:ascii="宋体" w:hAnsi="宋体" w:eastAsia="宋体" w:cs="宋体"/>
          <w:color w:val="auto"/>
          <w:sz w:val="24"/>
          <w:highlight w:val="none"/>
        </w:rPr>
        <w:t>6、 其他反映设计的图纸</w:t>
      </w:r>
    </w:p>
    <w:p>
      <w:pPr>
        <w:snapToGrid/>
        <w:spacing w:before="0" w:after="0"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7.2电子文件</w:t>
      </w:r>
    </w:p>
    <w:p>
      <w:pPr>
        <w:snapToGrid/>
        <w:spacing w:before="0" w:after="0"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文本文件的电子文件（PDF格式或JPG格式）。</w:t>
      </w:r>
    </w:p>
    <w:p>
      <w:pPr>
        <w:snapToGrid/>
        <w:spacing w:before="0" w:after="0" w:line="360" w:lineRule="auto"/>
        <w:jc w:val="both"/>
        <w:rPr>
          <w:rFonts w:hint="eastAsia" w:ascii="宋体" w:hAnsi="宋体" w:eastAsia="宋体" w:cs="宋体"/>
          <w:color w:val="auto"/>
          <w:highlight w:val="none"/>
        </w:rPr>
      </w:pPr>
    </w:p>
    <w:p>
      <w:pPr>
        <w:snapToGrid/>
        <w:spacing w:before="0" w:after="0" w:line="360" w:lineRule="auto"/>
        <w:ind w:left="510" w:hanging="510"/>
        <w:jc w:val="both"/>
        <w:rPr>
          <w:rFonts w:hint="eastAsia" w:ascii="宋体" w:hAnsi="宋体" w:eastAsia="宋体" w:cs="宋体"/>
          <w:color w:val="auto"/>
          <w:highlight w:val="none"/>
        </w:rPr>
      </w:pPr>
      <w:r>
        <w:rPr>
          <w:rFonts w:hint="eastAsia" w:ascii="宋体" w:hAnsi="宋体" w:eastAsia="宋体" w:cs="宋体"/>
          <w:b/>
          <w:color w:val="auto"/>
          <w:sz w:val="24"/>
          <w:highlight w:val="none"/>
        </w:rPr>
        <w:t>八、 提供文件清单</w:t>
      </w:r>
    </w:p>
    <w:p>
      <w:pPr>
        <w:snapToGrid/>
        <w:spacing w:before="0" w:after="0" w:line="360" w:lineRule="auto"/>
        <w:ind w:left="360" w:hanging="360"/>
        <w:jc w:val="both"/>
        <w:rPr>
          <w:rFonts w:hint="eastAsia" w:ascii="宋体" w:hAnsi="宋体" w:eastAsia="宋体" w:cs="宋体"/>
          <w:color w:val="auto"/>
          <w:highlight w:val="none"/>
        </w:rPr>
      </w:pPr>
      <w:r>
        <w:rPr>
          <w:rFonts w:hint="eastAsia" w:ascii="宋体" w:hAnsi="宋体" w:eastAsia="宋体" w:cs="宋体"/>
          <w:color w:val="auto"/>
          <w:sz w:val="24"/>
          <w:highlight w:val="none"/>
        </w:rPr>
        <w:t>1、原始地形图cad（含设计范围）</w:t>
      </w:r>
    </w:p>
    <w:p>
      <w:pPr>
        <w:snapToGrid/>
        <w:spacing w:before="0" w:after="0" w:line="360" w:lineRule="auto"/>
        <w:ind w:left="360" w:hanging="360"/>
        <w:jc w:val="both"/>
        <w:rPr>
          <w:rFonts w:hint="eastAsia" w:ascii="宋体" w:hAnsi="宋体" w:eastAsia="宋体" w:cs="宋体"/>
          <w:color w:val="auto"/>
          <w:highlight w:val="none"/>
        </w:rPr>
      </w:pPr>
      <w:r>
        <w:rPr>
          <w:rFonts w:hint="eastAsia" w:ascii="宋体" w:hAnsi="宋体" w:eastAsia="宋体" w:cs="宋体"/>
          <w:color w:val="auto"/>
          <w:sz w:val="24"/>
          <w:highlight w:val="none"/>
        </w:rPr>
        <w:t>2、可行性研究报告</w:t>
      </w:r>
    </w:p>
    <w:p/>
    <w:sectPr>
      <w:pgSz w:w="11905" w:h="16838"/>
      <w:pgMar w:top="1361" w:right="1417" w:bottom="1361" w:left="141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AED25"/>
    <w:multiLevelType w:val="singleLevel"/>
    <w:tmpl w:val="A83AED25"/>
    <w:lvl w:ilvl="0" w:tentative="0">
      <w:start w:val="4"/>
      <w:numFmt w:val="chineseCounting"/>
      <w:suff w:val="space"/>
      <w:lvlText w:val="%1、"/>
      <w:lvlJc w:val="left"/>
      <w:rPr>
        <w:rFonts w:hint="eastAsia"/>
      </w:rPr>
    </w:lvl>
  </w:abstractNum>
  <w:abstractNum w:abstractNumId="1">
    <w:nsid w:val="B0B48AEB"/>
    <w:multiLevelType w:val="singleLevel"/>
    <w:tmpl w:val="B0B48AEB"/>
    <w:lvl w:ilvl="0" w:tentative="0">
      <w:start w:val="1"/>
      <w:numFmt w:val="decimal"/>
      <w:lvlText w:val="%1."/>
      <w:lvlJc w:val="left"/>
      <w:pPr>
        <w:tabs>
          <w:tab w:val="left" w:pos="312"/>
        </w:tabs>
      </w:pPr>
    </w:lvl>
  </w:abstractNum>
  <w:abstractNum w:abstractNumId="2">
    <w:nsid w:val="471D788A"/>
    <w:multiLevelType w:val="multilevel"/>
    <w:tmpl w:val="471D788A"/>
    <w:lvl w:ilvl="0" w:tentative="0">
      <w:start w:val="1"/>
      <w:numFmt w:val="chineseCountingThousand"/>
      <w:lvlText w:val="第%1章"/>
      <w:lvlJc w:val="left"/>
      <w:pPr>
        <w:ind w:left="432" w:hanging="432"/>
      </w:pPr>
      <w:rPr>
        <w:rFonts w:hint="eastAsia"/>
      </w:rPr>
    </w:lvl>
    <w:lvl w:ilvl="1" w:tentative="0">
      <w:start w:val="1"/>
      <w:numFmt w:val="decimal"/>
      <w:lvlRestart w:val="0"/>
      <w:pStyle w:val="3"/>
      <w:isLgl/>
      <w:lvlText w:val="%1.%2"/>
      <w:lvlJc w:val="left"/>
      <w:pPr>
        <w:ind w:left="576" w:hanging="576"/>
      </w:pPr>
      <w:rPr>
        <w:rFonts w:hint="eastAsia"/>
      </w:rPr>
    </w:lvl>
    <w:lvl w:ilvl="2" w:tentative="0">
      <w:start w:val="1"/>
      <w:numFmt w:val="decimal"/>
      <w:isLg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606175AD"/>
    <w:multiLevelType w:val="multilevel"/>
    <w:tmpl w:val="606175AD"/>
    <w:lvl w:ilvl="0" w:tentative="0">
      <w:start w:val="1"/>
      <w:numFmt w:val="chineseCounting"/>
      <w:suff w:val="nothing"/>
      <w:lvlText w:val="第%1章 "/>
      <w:lvlJc w:val="left"/>
      <w:pPr>
        <w:ind w:left="425" w:hanging="425"/>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2YWNlOTlhNjM2YzhhZWMzYjYwOTg3OTU1ZmQwYzYifQ=="/>
  </w:docVars>
  <w:rsids>
    <w:rsidRoot w:val="00717FA4"/>
    <w:rsid w:val="000A5ED7"/>
    <w:rsid w:val="001E6342"/>
    <w:rsid w:val="0043565D"/>
    <w:rsid w:val="005E7C41"/>
    <w:rsid w:val="00663D9F"/>
    <w:rsid w:val="00717FA4"/>
    <w:rsid w:val="00A10DF0"/>
    <w:rsid w:val="00CF7111"/>
    <w:rsid w:val="00D4208E"/>
    <w:rsid w:val="00D65BB4"/>
    <w:rsid w:val="03E44165"/>
    <w:rsid w:val="062E4A77"/>
    <w:rsid w:val="08585DDB"/>
    <w:rsid w:val="08E9531B"/>
    <w:rsid w:val="18382622"/>
    <w:rsid w:val="2D1434F4"/>
    <w:rsid w:val="3CDD14C8"/>
    <w:rsid w:val="44B53569"/>
    <w:rsid w:val="4CBA03DF"/>
    <w:rsid w:val="4DA4699A"/>
    <w:rsid w:val="4E4A12EF"/>
    <w:rsid w:val="5B92546C"/>
    <w:rsid w:val="6A146EAE"/>
    <w:rsid w:val="6B165E5E"/>
    <w:rsid w:val="77F27C02"/>
    <w:rsid w:val="7D11658A"/>
    <w:rsid w:val="9DFF1B7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before="60" w:after="60" w:line="312" w:lineRule="auto"/>
    </w:pPr>
    <w:rPr>
      <w:rFonts w:asciiTheme="minorHAnsi" w:hAnsiTheme="minorHAnsi" w:eastAsiaTheme="minorEastAsia" w:cstheme="minorBidi"/>
      <w:color w:val="333333"/>
      <w:kern w:val="2"/>
      <w:sz w:val="22"/>
      <w:szCs w:val="22"/>
      <w:lang w:val="en-US" w:eastAsia="zh-CN" w:bidi="ar-SA"/>
    </w:rPr>
  </w:style>
  <w:style w:type="paragraph" w:styleId="3">
    <w:name w:val="heading 2"/>
    <w:basedOn w:val="1"/>
    <w:next w:val="1"/>
    <w:qFormat/>
    <w:uiPriority w:val="0"/>
    <w:pPr>
      <w:keepNext/>
      <w:keepLines/>
      <w:numPr>
        <w:ilvl w:val="1"/>
        <w:numId w:val="1"/>
      </w:numPr>
      <w:spacing w:before="100" w:beforeLines="100" w:after="100" w:afterLines="100"/>
      <w:contextualSpacing/>
      <w:outlineLvl w:val="1"/>
    </w:pPr>
    <w:rPr>
      <w:rFonts w:ascii="Arial" w:hAnsi="Arial" w:eastAsia="黑体"/>
      <w:bCs/>
      <w:kern w:val="0"/>
      <w:sz w:val="24"/>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eastAsia="宋体"/>
      <w:kern w:val="0"/>
      <w:sz w:val="20"/>
    </w:rPr>
  </w:style>
  <w:style w:type="paragraph" w:styleId="4">
    <w:name w:val="Title"/>
    <w:basedOn w:val="1"/>
    <w:next w:val="1"/>
    <w:qFormat/>
    <w:uiPriority w:val="9"/>
    <w:pPr>
      <w:keepNext/>
      <w:keepLines/>
      <w:spacing w:before="0" w:after="0" w:line="408" w:lineRule="auto"/>
      <w:jc w:val="center"/>
      <w:outlineLvl w:val="0"/>
    </w:pPr>
    <w:rPr>
      <w:b/>
      <w:bCs/>
      <w:color w:val="1A1A1A"/>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3032</Words>
  <Characters>3326</Characters>
  <Lines>24</Lines>
  <Paragraphs>7</Paragraphs>
  <TotalTime>108</TotalTime>
  <ScaleCrop>false</ScaleCrop>
  <LinksUpToDate>false</LinksUpToDate>
  <CharactersWithSpaces>3353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2023-06-19T23:08:00Z</dcterms:created>
  <dc:creator>l'd'y</dc:creator>
  <cp:lastModifiedBy>admin</cp:lastModifiedBy>
  <dcterms:modified xsi:type="dcterms:W3CDTF">2023-08-08T04:44:37Z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AA5003D0C37E4E4C87AB5CC7F81CDBAE_13</vt:lpwstr>
  </property>
</Properties>
</file>