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r>
        <w:rPr>
          <w:rFonts w:hint="eastAsia"/>
        </w:rPr>
        <w:t>合同编号：</w:t>
      </w:r>
    </w:p>
    <w:p>
      <w:pPr>
        <w:jc w:val="right"/>
      </w:pPr>
    </w:p>
    <w:p/>
    <w:p/>
    <w:p/>
    <w:p/>
    <w:p>
      <w:pPr>
        <w:spacing w:line="720" w:lineRule="auto"/>
        <w:jc w:val="center"/>
        <w:rPr>
          <w:rFonts w:eastAsiaTheme="minorEastAsia"/>
          <w:b/>
          <w:bCs w:val="0"/>
          <w:spacing w:val="20"/>
          <w:sz w:val="44"/>
          <w:szCs w:val="44"/>
        </w:rPr>
      </w:pPr>
      <w:r>
        <w:rPr>
          <w:rFonts w:eastAsiaTheme="minorEastAsia"/>
          <w:b/>
          <w:bCs w:val="0"/>
          <w:spacing w:val="20"/>
          <w:sz w:val="44"/>
          <w:szCs w:val="44"/>
        </w:rPr>
        <w:t>广州北站东侧老旧小区成片连片微改造</w:t>
      </w:r>
    </w:p>
    <w:p>
      <w:pPr>
        <w:spacing w:line="720" w:lineRule="auto"/>
        <w:jc w:val="center"/>
        <w:rPr>
          <w:rFonts w:eastAsiaTheme="minorEastAsia"/>
          <w:b/>
          <w:bCs w:val="0"/>
          <w:spacing w:val="20"/>
          <w:sz w:val="60"/>
          <w:szCs w:val="60"/>
        </w:rPr>
      </w:pPr>
      <w:r>
        <w:rPr>
          <w:rFonts w:hint="eastAsia" w:eastAsiaTheme="minorEastAsia"/>
          <w:b/>
          <w:bCs w:val="0"/>
          <w:spacing w:val="20"/>
          <w:sz w:val="44"/>
          <w:szCs w:val="44"/>
        </w:rPr>
        <w:t>项目</w:t>
      </w:r>
      <w:r>
        <w:rPr>
          <w:rFonts w:eastAsiaTheme="minorEastAsia"/>
          <w:b/>
          <w:bCs w:val="0"/>
          <w:spacing w:val="20"/>
          <w:sz w:val="44"/>
          <w:szCs w:val="44"/>
        </w:rPr>
        <w:t>全过程造价咨询合同</w:t>
      </w:r>
    </w:p>
    <w:p>
      <w:pPr>
        <w:jc w:val="center"/>
      </w:pPr>
    </w:p>
    <w:p/>
    <w:p/>
    <w:p/>
    <w:p/>
    <w:p/>
    <w:p/>
    <w:p/>
    <w:p>
      <w:pPr>
        <w:rPr>
          <w:sz w:val="28"/>
          <w:szCs w:val="28"/>
        </w:rPr>
      </w:pPr>
    </w:p>
    <w:p>
      <w:pPr>
        <w:rPr>
          <w:sz w:val="28"/>
          <w:szCs w:val="28"/>
        </w:rPr>
      </w:pPr>
    </w:p>
    <w:p>
      <w:pPr>
        <w:rPr>
          <w:rFonts w:ascii="宋体" w:hAnsi="宋体" w:cs="宋体"/>
          <w:b/>
          <w:bCs w:val="0"/>
          <w:sz w:val="30"/>
          <w:szCs w:val="30"/>
          <w:u w:val="single"/>
        </w:rPr>
      </w:pPr>
      <w:r>
        <w:rPr>
          <w:rFonts w:hint="eastAsia" w:ascii="宋体" w:hAnsi="宋体" w:cs="宋体"/>
          <w:b/>
          <w:sz w:val="30"/>
          <w:szCs w:val="30"/>
        </w:rPr>
        <w:t>委托人（甲方）：</w:t>
      </w:r>
      <w:r>
        <w:rPr>
          <w:rFonts w:hint="eastAsia" w:ascii="宋体" w:hAnsi="宋体" w:cs="宋体"/>
          <w:sz w:val="30"/>
          <w:szCs w:val="30"/>
          <w:u w:val="single"/>
        </w:rPr>
        <w:t>广州市花都区人民政府新华街道办事处</w:t>
      </w:r>
    </w:p>
    <w:p>
      <w:pPr>
        <w:rPr>
          <w:rFonts w:ascii="宋体" w:hAnsi="宋体" w:cs="宋体"/>
          <w:b/>
          <w:sz w:val="30"/>
          <w:szCs w:val="30"/>
        </w:rPr>
      </w:pPr>
      <w:r>
        <w:rPr>
          <w:rFonts w:hint="eastAsia" w:ascii="宋体" w:hAnsi="宋体" w:cs="宋体"/>
          <w:b/>
          <w:sz w:val="30"/>
          <w:szCs w:val="30"/>
        </w:rPr>
        <w:t>咨询人（乙方）：</w:t>
      </w:r>
    </w:p>
    <w:p>
      <w:pPr>
        <w:pStyle w:val="7"/>
      </w:pPr>
    </w:p>
    <w:p>
      <w:pPr>
        <w:ind w:firstLine="2259" w:firstLineChars="750"/>
        <w:rPr>
          <w:rFonts w:ascii="宋体" w:hAnsi="宋体" w:cs="宋体"/>
          <w:b/>
          <w:bCs w:val="0"/>
          <w:sz w:val="30"/>
          <w:szCs w:val="30"/>
          <w:u w:val="single"/>
        </w:rPr>
      </w:pPr>
    </w:p>
    <w:p>
      <w:pPr>
        <w:spacing w:beforeLines="100" w:afterLines="50" w:line="360" w:lineRule="exact"/>
        <w:ind w:firstLine="904" w:firstLineChars="300"/>
        <w:rPr>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020" w:right="1361" w:bottom="1020" w:left="1417" w:header="850" w:footer="850" w:gutter="0"/>
          <w:pgNumType w:fmt="numberInDash" w:start="1"/>
          <w:cols w:space="720" w:num="1"/>
          <w:titlePg/>
          <w:docGrid w:type="lines" w:linePitch="312" w:charSpace="0"/>
        </w:sectPr>
      </w:pPr>
      <w:r>
        <w:rPr>
          <w:rFonts w:ascii="宋体" w:hAnsi="宋体" w:cs="宋体"/>
          <w:b/>
          <w:sz w:val="30"/>
          <w:szCs w:val="30"/>
        </w:rPr>
        <w:t>合同签订日期</w:t>
      </w:r>
      <w:r>
        <w:rPr>
          <w:b/>
          <w:sz w:val="28"/>
          <w:szCs w:val="28"/>
        </w:rPr>
        <w:t>：年     月     日</w:t>
      </w:r>
    </w:p>
    <w:p>
      <w:pPr>
        <w:jc w:val="center"/>
        <w:rPr>
          <w:b/>
          <w:sz w:val="36"/>
          <w:szCs w:val="36"/>
        </w:rPr>
      </w:pPr>
      <w:r>
        <w:rPr>
          <w:b/>
          <w:sz w:val="36"/>
          <w:szCs w:val="36"/>
        </w:rPr>
        <w:t>第一部分　全过程造价咨询</w:t>
      </w:r>
      <w:r>
        <w:rPr>
          <w:rFonts w:hint="eastAsia"/>
          <w:b/>
          <w:sz w:val="36"/>
          <w:szCs w:val="36"/>
        </w:rPr>
        <w:t>协议书</w:t>
      </w:r>
    </w:p>
    <w:p>
      <w:pPr>
        <w:jc w:val="center"/>
        <w:rPr>
          <w:b/>
          <w:sz w:val="32"/>
          <w:szCs w:val="32"/>
        </w:rPr>
      </w:pPr>
    </w:p>
    <w:p>
      <w:pPr>
        <w:spacing w:line="360" w:lineRule="auto"/>
        <w:ind w:right="-178" w:rightChars="-85"/>
        <w:rPr>
          <w:rFonts w:ascii="宋体" w:hAnsi="宋体" w:cs="宋体"/>
          <w:b/>
          <w:bCs w:val="0"/>
          <w:sz w:val="24"/>
          <w:u w:val="single"/>
        </w:rPr>
      </w:pPr>
      <w:r>
        <w:rPr>
          <w:rFonts w:hint="eastAsia" w:ascii="宋体" w:hAnsi="宋体" w:cs="宋体"/>
          <w:b/>
          <w:sz w:val="24"/>
        </w:rPr>
        <w:t>委托人（甲方）：</w:t>
      </w:r>
      <w:r>
        <w:rPr>
          <w:rFonts w:hint="eastAsia" w:ascii="宋体" w:hAnsi="宋体" w:cs="宋体"/>
          <w:sz w:val="24"/>
          <w:u w:val="single"/>
        </w:rPr>
        <w:t>广州市花都区人民政府新华街道办事处</w:t>
      </w:r>
    </w:p>
    <w:p>
      <w:pPr>
        <w:spacing w:line="360" w:lineRule="auto"/>
        <w:ind w:right="-178" w:rightChars="-85"/>
        <w:rPr>
          <w:rFonts w:ascii="宋体" w:hAnsi="宋体" w:cs="宋体"/>
          <w:sz w:val="24"/>
          <w:u w:val="single"/>
          <w:shd w:val="pct10" w:color="auto" w:fill="FFFFFF"/>
        </w:rPr>
      </w:pPr>
      <w:r>
        <w:rPr>
          <w:rFonts w:hint="eastAsia" w:ascii="宋体" w:hAnsi="宋体" w:cs="宋体"/>
          <w:b/>
          <w:sz w:val="24"/>
        </w:rPr>
        <w:t>咨询人（乙方）：</w:t>
      </w:r>
    </w:p>
    <w:p>
      <w:pPr>
        <w:spacing w:line="360" w:lineRule="auto"/>
        <w:ind w:firstLine="480" w:firstLineChars="200"/>
        <w:rPr>
          <w:rFonts w:ascii="宋体" w:hAnsi="宋体" w:cs="宋体"/>
          <w:sz w:val="24"/>
        </w:rPr>
      </w:pPr>
      <w:r>
        <w:rPr>
          <w:rFonts w:hint="eastAsia" w:ascii="宋体" w:hAnsi="宋体" w:cs="宋体"/>
          <w:sz w:val="24"/>
        </w:rPr>
        <w:t>经过双方协商一致，签订本合同。</w:t>
      </w:r>
    </w:p>
    <w:p>
      <w:pPr>
        <w:spacing w:line="360" w:lineRule="auto"/>
        <w:ind w:firstLine="482" w:firstLineChars="200"/>
        <w:outlineLvl w:val="0"/>
        <w:rPr>
          <w:rFonts w:ascii="宋体" w:hAnsi="宋体" w:cs="宋体"/>
          <w:b/>
          <w:bCs w:val="0"/>
          <w:sz w:val="24"/>
        </w:rPr>
      </w:pPr>
      <w:r>
        <w:rPr>
          <w:rFonts w:hint="eastAsia" w:ascii="宋体" w:hAnsi="宋体" w:cs="宋体"/>
          <w:b/>
          <w:bCs w:val="0"/>
          <w:sz w:val="24"/>
        </w:rPr>
        <w:t>一、甲方委托乙方为以下项目提供建设工程造价咨询服务：</w:t>
      </w:r>
    </w:p>
    <w:p>
      <w:pPr>
        <w:spacing w:line="360" w:lineRule="auto"/>
        <w:outlineLvl w:val="0"/>
        <w:rPr>
          <w:rFonts w:ascii="宋体" w:hAnsi="宋体" w:cs="宋体"/>
          <w:b/>
          <w:bCs w:val="0"/>
          <w:sz w:val="24"/>
        </w:rPr>
      </w:pPr>
      <w:r>
        <w:rPr>
          <w:rFonts w:hint="eastAsia" w:ascii="宋体" w:hAnsi="宋体" w:cs="宋体"/>
          <w:b/>
          <w:bCs w:val="0"/>
          <w:sz w:val="24"/>
        </w:rPr>
        <w:t xml:space="preserve">    1. 项目名称：</w:t>
      </w:r>
      <w:r>
        <w:rPr>
          <w:rFonts w:hint="eastAsia" w:ascii="宋体" w:hAnsi="宋体" w:cs="宋体"/>
          <w:sz w:val="24"/>
          <w:u w:val="single"/>
        </w:rPr>
        <w:t>广州北站东侧老旧小区成片连片微改造项目</w:t>
      </w:r>
    </w:p>
    <w:p>
      <w:pPr>
        <w:spacing w:line="480" w:lineRule="exact"/>
        <w:ind w:firstLine="487" w:firstLineChars="202"/>
        <w:rPr>
          <w:rFonts w:ascii="宋体" w:hAnsi="宋体" w:cs="宋体"/>
          <w:sz w:val="24"/>
          <w:u w:val="single"/>
        </w:rPr>
      </w:pPr>
      <w:r>
        <w:rPr>
          <w:rFonts w:hint="eastAsia" w:ascii="宋体" w:hAnsi="宋体" w:cs="宋体"/>
          <w:b/>
          <w:kern w:val="0"/>
          <w:sz w:val="24"/>
        </w:rPr>
        <w:t>2. 工程规模：</w:t>
      </w:r>
      <w:r>
        <w:rPr>
          <w:rFonts w:hint="eastAsia" w:ascii="宋体" w:hAnsi="黑体" w:cs="仿宋_GB2312"/>
          <w:sz w:val="24"/>
          <w:u w:val="single"/>
        </w:rPr>
        <w:t>项目位于新华街，北至秀全大道、南至新街河、东至建设路、西至新民路，占地面积约71.4公顷。片区范围涉及福宁、丰盛、新民、聚贤（部分）、华南（部分）5个社区及新华村1个城中村。项目主要建设内容包括 126 个老旧小区的微改造工程、人居环境提升工程、配套设施提升改造工程以及排水改造工程等，涉及改造建筑面积约608320平方米，新建房屋建筑面积约1668平方米。具体实施内容以花都区政府批复的项目实施方案为准。</w:t>
      </w:r>
    </w:p>
    <w:p>
      <w:pPr>
        <w:spacing w:line="360" w:lineRule="auto"/>
        <w:ind w:firstLine="484" w:firstLineChars="202"/>
        <w:rPr>
          <w:rFonts w:ascii="宋体" w:hAnsi="宋体" w:cs="宋体"/>
          <w:b/>
          <w:color w:val="000000" w:themeColor="text1"/>
          <w:sz w:val="24"/>
          <w:u w:val="single"/>
          <w14:textFill>
            <w14:solidFill>
              <w14:schemeClr w14:val="tx1"/>
            </w14:solidFill>
          </w14:textFill>
        </w:rPr>
      </w:pPr>
      <w:r>
        <w:rPr>
          <w:rFonts w:hint="eastAsia" w:ascii="宋体" w:hAnsi="宋体" w:cs="宋体"/>
          <w:sz w:val="24"/>
          <w:u w:val="single"/>
        </w:rPr>
        <w:t>项目估算总投资约59319.53万元（其中启动区估算总投资11505万元），工程建安费用约49087.23万元（其中启动区工程建安费用约9065万元）。</w:t>
      </w:r>
    </w:p>
    <w:p>
      <w:pPr>
        <w:numPr>
          <w:ilvl w:val="0"/>
          <w:numId w:val="2"/>
        </w:numPr>
        <w:tabs>
          <w:tab w:val="left" w:pos="284"/>
          <w:tab w:val="left" w:pos="426"/>
        </w:tabs>
        <w:spacing w:line="360" w:lineRule="auto"/>
        <w:ind w:firstLine="482" w:firstLineChars="200"/>
        <w:rPr>
          <w:rFonts w:ascii="宋体" w:hAnsi="宋体" w:cs="宋体"/>
          <w:bCs w:val="0"/>
          <w:sz w:val="24"/>
        </w:rPr>
      </w:pPr>
      <w:r>
        <w:rPr>
          <w:rFonts w:hint="eastAsia" w:ascii="宋体" w:hAnsi="宋体" w:cs="宋体"/>
          <w:b/>
          <w:bCs w:val="0"/>
          <w:sz w:val="24"/>
        </w:rPr>
        <w:t>服务内容：</w:t>
      </w:r>
      <w:r>
        <w:rPr>
          <w:rFonts w:hint="eastAsia" w:ascii="宋体" w:hAnsi="宋体" w:cs="宋体"/>
          <w:bCs w:val="0"/>
          <w:sz w:val="24"/>
        </w:rPr>
        <w:t xml:space="preserve">包括但不限于以下内容：          </w:t>
      </w:r>
    </w:p>
    <w:tbl>
      <w:tblPr>
        <w:tblStyle w:val="20"/>
        <w:tblW w:w="9515"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11"/>
        <w:gridCol w:w="1117"/>
        <w:gridCol w:w="7687"/>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004" w:hRule="atLeast"/>
          <w:jc w:val="center"/>
        </w:trPr>
        <w:tc>
          <w:tcPr>
            <w:tcW w:w="71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widowControl/>
              <w:shd w:val="solid" w:color="FFFFFF" w:fill="auto"/>
              <w:snapToGrid w:val="0"/>
              <w:spacing w:line="360" w:lineRule="auto"/>
              <w:jc w:val="center"/>
              <w:rPr>
                <w:rFonts w:ascii="宋体" w:hAnsi="宋体" w:cs="宋体"/>
                <w:sz w:val="24"/>
                <w:shd w:val="clear" w:color="auto" w:fill="FFFFFF"/>
              </w:rPr>
            </w:pPr>
            <w:r>
              <w:rPr>
                <w:rFonts w:hint="eastAsia" w:ascii="宋体" w:hAnsi="宋体" w:cs="宋体"/>
                <w:kern w:val="0"/>
                <w:sz w:val="24"/>
                <w:shd w:val="clear" w:color="auto" w:fill="FFFFFF"/>
              </w:rPr>
              <w:t>序号</w:t>
            </w:r>
          </w:p>
        </w:tc>
        <w:tc>
          <w:tcPr>
            <w:tcW w:w="1117"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widowControl/>
              <w:shd w:val="solid" w:color="FFFFFF" w:fill="auto"/>
              <w:snapToGrid w:val="0"/>
              <w:spacing w:line="360" w:lineRule="auto"/>
              <w:jc w:val="center"/>
              <w:rPr>
                <w:rFonts w:ascii="宋体" w:hAnsi="宋体" w:cs="宋体"/>
                <w:sz w:val="24"/>
                <w:shd w:val="clear" w:color="auto" w:fill="FFFFFF"/>
              </w:rPr>
            </w:pPr>
            <w:r>
              <w:rPr>
                <w:rFonts w:hint="eastAsia" w:ascii="宋体" w:hAnsi="宋体" w:cs="宋体"/>
                <w:kern w:val="0"/>
                <w:sz w:val="24"/>
                <w:shd w:val="clear" w:color="auto" w:fill="FFFFFF"/>
              </w:rPr>
              <w:t>阶段</w:t>
            </w:r>
          </w:p>
        </w:tc>
        <w:tc>
          <w:tcPr>
            <w:tcW w:w="7687"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widowControl/>
              <w:shd w:val="solid" w:color="FFFFFF" w:fill="auto"/>
              <w:snapToGrid w:val="0"/>
              <w:spacing w:line="360" w:lineRule="auto"/>
              <w:jc w:val="center"/>
              <w:rPr>
                <w:rFonts w:ascii="宋体" w:hAnsi="宋体" w:cs="宋体"/>
                <w:sz w:val="24"/>
                <w:shd w:val="clear" w:color="auto" w:fill="FFFFFF"/>
              </w:rPr>
            </w:pPr>
            <w:r>
              <w:rPr>
                <w:rFonts w:hint="eastAsia" w:ascii="宋体" w:hAnsi="宋体" w:cs="宋体"/>
                <w:kern w:val="0"/>
                <w:sz w:val="24"/>
                <w:shd w:val="clear" w:color="auto" w:fill="FFFFFF"/>
              </w:rPr>
              <w:t>工作内容</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71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widowControl/>
              <w:shd w:val="solid" w:color="FFFFFF" w:fill="auto"/>
              <w:snapToGrid w:val="0"/>
              <w:spacing w:line="360" w:lineRule="auto"/>
              <w:jc w:val="center"/>
              <w:rPr>
                <w:rFonts w:ascii="宋体" w:hAnsi="宋体" w:cs="宋体"/>
                <w:sz w:val="24"/>
                <w:shd w:val="clear" w:color="auto" w:fill="FFFFFF"/>
              </w:rPr>
            </w:pPr>
            <w:r>
              <w:rPr>
                <w:rFonts w:hint="eastAsia" w:ascii="宋体" w:hAnsi="宋体" w:cs="宋体"/>
                <w:kern w:val="0"/>
                <w:sz w:val="24"/>
                <w:shd w:val="clear" w:color="auto" w:fill="FFFFFF"/>
              </w:rPr>
              <w:t>1</w:t>
            </w:r>
          </w:p>
        </w:tc>
        <w:tc>
          <w:tcPr>
            <w:tcW w:w="1117"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widowControl/>
              <w:shd w:val="solid" w:color="FFFFFF" w:fill="auto"/>
              <w:snapToGrid w:val="0"/>
              <w:spacing w:line="360" w:lineRule="auto"/>
              <w:rPr>
                <w:rFonts w:ascii="宋体" w:hAnsi="宋体" w:cs="宋体"/>
                <w:sz w:val="24"/>
                <w:shd w:val="clear" w:color="auto" w:fill="FFFFFF"/>
              </w:rPr>
            </w:pPr>
            <w:r>
              <w:rPr>
                <w:rFonts w:hint="eastAsia" w:ascii="宋体" w:hAnsi="宋体" w:cs="宋体"/>
                <w:kern w:val="0"/>
                <w:sz w:val="24"/>
                <w:shd w:val="clear" w:color="auto" w:fill="FFFFFF"/>
              </w:rPr>
              <w:t>设计概算及概算评审阶段（如有）</w:t>
            </w:r>
          </w:p>
        </w:tc>
        <w:tc>
          <w:tcPr>
            <w:tcW w:w="7687"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tcPr>
          <w:p>
            <w:pPr>
              <w:snapToGrid w:val="0"/>
              <w:spacing w:line="360" w:lineRule="auto"/>
              <w:rPr>
                <w:rFonts w:ascii="宋体" w:hAnsi="宋体" w:cs="宋体"/>
                <w:kern w:val="0"/>
                <w:sz w:val="24"/>
                <w:shd w:val="clear" w:color="auto" w:fill="FFFFFF"/>
              </w:rPr>
            </w:pPr>
            <w:r>
              <w:rPr>
                <w:rFonts w:hint="eastAsia" w:ascii="宋体" w:hAnsi="宋体" w:cs="宋体"/>
                <w:kern w:val="0"/>
                <w:sz w:val="24"/>
                <w:shd w:val="clear" w:color="auto" w:fill="FFFFFF"/>
              </w:rPr>
              <w:t>1.负责审核并协助完成设计概算评审，提出专业意见及合理化建议，并提交审核报告，并负责协调与概算评审单位的对数工作。</w:t>
            </w:r>
          </w:p>
          <w:p>
            <w:pPr>
              <w:snapToGrid w:val="0"/>
              <w:spacing w:line="360" w:lineRule="auto"/>
              <w:rPr>
                <w:rFonts w:ascii="宋体" w:hAnsi="宋体" w:cs="宋体"/>
                <w:kern w:val="0"/>
                <w:sz w:val="24"/>
                <w:shd w:val="clear" w:color="auto" w:fill="FFFFFF"/>
              </w:rPr>
            </w:pPr>
            <w:r>
              <w:rPr>
                <w:rFonts w:hint="eastAsia" w:ascii="宋体" w:hAnsi="宋体" w:cs="宋体"/>
                <w:kern w:val="0"/>
                <w:sz w:val="24"/>
                <w:shd w:val="clear" w:color="auto" w:fill="FFFFFF"/>
              </w:rPr>
              <w:t>2.负责根据批准的设计概算，提出工程项目的各专业工程和各阶段造价限额指标。</w:t>
            </w:r>
          </w:p>
          <w:p>
            <w:pPr>
              <w:snapToGrid w:val="0"/>
              <w:spacing w:line="360" w:lineRule="auto"/>
              <w:rPr>
                <w:rFonts w:ascii="宋体" w:hAnsi="宋体" w:cs="宋体"/>
                <w:kern w:val="0"/>
                <w:sz w:val="24"/>
                <w:shd w:val="clear" w:color="auto" w:fill="FFFFFF"/>
              </w:rPr>
            </w:pPr>
            <w:r>
              <w:rPr>
                <w:rFonts w:hint="eastAsia" w:ascii="宋体" w:hAnsi="宋体" w:cs="宋体"/>
                <w:kern w:val="0"/>
                <w:sz w:val="24"/>
                <w:shd w:val="clear" w:color="auto" w:fill="FFFFFF"/>
              </w:rPr>
              <w:t>3.负责对设计中采用的主材、设备等提供市场信息，进行方案比较，提出优化建议。</w:t>
            </w:r>
          </w:p>
          <w:p>
            <w:pPr>
              <w:snapToGrid w:val="0"/>
              <w:spacing w:line="360" w:lineRule="auto"/>
              <w:rPr>
                <w:rFonts w:ascii="宋体" w:hAnsi="宋体" w:cs="宋体"/>
                <w:kern w:val="0"/>
                <w:sz w:val="24"/>
                <w:shd w:val="clear" w:color="auto" w:fill="FFFFFF"/>
              </w:rPr>
            </w:pPr>
            <w:r>
              <w:rPr>
                <w:rFonts w:hint="eastAsia" w:ascii="宋体" w:hAnsi="宋体" w:cs="宋体"/>
                <w:kern w:val="0"/>
                <w:sz w:val="24"/>
                <w:shd w:val="clear" w:color="auto" w:fill="FFFFFF"/>
              </w:rPr>
              <w:t>4.负责参加设计方案论证会议、工程图纸会审、变更论证等专题会，提出造价专业意见。</w:t>
            </w:r>
          </w:p>
          <w:p>
            <w:pPr>
              <w:snapToGrid w:val="0"/>
              <w:spacing w:line="360" w:lineRule="auto"/>
              <w:rPr>
                <w:rFonts w:ascii="宋体" w:hAnsi="宋体" w:cs="宋体"/>
                <w:kern w:val="0"/>
                <w:sz w:val="24"/>
                <w:shd w:val="clear" w:color="auto" w:fill="FFFFFF"/>
              </w:rPr>
            </w:pPr>
            <w:r>
              <w:rPr>
                <w:rFonts w:hint="eastAsia" w:ascii="宋体" w:hAnsi="宋体" w:cs="宋体"/>
                <w:kern w:val="0"/>
                <w:sz w:val="24"/>
                <w:shd w:val="clear" w:color="auto" w:fill="FFFFFF"/>
              </w:rPr>
              <w:t>5.根据确定的初步设计概算编制详细的工程成本预测和资金流量预测分析，以作为进度和成本控制的目标；随设计的深入定期分析工程成本、定期修正资金流量预测。</w:t>
            </w:r>
          </w:p>
          <w:p>
            <w:pPr>
              <w:widowControl/>
              <w:shd w:val="solid" w:color="FFFFFF" w:fill="auto"/>
              <w:snapToGrid w:val="0"/>
              <w:spacing w:line="360" w:lineRule="auto"/>
              <w:rPr>
                <w:rFonts w:ascii="宋体" w:hAnsi="宋体" w:cs="宋体"/>
                <w:kern w:val="0"/>
                <w:sz w:val="24"/>
                <w:shd w:val="clear" w:color="auto" w:fill="FFFFFF"/>
              </w:rPr>
            </w:pPr>
            <w:r>
              <w:rPr>
                <w:rFonts w:hint="eastAsia" w:ascii="宋体" w:hAnsi="宋体" w:cs="宋体"/>
                <w:kern w:val="0"/>
                <w:sz w:val="24"/>
                <w:shd w:val="clear" w:color="auto" w:fill="FFFFFF"/>
              </w:rPr>
              <w:t>6.负责按甲方要求编制各类造价管理文件。</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71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widowControl/>
              <w:shd w:val="solid" w:color="FFFFFF" w:fill="auto"/>
              <w:snapToGrid w:val="0"/>
              <w:spacing w:line="360" w:lineRule="auto"/>
              <w:jc w:val="center"/>
              <w:rPr>
                <w:rFonts w:ascii="宋体" w:hAnsi="宋体" w:cs="宋体"/>
                <w:kern w:val="0"/>
                <w:sz w:val="24"/>
                <w:shd w:val="clear" w:color="auto" w:fill="FFFFFF"/>
              </w:rPr>
            </w:pPr>
          </w:p>
          <w:p>
            <w:pPr>
              <w:widowControl/>
              <w:shd w:val="solid" w:color="FFFFFF" w:fill="auto"/>
              <w:snapToGrid w:val="0"/>
              <w:spacing w:line="360" w:lineRule="auto"/>
              <w:jc w:val="center"/>
              <w:rPr>
                <w:rFonts w:ascii="宋体" w:hAnsi="宋体" w:cs="宋体"/>
                <w:kern w:val="0"/>
                <w:sz w:val="24"/>
                <w:shd w:val="clear" w:color="auto" w:fill="FFFFFF"/>
              </w:rPr>
            </w:pPr>
          </w:p>
          <w:p>
            <w:pPr>
              <w:widowControl/>
              <w:shd w:val="solid" w:color="FFFFFF" w:fill="auto"/>
              <w:snapToGrid w:val="0"/>
              <w:spacing w:line="360" w:lineRule="auto"/>
              <w:jc w:val="center"/>
              <w:rPr>
                <w:rFonts w:ascii="宋体" w:hAnsi="宋体" w:cs="宋体"/>
                <w:kern w:val="0"/>
                <w:sz w:val="24"/>
                <w:shd w:val="clear" w:color="auto" w:fill="FFFFFF"/>
              </w:rPr>
            </w:pPr>
            <w:r>
              <w:rPr>
                <w:rFonts w:hint="eastAsia" w:ascii="宋体" w:hAnsi="宋体" w:cs="宋体"/>
                <w:kern w:val="0"/>
                <w:sz w:val="24"/>
                <w:shd w:val="clear" w:color="auto" w:fill="FFFFFF"/>
              </w:rPr>
              <w:t>2</w:t>
            </w:r>
          </w:p>
        </w:tc>
        <w:tc>
          <w:tcPr>
            <w:tcW w:w="1117"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widowControl/>
              <w:shd w:val="solid" w:color="FFFFFF" w:fill="auto"/>
              <w:snapToGrid w:val="0"/>
              <w:spacing w:line="360" w:lineRule="auto"/>
              <w:jc w:val="center"/>
              <w:rPr>
                <w:rFonts w:ascii="宋体" w:hAnsi="宋体" w:cs="宋体"/>
                <w:kern w:val="0"/>
                <w:sz w:val="24"/>
                <w:shd w:val="clear" w:color="auto" w:fill="FFFFFF"/>
              </w:rPr>
            </w:pPr>
          </w:p>
          <w:p>
            <w:pPr>
              <w:widowControl/>
              <w:shd w:val="solid" w:color="FFFFFF" w:fill="auto"/>
              <w:snapToGrid w:val="0"/>
              <w:spacing w:line="360" w:lineRule="auto"/>
              <w:jc w:val="center"/>
              <w:rPr>
                <w:rFonts w:ascii="宋体" w:hAnsi="宋体" w:cs="宋体"/>
                <w:kern w:val="0"/>
                <w:sz w:val="24"/>
                <w:shd w:val="clear" w:color="auto" w:fill="FFFFFF"/>
              </w:rPr>
            </w:pPr>
          </w:p>
          <w:p>
            <w:pPr>
              <w:widowControl/>
              <w:shd w:val="solid" w:color="FFFFFF" w:fill="auto"/>
              <w:snapToGrid w:val="0"/>
              <w:spacing w:line="360" w:lineRule="auto"/>
              <w:jc w:val="center"/>
              <w:rPr>
                <w:rFonts w:ascii="宋体" w:hAnsi="宋体" w:cs="宋体"/>
                <w:kern w:val="0"/>
                <w:sz w:val="24"/>
                <w:shd w:val="clear" w:color="auto" w:fill="FFFFFF"/>
              </w:rPr>
            </w:pPr>
            <w:r>
              <w:rPr>
                <w:rFonts w:hint="eastAsia" w:ascii="宋体" w:hAnsi="宋体" w:cs="宋体"/>
                <w:kern w:val="0"/>
                <w:sz w:val="24"/>
                <w:shd w:val="clear" w:color="auto" w:fill="FFFFFF"/>
              </w:rPr>
              <w:t>施工图预算及预算评审阶段</w:t>
            </w:r>
          </w:p>
        </w:tc>
        <w:tc>
          <w:tcPr>
            <w:tcW w:w="7687"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tcPr>
          <w:p>
            <w:pPr>
              <w:snapToGrid w:val="0"/>
              <w:spacing w:line="360" w:lineRule="auto"/>
              <w:rPr>
                <w:rFonts w:ascii="宋体" w:hAnsi="宋体" w:cs="宋体"/>
                <w:sz w:val="24"/>
                <w:lang w:val="zh-CN"/>
              </w:rPr>
            </w:pPr>
            <w:r>
              <w:rPr>
                <w:rFonts w:hint="eastAsia" w:ascii="宋体" w:hAnsi="宋体" w:cs="宋体"/>
                <w:sz w:val="24"/>
              </w:rPr>
              <w:t>1.</w:t>
            </w:r>
            <w:r>
              <w:rPr>
                <w:rFonts w:hint="eastAsia" w:ascii="宋体" w:hAnsi="宋体" w:cs="宋体"/>
                <w:sz w:val="24"/>
                <w:lang w:val="zh-CN"/>
              </w:rPr>
              <w:t xml:space="preserve">负责编制施工图预算（含设计图纸修改后调整相应预算）。按时提交编制报告、调整意见及合理化建议。 </w:t>
            </w:r>
          </w:p>
          <w:p>
            <w:pPr>
              <w:snapToGrid w:val="0"/>
              <w:spacing w:line="360" w:lineRule="auto"/>
              <w:rPr>
                <w:rFonts w:ascii="宋体" w:hAnsi="宋体" w:cs="宋体"/>
                <w:sz w:val="24"/>
                <w:lang w:val="zh-CN"/>
              </w:rPr>
            </w:pPr>
            <w:r>
              <w:rPr>
                <w:rFonts w:hint="eastAsia" w:ascii="宋体" w:hAnsi="宋体" w:cs="宋体"/>
                <w:sz w:val="24"/>
              </w:rPr>
              <w:t>2.</w:t>
            </w:r>
            <w:r>
              <w:rPr>
                <w:rFonts w:hint="eastAsia" w:ascii="宋体" w:hAnsi="宋体" w:cs="宋体"/>
                <w:sz w:val="24"/>
                <w:lang w:val="zh-CN"/>
              </w:rPr>
              <w:t>负责跟进预算、组织项目建设工程预算评审等各阶段工作，并及时反馈意见，对评审结果进行分解分析，给出专业意见及合理化建议。</w:t>
            </w:r>
          </w:p>
          <w:p>
            <w:pPr>
              <w:snapToGrid w:val="0"/>
              <w:spacing w:line="360" w:lineRule="auto"/>
              <w:rPr>
                <w:rFonts w:ascii="宋体" w:hAnsi="宋体" w:cs="宋体"/>
                <w:sz w:val="24"/>
                <w:lang w:val="zh-CN"/>
              </w:rPr>
            </w:pPr>
            <w:r>
              <w:rPr>
                <w:rFonts w:hint="eastAsia" w:ascii="宋体" w:hAnsi="宋体" w:cs="宋体"/>
                <w:sz w:val="24"/>
              </w:rPr>
              <w:t>3.</w:t>
            </w:r>
            <w:r>
              <w:rPr>
                <w:rFonts w:hint="eastAsia" w:ascii="宋体" w:hAnsi="宋体" w:cs="宋体"/>
                <w:kern w:val="0"/>
                <w:sz w:val="24"/>
                <w:shd w:val="clear" w:color="auto" w:fill="FFFFFF"/>
              </w:rPr>
              <w:t xml:space="preserve"> 根据预算文件编制清单前言，并对清单前言的严谨性、完善性负责。</w:t>
            </w:r>
          </w:p>
          <w:p>
            <w:pPr>
              <w:snapToGrid w:val="0"/>
              <w:spacing w:line="360" w:lineRule="auto"/>
              <w:rPr>
                <w:rFonts w:ascii="宋体" w:hAnsi="宋体" w:cs="宋体"/>
                <w:sz w:val="24"/>
                <w:lang w:val="zh-CN"/>
              </w:rPr>
            </w:pPr>
            <w:r>
              <w:rPr>
                <w:rFonts w:hint="eastAsia" w:ascii="宋体" w:hAnsi="宋体" w:cs="宋体"/>
                <w:sz w:val="24"/>
                <w:lang w:val="zh-CN"/>
              </w:rPr>
              <w:t>4.根据确定的</w:t>
            </w:r>
            <w:r>
              <w:rPr>
                <w:rFonts w:hint="eastAsia" w:ascii="宋体" w:hAnsi="宋体" w:cs="宋体"/>
                <w:sz w:val="24"/>
              </w:rPr>
              <w:t>施工图预算</w:t>
            </w:r>
            <w:r>
              <w:rPr>
                <w:rFonts w:hint="eastAsia" w:ascii="宋体" w:hAnsi="宋体" w:cs="宋体"/>
                <w:sz w:val="24"/>
                <w:lang w:val="zh-CN"/>
              </w:rPr>
              <w:t>编制详细的工程成本预测和资金流量预测分析，以作为进度和成本控制的目标；随设计的深入定期分析工程成本、定期修正资金流量预测。</w:t>
            </w:r>
          </w:p>
          <w:p>
            <w:pPr>
              <w:snapToGrid w:val="0"/>
              <w:spacing w:line="360" w:lineRule="auto"/>
              <w:rPr>
                <w:rFonts w:ascii="宋体" w:hAnsi="宋体" w:cs="宋体"/>
                <w:sz w:val="24"/>
                <w:lang w:val="zh-CN"/>
              </w:rPr>
            </w:pPr>
            <w:r>
              <w:rPr>
                <w:rFonts w:hint="eastAsia" w:ascii="宋体" w:hAnsi="宋体" w:cs="宋体"/>
                <w:sz w:val="24"/>
                <w:lang w:val="zh-CN"/>
              </w:rPr>
              <w:t>5.负责按甲方要求编制各类造价管理文件。</w:t>
            </w:r>
          </w:p>
          <w:p>
            <w:pPr>
              <w:widowControl/>
              <w:shd w:val="solid" w:color="FFFFFF" w:fill="auto"/>
              <w:snapToGrid w:val="0"/>
              <w:spacing w:line="360" w:lineRule="auto"/>
              <w:rPr>
                <w:rFonts w:ascii="宋体" w:hAnsi="宋体" w:cs="宋体"/>
                <w:kern w:val="0"/>
                <w:sz w:val="24"/>
                <w:shd w:val="clear" w:color="auto" w:fill="FFFFFF"/>
              </w:rPr>
            </w:pPr>
            <w:r>
              <w:rPr>
                <w:rFonts w:hint="eastAsia" w:ascii="宋体" w:hAnsi="宋体" w:cs="宋体"/>
                <w:sz w:val="24"/>
                <w:lang w:val="zh-CN"/>
              </w:rPr>
              <w:t>6.负责工程其他费用的预算审核，并按时提交审核报告（如需）。</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71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widowControl/>
              <w:shd w:val="solid" w:color="FFFFFF" w:fill="auto"/>
              <w:snapToGrid w:val="0"/>
              <w:spacing w:line="360" w:lineRule="auto"/>
              <w:jc w:val="center"/>
              <w:rPr>
                <w:rFonts w:ascii="宋体" w:hAnsi="宋体" w:cs="宋体"/>
                <w:sz w:val="24"/>
                <w:shd w:val="clear" w:color="auto" w:fill="FFFFFF"/>
              </w:rPr>
            </w:pPr>
            <w:r>
              <w:rPr>
                <w:rFonts w:hint="eastAsia" w:ascii="宋体" w:hAnsi="宋体" w:cs="宋体"/>
                <w:kern w:val="0"/>
                <w:sz w:val="24"/>
                <w:shd w:val="clear" w:color="auto" w:fill="FFFFFF"/>
              </w:rPr>
              <w:t>3</w:t>
            </w:r>
          </w:p>
        </w:tc>
        <w:tc>
          <w:tcPr>
            <w:tcW w:w="1117"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widowControl/>
              <w:shd w:val="solid" w:color="FFFFFF" w:fill="auto"/>
              <w:snapToGrid w:val="0"/>
              <w:spacing w:line="360" w:lineRule="auto"/>
              <w:rPr>
                <w:rFonts w:ascii="宋体" w:hAnsi="宋体" w:cs="宋体"/>
                <w:sz w:val="24"/>
                <w:shd w:val="clear" w:color="auto" w:fill="FFFFFF"/>
              </w:rPr>
            </w:pPr>
            <w:r>
              <w:rPr>
                <w:rFonts w:hint="eastAsia" w:ascii="宋体" w:hAnsi="宋体" w:cs="宋体"/>
                <w:kern w:val="0"/>
                <w:sz w:val="24"/>
              </w:rPr>
              <w:t>施工阶段</w:t>
            </w:r>
          </w:p>
        </w:tc>
        <w:tc>
          <w:tcPr>
            <w:tcW w:w="7687"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snapToGrid w:val="0"/>
              <w:spacing w:line="360" w:lineRule="auto"/>
              <w:rPr>
                <w:rFonts w:ascii="宋体" w:hAnsi="宋体" w:cs="宋体"/>
                <w:sz w:val="24"/>
                <w:lang w:val="zh-CN"/>
              </w:rPr>
            </w:pPr>
            <w:r>
              <w:rPr>
                <w:rFonts w:hint="eastAsia" w:ascii="宋体" w:hAnsi="宋体" w:cs="宋体"/>
                <w:sz w:val="24"/>
                <w:lang w:val="zh-CN"/>
              </w:rPr>
              <w:t>1．负责清标工作并编制清标报告。施工合同签订后1个月内组织监理单位及施工单位开展清标工作并编制清标报告。</w:t>
            </w:r>
          </w:p>
          <w:p>
            <w:pPr>
              <w:snapToGrid w:val="0"/>
              <w:spacing w:line="360" w:lineRule="auto"/>
              <w:rPr>
                <w:rFonts w:ascii="宋体" w:hAnsi="宋体" w:cs="宋体"/>
                <w:sz w:val="24"/>
                <w:lang w:val="zh-CN"/>
              </w:rPr>
            </w:pPr>
            <w:r>
              <w:rPr>
                <w:rFonts w:hint="eastAsia" w:ascii="宋体" w:hAnsi="宋体" w:cs="宋体"/>
                <w:sz w:val="24"/>
                <w:lang w:val="zh-CN"/>
              </w:rPr>
              <w:t>2.负责按甲方要求编制各类造价管理文件，包括工程变更程序、工程款支付程序等。</w:t>
            </w:r>
          </w:p>
          <w:p>
            <w:pPr>
              <w:snapToGrid w:val="0"/>
              <w:spacing w:line="360" w:lineRule="auto"/>
              <w:rPr>
                <w:rFonts w:ascii="宋体" w:hAnsi="宋体" w:cs="宋体"/>
                <w:sz w:val="24"/>
                <w:lang w:val="zh-CN"/>
              </w:rPr>
            </w:pPr>
            <w:r>
              <w:rPr>
                <w:rFonts w:hint="eastAsia" w:ascii="宋体" w:hAnsi="宋体" w:cs="宋体"/>
                <w:sz w:val="24"/>
                <w:lang w:val="zh-CN"/>
              </w:rPr>
              <w:t>3.制定项目总体投资进度计划，根据实际进度与每月实际投资和计划投资作分析比较，分析成本超支的原因和修正项目投资进度计划。</w:t>
            </w:r>
          </w:p>
          <w:p>
            <w:pPr>
              <w:snapToGrid w:val="0"/>
              <w:spacing w:line="360" w:lineRule="auto"/>
              <w:rPr>
                <w:rFonts w:ascii="宋体" w:hAnsi="宋体" w:cs="宋体"/>
                <w:sz w:val="24"/>
                <w:lang w:val="zh-CN"/>
              </w:rPr>
            </w:pPr>
            <w:r>
              <w:rPr>
                <w:rFonts w:hint="eastAsia" w:ascii="宋体" w:hAnsi="宋体" w:cs="宋体"/>
                <w:sz w:val="24"/>
                <w:lang w:val="zh-CN"/>
              </w:rPr>
              <w:t>4.负责施工过程造价控制（含编制方案及实施计划），审核工程量与进度款，2个日历天内完成。</w:t>
            </w:r>
          </w:p>
          <w:p>
            <w:pPr>
              <w:snapToGrid w:val="0"/>
              <w:spacing w:line="360" w:lineRule="auto"/>
              <w:rPr>
                <w:rFonts w:ascii="宋体" w:hAnsi="宋体" w:cs="宋体"/>
                <w:sz w:val="24"/>
                <w:lang w:val="zh-CN"/>
              </w:rPr>
            </w:pPr>
            <w:r>
              <w:rPr>
                <w:rFonts w:hint="eastAsia" w:ascii="宋体" w:hAnsi="宋体" w:cs="宋体"/>
                <w:sz w:val="24"/>
                <w:lang w:val="zh-CN"/>
              </w:rPr>
              <w:t>5.负责协助第三方的合同索赔处理，参加合同变更谈判，负责处理合同变更，维护甲方的合法权益。</w:t>
            </w:r>
          </w:p>
          <w:p>
            <w:pPr>
              <w:snapToGrid w:val="0"/>
              <w:spacing w:line="360" w:lineRule="auto"/>
              <w:rPr>
                <w:rFonts w:ascii="宋体" w:hAnsi="宋体" w:cs="宋体"/>
                <w:sz w:val="24"/>
                <w:lang w:val="zh-CN"/>
              </w:rPr>
            </w:pPr>
            <w:r>
              <w:rPr>
                <w:rFonts w:hint="eastAsia" w:ascii="宋体" w:hAnsi="宋体" w:cs="宋体"/>
                <w:sz w:val="24"/>
                <w:lang w:val="zh-CN"/>
              </w:rPr>
              <w:t>6.负责建立合同台账、支付台账、工程变更管理台账（按变更原因分类）、签证台账、动态投资台账，负责每个月月底前提交工程项目整体结算价预估分析、动态成本（须与目标成本对比分析偏差原因及解决方案）。</w:t>
            </w:r>
          </w:p>
          <w:p>
            <w:pPr>
              <w:snapToGrid w:val="0"/>
              <w:spacing w:line="360" w:lineRule="auto"/>
              <w:rPr>
                <w:rFonts w:ascii="宋体" w:hAnsi="宋体" w:cs="宋体"/>
                <w:sz w:val="24"/>
                <w:lang w:val="zh-CN"/>
              </w:rPr>
            </w:pPr>
            <w:r>
              <w:rPr>
                <w:rFonts w:hint="eastAsia" w:ascii="宋体" w:hAnsi="宋体" w:cs="宋体"/>
                <w:sz w:val="24"/>
                <w:lang w:val="zh-CN"/>
              </w:rPr>
              <w:t>7.负责定期召开造价控制会议，集中会审现场签证、工程变更的工程量和造价预算，确认变更价款。负责每月5号前提交工程变更（包括：图纸会审、图纸修改、工程洽商等）对造价影响分析，及成本控制报告。</w:t>
            </w:r>
          </w:p>
          <w:p>
            <w:pPr>
              <w:snapToGrid w:val="0"/>
              <w:spacing w:line="360" w:lineRule="auto"/>
              <w:rPr>
                <w:rFonts w:ascii="宋体" w:hAnsi="宋体" w:cs="宋体"/>
                <w:sz w:val="24"/>
                <w:lang w:val="zh-CN"/>
              </w:rPr>
            </w:pPr>
            <w:r>
              <w:rPr>
                <w:rFonts w:hint="eastAsia" w:ascii="宋体" w:hAnsi="宋体" w:cs="宋体"/>
                <w:sz w:val="24"/>
                <w:lang w:val="zh-CN"/>
              </w:rPr>
              <w:t>8.发生现场签证时，须与工程部、工程监理、施工单位一起进行工程量现场核查，各方签认后作为签证依据。</w:t>
            </w:r>
          </w:p>
          <w:p>
            <w:pPr>
              <w:widowControl/>
              <w:shd w:val="solid" w:color="FFFFFF" w:fill="auto"/>
              <w:snapToGrid w:val="0"/>
              <w:spacing w:line="360" w:lineRule="auto"/>
              <w:rPr>
                <w:rFonts w:ascii="宋体" w:hAnsi="宋体" w:cs="宋体"/>
                <w:kern w:val="0"/>
                <w:sz w:val="24"/>
                <w:shd w:val="clear" w:color="auto" w:fill="FFFFFF"/>
              </w:rPr>
            </w:pPr>
            <w:r>
              <w:rPr>
                <w:rFonts w:hint="eastAsia" w:ascii="宋体" w:hAnsi="宋体" w:cs="宋体"/>
                <w:sz w:val="24"/>
                <w:lang w:val="zh-CN"/>
              </w:rPr>
              <w:t>9.负责定期收集和整理有关设备材料的市场价格动态信息，对施工方案、材料选用提供成本控制建议。每月提交人工机械主材设备价格造价影响分析。</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71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widowControl/>
              <w:shd w:val="solid" w:color="FFFFFF" w:fill="auto"/>
              <w:snapToGrid w:val="0"/>
              <w:spacing w:line="360" w:lineRule="auto"/>
              <w:jc w:val="center"/>
              <w:rPr>
                <w:rFonts w:ascii="宋体" w:hAnsi="宋体" w:cs="宋体"/>
                <w:sz w:val="24"/>
                <w:shd w:val="clear" w:color="auto" w:fill="FFFFFF"/>
              </w:rPr>
            </w:pPr>
            <w:r>
              <w:rPr>
                <w:rFonts w:hint="eastAsia" w:ascii="宋体" w:hAnsi="宋体" w:cs="宋体"/>
                <w:kern w:val="0"/>
                <w:sz w:val="24"/>
                <w:shd w:val="clear" w:color="auto" w:fill="FFFFFF"/>
              </w:rPr>
              <w:t>4</w:t>
            </w:r>
          </w:p>
        </w:tc>
        <w:tc>
          <w:tcPr>
            <w:tcW w:w="1117"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widowControl/>
              <w:shd w:val="solid" w:color="FFFFFF" w:fill="auto"/>
              <w:snapToGrid w:val="0"/>
              <w:spacing w:line="360" w:lineRule="auto"/>
              <w:rPr>
                <w:rFonts w:ascii="宋体" w:hAnsi="宋体" w:cs="宋体"/>
                <w:sz w:val="24"/>
                <w:shd w:val="clear" w:color="auto" w:fill="FFFFFF"/>
              </w:rPr>
            </w:pPr>
            <w:r>
              <w:rPr>
                <w:rFonts w:hint="eastAsia" w:ascii="宋体" w:hAnsi="宋体" w:cs="宋体"/>
                <w:kern w:val="0"/>
                <w:sz w:val="24"/>
                <w:shd w:val="clear" w:color="auto" w:fill="FFFFFF"/>
              </w:rPr>
              <w:t>结（决）算阶段</w:t>
            </w:r>
          </w:p>
        </w:tc>
        <w:tc>
          <w:tcPr>
            <w:tcW w:w="7687"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widowControl/>
              <w:snapToGrid w:val="0"/>
              <w:spacing w:line="360" w:lineRule="auto"/>
              <w:rPr>
                <w:rFonts w:ascii="宋体" w:hAnsi="宋体" w:cs="宋体"/>
                <w:sz w:val="24"/>
                <w:lang w:val="zh-CN"/>
              </w:rPr>
            </w:pPr>
            <w:r>
              <w:rPr>
                <w:rFonts w:hint="eastAsia" w:ascii="宋体" w:hAnsi="宋体" w:cs="宋体"/>
                <w:sz w:val="24"/>
                <w:lang w:val="zh-CN"/>
              </w:rPr>
              <w:t>1.负责按甲方及</w:t>
            </w:r>
            <w:r>
              <w:rPr>
                <w:rFonts w:hint="eastAsia" w:ascii="宋体" w:hAnsi="宋体" w:cs="宋体"/>
                <w:sz w:val="24"/>
              </w:rPr>
              <w:t>财政部门</w:t>
            </w:r>
            <w:r>
              <w:rPr>
                <w:rFonts w:hint="eastAsia" w:ascii="宋体" w:hAnsi="宋体" w:cs="宋体"/>
                <w:sz w:val="24"/>
                <w:lang w:val="zh-CN"/>
              </w:rPr>
              <w:t>的要求编制结算管理文件，开展过程结算，完成工程结算审核工作，并与施工单位完成对数，60个工作日内出具结算审核报告。</w:t>
            </w:r>
          </w:p>
          <w:p>
            <w:pPr>
              <w:widowControl/>
              <w:snapToGrid w:val="0"/>
              <w:spacing w:line="360" w:lineRule="auto"/>
              <w:rPr>
                <w:rFonts w:ascii="宋体" w:hAnsi="宋体" w:cs="宋体"/>
                <w:sz w:val="24"/>
                <w:lang w:val="zh-CN"/>
              </w:rPr>
            </w:pPr>
            <w:r>
              <w:rPr>
                <w:rFonts w:hint="eastAsia" w:ascii="宋体" w:hAnsi="宋体" w:cs="宋体"/>
                <w:sz w:val="24"/>
                <w:lang w:val="zh-CN"/>
              </w:rPr>
              <w:t>2.负责收集和整理结算依据资料，收集有关工程费用方面的签证资料，核对单据并及时归档。</w:t>
            </w:r>
          </w:p>
          <w:p>
            <w:pPr>
              <w:widowControl/>
              <w:snapToGrid w:val="0"/>
              <w:spacing w:line="360" w:lineRule="auto"/>
              <w:rPr>
                <w:rFonts w:ascii="宋体" w:hAnsi="宋体" w:cs="宋体"/>
                <w:sz w:val="24"/>
                <w:lang w:val="zh-CN"/>
              </w:rPr>
            </w:pPr>
            <w:r>
              <w:rPr>
                <w:rFonts w:hint="eastAsia" w:ascii="宋体" w:hAnsi="宋体" w:cs="宋体"/>
                <w:sz w:val="24"/>
                <w:lang w:val="zh-CN"/>
              </w:rPr>
              <w:t>3.审核其他费用，出具审价报告。</w:t>
            </w:r>
          </w:p>
          <w:p>
            <w:pPr>
              <w:widowControl/>
              <w:snapToGrid w:val="0"/>
              <w:spacing w:line="360" w:lineRule="auto"/>
              <w:rPr>
                <w:rFonts w:ascii="宋体" w:hAnsi="宋体" w:cs="宋体"/>
                <w:sz w:val="24"/>
                <w:lang w:val="zh-CN"/>
              </w:rPr>
            </w:pPr>
            <w:r>
              <w:rPr>
                <w:rFonts w:hint="eastAsia" w:ascii="宋体" w:hAnsi="宋体" w:cs="宋体"/>
                <w:sz w:val="24"/>
                <w:lang w:val="zh-CN"/>
              </w:rPr>
              <w:t>4.负责建立结算台账，编制结算计划。</w:t>
            </w:r>
          </w:p>
          <w:p>
            <w:pPr>
              <w:widowControl/>
              <w:snapToGrid w:val="0"/>
              <w:spacing w:line="360" w:lineRule="auto"/>
              <w:rPr>
                <w:rFonts w:ascii="宋体" w:hAnsi="宋体" w:cs="宋体"/>
                <w:sz w:val="24"/>
                <w:lang w:val="zh-CN"/>
              </w:rPr>
            </w:pPr>
            <w:r>
              <w:rPr>
                <w:rFonts w:hint="eastAsia" w:ascii="宋体" w:hAnsi="宋体" w:cs="宋体"/>
                <w:sz w:val="24"/>
              </w:rPr>
              <w:t>5</w:t>
            </w:r>
            <w:r>
              <w:rPr>
                <w:rFonts w:hint="eastAsia" w:ascii="宋体" w:hAnsi="宋体" w:cs="宋体"/>
                <w:sz w:val="24"/>
                <w:lang w:val="zh-CN"/>
              </w:rPr>
              <w:t>.出具工程结算报告。</w:t>
            </w:r>
          </w:p>
          <w:p>
            <w:pPr>
              <w:widowControl/>
              <w:snapToGrid w:val="0"/>
              <w:spacing w:line="360" w:lineRule="auto"/>
              <w:rPr>
                <w:rFonts w:ascii="宋体" w:hAnsi="宋体" w:cs="宋体"/>
                <w:kern w:val="0"/>
                <w:sz w:val="24"/>
                <w:shd w:val="clear" w:color="auto" w:fill="FFFFFF"/>
              </w:rPr>
            </w:pPr>
            <w:r>
              <w:rPr>
                <w:rFonts w:hint="eastAsia" w:ascii="宋体" w:hAnsi="宋体" w:cs="宋体"/>
                <w:sz w:val="24"/>
              </w:rPr>
              <w:t>6</w:t>
            </w:r>
            <w:r>
              <w:rPr>
                <w:rFonts w:hint="eastAsia" w:ascii="宋体" w:hAnsi="宋体" w:cs="宋体"/>
                <w:sz w:val="24"/>
                <w:lang w:val="zh-CN"/>
              </w:rPr>
              <w:t>.</w:t>
            </w:r>
            <w:r>
              <w:rPr>
                <w:rFonts w:hint="eastAsia" w:ascii="宋体" w:hAnsi="宋体" w:cs="宋体"/>
                <w:sz w:val="24"/>
              </w:rPr>
              <w:t>编制竣工财务决</w:t>
            </w:r>
            <w:r>
              <w:rPr>
                <w:rFonts w:hint="eastAsia" w:ascii="宋体" w:hAnsi="宋体" w:cs="宋体"/>
                <w:sz w:val="24"/>
                <w:lang w:val="zh-CN"/>
              </w:rPr>
              <w:t>算报告。</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711"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widowControl/>
              <w:shd w:val="solid" w:color="FFFFFF" w:fill="auto"/>
              <w:snapToGrid w:val="0"/>
              <w:spacing w:line="360" w:lineRule="auto"/>
              <w:jc w:val="center"/>
              <w:rPr>
                <w:rFonts w:ascii="宋体" w:hAnsi="宋体" w:cs="宋体"/>
                <w:sz w:val="24"/>
                <w:shd w:val="clear" w:color="auto" w:fill="FFFFFF"/>
              </w:rPr>
            </w:pPr>
            <w:r>
              <w:rPr>
                <w:rFonts w:hint="eastAsia" w:ascii="宋体" w:hAnsi="宋体" w:cs="宋体"/>
                <w:kern w:val="0"/>
                <w:sz w:val="24"/>
                <w:shd w:val="clear" w:color="auto" w:fill="FFFFFF"/>
              </w:rPr>
              <w:t>5</w:t>
            </w:r>
          </w:p>
        </w:tc>
        <w:tc>
          <w:tcPr>
            <w:tcW w:w="1117"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widowControl/>
              <w:shd w:val="solid" w:color="FFFFFF" w:fill="auto"/>
              <w:snapToGrid w:val="0"/>
              <w:spacing w:line="360" w:lineRule="auto"/>
              <w:rPr>
                <w:rFonts w:ascii="宋体" w:hAnsi="宋体" w:cs="宋体"/>
                <w:sz w:val="24"/>
                <w:shd w:val="clear" w:color="auto" w:fill="FFFFFF"/>
              </w:rPr>
            </w:pPr>
            <w:r>
              <w:rPr>
                <w:rFonts w:hint="eastAsia" w:ascii="宋体" w:hAnsi="宋体" w:cs="宋体"/>
                <w:kern w:val="0"/>
                <w:sz w:val="24"/>
                <w:shd w:val="clear" w:color="auto" w:fill="FFFFFF"/>
              </w:rPr>
              <w:t>其他</w:t>
            </w:r>
          </w:p>
        </w:tc>
        <w:tc>
          <w:tcPr>
            <w:tcW w:w="7687" w:type="dxa"/>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widowControl/>
              <w:snapToGrid w:val="0"/>
              <w:spacing w:line="360" w:lineRule="auto"/>
              <w:rPr>
                <w:rFonts w:ascii="宋体" w:hAnsi="宋体" w:cs="宋体"/>
                <w:sz w:val="24"/>
                <w:lang w:val="zh-CN"/>
              </w:rPr>
            </w:pPr>
            <w:r>
              <w:rPr>
                <w:rFonts w:hint="eastAsia" w:ascii="宋体" w:hAnsi="宋体" w:cs="宋体"/>
                <w:sz w:val="24"/>
                <w:lang w:val="zh-CN"/>
              </w:rPr>
              <w:t>1.按甲方要求，负责组织项目建设工程预算评审，</w:t>
            </w:r>
            <w:r>
              <w:rPr>
                <w:rFonts w:hint="eastAsia" w:ascii="宋体" w:hAnsi="宋体" w:cs="宋体"/>
                <w:sz w:val="24"/>
              </w:rPr>
              <w:t>预算评审费用由乙方负责</w:t>
            </w:r>
            <w:r>
              <w:rPr>
                <w:rFonts w:hint="eastAsia" w:ascii="宋体" w:hAnsi="宋体" w:cs="宋体"/>
                <w:sz w:val="24"/>
                <w:lang w:val="zh-CN"/>
              </w:rPr>
              <w:t>。</w:t>
            </w:r>
          </w:p>
          <w:p>
            <w:pPr>
              <w:widowControl/>
              <w:snapToGrid w:val="0"/>
              <w:spacing w:line="360" w:lineRule="auto"/>
              <w:rPr>
                <w:rFonts w:ascii="宋体" w:hAnsi="宋体" w:cs="宋体"/>
                <w:sz w:val="24"/>
                <w:lang w:val="zh-CN"/>
              </w:rPr>
            </w:pPr>
            <w:r>
              <w:rPr>
                <w:rFonts w:hint="eastAsia" w:ascii="宋体" w:hAnsi="宋体" w:cs="宋体"/>
                <w:sz w:val="24"/>
              </w:rPr>
              <w:t>2</w:t>
            </w:r>
            <w:r>
              <w:rPr>
                <w:rFonts w:hint="eastAsia" w:ascii="宋体" w:hAnsi="宋体" w:cs="宋体"/>
                <w:sz w:val="24"/>
                <w:lang w:val="zh-CN"/>
              </w:rPr>
              <w:t>.与广州北站东侧老旧小区成片连片微改造项目相关的征地拆迁、管线、绿化迁移及其他相关工程或项目的造价审核工作。</w:t>
            </w:r>
          </w:p>
          <w:p>
            <w:pPr>
              <w:widowControl/>
              <w:snapToGrid w:val="0"/>
              <w:spacing w:line="360" w:lineRule="auto"/>
              <w:rPr>
                <w:rFonts w:ascii="宋体" w:hAnsi="宋体" w:cs="宋体"/>
                <w:sz w:val="24"/>
                <w:lang w:val="zh-CN"/>
              </w:rPr>
            </w:pPr>
            <w:r>
              <w:rPr>
                <w:rFonts w:hint="eastAsia" w:ascii="宋体" w:hAnsi="宋体" w:cs="宋体"/>
                <w:sz w:val="24"/>
              </w:rPr>
              <w:t>3</w:t>
            </w:r>
            <w:r>
              <w:rPr>
                <w:rFonts w:hint="eastAsia" w:ascii="宋体" w:hAnsi="宋体" w:cs="宋体"/>
                <w:sz w:val="24"/>
                <w:lang w:val="zh-CN"/>
              </w:rPr>
              <w:t>.合同履行期间，根据甲方要求派驻一位驻场造价人员，接受甲方工作安排，协助甲方完成造价工作。</w:t>
            </w:r>
          </w:p>
          <w:p>
            <w:pPr>
              <w:widowControl/>
              <w:snapToGrid w:val="0"/>
              <w:spacing w:line="360" w:lineRule="auto"/>
              <w:rPr>
                <w:rFonts w:ascii="宋体" w:hAnsi="宋体" w:cs="宋体"/>
                <w:sz w:val="24"/>
                <w:shd w:val="clear" w:color="auto" w:fill="FFFFFF"/>
              </w:rPr>
            </w:pPr>
            <w:r>
              <w:rPr>
                <w:rFonts w:hint="eastAsia" w:ascii="宋体" w:hAnsi="宋体" w:cs="宋体"/>
                <w:sz w:val="24"/>
              </w:rPr>
              <w:t>4</w:t>
            </w:r>
            <w:r>
              <w:rPr>
                <w:rFonts w:hint="eastAsia" w:ascii="宋体" w:hAnsi="宋体" w:cs="宋体"/>
                <w:sz w:val="24"/>
                <w:lang w:val="zh-CN"/>
              </w:rPr>
              <w:t>.甲方安排的其他造价管理工作。</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9515" w:type="dxa"/>
            <w:gridSpan w:val="3"/>
            <w:tcBorders>
              <w:top w:val="single" w:color="000000" w:sz="4" w:space="0"/>
              <w:left w:val="single" w:color="000000" w:sz="4" w:space="0"/>
              <w:bottom w:val="single" w:color="000000" w:sz="4" w:space="0"/>
              <w:right w:val="single" w:color="000000" w:sz="4" w:space="0"/>
            </w:tcBorders>
            <w:shd w:val="solid" w:color="FFFFFF" w:fill="auto"/>
            <w:tcMar>
              <w:top w:w="0" w:type="dxa"/>
              <w:left w:w="108" w:type="dxa"/>
              <w:bottom w:w="0" w:type="dxa"/>
              <w:right w:w="108" w:type="dxa"/>
            </w:tcMar>
            <w:vAlign w:val="center"/>
          </w:tcPr>
          <w:p>
            <w:pPr>
              <w:widowControl/>
              <w:shd w:val="solid" w:color="FFFFFF" w:fill="auto"/>
              <w:snapToGrid w:val="0"/>
              <w:spacing w:line="360" w:lineRule="auto"/>
              <w:rPr>
                <w:rFonts w:ascii="宋体" w:hAnsi="宋体" w:cs="宋体"/>
                <w:kern w:val="0"/>
                <w:sz w:val="24"/>
                <w:shd w:val="clear" w:color="auto" w:fill="FFFFFF"/>
              </w:rPr>
            </w:pPr>
            <w:r>
              <w:rPr>
                <w:rFonts w:hint="eastAsia" w:ascii="宋体" w:hAnsi="宋体" w:cs="宋体"/>
                <w:kern w:val="0"/>
                <w:sz w:val="24"/>
                <w:shd w:val="clear" w:color="auto" w:fill="FFFFFF"/>
              </w:rPr>
              <w:t>备注：</w:t>
            </w:r>
          </w:p>
          <w:p>
            <w:pPr>
              <w:shd w:val="clear" w:color="auto" w:fill="FFFFFF"/>
              <w:spacing w:line="360" w:lineRule="auto"/>
              <w:rPr>
                <w:rFonts w:ascii="宋体" w:hAnsi="宋体" w:cs="宋体"/>
                <w:kern w:val="0"/>
                <w:sz w:val="24"/>
                <w:shd w:val="clear" w:color="auto" w:fill="FFFFFF"/>
              </w:rPr>
            </w:pPr>
            <w:r>
              <w:rPr>
                <w:rFonts w:hint="eastAsia" w:ascii="宋体" w:hAnsi="宋体" w:cs="宋体"/>
                <w:kern w:val="0"/>
                <w:sz w:val="24"/>
                <w:shd w:val="clear" w:color="auto" w:fill="FFFFFF"/>
              </w:rPr>
              <w:t>（1）为实现项目的投资控制目标，由</w:t>
            </w:r>
            <w:r>
              <w:rPr>
                <w:rFonts w:hint="eastAsia" w:ascii="宋体" w:hAnsi="宋体" w:cs="宋体"/>
                <w:color w:val="000000"/>
                <w:kern w:val="0"/>
                <w:sz w:val="24"/>
                <w:shd w:val="clear" w:color="auto" w:fill="FFFFFF"/>
              </w:rPr>
              <w:t>乙方</w:t>
            </w:r>
            <w:r>
              <w:rPr>
                <w:rFonts w:hint="eastAsia" w:ascii="宋体" w:hAnsi="宋体" w:cs="宋体"/>
                <w:kern w:val="0"/>
                <w:sz w:val="24"/>
                <w:shd w:val="clear" w:color="auto" w:fill="FFFFFF"/>
              </w:rPr>
              <w:t>派驻驻场造价人员组成项目组，拟派驻人员详见</w:t>
            </w:r>
            <w:r>
              <w:rPr>
                <w:rFonts w:hint="eastAsia" w:ascii="宋体" w:hAnsi="宋体" w:cs="宋体"/>
                <w:sz w:val="24"/>
              </w:rPr>
              <w:t>《造价咨询服务人员配备要求表》</w:t>
            </w:r>
            <w:r>
              <w:rPr>
                <w:rFonts w:hint="eastAsia" w:ascii="宋体" w:hAnsi="宋体" w:cs="宋体"/>
                <w:kern w:val="0"/>
                <w:sz w:val="24"/>
                <w:shd w:val="clear" w:color="auto" w:fill="FFFFFF"/>
              </w:rPr>
              <w:t>，如需更换人员需提前通知并取得委托人的同意。委托人仅提供驻场人员办公场地，其他如办公设备、办公用品、就餐、住宿等由造价咨询单位自行解决，费用已包含在合同价款内；具体以合同要求为准。</w:t>
            </w:r>
          </w:p>
          <w:p>
            <w:pPr>
              <w:widowControl/>
              <w:numPr>
                <w:ilvl w:val="255"/>
                <w:numId w:val="0"/>
              </w:numPr>
              <w:shd w:val="clear" w:color="auto" w:fill="FFFFFF"/>
              <w:spacing w:after="160" w:line="360" w:lineRule="auto"/>
              <w:jc w:val="left"/>
              <w:rPr>
                <w:rFonts w:ascii="宋体" w:hAnsi="宋体" w:cs="宋体"/>
                <w:kern w:val="0"/>
                <w:sz w:val="24"/>
                <w:shd w:val="clear" w:color="auto" w:fill="FFFFFF"/>
              </w:rPr>
            </w:pPr>
            <w:r>
              <w:rPr>
                <w:rFonts w:hint="eastAsia" w:ascii="宋体" w:hAnsi="宋体" w:cs="宋体"/>
                <w:kern w:val="0"/>
                <w:sz w:val="24"/>
                <w:shd w:val="clear" w:color="auto" w:fill="FFFFFF"/>
              </w:rPr>
              <w:t>（2）项目负责人必须定期参加工程例会，参加委托人组织与造价有关的专题会议并提出专业意见，造价咨询单位总部按委托人的要求提供技术支持；相关的驻场人员工作要求，应服从委托人管理和工作分配，具体以合同要求为准。</w:t>
            </w:r>
            <w:r>
              <w:rPr>
                <w:rFonts w:hint="eastAsia" w:ascii="宋体" w:hAnsi="宋体" w:cs="宋体"/>
                <w:sz w:val="24"/>
              </w:rPr>
              <w:t>人员数量要求按《造价咨询服务人员配备要求表》的约定。</w:t>
            </w:r>
          </w:p>
          <w:p>
            <w:pPr>
              <w:widowControl/>
              <w:shd w:val="solid" w:color="FFFFFF" w:fill="auto"/>
              <w:snapToGrid w:val="0"/>
              <w:spacing w:line="360" w:lineRule="auto"/>
              <w:rPr>
                <w:rFonts w:ascii="宋体" w:hAnsi="宋体" w:cs="宋体"/>
                <w:kern w:val="0"/>
                <w:sz w:val="24"/>
                <w:shd w:val="clear" w:color="auto" w:fill="FFFFFF"/>
              </w:rPr>
            </w:pPr>
            <w:r>
              <w:rPr>
                <w:rFonts w:hint="eastAsia" w:ascii="宋体" w:hAnsi="宋体" w:cs="宋体"/>
                <w:kern w:val="0"/>
                <w:sz w:val="24"/>
                <w:shd w:val="clear" w:color="auto" w:fill="FFFFFF"/>
              </w:rPr>
              <w:t>（3）乙方需在甲方要求的期限内完成各项工作内容，如未按要求完成的，乙方有权</w:t>
            </w:r>
            <w:r>
              <w:rPr>
                <w:rFonts w:hint="eastAsia" w:ascii="宋体" w:hAnsi="宋体" w:cs="宋体"/>
                <w:color w:val="000000"/>
                <w:kern w:val="0"/>
                <w:sz w:val="24"/>
                <w:shd w:val="clear" w:color="auto" w:fill="FFFFFF"/>
              </w:rPr>
              <w:t>直接按照本合同专用条款第三十三条执行。</w:t>
            </w:r>
          </w:p>
        </w:tc>
      </w:tr>
    </w:tbl>
    <w:p>
      <w:pPr>
        <w:spacing w:line="360" w:lineRule="auto"/>
        <w:ind w:firstLine="482" w:firstLineChars="200"/>
        <w:rPr>
          <w:rFonts w:ascii="宋体" w:hAnsi="宋体" w:cs="宋体"/>
          <w:kern w:val="0"/>
          <w:sz w:val="24"/>
          <w:highlight w:val="none"/>
          <w:shd w:val="clear" w:color="auto" w:fill="FFFFFF"/>
        </w:rPr>
      </w:pPr>
      <w:r>
        <w:rPr>
          <w:rFonts w:hint="eastAsia" w:ascii="宋体" w:hAnsi="宋体" w:cs="宋体"/>
          <w:b/>
          <w:bCs w:val="0"/>
          <w:sz w:val="24"/>
        </w:rPr>
        <w:t>4.服务期：</w:t>
      </w:r>
      <w:r>
        <w:rPr>
          <w:rFonts w:hint="eastAsia" w:ascii="宋体" w:hAnsi="宋体" w:cs="宋体"/>
          <w:kern w:val="0"/>
          <w:sz w:val="24"/>
          <w:shd w:val="clear" w:color="auto" w:fill="FFFFFF"/>
        </w:rPr>
        <w:t>自中标通知书发出之日起至办妥项目竣工决算之日止，包括本项目设计概算及概算评审阶段（如有）、施工图预算及预算评审阶段、施工阶段、结算阶段、决算阶段和质量保修期阶段的造价咨询及投资控制工作</w:t>
      </w:r>
      <w:r>
        <w:rPr>
          <w:rFonts w:hint="eastAsia" w:ascii="宋体" w:hAnsi="宋体" w:cs="宋体"/>
          <w:kern w:val="0"/>
          <w:sz w:val="24"/>
          <w:highlight w:val="none"/>
          <w:shd w:val="clear" w:color="auto" w:fill="FFFFFF"/>
        </w:rPr>
        <w:t>。造价咨询单位须配合相关部门完成相关审计、巡察等工作。</w:t>
      </w:r>
    </w:p>
    <w:p>
      <w:pPr>
        <w:spacing w:line="360" w:lineRule="auto"/>
        <w:ind w:firstLine="482" w:firstLineChars="200"/>
        <w:rPr>
          <w:rFonts w:ascii="宋体" w:hAnsi="宋体" w:cs="宋体"/>
          <w:sz w:val="24"/>
        </w:rPr>
      </w:pPr>
      <w:r>
        <w:rPr>
          <w:rFonts w:hint="eastAsia" w:ascii="宋体" w:hAnsi="宋体" w:cs="宋体"/>
          <w:b/>
          <w:bCs w:val="0"/>
          <w:sz w:val="24"/>
        </w:rPr>
        <w:t>二、</w:t>
      </w:r>
      <w:r>
        <w:rPr>
          <w:rFonts w:hint="eastAsia" w:ascii="宋体" w:hAnsi="宋体" w:cs="宋体"/>
          <w:sz w:val="24"/>
        </w:rPr>
        <w:t>本合同的措词和用语与所属建设工程造价咨询合同条件及有关附件同义。</w:t>
      </w:r>
    </w:p>
    <w:p>
      <w:pPr>
        <w:spacing w:line="360" w:lineRule="auto"/>
        <w:ind w:firstLine="480" w:firstLineChars="200"/>
        <w:rPr>
          <w:rFonts w:ascii="宋体" w:hAnsi="宋体" w:cs="宋体"/>
          <w:sz w:val="24"/>
        </w:rPr>
      </w:pPr>
      <w:r>
        <w:rPr>
          <w:rFonts w:hint="eastAsia" w:ascii="宋体" w:hAnsi="宋体" w:cs="宋体"/>
          <w:sz w:val="24"/>
        </w:rPr>
        <w:t>三、本协议书与下列文件一起构成合同文件：</w:t>
      </w:r>
    </w:p>
    <w:p>
      <w:pPr>
        <w:spacing w:line="360" w:lineRule="auto"/>
        <w:ind w:firstLine="480" w:firstLineChars="200"/>
        <w:rPr>
          <w:rFonts w:ascii="宋体" w:hAnsi="宋体" w:cs="宋体"/>
          <w:sz w:val="24"/>
        </w:rPr>
      </w:pPr>
      <w:r>
        <w:rPr>
          <w:rFonts w:hint="eastAsia" w:ascii="宋体" w:hAnsi="宋体" w:cs="宋体"/>
          <w:sz w:val="24"/>
        </w:rPr>
        <w:t xml:space="preserve">1.中标通知书或委托书（如果有）； </w:t>
      </w:r>
    </w:p>
    <w:p>
      <w:pPr>
        <w:spacing w:line="360" w:lineRule="auto"/>
        <w:ind w:firstLine="480" w:firstLineChars="200"/>
        <w:rPr>
          <w:rFonts w:ascii="宋体" w:hAnsi="宋体" w:cs="宋体"/>
          <w:sz w:val="24"/>
        </w:rPr>
      </w:pPr>
      <w:r>
        <w:rPr>
          <w:rFonts w:hint="eastAsia" w:ascii="宋体" w:hAnsi="宋体" w:cs="宋体"/>
          <w:sz w:val="24"/>
        </w:rPr>
        <w:t xml:space="preserve">2.投标函及投标函附录或造价咨询服务建议书（如果有）； </w:t>
      </w:r>
    </w:p>
    <w:p>
      <w:pPr>
        <w:spacing w:line="360" w:lineRule="auto"/>
        <w:ind w:firstLine="480" w:firstLineChars="200"/>
        <w:rPr>
          <w:rFonts w:ascii="宋体" w:hAnsi="宋体" w:cs="宋体"/>
          <w:sz w:val="24"/>
        </w:rPr>
      </w:pPr>
      <w:r>
        <w:rPr>
          <w:rFonts w:hint="eastAsia" w:ascii="宋体" w:hAnsi="宋体" w:cs="宋体"/>
          <w:sz w:val="24"/>
        </w:rPr>
        <w:t xml:space="preserve">3.专用条件及附录； </w:t>
      </w:r>
    </w:p>
    <w:p>
      <w:pPr>
        <w:spacing w:line="360" w:lineRule="auto"/>
        <w:ind w:firstLine="480" w:firstLineChars="200"/>
        <w:rPr>
          <w:rFonts w:ascii="宋体" w:hAnsi="宋体" w:cs="宋体"/>
          <w:sz w:val="24"/>
        </w:rPr>
      </w:pPr>
      <w:r>
        <w:rPr>
          <w:rFonts w:hint="eastAsia" w:ascii="宋体" w:hAnsi="宋体" w:cs="宋体"/>
          <w:sz w:val="24"/>
        </w:rPr>
        <w:t xml:space="preserve">4.通用条件； </w:t>
      </w:r>
    </w:p>
    <w:p>
      <w:pPr>
        <w:spacing w:line="360" w:lineRule="auto"/>
        <w:ind w:firstLine="480" w:firstLineChars="200"/>
        <w:rPr>
          <w:rFonts w:ascii="宋体" w:hAnsi="宋体" w:cs="宋体"/>
          <w:sz w:val="24"/>
        </w:rPr>
      </w:pPr>
      <w:r>
        <w:rPr>
          <w:rFonts w:hint="eastAsia" w:ascii="宋体" w:hAnsi="宋体" w:cs="宋体"/>
          <w:sz w:val="24"/>
        </w:rPr>
        <w:t xml:space="preserve">5.其他合同文件。 </w:t>
      </w:r>
    </w:p>
    <w:p>
      <w:pPr>
        <w:spacing w:line="360" w:lineRule="auto"/>
        <w:ind w:firstLine="480" w:firstLineChars="200"/>
        <w:rPr>
          <w:rFonts w:ascii="宋体" w:hAnsi="宋体" w:cs="宋体"/>
          <w:sz w:val="24"/>
        </w:rPr>
      </w:pPr>
      <w:r>
        <w:rPr>
          <w:rFonts w:hint="eastAsia" w:ascii="宋体" w:hAnsi="宋体" w:cs="宋体"/>
          <w:sz w:val="24"/>
        </w:rPr>
        <w:t>上述各项合同文件包括合同当事人就该项合同文件所作出的补充和修改， 属于同一类内容的文件，应以最新签署的为准。 在合同订立及履行过程中形成的与合同有关的文件（包括补充协议）均构 成合同文件的组成部分。</w:t>
      </w:r>
    </w:p>
    <w:p>
      <w:pPr>
        <w:spacing w:line="360" w:lineRule="auto"/>
        <w:ind w:firstLine="480" w:firstLineChars="200"/>
        <w:rPr>
          <w:rFonts w:ascii="宋体" w:hAnsi="宋体" w:cs="宋体"/>
          <w:bCs w:val="0"/>
          <w:sz w:val="24"/>
        </w:rPr>
      </w:pPr>
      <w:r>
        <w:rPr>
          <w:rFonts w:hint="eastAsia" w:ascii="宋体" w:hAnsi="宋体" w:cs="宋体"/>
          <w:bCs w:val="0"/>
          <w:sz w:val="24"/>
        </w:rPr>
        <w:t>四、</w:t>
      </w:r>
      <w:r>
        <w:rPr>
          <w:rFonts w:hint="eastAsia" w:ascii="宋体" w:hAnsi="宋体" w:cs="宋体"/>
          <w:sz w:val="24"/>
        </w:rPr>
        <w:t>乙方同意按照本合同的规定，承担本合同专用条件中议定范围内的建设工程全过程造价咨询业务。</w:t>
      </w:r>
    </w:p>
    <w:p>
      <w:pPr>
        <w:pStyle w:val="7"/>
        <w:spacing w:line="360" w:lineRule="auto"/>
        <w:ind w:firstLine="482" w:firstLineChars="200"/>
        <w:jc w:val="left"/>
        <w:rPr>
          <w:rFonts w:ascii="宋体" w:hAnsi="宋体" w:cs="宋体"/>
          <w:bCs w:val="0"/>
          <w:sz w:val="24"/>
          <w:szCs w:val="24"/>
        </w:rPr>
      </w:pPr>
      <w:r>
        <w:rPr>
          <w:rFonts w:hint="eastAsia" w:ascii="宋体" w:hAnsi="宋体" w:cs="宋体"/>
          <w:bCs w:val="0"/>
          <w:sz w:val="24"/>
          <w:szCs w:val="24"/>
        </w:rPr>
        <w:t>五、乙方提供的咨询服务还需符合以下要求：</w:t>
      </w:r>
    </w:p>
    <w:p>
      <w:pPr>
        <w:numPr>
          <w:ilvl w:val="0"/>
          <w:numId w:val="3"/>
        </w:numPr>
        <w:spacing w:line="360" w:lineRule="auto"/>
        <w:ind w:firstLine="480" w:firstLineChars="200"/>
        <w:rPr>
          <w:rFonts w:ascii="宋体" w:hAnsi="宋体" w:cs="宋体"/>
          <w:sz w:val="24"/>
        </w:rPr>
      </w:pPr>
      <w:r>
        <w:rPr>
          <w:rFonts w:hint="eastAsia" w:ascii="宋体" w:hAnsi="宋体" w:cs="宋体"/>
          <w:sz w:val="24"/>
        </w:rPr>
        <w:t>资料的保密：在履行合同或合同规定期限内，甲方和乙方不得泄露与本合同业务活动有关的保密资料。</w:t>
      </w:r>
    </w:p>
    <w:p>
      <w:pPr>
        <w:spacing w:line="360" w:lineRule="auto"/>
        <w:ind w:firstLine="480" w:firstLineChars="200"/>
        <w:rPr>
          <w:rFonts w:ascii="宋体" w:hAnsi="宋体" w:cs="宋体"/>
          <w:sz w:val="24"/>
        </w:rPr>
      </w:pPr>
      <w:r>
        <w:rPr>
          <w:rFonts w:hint="eastAsia" w:ascii="宋体" w:hAnsi="宋体" w:cs="宋体"/>
          <w:sz w:val="24"/>
        </w:rPr>
        <w:t>2. 乙方应提供以下成果资料给甲方：（具体详见附件1《全过程造价咨询服务工作及成果质量量化考核表》工作内容，</w:t>
      </w:r>
      <w:r>
        <w:rPr>
          <w:rFonts w:hint="eastAsia" w:ascii="宋体" w:hAnsi="宋体" w:cs="宋体"/>
          <w:kern w:val="0"/>
          <w:sz w:val="24"/>
          <w:lang w:val="zh-CN"/>
        </w:rPr>
        <w:t>所有</w:t>
      </w:r>
      <w:r>
        <w:rPr>
          <w:rFonts w:hint="eastAsia" w:ascii="宋体" w:hAnsi="宋体" w:cs="宋体"/>
          <w:sz w:val="24"/>
        </w:rPr>
        <w:t>书面材料要求一式三份，并加盖乙方单位公章及注册造价师注册章，电子光盘一式两份，成果文件要求以广联达软件提交）。</w:t>
      </w:r>
    </w:p>
    <w:p>
      <w:pPr>
        <w:spacing w:line="360" w:lineRule="auto"/>
        <w:ind w:firstLine="480" w:firstLineChars="200"/>
        <w:rPr>
          <w:rFonts w:ascii="宋体" w:hAnsi="宋体" w:cs="宋体"/>
          <w:sz w:val="24"/>
        </w:rPr>
      </w:pPr>
      <w:r>
        <w:rPr>
          <w:rFonts w:hint="eastAsia" w:ascii="宋体" w:hAnsi="宋体" w:cs="宋体"/>
          <w:sz w:val="24"/>
        </w:rPr>
        <w:t>3. 甲方、乙方及中标的施工单位需共同完成招标工程量清单的</w:t>
      </w:r>
      <w:r>
        <w:rPr>
          <w:rFonts w:hint="eastAsia" w:ascii="宋体" w:hAnsi="宋体" w:cs="宋体"/>
          <w:kern w:val="0"/>
          <w:sz w:val="24"/>
          <w:lang w:val="zh-CN"/>
        </w:rPr>
        <w:t>偏差核对和漏项核对，核对一致后共同确认结果。</w:t>
      </w:r>
    </w:p>
    <w:p>
      <w:pPr>
        <w:spacing w:line="360" w:lineRule="auto"/>
        <w:ind w:firstLine="482" w:firstLineChars="200"/>
        <w:outlineLvl w:val="0"/>
        <w:rPr>
          <w:rFonts w:ascii="宋体" w:hAnsi="宋体" w:cs="宋体"/>
          <w:b/>
          <w:sz w:val="24"/>
        </w:rPr>
      </w:pPr>
      <w:r>
        <w:rPr>
          <w:rFonts w:hint="eastAsia" w:ascii="宋体" w:hAnsi="宋体" w:cs="宋体"/>
          <w:b/>
          <w:bCs w:val="0"/>
          <w:sz w:val="24"/>
        </w:rPr>
        <w:t>六、</w:t>
      </w:r>
      <w:r>
        <w:rPr>
          <w:rFonts w:hint="eastAsia" w:ascii="宋体" w:hAnsi="宋体" w:cs="宋体"/>
          <w:b/>
          <w:sz w:val="24"/>
        </w:rPr>
        <w:t>报酬及其支付方式</w:t>
      </w:r>
    </w:p>
    <w:p>
      <w:pPr>
        <w:adjustRightInd w:val="0"/>
        <w:spacing w:line="360" w:lineRule="auto"/>
        <w:ind w:firstLine="482" w:firstLineChars="200"/>
        <w:jc w:val="left"/>
        <w:rPr>
          <w:rFonts w:ascii="宋体" w:hAnsi="宋体" w:cs="宋体"/>
          <w:b/>
          <w:kern w:val="0"/>
          <w:sz w:val="24"/>
          <w:lang w:val="zh-CN"/>
        </w:rPr>
      </w:pPr>
      <w:r>
        <w:rPr>
          <w:rFonts w:hint="eastAsia" w:ascii="宋体" w:hAnsi="宋体" w:cs="宋体"/>
          <w:b/>
          <w:kern w:val="0"/>
          <w:sz w:val="24"/>
        </w:rPr>
        <w:t>1. 本</w:t>
      </w:r>
      <w:r>
        <w:rPr>
          <w:rFonts w:hint="eastAsia" w:ascii="宋体" w:hAnsi="宋体" w:cs="宋体"/>
          <w:b/>
          <w:kern w:val="0"/>
          <w:sz w:val="24"/>
          <w:lang w:val="zh-CN"/>
        </w:rPr>
        <w:t>项目估算建安工程费为</w:t>
      </w:r>
      <w:r>
        <w:rPr>
          <w:rFonts w:hint="eastAsia" w:ascii="宋体" w:hAnsi="宋体" w:cs="宋体"/>
          <w:b/>
          <w:kern w:val="0"/>
          <w:sz w:val="24"/>
        </w:rPr>
        <w:t>万</w:t>
      </w:r>
      <w:r>
        <w:rPr>
          <w:rFonts w:hint="eastAsia" w:ascii="宋体" w:hAnsi="宋体" w:cs="宋体"/>
          <w:b/>
          <w:kern w:val="0"/>
          <w:sz w:val="24"/>
          <w:lang w:val="zh-CN"/>
        </w:rPr>
        <w:t>元（其中启动区万元）</w:t>
      </w:r>
      <w:r>
        <w:rPr>
          <w:rFonts w:hint="eastAsia" w:ascii="宋体" w:hAnsi="宋体" w:cs="宋体"/>
          <w:b/>
          <w:kern w:val="0"/>
          <w:sz w:val="24"/>
        </w:rPr>
        <w:t>，本造价咨询服务合同</w:t>
      </w:r>
      <w:r>
        <w:rPr>
          <w:rFonts w:hint="eastAsia" w:ascii="宋体" w:hAnsi="宋体" w:cs="宋体"/>
          <w:b/>
          <w:kern w:val="0"/>
          <w:sz w:val="24"/>
          <w:lang w:val="zh-CN"/>
        </w:rPr>
        <w:t>暂定价为：</w:t>
      </w:r>
      <w:r>
        <w:rPr>
          <w:rFonts w:hint="eastAsia" w:ascii="宋体" w:hAnsi="宋体" w:cs="宋体"/>
          <w:b/>
          <w:kern w:val="0"/>
          <w:sz w:val="24"/>
          <w:u w:val="single"/>
          <w:lang w:val="zh-CN"/>
        </w:rPr>
        <w:t xml:space="preserve">（小写：¥ </w:t>
      </w:r>
      <w:r>
        <w:rPr>
          <w:rFonts w:hint="eastAsia" w:ascii="宋体" w:hAnsi="宋体" w:cs="宋体"/>
          <w:b/>
          <w:kern w:val="0"/>
          <w:sz w:val="24"/>
          <w:u w:val="single"/>
        </w:rPr>
        <w:t xml:space="preserve">  )</w:t>
      </w:r>
      <w:r>
        <w:rPr>
          <w:rFonts w:hint="eastAsia" w:ascii="宋体" w:hAnsi="宋体" w:cs="宋体"/>
          <w:b/>
          <w:kern w:val="0"/>
          <w:sz w:val="24"/>
          <w:u w:val="single"/>
          <w:lang w:val="zh-CN"/>
        </w:rPr>
        <w:t>；</w:t>
      </w:r>
      <w:r>
        <w:rPr>
          <w:rFonts w:hint="eastAsia" w:ascii="宋体" w:hAnsi="宋体" w:cs="宋体"/>
          <w:b/>
          <w:bCs w:val="0"/>
          <w:sz w:val="24"/>
        </w:rPr>
        <w:t>该费用含该项目建设工程预算评审费、税金、不可预见费及其它费用等一切税费。最终以</w:t>
      </w:r>
      <w:r>
        <w:rPr>
          <w:rFonts w:hint="eastAsia" w:ascii="宋体" w:hAnsi="宋体" w:cs="宋体"/>
          <w:b/>
          <w:bCs w:val="0"/>
          <w:sz w:val="24"/>
          <w:u w:val="single"/>
        </w:rPr>
        <w:t>财政部门或甲方委托第三方单位</w:t>
      </w:r>
      <w:r>
        <w:rPr>
          <w:rFonts w:hint="eastAsia" w:ascii="宋体" w:hAnsi="宋体" w:cs="宋体"/>
          <w:b/>
          <w:bCs w:val="0"/>
          <w:sz w:val="24"/>
        </w:rPr>
        <w:t>审定价作为全过程造价咨询费的结算依据。</w:t>
      </w:r>
    </w:p>
    <w:p>
      <w:pPr>
        <w:adjustRightInd w:val="0"/>
        <w:spacing w:line="360" w:lineRule="auto"/>
        <w:ind w:firstLine="482" w:firstLineChars="200"/>
        <w:jc w:val="left"/>
        <w:rPr>
          <w:rFonts w:ascii="宋体" w:hAnsi="宋体" w:cs="宋体"/>
          <w:b/>
          <w:kern w:val="0"/>
          <w:sz w:val="24"/>
          <w:lang w:val="zh-CN"/>
        </w:rPr>
      </w:pPr>
      <w:r>
        <w:rPr>
          <w:rFonts w:hint="eastAsia" w:ascii="宋体" w:hAnsi="宋体" w:cs="宋体"/>
          <w:b/>
          <w:kern w:val="0"/>
          <w:sz w:val="24"/>
        </w:rPr>
        <w:t xml:space="preserve">2. </w:t>
      </w:r>
      <w:r>
        <w:rPr>
          <w:rFonts w:hint="eastAsia" w:ascii="宋体" w:hAnsi="宋体" w:cs="宋体"/>
          <w:b/>
          <w:kern w:val="0"/>
          <w:sz w:val="24"/>
          <w:lang w:val="zh-CN"/>
        </w:rPr>
        <w:t>工程全过程造价咨询费的结算及拨付方式：</w:t>
      </w:r>
    </w:p>
    <w:p>
      <w:pPr>
        <w:spacing w:line="360" w:lineRule="auto"/>
        <w:ind w:firstLine="482" w:firstLineChars="200"/>
        <w:rPr>
          <w:rFonts w:ascii="宋体" w:hAnsi="宋体" w:cs="宋体"/>
          <w:b/>
          <w:bCs w:val="0"/>
          <w:sz w:val="24"/>
        </w:rPr>
      </w:pPr>
      <w:r>
        <w:rPr>
          <w:rFonts w:hint="eastAsia" w:ascii="宋体" w:hAnsi="宋体" w:cs="宋体"/>
          <w:b/>
          <w:bCs w:val="0"/>
          <w:kern w:val="0"/>
          <w:sz w:val="24"/>
        </w:rPr>
        <w:t xml:space="preserve">2.1结算咨询费 </w:t>
      </w:r>
      <w:r>
        <w:rPr>
          <w:rFonts w:hint="eastAsia" w:ascii="宋体" w:hAnsi="宋体" w:cs="宋体"/>
          <w:b/>
          <w:bCs w:val="0"/>
          <w:sz w:val="24"/>
        </w:rPr>
        <w:t>=</w:t>
      </w:r>
      <w:r>
        <w:rPr>
          <w:rFonts w:hint="eastAsia" w:ascii="宋体" w:hAnsi="宋体" w:cs="宋体"/>
          <w:b/>
          <w:sz w:val="24"/>
        </w:rPr>
        <w:t>咨询费</w:t>
      </w:r>
      <w:r>
        <w:rPr>
          <w:rFonts w:hint="eastAsia" w:ascii="宋体" w:hAnsi="宋体" w:cs="宋体"/>
          <w:b/>
          <w:bCs w:val="0"/>
          <w:sz w:val="24"/>
        </w:rPr>
        <w:t>结算评审价－（扣减费用总和）</w:t>
      </w:r>
    </w:p>
    <w:p>
      <w:pPr>
        <w:numPr>
          <w:ilvl w:val="0"/>
          <w:numId w:val="4"/>
        </w:numPr>
        <w:spacing w:line="360" w:lineRule="auto"/>
        <w:ind w:firstLine="422"/>
        <w:rPr>
          <w:rFonts w:ascii="宋体" w:hAnsi="宋体" w:cs="宋体"/>
          <w:b/>
          <w:bCs w:val="0"/>
          <w:sz w:val="24"/>
        </w:rPr>
      </w:pPr>
      <w:r>
        <w:rPr>
          <w:rFonts w:hint="eastAsia" w:ascii="宋体" w:hAnsi="宋体" w:cs="宋体"/>
          <w:b/>
          <w:bCs w:val="0"/>
          <w:kern w:val="0"/>
          <w:sz w:val="24"/>
        </w:rPr>
        <w:t>咨询费结算</w:t>
      </w:r>
      <w:r>
        <w:rPr>
          <w:rFonts w:hint="eastAsia" w:ascii="宋体" w:hAnsi="宋体" w:cs="宋体"/>
          <w:kern w:val="0"/>
          <w:sz w:val="24"/>
        </w:rPr>
        <w:t>：计费依据按广东省物价局粤价函</w:t>
      </w:r>
      <w:r>
        <w:rPr>
          <w:rFonts w:hint="eastAsia" w:ascii="宋体" w:hAnsi="宋体" w:cs="宋体"/>
          <w:color w:val="333333"/>
          <w:sz w:val="24"/>
          <w:shd w:val="clear" w:color="auto" w:fill="FFFFFF"/>
        </w:rPr>
        <w:t>〔</w:t>
      </w:r>
      <w:r>
        <w:rPr>
          <w:rFonts w:hint="eastAsia" w:ascii="宋体" w:hAnsi="宋体" w:cs="宋体"/>
          <w:kern w:val="0"/>
          <w:sz w:val="24"/>
        </w:rPr>
        <w:t>2011</w:t>
      </w:r>
      <w:r>
        <w:rPr>
          <w:rFonts w:hint="eastAsia" w:ascii="宋体" w:hAnsi="宋体" w:cs="宋体"/>
          <w:color w:val="333333"/>
          <w:sz w:val="24"/>
          <w:shd w:val="clear" w:color="auto" w:fill="FFFFFF"/>
        </w:rPr>
        <w:t>〕</w:t>
      </w:r>
      <w:r>
        <w:rPr>
          <w:rFonts w:hint="eastAsia" w:ascii="宋体" w:hAnsi="宋体" w:cs="宋体"/>
          <w:kern w:val="0"/>
          <w:sz w:val="24"/>
        </w:rPr>
        <w:t>74号文，本项目的</w:t>
      </w:r>
      <w:r>
        <w:rPr>
          <w:rFonts w:hint="eastAsia" w:ascii="宋体" w:hAnsi="宋体" w:cs="宋体"/>
          <w:sz w:val="24"/>
        </w:rPr>
        <w:t>全过程</w:t>
      </w:r>
      <w:r>
        <w:rPr>
          <w:rFonts w:hint="eastAsia" w:ascii="宋体" w:hAnsi="宋体" w:cs="宋体"/>
          <w:kern w:val="0"/>
          <w:sz w:val="24"/>
        </w:rPr>
        <w:t>咨询费计费基数按行业主管部门审定的已启动区域乙方实际工作范围内所有单位工程概算评审（如无概算评审的，则以结算评审价为准）中的建安工程费之和乘以 （中标费率）％的费率（中标费率=咨询费中标价/工程暂定建安费额&lt;即万元&gt;）计取。</w:t>
      </w:r>
      <w:r>
        <w:rPr>
          <w:rFonts w:hint="eastAsia" w:ascii="宋体" w:hAnsi="宋体" w:cs="宋体"/>
          <w:b/>
          <w:bCs w:val="0"/>
          <w:sz w:val="24"/>
        </w:rPr>
        <w:t>最终费用以财政部门或甲方委托第三方单位审定价为准。</w:t>
      </w:r>
    </w:p>
    <w:p>
      <w:pPr>
        <w:spacing w:line="360" w:lineRule="auto"/>
        <w:ind w:firstLine="480" w:firstLineChars="200"/>
        <w:rPr>
          <w:rFonts w:ascii="宋体" w:hAnsi="宋体" w:cs="宋体"/>
          <w:kern w:val="0"/>
          <w:sz w:val="24"/>
        </w:rPr>
      </w:pPr>
      <w:r>
        <w:rPr>
          <w:rFonts w:hint="eastAsia" w:ascii="宋体" w:hAnsi="宋体" w:cs="宋体"/>
          <w:kern w:val="0"/>
          <w:sz w:val="24"/>
        </w:rPr>
        <w:t>项目实施过程中，如发生规模变化、工程变更的，经甲方审批同意后，可据实调整咨询费计费基数，费率仍按中标费率。</w:t>
      </w:r>
    </w:p>
    <w:p>
      <w:pPr>
        <w:spacing w:line="360" w:lineRule="auto"/>
        <w:ind w:firstLine="480" w:firstLineChars="200"/>
        <w:rPr>
          <w:rFonts w:ascii="宋体" w:hAnsi="宋体" w:cs="宋体"/>
          <w:sz w:val="24"/>
        </w:rPr>
      </w:pPr>
      <w:r>
        <w:rPr>
          <w:rFonts w:hint="eastAsia" w:ascii="宋体" w:hAnsi="宋体" w:cs="宋体"/>
          <w:bCs w:val="0"/>
          <w:sz w:val="24"/>
        </w:rPr>
        <w:t>（2）</w:t>
      </w:r>
      <w:r>
        <w:rPr>
          <w:rFonts w:hint="eastAsia" w:ascii="宋体" w:hAnsi="宋体" w:cs="宋体"/>
          <w:sz w:val="24"/>
        </w:rPr>
        <w:t>乙方需严格按本项目施工图纸、设计变更、施工现场签证、竣工资料及国家有关规范采取清单计价法，审核概算及编制预结算造价文件，甲方对造价咨询内容设定质量要求及约束条款，质量不符合要求的，乙方需承担责任并扣减相应的咨询费用：</w:t>
      </w:r>
    </w:p>
    <w:p>
      <w:pPr>
        <w:spacing w:line="360" w:lineRule="auto"/>
        <w:ind w:firstLine="482" w:firstLineChars="200"/>
        <w:rPr>
          <w:rFonts w:ascii="宋体" w:hAnsi="宋体" w:cs="宋体"/>
          <w:sz w:val="24"/>
        </w:rPr>
      </w:pPr>
      <w:r>
        <w:rPr>
          <w:rFonts w:hint="eastAsia" w:ascii="宋体" w:hAnsi="宋体" w:cs="宋体"/>
          <w:b/>
          <w:bCs w:val="0"/>
          <w:sz w:val="24"/>
        </w:rPr>
        <w:t>A、概（预）算造价（建筑安装工程费）经</w:t>
      </w:r>
      <w:r>
        <w:rPr>
          <w:rFonts w:hint="eastAsia" w:ascii="宋体" w:hAnsi="宋体" w:cs="宋体"/>
          <w:b/>
          <w:sz w:val="24"/>
        </w:rPr>
        <w:t>行业主管部门</w:t>
      </w:r>
      <w:r>
        <w:rPr>
          <w:rFonts w:hint="eastAsia" w:ascii="宋体" w:hAnsi="宋体" w:cs="宋体"/>
          <w:b/>
          <w:bCs w:val="0"/>
          <w:kern w:val="0"/>
          <w:sz w:val="24"/>
          <w:shd w:val="clear" w:color="auto" w:fill="FFFFFF"/>
        </w:rPr>
        <w:t>或甲方委托第三方单位</w:t>
      </w:r>
      <w:r>
        <w:rPr>
          <w:rFonts w:hint="eastAsia" w:ascii="宋体" w:hAnsi="宋体" w:cs="宋体"/>
          <w:b/>
          <w:bCs w:val="0"/>
          <w:sz w:val="24"/>
        </w:rPr>
        <w:t>审定后存在的误差超过一定范围时需承担的责任：</w:t>
      </w:r>
    </w:p>
    <w:p>
      <w:pPr>
        <w:spacing w:line="360" w:lineRule="auto"/>
        <w:rPr>
          <w:rFonts w:ascii="宋体" w:hAnsi="宋体" w:cs="宋体"/>
          <w:sz w:val="24"/>
        </w:rPr>
      </w:pPr>
      <w:r>
        <w:rPr>
          <w:rFonts w:hint="eastAsia" w:ascii="宋体" w:hAnsi="宋体" w:cs="宋体"/>
          <w:sz w:val="24"/>
        </w:rPr>
        <w:t xml:space="preserve">    1）偏差率大于5%小于等于10%，按</w:t>
      </w:r>
      <w:r>
        <w:rPr>
          <w:rFonts w:hint="eastAsia" w:ascii="宋体" w:hAnsi="宋体" w:cs="宋体"/>
          <w:kern w:val="0"/>
          <w:sz w:val="24"/>
        </w:rPr>
        <w:t>已启动区域</w:t>
      </w:r>
      <w:r>
        <w:rPr>
          <w:rFonts w:hint="eastAsia" w:ascii="宋体" w:hAnsi="宋体" w:cs="宋体"/>
          <w:sz w:val="24"/>
        </w:rPr>
        <w:t>咨询费扣减10%；</w:t>
      </w:r>
    </w:p>
    <w:p>
      <w:pPr>
        <w:spacing w:line="360" w:lineRule="auto"/>
        <w:rPr>
          <w:rFonts w:ascii="宋体" w:hAnsi="宋体" w:cs="宋体"/>
          <w:sz w:val="24"/>
        </w:rPr>
      </w:pPr>
      <w:r>
        <w:rPr>
          <w:rFonts w:hint="eastAsia" w:ascii="宋体" w:hAnsi="宋体" w:cs="宋体"/>
          <w:sz w:val="24"/>
        </w:rPr>
        <w:t xml:space="preserve">    2）偏差率大于10%小于等于20%，按已启动区域咨询费扣减20%；</w:t>
      </w:r>
    </w:p>
    <w:p>
      <w:pPr>
        <w:spacing w:line="360" w:lineRule="auto"/>
        <w:ind w:firstLine="405"/>
        <w:rPr>
          <w:rFonts w:ascii="宋体" w:hAnsi="宋体" w:cs="宋体"/>
          <w:b/>
          <w:bCs w:val="0"/>
          <w:sz w:val="24"/>
        </w:rPr>
      </w:pPr>
      <w:r>
        <w:rPr>
          <w:rFonts w:hint="eastAsia" w:ascii="宋体" w:hAnsi="宋体" w:cs="宋体"/>
          <w:sz w:val="24"/>
        </w:rPr>
        <w:t>3）偏差率大于20%以上，按已启动区域咨询费扣减30%。</w:t>
      </w:r>
    </w:p>
    <w:p>
      <w:pPr>
        <w:spacing w:line="360" w:lineRule="auto"/>
        <w:ind w:firstLine="482" w:firstLineChars="200"/>
        <w:rPr>
          <w:rFonts w:ascii="宋体" w:hAnsi="宋体" w:cs="宋体"/>
          <w:sz w:val="24"/>
        </w:rPr>
      </w:pPr>
      <w:r>
        <w:rPr>
          <w:rFonts w:hint="eastAsia" w:ascii="宋体" w:hAnsi="宋体" w:cs="宋体"/>
          <w:b/>
          <w:bCs w:val="0"/>
          <w:sz w:val="24"/>
        </w:rPr>
        <w:t>B、结算造价（建筑安装工程费）经</w:t>
      </w:r>
      <w:r>
        <w:rPr>
          <w:rFonts w:hint="eastAsia" w:ascii="宋体" w:hAnsi="宋体" w:cs="宋体"/>
          <w:b/>
          <w:bCs w:val="0"/>
          <w:sz w:val="24"/>
          <w:u w:val="single"/>
        </w:rPr>
        <w:t>财政部门或</w:t>
      </w:r>
      <w:r>
        <w:rPr>
          <w:rFonts w:hint="eastAsia" w:ascii="宋体" w:hAnsi="宋体" w:cs="宋体"/>
          <w:b/>
          <w:bCs w:val="0"/>
          <w:kern w:val="0"/>
          <w:sz w:val="24"/>
          <w:shd w:val="clear" w:color="auto" w:fill="FFFFFF"/>
        </w:rPr>
        <w:t>甲方委托第三方单位</w:t>
      </w:r>
      <w:r>
        <w:rPr>
          <w:rFonts w:hint="eastAsia" w:ascii="宋体" w:hAnsi="宋体" w:cs="宋体"/>
          <w:b/>
          <w:bCs w:val="0"/>
          <w:sz w:val="24"/>
        </w:rPr>
        <w:t>审定后存在的误差超过一定范围时需承担的责任：</w:t>
      </w:r>
    </w:p>
    <w:p>
      <w:pPr>
        <w:spacing w:line="360" w:lineRule="auto"/>
        <w:rPr>
          <w:rFonts w:ascii="宋体" w:hAnsi="宋体" w:cs="宋体"/>
          <w:sz w:val="24"/>
        </w:rPr>
      </w:pPr>
      <w:r>
        <w:rPr>
          <w:rFonts w:hint="eastAsia" w:ascii="宋体" w:hAnsi="宋体" w:cs="宋体"/>
          <w:sz w:val="24"/>
        </w:rPr>
        <w:t xml:space="preserve">    1）偏差率大于3%小于等于5%，按已启动区域咨询费扣减10%；</w:t>
      </w:r>
    </w:p>
    <w:p>
      <w:pPr>
        <w:spacing w:line="360" w:lineRule="auto"/>
        <w:rPr>
          <w:rFonts w:ascii="宋体" w:hAnsi="宋体" w:cs="宋体"/>
          <w:sz w:val="24"/>
        </w:rPr>
      </w:pPr>
      <w:r>
        <w:rPr>
          <w:rFonts w:hint="eastAsia" w:ascii="宋体" w:hAnsi="宋体" w:cs="宋体"/>
          <w:sz w:val="24"/>
        </w:rPr>
        <w:t xml:space="preserve">    2）偏差率大于5%小于等于10%，按已启动区域咨询费扣减20%；</w:t>
      </w:r>
    </w:p>
    <w:p>
      <w:pPr>
        <w:spacing w:line="360" w:lineRule="auto"/>
        <w:rPr>
          <w:rFonts w:ascii="宋体" w:hAnsi="宋体" w:cs="宋体"/>
          <w:sz w:val="24"/>
        </w:rPr>
      </w:pPr>
      <w:r>
        <w:rPr>
          <w:rFonts w:hint="eastAsia" w:ascii="宋体" w:hAnsi="宋体" w:cs="宋体"/>
          <w:sz w:val="24"/>
        </w:rPr>
        <w:t xml:space="preserve">    2）偏差率大于10%以上，按已启动区域咨询费扣减30%。</w:t>
      </w:r>
    </w:p>
    <w:p>
      <w:pPr>
        <w:spacing w:line="360" w:lineRule="auto"/>
        <w:ind w:firstLine="482" w:firstLineChars="200"/>
        <w:rPr>
          <w:rFonts w:ascii="宋体" w:hAnsi="宋体" w:cs="宋体"/>
          <w:b/>
          <w:bCs w:val="0"/>
          <w:sz w:val="24"/>
        </w:rPr>
      </w:pPr>
      <w:r>
        <w:rPr>
          <w:rFonts w:hint="eastAsia" w:ascii="宋体" w:hAnsi="宋体" w:cs="宋体"/>
          <w:b/>
          <w:bCs w:val="0"/>
          <w:sz w:val="24"/>
        </w:rPr>
        <w:t>C、以上扣减的咨询费总额不超过已启动区域咨询费的30%，如非乙方原因造成成果计算偏差、成果被认定不合要求、质量较差等情况，经甲方审批同意后，可免予扣减</w:t>
      </w:r>
      <w:r>
        <w:rPr>
          <w:rFonts w:hint="eastAsia" w:ascii="宋体" w:hAnsi="宋体" w:cs="宋体"/>
          <w:b/>
          <w:bCs w:val="0"/>
          <w:color w:val="C00000"/>
          <w:sz w:val="24"/>
        </w:rPr>
        <w:t>，</w:t>
      </w:r>
      <w:r>
        <w:rPr>
          <w:rFonts w:hint="eastAsia" w:ascii="宋体" w:hAnsi="宋体" w:cs="宋体"/>
          <w:b/>
          <w:bCs w:val="0"/>
          <w:sz w:val="24"/>
          <w:u w:val="single"/>
        </w:rPr>
        <w:t>最终以财政部门</w:t>
      </w:r>
      <w:r>
        <w:rPr>
          <w:rFonts w:hint="eastAsia" w:ascii="宋体" w:hAnsi="宋体" w:cs="宋体"/>
          <w:b/>
          <w:bCs w:val="0"/>
          <w:kern w:val="0"/>
          <w:sz w:val="24"/>
          <w:shd w:val="clear" w:color="auto" w:fill="FFFFFF"/>
        </w:rPr>
        <w:t>或甲方委托第三方单位</w:t>
      </w:r>
      <w:r>
        <w:rPr>
          <w:rFonts w:hint="eastAsia" w:ascii="宋体" w:hAnsi="宋体" w:cs="宋体"/>
          <w:b/>
          <w:bCs w:val="0"/>
          <w:sz w:val="24"/>
        </w:rPr>
        <w:t>审核结果</w:t>
      </w:r>
      <w:r>
        <w:rPr>
          <w:rFonts w:hint="eastAsia" w:ascii="宋体" w:hAnsi="宋体" w:cs="宋体"/>
          <w:b/>
          <w:bCs w:val="0"/>
          <w:sz w:val="24"/>
          <w:u w:val="single"/>
        </w:rPr>
        <w:t>为准</w:t>
      </w:r>
      <w:r>
        <w:rPr>
          <w:rFonts w:hint="eastAsia" w:ascii="宋体" w:hAnsi="宋体" w:cs="宋体"/>
          <w:b/>
          <w:bCs w:val="0"/>
          <w:sz w:val="24"/>
        </w:rPr>
        <w:t>。</w:t>
      </w:r>
    </w:p>
    <w:p>
      <w:pPr>
        <w:spacing w:line="360" w:lineRule="auto"/>
        <w:ind w:firstLine="482" w:firstLineChars="200"/>
        <w:rPr>
          <w:rFonts w:ascii="宋体" w:hAnsi="宋体" w:cs="宋体"/>
          <w:b/>
          <w:bCs w:val="0"/>
          <w:sz w:val="24"/>
        </w:rPr>
      </w:pPr>
      <w:r>
        <w:rPr>
          <w:rFonts w:hint="eastAsia" w:ascii="宋体" w:hAnsi="宋体" w:cs="宋体"/>
          <w:b/>
          <w:bCs w:val="0"/>
          <w:sz w:val="24"/>
        </w:rPr>
        <w:t>2.2全过程造价咨询费拨付方式：</w:t>
      </w:r>
    </w:p>
    <w:p>
      <w:pPr>
        <w:spacing w:line="360" w:lineRule="auto"/>
        <w:ind w:firstLine="482" w:firstLineChars="200"/>
        <w:rPr>
          <w:rFonts w:ascii="宋体" w:hAnsi="宋体" w:cs="宋体"/>
          <w:b/>
          <w:bCs w:val="0"/>
          <w:sz w:val="24"/>
        </w:rPr>
      </w:pPr>
      <w:r>
        <w:rPr>
          <w:rFonts w:hint="eastAsia" w:ascii="宋体" w:hAnsi="宋体" w:cs="宋体"/>
          <w:b/>
          <w:bCs w:val="0"/>
          <w:sz w:val="24"/>
        </w:rPr>
        <w:t>2.2.1造价咨询费的申请支付。</w:t>
      </w:r>
    </w:p>
    <w:p>
      <w:pPr>
        <w:spacing w:line="360" w:lineRule="auto"/>
        <w:ind w:firstLine="482" w:firstLineChars="200"/>
        <w:rPr>
          <w:rFonts w:ascii="宋体" w:hAnsi="宋体" w:cs="宋体"/>
          <w:b/>
          <w:bCs w:val="0"/>
          <w:kern w:val="0"/>
          <w:sz w:val="24"/>
          <w:highlight w:val="none"/>
          <w:lang w:val="zh-CN"/>
        </w:rPr>
      </w:pPr>
      <w:r>
        <w:rPr>
          <w:rFonts w:hint="eastAsia" w:ascii="宋体" w:hAnsi="宋体" w:cs="宋体"/>
          <w:b/>
          <w:bCs w:val="0"/>
          <w:sz w:val="24"/>
        </w:rPr>
        <w:t>全过程</w:t>
      </w:r>
      <w:r>
        <w:rPr>
          <w:rFonts w:hint="eastAsia" w:ascii="宋体" w:hAnsi="宋体" w:cs="宋体"/>
          <w:b/>
          <w:sz w:val="24"/>
        </w:rPr>
        <w:t>造价咨询费在概算审核工作完成前，以已启动区域咨询费为</w:t>
      </w:r>
      <w:r>
        <w:rPr>
          <w:rFonts w:hint="eastAsia" w:ascii="宋体" w:hAnsi="宋体" w:cs="宋体"/>
          <w:b/>
          <w:kern w:val="0"/>
          <w:sz w:val="24"/>
          <w:lang w:val="zh-CN"/>
        </w:rPr>
        <w:t>支付依据</w:t>
      </w:r>
      <w:r>
        <w:rPr>
          <w:rFonts w:hint="eastAsia" w:ascii="宋体" w:hAnsi="宋体" w:cs="宋体"/>
          <w:b/>
          <w:sz w:val="24"/>
        </w:rPr>
        <w:t>；在行业主管部门概算审核工作完成后，以已启动区域咨询费和概算审核价中低者作为支付依据</w:t>
      </w:r>
      <w:r>
        <w:rPr>
          <w:rFonts w:hint="eastAsia" w:ascii="宋体" w:hAnsi="宋体" w:cs="宋体"/>
          <w:b/>
          <w:bCs w:val="0"/>
          <w:kern w:val="0"/>
          <w:sz w:val="24"/>
          <w:lang w:val="zh-CN"/>
        </w:rPr>
        <w:t>；</w:t>
      </w:r>
      <w:r>
        <w:rPr>
          <w:rFonts w:hint="eastAsia" w:ascii="宋体" w:hAnsi="宋体" w:cs="宋体"/>
          <w:b/>
          <w:bCs w:val="0"/>
          <w:kern w:val="0"/>
          <w:sz w:val="24"/>
          <w:highlight w:val="none"/>
          <w:lang w:val="zh-CN"/>
        </w:rPr>
        <w:t>造价咨询费在完成结（</w:t>
      </w:r>
      <w:r>
        <w:rPr>
          <w:rFonts w:hint="eastAsia" w:ascii="宋体" w:hAnsi="宋体" w:cs="宋体"/>
          <w:b/>
          <w:bCs w:val="0"/>
          <w:kern w:val="0"/>
          <w:sz w:val="24"/>
          <w:highlight w:val="none"/>
        </w:rPr>
        <w:t>决）</w:t>
      </w:r>
      <w:r>
        <w:rPr>
          <w:rFonts w:hint="eastAsia" w:ascii="宋体" w:hAnsi="宋体" w:cs="宋体"/>
          <w:b/>
          <w:bCs w:val="0"/>
          <w:kern w:val="0"/>
          <w:sz w:val="24"/>
          <w:highlight w:val="none"/>
          <w:lang w:val="zh-CN"/>
        </w:rPr>
        <w:t>算评审后，以结（</w:t>
      </w:r>
      <w:r>
        <w:rPr>
          <w:rFonts w:hint="eastAsia" w:ascii="宋体" w:hAnsi="宋体" w:cs="宋体"/>
          <w:b/>
          <w:bCs w:val="0"/>
          <w:kern w:val="0"/>
          <w:sz w:val="24"/>
          <w:highlight w:val="none"/>
        </w:rPr>
        <w:t>决）</w:t>
      </w:r>
      <w:r>
        <w:rPr>
          <w:rFonts w:hint="eastAsia" w:ascii="宋体" w:hAnsi="宋体" w:cs="宋体"/>
          <w:b/>
          <w:bCs w:val="0"/>
          <w:kern w:val="0"/>
          <w:sz w:val="24"/>
          <w:highlight w:val="none"/>
          <w:lang w:val="zh-CN"/>
        </w:rPr>
        <w:t>算评审价作为支付依据。</w:t>
      </w:r>
    </w:p>
    <w:p>
      <w:pPr>
        <w:spacing w:line="360" w:lineRule="auto"/>
        <w:ind w:firstLine="240" w:firstLineChars="100"/>
        <w:rPr>
          <w:rFonts w:ascii="宋体" w:hAnsi="宋体" w:cs="宋体"/>
          <w:sz w:val="24"/>
        </w:rPr>
      </w:pPr>
      <w:r>
        <w:rPr>
          <w:rFonts w:hint="eastAsia" w:ascii="宋体" w:hAnsi="宋体" w:cs="宋体"/>
          <w:sz w:val="24"/>
        </w:rPr>
        <w:t>（1）合同签订后，并经甲方审核同意，乙方可申请支付至已启动区域咨询费的20%作为预付款，累计预付金额不高于合同暂定价或本项目概算审核价中低者的20%；</w:t>
      </w:r>
    </w:p>
    <w:p>
      <w:pPr>
        <w:spacing w:line="360" w:lineRule="auto"/>
        <w:rPr>
          <w:rFonts w:ascii="宋体" w:hAnsi="宋体" w:cs="宋体"/>
          <w:sz w:val="24"/>
        </w:rPr>
      </w:pPr>
      <w:r>
        <w:rPr>
          <w:rFonts w:hint="eastAsia" w:ascii="宋体" w:hAnsi="宋体" w:cs="宋体"/>
          <w:sz w:val="24"/>
        </w:rPr>
        <w:t xml:space="preserve">  （2）协助甲方完成已启动区域的概算评审（如无概算评审，则以完成初步设计概算审核，并取得初步设计技术评审意见为准），并经甲方审核同意，乙方可申请支付至已启动区域咨询费的30%，累计支付金额不高于合同暂定价或本项目概算审核价中低者的30%；</w:t>
      </w:r>
    </w:p>
    <w:p>
      <w:pPr>
        <w:spacing w:line="360" w:lineRule="auto"/>
        <w:rPr>
          <w:rFonts w:ascii="宋体" w:hAnsi="宋体" w:cs="宋体"/>
          <w:sz w:val="24"/>
        </w:rPr>
      </w:pPr>
      <w:r>
        <w:rPr>
          <w:rFonts w:hint="eastAsia" w:ascii="宋体" w:hAnsi="宋体" w:cs="宋体"/>
          <w:sz w:val="24"/>
        </w:rPr>
        <w:t xml:space="preserve">  （3）待完成已启动区域的预算编制，乙方与甲方、施工单位完成清单漏项、少计核对工作并通过第三方机构审核（如有）后，并经甲方审核同意，乙方可申请支付至已启动区域咨询费的50%，累计支付金额不高于合同暂定价或本项目概算审核价中低者的50%；</w:t>
      </w:r>
    </w:p>
    <w:p>
      <w:pPr>
        <w:spacing w:line="360" w:lineRule="auto"/>
        <w:rPr>
          <w:rFonts w:ascii="宋体" w:hAnsi="宋体" w:cs="宋体"/>
          <w:sz w:val="24"/>
        </w:rPr>
      </w:pPr>
      <w:r>
        <w:rPr>
          <w:rFonts w:hint="eastAsia" w:ascii="宋体" w:hAnsi="宋体" w:cs="宋体"/>
          <w:sz w:val="24"/>
        </w:rPr>
        <w:t xml:space="preserve">  （4）待已启动区域完成竣工验收完成后，并经甲方审核同意，乙方可申请支付至已启动区域咨询费的70%，累计支付金额不高于合同暂定价或本项目概算审核价中低者的70%；  </w:t>
      </w:r>
    </w:p>
    <w:p>
      <w:pPr>
        <w:spacing w:line="360" w:lineRule="auto"/>
        <w:ind w:firstLine="240" w:firstLineChars="100"/>
        <w:rPr>
          <w:rFonts w:ascii="宋体" w:hAnsi="宋体" w:cs="宋体"/>
          <w:sz w:val="24"/>
        </w:rPr>
      </w:pPr>
      <w:r>
        <w:rPr>
          <w:rFonts w:hint="eastAsia" w:ascii="宋体" w:hAnsi="宋体" w:cs="宋体"/>
          <w:sz w:val="24"/>
        </w:rPr>
        <w:t>（5）待已启动区域主体完成竣工结算评审后，并经甲方审核同意，乙方可申请支付至已启动区域咨询费的80%，累计支付金额不高于合同暂定价或本项目概算审核价中低者的80%；</w:t>
      </w:r>
    </w:p>
    <w:p>
      <w:pPr>
        <w:spacing w:line="360" w:lineRule="auto"/>
        <w:rPr>
          <w:rStyle w:val="26"/>
          <w:rFonts w:ascii="宋体" w:hAnsi="宋体" w:cs="宋体"/>
          <w:sz w:val="24"/>
          <w:szCs w:val="24"/>
        </w:rPr>
      </w:pPr>
      <w:r>
        <w:rPr>
          <w:rFonts w:hint="eastAsia" w:ascii="宋体" w:hAnsi="宋体" w:cs="宋体"/>
          <w:sz w:val="24"/>
        </w:rPr>
        <w:t xml:space="preserve">  （6）待完成已启动区域咨询费的结算评审，乙方可申请支付至已启动区域咨询费结算评审价的97%，累计支付金额不高于本项目咨询费结算评审价的97%。</w:t>
      </w:r>
    </w:p>
    <w:p>
      <w:pPr>
        <w:spacing w:line="360" w:lineRule="auto"/>
        <w:ind w:firstLine="240" w:firstLineChars="100"/>
        <w:rPr>
          <w:rFonts w:ascii="宋体" w:hAnsi="宋体" w:cs="宋体"/>
          <w:sz w:val="24"/>
          <w:highlight w:val="none"/>
        </w:rPr>
      </w:pPr>
      <w:r>
        <w:rPr>
          <w:rFonts w:hint="eastAsia" w:ascii="宋体" w:hAnsi="宋体" w:cs="宋体"/>
          <w:sz w:val="24"/>
          <w:highlight w:val="none"/>
        </w:rPr>
        <w:t>（7）工程缺陷责任期满，完成竣工财务决算后，并经甲方同意后，乙方可申请支付至已启动区域咨询费最终结（决）算价的100%，累计支付金额不高于本项目咨询费结（决）算价的100%。</w:t>
      </w:r>
    </w:p>
    <w:p>
      <w:pPr>
        <w:spacing w:line="360" w:lineRule="auto"/>
        <w:rPr>
          <w:rFonts w:ascii="宋体" w:hAnsi="宋体" w:cs="宋体"/>
          <w:sz w:val="24"/>
        </w:rPr>
      </w:pPr>
      <w:r>
        <w:rPr>
          <w:rFonts w:hint="eastAsia" w:ascii="宋体" w:hAnsi="宋体" w:cs="宋体"/>
          <w:sz w:val="24"/>
        </w:rPr>
        <w:t xml:space="preserve">  （8）本工程造价咨询酬金不论任何情况均不计算利息；</w:t>
      </w:r>
    </w:p>
    <w:p>
      <w:pPr>
        <w:spacing w:line="360" w:lineRule="auto"/>
        <w:rPr>
          <w:rFonts w:ascii="宋体" w:hAnsi="宋体" w:cs="宋体"/>
          <w:bCs w:val="0"/>
          <w:sz w:val="24"/>
        </w:rPr>
      </w:pPr>
      <w:r>
        <w:rPr>
          <w:rFonts w:hint="eastAsia" w:ascii="宋体" w:hAnsi="宋体" w:cs="宋体"/>
          <w:sz w:val="24"/>
        </w:rPr>
        <w:t xml:space="preserve">  （9）本工程造价咨询酬金</w:t>
      </w:r>
      <w:r>
        <w:rPr>
          <w:rFonts w:hint="eastAsia" w:ascii="宋体" w:hAnsi="宋体" w:cs="宋体"/>
          <w:bCs w:val="0"/>
          <w:sz w:val="24"/>
        </w:rPr>
        <w:t>的支付均需乙方提出书面申请，发包人收到书面申请资料后尽快完成审核及付款手续；</w:t>
      </w:r>
    </w:p>
    <w:p>
      <w:pPr>
        <w:spacing w:line="360" w:lineRule="auto"/>
        <w:rPr>
          <w:rFonts w:ascii="宋体" w:hAnsi="宋体" w:cs="宋体"/>
          <w:sz w:val="24"/>
        </w:rPr>
      </w:pPr>
      <w:r>
        <w:rPr>
          <w:rFonts w:hint="eastAsia" w:ascii="宋体" w:hAnsi="宋体" w:cs="宋体"/>
          <w:sz w:val="24"/>
        </w:rPr>
        <w:t xml:space="preserve">  （10）乙方领取造价咨询费前须开具合法有效的发票给甲方，费用由乙方自行承担；</w:t>
      </w:r>
    </w:p>
    <w:p>
      <w:pPr>
        <w:spacing w:line="360" w:lineRule="auto"/>
        <w:rPr>
          <w:rFonts w:ascii="宋体" w:hAnsi="宋体" w:cs="宋体"/>
          <w:b/>
          <w:sz w:val="24"/>
        </w:rPr>
      </w:pPr>
      <w:r>
        <w:rPr>
          <w:rFonts w:hint="eastAsia" w:ascii="宋体" w:hAnsi="宋体" w:cs="宋体"/>
          <w:sz w:val="24"/>
        </w:rPr>
        <w:t xml:space="preserve">  （11）本合同支付执行花财支付〔2013〕1号及花财支付〔2016〕4号，若花都区政府职能管理部门的结算、支付管理有新规定的，则按新规定执行。</w:t>
      </w:r>
      <w:r>
        <w:rPr>
          <w:rFonts w:hint="eastAsia" w:ascii="宋体" w:hAnsi="宋体" w:cs="宋体"/>
          <w:b/>
          <w:sz w:val="24"/>
        </w:rPr>
        <w:t>因项目使用财政资金，甲方在上述约定时间向相关部门提交付款申请手续，即视为甲方已履行付款义务。</w:t>
      </w:r>
    </w:p>
    <w:p>
      <w:pPr>
        <w:spacing w:line="360" w:lineRule="auto"/>
        <w:ind w:firstLine="240" w:firstLineChars="100"/>
        <w:rPr>
          <w:rFonts w:ascii="宋体" w:hAnsi="宋体" w:cs="宋体"/>
          <w:sz w:val="24"/>
        </w:rPr>
      </w:pPr>
      <w:r>
        <w:rPr>
          <w:rFonts w:hint="eastAsia" w:ascii="宋体" w:hAnsi="宋体" w:cs="宋体"/>
          <w:sz w:val="24"/>
        </w:rPr>
        <w:t>（11）若因甲方、上级部门、政策或其他原因导致本项合同无法签订或履行的，或导致项目中止或终止的，乙方自愿同意免除甲方的相应责任并放弃向甲方索偿及追究相关法律责任的全部权利。</w:t>
      </w:r>
    </w:p>
    <w:p>
      <w:pPr>
        <w:spacing w:line="360" w:lineRule="auto"/>
        <w:ind w:firstLine="480" w:firstLineChars="200"/>
        <w:outlineLvl w:val="0"/>
        <w:rPr>
          <w:rFonts w:ascii="宋体" w:hAnsi="宋体" w:cs="宋体"/>
          <w:sz w:val="24"/>
        </w:rPr>
      </w:pPr>
      <w:r>
        <w:rPr>
          <w:rFonts w:hint="eastAsia" w:ascii="宋体" w:hAnsi="宋体" w:cs="宋体"/>
          <w:sz w:val="24"/>
        </w:rPr>
        <w:t>七、因履行本合同产生争议的，由双方友好协商解决；协商不成的，任何一方有权向甲方所在地人民法院提起诉讼。</w:t>
      </w:r>
    </w:p>
    <w:p>
      <w:pPr>
        <w:spacing w:line="360" w:lineRule="auto"/>
        <w:ind w:firstLine="480" w:firstLineChars="200"/>
        <w:jc w:val="left"/>
        <w:outlineLvl w:val="0"/>
        <w:rPr>
          <w:rFonts w:ascii="宋体" w:hAnsi="宋体" w:cs="宋体"/>
          <w:sz w:val="24"/>
        </w:rPr>
      </w:pPr>
      <w:r>
        <w:rPr>
          <w:rFonts w:hint="eastAsia" w:ascii="宋体" w:hAnsi="宋体" w:cs="宋体"/>
          <w:bCs w:val="0"/>
          <w:sz w:val="24"/>
        </w:rPr>
        <w:t>八、本</w:t>
      </w:r>
      <w:r>
        <w:rPr>
          <w:rFonts w:hint="eastAsia" w:ascii="宋体" w:hAnsi="宋体" w:cs="宋体"/>
          <w:sz w:val="24"/>
        </w:rPr>
        <w:t>合同一式  份，具有同等法律效力，其中甲方执*份，乙方执*份。</w:t>
      </w:r>
    </w:p>
    <w:p>
      <w:pPr>
        <w:adjustRightInd w:val="0"/>
        <w:snapToGrid w:val="0"/>
        <w:spacing w:line="360" w:lineRule="auto"/>
        <w:ind w:left="-178" w:leftChars="-85" w:right="-178" w:rightChars="-85" w:firstLine="482" w:firstLineChars="200"/>
        <w:rPr>
          <w:rFonts w:ascii="宋体" w:hAnsi="宋体" w:cs="宋体"/>
          <w:b/>
          <w:sz w:val="24"/>
        </w:rPr>
      </w:pPr>
    </w:p>
    <w:p>
      <w:pPr>
        <w:adjustRightInd w:val="0"/>
        <w:snapToGrid w:val="0"/>
        <w:spacing w:line="360" w:lineRule="auto"/>
        <w:ind w:left="-178" w:leftChars="-85" w:right="-178" w:rightChars="-85" w:firstLine="482" w:firstLineChars="200"/>
        <w:rPr>
          <w:rFonts w:ascii="宋体" w:hAnsi="宋体" w:cs="宋体"/>
          <w:b/>
          <w:sz w:val="24"/>
        </w:rPr>
      </w:pPr>
      <w:r>
        <w:rPr>
          <w:rFonts w:hint="eastAsia" w:ascii="宋体" w:hAnsi="宋体" w:cs="宋体"/>
          <w:b/>
          <w:sz w:val="24"/>
        </w:rPr>
        <w:t>附件1.全过程造价咨询服务工作及成果质量量化考核表</w:t>
      </w:r>
    </w:p>
    <w:p>
      <w:pPr>
        <w:adjustRightInd w:val="0"/>
        <w:snapToGrid w:val="0"/>
        <w:spacing w:line="360" w:lineRule="auto"/>
        <w:ind w:left="-178" w:leftChars="-85" w:right="-178" w:rightChars="-85" w:firstLine="482" w:firstLineChars="200"/>
        <w:rPr>
          <w:rFonts w:ascii="宋体" w:hAnsi="宋体" w:cs="宋体"/>
          <w:b/>
          <w:sz w:val="24"/>
        </w:rPr>
      </w:pPr>
      <w:r>
        <w:rPr>
          <w:rFonts w:hint="eastAsia" w:ascii="宋体" w:hAnsi="宋体" w:cs="宋体"/>
          <w:b/>
          <w:sz w:val="24"/>
        </w:rPr>
        <w:t>附件2.造价咨询人员配置一览表</w:t>
      </w:r>
    </w:p>
    <w:p>
      <w:pPr>
        <w:adjustRightInd w:val="0"/>
        <w:snapToGrid w:val="0"/>
        <w:spacing w:line="360" w:lineRule="auto"/>
        <w:ind w:left="-178" w:leftChars="-85" w:right="-178" w:rightChars="-85" w:firstLine="482" w:firstLineChars="200"/>
        <w:rPr>
          <w:rFonts w:ascii="宋体" w:hAnsi="宋体" w:cs="宋体"/>
          <w:b/>
          <w:sz w:val="24"/>
        </w:rPr>
      </w:pPr>
      <w:r>
        <w:rPr>
          <w:rFonts w:hint="eastAsia" w:ascii="宋体" w:hAnsi="宋体" w:cs="宋体"/>
          <w:b/>
          <w:sz w:val="24"/>
        </w:rPr>
        <w:t>附件3.保密协议</w:t>
      </w:r>
    </w:p>
    <w:p>
      <w:pPr>
        <w:adjustRightInd w:val="0"/>
        <w:snapToGrid w:val="0"/>
        <w:spacing w:line="360" w:lineRule="auto"/>
        <w:ind w:left="-178" w:leftChars="-85" w:right="-178" w:rightChars="-85" w:firstLine="482" w:firstLineChars="200"/>
        <w:rPr>
          <w:rFonts w:ascii="宋体" w:hAnsi="宋体" w:cs="宋体"/>
          <w:b/>
          <w:sz w:val="24"/>
        </w:rPr>
      </w:pPr>
      <w:r>
        <w:rPr>
          <w:rFonts w:hint="eastAsia" w:ascii="宋体" w:hAnsi="宋体" w:cs="宋体"/>
          <w:b/>
          <w:sz w:val="24"/>
        </w:rPr>
        <w:t>附件4.廉政合同</w:t>
      </w:r>
    </w:p>
    <w:p>
      <w:pPr>
        <w:adjustRightInd w:val="0"/>
        <w:snapToGrid w:val="0"/>
        <w:spacing w:line="360" w:lineRule="auto"/>
        <w:ind w:left="-178" w:leftChars="-85" w:right="-178" w:rightChars="-85" w:firstLine="482" w:firstLineChars="200"/>
        <w:rPr>
          <w:rFonts w:ascii="宋体" w:hAnsi="宋体" w:cs="宋体"/>
          <w:b/>
          <w:sz w:val="24"/>
        </w:rPr>
      </w:pPr>
      <w:r>
        <w:rPr>
          <w:rFonts w:hint="eastAsia" w:ascii="宋体" w:hAnsi="宋体" w:cs="宋体"/>
          <w:b/>
          <w:sz w:val="24"/>
        </w:rPr>
        <w:t>附件5.结算工作协议书</w:t>
      </w:r>
    </w:p>
    <w:p>
      <w:pPr>
        <w:adjustRightInd w:val="0"/>
        <w:snapToGrid w:val="0"/>
        <w:spacing w:line="360" w:lineRule="auto"/>
        <w:ind w:left="-178" w:leftChars="-85" w:right="-178" w:rightChars="-85" w:firstLine="482" w:firstLineChars="200"/>
        <w:rPr>
          <w:rFonts w:ascii="宋体" w:hAnsi="宋体" w:cs="宋体"/>
          <w:b/>
          <w:sz w:val="24"/>
        </w:rPr>
      </w:pPr>
      <w:r>
        <w:rPr>
          <w:rFonts w:hint="eastAsia" w:ascii="宋体" w:hAnsi="宋体" w:cs="宋体"/>
          <w:b/>
          <w:sz w:val="24"/>
        </w:rPr>
        <w:t>附件6.中标通知书</w:t>
      </w:r>
    </w:p>
    <w:p>
      <w:pPr>
        <w:pStyle w:val="10"/>
        <w:ind w:firstLine="630" w:firstLineChars="300"/>
      </w:pPr>
    </w:p>
    <w:p>
      <w:pPr>
        <w:adjustRightInd w:val="0"/>
        <w:snapToGrid w:val="0"/>
        <w:spacing w:line="360" w:lineRule="auto"/>
        <w:jc w:val="center"/>
        <w:rPr>
          <w:rFonts w:ascii="宋体" w:hAnsi="宋体" w:cs="仿宋_GB2312"/>
          <w:sz w:val="24"/>
        </w:rPr>
      </w:pPr>
      <w:r>
        <w:rPr>
          <w:rFonts w:hint="eastAsia" w:ascii="宋体" w:hAnsi="宋体" w:cs="仿宋_GB2312"/>
          <w:sz w:val="24"/>
        </w:rPr>
        <w:t>（以下无正文）</w:t>
      </w:r>
    </w:p>
    <w:p>
      <w:pPr>
        <w:pStyle w:val="10"/>
        <w:ind w:firstLine="480"/>
        <w:rPr>
          <w:rFonts w:hAnsi="宋体" w:cs="仿宋_GB2312"/>
          <w:sz w:val="24"/>
          <w:szCs w:val="24"/>
        </w:rPr>
      </w:pPr>
    </w:p>
    <w:p>
      <w:pPr>
        <w:pStyle w:val="10"/>
        <w:ind w:firstLine="480"/>
        <w:rPr>
          <w:rFonts w:hAnsi="宋体" w:cs="仿宋_GB2312"/>
          <w:sz w:val="24"/>
          <w:szCs w:val="24"/>
        </w:rPr>
      </w:pPr>
    </w:p>
    <w:p>
      <w:pPr>
        <w:pStyle w:val="10"/>
        <w:ind w:firstLine="480"/>
        <w:rPr>
          <w:rFonts w:hAnsi="宋体" w:cs="仿宋_GB2312"/>
          <w:sz w:val="24"/>
          <w:szCs w:val="24"/>
        </w:rPr>
      </w:pPr>
    </w:p>
    <w:p>
      <w:pPr>
        <w:pStyle w:val="10"/>
        <w:jc w:val="center"/>
        <w:rPr>
          <w:rFonts w:hAnsi="宋体" w:cs="仿宋_GB2312"/>
          <w:sz w:val="24"/>
          <w:szCs w:val="24"/>
        </w:rPr>
      </w:pPr>
      <w:r>
        <w:rPr>
          <w:rFonts w:hint="eastAsia" w:hAnsi="宋体" w:cs="仿宋_GB2312"/>
          <w:sz w:val="24"/>
          <w:szCs w:val="24"/>
        </w:rPr>
        <w:br w:type="page"/>
      </w:r>
      <w:r>
        <w:rPr>
          <w:rFonts w:hint="eastAsia" w:hAnsi="宋体" w:cs="仿宋_GB2312"/>
          <w:sz w:val="24"/>
          <w:szCs w:val="24"/>
        </w:rPr>
        <w:t xml:space="preserve"> (本页无正文，为</w:t>
      </w:r>
      <w:r>
        <w:rPr>
          <w:rFonts w:hint="eastAsia" w:hAnsi="宋体" w:cs="宋体"/>
          <w:sz w:val="24"/>
          <w:u w:val="single"/>
        </w:rPr>
        <w:t>广州北站东侧老旧小区成片连片微改造项目全过程造价咨询</w:t>
      </w:r>
      <w:r>
        <w:rPr>
          <w:rFonts w:hint="eastAsia" w:hAnsi="宋体" w:cs="仿宋_GB2312"/>
          <w:sz w:val="24"/>
          <w:szCs w:val="24"/>
        </w:rPr>
        <w:t>合同签署页）</w:t>
      </w:r>
    </w:p>
    <w:p>
      <w:pPr>
        <w:adjustRightInd w:val="0"/>
        <w:snapToGrid w:val="0"/>
        <w:spacing w:line="360" w:lineRule="auto"/>
        <w:ind w:left="-178" w:leftChars="-85" w:right="-178" w:rightChars="-85" w:firstLine="480" w:firstLineChars="200"/>
        <w:rPr>
          <w:rFonts w:ascii="宋体" w:hAnsi="宋体" w:cs="宋体"/>
          <w:sz w:val="24"/>
        </w:rPr>
      </w:pPr>
    </w:p>
    <w:tbl>
      <w:tblPr>
        <w:tblStyle w:val="21"/>
        <w:tblW w:w="97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6"/>
        <w:gridCol w:w="5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exact"/>
        </w:trPr>
        <w:tc>
          <w:tcPr>
            <w:tcW w:w="4536" w:type="dxa"/>
            <w:tcBorders>
              <w:right w:val="dashed" w:color="000000" w:sz="4" w:space="0"/>
              <w:tl2br w:val="nil"/>
              <w:tr2bl w:val="nil"/>
            </w:tcBorders>
          </w:tcPr>
          <w:p>
            <w:pPr>
              <w:adjustRightInd w:val="0"/>
              <w:snapToGrid w:val="0"/>
              <w:spacing w:line="360" w:lineRule="auto"/>
              <w:ind w:left="1920" w:hanging="1920" w:hangingChars="800"/>
              <w:rPr>
                <w:rFonts w:ascii="宋体" w:hAnsi="宋体" w:cs="宋体"/>
                <w:snapToGrid w:val="0"/>
                <w:sz w:val="24"/>
              </w:rPr>
            </w:pPr>
            <w:r>
              <w:rPr>
                <w:rFonts w:hint="eastAsia" w:ascii="宋体" w:hAnsi="宋体" w:cs="宋体"/>
                <w:snapToGrid w:val="0"/>
                <w:sz w:val="24"/>
              </w:rPr>
              <w:t>委托人（甲方）：</w:t>
            </w:r>
            <w:r>
              <w:rPr>
                <w:rFonts w:hint="eastAsia" w:ascii="宋体" w:hAnsi="宋体" w:cs="宋体"/>
                <w:sz w:val="24"/>
                <w:u w:val="single"/>
              </w:rPr>
              <w:t>广州市花都区人民政府新华街道办事处</w:t>
            </w:r>
          </w:p>
        </w:tc>
        <w:tc>
          <w:tcPr>
            <w:tcW w:w="5200" w:type="dxa"/>
            <w:tcBorders>
              <w:left w:val="dashed" w:color="000000" w:sz="4" w:space="0"/>
              <w:tl2br w:val="nil"/>
              <w:tr2bl w:val="nil"/>
            </w:tcBorders>
          </w:tcPr>
          <w:p>
            <w:pPr>
              <w:adjustRightInd w:val="0"/>
              <w:snapToGrid w:val="0"/>
              <w:spacing w:line="360" w:lineRule="auto"/>
              <w:rPr>
                <w:rFonts w:ascii="宋体" w:hAnsi="宋体" w:cs="宋体"/>
                <w:b/>
                <w:sz w:val="24"/>
                <w:u w:val="single"/>
              </w:rPr>
            </w:pPr>
            <w:r>
              <w:rPr>
                <w:rFonts w:hint="eastAsia" w:ascii="宋体" w:hAnsi="宋体" w:cs="宋体"/>
                <w:snapToGrid w:val="0"/>
                <w:sz w:val="24"/>
              </w:rPr>
              <w:t>咨询人（乙方）：</w:t>
            </w:r>
          </w:p>
          <w:p>
            <w:pPr>
              <w:adjustRightInd w:val="0"/>
              <w:snapToGrid w:val="0"/>
              <w:spacing w:line="360" w:lineRule="auto"/>
              <w:ind w:firstLine="2400" w:firstLineChars="1000"/>
              <w:rPr>
                <w:rFonts w:ascii="宋体" w:hAnsi="宋体" w:cs="宋体"/>
                <w:snapToGrid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Borders>
              <w:right w:val="dashed" w:color="000000" w:sz="4" w:space="0"/>
              <w:tl2br w:val="nil"/>
              <w:tr2bl w:val="nil"/>
            </w:tcBorders>
          </w:tcPr>
          <w:p>
            <w:pPr>
              <w:adjustRightInd w:val="0"/>
              <w:snapToGrid w:val="0"/>
              <w:spacing w:line="360" w:lineRule="auto"/>
              <w:rPr>
                <w:rFonts w:ascii="宋体" w:hAnsi="宋体" w:cs="宋体"/>
                <w:snapToGrid w:val="0"/>
                <w:sz w:val="24"/>
              </w:rPr>
            </w:pPr>
            <w:r>
              <w:rPr>
                <w:rFonts w:hint="eastAsia" w:ascii="宋体" w:hAnsi="宋体" w:cs="宋体"/>
                <w:snapToGrid w:val="0"/>
                <w:sz w:val="24"/>
              </w:rPr>
              <w:t>法定代表人：</w:t>
            </w:r>
          </w:p>
        </w:tc>
        <w:tc>
          <w:tcPr>
            <w:tcW w:w="5200" w:type="dxa"/>
            <w:tcBorders>
              <w:left w:val="dashed" w:color="000000" w:sz="4" w:space="0"/>
              <w:tl2br w:val="nil"/>
              <w:tr2bl w:val="nil"/>
            </w:tcBorders>
          </w:tcPr>
          <w:p>
            <w:pPr>
              <w:adjustRightInd w:val="0"/>
              <w:snapToGrid w:val="0"/>
              <w:spacing w:line="360" w:lineRule="auto"/>
              <w:rPr>
                <w:rFonts w:ascii="宋体" w:hAnsi="宋体" w:cs="宋体"/>
                <w:snapToGrid w:val="0"/>
                <w:sz w:val="24"/>
              </w:rPr>
            </w:pPr>
            <w:r>
              <w:rPr>
                <w:rFonts w:hint="eastAsia" w:ascii="宋体" w:hAnsi="宋体" w:cs="宋体"/>
                <w:snapToGrid w:val="0"/>
                <w:sz w:val="24"/>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Borders>
              <w:right w:val="dashed" w:color="000000" w:sz="4" w:space="0"/>
              <w:tl2br w:val="nil"/>
              <w:tr2bl w:val="nil"/>
            </w:tcBorders>
          </w:tcPr>
          <w:p>
            <w:pPr>
              <w:adjustRightInd w:val="0"/>
              <w:snapToGrid w:val="0"/>
              <w:spacing w:line="360" w:lineRule="auto"/>
              <w:rPr>
                <w:rFonts w:ascii="宋体" w:hAnsi="宋体" w:cs="宋体"/>
                <w:snapToGrid w:val="0"/>
                <w:sz w:val="24"/>
              </w:rPr>
            </w:pPr>
            <w:r>
              <w:rPr>
                <w:rFonts w:hint="eastAsia" w:ascii="宋体" w:hAnsi="宋体" w:cs="宋体"/>
                <w:sz w:val="24"/>
              </w:rPr>
              <w:t>或签约代表人：</w:t>
            </w:r>
          </w:p>
        </w:tc>
        <w:tc>
          <w:tcPr>
            <w:tcW w:w="5200" w:type="dxa"/>
            <w:tcBorders>
              <w:left w:val="dashed" w:color="000000" w:sz="4" w:space="0"/>
              <w:tl2br w:val="nil"/>
              <w:tr2bl w:val="nil"/>
            </w:tcBorders>
          </w:tcPr>
          <w:p>
            <w:pPr>
              <w:adjustRightInd w:val="0"/>
              <w:snapToGrid w:val="0"/>
              <w:spacing w:line="360" w:lineRule="auto"/>
              <w:rPr>
                <w:rFonts w:ascii="宋体" w:hAnsi="宋体" w:cs="宋体"/>
                <w:snapToGrid w:val="0"/>
                <w:sz w:val="24"/>
              </w:rPr>
            </w:pPr>
            <w:r>
              <w:rPr>
                <w:rFonts w:hint="eastAsia" w:ascii="宋体" w:hAnsi="宋体" w:cs="宋体"/>
                <w:sz w:val="24"/>
              </w:rPr>
              <w:t>或签约代表人：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exact"/>
        </w:trPr>
        <w:tc>
          <w:tcPr>
            <w:tcW w:w="4536" w:type="dxa"/>
            <w:tcBorders>
              <w:right w:val="dashed" w:color="000000" w:sz="4" w:space="0"/>
              <w:tl2br w:val="nil"/>
              <w:tr2bl w:val="nil"/>
            </w:tcBorders>
          </w:tcPr>
          <w:p>
            <w:pPr>
              <w:adjustRightInd w:val="0"/>
              <w:snapToGrid w:val="0"/>
              <w:spacing w:line="360" w:lineRule="auto"/>
              <w:rPr>
                <w:rFonts w:ascii="宋体" w:hAnsi="宋体" w:cs="宋体"/>
                <w:snapToGrid w:val="0"/>
                <w:sz w:val="24"/>
              </w:rPr>
            </w:pPr>
            <w:r>
              <w:rPr>
                <w:rFonts w:hint="eastAsia" w:ascii="宋体" w:hAnsi="宋体" w:cs="宋体"/>
                <w:snapToGrid w:val="0"/>
                <w:sz w:val="24"/>
              </w:rPr>
              <w:t>地址：</w:t>
            </w:r>
          </w:p>
        </w:tc>
        <w:tc>
          <w:tcPr>
            <w:tcW w:w="5200" w:type="dxa"/>
            <w:tcBorders>
              <w:left w:val="dashed" w:color="000000" w:sz="4" w:space="0"/>
              <w:tl2br w:val="nil"/>
              <w:tr2bl w:val="nil"/>
            </w:tcBorders>
          </w:tcPr>
          <w:p>
            <w:pPr>
              <w:adjustRightInd w:val="0"/>
              <w:snapToGrid w:val="0"/>
              <w:spacing w:line="360" w:lineRule="auto"/>
              <w:rPr>
                <w:rFonts w:ascii="宋体" w:hAnsi="宋体" w:cs="宋体"/>
                <w:snapToGrid w:val="0"/>
                <w:sz w:val="24"/>
              </w:rPr>
            </w:pPr>
            <w:r>
              <w:rPr>
                <w:rFonts w:hint="eastAsia" w:ascii="宋体" w:hAnsi="宋体" w:cs="宋体"/>
                <w:snapToGrid w:val="0"/>
                <w:sz w:val="24"/>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Borders>
              <w:right w:val="dashed" w:color="000000" w:sz="4" w:space="0"/>
              <w:tl2br w:val="nil"/>
              <w:tr2bl w:val="nil"/>
            </w:tcBorders>
          </w:tcPr>
          <w:p>
            <w:pPr>
              <w:adjustRightInd w:val="0"/>
              <w:snapToGrid w:val="0"/>
              <w:spacing w:line="360" w:lineRule="auto"/>
              <w:rPr>
                <w:rFonts w:ascii="宋体" w:hAnsi="宋体" w:cs="宋体"/>
                <w:snapToGrid w:val="0"/>
                <w:sz w:val="24"/>
              </w:rPr>
            </w:pPr>
            <w:r>
              <w:rPr>
                <w:rFonts w:hint="eastAsia" w:ascii="宋体" w:hAnsi="宋体" w:cs="宋体"/>
                <w:snapToGrid w:val="0"/>
                <w:sz w:val="24"/>
              </w:rPr>
              <w:t>邮政编码：</w:t>
            </w:r>
          </w:p>
        </w:tc>
        <w:tc>
          <w:tcPr>
            <w:tcW w:w="5200" w:type="dxa"/>
            <w:tcBorders>
              <w:left w:val="dashed" w:color="000000" w:sz="4" w:space="0"/>
              <w:tl2br w:val="nil"/>
              <w:tr2bl w:val="nil"/>
            </w:tcBorders>
          </w:tcPr>
          <w:p>
            <w:pPr>
              <w:adjustRightInd w:val="0"/>
              <w:snapToGrid w:val="0"/>
              <w:spacing w:line="360" w:lineRule="auto"/>
              <w:rPr>
                <w:rFonts w:ascii="宋体" w:hAnsi="宋体" w:cs="宋体"/>
                <w:snapToGrid w:val="0"/>
                <w:sz w:val="24"/>
              </w:rPr>
            </w:pPr>
            <w:r>
              <w:rPr>
                <w:rFonts w:hint="eastAsia" w:ascii="宋体" w:hAnsi="宋体" w:cs="宋体"/>
                <w:snapToGrid w:val="0"/>
                <w:sz w:val="24"/>
              </w:rPr>
              <w:t>邮政编码：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Borders>
              <w:right w:val="dashed" w:color="000000" w:sz="4" w:space="0"/>
              <w:tl2br w:val="nil"/>
              <w:tr2bl w:val="nil"/>
            </w:tcBorders>
          </w:tcPr>
          <w:p>
            <w:pPr>
              <w:adjustRightInd w:val="0"/>
              <w:snapToGrid w:val="0"/>
              <w:spacing w:line="360" w:lineRule="auto"/>
              <w:rPr>
                <w:rFonts w:ascii="宋体" w:hAnsi="宋体" w:cs="宋体"/>
                <w:snapToGrid w:val="0"/>
                <w:sz w:val="24"/>
              </w:rPr>
            </w:pPr>
            <w:r>
              <w:rPr>
                <w:rFonts w:hint="eastAsia" w:ascii="宋体" w:hAnsi="宋体" w:cs="宋体"/>
                <w:snapToGrid w:val="0"/>
                <w:sz w:val="24"/>
              </w:rPr>
              <w:t>电话：</w:t>
            </w:r>
          </w:p>
        </w:tc>
        <w:tc>
          <w:tcPr>
            <w:tcW w:w="5200" w:type="dxa"/>
            <w:tcBorders>
              <w:left w:val="dashed" w:color="000000" w:sz="4" w:space="0"/>
              <w:tl2br w:val="nil"/>
              <w:tr2bl w:val="nil"/>
            </w:tcBorders>
          </w:tcPr>
          <w:p>
            <w:pPr>
              <w:adjustRightInd w:val="0"/>
              <w:snapToGrid w:val="0"/>
              <w:spacing w:line="360" w:lineRule="auto"/>
              <w:rPr>
                <w:rFonts w:ascii="宋体" w:hAnsi="宋体" w:cs="宋体"/>
                <w:snapToGrid w:val="0"/>
                <w:sz w:val="24"/>
              </w:rPr>
            </w:pPr>
            <w:r>
              <w:rPr>
                <w:rFonts w:hint="eastAsia" w:ascii="宋体" w:hAnsi="宋体" w:cs="宋体"/>
                <w:snapToGrid w:val="0"/>
                <w:sz w:val="24"/>
              </w:rPr>
              <w:t xml:space="preserve">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Borders>
              <w:right w:val="dashed" w:color="000000" w:sz="4" w:space="0"/>
              <w:tl2br w:val="nil"/>
              <w:tr2bl w:val="nil"/>
            </w:tcBorders>
          </w:tcPr>
          <w:p>
            <w:pPr>
              <w:adjustRightInd w:val="0"/>
              <w:snapToGrid w:val="0"/>
              <w:spacing w:line="360" w:lineRule="auto"/>
              <w:rPr>
                <w:rFonts w:ascii="宋体" w:hAnsi="宋体" w:cs="宋体"/>
                <w:snapToGrid w:val="0"/>
                <w:sz w:val="24"/>
              </w:rPr>
            </w:pPr>
            <w:r>
              <w:rPr>
                <w:rFonts w:hint="eastAsia" w:ascii="宋体" w:hAnsi="宋体" w:cs="宋体"/>
                <w:snapToGrid w:val="0"/>
                <w:sz w:val="24"/>
              </w:rPr>
              <w:t>传真：　</w:t>
            </w:r>
          </w:p>
        </w:tc>
        <w:tc>
          <w:tcPr>
            <w:tcW w:w="5200" w:type="dxa"/>
            <w:tcBorders>
              <w:left w:val="dashed" w:color="000000" w:sz="4" w:space="0"/>
              <w:tl2br w:val="nil"/>
              <w:tr2bl w:val="nil"/>
            </w:tcBorders>
          </w:tcPr>
          <w:p>
            <w:pPr>
              <w:adjustRightInd w:val="0"/>
              <w:snapToGrid w:val="0"/>
              <w:spacing w:line="360" w:lineRule="auto"/>
              <w:rPr>
                <w:rFonts w:ascii="宋体" w:hAnsi="宋体" w:cs="宋体"/>
                <w:snapToGrid w:val="0"/>
                <w:sz w:val="24"/>
              </w:rPr>
            </w:pPr>
            <w:r>
              <w:rPr>
                <w:rFonts w:hint="eastAsia" w:ascii="宋体" w:hAnsi="宋体" w:cs="宋体"/>
                <w:snapToGrid w:val="0"/>
                <w:sz w:val="24"/>
              </w:rPr>
              <w:t xml:space="preserve">传真：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Borders>
              <w:right w:val="dashed" w:color="000000" w:sz="4" w:space="0"/>
              <w:tl2br w:val="nil"/>
              <w:tr2bl w:val="nil"/>
            </w:tcBorders>
          </w:tcPr>
          <w:p>
            <w:pPr>
              <w:adjustRightInd w:val="0"/>
              <w:snapToGrid w:val="0"/>
              <w:spacing w:line="360" w:lineRule="auto"/>
              <w:rPr>
                <w:rFonts w:ascii="宋体" w:hAnsi="宋体" w:cs="宋体"/>
                <w:snapToGrid w:val="0"/>
                <w:sz w:val="24"/>
              </w:rPr>
            </w:pPr>
            <w:r>
              <w:rPr>
                <w:rFonts w:hint="eastAsia" w:ascii="宋体" w:hAnsi="宋体" w:cs="宋体"/>
                <w:snapToGrid w:val="0"/>
                <w:sz w:val="24"/>
              </w:rPr>
              <w:t>开户银行：</w:t>
            </w:r>
          </w:p>
        </w:tc>
        <w:tc>
          <w:tcPr>
            <w:tcW w:w="5200" w:type="dxa"/>
            <w:tcBorders>
              <w:left w:val="dashed" w:color="000000" w:sz="4" w:space="0"/>
              <w:tl2br w:val="nil"/>
              <w:tr2bl w:val="nil"/>
            </w:tcBorders>
          </w:tcPr>
          <w:p>
            <w:pPr>
              <w:adjustRightInd w:val="0"/>
              <w:snapToGrid w:val="0"/>
              <w:spacing w:line="360" w:lineRule="auto"/>
              <w:rPr>
                <w:rFonts w:ascii="宋体" w:hAnsi="宋体" w:cs="宋体"/>
                <w:snapToGrid w:val="0"/>
                <w:sz w:val="24"/>
              </w:rPr>
            </w:pPr>
            <w:r>
              <w:rPr>
                <w:rFonts w:hint="eastAsia" w:ascii="宋体" w:hAnsi="宋体" w:cs="宋体"/>
                <w:snapToGrid w:val="0"/>
                <w:sz w:val="24"/>
              </w:rPr>
              <w:t xml:space="preserve">开户银行： </w:t>
            </w:r>
          </w:p>
          <w:p>
            <w:pPr>
              <w:adjustRightInd w:val="0"/>
              <w:snapToGrid w:val="0"/>
              <w:spacing w:line="360" w:lineRule="auto"/>
              <w:ind w:firstLine="1920" w:firstLineChars="800"/>
              <w:rPr>
                <w:rFonts w:ascii="宋体" w:hAnsi="宋体" w:cs="宋体"/>
                <w:snapToGrid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Borders>
              <w:right w:val="dashed" w:color="000000" w:sz="4" w:space="0"/>
              <w:tl2br w:val="nil"/>
              <w:tr2bl w:val="nil"/>
            </w:tcBorders>
          </w:tcPr>
          <w:p>
            <w:pPr>
              <w:adjustRightInd w:val="0"/>
              <w:snapToGrid w:val="0"/>
              <w:spacing w:line="360" w:lineRule="auto"/>
              <w:rPr>
                <w:rFonts w:ascii="宋体" w:hAnsi="宋体" w:cs="宋体"/>
                <w:snapToGrid w:val="0"/>
                <w:sz w:val="24"/>
              </w:rPr>
            </w:pPr>
            <w:r>
              <w:rPr>
                <w:rFonts w:hint="eastAsia" w:ascii="宋体" w:hAnsi="宋体" w:cs="宋体"/>
                <w:snapToGrid w:val="0"/>
                <w:sz w:val="24"/>
              </w:rPr>
              <w:t>银行帐号：</w:t>
            </w:r>
          </w:p>
        </w:tc>
        <w:tc>
          <w:tcPr>
            <w:tcW w:w="5200" w:type="dxa"/>
            <w:tcBorders>
              <w:left w:val="dashed" w:color="000000" w:sz="4" w:space="0"/>
              <w:tl2br w:val="nil"/>
              <w:tr2bl w:val="nil"/>
            </w:tcBorders>
          </w:tcPr>
          <w:p>
            <w:pPr>
              <w:adjustRightInd w:val="0"/>
              <w:snapToGrid w:val="0"/>
              <w:spacing w:line="360" w:lineRule="auto"/>
              <w:rPr>
                <w:rFonts w:ascii="宋体" w:hAnsi="宋体" w:cs="宋体"/>
                <w:snapToGrid w:val="0"/>
                <w:sz w:val="24"/>
              </w:rPr>
            </w:pPr>
            <w:r>
              <w:rPr>
                <w:rFonts w:hint="eastAsia" w:ascii="宋体" w:hAnsi="宋体" w:cs="宋体"/>
                <w:snapToGrid w:val="0"/>
                <w:sz w:val="24"/>
              </w:rPr>
              <w:t xml:space="preserve">银行帐号：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Borders>
              <w:bottom w:val="dashed" w:color="000000" w:sz="4" w:space="0"/>
              <w:right w:val="dashed" w:color="000000" w:sz="4" w:space="0"/>
              <w:tl2br w:val="nil"/>
              <w:tr2bl w:val="nil"/>
            </w:tcBorders>
          </w:tcPr>
          <w:p>
            <w:pPr>
              <w:adjustRightInd w:val="0"/>
              <w:snapToGrid w:val="0"/>
              <w:spacing w:line="360" w:lineRule="auto"/>
              <w:rPr>
                <w:rFonts w:ascii="宋体" w:hAnsi="宋体" w:cs="宋体"/>
                <w:snapToGrid w:val="0"/>
                <w:sz w:val="24"/>
              </w:rPr>
            </w:pPr>
            <w:r>
              <w:rPr>
                <w:rFonts w:hint="eastAsia" w:ascii="宋体" w:hAnsi="宋体" w:cs="宋体"/>
                <w:snapToGrid w:val="0"/>
                <w:sz w:val="24"/>
              </w:rPr>
              <w:t>统一社会信用代码：</w:t>
            </w:r>
          </w:p>
        </w:tc>
        <w:tc>
          <w:tcPr>
            <w:tcW w:w="5200" w:type="dxa"/>
            <w:tcBorders>
              <w:left w:val="dashed" w:color="000000" w:sz="4" w:space="0"/>
              <w:bottom w:val="dashed" w:color="000000" w:sz="4" w:space="0"/>
              <w:tl2br w:val="nil"/>
              <w:tr2bl w:val="nil"/>
            </w:tcBorders>
          </w:tcPr>
          <w:p>
            <w:pPr>
              <w:adjustRightInd w:val="0"/>
              <w:snapToGrid w:val="0"/>
              <w:spacing w:line="360" w:lineRule="auto"/>
              <w:rPr>
                <w:rFonts w:ascii="宋体" w:hAnsi="宋体" w:cs="宋体"/>
                <w:snapToGrid w:val="0"/>
                <w:sz w:val="24"/>
              </w:rPr>
            </w:pPr>
            <w:r>
              <w:rPr>
                <w:rFonts w:hint="eastAsia" w:ascii="宋体" w:hAnsi="宋体" w:cs="宋体"/>
                <w:snapToGrid w:val="0"/>
                <w:sz w:val="24"/>
              </w:rPr>
              <w:t>统一社会信用代码：</w:t>
            </w:r>
          </w:p>
        </w:tc>
      </w:tr>
    </w:tbl>
    <w:p>
      <w:pPr>
        <w:pStyle w:val="2"/>
        <w:spacing w:after="120"/>
        <w:jc w:val="center"/>
        <w:rPr>
          <w:sz w:val="30"/>
          <w:szCs w:val="30"/>
        </w:rPr>
      </w:pPr>
      <w:r>
        <w:rPr>
          <w:rFonts w:hint="eastAsia" w:ascii="宋体" w:hAnsi="宋体" w:cs="宋体"/>
          <w:sz w:val="24"/>
        </w:rPr>
        <w:br w:type="page"/>
      </w:r>
      <w:bookmarkStart w:id="0" w:name="_Toc419045066"/>
      <w:bookmarkStart w:id="1" w:name="_Toc422322481"/>
      <w:r>
        <w:rPr>
          <w:rFonts w:hint="eastAsia"/>
          <w:sz w:val="30"/>
          <w:szCs w:val="30"/>
        </w:rPr>
        <w:t>第二部分　通用条件</w:t>
      </w:r>
      <w:bookmarkEnd w:id="0"/>
      <w:bookmarkEnd w:id="1"/>
    </w:p>
    <w:p>
      <w:pPr>
        <w:pStyle w:val="8"/>
        <w:spacing w:before="0" w:after="0" w:line="360" w:lineRule="auto"/>
        <w:jc w:val="left"/>
        <w:rPr>
          <w:szCs w:val="24"/>
        </w:rPr>
      </w:pPr>
      <w:bookmarkStart w:id="2" w:name="_Toc422322482"/>
      <w:bookmarkStart w:id="3" w:name="_Toc419045067"/>
      <w:r>
        <w:rPr>
          <w:rFonts w:hint="eastAsia"/>
          <w:szCs w:val="24"/>
        </w:rPr>
        <w:t>1.词语定义、语言、解释顺序与适用法律</w:t>
      </w:r>
      <w:bookmarkEnd w:id="2"/>
      <w:bookmarkEnd w:id="3"/>
    </w:p>
    <w:p>
      <w:pPr>
        <w:pStyle w:val="15"/>
        <w:spacing w:line="360" w:lineRule="auto"/>
        <w:ind w:firstLine="480" w:firstLineChars="200"/>
        <w:jc w:val="left"/>
        <w:rPr>
          <w:rFonts w:ascii="宋体" w:hAnsi="宋体" w:cs="宋体"/>
          <w:b w:val="0"/>
          <w:sz w:val="24"/>
          <w:szCs w:val="24"/>
        </w:rPr>
      </w:pPr>
      <w:bookmarkStart w:id="4" w:name="_Toc419045068"/>
      <w:bookmarkStart w:id="5" w:name="_Toc422322483"/>
      <w:r>
        <w:rPr>
          <w:rFonts w:hint="eastAsia" w:ascii="宋体" w:hAnsi="宋体" w:cs="宋体"/>
          <w:b w:val="0"/>
          <w:sz w:val="24"/>
          <w:szCs w:val="24"/>
        </w:rPr>
        <w:t>1.1词语定义</w:t>
      </w:r>
      <w:bookmarkEnd w:id="4"/>
      <w:bookmarkEnd w:id="5"/>
    </w:p>
    <w:p>
      <w:pPr>
        <w:spacing w:line="360" w:lineRule="auto"/>
        <w:ind w:firstLine="480" w:firstLineChars="200"/>
        <w:rPr>
          <w:rFonts w:ascii="宋体" w:hAnsi="宋体" w:cs="宋体"/>
          <w:sz w:val="24"/>
        </w:rPr>
      </w:pPr>
      <w:r>
        <w:rPr>
          <w:rFonts w:hint="eastAsia" w:ascii="宋体" w:hAnsi="宋体" w:cs="宋体"/>
          <w:sz w:val="24"/>
        </w:rPr>
        <w:t>组成本合同的全部文件中的下列名词和用语应具有本款所赋予的含义：</w:t>
      </w:r>
    </w:p>
    <w:p>
      <w:pPr>
        <w:pStyle w:val="42"/>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1.1.1“工程”是指按照本合同约定实施造价咨询与其他服务的建设工程。    </w:t>
      </w:r>
    </w:p>
    <w:p>
      <w:pPr>
        <w:pStyle w:val="42"/>
        <w:spacing w:line="360" w:lineRule="auto"/>
        <w:ind w:firstLine="480" w:firstLineChars="200"/>
        <w:jc w:val="left"/>
        <w:rPr>
          <w:rFonts w:ascii="宋体" w:hAnsi="宋体" w:cs="宋体"/>
          <w:sz w:val="24"/>
          <w:szCs w:val="24"/>
        </w:rPr>
      </w:pPr>
      <w:r>
        <w:rPr>
          <w:rFonts w:hint="eastAsia" w:ascii="宋体" w:hAnsi="宋体" w:cs="宋体"/>
          <w:sz w:val="24"/>
          <w:szCs w:val="24"/>
        </w:rPr>
        <w:t>1.1.2“工程造价”是指工程项目建设过程中预计或实际支出的全部费用。</w:t>
      </w:r>
    </w:p>
    <w:p>
      <w:pPr>
        <w:pStyle w:val="42"/>
        <w:spacing w:line="360" w:lineRule="auto"/>
        <w:ind w:firstLine="480" w:firstLineChars="200"/>
        <w:jc w:val="left"/>
        <w:rPr>
          <w:rFonts w:ascii="宋体" w:hAnsi="宋体" w:cs="宋体"/>
          <w:sz w:val="24"/>
          <w:szCs w:val="24"/>
        </w:rPr>
      </w:pPr>
      <w:r>
        <w:rPr>
          <w:rFonts w:hint="eastAsia" w:ascii="宋体" w:hAnsi="宋体" w:cs="宋体"/>
          <w:sz w:val="24"/>
          <w:szCs w:val="24"/>
        </w:rPr>
        <w:t>1.1.3“委托人”是指本合同中委托造价咨询与其他服务的一方，及其合法的继承人或受让人。</w:t>
      </w:r>
    </w:p>
    <w:p>
      <w:pPr>
        <w:pStyle w:val="42"/>
        <w:spacing w:line="360" w:lineRule="auto"/>
        <w:ind w:firstLine="480" w:firstLineChars="200"/>
        <w:jc w:val="left"/>
        <w:rPr>
          <w:rFonts w:ascii="宋体" w:hAnsi="宋体" w:cs="宋体"/>
          <w:sz w:val="24"/>
          <w:szCs w:val="24"/>
        </w:rPr>
      </w:pPr>
      <w:r>
        <w:rPr>
          <w:rFonts w:hint="eastAsia" w:ascii="宋体" w:hAnsi="宋体" w:cs="宋体"/>
          <w:sz w:val="24"/>
          <w:szCs w:val="24"/>
        </w:rPr>
        <w:t>1.1.4“咨询人”是指本合同中提供造价咨询与其他服务的一方</w:t>
      </w:r>
      <w:r>
        <w:rPr>
          <w:rFonts w:hint="eastAsia" w:ascii="宋体" w:hAnsi="宋体" w:cs="宋体"/>
          <w:b/>
          <w:sz w:val="24"/>
          <w:szCs w:val="24"/>
        </w:rPr>
        <w:t>，</w:t>
      </w:r>
      <w:r>
        <w:rPr>
          <w:rFonts w:hint="eastAsia" w:ascii="宋体" w:hAnsi="宋体" w:cs="宋体"/>
          <w:sz w:val="24"/>
          <w:szCs w:val="24"/>
        </w:rPr>
        <w:t>及其合法的继承人。</w:t>
      </w:r>
      <w:r>
        <w:rPr>
          <w:rFonts w:hint="eastAsia" w:ascii="宋体" w:hAnsi="宋体" w:cs="宋体"/>
          <w:sz w:val="24"/>
          <w:szCs w:val="24"/>
        </w:rPr>
        <w:br w:type="textWrapping"/>
      </w:r>
      <w:r>
        <w:rPr>
          <w:rFonts w:hint="eastAsia" w:ascii="宋体" w:hAnsi="宋体" w:cs="宋体"/>
          <w:sz w:val="24"/>
          <w:szCs w:val="24"/>
        </w:rPr>
        <w:t xml:space="preserve">    1.1.5“第三人”是指除委托人、咨询人以外与本咨询业务有关的当事人。</w:t>
      </w:r>
    </w:p>
    <w:p>
      <w:pPr>
        <w:pStyle w:val="42"/>
        <w:spacing w:line="360" w:lineRule="auto"/>
        <w:ind w:firstLine="480" w:firstLineChars="200"/>
        <w:jc w:val="left"/>
        <w:rPr>
          <w:rFonts w:ascii="宋体" w:hAnsi="宋体" w:cs="宋体"/>
          <w:sz w:val="24"/>
          <w:szCs w:val="24"/>
        </w:rPr>
      </w:pPr>
      <w:r>
        <w:rPr>
          <w:rFonts w:hint="eastAsia" w:ascii="宋体" w:hAnsi="宋体" w:cs="宋体"/>
          <w:sz w:val="24"/>
          <w:szCs w:val="24"/>
        </w:rPr>
        <w:t>1.1.6“正常工作”是指本合同订立时通用条件和专用条件中约定的咨询人的工作。</w:t>
      </w:r>
    </w:p>
    <w:p>
      <w:pPr>
        <w:pStyle w:val="42"/>
        <w:spacing w:line="360" w:lineRule="auto"/>
        <w:ind w:firstLine="480" w:firstLineChars="200"/>
        <w:rPr>
          <w:rFonts w:ascii="宋体" w:hAnsi="宋体" w:cs="宋体"/>
          <w:sz w:val="24"/>
          <w:szCs w:val="24"/>
        </w:rPr>
      </w:pPr>
      <w:r>
        <w:rPr>
          <w:rFonts w:hint="eastAsia" w:ascii="宋体" w:hAnsi="宋体" w:cs="宋体"/>
          <w:sz w:val="24"/>
          <w:szCs w:val="24"/>
        </w:rPr>
        <w:t>1.1.7“附加工作”是指咨询人根据合同条件完成的正常工作以外的工作。</w:t>
      </w:r>
    </w:p>
    <w:p>
      <w:pPr>
        <w:pStyle w:val="42"/>
        <w:spacing w:line="360" w:lineRule="auto"/>
        <w:ind w:firstLine="480" w:firstLineChars="200"/>
        <w:rPr>
          <w:rFonts w:ascii="宋体" w:hAnsi="宋体" w:cs="宋体"/>
          <w:sz w:val="24"/>
          <w:szCs w:val="24"/>
        </w:rPr>
      </w:pPr>
      <w:r>
        <w:rPr>
          <w:rFonts w:hint="eastAsia" w:ascii="宋体" w:hAnsi="宋体" w:cs="宋体"/>
          <w:sz w:val="24"/>
          <w:szCs w:val="24"/>
        </w:rPr>
        <w:t>1.1.8“项目咨询团队”是指咨询人指派负责履行本合同的团队，其团队成员为本合同的项目咨询人员。</w:t>
      </w:r>
    </w:p>
    <w:p>
      <w:pPr>
        <w:pStyle w:val="42"/>
        <w:spacing w:line="360" w:lineRule="auto"/>
        <w:ind w:firstLine="480" w:firstLineChars="200"/>
        <w:rPr>
          <w:rFonts w:ascii="宋体" w:hAnsi="宋体" w:cs="宋体"/>
          <w:sz w:val="24"/>
          <w:szCs w:val="24"/>
        </w:rPr>
      </w:pPr>
      <w:r>
        <w:rPr>
          <w:rFonts w:hint="eastAsia" w:ascii="宋体" w:hAnsi="宋体" w:cs="宋体"/>
          <w:sz w:val="24"/>
          <w:szCs w:val="24"/>
        </w:rPr>
        <w:t>1.1.9“项目负责人”是指由咨询人的法定代表人书面授权，在授权范围内负责履行本合同、主持项目咨询团队工作的负责人。</w:t>
      </w:r>
    </w:p>
    <w:p>
      <w:pPr>
        <w:spacing w:line="360" w:lineRule="auto"/>
        <w:ind w:firstLine="480" w:firstLineChars="200"/>
        <w:rPr>
          <w:rFonts w:ascii="宋体" w:hAnsi="宋体" w:cs="宋体"/>
          <w:sz w:val="24"/>
        </w:rPr>
      </w:pPr>
      <w:r>
        <w:rPr>
          <w:rFonts w:hint="eastAsia" w:ascii="宋体" w:hAnsi="宋体" w:cs="宋体"/>
          <w:sz w:val="24"/>
        </w:rPr>
        <w:t>1.1.10“委托人代表”是指由委托人的法定代表人书面授权，在授权范围内行使委托人权利的人。</w:t>
      </w:r>
    </w:p>
    <w:p>
      <w:pPr>
        <w:pStyle w:val="42"/>
        <w:spacing w:line="360" w:lineRule="auto"/>
        <w:ind w:firstLine="480" w:firstLineChars="200"/>
        <w:rPr>
          <w:rFonts w:ascii="宋体" w:hAnsi="宋体" w:cs="宋体"/>
          <w:sz w:val="24"/>
          <w:szCs w:val="24"/>
        </w:rPr>
      </w:pPr>
      <w:r>
        <w:rPr>
          <w:rFonts w:hint="eastAsia" w:ascii="宋体" w:hAnsi="宋体" w:cs="宋体"/>
          <w:sz w:val="24"/>
          <w:szCs w:val="24"/>
        </w:rPr>
        <w:t>1.1.11“酬金”是指咨询人履行本合同义务，委托人按照本合同约定给付咨询人的金额。</w:t>
      </w:r>
    </w:p>
    <w:p>
      <w:pPr>
        <w:pStyle w:val="42"/>
        <w:spacing w:line="360" w:lineRule="auto"/>
        <w:ind w:firstLine="480" w:firstLineChars="200"/>
        <w:jc w:val="left"/>
        <w:rPr>
          <w:rFonts w:ascii="宋体" w:hAnsi="宋体" w:cs="宋体"/>
          <w:sz w:val="24"/>
          <w:szCs w:val="24"/>
        </w:rPr>
      </w:pPr>
      <w:r>
        <w:rPr>
          <w:rFonts w:hint="eastAsia" w:ascii="宋体" w:hAnsi="宋体" w:cs="宋体"/>
          <w:sz w:val="24"/>
          <w:szCs w:val="24"/>
        </w:rPr>
        <w:t>1.1.12“正常工作酬金”是指在协议书中载明的，咨询人完成正常工作，委托人应给付咨询人的酬金。</w:t>
      </w:r>
      <w:r>
        <w:rPr>
          <w:rFonts w:hint="eastAsia" w:ascii="宋体" w:hAnsi="宋体" w:cs="宋体"/>
          <w:sz w:val="24"/>
          <w:szCs w:val="24"/>
        </w:rPr>
        <w:br w:type="textWrapping"/>
      </w:r>
      <w:r>
        <w:rPr>
          <w:rFonts w:hint="eastAsia" w:ascii="宋体" w:hAnsi="宋体" w:cs="宋体"/>
          <w:sz w:val="24"/>
          <w:szCs w:val="24"/>
        </w:rPr>
        <w:t xml:space="preserve">    1.1.13“附加工作酬金”是指咨询人完成附加工作，委托人应给付咨询人的酬金。</w:t>
      </w:r>
    </w:p>
    <w:p>
      <w:pPr>
        <w:spacing w:line="360" w:lineRule="auto"/>
        <w:ind w:firstLine="480" w:firstLineChars="200"/>
        <w:rPr>
          <w:rFonts w:ascii="宋体" w:hAnsi="宋体" w:cs="宋体"/>
          <w:sz w:val="24"/>
        </w:rPr>
      </w:pPr>
      <w:r>
        <w:rPr>
          <w:rFonts w:hint="eastAsia" w:ascii="宋体" w:hAnsi="宋体" w:cs="宋体"/>
          <w:sz w:val="24"/>
        </w:rPr>
        <w:t>1.1.14 “书面形式”是指合同书、信件和数据电文（包括电报、电传、传真、电子数据交换和电子邮件）等可以有形地表现所载内容的形式。</w:t>
      </w:r>
    </w:p>
    <w:p>
      <w:pPr>
        <w:spacing w:line="360" w:lineRule="auto"/>
        <w:ind w:firstLine="480" w:firstLineChars="200"/>
        <w:rPr>
          <w:rFonts w:ascii="宋体" w:hAnsi="宋体" w:cs="宋体"/>
          <w:sz w:val="24"/>
        </w:rPr>
      </w:pPr>
      <w:r>
        <w:rPr>
          <w:rFonts w:hint="eastAsia" w:ascii="宋体" w:hAnsi="宋体" w:cs="宋体"/>
          <w:sz w:val="24"/>
        </w:rPr>
        <w:t>1.1.15 “不可抗力”是指委托人和咨询人在订立本合同时不可预见，在合同履行过程中不可避免并不能克服的自然灾害和社会性突发事件，如地震、海啸、瘟疫、水灾、骚乱、暴动、战争等情形。</w:t>
      </w:r>
    </w:p>
    <w:p>
      <w:pPr>
        <w:pStyle w:val="15"/>
        <w:spacing w:before="60" w:line="360" w:lineRule="auto"/>
        <w:ind w:firstLine="480" w:firstLineChars="200"/>
        <w:jc w:val="left"/>
        <w:rPr>
          <w:rFonts w:ascii="宋体" w:hAnsi="宋体" w:cs="宋体"/>
          <w:b w:val="0"/>
          <w:sz w:val="24"/>
          <w:szCs w:val="24"/>
        </w:rPr>
      </w:pPr>
      <w:bookmarkStart w:id="6" w:name="_Toc422322484"/>
      <w:bookmarkStart w:id="7" w:name="_Toc419045069"/>
      <w:r>
        <w:rPr>
          <w:rFonts w:hint="eastAsia" w:ascii="宋体" w:hAnsi="宋体" w:cs="宋体"/>
          <w:b w:val="0"/>
          <w:sz w:val="24"/>
          <w:szCs w:val="24"/>
        </w:rPr>
        <w:t>1.2语言</w:t>
      </w:r>
      <w:bookmarkEnd w:id="6"/>
      <w:bookmarkEnd w:id="7"/>
    </w:p>
    <w:p>
      <w:pPr>
        <w:pStyle w:val="42"/>
        <w:spacing w:line="360" w:lineRule="auto"/>
        <w:ind w:firstLine="480" w:firstLineChars="200"/>
        <w:rPr>
          <w:rFonts w:ascii="宋体" w:hAnsi="宋体" w:cs="宋体"/>
          <w:sz w:val="24"/>
          <w:szCs w:val="24"/>
        </w:rPr>
      </w:pPr>
      <w:r>
        <w:rPr>
          <w:rFonts w:hint="eastAsia" w:ascii="宋体" w:hAnsi="宋体" w:cs="宋体"/>
          <w:sz w:val="24"/>
          <w:szCs w:val="24"/>
        </w:rPr>
        <w:t>本合同使用中文书写、解释和说明。如专用条件约定使用两种及以上语言文字时，应以中文为准。</w:t>
      </w:r>
    </w:p>
    <w:p>
      <w:pPr>
        <w:pStyle w:val="15"/>
        <w:spacing w:before="60" w:line="360" w:lineRule="auto"/>
        <w:ind w:firstLine="480" w:firstLineChars="200"/>
        <w:jc w:val="left"/>
        <w:rPr>
          <w:rFonts w:ascii="宋体" w:hAnsi="宋体" w:cs="宋体"/>
          <w:b w:val="0"/>
          <w:sz w:val="24"/>
          <w:szCs w:val="24"/>
        </w:rPr>
      </w:pPr>
      <w:bookmarkStart w:id="8" w:name="_Toc422322485"/>
      <w:bookmarkStart w:id="9" w:name="_Toc419045070"/>
      <w:r>
        <w:rPr>
          <w:rFonts w:hint="eastAsia" w:ascii="宋体" w:hAnsi="宋体" w:cs="宋体"/>
          <w:b w:val="0"/>
          <w:sz w:val="24"/>
          <w:szCs w:val="24"/>
        </w:rPr>
        <w:t>1.3合同文件的优先顺序</w:t>
      </w:r>
      <w:bookmarkEnd w:id="8"/>
      <w:bookmarkEnd w:id="9"/>
    </w:p>
    <w:p>
      <w:pPr>
        <w:pStyle w:val="42"/>
        <w:spacing w:line="360" w:lineRule="auto"/>
        <w:ind w:firstLine="480" w:firstLineChars="200"/>
        <w:jc w:val="left"/>
        <w:rPr>
          <w:rFonts w:ascii="宋体" w:hAnsi="宋体" w:cs="宋体"/>
          <w:sz w:val="24"/>
          <w:szCs w:val="24"/>
        </w:rPr>
      </w:pPr>
      <w:r>
        <w:rPr>
          <w:rFonts w:hint="eastAsia" w:ascii="宋体" w:hAnsi="宋体" w:cs="宋体"/>
          <w:sz w:val="24"/>
          <w:szCs w:val="24"/>
        </w:rPr>
        <w:t>组成本合同的下列文件彼此应能相互解释、互为说明。除专用条件另有约定外，本合同文件的解释顺序如下：</w:t>
      </w:r>
    </w:p>
    <w:p>
      <w:pPr>
        <w:pStyle w:val="42"/>
        <w:spacing w:line="360" w:lineRule="auto"/>
        <w:ind w:firstLine="480" w:firstLineChars="200"/>
        <w:jc w:val="left"/>
        <w:rPr>
          <w:rFonts w:ascii="宋体" w:hAnsi="宋体" w:cs="宋体"/>
          <w:sz w:val="24"/>
          <w:szCs w:val="24"/>
        </w:rPr>
      </w:pPr>
      <w:r>
        <w:rPr>
          <w:rFonts w:hint="eastAsia" w:ascii="宋体" w:hAnsi="宋体" w:cs="宋体"/>
          <w:sz w:val="24"/>
          <w:szCs w:val="24"/>
        </w:rPr>
        <w:t>1.协议书</w:t>
      </w:r>
    </w:p>
    <w:p>
      <w:pPr>
        <w:pStyle w:val="42"/>
        <w:spacing w:line="360" w:lineRule="auto"/>
        <w:ind w:firstLine="480" w:firstLineChars="200"/>
        <w:jc w:val="left"/>
        <w:rPr>
          <w:rFonts w:ascii="宋体" w:hAnsi="宋体" w:cs="宋体"/>
          <w:sz w:val="24"/>
          <w:szCs w:val="24"/>
        </w:rPr>
      </w:pPr>
      <w:r>
        <w:rPr>
          <w:rFonts w:hint="eastAsia" w:ascii="宋体" w:hAnsi="宋体" w:cs="宋体"/>
          <w:sz w:val="24"/>
          <w:szCs w:val="24"/>
        </w:rPr>
        <w:t>2.中标通知书或委托书（如果有）；</w:t>
      </w:r>
    </w:p>
    <w:p>
      <w:pPr>
        <w:pStyle w:val="42"/>
        <w:spacing w:line="360" w:lineRule="auto"/>
        <w:ind w:firstLine="480" w:firstLineChars="200"/>
        <w:jc w:val="left"/>
        <w:rPr>
          <w:rFonts w:ascii="宋体" w:hAnsi="宋体" w:cs="宋体"/>
          <w:sz w:val="24"/>
          <w:szCs w:val="24"/>
        </w:rPr>
      </w:pPr>
      <w:r>
        <w:rPr>
          <w:rFonts w:hint="eastAsia" w:ascii="宋体" w:hAnsi="宋体" w:cs="宋体"/>
          <w:sz w:val="24"/>
          <w:szCs w:val="24"/>
        </w:rPr>
        <w:t>3.专用条件及附录；</w:t>
      </w:r>
    </w:p>
    <w:p>
      <w:pPr>
        <w:pStyle w:val="42"/>
        <w:spacing w:line="360" w:lineRule="auto"/>
        <w:ind w:firstLine="480" w:firstLineChars="200"/>
        <w:jc w:val="left"/>
        <w:rPr>
          <w:rFonts w:ascii="宋体" w:hAnsi="宋体" w:cs="宋体"/>
          <w:sz w:val="24"/>
          <w:szCs w:val="24"/>
        </w:rPr>
      </w:pPr>
      <w:r>
        <w:rPr>
          <w:rFonts w:hint="eastAsia" w:ascii="宋体" w:hAnsi="宋体" w:cs="宋体"/>
          <w:sz w:val="24"/>
          <w:szCs w:val="24"/>
        </w:rPr>
        <w:t>4.通用条件；</w:t>
      </w:r>
    </w:p>
    <w:p>
      <w:pPr>
        <w:pStyle w:val="42"/>
        <w:spacing w:line="360" w:lineRule="auto"/>
        <w:ind w:firstLine="480" w:firstLineChars="200"/>
        <w:jc w:val="left"/>
        <w:rPr>
          <w:rFonts w:ascii="宋体" w:hAnsi="宋体" w:cs="宋体"/>
          <w:sz w:val="24"/>
          <w:szCs w:val="24"/>
        </w:rPr>
      </w:pPr>
      <w:r>
        <w:rPr>
          <w:rFonts w:hint="eastAsia" w:ascii="宋体" w:hAnsi="宋体" w:cs="宋体"/>
          <w:sz w:val="24"/>
          <w:szCs w:val="24"/>
        </w:rPr>
        <w:t>5.投标函及投标函附录或造价咨询服务建议书（如果有）；</w:t>
      </w:r>
    </w:p>
    <w:p>
      <w:pPr>
        <w:spacing w:line="360" w:lineRule="auto"/>
        <w:ind w:firstLine="468"/>
        <w:rPr>
          <w:rFonts w:ascii="宋体" w:hAnsi="宋体" w:cs="宋体"/>
          <w:sz w:val="24"/>
        </w:rPr>
      </w:pPr>
      <w:r>
        <w:rPr>
          <w:rFonts w:hint="eastAsia" w:ascii="宋体" w:hAnsi="宋体" w:cs="宋体"/>
          <w:sz w:val="24"/>
        </w:rPr>
        <w:t>6.其他合同文件。</w:t>
      </w:r>
    </w:p>
    <w:p>
      <w:pPr>
        <w:pStyle w:val="42"/>
        <w:spacing w:line="360" w:lineRule="auto"/>
        <w:ind w:firstLine="480" w:firstLineChars="200"/>
        <w:jc w:val="left"/>
        <w:rPr>
          <w:rFonts w:ascii="宋体" w:hAnsi="宋体" w:cs="宋体"/>
          <w:sz w:val="24"/>
          <w:szCs w:val="24"/>
        </w:rPr>
      </w:pPr>
      <w:r>
        <w:rPr>
          <w:rFonts w:hint="eastAsia" w:ascii="宋体" w:hAnsi="宋体" w:cs="宋体"/>
          <w:sz w:val="24"/>
          <w:szCs w:val="24"/>
        </w:rPr>
        <w:t>上述各项合同文件包括合同当事人就该项合同文件所作出的补充和修改，属于同一类内容的文件，应以最新签署的为准。</w:t>
      </w:r>
    </w:p>
    <w:p>
      <w:pPr>
        <w:spacing w:line="360" w:lineRule="auto"/>
        <w:ind w:firstLine="468"/>
        <w:rPr>
          <w:rFonts w:ascii="宋体" w:hAnsi="宋体" w:cs="宋体"/>
          <w:sz w:val="24"/>
        </w:rPr>
      </w:pPr>
      <w:r>
        <w:rPr>
          <w:rFonts w:hint="eastAsia" w:ascii="宋体" w:hAnsi="宋体" w:cs="宋体"/>
          <w:sz w:val="24"/>
        </w:rPr>
        <w:t>在合同订立及履行过程中形成的与合同有关的文件均构成合同文件的组成部分。</w:t>
      </w:r>
    </w:p>
    <w:p>
      <w:pPr>
        <w:pStyle w:val="15"/>
        <w:spacing w:before="60" w:line="360" w:lineRule="auto"/>
        <w:ind w:firstLine="480" w:firstLineChars="200"/>
        <w:jc w:val="left"/>
        <w:rPr>
          <w:rFonts w:ascii="宋体" w:hAnsi="宋体" w:cs="宋体"/>
          <w:b w:val="0"/>
          <w:sz w:val="24"/>
          <w:szCs w:val="24"/>
        </w:rPr>
      </w:pPr>
      <w:bookmarkStart w:id="10" w:name="_Toc422322486"/>
      <w:bookmarkStart w:id="11" w:name="_Toc419045071"/>
      <w:r>
        <w:rPr>
          <w:rFonts w:hint="eastAsia" w:ascii="宋体" w:hAnsi="宋体" w:cs="宋体"/>
          <w:b w:val="0"/>
          <w:sz w:val="24"/>
          <w:szCs w:val="24"/>
        </w:rPr>
        <w:t>1.4适用法律</w:t>
      </w:r>
      <w:bookmarkEnd w:id="10"/>
      <w:bookmarkEnd w:id="11"/>
    </w:p>
    <w:p>
      <w:pPr>
        <w:spacing w:line="360" w:lineRule="auto"/>
        <w:ind w:firstLine="480" w:firstLineChars="200"/>
        <w:rPr>
          <w:rFonts w:ascii="宋体" w:hAnsi="宋体" w:cs="宋体"/>
          <w:sz w:val="24"/>
        </w:rPr>
      </w:pPr>
      <w:r>
        <w:rPr>
          <w:rFonts w:hint="eastAsia" w:ascii="宋体" w:hAnsi="宋体" w:cs="宋体"/>
          <w:sz w:val="24"/>
        </w:rPr>
        <w:t>本合同适用中华人民共和国法律、行政法规、部门规章以及工程所在地的地方性法规、自治条例、单行条例和地方政府规章等。</w:t>
      </w:r>
    </w:p>
    <w:p>
      <w:pPr>
        <w:spacing w:line="360" w:lineRule="auto"/>
        <w:ind w:firstLine="480" w:firstLineChars="200"/>
        <w:rPr>
          <w:rStyle w:val="43"/>
          <w:rFonts w:ascii="宋体" w:hAnsi="宋体" w:cs="宋体"/>
          <w:sz w:val="24"/>
          <w:szCs w:val="24"/>
        </w:rPr>
      </w:pPr>
      <w:r>
        <w:rPr>
          <w:rFonts w:hint="eastAsia" w:ascii="宋体" w:hAnsi="宋体" w:cs="宋体"/>
          <w:sz w:val="24"/>
        </w:rPr>
        <w:t>合同当事人可以在专用条件中约定本合同适用的其他规范、规程、定额、技术标准等规范性文件。</w:t>
      </w:r>
    </w:p>
    <w:p>
      <w:pPr>
        <w:pStyle w:val="8"/>
        <w:spacing w:before="0" w:after="0" w:line="360" w:lineRule="auto"/>
        <w:ind w:firstLine="482" w:firstLineChars="200"/>
        <w:jc w:val="left"/>
        <w:rPr>
          <w:rFonts w:ascii="宋体" w:hAnsi="宋体" w:cs="宋体"/>
          <w:sz w:val="24"/>
          <w:szCs w:val="24"/>
        </w:rPr>
      </w:pPr>
      <w:bookmarkStart w:id="12" w:name="_Toc422322487"/>
      <w:r>
        <w:rPr>
          <w:rFonts w:hint="eastAsia" w:ascii="宋体" w:hAnsi="宋体" w:cs="宋体"/>
          <w:sz w:val="24"/>
          <w:szCs w:val="24"/>
        </w:rPr>
        <w:t>2.委托人的义务</w:t>
      </w:r>
      <w:bookmarkEnd w:id="12"/>
    </w:p>
    <w:p>
      <w:pPr>
        <w:pStyle w:val="15"/>
        <w:spacing w:before="60" w:line="360" w:lineRule="auto"/>
        <w:ind w:firstLine="480" w:firstLineChars="200"/>
        <w:jc w:val="left"/>
        <w:rPr>
          <w:rFonts w:ascii="宋体" w:hAnsi="宋体" w:cs="宋体"/>
          <w:b w:val="0"/>
          <w:sz w:val="24"/>
          <w:szCs w:val="24"/>
        </w:rPr>
      </w:pPr>
      <w:bookmarkStart w:id="13" w:name="_Toc422322488"/>
      <w:bookmarkStart w:id="14" w:name="_Toc419045072"/>
      <w:r>
        <w:rPr>
          <w:rFonts w:hint="eastAsia" w:ascii="宋体" w:hAnsi="宋体" w:cs="宋体"/>
          <w:b w:val="0"/>
          <w:sz w:val="24"/>
          <w:szCs w:val="24"/>
        </w:rPr>
        <w:t>2.1提供资料</w:t>
      </w:r>
      <w:bookmarkEnd w:id="13"/>
      <w:bookmarkEnd w:id="14"/>
    </w:p>
    <w:p>
      <w:pPr>
        <w:spacing w:line="360" w:lineRule="auto"/>
        <w:ind w:firstLine="480" w:firstLineChars="200"/>
        <w:rPr>
          <w:rFonts w:ascii="宋体" w:hAnsi="宋体" w:cs="宋体"/>
          <w:sz w:val="24"/>
        </w:rPr>
      </w:pPr>
      <w:r>
        <w:rPr>
          <w:rFonts w:hint="eastAsia" w:ascii="宋体" w:hAnsi="宋体" w:cs="宋体"/>
          <w:sz w:val="24"/>
        </w:rPr>
        <w:t>委托人应当在专用条件约定的时间内，按照附录C的约定无偿向咨询人提供与本合同咨询业务有关的资料。在本合同履行过程中，委托人应及时向咨询人提供最新的与本合同咨询业务有关的资料。委托人应对所提供资料的真实性、准确性、合法性与完整性负责。</w:t>
      </w:r>
    </w:p>
    <w:p>
      <w:pPr>
        <w:pStyle w:val="15"/>
        <w:spacing w:before="60" w:line="360" w:lineRule="auto"/>
        <w:ind w:firstLine="480" w:firstLineChars="200"/>
        <w:jc w:val="left"/>
        <w:rPr>
          <w:rFonts w:ascii="宋体" w:hAnsi="宋体" w:cs="宋体"/>
          <w:b w:val="0"/>
          <w:sz w:val="24"/>
          <w:szCs w:val="24"/>
        </w:rPr>
      </w:pPr>
      <w:bookmarkStart w:id="15" w:name="_Toc422322489"/>
      <w:bookmarkStart w:id="16" w:name="_Toc419045073"/>
      <w:r>
        <w:rPr>
          <w:rFonts w:hint="eastAsia" w:ascii="宋体" w:hAnsi="宋体" w:cs="宋体"/>
          <w:b w:val="0"/>
          <w:sz w:val="24"/>
          <w:szCs w:val="24"/>
        </w:rPr>
        <w:t>2.2提供工作条件</w:t>
      </w:r>
      <w:bookmarkEnd w:id="15"/>
      <w:bookmarkEnd w:id="16"/>
    </w:p>
    <w:p>
      <w:pPr>
        <w:spacing w:line="360" w:lineRule="auto"/>
        <w:ind w:firstLine="480" w:firstLineChars="200"/>
        <w:rPr>
          <w:rFonts w:ascii="宋体" w:hAnsi="宋体" w:cs="宋体"/>
          <w:sz w:val="24"/>
        </w:rPr>
      </w:pPr>
      <w:r>
        <w:rPr>
          <w:rFonts w:hint="eastAsia" w:ascii="宋体" w:hAnsi="宋体" w:cs="宋体"/>
          <w:sz w:val="24"/>
        </w:rPr>
        <w:t>委托人应为咨询人完成造价咨询提供必要的条件。</w:t>
      </w:r>
    </w:p>
    <w:p>
      <w:pPr>
        <w:spacing w:line="360" w:lineRule="auto"/>
        <w:ind w:firstLine="480" w:firstLineChars="200"/>
        <w:rPr>
          <w:rFonts w:ascii="宋体" w:hAnsi="宋体" w:cs="宋体"/>
          <w:sz w:val="24"/>
        </w:rPr>
      </w:pPr>
      <w:r>
        <w:rPr>
          <w:rFonts w:hint="eastAsia" w:ascii="宋体" w:hAnsi="宋体" w:cs="宋体"/>
          <w:sz w:val="24"/>
        </w:rPr>
        <w:t>2.2.1委托人需要咨询人派驻项目现场咨询人员的，除专用条件另有约定外，项目咨询人员有权无偿使用附录D中由委托人提供的房屋及设备。</w:t>
      </w:r>
    </w:p>
    <w:p>
      <w:pPr>
        <w:spacing w:line="360" w:lineRule="auto"/>
        <w:ind w:firstLine="480" w:firstLineChars="200"/>
        <w:rPr>
          <w:rFonts w:ascii="宋体" w:hAnsi="宋体" w:cs="宋体"/>
          <w:sz w:val="24"/>
        </w:rPr>
      </w:pPr>
      <w:r>
        <w:rPr>
          <w:rFonts w:hint="eastAsia" w:ascii="宋体" w:hAnsi="宋体" w:cs="宋体"/>
          <w:sz w:val="24"/>
        </w:rPr>
        <w:t>2.2.2委托人应负责与本工程造价咨询业务有关的所有外部关系的协调，为咨询人履行本合同提供必要的外部条件。</w:t>
      </w:r>
    </w:p>
    <w:p>
      <w:pPr>
        <w:pStyle w:val="15"/>
        <w:spacing w:before="60" w:line="360" w:lineRule="auto"/>
        <w:ind w:firstLine="480" w:firstLineChars="200"/>
        <w:jc w:val="left"/>
        <w:rPr>
          <w:rFonts w:ascii="宋体" w:hAnsi="宋体" w:cs="宋体"/>
          <w:b w:val="0"/>
          <w:sz w:val="24"/>
          <w:szCs w:val="24"/>
        </w:rPr>
      </w:pPr>
      <w:bookmarkStart w:id="17" w:name="_Toc419045074"/>
      <w:bookmarkStart w:id="18" w:name="_Toc422322490"/>
      <w:r>
        <w:rPr>
          <w:rFonts w:hint="eastAsia" w:ascii="宋体" w:hAnsi="宋体" w:cs="宋体"/>
          <w:b w:val="0"/>
          <w:sz w:val="24"/>
          <w:szCs w:val="24"/>
        </w:rPr>
        <w:t>2.3合理工作时限</w:t>
      </w:r>
      <w:bookmarkEnd w:id="17"/>
      <w:bookmarkEnd w:id="18"/>
    </w:p>
    <w:p>
      <w:pPr>
        <w:spacing w:line="360" w:lineRule="auto"/>
        <w:ind w:firstLine="480" w:firstLineChars="200"/>
        <w:rPr>
          <w:rFonts w:ascii="宋体" w:hAnsi="宋体" w:cs="宋体"/>
          <w:sz w:val="24"/>
        </w:rPr>
      </w:pPr>
      <w:r>
        <w:rPr>
          <w:rFonts w:hint="eastAsia" w:ascii="宋体" w:hAnsi="宋体" w:cs="宋体"/>
          <w:sz w:val="24"/>
        </w:rPr>
        <w:t>委托人应当为咨询人完成其咨询工作，设定合理的工作时限。</w:t>
      </w:r>
    </w:p>
    <w:p>
      <w:pPr>
        <w:pStyle w:val="15"/>
        <w:spacing w:before="60" w:line="360" w:lineRule="auto"/>
        <w:ind w:firstLine="480" w:firstLineChars="200"/>
        <w:jc w:val="left"/>
        <w:rPr>
          <w:rFonts w:ascii="宋体" w:hAnsi="宋体" w:cs="宋体"/>
          <w:b w:val="0"/>
          <w:sz w:val="24"/>
          <w:szCs w:val="24"/>
        </w:rPr>
      </w:pPr>
      <w:bookmarkStart w:id="19" w:name="_Toc419045075"/>
      <w:bookmarkStart w:id="20" w:name="_Toc422322491"/>
      <w:r>
        <w:rPr>
          <w:rFonts w:hint="eastAsia" w:ascii="宋体" w:hAnsi="宋体" w:cs="宋体"/>
          <w:b w:val="0"/>
          <w:sz w:val="24"/>
          <w:szCs w:val="24"/>
        </w:rPr>
        <w:t>2.4委托人代表</w:t>
      </w:r>
      <w:bookmarkEnd w:id="19"/>
      <w:bookmarkEnd w:id="20"/>
    </w:p>
    <w:p>
      <w:pPr>
        <w:spacing w:line="360" w:lineRule="auto"/>
        <w:ind w:firstLine="480" w:firstLineChars="200"/>
        <w:rPr>
          <w:rFonts w:ascii="宋体" w:hAnsi="宋体" w:cs="宋体"/>
          <w:sz w:val="24"/>
        </w:rPr>
      </w:pPr>
      <w:r>
        <w:rPr>
          <w:rFonts w:hint="eastAsia" w:ascii="宋体" w:hAnsi="宋体" w:cs="宋体"/>
          <w:sz w:val="24"/>
        </w:rPr>
        <w:t>委托人应授权一名代表负责本合同的履行。委托人应在双方签订本合同7日内，将委托人代表的姓名和权限范围书面告知咨询人。委托人更换委托人代表时，应提前7日书面通知咨询人。</w:t>
      </w:r>
    </w:p>
    <w:p>
      <w:pPr>
        <w:pStyle w:val="15"/>
        <w:spacing w:before="60" w:line="360" w:lineRule="auto"/>
        <w:ind w:firstLine="480" w:firstLineChars="200"/>
        <w:jc w:val="left"/>
        <w:rPr>
          <w:rFonts w:ascii="宋体" w:hAnsi="宋体" w:cs="宋体"/>
          <w:b w:val="0"/>
          <w:sz w:val="24"/>
          <w:szCs w:val="24"/>
        </w:rPr>
      </w:pPr>
      <w:bookmarkStart w:id="21" w:name="_Toc422322492"/>
      <w:bookmarkStart w:id="22" w:name="_Toc419045076"/>
      <w:r>
        <w:rPr>
          <w:rFonts w:hint="eastAsia" w:ascii="宋体" w:hAnsi="宋体" w:cs="宋体"/>
          <w:b w:val="0"/>
          <w:sz w:val="24"/>
          <w:szCs w:val="24"/>
        </w:rPr>
        <w:t>2.5答复</w:t>
      </w:r>
      <w:bookmarkEnd w:id="21"/>
      <w:bookmarkEnd w:id="22"/>
    </w:p>
    <w:p>
      <w:pPr>
        <w:spacing w:line="360" w:lineRule="auto"/>
        <w:ind w:firstLine="480" w:firstLineChars="200"/>
        <w:rPr>
          <w:rFonts w:ascii="宋体" w:hAnsi="宋体" w:cs="宋体"/>
          <w:sz w:val="24"/>
        </w:rPr>
      </w:pPr>
      <w:r>
        <w:rPr>
          <w:rFonts w:hint="eastAsia" w:ascii="宋体" w:hAnsi="宋体" w:cs="宋体"/>
          <w:sz w:val="24"/>
        </w:rPr>
        <w:t>委托人应当在专用条件约定的时间内就咨询人以书面形式提交并要求做出答复的事宜给予书面答复。逾期未答复的，由此造成的工作延误和损失由委托人承担。</w:t>
      </w:r>
    </w:p>
    <w:p>
      <w:pPr>
        <w:pStyle w:val="15"/>
        <w:spacing w:before="60" w:line="360" w:lineRule="auto"/>
        <w:ind w:firstLine="480" w:firstLineChars="200"/>
        <w:jc w:val="left"/>
        <w:rPr>
          <w:rFonts w:ascii="宋体" w:hAnsi="宋体" w:cs="宋体"/>
          <w:b w:val="0"/>
          <w:sz w:val="24"/>
          <w:szCs w:val="24"/>
        </w:rPr>
      </w:pPr>
      <w:bookmarkStart w:id="23" w:name="_Toc422322493"/>
      <w:bookmarkStart w:id="24" w:name="_Toc419045077"/>
      <w:r>
        <w:rPr>
          <w:rFonts w:hint="eastAsia" w:ascii="宋体" w:hAnsi="宋体" w:cs="宋体"/>
          <w:b w:val="0"/>
          <w:sz w:val="24"/>
          <w:szCs w:val="24"/>
        </w:rPr>
        <w:t>2.6支付</w:t>
      </w:r>
      <w:bookmarkEnd w:id="23"/>
      <w:bookmarkEnd w:id="24"/>
    </w:p>
    <w:p>
      <w:pPr>
        <w:spacing w:line="360" w:lineRule="auto"/>
        <w:ind w:firstLine="480" w:firstLineChars="200"/>
        <w:rPr>
          <w:rFonts w:ascii="宋体" w:hAnsi="宋体" w:cs="宋体"/>
          <w:sz w:val="24"/>
        </w:rPr>
      </w:pPr>
      <w:r>
        <w:rPr>
          <w:rFonts w:hint="eastAsia" w:ascii="宋体" w:hAnsi="宋体" w:cs="宋体"/>
          <w:sz w:val="24"/>
        </w:rPr>
        <w:t>委托人应当按照合同的约定，向咨询人支付酬金。</w:t>
      </w:r>
    </w:p>
    <w:p>
      <w:pPr>
        <w:pStyle w:val="8"/>
        <w:spacing w:before="0" w:after="0" w:line="360" w:lineRule="auto"/>
        <w:ind w:firstLine="482" w:firstLineChars="200"/>
        <w:jc w:val="left"/>
        <w:rPr>
          <w:rFonts w:ascii="宋体" w:hAnsi="宋体" w:cs="宋体"/>
          <w:sz w:val="24"/>
          <w:szCs w:val="24"/>
        </w:rPr>
      </w:pPr>
      <w:bookmarkStart w:id="25" w:name="_Toc422322494"/>
      <w:bookmarkStart w:id="26" w:name="_Toc419045078"/>
      <w:r>
        <w:rPr>
          <w:rFonts w:hint="eastAsia" w:ascii="宋体" w:hAnsi="宋体" w:cs="宋体"/>
          <w:sz w:val="24"/>
          <w:szCs w:val="24"/>
        </w:rPr>
        <w:t>3.咨询人的义务</w:t>
      </w:r>
      <w:bookmarkEnd w:id="25"/>
      <w:bookmarkEnd w:id="26"/>
    </w:p>
    <w:p>
      <w:pPr>
        <w:pStyle w:val="15"/>
        <w:spacing w:before="60" w:line="360" w:lineRule="auto"/>
        <w:ind w:firstLine="480" w:firstLineChars="200"/>
        <w:jc w:val="left"/>
        <w:rPr>
          <w:rFonts w:ascii="宋体" w:hAnsi="宋体" w:cs="宋体"/>
          <w:b w:val="0"/>
          <w:sz w:val="24"/>
          <w:szCs w:val="24"/>
        </w:rPr>
      </w:pPr>
      <w:bookmarkStart w:id="27" w:name="_Toc419045080"/>
      <w:bookmarkStart w:id="28" w:name="_Toc422322495"/>
      <w:bookmarkStart w:id="29" w:name="16"/>
      <w:r>
        <w:rPr>
          <w:rFonts w:hint="eastAsia" w:ascii="宋体" w:hAnsi="宋体" w:cs="宋体"/>
          <w:b w:val="0"/>
          <w:sz w:val="24"/>
          <w:szCs w:val="24"/>
        </w:rPr>
        <w:t>3.1 项目咨询团队及人员</w:t>
      </w:r>
      <w:bookmarkEnd w:id="27"/>
      <w:bookmarkEnd w:id="28"/>
    </w:p>
    <w:p>
      <w:pPr>
        <w:pStyle w:val="42"/>
        <w:spacing w:line="360" w:lineRule="auto"/>
        <w:ind w:firstLine="480" w:firstLineChars="200"/>
        <w:jc w:val="left"/>
        <w:rPr>
          <w:rFonts w:ascii="宋体" w:hAnsi="宋体" w:cs="宋体"/>
          <w:sz w:val="24"/>
          <w:szCs w:val="24"/>
        </w:rPr>
      </w:pPr>
      <w:r>
        <w:rPr>
          <w:rFonts w:hint="eastAsia" w:ascii="宋体" w:hAnsi="宋体" w:cs="宋体"/>
          <w:sz w:val="24"/>
          <w:szCs w:val="24"/>
        </w:rPr>
        <w:t>3.1.1项目咨询团队的主要人员应具有专用条件约定的资格条件，团队人员的数量应符合专用条件的约定。</w:t>
      </w:r>
    </w:p>
    <w:p>
      <w:pPr>
        <w:pStyle w:val="42"/>
        <w:spacing w:line="360" w:lineRule="auto"/>
        <w:ind w:firstLine="480" w:firstLineChars="200"/>
        <w:jc w:val="left"/>
        <w:rPr>
          <w:rFonts w:ascii="宋体" w:hAnsi="宋体" w:cs="宋体"/>
          <w:sz w:val="24"/>
          <w:szCs w:val="24"/>
        </w:rPr>
      </w:pPr>
      <w:r>
        <w:rPr>
          <w:rFonts w:hint="eastAsia" w:ascii="宋体" w:hAnsi="宋体" w:cs="宋体"/>
          <w:sz w:val="24"/>
          <w:szCs w:val="24"/>
        </w:rPr>
        <w:t>3.1.2项目负责人</w:t>
      </w:r>
    </w:p>
    <w:p>
      <w:pPr>
        <w:pStyle w:val="42"/>
        <w:spacing w:line="360" w:lineRule="auto"/>
        <w:ind w:firstLine="480" w:firstLineChars="200"/>
        <w:rPr>
          <w:rFonts w:ascii="宋体" w:hAnsi="宋体" w:cs="宋体"/>
          <w:sz w:val="24"/>
          <w:szCs w:val="24"/>
        </w:rPr>
      </w:pPr>
      <w:r>
        <w:rPr>
          <w:rFonts w:hint="eastAsia" w:ascii="宋体" w:hAnsi="宋体" w:cs="宋体"/>
          <w:sz w:val="24"/>
          <w:szCs w:val="24"/>
        </w:rPr>
        <w:t>咨询人应以书面形式授权一名项目负责人负责履行本合同、主持项目咨询团队工作。采用招标程序签署本合同的，项目负责人应当与投标文件载明的一致。</w:t>
      </w:r>
    </w:p>
    <w:p>
      <w:pPr>
        <w:pStyle w:val="42"/>
        <w:spacing w:line="360" w:lineRule="auto"/>
        <w:ind w:firstLine="480" w:firstLineChars="200"/>
        <w:rPr>
          <w:rFonts w:ascii="宋体" w:hAnsi="宋体" w:cs="宋体"/>
          <w:sz w:val="24"/>
          <w:szCs w:val="24"/>
        </w:rPr>
      </w:pPr>
      <w:r>
        <w:rPr>
          <w:rFonts w:hint="eastAsia" w:ascii="宋体" w:hAnsi="宋体" w:cs="宋体"/>
          <w:sz w:val="24"/>
          <w:szCs w:val="24"/>
        </w:rPr>
        <w:t>3.1.3在本合同履行过程中，咨询人员应保持相对稳定，以保证咨询工作正常进行。</w:t>
      </w:r>
    </w:p>
    <w:p>
      <w:pPr>
        <w:pStyle w:val="42"/>
        <w:spacing w:line="360" w:lineRule="auto"/>
        <w:ind w:firstLine="480" w:firstLineChars="200"/>
        <w:rPr>
          <w:rFonts w:ascii="宋体" w:hAnsi="宋体" w:cs="宋体"/>
          <w:sz w:val="24"/>
          <w:szCs w:val="24"/>
        </w:rPr>
      </w:pPr>
      <w:r>
        <w:rPr>
          <w:rFonts w:hint="eastAsia" w:ascii="宋体" w:hAnsi="宋体" w:cs="宋体"/>
          <w:sz w:val="24"/>
          <w:szCs w:val="24"/>
        </w:rPr>
        <w:t>咨询人可根据工程进展和工作需要等情形调整项目咨询团队人员。咨询人更换项目负责人时，应提前7日向委托人书面报告，经委托人同意后方可更换。除专用条件另有约定外，咨询人更换项目咨询团队其他咨询人员，应提前3日向委托人书面报告，经委托人同意后以相当资格与能力的人员替换。</w:t>
      </w:r>
    </w:p>
    <w:p>
      <w:pPr>
        <w:pStyle w:val="42"/>
        <w:spacing w:line="360" w:lineRule="auto"/>
        <w:ind w:firstLine="480" w:firstLineChars="200"/>
        <w:rPr>
          <w:rFonts w:ascii="宋体" w:hAnsi="宋体" w:cs="宋体"/>
          <w:sz w:val="24"/>
          <w:szCs w:val="24"/>
        </w:rPr>
      </w:pPr>
      <w:r>
        <w:rPr>
          <w:rFonts w:hint="eastAsia" w:ascii="宋体" w:hAnsi="宋体" w:cs="宋体"/>
          <w:sz w:val="24"/>
          <w:szCs w:val="24"/>
        </w:rPr>
        <w:t>3.1.4咨询人员有下列情形之一，委托人要求咨询人更换的，咨询人应当更换：</w:t>
      </w:r>
    </w:p>
    <w:p>
      <w:pPr>
        <w:pStyle w:val="42"/>
        <w:spacing w:line="360" w:lineRule="auto"/>
        <w:ind w:firstLine="336"/>
        <w:jc w:val="left"/>
        <w:rPr>
          <w:rFonts w:ascii="宋体" w:hAnsi="宋体" w:cs="宋体"/>
          <w:sz w:val="24"/>
          <w:szCs w:val="24"/>
        </w:rPr>
      </w:pPr>
      <w:r>
        <w:rPr>
          <w:rFonts w:hint="eastAsia" w:ascii="宋体" w:hAnsi="宋体" w:cs="宋体"/>
          <w:sz w:val="24"/>
          <w:szCs w:val="24"/>
        </w:rPr>
        <w:t>（1）存在严重过失行为的；</w:t>
      </w:r>
    </w:p>
    <w:p>
      <w:pPr>
        <w:pStyle w:val="42"/>
        <w:spacing w:line="360" w:lineRule="auto"/>
        <w:ind w:firstLine="336"/>
        <w:jc w:val="left"/>
        <w:rPr>
          <w:rFonts w:ascii="宋体" w:hAnsi="宋体" w:cs="宋体"/>
          <w:sz w:val="24"/>
          <w:szCs w:val="24"/>
        </w:rPr>
      </w:pPr>
      <w:r>
        <w:rPr>
          <w:rFonts w:hint="eastAsia" w:ascii="宋体" w:hAnsi="宋体" w:cs="宋体"/>
          <w:sz w:val="24"/>
          <w:szCs w:val="24"/>
        </w:rPr>
        <w:t>（2）存在违法行为不能履行职责的；</w:t>
      </w:r>
    </w:p>
    <w:p>
      <w:pPr>
        <w:pStyle w:val="42"/>
        <w:spacing w:line="360" w:lineRule="auto"/>
        <w:ind w:firstLine="336"/>
        <w:jc w:val="left"/>
        <w:rPr>
          <w:rFonts w:ascii="宋体" w:hAnsi="宋体" w:cs="宋体"/>
          <w:sz w:val="24"/>
          <w:szCs w:val="24"/>
        </w:rPr>
      </w:pPr>
      <w:r>
        <w:rPr>
          <w:rFonts w:hint="eastAsia" w:ascii="宋体" w:hAnsi="宋体" w:cs="宋体"/>
          <w:sz w:val="24"/>
          <w:szCs w:val="24"/>
        </w:rPr>
        <w:t>（3）涉嫌犯罪的；</w:t>
      </w:r>
    </w:p>
    <w:p>
      <w:pPr>
        <w:pStyle w:val="42"/>
        <w:spacing w:line="360" w:lineRule="auto"/>
        <w:ind w:firstLine="336"/>
        <w:jc w:val="left"/>
        <w:rPr>
          <w:rFonts w:ascii="宋体" w:hAnsi="宋体" w:cs="宋体"/>
          <w:sz w:val="24"/>
          <w:szCs w:val="24"/>
        </w:rPr>
      </w:pPr>
      <w:r>
        <w:rPr>
          <w:rFonts w:hint="eastAsia" w:ascii="宋体" w:hAnsi="宋体" w:cs="宋体"/>
          <w:sz w:val="24"/>
          <w:szCs w:val="24"/>
        </w:rPr>
        <w:t>（4）不能胜任岗位职责的；</w:t>
      </w:r>
    </w:p>
    <w:p>
      <w:pPr>
        <w:pStyle w:val="42"/>
        <w:spacing w:line="360" w:lineRule="auto"/>
        <w:ind w:firstLine="336"/>
        <w:jc w:val="left"/>
        <w:rPr>
          <w:rFonts w:ascii="宋体" w:hAnsi="宋体" w:cs="宋体"/>
          <w:sz w:val="24"/>
          <w:szCs w:val="24"/>
        </w:rPr>
      </w:pPr>
      <w:r>
        <w:rPr>
          <w:rFonts w:hint="eastAsia" w:ascii="宋体" w:hAnsi="宋体" w:cs="宋体"/>
          <w:sz w:val="24"/>
          <w:szCs w:val="24"/>
        </w:rPr>
        <w:t>（5）严重违反职业道德的；</w:t>
      </w:r>
    </w:p>
    <w:p>
      <w:pPr>
        <w:pStyle w:val="42"/>
        <w:spacing w:line="360" w:lineRule="auto"/>
        <w:ind w:firstLine="336"/>
        <w:jc w:val="left"/>
        <w:rPr>
          <w:rStyle w:val="44"/>
          <w:rFonts w:ascii="宋体" w:hAnsi="宋体" w:cs="宋体"/>
          <w:b w:val="0"/>
          <w:bCs w:val="0"/>
          <w:sz w:val="24"/>
          <w:szCs w:val="24"/>
        </w:rPr>
      </w:pPr>
      <w:r>
        <w:rPr>
          <w:rFonts w:hint="eastAsia" w:ascii="宋体" w:hAnsi="宋体" w:cs="宋体"/>
          <w:sz w:val="24"/>
          <w:szCs w:val="24"/>
        </w:rPr>
        <w:t>（6）专用条件约定的其他情形。</w:t>
      </w:r>
    </w:p>
    <w:p>
      <w:pPr>
        <w:pStyle w:val="15"/>
        <w:spacing w:before="60" w:line="360" w:lineRule="auto"/>
        <w:ind w:firstLine="480" w:firstLineChars="200"/>
        <w:jc w:val="left"/>
        <w:rPr>
          <w:rFonts w:ascii="宋体" w:hAnsi="宋体" w:cs="宋体"/>
          <w:b w:val="0"/>
          <w:sz w:val="24"/>
          <w:szCs w:val="24"/>
        </w:rPr>
      </w:pPr>
      <w:bookmarkStart w:id="30" w:name="_Toc422322496"/>
      <w:r>
        <w:rPr>
          <w:rFonts w:hint="eastAsia" w:ascii="宋体" w:hAnsi="宋体" w:cs="宋体"/>
          <w:b w:val="0"/>
          <w:sz w:val="24"/>
          <w:szCs w:val="24"/>
        </w:rPr>
        <w:t>3.2 咨询人的工作要求</w:t>
      </w:r>
      <w:bookmarkEnd w:id="30"/>
    </w:p>
    <w:p>
      <w:pPr>
        <w:pStyle w:val="42"/>
        <w:spacing w:line="360" w:lineRule="auto"/>
        <w:ind w:firstLine="480" w:firstLineChars="200"/>
        <w:jc w:val="left"/>
        <w:rPr>
          <w:rFonts w:ascii="宋体" w:hAnsi="宋体" w:cs="宋体"/>
          <w:sz w:val="24"/>
          <w:szCs w:val="24"/>
        </w:rPr>
      </w:pPr>
      <w:r>
        <w:rPr>
          <w:rFonts w:hint="eastAsia" w:ascii="宋体" w:hAnsi="宋体" w:cs="宋体"/>
          <w:sz w:val="24"/>
          <w:szCs w:val="24"/>
        </w:rPr>
        <w:t>3.2.1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pPr>
        <w:pStyle w:val="42"/>
        <w:spacing w:line="360" w:lineRule="auto"/>
        <w:ind w:firstLine="480" w:firstLineChars="200"/>
        <w:jc w:val="left"/>
        <w:rPr>
          <w:rFonts w:ascii="宋体" w:hAnsi="宋体" w:cs="宋体"/>
          <w:sz w:val="24"/>
          <w:szCs w:val="24"/>
        </w:rPr>
      </w:pPr>
      <w:r>
        <w:rPr>
          <w:rFonts w:hint="eastAsia" w:ascii="宋体" w:hAnsi="宋体" w:cs="宋体"/>
          <w:sz w:val="24"/>
          <w:szCs w:val="24"/>
        </w:rPr>
        <w:t>3.2.2咨询人应当在专用条件约定的时间内，按照专用条件约定的份数、组成向委托人提交咨询成果文件。</w:t>
      </w:r>
    </w:p>
    <w:p>
      <w:pPr>
        <w:pStyle w:val="42"/>
        <w:spacing w:line="360" w:lineRule="auto"/>
        <w:ind w:firstLine="480" w:firstLineChars="200"/>
        <w:jc w:val="left"/>
        <w:rPr>
          <w:rFonts w:ascii="宋体" w:hAnsi="宋体" w:cs="宋体"/>
          <w:sz w:val="24"/>
          <w:szCs w:val="24"/>
        </w:rPr>
      </w:pPr>
      <w:r>
        <w:rPr>
          <w:rFonts w:hint="eastAsia" w:ascii="宋体" w:hAnsi="宋体" w:cs="宋体"/>
          <w:sz w:val="24"/>
          <w:szCs w:val="24"/>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pPr>
        <w:pStyle w:val="42"/>
        <w:spacing w:line="360" w:lineRule="auto"/>
        <w:ind w:firstLine="480" w:firstLineChars="200"/>
        <w:jc w:val="left"/>
        <w:rPr>
          <w:rFonts w:ascii="宋体" w:hAnsi="宋体" w:cs="宋体"/>
          <w:sz w:val="24"/>
          <w:szCs w:val="24"/>
        </w:rPr>
      </w:pPr>
      <w:r>
        <w:rPr>
          <w:rFonts w:hint="eastAsia" w:ascii="宋体" w:hAnsi="宋体" w:cs="宋体"/>
          <w:sz w:val="24"/>
          <w:szCs w:val="24"/>
        </w:rPr>
        <w:t>3.2.3咨询人提交的工程造价咨询成果文件，除加盖咨询人单位公章、工程造价咨询企业执业印章外，还必须按要求加盖参加咨询工作人员的执业（从业）资格印章。</w:t>
      </w:r>
    </w:p>
    <w:p>
      <w:pPr>
        <w:pStyle w:val="42"/>
        <w:spacing w:line="360" w:lineRule="auto"/>
        <w:ind w:firstLine="480" w:firstLineChars="200"/>
        <w:jc w:val="left"/>
        <w:rPr>
          <w:rFonts w:ascii="宋体" w:hAnsi="宋体" w:cs="宋体"/>
          <w:sz w:val="24"/>
          <w:szCs w:val="24"/>
        </w:rPr>
      </w:pPr>
      <w:r>
        <w:rPr>
          <w:rFonts w:hint="eastAsia" w:ascii="宋体" w:hAnsi="宋体" w:cs="宋体"/>
          <w:sz w:val="24"/>
          <w:szCs w:val="24"/>
        </w:rPr>
        <w:t>3.2.4咨询人应在专用条件约定的时间内，对委托人以书面形式提出的建议或者异议给予书面答复。</w:t>
      </w:r>
    </w:p>
    <w:p>
      <w:pPr>
        <w:pStyle w:val="42"/>
        <w:spacing w:line="360" w:lineRule="auto"/>
        <w:ind w:firstLine="480" w:firstLineChars="200"/>
        <w:jc w:val="left"/>
        <w:rPr>
          <w:rFonts w:ascii="宋体" w:hAnsi="宋体" w:cs="宋体"/>
          <w:sz w:val="24"/>
          <w:szCs w:val="24"/>
        </w:rPr>
      </w:pPr>
      <w:r>
        <w:rPr>
          <w:rFonts w:hint="eastAsia" w:ascii="宋体" w:hAnsi="宋体" w:cs="宋体"/>
          <w:sz w:val="24"/>
          <w:szCs w:val="24"/>
        </w:rPr>
        <w:t>3.2.5咨询人从事工程造价咨询活动，应当遵循独立、客观、公正、诚</w:t>
      </w:r>
    </w:p>
    <w:p>
      <w:pPr>
        <w:pStyle w:val="42"/>
        <w:spacing w:line="360" w:lineRule="auto"/>
        <w:jc w:val="left"/>
        <w:rPr>
          <w:rFonts w:ascii="宋体" w:hAnsi="宋体" w:cs="宋体"/>
          <w:sz w:val="24"/>
          <w:szCs w:val="24"/>
        </w:rPr>
      </w:pPr>
      <w:r>
        <w:rPr>
          <w:rFonts w:hint="eastAsia" w:ascii="宋体" w:hAnsi="宋体" w:cs="宋体"/>
          <w:sz w:val="24"/>
          <w:szCs w:val="24"/>
        </w:rPr>
        <w:t>实信用的原则，不得损害社会公共利益和他人的合法权益。</w:t>
      </w:r>
    </w:p>
    <w:p>
      <w:pPr>
        <w:pStyle w:val="42"/>
        <w:spacing w:line="360" w:lineRule="auto"/>
        <w:ind w:firstLine="480" w:firstLineChars="200"/>
        <w:jc w:val="left"/>
        <w:rPr>
          <w:rFonts w:ascii="宋体" w:hAnsi="宋体" w:cs="宋体"/>
          <w:sz w:val="24"/>
          <w:szCs w:val="24"/>
        </w:rPr>
      </w:pPr>
      <w:r>
        <w:rPr>
          <w:rFonts w:hint="eastAsia" w:ascii="宋体" w:hAnsi="宋体" w:cs="宋体"/>
          <w:sz w:val="24"/>
          <w:szCs w:val="24"/>
        </w:rPr>
        <w:t>3.2.6咨询人承诺按照法律规定及合同约定，完成合同范围内的建设工程造价咨询服务，不转包承接的造价咨询服务业务。</w:t>
      </w:r>
    </w:p>
    <w:p>
      <w:pPr>
        <w:pStyle w:val="15"/>
        <w:spacing w:before="60" w:line="360" w:lineRule="auto"/>
        <w:ind w:firstLine="480" w:firstLineChars="200"/>
        <w:jc w:val="left"/>
        <w:rPr>
          <w:rFonts w:ascii="宋体" w:hAnsi="宋体" w:cs="宋体"/>
          <w:b w:val="0"/>
          <w:sz w:val="24"/>
          <w:szCs w:val="24"/>
        </w:rPr>
      </w:pPr>
      <w:bookmarkStart w:id="31" w:name="_Toc419045081"/>
      <w:bookmarkStart w:id="32" w:name="_Toc422322497"/>
      <w:r>
        <w:rPr>
          <w:rFonts w:hint="eastAsia" w:ascii="宋体" w:hAnsi="宋体" w:cs="宋体"/>
          <w:b w:val="0"/>
          <w:sz w:val="24"/>
          <w:szCs w:val="24"/>
        </w:rPr>
        <w:t>3.3咨询人的工作依据</w:t>
      </w:r>
      <w:bookmarkEnd w:id="31"/>
      <w:bookmarkEnd w:id="32"/>
    </w:p>
    <w:p>
      <w:pPr>
        <w:pStyle w:val="42"/>
        <w:spacing w:line="360" w:lineRule="auto"/>
        <w:ind w:firstLine="480" w:firstLineChars="200"/>
        <w:jc w:val="left"/>
        <w:rPr>
          <w:rFonts w:ascii="宋体" w:hAnsi="宋体" w:cs="宋体"/>
          <w:sz w:val="24"/>
          <w:szCs w:val="24"/>
        </w:rPr>
      </w:pPr>
      <w:r>
        <w:rPr>
          <w:rFonts w:hint="eastAsia" w:ascii="宋体" w:hAnsi="宋体" w:cs="宋体"/>
          <w:sz w:val="24"/>
          <w:szCs w:val="24"/>
        </w:rPr>
        <w:t>咨询人应在专用条件内与委托人协商明确履行本合同约定的咨询服务需要适用的技术标准、规范、定额等工作依据，但不得违反国家及工程所在地的强制性标准、规范。</w:t>
      </w:r>
    </w:p>
    <w:p>
      <w:pPr>
        <w:pStyle w:val="42"/>
        <w:spacing w:line="360" w:lineRule="auto"/>
        <w:ind w:firstLine="480" w:firstLineChars="200"/>
        <w:jc w:val="left"/>
        <w:rPr>
          <w:rFonts w:ascii="宋体" w:hAnsi="宋体" w:cs="宋体"/>
          <w:sz w:val="24"/>
          <w:szCs w:val="24"/>
        </w:rPr>
      </w:pPr>
      <w:r>
        <w:rPr>
          <w:rFonts w:hint="eastAsia" w:ascii="宋体" w:hAnsi="宋体" w:cs="宋体"/>
          <w:sz w:val="24"/>
          <w:szCs w:val="24"/>
        </w:rPr>
        <w:t>咨询人应自行配备本条所述的技术标准、规范、定额等相关资料。必须由委托人提供的资料，应</w:t>
      </w:r>
      <w:r>
        <w:rPr>
          <w:rFonts w:hint="eastAsia" w:ascii="宋体" w:hAnsi="宋体" w:cs="宋体"/>
          <w:sz w:val="24"/>
          <w:szCs w:val="24"/>
          <w:highlight w:val="none"/>
        </w:rPr>
        <w:t>在附录</w:t>
      </w:r>
      <w:r>
        <w:rPr>
          <w:rFonts w:ascii="宋体" w:hAnsi="宋体" w:cs="宋体"/>
          <w:sz w:val="24"/>
          <w:szCs w:val="24"/>
          <w:highlight w:val="none"/>
        </w:rPr>
        <w:t>C</w:t>
      </w:r>
      <w:r>
        <w:rPr>
          <w:rFonts w:hint="eastAsia" w:ascii="宋体" w:hAnsi="宋体" w:cs="宋体"/>
          <w:sz w:val="24"/>
          <w:szCs w:val="24"/>
          <w:highlight w:val="none"/>
        </w:rPr>
        <w:t>中载</w:t>
      </w:r>
      <w:r>
        <w:rPr>
          <w:rFonts w:hint="eastAsia" w:ascii="宋体" w:hAnsi="宋体" w:cs="宋体"/>
          <w:sz w:val="24"/>
          <w:szCs w:val="24"/>
        </w:rPr>
        <w:t>明。需要委托人协助才能获得的资料，委托人应予以协助。</w:t>
      </w:r>
    </w:p>
    <w:p>
      <w:pPr>
        <w:pStyle w:val="15"/>
        <w:spacing w:before="60" w:line="360" w:lineRule="auto"/>
        <w:ind w:firstLine="480" w:firstLineChars="200"/>
        <w:jc w:val="left"/>
        <w:rPr>
          <w:rFonts w:ascii="宋体" w:hAnsi="宋体" w:cs="宋体"/>
          <w:b w:val="0"/>
          <w:sz w:val="24"/>
          <w:szCs w:val="24"/>
        </w:rPr>
      </w:pPr>
      <w:bookmarkStart w:id="33" w:name="_Toc419045082"/>
      <w:bookmarkStart w:id="34" w:name="_Toc422322498"/>
      <w:r>
        <w:rPr>
          <w:rFonts w:hint="eastAsia" w:ascii="宋体" w:hAnsi="宋体" w:cs="宋体"/>
          <w:b w:val="0"/>
          <w:sz w:val="24"/>
          <w:szCs w:val="24"/>
        </w:rPr>
        <w:t>3.4使用委托人房屋及设备的返还</w:t>
      </w:r>
      <w:bookmarkEnd w:id="33"/>
      <w:bookmarkEnd w:id="34"/>
    </w:p>
    <w:p>
      <w:pPr>
        <w:pStyle w:val="42"/>
        <w:spacing w:line="360" w:lineRule="auto"/>
        <w:ind w:firstLine="480" w:firstLineChars="200"/>
        <w:jc w:val="left"/>
        <w:rPr>
          <w:rFonts w:ascii="宋体" w:hAnsi="宋体" w:cs="宋体"/>
          <w:sz w:val="24"/>
          <w:szCs w:val="24"/>
        </w:rPr>
      </w:pPr>
      <w:r>
        <w:rPr>
          <w:rFonts w:hint="eastAsia" w:ascii="宋体" w:hAnsi="宋体" w:cs="宋体"/>
          <w:sz w:val="24"/>
          <w:szCs w:val="24"/>
        </w:rPr>
        <w:t>项目咨询人员使用委托人提供的房屋及设备的，咨询人应妥善使用和保管，在本合同终止时将上述房屋及设备按专用条件约定的时间和方式返还委托人。</w:t>
      </w:r>
    </w:p>
    <w:bookmarkEnd w:id="29"/>
    <w:p>
      <w:pPr>
        <w:spacing w:line="360" w:lineRule="auto"/>
        <w:ind w:firstLine="482" w:firstLineChars="200"/>
        <w:rPr>
          <w:rStyle w:val="43"/>
          <w:rFonts w:ascii="宋体" w:hAnsi="宋体" w:cs="宋体"/>
          <w:sz w:val="24"/>
          <w:szCs w:val="24"/>
        </w:rPr>
      </w:pPr>
      <w:bookmarkStart w:id="35" w:name="_Toc419045083"/>
      <w:bookmarkStart w:id="36" w:name="_Toc422322499"/>
      <w:bookmarkStart w:id="37" w:name="19"/>
      <w:r>
        <w:rPr>
          <w:rStyle w:val="43"/>
          <w:rFonts w:hint="eastAsia" w:ascii="宋体" w:hAnsi="宋体" w:cs="宋体"/>
          <w:sz w:val="24"/>
          <w:szCs w:val="24"/>
        </w:rPr>
        <w:t>4.违约责任</w:t>
      </w:r>
      <w:bookmarkEnd w:id="35"/>
      <w:bookmarkEnd w:id="36"/>
    </w:p>
    <w:p>
      <w:pPr>
        <w:pStyle w:val="15"/>
        <w:spacing w:before="60" w:line="360" w:lineRule="auto"/>
        <w:ind w:firstLine="480" w:firstLineChars="200"/>
        <w:jc w:val="left"/>
        <w:rPr>
          <w:rFonts w:ascii="宋体" w:hAnsi="宋体" w:cs="宋体"/>
          <w:b w:val="0"/>
          <w:sz w:val="24"/>
          <w:szCs w:val="24"/>
        </w:rPr>
      </w:pPr>
      <w:bookmarkStart w:id="38" w:name="_Toc422322500"/>
      <w:r>
        <w:rPr>
          <w:rFonts w:hint="eastAsia" w:ascii="宋体" w:hAnsi="宋体" w:cs="宋体"/>
          <w:b w:val="0"/>
          <w:sz w:val="24"/>
          <w:szCs w:val="24"/>
        </w:rPr>
        <w:t>4.1委托人的违约责任</w:t>
      </w:r>
      <w:bookmarkEnd w:id="38"/>
    </w:p>
    <w:p>
      <w:pPr>
        <w:pStyle w:val="42"/>
        <w:spacing w:line="360" w:lineRule="auto"/>
        <w:ind w:firstLine="480" w:firstLineChars="200"/>
        <w:jc w:val="left"/>
        <w:rPr>
          <w:rFonts w:ascii="宋体" w:hAnsi="宋体" w:cs="宋体"/>
          <w:sz w:val="24"/>
          <w:szCs w:val="24"/>
        </w:rPr>
      </w:pPr>
      <w:r>
        <w:rPr>
          <w:rFonts w:hint="eastAsia" w:ascii="宋体" w:hAnsi="宋体" w:cs="宋体"/>
          <w:sz w:val="24"/>
          <w:szCs w:val="24"/>
        </w:rPr>
        <w:t>4.1.1委托人不履行本合同义务或者履行义务不符合本合同约定的，应承担违约责任。双方可在专用条件中约定违约金的计算及支付方法。</w:t>
      </w:r>
    </w:p>
    <w:p>
      <w:pPr>
        <w:pStyle w:val="42"/>
        <w:spacing w:line="360" w:lineRule="auto"/>
        <w:ind w:firstLine="480" w:firstLineChars="200"/>
        <w:jc w:val="left"/>
        <w:rPr>
          <w:rFonts w:ascii="宋体" w:hAnsi="宋体" w:cs="宋体"/>
          <w:sz w:val="24"/>
          <w:szCs w:val="24"/>
        </w:rPr>
      </w:pPr>
      <w:r>
        <w:rPr>
          <w:rFonts w:hint="eastAsia" w:ascii="宋体" w:hAnsi="宋体" w:cs="宋体"/>
          <w:sz w:val="24"/>
          <w:szCs w:val="24"/>
        </w:rPr>
        <w:t>4.1.2委托人违反本合同约定造成咨询人损失的，委托人应予以赔偿。双方可在专用条件中约定赔偿金额的确定及支付方法。</w:t>
      </w:r>
    </w:p>
    <w:p>
      <w:pPr>
        <w:pStyle w:val="42"/>
        <w:spacing w:line="360" w:lineRule="auto"/>
        <w:ind w:firstLine="480" w:firstLineChars="200"/>
        <w:jc w:val="left"/>
        <w:rPr>
          <w:rStyle w:val="43"/>
          <w:rFonts w:ascii="宋体" w:hAnsi="宋体" w:cs="宋体"/>
          <w:b w:val="0"/>
          <w:bCs w:val="0"/>
          <w:sz w:val="24"/>
          <w:szCs w:val="24"/>
        </w:rPr>
      </w:pPr>
      <w:r>
        <w:rPr>
          <w:rFonts w:hint="eastAsia" w:ascii="宋体" w:hAnsi="宋体" w:cs="宋体"/>
          <w:sz w:val="24"/>
          <w:szCs w:val="24"/>
        </w:rPr>
        <w:t>4.1.3委托人未能按期支付酬金超过14天，应按下列方法计算并支付逾期付款利息。逾期付款利息=当期应付款总额×中国人民银行发布的同期贷款基准利率×逾期支付天数（自逾期之日起计算）。双方也可在专用条件中另行约定逾期付款利息的计算及支付方法。</w:t>
      </w:r>
    </w:p>
    <w:p>
      <w:pPr>
        <w:pStyle w:val="15"/>
        <w:spacing w:before="60" w:line="360" w:lineRule="auto"/>
        <w:ind w:firstLine="480" w:firstLineChars="200"/>
        <w:jc w:val="left"/>
        <w:rPr>
          <w:rFonts w:ascii="宋体" w:hAnsi="宋体" w:cs="宋体"/>
          <w:b w:val="0"/>
          <w:sz w:val="24"/>
          <w:szCs w:val="24"/>
        </w:rPr>
      </w:pPr>
      <w:bookmarkStart w:id="39" w:name="_Toc422322501"/>
      <w:bookmarkStart w:id="40" w:name="_Toc419045084"/>
      <w:r>
        <w:rPr>
          <w:rFonts w:hint="eastAsia" w:ascii="宋体" w:hAnsi="宋体" w:cs="宋体"/>
          <w:b w:val="0"/>
          <w:sz w:val="24"/>
          <w:szCs w:val="24"/>
        </w:rPr>
        <w:t>4.2咨询人的违约责任</w:t>
      </w:r>
      <w:bookmarkEnd w:id="39"/>
      <w:bookmarkEnd w:id="40"/>
    </w:p>
    <w:p>
      <w:pPr>
        <w:pStyle w:val="42"/>
        <w:spacing w:line="360" w:lineRule="auto"/>
        <w:ind w:firstLine="480" w:firstLineChars="200"/>
        <w:jc w:val="left"/>
        <w:rPr>
          <w:rFonts w:ascii="宋体" w:hAnsi="宋体" w:cs="宋体"/>
          <w:sz w:val="24"/>
          <w:szCs w:val="24"/>
        </w:rPr>
      </w:pPr>
      <w:r>
        <w:rPr>
          <w:rFonts w:hint="eastAsia" w:ascii="宋体" w:hAnsi="宋体" w:cs="宋体"/>
          <w:sz w:val="24"/>
          <w:szCs w:val="24"/>
        </w:rPr>
        <w:t>4.2.1咨询人不履行本合同义务或者履行义务不符合本合同约定的，应承担违约责任。双方可在专用条件中约定违约金的计算及支付方法。</w:t>
      </w:r>
    </w:p>
    <w:p>
      <w:pPr>
        <w:pStyle w:val="42"/>
        <w:spacing w:line="360" w:lineRule="auto"/>
        <w:ind w:firstLine="480" w:firstLineChars="200"/>
        <w:jc w:val="left"/>
        <w:rPr>
          <w:rFonts w:ascii="宋体" w:hAnsi="宋体" w:cs="宋体"/>
          <w:sz w:val="24"/>
          <w:szCs w:val="24"/>
        </w:rPr>
      </w:pPr>
      <w:r>
        <w:rPr>
          <w:rFonts w:hint="eastAsia" w:ascii="宋体" w:hAnsi="宋体" w:cs="宋体"/>
          <w:sz w:val="24"/>
          <w:szCs w:val="24"/>
        </w:rPr>
        <w:t>4.2.2因咨询人违反本合同约定给委托人造成损失的，咨询人应当赔偿委托人损失。双方可在专用条件中约定赔偿金额的确定及支付方法。</w:t>
      </w:r>
    </w:p>
    <w:p>
      <w:pPr>
        <w:spacing w:line="360" w:lineRule="auto"/>
        <w:ind w:firstLine="482" w:firstLineChars="200"/>
        <w:rPr>
          <w:rStyle w:val="43"/>
          <w:rFonts w:ascii="宋体" w:hAnsi="宋体" w:cs="宋体"/>
          <w:bCs w:val="0"/>
          <w:sz w:val="24"/>
          <w:szCs w:val="24"/>
        </w:rPr>
      </w:pPr>
      <w:bookmarkStart w:id="41" w:name="_Toc422322502"/>
      <w:bookmarkStart w:id="42" w:name="_Toc419045086"/>
      <w:r>
        <w:rPr>
          <w:rStyle w:val="43"/>
          <w:rFonts w:hint="eastAsia" w:ascii="宋体" w:hAnsi="宋体" w:cs="宋体"/>
          <w:bCs w:val="0"/>
          <w:sz w:val="24"/>
          <w:szCs w:val="24"/>
        </w:rPr>
        <w:t>5.支付</w:t>
      </w:r>
      <w:bookmarkEnd w:id="41"/>
      <w:bookmarkEnd w:id="42"/>
    </w:p>
    <w:p>
      <w:pPr>
        <w:pStyle w:val="15"/>
        <w:spacing w:before="60" w:line="360" w:lineRule="auto"/>
        <w:ind w:firstLine="480" w:firstLineChars="200"/>
        <w:jc w:val="left"/>
        <w:rPr>
          <w:rFonts w:ascii="宋体" w:hAnsi="宋体" w:cs="宋体"/>
          <w:sz w:val="24"/>
          <w:szCs w:val="24"/>
        </w:rPr>
      </w:pPr>
      <w:bookmarkStart w:id="43" w:name="_Toc419045087"/>
      <w:bookmarkStart w:id="44" w:name="_Toc422322503"/>
      <w:r>
        <w:rPr>
          <w:rStyle w:val="44"/>
          <w:rFonts w:hint="eastAsia" w:ascii="宋体" w:hAnsi="宋体" w:cs="宋体"/>
          <w:b w:val="0"/>
          <w:bCs w:val="0"/>
          <w:sz w:val="24"/>
          <w:szCs w:val="24"/>
        </w:rPr>
        <w:t>5.1支付货币</w:t>
      </w:r>
      <w:bookmarkEnd w:id="43"/>
      <w:bookmarkEnd w:id="44"/>
    </w:p>
    <w:p>
      <w:pPr>
        <w:spacing w:line="360" w:lineRule="auto"/>
        <w:rPr>
          <w:rStyle w:val="44"/>
          <w:rFonts w:ascii="宋体" w:hAnsi="宋体" w:cs="宋体"/>
          <w:b w:val="0"/>
          <w:bCs w:val="0"/>
          <w:sz w:val="24"/>
          <w:szCs w:val="24"/>
        </w:rPr>
      </w:pPr>
      <w:r>
        <w:rPr>
          <w:rFonts w:hint="eastAsia" w:ascii="宋体" w:hAnsi="宋体" w:cs="宋体"/>
          <w:sz w:val="24"/>
        </w:rPr>
        <w:t>　　除专用条件另有约定外，酬金均以人民币支付。涉及外币支付的，所采用的货币种类和汇率等在专用条件中约定。</w:t>
      </w:r>
    </w:p>
    <w:p>
      <w:pPr>
        <w:pStyle w:val="15"/>
        <w:spacing w:before="60" w:line="360" w:lineRule="auto"/>
        <w:ind w:firstLine="480" w:firstLineChars="200"/>
        <w:jc w:val="left"/>
        <w:rPr>
          <w:rFonts w:ascii="宋体" w:hAnsi="宋体" w:cs="宋体"/>
          <w:b w:val="0"/>
          <w:sz w:val="24"/>
          <w:szCs w:val="24"/>
        </w:rPr>
      </w:pPr>
      <w:bookmarkStart w:id="45" w:name="_Toc422322504"/>
      <w:r>
        <w:rPr>
          <w:rFonts w:hint="eastAsia" w:ascii="宋体" w:hAnsi="宋体" w:cs="宋体"/>
          <w:b w:val="0"/>
          <w:sz w:val="24"/>
          <w:szCs w:val="24"/>
        </w:rPr>
        <w:t>5.2支付申请</w:t>
      </w:r>
      <w:bookmarkEnd w:id="45"/>
    </w:p>
    <w:p>
      <w:pPr>
        <w:spacing w:line="360" w:lineRule="auto"/>
        <w:rPr>
          <w:rStyle w:val="44"/>
          <w:rFonts w:ascii="宋体" w:hAnsi="宋体" w:cs="宋体"/>
          <w:b w:val="0"/>
          <w:bCs w:val="0"/>
          <w:sz w:val="24"/>
          <w:szCs w:val="24"/>
        </w:rPr>
      </w:pPr>
      <w:r>
        <w:rPr>
          <w:rFonts w:hint="eastAsia" w:ascii="宋体" w:hAnsi="宋体" w:cs="宋体"/>
          <w:sz w:val="24"/>
        </w:rPr>
        <w:t>　　咨询人应在本合同约定的每次应付款日期前，向委托人提交支付申请书，支付申请书的提交日期由双方在专用条件中约定。支付申请书应当说明当期应付款总额，并列出当期应支付的款项及其金额。</w:t>
      </w:r>
    </w:p>
    <w:p>
      <w:pPr>
        <w:pStyle w:val="15"/>
        <w:spacing w:before="60" w:line="360" w:lineRule="auto"/>
        <w:ind w:firstLine="480" w:firstLineChars="200"/>
        <w:jc w:val="left"/>
        <w:rPr>
          <w:rFonts w:ascii="宋体" w:hAnsi="宋体" w:cs="宋体"/>
          <w:b w:val="0"/>
          <w:sz w:val="24"/>
          <w:szCs w:val="24"/>
        </w:rPr>
      </w:pPr>
      <w:bookmarkStart w:id="46" w:name="_Toc422322505"/>
      <w:r>
        <w:rPr>
          <w:rFonts w:hint="eastAsia" w:ascii="宋体" w:hAnsi="宋体" w:cs="宋体"/>
          <w:b w:val="0"/>
          <w:sz w:val="24"/>
          <w:szCs w:val="24"/>
        </w:rPr>
        <w:t>5.3 支付酬金</w:t>
      </w:r>
      <w:bookmarkEnd w:id="46"/>
    </w:p>
    <w:p>
      <w:pPr>
        <w:spacing w:line="360" w:lineRule="auto"/>
        <w:rPr>
          <w:rStyle w:val="44"/>
          <w:rFonts w:ascii="宋体" w:hAnsi="宋体" w:cs="宋体"/>
          <w:b w:val="0"/>
          <w:bCs w:val="0"/>
          <w:sz w:val="24"/>
          <w:szCs w:val="24"/>
        </w:rPr>
      </w:pPr>
      <w:r>
        <w:rPr>
          <w:rFonts w:hint="eastAsia" w:ascii="宋体" w:hAnsi="宋体" w:cs="宋体"/>
          <w:sz w:val="24"/>
        </w:rPr>
        <w:t>　　支付酬金包括正常工作酬金、附加工作酬金、合理化建议奖励金额及费用。</w:t>
      </w:r>
    </w:p>
    <w:p>
      <w:pPr>
        <w:pStyle w:val="15"/>
        <w:spacing w:before="60" w:line="360" w:lineRule="auto"/>
        <w:ind w:firstLine="480" w:firstLineChars="200"/>
        <w:jc w:val="left"/>
        <w:rPr>
          <w:rFonts w:ascii="宋体" w:hAnsi="宋体" w:cs="宋体"/>
          <w:b w:val="0"/>
          <w:sz w:val="24"/>
          <w:szCs w:val="24"/>
        </w:rPr>
      </w:pPr>
      <w:bookmarkStart w:id="47" w:name="_Toc422322506"/>
      <w:r>
        <w:rPr>
          <w:rFonts w:hint="eastAsia" w:ascii="宋体" w:hAnsi="宋体" w:cs="宋体"/>
          <w:b w:val="0"/>
          <w:sz w:val="24"/>
          <w:szCs w:val="24"/>
        </w:rPr>
        <w:t>5.4有异议部分的支付</w:t>
      </w:r>
      <w:bookmarkEnd w:id="47"/>
    </w:p>
    <w:p>
      <w:pPr>
        <w:spacing w:line="360" w:lineRule="auto"/>
        <w:rPr>
          <w:rFonts w:ascii="宋体" w:hAnsi="宋体" w:cs="宋体"/>
          <w:sz w:val="24"/>
        </w:rPr>
      </w:pPr>
      <w:r>
        <w:rPr>
          <w:rFonts w:hint="eastAsia" w:ascii="宋体" w:hAnsi="宋体" w:cs="宋体"/>
          <w:sz w:val="24"/>
        </w:rPr>
        <w:t>　　委托人对咨询人提交的支付申请书有异议时，应当在收到咨询人提交的支付申请书后7日内，以书面形式向咨询人发出异议通知。无异议部分的款项应按期支付，有异议部分的款项按第7条约定办理。</w:t>
      </w:r>
    </w:p>
    <w:p>
      <w:pPr>
        <w:spacing w:line="360" w:lineRule="auto"/>
        <w:ind w:firstLine="482" w:firstLineChars="200"/>
        <w:rPr>
          <w:rStyle w:val="43"/>
          <w:rFonts w:ascii="宋体" w:hAnsi="宋体" w:cs="宋体"/>
          <w:sz w:val="24"/>
          <w:szCs w:val="24"/>
        </w:rPr>
      </w:pPr>
      <w:bookmarkStart w:id="48" w:name="_Toc422322507"/>
      <w:bookmarkStart w:id="49" w:name="_Toc419045088"/>
      <w:r>
        <w:rPr>
          <w:rStyle w:val="43"/>
          <w:rFonts w:hint="eastAsia" w:ascii="宋体" w:hAnsi="宋体" w:cs="宋体"/>
          <w:sz w:val="24"/>
          <w:szCs w:val="24"/>
        </w:rPr>
        <w:t>6.合同变更、解除与终止</w:t>
      </w:r>
      <w:bookmarkEnd w:id="48"/>
      <w:bookmarkEnd w:id="49"/>
    </w:p>
    <w:p>
      <w:pPr>
        <w:spacing w:line="360" w:lineRule="auto"/>
        <w:ind w:firstLine="480" w:firstLineChars="200"/>
        <w:rPr>
          <w:rFonts w:ascii="宋体" w:hAnsi="宋体" w:cs="宋体"/>
          <w:sz w:val="24"/>
        </w:rPr>
      </w:pPr>
      <w:bookmarkStart w:id="50" w:name="_Toc422322508"/>
      <w:bookmarkStart w:id="51" w:name="_Toc419045089"/>
      <w:r>
        <w:rPr>
          <w:rStyle w:val="44"/>
          <w:rFonts w:hint="eastAsia" w:ascii="宋体" w:hAnsi="宋体" w:cs="宋体"/>
          <w:b w:val="0"/>
          <w:bCs w:val="0"/>
          <w:sz w:val="24"/>
          <w:szCs w:val="24"/>
        </w:rPr>
        <w:t>6.1合同变更</w:t>
      </w:r>
      <w:bookmarkEnd w:id="50"/>
      <w:bookmarkEnd w:id="51"/>
      <w:r>
        <w:rPr>
          <w:rFonts w:hint="eastAsia" w:ascii="宋体" w:hAnsi="宋体" w:cs="宋体"/>
          <w:sz w:val="24"/>
        </w:rPr>
        <w:br w:type="textWrapping"/>
      </w:r>
      <w:r>
        <w:rPr>
          <w:rFonts w:hint="eastAsia" w:ascii="宋体" w:hAnsi="宋体" w:cs="宋体"/>
          <w:sz w:val="24"/>
        </w:rPr>
        <w:t xml:space="preserve">  　6.1.1 任何一方以书面形式提出变更请求时，双方经协商一致后可进行变更。</w:t>
      </w:r>
      <w:r>
        <w:rPr>
          <w:rFonts w:hint="eastAsia" w:ascii="宋体" w:hAnsi="宋体" w:cs="宋体"/>
          <w:sz w:val="24"/>
        </w:rPr>
        <w:br w:type="textWrapping"/>
      </w:r>
      <w:r>
        <w:rPr>
          <w:rFonts w:hint="eastAsia" w:ascii="宋体" w:hAnsi="宋体" w:cs="宋体"/>
          <w:sz w:val="24"/>
        </w:rPr>
        <w:t>　　6.1.2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pPr>
        <w:spacing w:line="360" w:lineRule="auto"/>
        <w:ind w:firstLine="480" w:firstLineChars="200"/>
        <w:rPr>
          <w:rFonts w:ascii="宋体" w:hAnsi="宋体" w:cs="宋体"/>
          <w:b/>
          <w:sz w:val="24"/>
        </w:rPr>
      </w:pPr>
      <w:r>
        <w:rPr>
          <w:rFonts w:hint="eastAsia" w:ascii="宋体" w:hAnsi="宋体" w:cs="宋体"/>
          <w:sz w:val="24"/>
        </w:rPr>
        <w:t>6.1.3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r>
        <w:rPr>
          <w:rFonts w:hint="eastAsia" w:ascii="宋体" w:hAnsi="宋体" w:cs="宋体"/>
          <w:sz w:val="24"/>
        </w:rPr>
        <w:br w:type="textWrapping"/>
      </w:r>
      <w:r>
        <w:rPr>
          <w:rFonts w:hint="eastAsia" w:ascii="宋体" w:hAnsi="宋体" w:cs="宋体"/>
          <w:sz w:val="24"/>
        </w:rPr>
        <w:t>　　6.1.4 因工程规模、服务范围及工作内容的变化等导致咨询人的工作量增减时，服务酬金应作相应调整，调整方法由双方在专用条件中约定。</w:t>
      </w:r>
    </w:p>
    <w:p>
      <w:pPr>
        <w:spacing w:line="360" w:lineRule="auto"/>
        <w:ind w:firstLine="480" w:firstLineChars="200"/>
        <w:rPr>
          <w:rStyle w:val="44"/>
          <w:rFonts w:ascii="宋体" w:hAnsi="宋体" w:cs="宋体"/>
          <w:b w:val="0"/>
          <w:bCs w:val="0"/>
          <w:sz w:val="24"/>
          <w:szCs w:val="24"/>
        </w:rPr>
      </w:pPr>
      <w:bookmarkStart w:id="52" w:name="_Toc422322509"/>
      <w:bookmarkStart w:id="53" w:name="_Toc419045090"/>
      <w:r>
        <w:rPr>
          <w:rStyle w:val="44"/>
          <w:rFonts w:hint="eastAsia" w:ascii="宋体" w:hAnsi="宋体" w:cs="宋体"/>
          <w:b w:val="0"/>
          <w:bCs w:val="0"/>
          <w:sz w:val="24"/>
          <w:szCs w:val="24"/>
        </w:rPr>
        <w:t>6.2合同解除</w:t>
      </w:r>
      <w:bookmarkEnd w:id="52"/>
      <w:bookmarkEnd w:id="53"/>
    </w:p>
    <w:p>
      <w:pPr>
        <w:spacing w:line="360" w:lineRule="auto"/>
        <w:ind w:firstLine="480" w:firstLineChars="200"/>
        <w:rPr>
          <w:rFonts w:ascii="宋体" w:hAnsi="宋体" w:cs="宋体"/>
          <w:sz w:val="24"/>
        </w:rPr>
      </w:pPr>
      <w:r>
        <w:rPr>
          <w:rFonts w:hint="eastAsia" w:ascii="宋体" w:hAnsi="宋体" w:cs="宋体"/>
          <w:sz w:val="24"/>
        </w:rPr>
        <w:t>6.2.1 委托人与咨询人协商一致，可以解除合同。</w:t>
      </w:r>
    </w:p>
    <w:p>
      <w:pPr>
        <w:spacing w:line="360" w:lineRule="auto"/>
        <w:ind w:firstLine="480" w:firstLineChars="200"/>
        <w:rPr>
          <w:rFonts w:ascii="宋体" w:hAnsi="宋体" w:cs="宋体"/>
          <w:sz w:val="24"/>
        </w:rPr>
      </w:pPr>
      <w:r>
        <w:rPr>
          <w:rFonts w:hint="eastAsia" w:ascii="宋体" w:hAnsi="宋体" w:cs="宋体"/>
          <w:sz w:val="24"/>
        </w:rPr>
        <w:t>6.2.2 有下列情形之一的，合同当事人一方或双方可以解除合同：</w:t>
      </w:r>
    </w:p>
    <w:p>
      <w:pPr>
        <w:spacing w:line="360" w:lineRule="auto"/>
        <w:ind w:firstLine="480" w:firstLineChars="200"/>
        <w:rPr>
          <w:rFonts w:ascii="宋体" w:hAnsi="宋体" w:cs="宋体"/>
          <w:sz w:val="24"/>
        </w:rPr>
      </w:pPr>
      <w:r>
        <w:rPr>
          <w:rFonts w:hint="eastAsia" w:ascii="宋体" w:hAnsi="宋体" w:cs="宋体"/>
          <w:sz w:val="24"/>
        </w:rPr>
        <w:t>（1）咨询人将本合同约定的工程造价咨询服务工作全部或部分转包给他人，委托人可以解除合同；</w:t>
      </w:r>
      <w:r>
        <w:rPr>
          <w:rFonts w:hint="eastAsia" w:ascii="宋体" w:hAnsi="宋体" w:cs="宋体"/>
          <w:sz w:val="24"/>
        </w:rPr>
        <w:br w:type="textWrapping"/>
      </w:r>
      <w:r>
        <w:rPr>
          <w:rFonts w:hint="eastAsia" w:ascii="宋体" w:hAnsi="宋体" w:cs="宋体"/>
          <w:sz w:val="24"/>
        </w:rPr>
        <w:t xml:space="preserve">    （2）咨询人提供的造价咨询服务不符合合同约定的要求，经委托人催告仍不能达到合同约定要求的，委托人可以解除合同；</w:t>
      </w:r>
    </w:p>
    <w:p>
      <w:pPr>
        <w:spacing w:line="360" w:lineRule="auto"/>
        <w:ind w:firstLine="480" w:firstLineChars="200"/>
        <w:rPr>
          <w:rFonts w:ascii="宋体" w:hAnsi="宋体" w:cs="宋体"/>
          <w:sz w:val="24"/>
        </w:rPr>
      </w:pPr>
      <w:r>
        <w:rPr>
          <w:rFonts w:hint="eastAsia" w:ascii="宋体" w:hAnsi="宋体" w:cs="宋体"/>
          <w:sz w:val="24"/>
        </w:rPr>
        <w:t>（3）委托人未按合同约定支付服务酬金，经咨询人催告后，在28天内仍未支付的，咨询人可以解除合同；</w:t>
      </w:r>
    </w:p>
    <w:p>
      <w:pPr>
        <w:spacing w:line="360" w:lineRule="auto"/>
        <w:ind w:firstLine="480" w:firstLineChars="200"/>
        <w:rPr>
          <w:rFonts w:ascii="宋体" w:hAnsi="宋体" w:cs="宋体"/>
          <w:sz w:val="24"/>
        </w:rPr>
      </w:pPr>
      <w:r>
        <w:rPr>
          <w:rFonts w:hint="eastAsia" w:ascii="宋体" w:hAnsi="宋体" w:cs="宋体"/>
          <w:sz w:val="24"/>
        </w:rPr>
        <w:t>（4）因不可抗力致使合同无法履行；</w:t>
      </w:r>
    </w:p>
    <w:p>
      <w:pPr>
        <w:spacing w:line="360" w:lineRule="auto"/>
        <w:ind w:firstLine="480" w:firstLineChars="200"/>
        <w:rPr>
          <w:rFonts w:ascii="宋体" w:hAnsi="宋体" w:cs="宋体"/>
          <w:sz w:val="24"/>
        </w:rPr>
      </w:pPr>
      <w:r>
        <w:rPr>
          <w:rFonts w:hint="eastAsia" w:ascii="宋体" w:hAnsi="宋体" w:cs="宋体"/>
          <w:sz w:val="24"/>
        </w:rPr>
        <w:t>（5）因一方违约致使合同无法实际履行或实际履行已无必要。</w:t>
      </w:r>
    </w:p>
    <w:p>
      <w:pPr>
        <w:spacing w:line="360" w:lineRule="auto"/>
        <w:ind w:firstLine="480" w:firstLineChars="200"/>
        <w:rPr>
          <w:rFonts w:ascii="宋体" w:hAnsi="宋体" w:cs="宋体"/>
          <w:sz w:val="24"/>
        </w:rPr>
      </w:pPr>
      <w:r>
        <w:rPr>
          <w:rFonts w:hint="eastAsia" w:ascii="宋体" w:hAnsi="宋体" w:cs="宋体"/>
          <w:sz w:val="24"/>
        </w:rPr>
        <w:t>除上述情形外，双方可以根据委托的服务范围及工作内容，在专用条件中约定解除合同的其他条件。</w:t>
      </w:r>
    </w:p>
    <w:p>
      <w:pPr>
        <w:spacing w:line="360" w:lineRule="auto"/>
        <w:ind w:firstLine="480" w:firstLineChars="200"/>
        <w:rPr>
          <w:rFonts w:ascii="宋体" w:hAnsi="宋体" w:cs="宋体"/>
          <w:sz w:val="24"/>
        </w:rPr>
      </w:pPr>
      <w:r>
        <w:rPr>
          <w:rFonts w:hint="eastAsia" w:ascii="宋体" w:hAnsi="宋体" w:cs="宋体"/>
          <w:sz w:val="24"/>
        </w:rPr>
        <w:t>6.2.3 任何一方提出解除合同的，应提前30天书面通知对方。</w:t>
      </w:r>
    </w:p>
    <w:p>
      <w:pPr>
        <w:spacing w:line="360" w:lineRule="auto"/>
        <w:ind w:firstLine="465"/>
        <w:rPr>
          <w:rFonts w:ascii="宋体" w:hAnsi="宋体" w:cs="宋体"/>
          <w:sz w:val="24"/>
        </w:rPr>
      </w:pPr>
      <w:r>
        <w:rPr>
          <w:rFonts w:hint="eastAsia" w:ascii="宋体" w:hAnsi="宋体" w:cs="宋体"/>
          <w:sz w:val="24"/>
        </w:rPr>
        <w:t>6.2.4合同解除后，委托人应按照合同约定向咨询人支付已完成部分的咨询服务酬金。</w:t>
      </w:r>
    </w:p>
    <w:p>
      <w:pPr>
        <w:spacing w:line="360" w:lineRule="auto"/>
        <w:ind w:firstLine="465"/>
        <w:rPr>
          <w:rFonts w:ascii="宋体" w:hAnsi="宋体" w:cs="宋体"/>
          <w:sz w:val="24"/>
        </w:rPr>
      </w:pPr>
      <w:r>
        <w:rPr>
          <w:rFonts w:hint="eastAsia" w:ascii="宋体" w:hAnsi="宋体" w:cs="宋体"/>
          <w:sz w:val="24"/>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pPr>
        <w:spacing w:line="360" w:lineRule="auto"/>
        <w:ind w:firstLine="480" w:firstLineChars="200"/>
        <w:rPr>
          <w:rFonts w:ascii="宋体" w:hAnsi="宋体" w:cs="宋体"/>
          <w:smallCaps/>
          <w:sz w:val="24"/>
        </w:rPr>
      </w:pPr>
      <w:r>
        <w:rPr>
          <w:rFonts w:hint="eastAsia" w:ascii="宋体" w:hAnsi="宋体" w:cs="宋体"/>
          <w:sz w:val="24"/>
        </w:rPr>
        <w:t>6.2.5本合同解除后，本合同约定的有关结算、争议解决方式的条款仍然有效。</w:t>
      </w:r>
    </w:p>
    <w:p>
      <w:pPr>
        <w:spacing w:line="360" w:lineRule="auto"/>
        <w:ind w:firstLine="480" w:firstLineChars="200"/>
        <w:rPr>
          <w:rFonts w:ascii="宋体" w:hAnsi="宋体" w:cs="宋体"/>
          <w:sz w:val="24"/>
        </w:rPr>
      </w:pPr>
      <w:bookmarkStart w:id="54" w:name="_Toc422322510"/>
      <w:r>
        <w:rPr>
          <w:rStyle w:val="44"/>
          <w:rFonts w:hint="eastAsia" w:ascii="宋体" w:hAnsi="宋体" w:cs="宋体"/>
          <w:b w:val="0"/>
          <w:bCs w:val="0"/>
          <w:sz w:val="24"/>
          <w:szCs w:val="24"/>
        </w:rPr>
        <w:t>6.3 合同终止</w:t>
      </w:r>
      <w:bookmarkEnd w:id="54"/>
      <w:r>
        <w:rPr>
          <w:rFonts w:hint="eastAsia" w:ascii="宋体" w:hAnsi="宋体" w:cs="宋体"/>
          <w:b/>
          <w:smallCaps/>
          <w:sz w:val="24"/>
        </w:rPr>
        <w:br w:type="textWrapping"/>
      </w:r>
      <w:r>
        <w:rPr>
          <w:rFonts w:hint="eastAsia" w:ascii="宋体" w:hAnsi="宋体" w:cs="宋体"/>
          <w:b/>
          <w:smallCaps/>
          <w:sz w:val="24"/>
        </w:rPr>
        <w:t>　　</w:t>
      </w:r>
      <w:r>
        <w:rPr>
          <w:rFonts w:hint="eastAsia" w:ascii="宋体" w:hAnsi="宋体" w:cs="宋体"/>
          <w:smallCaps/>
          <w:sz w:val="24"/>
        </w:rPr>
        <w:t>除合同解除外，以下条</w:t>
      </w:r>
      <w:r>
        <w:rPr>
          <w:rFonts w:hint="eastAsia" w:ascii="宋体" w:hAnsi="宋体" w:cs="宋体"/>
          <w:sz w:val="24"/>
        </w:rPr>
        <w:t>件全部满足时，本合同终止：</w:t>
      </w:r>
      <w:r>
        <w:rPr>
          <w:rFonts w:hint="eastAsia" w:ascii="宋体" w:hAnsi="宋体" w:cs="宋体"/>
          <w:sz w:val="24"/>
        </w:rPr>
        <w:br w:type="textWrapping"/>
      </w:r>
      <w:r>
        <w:rPr>
          <w:rFonts w:hint="eastAsia" w:ascii="宋体" w:hAnsi="宋体" w:cs="宋体"/>
          <w:sz w:val="24"/>
        </w:rPr>
        <w:t>　 （1）咨询人完成本合同约定的全部工作；</w:t>
      </w:r>
      <w:r>
        <w:rPr>
          <w:rFonts w:hint="eastAsia" w:ascii="宋体" w:hAnsi="宋体" w:cs="宋体"/>
          <w:sz w:val="24"/>
        </w:rPr>
        <w:br w:type="textWrapping"/>
      </w:r>
      <w:r>
        <w:rPr>
          <w:rFonts w:hint="eastAsia" w:ascii="宋体" w:hAnsi="宋体" w:cs="宋体"/>
          <w:sz w:val="24"/>
        </w:rPr>
        <w:t>　 （2）委托人与咨询人结清并支付酬金；</w:t>
      </w:r>
    </w:p>
    <w:p>
      <w:pPr>
        <w:spacing w:line="360" w:lineRule="auto"/>
        <w:rPr>
          <w:rFonts w:ascii="宋体" w:hAnsi="宋体" w:cs="宋体"/>
          <w:sz w:val="24"/>
        </w:rPr>
      </w:pPr>
      <w:r>
        <w:rPr>
          <w:rFonts w:hint="eastAsia" w:ascii="宋体" w:hAnsi="宋体" w:cs="宋体"/>
          <w:sz w:val="24"/>
        </w:rPr>
        <w:t xml:space="preserve">   （3）咨询人将委托人提供的资料交还。</w:t>
      </w:r>
    </w:p>
    <w:p>
      <w:pPr>
        <w:spacing w:line="360" w:lineRule="auto"/>
        <w:ind w:firstLine="482" w:firstLineChars="200"/>
        <w:rPr>
          <w:rStyle w:val="43"/>
          <w:rFonts w:ascii="宋体" w:hAnsi="宋体" w:cs="宋体"/>
          <w:bCs w:val="0"/>
          <w:sz w:val="24"/>
          <w:szCs w:val="24"/>
        </w:rPr>
      </w:pPr>
      <w:bookmarkStart w:id="55" w:name="_Toc422322511"/>
      <w:bookmarkStart w:id="56" w:name="_Toc419045091"/>
      <w:r>
        <w:rPr>
          <w:rStyle w:val="43"/>
          <w:rFonts w:hint="eastAsia" w:ascii="宋体" w:hAnsi="宋体" w:cs="宋体"/>
          <w:bCs w:val="0"/>
          <w:sz w:val="24"/>
          <w:szCs w:val="24"/>
        </w:rPr>
        <w:t>7.争议解决</w:t>
      </w:r>
      <w:bookmarkEnd w:id="37"/>
      <w:bookmarkEnd w:id="55"/>
      <w:bookmarkEnd w:id="56"/>
    </w:p>
    <w:p>
      <w:pPr>
        <w:pStyle w:val="42"/>
        <w:spacing w:line="360" w:lineRule="auto"/>
        <w:ind w:firstLine="480" w:firstLineChars="200"/>
        <w:jc w:val="left"/>
        <w:rPr>
          <w:rFonts w:ascii="宋体" w:hAnsi="宋体" w:cs="宋体"/>
          <w:sz w:val="24"/>
          <w:szCs w:val="24"/>
        </w:rPr>
      </w:pPr>
      <w:bookmarkStart w:id="57" w:name="_Toc419045092"/>
      <w:bookmarkStart w:id="58" w:name="_Toc422322512"/>
      <w:r>
        <w:rPr>
          <w:rStyle w:val="44"/>
          <w:rFonts w:hint="eastAsia" w:ascii="宋体" w:hAnsi="宋体" w:cs="宋体"/>
          <w:b w:val="0"/>
          <w:bCs w:val="0"/>
          <w:smallCaps/>
          <w:sz w:val="24"/>
          <w:szCs w:val="24"/>
        </w:rPr>
        <w:t>7.1协商</w:t>
      </w:r>
      <w:bookmarkEnd w:id="57"/>
      <w:bookmarkEnd w:id="58"/>
      <w:r>
        <w:rPr>
          <w:rFonts w:hint="eastAsia" w:ascii="宋体" w:hAnsi="宋体" w:cs="宋体"/>
          <w:sz w:val="24"/>
          <w:szCs w:val="24"/>
        </w:rPr>
        <w:br w:type="textWrapping"/>
      </w:r>
      <w:r>
        <w:rPr>
          <w:rFonts w:hint="eastAsia" w:ascii="宋体" w:hAnsi="宋体" w:cs="宋体"/>
          <w:sz w:val="24"/>
          <w:szCs w:val="24"/>
        </w:rPr>
        <w:t>　　双方应本着诚实信用的原则协商解决本合同履行过程中发生的争议。</w:t>
      </w:r>
      <w:bookmarkStart w:id="59" w:name="37"/>
    </w:p>
    <w:p>
      <w:pPr>
        <w:pStyle w:val="42"/>
        <w:spacing w:line="360" w:lineRule="auto"/>
        <w:ind w:firstLine="480" w:firstLineChars="200"/>
        <w:jc w:val="left"/>
        <w:rPr>
          <w:rFonts w:ascii="宋体" w:hAnsi="宋体" w:cs="宋体"/>
          <w:b/>
          <w:sz w:val="24"/>
          <w:szCs w:val="24"/>
        </w:rPr>
      </w:pPr>
      <w:bookmarkStart w:id="60" w:name="_Toc422322513"/>
      <w:bookmarkStart w:id="61" w:name="_Toc419045093"/>
      <w:r>
        <w:rPr>
          <w:rStyle w:val="44"/>
          <w:rFonts w:hint="eastAsia" w:ascii="宋体" w:hAnsi="宋体" w:cs="宋体"/>
          <w:b w:val="0"/>
          <w:bCs w:val="0"/>
          <w:smallCaps/>
          <w:sz w:val="24"/>
          <w:szCs w:val="24"/>
        </w:rPr>
        <w:t>7.2</w:t>
      </w:r>
      <w:bookmarkEnd w:id="59"/>
      <w:r>
        <w:rPr>
          <w:rStyle w:val="44"/>
          <w:rFonts w:hint="eastAsia" w:ascii="宋体" w:hAnsi="宋体" w:cs="宋体"/>
          <w:b w:val="0"/>
          <w:bCs w:val="0"/>
          <w:smallCaps/>
          <w:sz w:val="24"/>
          <w:szCs w:val="24"/>
        </w:rPr>
        <w:t>调解</w:t>
      </w:r>
      <w:bookmarkEnd w:id="60"/>
      <w:bookmarkEnd w:id="61"/>
      <w:r>
        <w:rPr>
          <w:rFonts w:hint="eastAsia" w:ascii="宋体" w:hAnsi="宋体" w:cs="宋体"/>
          <w:sz w:val="24"/>
          <w:szCs w:val="24"/>
        </w:rPr>
        <w:br w:type="textWrapping"/>
      </w:r>
      <w:r>
        <w:rPr>
          <w:rFonts w:hint="eastAsia" w:ascii="宋体" w:hAnsi="宋体" w:cs="宋体"/>
          <w:sz w:val="24"/>
          <w:szCs w:val="24"/>
        </w:rPr>
        <w:t>　　如果双方不能在14日内或双方商定的其他时间内解决本合同争议，可以将其提交给专用条件约定的或事后达成协议的调解人进行调解。</w:t>
      </w:r>
    </w:p>
    <w:p>
      <w:pPr>
        <w:spacing w:line="360" w:lineRule="auto"/>
        <w:ind w:firstLine="480" w:firstLineChars="200"/>
        <w:rPr>
          <w:rFonts w:ascii="宋体" w:hAnsi="宋体" w:cs="宋体"/>
          <w:sz w:val="24"/>
        </w:rPr>
      </w:pPr>
      <w:bookmarkStart w:id="62" w:name="38"/>
      <w:bookmarkStart w:id="63" w:name="_Toc422322514"/>
      <w:bookmarkStart w:id="64" w:name="_Toc419045094"/>
      <w:r>
        <w:rPr>
          <w:rStyle w:val="44"/>
          <w:rFonts w:hint="eastAsia" w:ascii="宋体" w:hAnsi="宋体" w:cs="宋体"/>
          <w:b w:val="0"/>
          <w:bCs w:val="0"/>
          <w:smallCaps/>
          <w:sz w:val="24"/>
          <w:szCs w:val="24"/>
        </w:rPr>
        <w:t>7.</w:t>
      </w:r>
      <w:bookmarkEnd w:id="62"/>
      <w:r>
        <w:rPr>
          <w:rStyle w:val="44"/>
          <w:rFonts w:hint="eastAsia" w:ascii="宋体" w:hAnsi="宋体" w:cs="宋体"/>
          <w:b w:val="0"/>
          <w:bCs w:val="0"/>
          <w:smallCaps/>
          <w:sz w:val="24"/>
          <w:szCs w:val="24"/>
        </w:rPr>
        <w:t>3仲裁或诉讼</w:t>
      </w:r>
      <w:bookmarkEnd w:id="63"/>
      <w:bookmarkEnd w:id="64"/>
      <w:r>
        <w:rPr>
          <w:rFonts w:hint="eastAsia" w:ascii="宋体" w:hAnsi="宋体" w:cs="宋体"/>
          <w:sz w:val="24"/>
        </w:rPr>
        <w:br w:type="textWrapping"/>
      </w:r>
      <w:r>
        <w:rPr>
          <w:rFonts w:hint="eastAsia" w:ascii="宋体" w:hAnsi="宋体" w:cs="宋体"/>
          <w:sz w:val="24"/>
        </w:rPr>
        <w:t>　　双方均有权不经调解直接向专用条件约定的仲裁机构申请仲裁或向有管辖权的人民法院提起诉讼。</w:t>
      </w:r>
    </w:p>
    <w:p>
      <w:pPr>
        <w:spacing w:line="360" w:lineRule="auto"/>
        <w:ind w:firstLine="482" w:firstLineChars="200"/>
        <w:rPr>
          <w:rStyle w:val="43"/>
          <w:rFonts w:ascii="宋体" w:hAnsi="宋体" w:cs="宋体"/>
          <w:sz w:val="24"/>
          <w:szCs w:val="24"/>
        </w:rPr>
      </w:pPr>
      <w:bookmarkStart w:id="65" w:name="_Toc419045095"/>
      <w:bookmarkStart w:id="66" w:name="_Toc422322515"/>
      <w:r>
        <w:rPr>
          <w:rStyle w:val="43"/>
          <w:rFonts w:hint="eastAsia" w:ascii="宋体" w:hAnsi="宋体" w:cs="宋体"/>
          <w:sz w:val="24"/>
          <w:szCs w:val="24"/>
        </w:rPr>
        <w:t>8.其他</w:t>
      </w:r>
      <w:bookmarkEnd w:id="65"/>
      <w:bookmarkEnd w:id="66"/>
    </w:p>
    <w:p>
      <w:pPr>
        <w:pStyle w:val="15"/>
        <w:spacing w:before="60" w:line="360" w:lineRule="auto"/>
        <w:ind w:firstLine="480" w:firstLineChars="200"/>
        <w:jc w:val="left"/>
        <w:rPr>
          <w:rFonts w:ascii="宋体" w:hAnsi="宋体" w:cs="宋体"/>
          <w:b w:val="0"/>
          <w:sz w:val="24"/>
          <w:szCs w:val="24"/>
        </w:rPr>
      </w:pPr>
      <w:bookmarkStart w:id="67" w:name="39"/>
      <w:bookmarkStart w:id="68" w:name="_Toc422322516"/>
      <w:bookmarkStart w:id="69" w:name="_Toc419045096"/>
      <w:r>
        <w:rPr>
          <w:rFonts w:hint="eastAsia" w:ascii="宋体" w:hAnsi="宋体" w:cs="宋体"/>
          <w:b w:val="0"/>
          <w:smallCaps/>
          <w:sz w:val="24"/>
          <w:szCs w:val="24"/>
        </w:rPr>
        <w:t>8.1</w:t>
      </w:r>
      <w:bookmarkEnd w:id="67"/>
      <w:r>
        <w:rPr>
          <w:rFonts w:hint="eastAsia" w:ascii="宋体" w:hAnsi="宋体" w:cs="宋体"/>
          <w:b w:val="0"/>
          <w:sz w:val="24"/>
          <w:szCs w:val="24"/>
        </w:rPr>
        <w:t>考察及相关费用</w:t>
      </w:r>
      <w:bookmarkEnd w:id="68"/>
      <w:bookmarkEnd w:id="69"/>
    </w:p>
    <w:p>
      <w:pPr>
        <w:spacing w:line="360" w:lineRule="auto"/>
        <w:ind w:firstLine="480" w:firstLineChars="200"/>
        <w:rPr>
          <w:rStyle w:val="44"/>
          <w:rFonts w:ascii="宋体" w:hAnsi="宋体" w:cs="宋体"/>
          <w:b w:val="0"/>
          <w:bCs w:val="0"/>
          <w:sz w:val="24"/>
          <w:szCs w:val="24"/>
        </w:rPr>
      </w:pPr>
      <w:r>
        <w:rPr>
          <w:rFonts w:hint="eastAsia" w:ascii="宋体" w:hAnsi="宋体" w:cs="宋体"/>
          <w:sz w:val="24"/>
        </w:rPr>
        <w:t>除专用条件另有约定外，咨询人经委托人同意进行考察发生的费用由委托人审核后另行支付。差旅费及相关费用的承担由双方在专用条件中约定。</w:t>
      </w:r>
    </w:p>
    <w:p>
      <w:pPr>
        <w:pStyle w:val="15"/>
        <w:spacing w:before="60" w:line="360" w:lineRule="auto"/>
        <w:ind w:firstLine="480" w:firstLineChars="200"/>
        <w:jc w:val="left"/>
        <w:rPr>
          <w:rFonts w:ascii="宋体" w:hAnsi="宋体" w:cs="宋体"/>
          <w:b w:val="0"/>
          <w:sz w:val="24"/>
          <w:szCs w:val="24"/>
        </w:rPr>
      </w:pPr>
      <w:bookmarkStart w:id="70" w:name="_Toc422322517"/>
      <w:r>
        <w:rPr>
          <w:rFonts w:hint="eastAsia" w:ascii="宋体" w:hAnsi="宋体" w:cs="宋体"/>
          <w:b w:val="0"/>
          <w:sz w:val="24"/>
          <w:szCs w:val="24"/>
        </w:rPr>
        <w:t>8.2奖励</w:t>
      </w:r>
      <w:bookmarkEnd w:id="70"/>
    </w:p>
    <w:p>
      <w:pPr>
        <w:spacing w:line="360" w:lineRule="auto"/>
        <w:ind w:firstLine="480" w:firstLineChars="200"/>
        <w:rPr>
          <w:rStyle w:val="44"/>
          <w:rFonts w:ascii="宋体" w:hAnsi="宋体" w:cs="宋体"/>
          <w:b w:val="0"/>
          <w:bCs w:val="0"/>
          <w:sz w:val="24"/>
          <w:szCs w:val="24"/>
        </w:rPr>
      </w:pPr>
      <w:r>
        <w:rPr>
          <w:rFonts w:hint="eastAsia" w:ascii="宋体" w:hAnsi="宋体" w:cs="宋体"/>
          <w:sz w:val="24"/>
        </w:rPr>
        <w:t>对于咨询人在服务过程中提出合理化建议，使委托人获得效益的，双方在专用条件中约定奖励金额的确定方法。奖励金额在合理化建议被采纳后，与最近一期的正常工作酬金同期支付。</w:t>
      </w:r>
    </w:p>
    <w:p>
      <w:pPr>
        <w:pStyle w:val="15"/>
        <w:spacing w:before="60" w:line="360" w:lineRule="auto"/>
        <w:ind w:firstLine="480" w:firstLineChars="200"/>
        <w:jc w:val="left"/>
        <w:rPr>
          <w:rFonts w:ascii="宋体" w:hAnsi="宋体" w:cs="宋体"/>
          <w:b w:val="0"/>
          <w:sz w:val="24"/>
          <w:szCs w:val="24"/>
        </w:rPr>
      </w:pPr>
      <w:bookmarkStart w:id="71" w:name="_Toc422322518"/>
      <w:r>
        <w:rPr>
          <w:rFonts w:hint="eastAsia" w:ascii="宋体" w:hAnsi="宋体" w:cs="宋体"/>
          <w:b w:val="0"/>
          <w:sz w:val="24"/>
          <w:szCs w:val="24"/>
        </w:rPr>
        <w:t>8.3保密</w:t>
      </w:r>
      <w:bookmarkEnd w:id="71"/>
    </w:p>
    <w:p>
      <w:pPr>
        <w:spacing w:line="360" w:lineRule="auto"/>
        <w:ind w:firstLine="480" w:firstLineChars="200"/>
        <w:rPr>
          <w:rFonts w:ascii="宋体" w:hAnsi="宋体" w:cs="宋体"/>
          <w:sz w:val="24"/>
        </w:rPr>
      </w:pPr>
      <w:r>
        <w:rPr>
          <w:rFonts w:hint="eastAsia" w:ascii="宋体" w:hAnsi="宋体" w:cs="宋体"/>
          <w:sz w:val="24"/>
        </w:rPr>
        <w:t>在本合同履行期间或专用条件约定的期限内，双方不得泄露对方申明的保密资料，亦不得泄露与实施工程有关的第三人所提供的保密资料。保密事项在专用条件中约定。</w:t>
      </w:r>
    </w:p>
    <w:p>
      <w:pPr>
        <w:spacing w:line="360" w:lineRule="auto"/>
        <w:rPr>
          <w:rFonts w:ascii="宋体" w:hAnsi="宋体" w:cs="宋体"/>
          <w:b/>
          <w:sz w:val="24"/>
        </w:rPr>
      </w:pPr>
      <w:r>
        <w:rPr>
          <w:rFonts w:hint="eastAsia" w:ascii="宋体" w:hAnsi="宋体" w:cs="宋体"/>
          <w:smallCaps/>
          <w:sz w:val="24"/>
        </w:rPr>
        <w:t xml:space="preserve">　　 </w:t>
      </w:r>
      <w:bookmarkStart w:id="72" w:name="_Toc419045097"/>
      <w:bookmarkStart w:id="73" w:name="_Toc422322519"/>
      <w:r>
        <w:rPr>
          <w:rStyle w:val="44"/>
          <w:rFonts w:hint="eastAsia" w:ascii="宋体" w:hAnsi="宋体" w:cs="宋体"/>
          <w:b w:val="0"/>
          <w:bCs w:val="0"/>
          <w:sz w:val="24"/>
          <w:szCs w:val="24"/>
        </w:rPr>
        <w:t>8.4</w:t>
      </w:r>
      <w:bookmarkEnd w:id="72"/>
      <w:r>
        <w:rPr>
          <w:rStyle w:val="44"/>
          <w:rFonts w:hint="eastAsia" w:ascii="宋体" w:hAnsi="宋体" w:cs="宋体"/>
          <w:b w:val="0"/>
          <w:bCs w:val="0"/>
          <w:sz w:val="24"/>
          <w:szCs w:val="24"/>
        </w:rPr>
        <w:t>联络</w:t>
      </w:r>
      <w:bookmarkEnd w:id="73"/>
    </w:p>
    <w:p>
      <w:pPr>
        <w:spacing w:line="360" w:lineRule="auto"/>
        <w:ind w:firstLine="480" w:firstLineChars="200"/>
        <w:rPr>
          <w:rFonts w:ascii="宋体" w:hAnsi="宋体" w:cs="宋体"/>
          <w:sz w:val="24"/>
        </w:rPr>
      </w:pPr>
      <w:r>
        <w:rPr>
          <w:rFonts w:hint="eastAsia" w:ascii="宋体" w:hAnsi="宋体" w:cs="宋体"/>
          <w:sz w:val="24"/>
        </w:rPr>
        <w:t>8.4.1与合同有关的通知、指示、要求、决定等，均应采用书面形式，并应在专用条件约定的期限内送达接收人和送达地点。</w:t>
      </w:r>
    </w:p>
    <w:p>
      <w:pPr>
        <w:spacing w:line="360" w:lineRule="auto"/>
        <w:ind w:firstLine="480" w:firstLineChars="200"/>
        <w:rPr>
          <w:rFonts w:ascii="宋体" w:hAnsi="宋体" w:cs="宋体"/>
          <w:sz w:val="24"/>
        </w:rPr>
      </w:pPr>
      <w:r>
        <w:rPr>
          <w:rFonts w:hint="eastAsia" w:ascii="宋体" w:hAnsi="宋体" w:cs="宋体"/>
          <w:sz w:val="24"/>
        </w:rPr>
        <w:t>8.4.2委托人和咨询人应在专用条件中约定各自的送达接收人、送达地点、电子邮箱。任何一方指定的接收人或送达地点或电子邮箱发生变动的，应提前3天以书面形式通知对方，否则视为未发生变动。</w:t>
      </w:r>
    </w:p>
    <w:p>
      <w:pPr>
        <w:tabs>
          <w:tab w:val="left" w:pos="5085"/>
        </w:tabs>
        <w:spacing w:line="360" w:lineRule="auto"/>
        <w:ind w:firstLine="480" w:firstLineChars="200"/>
        <w:rPr>
          <w:rStyle w:val="44"/>
          <w:rFonts w:ascii="宋体" w:hAnsi="宋体" w:cs="宋体"/>
          <w:b w:val="0"/>
          <w:bCs w:val="0"/>
          <w:kern w:val="0"/>
          <w:sz w:val="24"/>
          <w:szCs w:val="24"/>
        </w:rPr>
      </w:pPr>
      <w:r>
        <w:rPr>
          <w:rFonts w:hint="eastAsia" w:ascii="宋体" w:hAnsi="宋体" w:cs="宋体"/>
          <w:sz w:val="24"/>
        </w:rPr>
        <w:t>8.4.3委托人和咨询人应当及时签收另一方送达至送达地点和指定接收人的往来函件，如确有充分证据证明一方无正当理由拒不签收的，视为认可往来函件的内容。</w:t>
      </w:r>
    </w:p>
    <w:p>
      <w:pPr>
        <w:pStyle w:val="15"/>
        <w:spacing w:before="60" w:line="360" w:lineRule="auto"/>
        <w:ind w:firstLine="480" w:firstLineChars="200"/>
        <w:jc w:val="left"/>
        <w:rPr>
          <w:rFonts w:ascii="宋体" w:hAnsi="宋体" w:cs="宋体"/>
          <w:b w:val="0"/>
          <w:sz w:val="24"/>
          <w:szCs w:val="24"/>
        </w:rPr>
      </w:pPr>
      <w:bookmarkStart w:id="74" w:name="_Toc422322520"/>
      <w:r>
        <w:rPr>
          <w:rFonts w:hint="eastAsia" w:ascii="宋体" w:hAnsi="宋体" w:cs="宋体"/>
          <w:b w:val="0"/>
          <w:sz w:val="24"/>
          <w:szCs w:val="24"/>
        </w:rPr>
        <w:t>8.5知识产权</w:t>
      </w:r>
      <w:bookmarkEnd w:id="74"/>
    </w:p>
    <w:p>
      <w:pPr>
        <w:spacing w:line="360" w:lineRule="auto"/>
        <w:ind w:firstLine="480" w:firstLineChars="200"/>
        <w:rPr>
          <w:rFonts w:ascii="宋体" w:hAnsi="宋体" w:cs="宋体"/>
          <w:sz w:val="24"/>
        </w:rPr>
      </w:pPr>
      <w:r>
        <w:rPr>
          <w:rFonts w:hint="eastAsia" w:ascii="宋体" w:hAnsi="宋体" w:cs="宋体"/>
          <w:sz w:val="24"/>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pPr>
        <w:spacing w:line="360" w:lineRule="auto"/>
        <w:ind w:firstLine="480" w:firstLineChars="200"/>
        <w:rPr>
          <w:rFonts w:ascii="宋体" w:hAnsi="宋体" w:cs="宋体"/>
          <w:sz w:val="24"/>
        </w:rPr>
      </w:pPr>
      <w:r>
        <w:rPr>
          <w:rFonts w:hint="eastAsia" w:ascii="宋体" w:hAnsi="宋体" w:cs="宋体"/>
          <w:sz w:val="24"/>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双方保证在履行本合同过程中不侵犯对方及第三方的知识产权。因咨询人侵犯他人知识产权所引起的责任，由咨询人承担；因委托人提供的基础资料导致侵权的，由委托人承担责任。</w:t>
      </w:r>
    </w:p>
    <w:p>
      <w:pPr>
        <w:spacing w:line="360" w:lineRule="auto"/>
        <w:ind w:firstLine="480" w:firstLineChars="200"/>
        <w:rPr>
          <w:rFonts w:ascii="宋体" w:hAnsi="宋体" w:cs="宋体"/>
          <w:sz w:val="24"/>
        </w:rPr>
      </w:pPr>
      <w:r>
        <w:rPr>
          <w:rFonts w:hint="eastAsia" w:ascii="宋体" w:hAnsi="宋体" w:cs="宋体"/>
          <w:sz w:val="24"/>
        </w:rPr>
        <w:t>除专用条件另有约定外，双方均有权在履行本合同保密义务并且不损害对方利益的情况下，将履行本合同形成的有关成果文件用于企业宣传、申报奖项以及接受上级主管部门的检查。</w:t>
      </w:r>
    </w:p>
    <w:p>
      <w:pPr>
        <w:pStyle w:val="9"/>
        <w:spacing w:line="420" w:lineRule="exact"/>
        <w:ind w:firstLine="0"/>
        <w:rPr>
          <w:rFonts w:ascii="Times New Roman" w:hAnsi="Times New Roman"/>
        </w:rPr>
      </w:pPr>
    </w:p>
    <w:p>
      <w:pPr>
        <w:pStyle w:val="9"/>
        <w:spacing w:line="420" w:lineRule="exact"/>
        <w:ind w:firstLine="0"/>
        <w:rPr>
          <w:rFonts w:ascii="Times New Roman" w:hAnsi="Times New Roman"/>
        </w:rPr>
      </w:pPr>
    </w:p>
    <w:p>
      <w:pPr>
        <w:pStyle w:val="9"/>
        <w:spacing w:line="420" w:lineRule="exact"/>
        <w:ind w:firstLine="0"/>
        <w:rPr>
          <w:rFonts w:ascii="Times New Roman" w:hAnsi="Times New Roman"/>
        </w:rPr>
      </w:pPr>
    </w:p>
    <w:p>
      <w:pPr>
        <w:pStyle w:val="9"/>
        <w:spacing w:line="420" w:lineRule="exact"/>
        <w:ind w:firstLine="0"/>
        <w:rPr>
          <w:rFonts w:ascii="Times New Roman" w:hAnsi="Times New Roman"/>
        </w:rPr>
      </w:pPr>
    </w:p>
    <w:p>
      <w:pPr>
        <w:spacing w:line="420" w:lineRule="exact"/>
        <w:jc w:val="center"/>
        <w:rPr>
          <w:b/>
          <w:bCs w:val="0"/>
          <w:sz w:val="32"/>
          <w:szCs w:val="32"/>
        </w:rPr>
      </w:pPr>
    </w:p>
    <w:p>
      <w:pPr>
        <w:spacing w:line="420" w:lineRule="exact"/>
        <w:jc w:val="center"/>
        <w:rPr>
          <w:b/>
          <w:bCs w:val="0"/>
          <w:sz w:val="36"/>
          <w:szCs w:val="36"/>
        </w:rPr>
      </w:pPr>
      <w:r>
        <w:rPr>
          <w:b/>
          <w:bCs w:val="0"/>
          <w:sz w:val="32"/>
          <w:szCs w:val="32"/>
        </w:rPr>
        <w:br w:type="page"/>
      </w:r>
      <w:r>
        <w:rPr>
          <w:b/>
          <w:bCs w:val="0"/>
          <w:sz w:val="36"/>
          <w:szCs w:val="36"/>
        </w:rPr>
        <w:t>第三部分　建设工程造价咨询合同专用条件</w:t>
      </w:r>
    </w:p>
    <w:p>
      <w:pPr>
        <w:spacing w:line="420" w:lineRule="exact"/>
        <w:jc w:val="center"/>
        <w:rPr>
          <w:b/>
          <w:bCs w:val="0"/>
          <w:sz w:val="32"/>
        </w:rPr>
      </w:pPr>
    </w:p>
    <w:p>
      <w:pPr>
        <w:spacing w:line="360" w:lineRule="auto"/>
        <w:ind w:firstLine="482" w:firstLineChars="200"/>
        <w:rPr>
          <w:rFonts w:ascii="宋体" w:hAnsi="宋体" w:cs="宋体"/>
          <w:b/>
          <w:bCs w:val="0"/>
          <w:sz w:val="24"/>
          <w:u w:val="single"/>
        </w:rPr>
      </w:pPr>
      <w:r>
        <w:rPr>
          <w:rFonts w:hint="eastAsia" w:ascii="宋体" w:hAnsi="宋体" w:cs="宋体"/>
          <w:b/>
          <w:bCs w:val="0"/>
          <w:sz w:val="24"/>
        </w:rPr>
        <w:t>1.4</w:t>
      </w:r>
      <w:r>
        <w:rPr>
          <w:rFonts w:hint="eastAsia" w:ascii="宋体" w:hAnsi="宋体" w:cs="宋体"/>
          <w:sz w:val="24"/>
        </w:rPr>
        <w:t>　本合同适用的法律、法规及工程造价计价办法和规定：</w:t>
      </w:r>
      <w:r>
        <w:rPr>
          <w:rFonts w:hint="eastAsia" w:ascii="宋体" w:hAnsi="宋体" w:cs="宋体"/>
          <w:b/>
          <w:bCs w:val="0"/>
          <w:sz w:val="24"/>
          <w:u w:val="single"/>
        </w:rPr>
        <w:t>执行现行适用的《建设工程工程量清单计价规范》、《工程造价咨询业务操作指导规程》及《工程造价咨询单位执业行为准则》。</w:t>
      </w:r>
    </w:p>
    <w:p>
      <w:pPr>
        <w:spacing w:line="360" w:lineRule="auto"/>
        <w:ind w:firstLine="482" w:firstLineChars="200"/>
        <w:rPr>
          <w:rFonts w:ascii="宋体" w:hAnsi="宋体" w:cs="宋体"/>
          <w:sz w:val="24"/>
          <w:u w:val="single"/>
        </w:rPr>
      </w:pPr>
      <w:r>
        <w:rPr>
          <w:rFonts w:hint="eastAsia" w:ascii="宋体" w:hAnsi="宋体" w:cs="宋体"/>
          <w:b/>
          <w:bCs w:val="0"/>
          <w:sz w:val="24"/>
        </w:rPr>
        <w:t>2.1</w:t>
      </w:r>
      <w:r>
        <w:rPr>
          <w:rFonts w:hint="eastAsia" w:ascii="宋体" w:hAnsi="宋体" w:cs="宋体"/>
          <w:sz w:val="24"/>
        </w:rPr>
        <w:t>　双方约定的甲方应提供的建设工程造价咨询材料：</w:t>
      </w:r>
      <w:r>
        <w:rPr>
          <w:rFonts w:hint="eastAsia" w:ascii="宋体" w:hAnsi="宋体" w:cs="宋体"/>
          <w:b/>
          <w:sz w:val="24"/>
          <w:u w:val="single"/>
        </w:rPr>
        <w:t>甲方必须提供有关图纸或图纸电子版一份</w:t>
      </w:r>
      <w:r>
        <w:rPr>
          <w:rFonts w:hint="eastAsia" w:ascii="宋体" w:hAnsi="宋体" w:cs="宋体"/>
          <w:sz w:val="24"/>
          <w:u w:val="single"/>
        </w:rPr>
        <w:t xml:space="preserve">。 </w:t>
      </w:r>
    </w:p>
    <w:p>
      <w:pPr>
        <w:spacing w:line="360" w:lineRule="auto"/>
        <w:ind w:firstLine="482" w:firstLineChars="200"/>
        <w:outlineLvl w:val="0"/>
        <w:rPr>
          <w:rFonts w:ascii="宋体" w:hAnsi="宋体" w:cs="宋体"/>
          <w:b/>
          <w:bCs w:val="0"/>
          <w:sz w:val="24"/>
          <w:u w:val="single"/>
        </w:rPr>
      </w:pPr>
      <w:r>
        <w:rPr>
          <w:rFonts w:hint="eastAsia" w:ascii="宋体" w:hAnsi="宋体" w:cs="宋体"/>
          <w:b/>
          <w:bCs w:val="0"/>
          <w:sz w:val="24"/>
        </w:rPr>
        <w:t>2.5</w:t>
      </w:r>
      <w:r>
        <w:rPr>
          <w:rFonts w:hint="eastAsia" w:ascii="宋体" w:hAnsi="宋体" w:cs="宋体"/>
          <w:sz w:val="24"/>
        </w:rPr>
        <w:t>　甲方应在</w:t>
      </w:r>
      <w:r>
        <w:rPr>
          <w:rFonts w:hint="eastAsia" w:ascii="宋体" w:hAnsi="宋体" w:cs="宋体"/>
          <w:b/>
          <w:sz w:val="24"/>
          <w:u w:val="single"/>
        </w:rPr>
        <w:t xml:space="preserve">  5  </w:t>
      </w:r>
      <w:r>
        <w:rPr>
          <w:rFonts w:hint="eastAsia" w:ascii="宋体" w:hAnsi="宋体" w:cs="宋体"/>
          <w:sz w:val="24"/>
        </w:rPr>
        <w:t>日内对乙方书面提交并要求做出答复的事宜做出书面答复。</w:t>
      </w:r>
    </w:p>
    <w:p>
      <w:pPr>
        <w:spacing w:line="360" w:lineRule="auto"/>
        <w:ind w:firstLine="482" w:firstLineChars="200"/>
        <w:rPr>
          <w:rFonts w:ascii="宋体" w:hAnsi="宋体" w:cs="宋体"/>
          <w:sz w:val="24"/>
        </w:rPr>
      </w:pPr>
      <w:r>
        <w:rPr>
          <w:rFonts w:hint="eastAsia" w:ascii="宋体" w:hAnsi="宋体" w:cs="宋体"/>
          <w:b/>
          <w:bCs w:val="0"/>
          <w:sz w:val="24"/>
        </w:rPr>
        <w:t>3.2.1</w:t>
      </w:r>
      <w:r>
        <w:rPr>
          <w:rFonts w:hint="eastAsia" w:ascii="宋体" w:hAnsi="宋体" w:cs="宋体"/>
          <w:sz w:val="24"/>
        </w:rPr>
        <w:t>　建设工程造价咨询业务范围：</w:t>
      </w:r>
      <w:r>
        <w:rPr>
          <w:rFonts w:hint="eastAsia" w:ascii="宋体" w:hAnsi="宋体" w:cs="宋体"/>
          <w:b/>
          <w:bCs w:val="0"/>
          <w:sz w:val="24"/>
          <w:u w:val="single"/>
        </w:rPr>
        <w:t>A类、B类、C类、D类</w:t>
      </w:r>
      <w:r>
        <w:rPr>
          <w:rFonts w:hint="eastAsia" w:ascii="宋体" w:hAnsi="宋体" w:cs="宋体"/>
          <w:sz w:val="24"/>
        </w:rPr>
        <w:t>建设工程造价咨询业务是指以下服务类别的咨询业务：</w:t>
      </w:r>
    </w:p>
    <w:p>
      <w:pPr>
        <w:spacing w:line="360" w:lineRule="auto"/>
        <w:ind w:firstLine="480" w:firstLineChars="200"/>
        <w:rPr>
          <w:rFonts w:ascii="宋体" w:hAnsi="宋体" w:cs="宋体"/>
          <w:sz w:val="24"/>
        </w:rPr>
      </w:pPr>
      <w:r>
        <w:rPr>
          <w:rFonts w:hint="eastAsia" w:ascii="宋体" w:hAnsi="宋体" w:cs="宋体"/>
          <w:sz w:val="24"/>
        </w:rPr>
        <w:t>（A类）建设工程概算、预算、结算、竣工结（决）算的编制、审核；</w:t>
      </w:r>
    </w:p>
    <w:p>
      <w:pPr>
        <w:spacing w:line="360" w:lineRule="auto"/>
        <w:ind w:firstLine="480" w:firstLineChars="200"/>
        <w:rPr>
          <w:rFonts w:ascii="宋体" w:hAnsi="宋体" w:cs="宋体"/>
          <w:sz w:val="24"/>
        </w:rPr>
      </w:pPr>
      <w:r>
        <w:rPr>
          <w:rFonts w:hint="eastAsia" w:ascii="宋体" w:hAnsi="宋体" w:cs="宋体"/>
          <w:sz w:val="24"/>
        </w:rPr>
        <w:t>（B类）建设工程招标控制价、工程量清单的编制、审核、造价站备案工作；</w:t>
      </w:r>
    </w:p>
    <w:p>
      <w:pPr>
        <w:spacing w:line="360" w:lineRule="auto"/>
        <w:ind w:firstLine="480" w:firstLineChars="200"/>
        <w:rPr>
          <w:rFonts w:ascii="宋体" w:hAnsi="宋体" w:cs="宋体"/>
          <w:sz w:val="24"/>
        </w:rPr>
      </w:pPr>
      <w:r>
        <w:rPr>
          <w:rFonts w:hint="eastAsia" w:ascii="宋体" w:hAnsi="宋体" w:cs="宋体"/>
          <w:sz w:val="24"/>
        </w:rPr>
        <w:t>（C类）工程洽商、变更及合同争议的鉴定与索赔；</w:t>
      </w:r>
    </w:p>
    <w:p>
      <w:pPr>
        <w:spacing w:line="360" w:lineRule="auto"/>
        <w:ind w:firstLine="480" w:firstLineChars="200"/>
        <w:rPr>
          <w:rFonts w:ascii="宋体" w:hAnsi="宋体" w:cs="宋体"/>
          <w:sz w:val="24"/>
        </w:rPr>
      </w:pPr>
      <w:r>
        <w:rPr>
          <w:rFonts w:hint="eastAsia" w:ascii="宋体" w:hAnsi="宋体" w:cs="宋体"/>
          <w:sz w:val="24"/>
        </w:rPr>
        <w:t>（D类）编制工程造价计价依据及对工程造价进行监控和提供有关工程造价信息资料等。</w:t>
      </w:r>
    </w:p>
    <w:p>
      <w:pPr>
        <w:spacing w:line="360" w:lineRule="auto"/>
        <w:ind w:firstLine="405"/>
        <w:rPr>
          <w:rFonts w:ascii="宋体" w:hAnsi="宋体" w:cs="宋体"/>
          <w:b/>
          <w:bCs w:val="0"/>
          <w:sz w:val="24"/>
        </w:rPr>
      </w:pPr>
      <w:r>
        <w:rPr>
          <w:rFonts w:hint="eastAsia" w:ascii="宋体" w:hAnsi="宋体" w:cs="宋体"/>
          <w:b/>
          <w:bCs w:val="0"/>
          <w:sz w:val="24"/>
        </w:rPr>
        <w:t>4.2 乙方的违约责任</w:t>
      </w:r>
    </w:p>
    <w:p>
      <w:pPr>
        <w:topLinePunct/>
        <w:adjustRightInd w:val="0"/>
        <w:snapToGrid w:val="0"/>
        <w:spacing w:line="360" w:lineRule="auto"/>
        <w:ind w:firstLine="480" w:firstLineChars="200"/>
        <w:rPr>
          <w:rFonts w:ascii="宋体" w:hAnsi="宋体" w:cs="宋体"/>
          <w:sz w:val="24"/>
        </w:rPr>
      </w:pPr>
      <w:r>
        <w:rPr>
          <w:rFonts w:hint="eastAsia" w:ascii="宋体" w:hAnsi="宋体" w:cs="宋体"/>
          <w:sz w:val="24"/>
        </w:rPr>
        <w:t>4.2.1  乙方违反本合同的约定，应当按约定向甲方承担相应的违约责任，承担违约责任方式包括但不限于：</w:t>
      </w:r>
    </w:p>
    <w:p>
      <w:pPr>
        <w:topLinePunct/>
        <w:adjustRightInd w:val="0"/>
        <w:snapToGrid w:val="0"/>
        <w:spacing w:line="360" w:lineRule="auto"/>
        <w:ind w:firstLine="480" w:firstLineChars="200"/>
        <w:rPr>
          <w:rFonts w:ascii="宋体" w:hAnsi="宋体" w:cs="宋体"/>
          <w:sz w:val="24"/>
        </w:rPr>
      </w:pPr>
      <w:r>
        <w:rPr>
          <w:rFonts w:hint="eastAsia" w:ascii="宋体" w:hAnsi="宋体" w:cs="宋体"/>
          <w:sz w:val="24"/>
        </w:rPr>
        <w:t>（1）书面警告。乙方未履行或未按时履行或未按质履行义务或不执行甲方（含主管人员）的指令时，甲方有权向乙方发出书面警告。乙方必须在书面警告限定的时间内履行义务，否则应承担1次一般违约责任。</w:t>
      </w:r>
    </w:p>
    <w:p>
      <w:pPr>
        <w:topLinePunct/>
        <w:adjustRightInd w:val="0"/>
        <w:snapToGrid w:val="0"/>
        <w:spacing w:line="360" w:lineRule="auto"/>
        <w:ind w:firstLine="480" w:firstLineChars="200"/>
        <w:rPr>
          <w:rFonts w:ascii="宋体" w:hAnsi="宋体" w:cs="宋体"/>
          <w:sz w:val="24"/>
          <w:highlight w:val="none"/>
        </w:rPr>
      </w:pPr>
      <w:r>
        <w:rPr>
          <w:rFonts w:hint="eastAsia" w:ascii="宋体" w:hAnsi="宋体" w:cs="宋体"/>
          <w:sz w:val="24"/>
        </w:rPr>
        <w:t>（2）一般违</w:t>
      </w:r>
      <w:r>
        <w:rPr>
          <w:rFonts w:hint="eastAsia" w:ascii="宋体" w:hAnsi="宋体" w:cs="宋体"/>
          <w:sz w:val="24"/>
          <w:highlight w:val="none"/>
        </w:rPr>
        <w:t>约责任。乙方按本合同约定应当承担一般违约责任时，第一次必须向甲方交纳违约金（</w:t>
      </w:r>
      <w:r>
        <w:rPr>
          <w:rFonts w:hint="eastAsia" w:ascii="宋体" w:hAnsi="宋体" w:cs="宋体"/>
          <w:sz w:val="24"/>
          <w:highlight w:val="none"/>
        </w:rPr>
        <w:fldChar w:fldCharType="begin"/>
      </w:r>
      <w:r>
        <w:rPr>
          <w:rFonts w:hint="eastAsia" w:ascii="宋体" w:hAnsi="宋体" w:cs="宋体"/>
          <w:sz w:val="24"/>
          <w:highlight w:val="none"/>
        </w:rPr>
        <w:instrText xml:space="preserve"> eq \o\ac(</w:instrText>
      </w:r>
      <w:r>
        <w:rPr>
          <w:rFonts w:hint="eastAsia" w:ascii="宋体" w:hAnsi="宋体" w:cs="宋体"/>
          <w:position w:val="-4"/>
          <w:sz w:val="36"/>
          <w:highlight w:val="none"/>
        </w:rPr>
        <w:instrText xml:space="preserve">□</w:instrText>
      </w:r>
      <w:r>
        <w:rPr>
          <w:rFonts w:hint="eastAsia" w:ascii="宋体" w:hAnsi="宋体" w:cs="宋体"/>
          <w:sz w:val="24"/>
          <w:highlight w:val="none"/>
        </w:rPr>
        <w:instrText xml:space="preserve">)</w:instrText>
      </w:r>
      <w:r>
        <w:rPr>
          <w:rFonts w:hint="eastAsia" w:ascii="宋体" w:hAnsi="宋体" w:cs="宋体"/>
          <w:sz w:val="24"/>
          <w:highlight w:val="none"/>
        </w:rPr>
        <w:fldChar w:fldCharType="end"/>
      </w:r>
      <w:r>
        <w:rPr>
          <w:rFonts w:hint="eastAsia" w:ascii="宋体" w:hAnsi="宋体" w:cs="宋体"/>
          <w:sz w:val="24"/>
          <w:highlight w:val="none"/>
        </w:rPr>
        <w:t>1000元、</w:t>
      </w:r>
      <w:r>
        <w:rPr>
          <w:rFonts w:hint="eastAsia" w:ascii="宋体" w:hAnsi="宋体" w:cs="宋体"/>
          <w:sz w:val="24"/>
          <w:highlight w:val="none"/>
        </w:rPr>
        <w:fldChar w:fldCharType="begin"/>
      </w:r>
      <w:r>
        <w:rPr>
          <w:rFonts w:hint="eastAsia" w:ascii="宋体" w:hAnsi="宋体" w:cs="宋体"/>
          <w:sz w:val="24"/>
          <w:highlight w:val="none"/>
        </w:rPr>
        <w:instrText xml:space="preserve"> eq \o\ac(</w:instrText>
      </w:r>
      <w:r>
        <w:rPr>
          <w:rFonts w:hint="eastAsia" w:ascii="宋体" w:hAnsi="宋体" w:cs="宋体"/>
          <w:position w:val="-4"/>
          <w:sz w:val="36"/>
          <w:highlight w:val="none"/>
        </w:rPr>
        <w:instrText xml:space="preserve">□,</w:instrText>
      </w:r>
      <w:r>
        <w:rPr>
          <w:rFonts w:hint="eastAsia" w:ascii="宋体" w:hAnsi="宋体" w:cs="宋体"/>
          <w:sz w:val="25"/>
          <w:highlight w:val="none"/>
        </w:rPr>
        <w:instrText xml:space="preserve">√</w:instrText>
      </w:r>
      <w:r>
        <w:rPr>
          <w:rFonts w:hint="eastAsia" w:ascii="宋体" w:hAnsi="宋体" w:cs="宋体"/>
          <w:position w:val="-4"/>
          <w:sz w:val="36"/>
          <w:highlight w:val="none"/>
        </w:rPr>
        <w:instrText xml:space="preserve">,</w:instrText>
      </w:r>
      <w:r>
        <w:rPr>
          <w:rFonts w:hint="eastAsia" w:ascii="宋体" w:hAnsi="宋体" w:cs="宋体"/>
          <w:sz w:val="25"/>
          <w:highlight w:val="none"/>
        </w:rPr>
        <w:instrText xml:space="preserve">√</w:instrText>
      </w:r>
      <w:r>
        <w:rPr>
          <w:rFonts w:hint="eastAsia" w:ascii="宋体" w:hAnsi="宋体" w:cs="宋体"/>
          <w:sz w:val="24"/>
          <w:highlight w:val="none"/>
        </w:rPr>
        <w:instrText xml:space="preserve">)</w:instrText>
      </w:r>
      <w:r>
        <w:rPr>
          <w:rFonts w:hint="eastAsia" w:ascii="宋体" w:hAnsi="宋体" w:cs="宋体"/>
          <w:sz w:val="24"/>
          <w:highlight w:val="none"/>
        </w:rPr>
        <w:fldChar w:fldCharType="end"/>
      </w:r>
      <w:r>
        <w:rPr>
          <w:rFonts w:hint="eastAsia" w:ascii="宋体" w:hAnsi="宋体" w:cs="宋体"/>
          <w:sz w:val="24"/>
          <w:highlight w:val="none"/>
        </w:rPr>
        <w:t>2000元、</w:t>
      </w:r>
      <w:r>
        <w:rPr>
          <w:rFonts w:hint="eastAsia" w:ascii="宋体" w:hAnsi="宋体" w:cs="宋体"/>
          <w:sz w:val="24"/>
          <w:highlight w:val="none"/>
        </w:rPr>
        <w:fldChar w:fldCharType="begin"/>
      </w:r>
      <w:r>
        <w:rPr>
          <w:rFonts w:hint="eastAsia" w:ascii="宋体" w:hAnsi="宋体" w:cs="宋体"/>
          <w:sz w:val="24"/>
          <w:highlight w:val="none"/>
        </w:rPr>
        <w:instrText xml:space="preserve"> eq \o\ac(</w:instrText>
      </w:r>
      <w:r>
        <w:rPr>
          <w:rFonts w:hint="eastAsia" w:ascii="宋体" w:hAnsi="宋体" w:cs="宋体"/>
          <w:position w:val="-4"/>
          <w:sz w:val="36"/>
          <w:highlight w:val="none"/>
        </w:rPr>
        <w:instrText xml:space="preserve">□</w:instrText>
      </w:r>
      <w:r>
        <w:rPr>
          <w:rFonts w:hint="eastAsia" w:ascii="宋体" w:hAnsi="宋体" w:cs="宋体"/>
          <w:sz w:val="24"/>
          <w:highlight w:val="none"/>
        </w:rPr>
        <w:instrText xml:space="preserve">)</w:instrText>
      </w:r>
      <w:r>
        <w:rPr>
          <w:rFonts w:hint="eastAsia" w:ascii="宋体" w:hAnsi="宋体" w:cs="宋体"/>
          <w:sz w:val="24"/>
          <w:highlight w:val="none"/>
        </w:rPr>
        <w:fldChar w:fldCharType="end"/>
      </w:r>
      <w:r>
        <w:rPr>
          <w:rFonts w:hint="eastAsia" w:ascii="宋体" w:hAnsi="宋体" w:cs="宋体"/>
          <w:sz w:val="24"/>
          <w:highlight w:val="none"/>
        </w:rPr>
        <w:t>5000元）/次；第二次承担同一违约性质的一般违约责任时，乙方应向甲方交纳的违约金为第一次交纳金额的2倍；第三次承担同一违约性质的一般违约责任时，乙方应向甲方交纳的违约金为第一次交纳金额的3倍；以此类推，但每次交纳的金额最高不超过第一次交纳金额的5倍。</w:t>
      </w:r>
    </w:p>
    <w:p>
      <w:pPr>
        <w:topLinePunct/>
        <w:adjustRightInd w:val="0"/>
        <w:snapToGrid w:val="0"/>
        <w:spacing w:line="360" w:lineRule="auto"/>
        <w:ind w:firstLine="480" w:firstLineChars="200"/>
        <w:rPr>
          <w:rFonts w:ascii="宋体" w:hAnsi="宋体" w:cs="宋体"/>
          <w:sz w:val="24"/>
        </w:rPr>
      </w:pPr>
      <w:r>
        <w:rPr>
          <w:rFonts w:hint="eastAsia" w:ascii="宋体" w:hAnsi="宋体" w:cs="宋体"/>
          <w:sz w:val="24"/>
          <w:highlight w:val="none"/>
        </w:rPr>
        <w:t>（3）严重违约责任。乙方按本合同约定应当承担严重违约责任时，必须向甲方交纳违约金（</w:t>
      </w:r>
      <w:r>
        <w:rPr>
          <w:rFonts w:hint="eastAsia" w:ascii="宋体" w:hAnsi="宋体" w:cs="宋体"/>
          <w:sz w:val="24"/>
          <w:highlight w:val="none"/>
        </w:rPr>
        <w:fldChar w:fldCharType="begin"/>
      </w:r>
      <w:r>
        <w:rPr>
          <w:rFonts w:hint="eastAsia" w:ascii="宋体" w:hAnsi="宋体" w:cs="宋体"/>
          <w:sz w:val="24"/>
          <w:highlight w:val="none"/>
        </w:rPr>
        <w:instrText xml:space="preserve"> eq \o\ac(</w:instrText>
      </w:r>
      <w:r>
        <w:rPr>
          <w:rFonts w:hint="eastAsia" w:ascii="宋体" w:hAnsi="宋体" w:cs="宋体"/>
          <w:position w:val="-4"/>
          <w:sz w:val="36"/>
          <w:highlight w:val="none"/>
        </w:rPr>
        <w:instrText xml:space="preserve">□</w:instrText>
      </w:r>
      <w:r>
        <w:rPr>
          <w:rFonts w:hint="eastAsia" w:ascii="宋体" w:hAnsi="宋体" w:cs="宋体"/>
          <w:sz w:val="24"/>
          <w:highlight w:val="none"/>
        </w:rPr>
        <w:instrText xml:space="preserve">)</w:instrText>
      </w:r>
      <w:r>
        <w:rPr>
          <w:rFonts w:hint="eastAsia" w:ascii="宋体" w:hAnsi="宋体" w:cs="宋体"/>
          <w:sz w:val="24"/>
          <w:highlight w:val="none"/>
        </w:rPr>
        <w:fldChar w:fldCharType="end"/>
      </w:r>
      <w:r>
        <w:rPr>
          <w:rFonts w:hint="eastAsia" w:ascii="宋体" w:hAnsi="宋体" w:cs="宋体"/>
          <w:sz w:val="24"/>
          <w:highlight w:val="none"/>
        </w:rPr>
        <w:t>5000元、</w:t>
      </w:r>
      <w:r>
        <w:rPr>
          <w:rFonts w:hint="eastAsia" w:ascii="宋体" w:hAnsi="宋体" w:cs="宋体"/>
          <w:sz w:val="24"/>
          <w:highlight w:val="none"/>
        </w:rPr>
        <w:fldChar w:fldCharType="begin"/>
      </w:r>
      <w:r>
        <w:rPr>
          <w:rFonts w:hint="eastAsia" w:ascii="宋体" w:hAnsi="宋体" w:cs="宋体"/>
          <w:sz w:val="24"/>
          <w:highlight w:val="none"/>
        </w:rPr>
        <w:instrText xml:space="preserve"> eq \o\ac(</w:instrText>
      </w:r>
      <w:r>
        <w:rPr>
          <w:rFonts w:hint="eastAsia" w:ascii="宋体" w:hAnsi="宋体" w:cs="宋体"/>
          <w:position w:val="-4"/>
          <w:sz w:val="36"/>
          <w:highlight w:val="none"/>
        </w:rPr>
        <w:instrText xml:space="preserve">□,</w:instrText>
      </w:r>
      <w:r>
        <w:rPr>
          <w:rFonts w:hint="eastAsia" w:ascii="宋体" w:hAnsi="宋体" w:cs="宋体"/>
          <w:sz w:val="25"/>
          <w:highlight w:val="none"/>
        </w:rPr>
        <w:instrText xml:space="preserve">√</w:instrText>
      </w:r>
      <w:r>
        <w:rPr>
          <w:rFonts w:hint="eastAsia" w:ascii="宋体" w:hAnsi="宋体" w:cs="宋体"/>
          <w:sz w:val="24"/>
          <w:highlight w:val="none"/>
        </w:rPr>
        <w:instrText xml:space="preserve">)</w:instrText>
      </w:r>
      <w:r>
        <w:rPr>
          <w:rFonts w:hint="eastAsia" w:ascii="宋体" w:hAnsi="宋体" w:cs="宋体"/>
          <w:sz w:val="24"/>
          <w:highlight w:val="none"/>
        </w:rPr>
        <w:fldChar w:fldCharType="end"/>
      </w:r>
      <w:r>
        <w:rPr>
          <w:rFonts w:hint="eastAsia" w:ascii="宋体" w:hAnsi="宋体" w:cs="宋体"/>
          <w:sz w:val="24"/>
          <w:highlight w:val="none"/>
        </w:rPr>
        <w:t>10000元、</w:t>
      </w:r>
      <w:r>
        <w:rPr>
          <w:rFonts w:hint="eastAsia" w:ascii="宋体" w:hAnsi="宋体" w:cs="宋体"/>
          <w:sz w:val="24"/>
          <w:highlight w:val="none"/>
        </w:rPr>
        <w:fldChar w:fldCharType="begin"/>
      </w:r>
      <w:r>
        <w:rPr>
          <w:rFonts w:hint="eastAsia" w:ascii="宋体" w:hAnsi="宋体" w:cs="宋体"/>
          <w:sz w:val="24"/>
          <w:highlight w:val="none"/>
        </w:rPr>
        <w:instrText xml:space="preserve"> eq \o\ac(</w:instrText>
      </w:r>
      <w:r>
        <w:rPr>
          <w:rFonts w:hint="eastAsia" w:ascii="宋体" w:hAnsi="宋体" w:cs="宋体"/>
          <w:position w:val="-4"/>
          <w:sz w:val="36"/>
          <w:highlight w:val="none"/>
        </w:rPr>
        <w:instrText xml:space="preserve">□</w:instrText>
      </w:r>
      <w:r>
        <w:rPr>
          <w:rFonts w:hint="eastAsia" w:ascii="宋体" w:hAnsi="宋体" w:cs="宋体"/>
          <w:sz w:val="24"/>
          <w:highlight w:val="none"/>
        </w:rPr>
        <w:instrText xml:space="preserve">)</w:instrText>
      </w:r>
      <w:r>
        <w:rPr>
          <w:rFonts w:hint="eastAsia" w:ascii="宋体" w:hAnsi="宋体" w:cs="宋体"/>
          <w:sz w:val="24"/>
          <w:highlight w:val="none"/>
        </w:rPr>
        <w:fldChar w:fldCharType="end"/>
      </w:r>
      <w:r>
        <w:rPr>
          <w:rFonts w:hint="eastAsia" w:ascii="宋体" w:hAnsi="宋体" w:cs="宋体"/>
          <w:sz w:val="24"/>
        </w:rPr>
        <w:t>15000元）/次。</w:t>
      </w:r>
    </w:p>
    <w:p>
      <w:pPr>
        <w:topLinePunct/>
        <w:adjustRightInd w:val="0"/>
        <w:snapToGrid w:val="0"/>
        <w:spacing w:line="360" w:lineRule="auto"/>
        <w:ind w:firstLine="480" w:firstLineChars="200"/>
        <w:rPr>
          <w:rFonts w:ascii="宋体" w:hAnsi="宋体" w:cs="宋体"/>
          <w:sz w:val="24"/>
        </w:rPr>
      </w:pPr>
      <w:r>
        <w:rPr>
          <w:rFonts w:hint="eastAsia" w:ascii="宋体" w:hAnsi="宋体" w:cs="宋体"/>
          <w:sz w:val="24"/>
        </w:rPr>
        <w:t>（4）解除合同。甲方依本合同约定向乙方发出解除合同的通知后，本合同即宣告解除。于此情形下，乙方必须在收到甲方解除合同通知之日起3日内停止全部工作，5日内配合甲方完成现场工作和有关资料的移交，并于完成交接工作当日内离场。乙方应保证所移交的资料齐全完整，如果引致甲方工期延误和其他方面的损失，甲方将要求乙方赔偿有关损失。甲方在发出解除合同的通知后，甲方即可委托新的乙方承接该工程。</w:t>
      </w:r>
    </w:p>
    <w:p>
      <w:pPr>
        <w:topLinePunct/>
        <w:adjustRightInd w:val="0"/>
        <w:snapToGrid w:val="0"/>
        <w:spacing w:line="360" w:lineRule="auto"/>
        <w:ind w:firstLine="480" w:firstLineChars="200"/>
        <w:rPr>
          <w:rFonts w:ascii="宋体" w:hAnsi="宋体" w:cs="宋体"/>
          <w:sz w:val="24"/>
        </w:rPr>
      </w:pPr>
      <w:r>
        <w:rPr>
          <w:rFonts w:hint="eastAsia" w:ascii="宋体" w:hAnsi="宋体" w:cs="宋体"/>
          <w:sz w:val="24"/>
        </w:rPr>
        <w:t>（5）赔偿损失。因乙方违约或工作失误给甲方造成损失的，乙方应向甲方赔偿经济损失。如果损失是由于乙方故意或严重渎职造成的，乙方应承担全部赔偿责任。这里的“阶段”是指本合同双方约定划分的立项阶段、设计阶段、招标阶段、施工阶段、结（决）算阶段。</w:t>
      </w:r>
    </w:p>
    <w:p>
      <w:pPr>
        <w:topLinePunct/>
        <w:adjustRightInd w:val="0"/>
        <w:snapToGrid w:val="0"/>
        <w:spacing w:line="360" w:lineRule="auto"/>
        <w:ind w:firstLine="480" w:firstLineChars="200"/>
        <w:rPr>
          <w:rFonts w:ascii="宋体" w:hAnsi="宋体" w:cs="宋体"/>
          <w:sz w:val="24"/>
        </w:rPr>
      </w:pPr>
      <w:r>
        <w:rPr>
          <w:rFonts w:hint="eastAsia" w:ascii="宋体" w:hAnsi="宋体" w:cs="宋体"/>
          <w:sz w:val="24"/>
        </w:rPr>
        <w:t>4.2.2 乙方累计承担书面警告达3次的，则另行追加一般违约责任1次；乙方累计承担一般违约责任达3次的，则另行追加严重违约责任1次；乙方累计承担严重违约责任达3次或者工程进度严重滞后的，甲方有权要求乙方的法定代表人驻场办公，代行项目负责人职责，直至甲方满意其工作时方可离场。</w:t>
      </w:r>
    </w:p>
    <w:p>
      <w:pPr>
        <w:topLinePunct/>
        <w:adjustRightInd w:val="0"/>
        <w:snapToGrid w:val="0"/>
        <w:spacing w:line="360" w:lineRule="auto"/>
        <w:ind w:firstLine="480" w:firstLineChars="200"/>
        <w:rPr>
          <w:rFonts w:ascii="宋体" w:hAnsi="宋体" w:cs="宋体"/>
          <w:sz w:val="24"/>
        </w:rPr>
      </w:pPr>
      <w:r>
        <w:rPr>
          <w:rFonts w:hint="eastAsia" w:ascii="宋体" w:hAnsi="宋体" w:cs="宋体"/>
          <w:sz w:val="24"/>
        </w:rPr>
        <w:t>4.2.3 当乙方违约需向甲方支付违约金或赔偿金时，甲方将书面通知其保证人交纳，其保证人拒绝交纳的，甲方将从应支付给乙方的咨询费中直接扣除，扣除款项计入累计咨询费用进度款，结算时不予退还，乙方不得有异议。同时，甲方保留进一步依法追究乙方及其保证人有关责任的权利。</w:t>
      </w:r>
    </w:p>
    <w:p>
      <w:pPr>
        <w:topLinePunct/>
        <w:adjustRightInd w:val="0"/>
        <w:snapToGrid w:val="0"/>
        <w:spacing w:line="360" w:lineRule="auto"/>
        <w:ind w:firstLine="480" w:firstLineChars="200"/>
        <w:rPr>
          <w:rFonts w:ascii="宋体" w:hAnsi="宋体" w:cs="宋体"/>
          <w:sz w:val="24"/>
        </w:rPr>
      </w:pPr>
      <w:r>
        <w:rPr>
          <w:rFonts w:hint="eastAsia" w:ascii="宋体" w:hAnsi="宋体" w:cs="宋体"/>
          <w:sz w:val="24"/>
        </w:rPr>
        <w:t>4.2.4 当乙方无正当理由而不履行或没有全面且适当履行其相关承诺及咨询义务时，甲方有权书面通知乙方，指明其未能履约的内容和甲方要求其承担违约责任的等级。</w:t>
      </w:r>
    </w:p>
    <w:p>
      <w:pPr>
        <w:spacing w:line="360" w:lineRule="auto"/>
        <w:ind w:firstLine="480" w:firstLineChars="200"/>
        <w:rPr>
          <w:rFonts w:ascii="宋体" w:hAnsi="宋体" w:cs="宋体"/>
          <w:sz w:val="24"/>
        </w:rPr>
      </w:pPr>
      <w:r>
        <w:rPr>
          <w:rFonts w:hint="eastAsia" w:ascii="宋体" w:hAnsi="宋体" w:cs="宋体"/>
          <w:bCs w:val="0"/>
          <w:sz w:val="24"/>
        </w:rPr>
        <w:t>（1）</w:t>
      </w:r>
      <w:r>
        <w:rPr>
          <w:rFonts w:hint="eastAsia" w:ascii="宋体" w:hAnsi="宋体" w:cs="宋体"/>
          <w:sz w:val="24"/>
        </w:rPr>
        <w:t>乙方应严格按照甲方要求完成委托内容，并及时递交节点成果。委托时间以甲方通知开展工作当天起计算，直至完成委托内容为止且最后一次修正稿的提交时间为乙方提交工作成果时间。</w:t>
      </w:r>
    </w:p>
    <w:p>
      <w:pPr>
        <w:spacing w:line="360" w:lineRule="auto"/>
        <w:ind w:firstLine="480" w:firstLineChars="200"/>
        <w:rPr>
          <w:rFonts w:ascii="宋体" w:hAnsi="宋体" w:cs="宋体"/>
          <w:kern w:val="0"/>
          <w:sz w:val="24"/>
        </w:rPr>
      </w:pPr>
      <w:r>
        <w:rPr>
          <w:rFonts w:hint="eastAsia" w:ascii="宋体" w:hAnsi="宋体" w:cs="宋体"/>
          <w:bCs w:val="0"/>
          <w:sz w:val="24"/>
        </w:rPr>
        <w:t>①</w:t>
      </w:r>
      <w:r>
        <w:rPr>
          <w:rFonts w:hint="eastAsia" w:ascii="宋体" w:hAnsi="宋体" w:cs="宋体"/>
          <w:kern w:val="0"/>
          <w:sz w:val="24"/>
        </w:rPr>
        <w:t>基坑支护和桩基础项目要求甲方通知开展工作后5个日历天内完成，每延误一天扣减2万元整，延误时间累计超过10个日历天，甲方有权单方解除合同，并应赔偿甲方的损失。</w:t>
      </w:r>
    </w:p>
    <w:p>
      <w:pPr>
        <w:spacing w:line="360" w:lineRule="auto"/>
        <w:ind w:firstLine="480" w:firstLineChars="200"/>
        <w:rPr>
          <w:rFonts w:ascii="宋体" w:hAnsi="宋体" w:cs="宋体"/>
          <w:kern w:val="0"/>
          <w:sz w:val="24"/>
        </w:rPr>
      </w:pPr>
      <w:r>
        <w:rPr>
          <w:rFonts w:hint="eastAsia" w:ascii="宋体" w:hAnsi="宋体" w:cs="宋体"/>
          <w:kern w:val="0"/>
          <w:sz w:val="24"/>
        </w:rPr>
        <w:t>② 主体及室外配套等项目要求甲方通知开展工作后30个日历天内完成，每延误一天扣减5000元整，延误时间累计超过20个日历天，甲方有权单方解除合同，并应赔偿甲方的损失。</w:t>
      </w:r>
    </w:p>
    <w:p>
      <w:pPr>
        <w:spacing w:line="360" w:lineRule="auto"/>
        <w:ind w:firstLine="480" w:firstLineChars="200"/>
        <w:rPr>
          <w:rFonts w:ascii="宋体" w:hAnsi="宋体" w:cs="宋体"/>
          <w:kern w:val="0"/>
          <w:sz w:val="24"/>
        </w:rPr>
      </w:pPr>
      <w:r>
        <w:rPr>
          <w:rFonts w:hint="eastAsia" w:ascii="宋体" w:hAnsi="宋体" w:cs="宋体"/>
          <w:bCs w:val="0"/>
          <w:kern w:val="0"/>
          <w:sz w:val="24"/>
        </w:rPr>
        <w:t>③ 其他项目</w:t>
      </w:r>
      <w:r>
        <w:rPr>
          <w:rFonts w:hint="eastAsia" w:ascii="宋体" w:hAnsi="宋体" w:cs="宋体"/>
          <w:sz w:val="24"/>
        </w:rPr>
        <w:t>乙方</w:t>
      </w:r>
      <w:r>
        <w:rPr>
          <w:rFonts w:hint="eastAsia" w:ascii="宋体" w:hAnsi="宋体" w:cs="宋体"/>
          <w:kern w:val="0"/>
          <w:sz w:val="24"/>
        </w:rPr>
        <w:t>按甲方要求时间完成，如不能按时完成工作的，每延误一天扣减1000元整。</w:t>
      </w:r>
    </w:p>
    <w:p>
      <w:pPr>
        <w:spacing w:line="360" w:lineRule="auto"/>
        <w:ind w:firstLine="480" w:firstLineChars="200"/>
        <w:rPr>
          <w:rFonts w:ascii="宋体" w:hAnsi="宋体" w:cs="宋体"/>
          <w:kern w:val="0"/>
          <w:sz w:val="24"/>
        </w:rPr>
      </w:pPr>
      <w:r>
        <w:rPr>
          <w:rFonts w:hint="eastAsia" w:ascii="宋体" w:hAnsi="宋体" w:cs="宋体"/>
          <w:bCs w:val="0"/>
          <w:sz w:val="24"/>
        </w:rPr>
        <w:t>（2）</w:t>
      </w:r>
      <w:r>
        <w:rPr>
          <w:rFonts w:hint="eastAsia" w:ascii="宋体" w:hAnsi="宋体" w:cs="宋体"/>
          <w:bCs w:val="0"/>
          <w:kern w:val="0"/>
          <w:sz w:val="24"/>
        </w:rPr>
        <w:t>乙方收到甲方开展工作的通知后3日内递交拟开展项目的造价咨询服务人员配备要求表，并需提供投入人员近半年或以上社保证明，如不能按时提交，甲方首次发出书面警告；要求投入人员具有较强的业务能力，实际编制、审核、操作人员须与造价咨询服务人员配备要求表一致（经甲方同意的除外），甲方发现不一致的首次发书面警告，若乙方在三个工作日内不作整改，记乙方一般违约一次；实际驻场人员与造价咨询服务人员配备要求表不一致且实际驻场人员业务水平能力达不到投标承诺要求的，</w:t>
      </w:r>
      <w:r>
        <w:rPr>
          <w:rFonts w:hint="eastAsia" w:ascii="宋体" w:hAnsi="宋体" w:cs="宋体"/>
          <w:kern w:val="0"/>
          <w:sz w:val="24"/>
        </w:rPr>
        <w:t>甲方首次发书面警告，若乙方在五个工作日内不作整改，记乙方一般违约一次；</w:t>
      </w:r>
      <w:r>
        <w:rPr>
          <w:rFonts w:hint="eastAsia" w:ascii="宋体" w:hAnsi="宋体" w:cs="宋体"/>
          <w:bCs w:val="0"/>
          <w:kern w:val="0"/>
          <w:sz w:val="24"/>
        </w:rPr>
        <w:t xml:space="preserve"> 驻场人员要根据项目造价工作需要，安排2人至甲方办公室协助配合开展造价相关工作，甲方将对该人员的出勤、工作落实情况进行考核，若不能按要求开展工作的，</w:t>
      </w:r>
      <w:r>
        <w:rPr>
          <w:rFonts w:hint="eastAsia" w:ascii="宋体" w:hAnsi="宋体" w:cs="宋体"/>
          <w:kern w:val="0"/>
          <w:sz w:val="24"/>
        </w:rPr>
        <w:t>甲方首次发书面警告，若乙方在三个工作日内不作整改，记乙方一般违约一次。</w:t>
      </w:r>
    </w:p>
    <w:p>
      <w:pPr>
        <w:spacing w:line="360" w:lineRule="auto"/>
        <w:ind w:firstLine="480" w:firstLineChars="200"/>
        <w:rPr>
          <w:rFonts w:ascii="宋体" w:hAnsi="宋体" w:cs="宋体"/>
          <w:bCs w:val="0"/>
          <w:kern w:val="0"/>
          <w:sz w:val="24"/>
        </w:rPr>
      </w:pPr>
      <w:r>
        <w:rPr>
          <w:rFonts w:hint="eastAsia" w:ascii="宋体" w:hAnsi="宋体" w:cs="宋体"/>
          <w:bCs w:val="0"/>
          <w:kern w:val="0"/>
          <w:sz w:val="24"/>
        </w:rPr>
        <w:t>（3）施工过程中的造价文件编制，如工程量清单编制成果文件出现包括漏项、重项、少量、多算等工程量偏差，经甲方复核后其偏差率大于等于5%时，按偏差造价的3%进行扣减，扣减的咨询费在当期进度款申请时一并扣除。</w:t>
      </w:r>
    </w:p>
    <w:p>
      <w:pPr>
        <w:spacing w:line="360" w:lineRule="auto"/>
        <w:ind w:firstLine="480" w:firstLineChars="200"/>
        <w:rPr>
          <w:rFonts w:ascii="宋体" w:hAnsi="宋体" w:cs="宋体"/>
          <w:bCs w:val="0"/>
          <w:kern w:val="0"/>
          <w:sz w:val="24"/>
        </w:rPr>
      </w:pPr>
      <w:r>
        <w:rPr>
          <w:rFonts w:hint="eastAsia" w:ascii="宋体" w:hAnsi="宋体" w:cs="宋体"/>
          <w:bCs w:val="0"/>
          <w:kern w:val="0"/>
          <w:sz w:val="24"/>
        </w:rPr>
        <w:t>（4）施工过程中的造价文件编制，如工程量清单编制成果文件出现因定性错误而造成的造价偏差，按该项造价的10%进行扣减，扣减的咨询费在当期进度款申请时一并扣除。</w:t>
      </w:r>
    </w:p>
    <w:p>
      <w:pPr>
        <w:spacing w:line="360" w:lineRule="auto"/>
        <w:ind w:firstLine="480" w:firstLineChars="200"/>
        <w:rPr>
          <w:rFonts w:ascii="宋体" w:hAnsi="宋体" w:cs="宋体"/>
          <w:b/>
          <w:bCs w:val="0"/>
          <w:kern w:val="0"/>
          <w:sz w:val="24"/>
        </w:rPr>
      </w:pPr>
      <w:r>
        <w:rPr>
          <w:rFonts w:hint="eastAsia" w:ascii="宋体" w:hAnsi="宋体" w:cs="宋体"/>
          <w:bCs w:val="0"/>
          <w:kern w:val="0"/>
          <w:sz w:val="24"/>
        </w:rPr>
        <w:t>（5）因设计、施工等其他特殊原因而非造价咨询导致偏差的情况，经甲方书面说明的情况除外。</w:t>
      </w:r>
    </w:p>
    <w:p>
      <w:pPr>
        <w:spacing w:line="360" w:lineRule="auto"/>
        <w:ind w:firstLine="480" w:firstLineChars="200"/>
        <w:rPr>
          <w:rFonts w:ascii="宋体" w:hAnsi="宋体" w:cs="宋体"/>
          <w:kern w:val="0"/>
          <w:sz w:val="24"/>
        </w:rPr>
      </w:pPr>
      <w:r>
        <w:rPr>
          <w:rFonts w:hint="eastAsia" w:ascii="宋体" w:hAnsi="宋体" w:cs="宋体"/>
          <w:kern w:val="0"/>
          <w:sz w:val="24"/>
        </w:rPr>
        <w:t>（6）以上扣罚总额不能超过已启动区域咨询费的30%。</w:t>
      </w:r>
    </w:p>
    <w:p>
      <w:pPr>
        <w:spacing w:line="360" w:lineRule="auto"/>
        <w:ind w:firstLine="480" w:firstLineChars="200"/>
        <w:rPr>
          <w:rFonts w:ascii="宋体" w:hAnsi="宋体" w:cs="宋体"/>
          <w:sz w:val="24"/>
        </w:rPr>
      </w:pPr>
      <w:r>
        <w:rPr>
          <w:rFonts w:hint="eastAsia" w:ascii="宋体" w:hAnsi="宋体" w:cs="宋体"/>
          <w:sz w:val="24"/>
        </w:rPr>
        <w:t>4.2.</w:t>
      </w:r>
      <w:r>
        <w:rPr>
          <w:rFonts w:hint="eastAsia" w:ascii="宋体" w:hAnsi="宋体" w:cs="宋体"/>
          <w:bCs w:val="0"/>
          <w:kern w:val="0"/>
          <w:sz w:val="24"/>
        </w:rPr>
        <w:t>5</w:t>
      </w:r>
      <w:r>
        <w:rPr>
          <w:rFonts w:hint="eastAsia" w:ascii="宋体" w:hAnsi="宋体" w:cs="宋体"/>
          <w:sz w:val="24"/>
        </w:rPr>
        <w:t>档案管理工作要求</w:t>
      </w:r>
    </w:p>
    <w:p>
      <w:pPr>
        <w:spacing w:line="360" w:lineRule="auto"/>
        <w:ind w:firstLine="480" w:firstLineChars="200"/>
        <w:rPr>
          <w:rFonts w:ascii="宋体" w:hAnsi="宋体" w:cs="宋体"/>
          <w:sz w:val="24"/>
        </w:rPr>
      </w:pPr>
      <w:r>
        <w:rPr>
          <w:rFonts w:hint="eastAsia" w:ascii="宋体" w:hAnsi="宋体" w:cs="宋体"/>
          <w:sz w:val="24"/>
        </w:rPr>
        <w:t>（1）档案的套数要求：套数应符合《国家重大建设项目文件归档要求与档案整理规范》、《建设工程档案编制规范》等相关法律法规的要求。</w:t>
      </w:r>
    </w:p>
    <w:p>
      <w:pPr>
        <w:autoSpaceDE w:val="0"/>
        <w:autoSpaceDN w:val="0"/>
        <w:adjustRightInd w:val="0"/>
        <w:spacing w:line="360" w:lineRule="auto"/>
        <w:jc w:val="left"/>
        <w:rPr>
          <w:rFonts w:ascii="宋体" w:hAnsi="宋体" w:cs="宋体"/>
          <w:spacing w:val="-6"/>
          <w:sz w:val="24"/>
        </w:rPr>
      </w:pPr>
      <w:r>
        <w:rPr>
          <w:rFonts w:hint="eastAsia" w:ascii="宋体" w:hAnsi="宋体" w:cs="宋体"/>
          <w:sz w:val="24"/>
        </w:rPr>
        <w:t xml:space="preserve">    （2）受托人应按《国家重大建设项目文件归档要求与档案整理规范》、《建设工程档案编制规范》等相关法律法规的要求承担相关文件材料的收集、整理、归档和移交的责任。</w:t>
      </w:r>
    </w:p>
    <w:p>
      <w:pPr>
        <w:spacing w:line="360" w:lineRule="auto"/>
        <w:ind w:firstLine="482" w:firstLineChars="200"/>
        <w:rPr>
          <w:rFonts w:ascii="宋体" w:hAnsi="宋体" w:cs="宋体"/>
          <w:sz w:val="24"/>
        </w:rPr>
      </w:pPr>
      <w:r>
        <w:rPr>
          <w:rFonts w:hint="eastAsia" w:ascii="宋体" w:hAnsi="宋体" w:cs="宋体"/>
          <w:b/>
          <w:bCs w:val="0"/>
          <w:sz w:val="24"/>
        </w:rPr>
        <w:t>5.1</w:t>
      </w:r>
      <w:r>
        <w:rPr>
          <w:rFonts w:hint="eastAsia" w:ascii="宋体" w:hAnsi="宋体" w:cs="宋体"/>
          <w:sz w:val="24"/>
        </w:rPr>
        <w:t>　双方同意用</w:t>
      </w:r>
      <w:r>
        <w:rPr>
          <w:rFonts w:hint="eastAsia" w:ascii="宋体" w:hAnsi="宋体" w:cs="宋体"/>
          <w:b/>
          <w:bCs w:val="0"/>
          <w:sz w:val="24"/>
          <w:u w:val="single"/>
        </w:rPr>
        <w:t xml:space="preserve">人民币 </w:t>
      </w:r>
      <w:r>
        <w:rPr>
          <w:rFonts w:hint="eastAsia" w:ascii="宋体" w:hAnsi="宋体" w:cs="宋体"/>
          <w:sz w:val="24"/>
        </w:rPr>
        <w:t>支付酬金。</w:t>
      </w:r>
    </w:p>
    <w:p>
      <w:pPr>
        <w:spacing w:line="420" w:lineRule="exact"/>
        <w:ind w:firstLine="482" w:firstLineChars="200"/>
        <w:outlineLvl w:val="0"/>
        <w:rPr>
          <w:rFonts w:ascii="宋体" w:hAnsi="宋体" w:cs="宋体"/>
          <w:bCs w:val="0"/>
          <w:sz w:val="24"/>
          <w:u w:val="single"/>
        </w:rPr>
      </w:pPr>
      <w:r>
        <w:rPr>
          <w:rFonts w:hint="eastAsia" w:ascii="宋体" w:hAnsi="宋体" w:cs="宋体"/>
          <w:b/>
          <w:bCs w:val="0"/>
          <w:sz w:val="24"/>
        </w:rPr>
        <w:t>5.3</w:t>
      </w:r>
      <w:r>
        <w:rPr>
          <w:rFonts w:hint="eastAsia" w:ascii="宋体" w:hAnsi="宋体" w:cs="宋体"/>
          <w:sz w:val="24"/>
        </w:rPr>
        <w:t>　甲方同意按协议书第五项“报酬及其支付方式”支付乙方的正常服务酬金。</w:t>
      </w:r>
    </w:p>
    <w:p>
      <w:pPr>
        <w:spacing w:line="360" w:lineRule="auto"/>
        <w:ind w:firstLine="482" w:firstLineChars="200"/>
        <w:rPr>
          <w:rFonts w:ascii="宋体" w:hAnsi="宋体" w:cs="宋体"/>
          <w:sz w:val="24"/>
        </w:rPr>
      </w:pPr>
      <w:r>
        <w:rPr>
          <w:rFonts w:hint="eastAsia" w:ascii="宋体" w:hAnsi="宋体" w:cs="宋体"/>
          <w:b/>
          <w:bCs w:val="0"/>
          <w:sz w:val="24"/>
        </w:rPr>
        <w:t>7.3</w:t>
      </w:r>
      <w:r>
        <w:rPr>
          <w:rFonts w:hint="eastAsia" w:ascii="宋体" w:hAnsi="宋体" w:cs="宋体"/>
          <w:sz w:val="24"/>
        </w:rPr>
        <w:t>　建设工程造价咨询合同在履行过程中发生争议，甲方与乙方应及时协商解决；如未能达成一致，可提交有关主管部门调解；协商或调解不成的，依法向</w:t>
      </w:r>
      <w:r>
        <w:rPr>
          <w:rFonts w:hint="eastAsia" w:ascii="宋体" w:hAnsi="宋体" w:cs="宋体"/>
          <w:b/>
          <w:sz w:val="24"/>
          <w:u w:val="single"/>
        </w:rPr>
        <w:t>甲方所在地有管辖权的法院</w:t>
      </w:r>
      <w:r>
        <w:rPr>
          <w:rFonts w:hint="eastAsia" w:ascii="宋体" w:hAnsi="宋体" w:cs="宋体"/>
          <w:sz w:val="24"/>
        </w:rPr>
        <w:t>起诉。</w:t>
      </w:r>
    </w:p>
    <w:p>
      <w:pPr>
        <w:pStyle w:val="19"/>
        <w:tabs>
          <w:tab w:val="left" w:pos="540"/>
          <w:tab w:val="left" w:pos="720"/>
        </w:tabs>
        <w:spacing w:line="360" w:lineRule="auto"/>
        <w:ind w:left="360" w:firstLine="0"/>
        <w:jc w:val="both"/>
        <w:rPr>
          <w:rFonts w:ascii="宋体" w:hAnsi="宋体" w:cs="宋体"/>
          <w:bCs w:val="0"/>
          <w:sz w:val="24"/>
          <w:szCs w:val="24"/>
        </w:rPr>
      </w:pPr>
      <w:r>
        <w:rPr>
          <w:rFonts w:hint="eastAsia" w:ascii="宋体" w:hAnsi="宋体" w:cs="宋体"/>
          <w:bCs w:val="0"/>
          <w:sz w:val="24"/>
          <w:szCs w:val="24"/>
        </w:rPr>
        <w:t>8.6  履约担保</w:t>
      </w:r>
    </w:p>
    <w:p>
      <w:pPr>
        <w:adjustRightInd w:val="0"/>
        <w:snapToGrid w:val="0"/>
        <w:spacing w:line="360" w:lineRule="auto"/>
        <w:ind w:right="11"/>
        <w:rPr>
          <w:rFonts w:ascii="宋体" w:hAnsi="宋体" w:cs="宋体"/>
          <w:snapToGrid w:val="0"/>
          <w:kern w:val="0"/>
          <w:sz w:val="24"/>
        </w:rPr>
      </w:pPr>
      <w:r>
        <w:rPr>
          <w:rFonts w:hint="eastAsia" w:ascii="宋体" w:hAnsi="宋体" w:cs="宋体"/>
          <w:snapToGrid w:val="0"/>
          <w:kern w:val="0"/>
          <w:sz w:val="24"/>
        </w:rPr>
        <w:t xml:space="preserve">8.6.1 </w:t>
      </w:r>
      <w:r>
        <w:rPr>
          <w:rFonts w:hint="eastAsia" w:ascii="宋体" w:hAnsi="宋体" w:cs="宋体"/>
          <w:sz w:val="24"/>
        </w:rPr>
        <w:t>乙方</w:t>
      </w:r>
      <w:r>
        <w:rPr>
          <w:rFonts w:hint="eastAsia" w:ascii="宋体" w:hAnsi="宋体" w:cs="宋体"/>
          <w:snapToGrid w:val="0"/>
          <w:kern w:val="0"/>
          <w:sz w:val="24"/>
        </w:rPr>
        <w:t>提供履约担保</w:t>
      </w:r>
    </w:p>
    <w:p>
      <w:pPr>
        <w:adjustRightInd w:val="0"/>
        <w:snapToGrid w:val="0"/>
        <w:spacing w:line="360" w:lineRule="auto"/>
        <w:ind w:right="11" w:firstLine="480" w:firstLineChars="200"/>
        <w:rPr>
          <w:rFonts w:ascii="宋体" w:hAnsi="宋体" w:cs="宋体"/>
          <w:snapToGrid w:val="0"/>
          <w:kern w:val="0"/>
          <w:sz w:val="24"/>
        </w:rPr>
      </w:pPr>
      <w:r>
        <w:rPr>
          <w:rFonts w:hint="eastAsia" w:ascii="宋体" w:hAnsi="宋体" w:cs="宋体"/>
          <w:snapToGrid w:val="0"/>
          <w:kern w:val="0"/>
          <w:sz w:val="24"/>
        </w:rPr>
        <w:t>（1）履约担保的金额：中标价的10%(注：按已启动区域分别提交履约担保）</w:t>
      </w:r>
    </w:p>
    <w:p>
      <w:pPr>
        <w:adjustRightInd w:val="0"/>
        <w:snapToGrid w:val="0"/>
        <w:spacing w:line="360" w:lineRule="auto"/>
        <w:ind w:right="11" w:firstLine="480" w:firstLineChars="200"/>
        <w:rPr>
          <w:rFonts w:ascii="宋体" w:hAnsi="宋体" w:cs="宋体"/>
          <w:snapToGrid w:val="0"/>
          <w:kern w:val="0"/>
          <w:sz w:val="24"/>
        </w:rPr>
      </w:pPr>
      <w:r>
        <w:rPr>
          <w:rFonts w:hint="eastAsia" w:ascii="宋体" w:hAnsi="宋体" w:cs="宋体"/>
          <w:snapToGrid w:val="0"/>
          <w:kern w:val="0"/>
          <w:sz w:val="24"/>
        </w:rPr>
        <w:t>（2）担保形式：采用银行保函或担保公司担保的形式。</w:t>
      </w:r>
    </w:p>
    <w:p>
      <w:pPr>
        <w:adjustRightInd w:val="0"/>
        <w:snapToGrid w:val="0"/>
        <w:spacing w:line="360" w:lineRule="auto"/>
        <w:ind w:right="11" w:firstLine="480" w:firstLineChars="200"/>
        <w:rPr>
          <w:rFonts w:ascii="宋体" w:hAnsi="宋体" w:cs="宋体"/>
          <w:snapToGrid w:val="0"/>
          <w:kern w:val="0"/>
          <w:sz w:val="24"/>
        </w:rPr>
      </w:pPr>
      <w:r>
        <w:rPr>
          <w:rFonts w:hint="eastAsia" w:ascii="宋体" w:hAnsi="宋体" w:cs="宋体"/>
          <w:snapToGrid w:val="0"/>
          <w:kern w:val="0"/>
          <w:sz w:val="24"/>
        </w:rPr>
        <w:t>（3）履约担保的提交时间：承包人应在收到中标通知书后三十天内。</w:t>
      </w:r>
    </w:p>
    <w:p>
      <w:pPr>
        <w:adjustRightInd w:val="0"/>
        <w:snapToGrid w:val="0"/>
        <w:spacing w:line="360" w:lineRule="auto"/>
        <w:ind w:right="11" w:firstLine="480" w:firstLineChars="200"/>
        <w:rPr>
          <w:rFonts w:ascii="宋体" w:hAnsi="宋体" w:cs="宋体"/>
          <w:snapToGrid w:val="0"/>
          <w:kern w:val="0"/>
          <w:sz w:val="24"/>
        </w:rPr>
      </w:pPr>
      <w:r>
        <w:rPr>
          <w:rFonts w:hint="eastAsia" w:ascii="宋体" w:hAnsi="宋体" w:cs="宋体"/>
          <w:snapToGrid w:val="0"/>
          <w:kern w:val="0"/>
          <w:sz w:val="24"/>
        </w:rPr>
        <w:t>（4）出具履约保函的银行或担保公司：应为在中国注册且营业地点在广州行政辖区内银行</w:t>
      </w:r>
      <w:r>
        <w:rPr>
          <w:rFonts w:hint="eastAsia"/>
          <w:snapToGrid w:val="0"/>
          <w:color w:val="000000" w:themeColor="text1"/>
          <w:spacing w:val="4"/>
          <w:kern w:val="0"/>
          <w:sz w:val="24"/>
          <w14:textFill>
            <w14:solidFill>
              <w14:schemeClr w14:val="tx1"/>
            </w14:solidFill>
          </w14:textFill>
        </w:rPr>
        <w:t>或担保公司</w:t>
      </w:r>
      <w:r>
        <w:rPr>
          <w:rFonts w:hint="eastAsia" w:ascii="宋体" w:hAnsi="宋体" w:cs="宋体"/>
          <w:snapToGrid w:val="0"/>
          <w:kern w:val="0"/>
          <w:sz w:val="24"/>
        </w:rPr>
        <w:t>。</w:t>
      </w:r>
    </w:p>
    <w:p>
      <w:pPr>
        <w:adjustRightInd w:val="0"/>
        <w:snapToGrid w:val="0"/>
        <w:spacing w:line="360" w:lineRule="auto"/>
        <w:ind w:right="11" w:firstLine="480" w:firstLineChars="200"/>
        <w:rPr>
          <w:rFonts w:ascii="宋体" w:hAnsi="宋体" w:cs="宋体"/>
          <w:snapToGrid w:val="0"/>
          <w:kern w:val="0"/>
          <w:sz w:val="24"/>
        </w:rPr>
      </w:pPr>
      <w:r>
        <w:rPr>
          <w:rFonts w:hint="eastAsia" w:ascii="宋体" w:hAnsi="宋体" w:cs="宋体"/>
          <w:snapToGrid w:val="0"/>
          <w:kern w:val="0"/>
          <w:sz w:val="24"/>
        </w:rPr>
        <w:t>（5）中标通知书收到之日起30日内，乙方未按上款的规定递交履约担保，乙方被视为放弃中标资格，原乙方的投标保证金不予退还，且依法承担相应法律责任。</w:t>
      </w:r>
    </w:p>
    <w:p>
      <w:pPr>
        <w:adjustRightInd w:val="0"/>
        <w:snapToGrid w:val="0"/>
        <w:spacing w:line="360" w:lineRule="auto"/>
        <w:ind w:right="11" w:firstLine="480" w:firstLineChars="200"/>
        <w:rPr>
          <w:rFonts w:ascii="宋体" w:hAnsi="宋体" w:cs="宋体"/>
          <w:snapToGrid w:val="0"/>
          <w:kern w:val="0"/>
          <w:sz w:val="24"/>
        </w:rPr>
      </w:pPr>
      <w:r>
        <w:rPr>
          <w:rFonts w:hint="eastAsia" w:ascii="宋体" w:hAnsi="宋体" w:cs="宋体"/>
          <w:snapToGrid w:val="0"/>
          <w:kern w:val="0"/>
          <w:sz w:val="24"/>
        </w:rPr>
        <w:t>8.6.2 履约保函使用流程</w:t>
      </w:r>
    </w:p>
    <w:p>
      <w:pPr>
        <w:adjustRightInd w:val="0"/>
        <w:snapToGrid w:val="0"/>
        <w:spacing w:line="360" w:lineRule="auto"/>
        <w:ind w:right="11" w:firstLine="480" w:firstLineChars="200"/>
        <w:rPr>
          <w:rFonts w:ascii="宋体" w:hAnsi="宋体" w:cs="宋体"/>
          <w:snapToGrid w:val="0"/>
          <w:kern w:val="0"/>
          <w:sz w:val="24"/>
        </w:rPr>
      </w:pPr>
      <w:r>
        <w:rPr>
          <w:rFonts w:hint="eastAsia" w:ascii="宋体" w:hAnsi="宋体" w:cs="宋体"/>
          <w:snapToGrid w:val="0"/>
          <w:kern w:val="0"/>
          <w:sz w:val="24"/>
        </w:rPr>
        <w:t>（1）甲方在对履约担保提出索赔要求之前，应书面通知</w:t>
      </w:r>
      <w:r>
        <w:rPr>
          <w:rFonts w:hint="eastAsia" w:ascii="宋体" w:hAnsi="宋体" w:cs="宋体"/>
          <w:sz w:val="24"/>
        </w:rPr>
        <w:t>乙方</w:t>
      </w:r>
      <w:r>
        <w:rPr>
          <w:rFonts w:hint="eastAsia" w:ascii="宋体" w:hAnsi="宋体" w:cs="宋体"/>
          <w:snapToGrid w:val="0"/>
          <w:kern w:val="0"/>
          <w:sz w:val="24"/>
        </w:rPr>
        <w:t>，说明导致此项索赔的原因，并及时向担保银行或担保公司提出索赔文件。担保银行或担保公司根据履约保函的承诺在担保范围内承担担保责任，无须征得</w:t>
      </w:r>
      <w:r>
        <w:rPr>
          <w:rFonts w:hint="eastAsia" w:ascii="宋体" w:hAnsi="宋体" w:cs="宋体"/>
          <w:sz w:val="24"/>
        </w:rPr>
        <w:t>乙方</w:t>
      </w:r>
      <w:r>
        <w:rPr>
          <w:rFonts w:hint="eastAsia" w:ascii="宋体" w:hAnsi="宋体" w:cs="宋体"/>
          <w:snapToGrid w:val="0"/>
          <w:kern w:val="0"/>
          <w:sz w:val="24"/>
        </w:rPr>
        <w:t>的同意，直接向甲方支付索赔款项。</w:t>
      </w:r>
    </w:p>
    <w:p>
      <w:pPr>
        <w:adjustRightInd w:val="0"/>
        <w:snapToGrid w:val="0"/>
        <w:spacing w:line="360" w:lineRule="auto"/>
        <w:ind w:right="11" w:firstLine="480" w:firstLineChars="200"/>
        <w:rPr>
          <w:rFonts w:ascii="宋体" w:hAnsi="宋体" w:cs="宋体"/>
          <w:snapToGrid w:val="0"/>
          <w:kern w:val="0"/>
          <w:sz w:val="24"/>
        </w:rPr>
      </w:pPr>
      <w:r>
        <w:rPr>
          <w:rFonts w:hint="eastAsia" w:ascii="宋体" w:hAnsi="宋体" w:cs="宋体"/>
          <w:snapToGrid w:val="0"/>
          <w:kern w:val="0"/>
          <w:sz w:val="24"/>
        </w:rPr>
        <w:t>（2）</w:t>
      </w:r>
      <w:r>
        <w:rPr>
          <w:rFonts w:hint="eastAsia" w:ascii="宋体" w:hAnsi="宋体" w:cs="宋体"/>
          <w:sz w:val="24"/>
        </w:rPr>
        <w:t>乙方</w:t>
      </w:r>
      <w:r>
        <w:rPr>
          <w:rFonts w:hint="eastAsia" w:ascii="宋体" w:hAnsi="宋体" w:cs="宋体"/>
          <w:snapToGrid w:val="0"/>
          <w:kern w:val="0"/>
          <w:sz w:val="24"/>
        </w:rPr>
        <w:t>不履行或不完全履行合同义务的行为导致甲方通过履约保函向银行或担保公司索赔履约保函金额的一部分或者全部的，</w:t>
      </w:r>
      <w:r>
        <w:rPr>
          <w:rFonts w:hint="eastAsia" w:ascii="宋体" w:hAnsi="宋体" w:cs="宋体"/>
          <w:sz w:val="24"/>
        </w:rPr>
        <w:t>乙方</w:t>
      </w:r>
      <w:r>
        <w:rPr>
          <w:rFonts w:hint="eastAsia" w:ascii="宋体" w:hAnsi="宋体" w:cs="宋体"/>
          <w:snapToGrid w:val="0"/>
          <w:kern w:val="0"/>
          <w:sz w:val="24"/>
        </w:rPr>
        <w:t>必须在甲方规定的时间内补充提交履约保函，使得本合同履行期间有效的履约保函金额不低于</w:t>
      </w:r>
      <w:r>
        <w:rPr>
          <w:rFonts w:hint="eastAsia" w:ascii="宋体" w:hAnsi="宋体" w:cs="宋体"/>
          <w:sz w:val="24"/>
        </w:rPr>
        <w:t>乙方</w:t>
      </w:r>
      <w:r>
        <w:rPr>
          <w:rFonts w:hint="eastAsia" w:ascii="宋体" w:hAnsi="宋体" w:cs="宋体"/>
          <w:snapToGrid w:val="0"/>
          <w:kern w:val="0"/>
          <w:sz w:val="24"/>
        </w:rPr>
        <w:t>第一次提交的履约保函金额，同时也不超过本合同约定的咨询费的余额。</w:t>
      </w:r>
    </w:p>
    <w:p>
      <w:pPr>
        <w:adjustRightInd w:val="0"/>
        <w:snapToGrid w:val="0"/>
        <w:spacing w:line="360" w:lineRule="auto"/>
        <w:ind w:right="11" w:firstLine="480" w:firstLineChars="200"/>
        <w:rPr>
          <w:rFonts w:ascii="宋体" w:hAnsi="宋体" w:cs="宋体"/>
          <w:snapToGrid w:val="0"/>
          <w:kern w:val="0"/>
          <w:sz w:val="24"/>
        </w:rPr>
      </w:pPr>
      <w:r>
        <w:rPr>
          <w:rFonts w:hint="eastAsia" w:ascii="宋体" w:hAnsi="宋体" w:cs="宋体"/>
          <w:snapToGrid w:val="0"/>
          <w:kern w:val="0"/>
          <w:sz w:val="24"/>
        </w:rPr>
        <w:t>8.6.3履约担保的启用条件</w:t>
      </w:r>
    </w:p>
    <w:p>
      <w:pPr>
        <w:adjustRightInd w:val="0"/>
        <w:snapToGrid w:val="0"/>
        <w:spacing w:line="360" w:lineRule="auto"/>
        <w:ind w:right="11" w:firstLine="480" w:firstLineChars="200"/>
        <w:rPr>
          <w:rFonts w:ascii="宋体" w:hAnsi="宋体" w:cs="宋体"/>
          <w:snapToGrid w:val="0"/>
          <w:kern w:val="0"/>
          <w:sz w:val="24"/>
        </w:rPr>
      </w:pPr>
      <w:r>
        <w:rPr>
          <w:rFonts w:hint="eastAsia" w:ascii="宋体" w:hAnsi="宋体" w:cs="宋体"/>
          <w:snapToGrid w:val="0"/>
          <w:kern w:val="0"/>
          <w:sz w:val="24"/>
        </w:rPr>
        <w:t>当出现下列情形时，甲方有权启用履约担保：</w:t>
      </w:r>
    </w:p>
    <w:p>
      <w:pPr>
        <w:adjustRightInd w:val="0"/>
        <w:snapToGrid w:val="0"/>
        <w:spacing w:line="360" w:lineRule="auto"/>
        <w:ind w:right="11" w:firstLine="480" w:firstLineChars="200"/>
        <w:rPr>
          <w:rFonts w:ascii="宋体" w:hAnsi="宋体" w:cs="宋体"/>
          <w:snapToGrid w:val="0"/>
          <w:kern w:val="0"/>
          <w:sz w:val="24"/>
        </w:rPr>
      </w:pPr>
      <w:r>
        <w:rPr>
          <w:rFonts w:hint="eastAsia" w:ascii="宋体" w:hAnsi="宋体" w:cs="宋体"/>
          <w:snapToGrid w:val="0"/>
          <w:kern w:val="0"/>
          <w:sz w:val="24"/>
        </w:rPr>
        <w:t>（1）如果</w:t>
      </w:r>
      <w:r>
        <w:rPr>
          <w:rFonts w:hint="eastAsia" w:ascii="宋体" w:hAnsi="宋体" w:cs="宋体"/>
          <w:sz w:val="24"/>
        </w:rPr>
        <w:t>乙方</w:t>
      </w:r>
      <w:r>
        <w:rPr>
          <w:rFonts w:hint="eastAsia" w:ascii="宋体" w:hAnsi="宋体" w:cs="宋体"/>
          <w:snapToGrid w:val="0"/>
          <w:kern w:val="0"/>
          <w:sz w:val="24"/>
        </w:rPr>
        <w:t>不能保证项目资金的投入导致本项目进度比约定的节点工期滞后30天以上或因</w:t>
      </w:r>
      <w:r>
        <w:rPr>
          <w:rFonts w:hint="eastAsia" w:ascii="宋体" w:hAnsi="宋体" w:cs="宋体"/>
          <w:sz w:val="24"/>
        </w:rPr>
        <w:t>乙方</w:t>
      </w:r>
      <w:r>
        <w:rPr>
          <w:rFonts w:hint="eastAsia" w:ascii="宋体" w:hAnsi="宋体" w:cs="宋体"/>
          <w:snapToGrid w:val="0"/>
          <w:kern w:val="0"/>
          <w:sz w:val="24"/>
        </w:rPr>
        <w:t>原因解除本协议，则甲方有权启用履约担保，用于项目违约金；</w:t>
      </w:r>
    </w:p>
    <w:p>
      <w:pPr>
        <w:adjustRightInd w:val="0"/>
        <w:snapToGrid w:val="0"/>
        <w:spacing w:line="360" w:lineRule="auto"/>
        <w:ind w:right="11" w:firstLine="480" w:firstLineChars="200"/>
        <w:rPr>
          <w:rFonts w:ascii="宋体" w:hAnsi="宋体" w:cs="宋体"/>
          <w:snapToGrid w:val="0"/>
          <w:kern w:val="0"/>
          <w:sz w:val="24"/>
        </w:rPr>
      </w:pPr>
      <w:r>
        <w:rPr>
          <w:rFonts w:hint="eastAsia" w:ascii="宋体" w:hAnsi="宋体" w:cs="宋体"/>
          <w:snapToGrid w:val="0"/>
          <w:kern w:val="0"/>
          <w:sz w:val="24"/>
        </w:rPr>
        <w:t>（2）因</w:t>
      </w:r>
      <w:r>
        <w:rPr>
          <w:rFonts w:hint="eastAsia" w:ascii="宋体" w:hAnsi="宋体" w:cs="宋体"/>
          <w:sz w:val="24"/>
        </w:rPr>
        <w:t>乙方</w:t>
      </w:r>
      <w:r>
        <w:rPr>
          <w:rFonts w:hint="eastAsia" w:ascii="宋体" w:hAnsi="宋体" w:cs="宋体"/>
          <w:snapToGrid w:val="0"/>
          <w:kern w:val="0"/>
          <w:sz w:val="24"/>
        </w:rPr>
        <w:t>原因（包括但不限于未按期向专业分包设计单位支付相关款项等引发与第三方的纠纷，导致本项目或甲方受到影响或损失；</w:t>
      </w:r>
    </w:p>
    <w:p>
      <w:pPr>
        <w:adjustRightInd w:val="0"/>
        <w:snapToGrid w:val="0"/>
        <w:spacing w:line="360" w:lineRule="auto"/>
        <w:ind w:right="11" w:firstLine="480" w:firstLineChars="200"/>
        <w:rPr>
          <w:rFonts w:ascii="宋体" w:hAnsi="宋体" w:cs="宋体"/>
          <w:snapToGrid w:val="0"/>
          <w:kern w:val="0"/>
          <w:sz w:val="24"/>
        </w:rPr>
      </w:pPr>
      <w:r>
        <w:rPr>
          <w:rFonts w:hint="eastAsia" w:ascii="宋体" w:hAnsi="宋体" w:cs="宋体"/>
          <w:snapToGrid w:val="0"/>
          <w:kern w:val="0"/>
          <w:sz w:val="24"/>
        </w:rPr>
        <w:t>（3）因</w:t>
      </w:r>
      <w:r>
        <w:rPr>
          <w:rFonts w:hint="eastAsia" w:ascii="宋体" w:hAnsi="宋体" w:cs="宋体"/>
          <w:sz w:val="24"/>
        </w:rPr>
        <w:t>乙方</w:t>
      </w:r>
      <w:r>
        <w:rPr>
          <w:rFonts w:hint="eastAsia" w:ascii="宋体" w:hAnsi="宋体" w:cs="宋体"/>
          <w:snapToGrid w:val="0"/>
          <w:kern w:val="0"/>
          <w:sz w:val="24"/>
        </w:rPr>
        <w:t>违约计扣的违约金或赔偿金累计超过应付服务费用总额；</w:t>
      </w:r>
    </w:p>
    <w:p>
      <w:pPr>
        <w:adjustRightInd w:val="0"/>
        <w:snapToGrid w:val="0"/>
        <w:spacing w:line="360" w:lineRule="auto"/>
        <w:ind w:right="11" w:firstLine="480" w:firstLineChars="200"/>
        <w:rPr>
          <w:rFonts w:ascii="宋体" w:hAnsi="宋体" w:cs="宋体"/>
          <w:snapToGrid w:val="0"/>
          <w:kern w:val="0"/>
          <w:sz w:val="24"/>
        </w:rPr>
      </w:pPr>
      <w:r>
        <w:rPr>
          <w:rFonts w:hint="eastAsia" w:ascii="宋体" w:hAnsi="宋体" w:cs="宋体"/>
          <w:snapToGrid w:val="0"/>
          <w:kern w:val="0"/>
          <w:sz w:val="24"/>
        </w:rPr>
        <w:t>（4）本协议（含本协议附件）约定的其他部分或全部需要启动履约担保的情形。</w:t>
      </w:r>
    </w:p>
    <w:p>
      <w:pPr>
        <w:adjustRightInd w:val="0"/>
        <w:snapToGrid w:val="0"/>
        <w:spacing w:line="360" w:lineRule="auto"/>
        <w:ind w:right="11" w:firstLine="480" w:firstLineChars="200"/>
        <w:rPr>
          <w:rFonts w:ascii="宋体" w:hAnsi="宋体" w:cs="宋体"/>
          <w:snapToGrid w:val="0"/>
          <w:kern w:val="0"/>
          <w:sz w:val="24"/>
        </w:rPr>
      </w:pPr>
      <w:r>
        <w:rPr>
          <w:rFonts w:hint="eastAsia" w:ascii="宋体" w:hAnsi="宋体" w:cs="宋体"/>
          <w:snapToGrid w:val="0"/>
          <w:kern w:val="0"/>
          <w:sz w:val="24"/>
        </w:rPr>
        <w:t>（5）</w:t>
      </w:r>
      <w:r>
        <w:rPr>
          <w:rFonts w:hint="eastAsia" w:ascii="宋体" w:hAnsi="宋体" w:cs="宋体"/>
          <w:sz w:val="24"/>
        </w:rPr>
        <w:t>乙方</w:t>
      </w:r>
      <w:r>
        <w:rPr>
          <w:rFonts w:hint="eastAsia" w:ascii="宋体" w:hAnsi="宋体" w:cs="宋体"/>
          <w:snapToGrid w:val="0"/>
          <w:kern w:val="0"/>
          <w:sz w:val="24"/>
        </w:rPr>
        <w:t>在履行合同过程中，由于以上且不仅限于以上的违约行为，甲方进行违约处罚，并根据</w:t>
      </w:r>
      <w:r>
        <w:rPr>
          <w:rFonts w:hint="eastAsia" w:ascii="宋体" w:hAnsi="宋体" w:cs="宋体"/>
          <w:sz w:val="24"/>
        </w:rPr>
        <w:t>乙方</w:t>
      </w:r>
      <w:r>
        <w:rPr>
          <w:rFonts w:hint="eastAsia" w:ascii="宋体" w:hAnsi="宋体" w:cs="宋体"/>
          <w:snapToGrid w:val="0"/>
          <w:kern w:val="0"/>
          <w:sz w:val="24"/>
        </w:rPr>
        <w:t>的投标承诺书动用履约担保，</w:t>
      </w:r>
      <w:r>
        <w:rPr>
          <w:rFonts w:hint="eastAsia" w:ascii="宋体" w:hAnsi="宋体" w:cs="宋体"/>
          <w:sz w:val="24"/>
        </w:rPr>
        <w:t>乙方</w:t>
      </w:r>
      <w:r>
        <w:rPr>
          <w:rFonts w:hint="eastAsia" w:ascii="宋体" w:hAnsi="宋体" w:cs="宋体"/>
          <w:snapToGrid w:val="0"/>
          <w:kern w:val="0"/>
          <w:sz w:val="24"/>
        </w:rPr>
        <w:t>及</w:t>
      </w:r>
      <w:r>
        <w:rPr>
          <w:rFonts w:hint="eastAsia" w:ascii="宋体" w:hAnsi="宋体" w:cs="宋体"/>
          <w:sz w:val="24"/>
        </w:rPr>
        <w:t>乙方</w:t>
      </w:r>
      <w:r>
        <w:rPr>
          <w:rFonts w:hint="eastAsia" w:ascii="宋体" w:hAnsi="宋体" w:cs="宋体"/>
          <w:snapToGrid w:val="0"/>
          <w:kern w:val="0"/>
          <w:sz w:val="24"/>
        </w:rPr>
        <w:t>的履约担保方须无条件执行，且不挑剔、不争辩、不迟延，也不要求甲方出具任何证明或说明背景、理由。</w:t>
      </w:r>
    </w:p>
    <w:p>
      <w:pPr>
        <w:adjustRightInd w:val="0"/>
        <w:snapToGrid w:val="0"/>
        <w:spacing w:line="360" w:lineRule="auto"/>
        <w:ind w:right="11" w:firstLine="480" w:firstLineChars="200"/>
        <w:rPr>
          <w:rFonts w:ascii="宋体" w:hAnsi="宋体" w:cs="宋体"/>
          <w:snapToGrid w:val="0"/>
          <w:kern w:val="0"/>
          <w:sz w:val="24"/>
        </w:rPr>
      </w:pPr>
      <w:r>
        <w:rPr>
          <w:rFonts w:hint="eastAsia" w:ascii="宋体" w:hAnsi="宋体" w:cs="宋体"/>
          <w:snapToGrid w:val="0"/>
          <w:kern w:val="0"/>
          <w:sz w:val="24"/>
        </w:rPr>
        <w:t>8.6.4如果乙方不按甲方的要求提交保险单、履约保函的，视为违约，则甲方有权部分解除或解除本合同，其所提交的投标保证金不予退还。</w:t>
      </w:r>
    </w:p>
    <w:p>
      <w:pPr>
        <w:adjustRightInd w:val="0"/>
        <w:snapToGrid w:val="0"/>
        <w:spacing w:line="360" w:lineRule="auto"/>
        <w:ind w:right="11" w:firstLine="480" w:firstLineChars="200"/>
        <w:rPr>
          <w:rFonts w:ascii="宋体" w:hAnsi="宋体" w:cs="宋体"/>
          <w:snapToGrid w:val="0"/>
          <w:kern w:val="0"/>
          <w:sz w:val="24"/>
        </w:rPr>
      </w:pPr>
      <w:r>
        <w:rPr>
          <w:rFonts w:hint="eastAsia" w:ascii="宋体" w:hAnsi="宋体" w:cs="宋体"/>
          <w:snapToGrid w:val="0"/>
          <w:kern w:val="0"/>
          <w:sz w:val="24"/>
        </w:rPr>
        <w:t>8.6.5履约担保到期后，乙方应当续期，发生乙方违约，甲方有权在甲方当期应支付服务费中扣除相应违约款项。</w:t>
      </w:r>
    </w:p>
    <w:p>
      <w:pPr>
        <w:adjustRightInd w:val="0"/>
        <w:snapToGrid w:val="0"/>
        <w:spacing w:line="360" w:lineRule="auto"/>
        <w:ind w:right="11" w:firstLine="480" w:firstLineChars="200"/>
        <w:rPr>
          <w:rFonts w:ascii="宋体" w:hAnsi="宋体" w:cs="宋体"/>
          <w:snapToGrid w:val="0"/>
          <w:kern w:val="0"/>
          <w:sz w:val="24"/>
        </w:rPr>
      </w:pPr>
      <w:r>
        <w:rPr>
          <w:rFonts w:hint="eastAsia" w:ascii="宋体" w:hAnsi="宋体" w:cs="宋体"/>
          <w:snapToGrid w:val="0"/>
          <w:kern w:val="0"/>
          <w:sz w:val="24"/>
        </w:rPr>
        <w:t>8.6.6乙方</w:t>
      </w:r>
      <w:r>
        <w:rPr>
          <w:rFonts w:hint="eastAsia" w:ascii="宋体" w:hAnsi="宋体" w:cs="宋体"/>
          <w:snapToGrid w:val="0"/>
          <w:kern w:val="0"/>
          <w:sz w:val="24"/>
          <w:lang w:val="zh-CN"/>
        </w:rPr>
        <w:t>全部履行完本合同约定的义务时，</w:t>
      </w:r>
      <w:r>
        <w:rPr>
          <w:rFonts w:hint="eastAsia" w:ascii="宋体" w:hAnsi="宋体" w:cs="宋体"/>
          <w:snapToGrid w:val="0"/>
          <w:kern w:val="0"/>
          <w:sz w:val="24"/>
        </w:rPr>
        <w:t>甲方通过乙方将履约保函退还给银行或担保公司。</w:t>
      </w:r>
    </w:p>
    <w:p>
      <w:pPr>
        <w:adjustRightInd w:val="0"/>
        <w:snapToGrid w:val="0"/>
        <w:spacing w:line="360" w:lineRule="auto"/>
        <w:ind w:right="11" w:firstLine="480" w:firstLineChars="200"/>
        <w:rPr>
          <w:rFonts w:ascii="宋体" w:hAnsi="宋体" w:cs="宋体"/>
          <w:snapToGrid w:val="0"/>
          <w:kern w:val="0"/>
          <w:sz w:val="24"/>
        </w:rPr>
      </w:pPr>
      <w:r>
        <w:rPr>
          <w:rFonts w:hint="eastAsia" w:ascii="宋体" w:hAnsi="宋体" w:cs="宋体"/>
          <w:snapToGrid w:val="0"/>
          <w:kern w:val="0"/>
          <w:sz w:val="24"/>
        </w:rPr>
        <w:t>8.6.7如果乙方不按甲方的要求及时补充提交履约保函，则甲方有权单方面部分解除或解除本合同。</w:t>
      </w:r>
    </w:p>
    <w:p>
      <w:pPr>
        <w:adjustRightInd w:val="0"/>
        <w:snapToGrid w:val="0"/>
        <w:spacing w:line="360" w:lineRule="auto"/>
        <w:ind w:right="11" w:firstLine="480" w:firstLineChars="200"/>
        <w:rPr>
          <w:rFonts w:ascii="宋体" w:hAnsi="宋体" w:cs="宋体"/>
          <w:snapToGrid w:val="0"/>
          <w:kern w:val="0"/>
          <w:sz w:val="24"/>
        </w:rPr>
      </w:pPr>
      <w:r>
        <w:rPr>
          <w:rFonts w:hint="eastAsia" w:ascii="宋体" w:hAnsi="宋体" w:cs="宋体"/>
          <w:snapToGrid w:val="0"/>
          <w:kern w:val="0"/>
          <w:sz w:val="24"/>
        </w:rPr>
        <w:t>8.6.8工程结算最终定审后，乙方可以向甲方申请退还履约保函（不计利息）。</w:t>
      </w:r>
    </w:p>
    <w:p>
      <w:pPr>
        <w:adjustRightInd w:val="0"/>
        <w:snapToGrid w:val="0"/>
        <w:spacing w:line="360" w:lineRule="auto"/>
        <w:ind w:right="11" w:firstLine="480" w:firstLineChars="200"/>
        <w:rPr>
          <w:rFonts w:ascii="宋体" w:hAnsi="宋体" w:cs="宋体"/>
          <w:snapToGrid w:val="0"/>
          <w:spacing w:val="4"/>
          <w:kern w:val="0"/>
          <w:sz w:val="24"/>
        </w:rPr>
      </w:pPr>
      <w:r>
        <w:rPr>
          <w:rFonts w:hint="eastAsia" w:ascii="宋体" w:hAnsi="宋体" w:cs="宋体"/>
          <w:snapToGrid w:val="0"/>
          <w:kern w:val="0"/>
          <w:sz w:val="24"/>
        </w:rPr>
        <w:t>8.6.9乙方应在咨询服务期内，办理派驻到项目所在地人员人身和自备财产的有关保险，保险时</w:t>
      </w:r>
      <w:r>
        <w:rPr>
          <w:rFonts w:hint="eastAsia" w:ascii="宋体" w:hAnsi="宋体" w:cs="宋体"/>
          <w:snapToGrid w:val="0"/>
          <w:spacing w:val="4"/>
          <w:kern w:val="0"/>
          <w:sz w:val="24"/>
        </w:rPr>
        <w:t>间应随服务时间的延长而顺延，并在出险后自行办理索赔。如果</w:t>
      </w:r>
      <w:r>
        <w:rPr>
          <w:rFonts w:hint="eastAsia" w:ascii="宋体" w:hAnsi="宋体" w:cs="宋体"/>
          <w:sz w:val="24"/>
        </w:rPr>
        <w:t>乙方</w:t>
      </w:r>
      <w:r>
        <w:rPr>
          <w:rFonts w:hint="eastAsia" w:ascii="宋体" w:hAnsi="宋体" w:cs="宋体"/>
          <w:snapToGrid w:val="0"/>
          <w:spacing w:val="4"/>
          <w:kern w:val="0"/>
          <w:sz w:val="24"/>
        </w:rPr>
        <w:t>不办理上述保险，则应对有关风险及后果自负其责。同时，</w:t>
      </w:r>
      <w:r>
        <w:rPr>
          <w:rFonts w:hint="eastAsia" w:ascii="宋体" w:hAnsi="宋体" w:cs="宋体"/>
          <w:sz w:val="24"/>
        </w:rPr>
        <w:t>乙方</w:t>
      </w:r>
      <w:r>
        <w:rPr>
          <w:rFonts w:hint="eastAsia" w:ascii="宋体" w:hAnsi="宋体" w:cs="宋体"/>
          <w:snapToGrid w:val="0"/>
          <w:spacing w:val="4"/>
          <w:kern w:val="0"/>
          <w:sz w:val="24"/>
        </w:rPr>
        <w:t>应该尽一切合理的努力，按甲方可接受的条件对</w:t>
      </w:r>
      <w:r>
        <w:rPr>
          <w:rFonts w:hint="eastAsia" w:ascii="宋体" w:hAnsi="宋体" w:cs="宋体"/>
          <w:sz w:val="24"/>
        </w:rPr>
        <w:t>乙方</w:t>
      </w:r>
      <w:r>
        <w:rPr>
          <w:rFonts w:hint="eastAsia" w:ascii="宋体" w:hAnsi="宋体" w:cs="宋体"/>
          <w:snapToGrid w:val="0"/>
          <w:spacing w:val="4"/>
          <w:kern w:val="0"/>
          <w:sz w:val="24"/>
        </w:rPr>
        <w:t>的责任、第三方的责任以及甲方为咨询服务提供的财产等进行保险。上述有关费用由乙方承担。</w:t>
      </w:r>
    </w:p>
    <w:p>
      <w:pPr>
        <w:adjustRightInd w:val="0"/>
        <w:snapToGrid w:val="0"/>
        <w:spacing w:line="360" w:lineRule="auto"/>
        <w:ind w:right="11" w:firstLine="480" w:firstLineChars="200"/>
        <w:rPr>
          <w:rFonts w:ascii="宋体" w:hAnsi="宋体" w:cs="宋体"/>
          <w:snapToGrid w:val="0"/>
          <w:spacing w:val="4"/>
          <w:kern w:val="0"/>
          <w:sz w:val="24"/>
        </w:rPr>
      </w:pPr>
      <w:r>
        <w:rPr>
          <w:rFonts w:hint="eastAsia" w:ascii="宋体" w:hAnsi="宋体" w:cs="宋体"/>
          <w:snapToGrid w:val="0"/>
          <w:kern w:val="0"/>
          <w:sz w:val="24"/>
        </w:rPr>
        <w:t>8.6.10</w:t>
      </w:r>
      <w:r>
        <w:rPr>
          <w:rFonts w:hint="eastAsia" w:ascii="宋体" w:hAnsi="宋体" w:cs="宋体"/>
          <w:snapToGrid w:val="0"/>
          <w:spacing w:val="4"/>
          <w:kern w:val="0"/>
          <w:sz w:val="24"/>
        </w:rPr>
        <w:t>乙方不按上述约定购买保险所产生的后果，由乙方自行承担。</w:t>
      </w:r>
    </w:p>
    <w:p>
      <w:pPr>
        <w:spacing w:line="360" w:lineRule="auto"/>
        <w:rPr>
          <w:rFonts w:ascii="宋体" w:hAnsi="宋体" w:cs="宋体"/>
          <w:kern w:val="0"/>
          <w:sz w:val="24"/>
        </w:rPr>
      </w:pPr>
    </w:p>
    <w:p>
      <w:pPr>
        <w:adjustRightInd w:val="0"/>
        <w:snapToGrid w:val="0"/>
        <w:spacing w:line="360" w:lineRule="auto"/>
        <w:ind w:left="-178" w:leftChars="-85" w:right="-178" w:rightChars="-85" w:firstLine="420" w:firstLineChars="200"/>
        <w:rPr>
          <w:szCs w:val="21"/>
        </w:rPr>
      </w:pPr>
    </w:p>
    <w:p>
      <w:pPr>
        <w:adjustRightInd w:val="0"/>
        <w:snapToGrid w:val="0"/>
        <w:spacing w:line="360" w:lineRule="auto"/>
        <w:ind w:left="-178" w:leftChars="-85" w:right="-178" w:rightChars="-85" w:firstLine="420" w:firstLineChars="200"/>
        <w:rPr>
          <w:szCs w:val="21"/>
        </w:rPr>
      </w:pPr>
    </w:p>
    <w:p>
      <w:pPr>
        <w:widowControl/>
        <w:jc w:val="left"/>
        <w:rPr>
          <w:szCs w:val="21"/>
        </w:rPr>
      </w:pPr>
      <w:r>
        <w:rPr>
          <w:szCs w:val="21"/>
        </w:rPr>
        <w:br w:type="page"/>
      </w:r>
    </w:p>
    <w:p>
      <w:pPr>
        <w:adjustRightInd w:val="0"/>
        <w:snapToGrid w:val="0"/>
        <w:spacing w:line="360" w:lineRule="auto"/>
        <w:rPr>
          <w:b/>
          <w:szCs w:val="21"/>
        </w:rPr>
        <w:sectPr>
          <w:footerReference r:id="rId10" w:type="first"/>
          <w:footerReference r:id="rId9" w:type="default"/>
          <w:pgSz w:w="11906" w:h="16838"/>
          <w:pgMar w:top="1020" w:right="1361" w:bottom="1020" w:left="1417" w:header="850" w:footer="850" w:gutter="0"/>
          <w:pgNumType w:start="1"/>
          <w:cols w:space="720" w:num="1"/>
          <w:titlePg/>
          <w:docGrid w:type="lines" w:linePitch="312" w:charSpace="0"/>
        </w:sectPr>
      </w:pPr>
    </w:p>
    <w:p>
      <w:pPr>
        <w:pStyle w:val="19"/>
        <w:spacing w:line="360" w:lineRule="auto"/>
        <w:ind w:left="-61" w:leftChars="-228" w:hanging="417" w:hangingChars="199"/>
        <w:jc w:val="left"/>
        <w:rPr>
          <w:w w:val="150"/>
          <w:sz w:val="24"/>
        </w:rPr>
      </w:pPr>
      <w:r>
        <w:rPr>
          <w:szCs w:val="21"/>
        </w:rPr>
        <w:t>附件</w:t>
      </w:r>
      <w:r>
        <w:rPr>
          <w:rFonts w:hint="eastAsia"/>
          <w:szCs w:val="21"/>
        </w:rPr>
        <w:t>1</w:t>
      </w:r>
    </w:p>
    <w:p>
      <w:pPr>
        <w:adjustRightInd w:val="0"/>
        <w:snapToGrid w:val="0"/>
        <w:spacing w:line="360" w:lineRule="auto"/>
        <w:jc w:val="center"/>
        <w:rPr>
          <w:b/>
          <w:sz w:val="30"/>
          <w:szCs w:val="30"/>
        </w:rPr>
      </w:pPr>
      <w:r>
        <w:rPr>
          <w:b/>
          <w:spacing w:val="31"/>
          <w:kern w:val="0"/>
          <w:sz w:val="30"/>
          <w:szCs w:val="30"/>
        </w:rPr>
        <w:t>全过程造价咨询服务工作及成果质量量化考核</w:t>
      </w:r>
      <w:r>
        <w:rPr>
          <w:b/>
          <w:spacing w:val="14"/>
          <w:kern w:val="0"/>
          <w:sz w:val="30"/>
          <w:szCs w:val="30"/>
        </w:rPr>
        <w:t>表</w:t>
      </w:r>
    </w:p>
    <w:tbl>
      <w:tblPr>
        <w:tblStyle w:val="20"/>
        <w:tblW w:w="14740" w:type="dxa"/>
        <w:jc w:val="center"/>
        <w:tblLayout w:type="fixed"/>
        <w:tblCellMar>
          <w:top w:w="0" w:type="dxa"/>
          <w:left w:w="108" w:type="dxa"/>
          <w:bottom w:w="0" w:type="dxa"/>
          <w:right w:w="108" w:type="dxa"/>
        </w:tblCellMar>
      </w:tblPr>
      <w:tblGrid>
        <w:gridCol w:w="625"/>
        <w:gridCol w:w="1134"/>
        <w:gridCol w:w="5528"/>
        <w:gridCol w:w="2552"/>
        <w:gridCol w:w="1417"/>
        <w:gridCol w:w="3484"/>
      </w:tblGrid>
      <w:tr>
        <w:tblPrEx>
          <w:tblCellMar>
            <w:top w:w="0" w:type="dxa"/>
            <w:left w:w="108" w:type="dxa"/>
            <w:bottom w:w="0" w:type="dxa"/>
            <w:right w:w="108" w:type="dxa"/>
          </w:tblCellMar>
        </w:tblPrEx>
        <w:trPr>
          <w:trHeight w:val="790" w:hRule="atLeast"/>
          <w:jc w:val="center"/>
        </w:trPr>
        <w:tc>
          <w:tcPr>
            <w:tcW w:w="625"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rPr>
                <w:b/>
                <w:kern w:val="0"/>
                <w:szCs w:val="21"/>
              </w:rPr>
            </w:pPr>
            <w:r>
              <w:rPr>
                <w:b/>
                <w:kern w:val="0"/>
                <w:szCs w:val="21"/>
              </w:rPr>
              <w:t>序号</w:t>
            </w:r>
          </w:p>
        </w:tc>
        <w:tc>
          <w:tcPr>
            <w:tcW w:w="1134" w:type="dxa"/>
            <w:tcBorders>
              <w:top w:val="single" w:color="auto" w:sz="8" w:space="0"/>
              <w:left w:val="nil"/>
              <w:bottom w:val="single" w:color="auto" w:sz="8" w:space="0"/>
              <w:right w:val="single" w:color="auto" w:sz="8" w:space="0"/>
            </w:tcBorders>
            <w:shd w:val="clear" w:color="000000" w:fill="FFFFFF"/>
            <w:vAlign w:val="center"/>
          </w:tcPr>
          <w:p>
            <w:pPr>
              <w:widowControl/>
              <w:jc w:val="center"/>
              <w:rPr>
                <w:b/>
                <w:kern w:val="0"/>
                <w:szCs w:val="21"/>
              </w:rPr>
            </w:pPr>
            <w:r>
              <w:rPr>
                <w:b/>
                <w:kern w:val="0"/>
                <w:szCs w:val="21"/>
              </w:rPr>
              <w:t>阶段</w:t>
            </w:r>
          </w:p>
        </w:tc>
        <w:tc>
          <w:tcPr>
            <w:tcW w:w="5528" w:type="dxa"/>
            <w:tcBorders>
              <w:top w:val="single" w:color="auto" w:sz="8" w:space="0"/>
              <w:left w:val="nil"/>
              <w:bottom w:val="single" w:color="auto" w:sz="8" w:space="0"/>
              <w:right w:val="single" w:color="auto" w:sz="8" w:space="0"/>
            </w:tcBorders>
            <w:shd w:val="clear" w:color="000000" w:fill="FFFFFF"/>
            <w:vAlign w:val="center"/>
          </w:tcPr>
          <w:p>
            <w:pPr>
              <w:widowControl/>
              <w:jc w:val="center"/>
              <w:rPr>
                <w:b/>
                <w:kern w:val="0"/>
                <w:szCs w:val="21"/>
              </w:rPr>
            </w:pPr>
            <w:r>
              <w:rPr>
                <w:b/>
                <w:kern w:val="0"/>
                <w:szCs w:val="21"/>
              </w:rPr>
              <w:t>工作内容</w:t>
            </w:r>
          </w:p>
        </w:tc>
        <w:tc>
          <w:tcPr>
            <w:tcW w:w="2552" w:type="dxa"/>
            <w:tcBorders>
              <w:top w:val="single" w:color="auto" w:sz="8" w:space="0"/>
              <w:left w:val="nil"/>
              <w:bottom w:val="single" w:color="auto" w:sz="8" w:space="0"/>
              <w:right w:val="single" w:color="auto" w:sz="8" w:space="0"/>
            </w:tcBorders>
            <w:shd w:val="clear" w:color="000000" w:fill="FFFFFF"/>
            <w:vAlign w:val="center"/>
          </w:tcPr>
          <w:p>
            <w:pPr>
              <w:widowControl/>
              <w:jc w:val="center"/>
              <w:rPr>
                <w:b/>
                <w:kern w:val="0"/>
                <w:szCs w:val="21"/>
              </w:rPr>
            </w:pPr>
            <w:r>
              <w:rPr>
                <w:b/>
                <w:kern w:val="0"/>
                <w:szCs w:val="21"/>
              </w:rPr>
              <w:t>工作成果（报告、记录、计划书、审核书等）</w:t>
            </w:r>
          </w:p>
        </w:tc>
        <w:tc>
          <w:tcPr>
            <w:tcW w:w="1417" w:type="dxa"/>
            <w:tcBorders>
              <w:top w:val="single" w:color="auto" w:sz="8" w:space="0"/>
              <w:left w:val="nil"/>
              <w:bottom w:val="single" w:color="auto" w:sz="8" w:space="0"/>
              <w:right w:val="single" w:color="auto" w:sz="8" w:space="0"/>
            </w:tcBorders>
            <w:shd w:val="clear" w:color="000000" w:fill="FFFFFF"/>
            <w:vAlign w:val="center"/>
          </w:tcPr>
          <w:p>
            <w:pPr>
              <w:widowControl/>
              <w:jc w:val="center"/>
              <w:rPr>
                <w:b/>
                <w:kern w:val="0"/>
                <w:szCs w:val="21"/>
              </w:rPr>
            </w:pPr>
            <w:r>
              <w:rPr>
                <w:b/>
                <w:kern w:val="0"/>
                <w:szCs w:val="21"/>
              </w:rPr>
              <w:t>质量及时间要求</w:t>
            </w:r>
          </w:p>
        </w:tc>
        <w:tc>
          <w:tcPr>
            <w:tcW w:w="3484" w:type="dxa"/>
            <w:tcBorders>
              <w:top w:val="single" w:color="auto" w:sz="8" w:space="0"/>
              <w:left w:val="nil"/>
              <w:bottom w:val="single" w:color="auto" w:sz="8" w:space="0"/>
              <w:right w:val="single" w:color="auto" w:sz="8" w:space="0"/>
            </w:tcBorders>
            <w:shd w:val="clear" w:color="000000" w:fill="FFFFFF"/>
            <w:vAlign w:val="center"/>
          </w:tcPr>
          <w:p>
            <w:pPr>
              <w:widowControl/>
              <w:jc w:val="center"/>
              <w:rPr>
                <w:b/>
                <w:kern w:val="0"/>
                <w:szCs w:val="21"/>
              </w:rPr>
            </w:pPr>
            <w:r>
              <w:rPr>
                <w:b/>
                <w:kern w:val="0"/>
                <w:szCs w:val="21"/>
              </w:rPr>
              <w:t>违约责任</w:t>
            </w:r>
          </w:p>
        </w:tc>
      </w:tr>
      <w:tr>
        <w:tblPrEx>
          <w:tblCellMar>
            <w:top w:w="0" w:type="dxa"/>
            <w:left w:w="108" w:type="dxa"/>
            <w:bottom w:w="0" w:type="dxa"/>
            <w:right w:w="108" w:type="dxa"/>
          </w:tblCellMar>
        </w:tblPrEx>
        <w:trPr>
          <w:trHeight w:val="963" w:hRule="atLeast"/>
          <w:jc w:val="center"/>
        </w:trPr>
        <w:tc>
          <w:tcPr>
            <w:tcW w:w="625" w:type="dxa"/>
            <w:vMerge w:val="restart"/>
            <w:tcBorders>
              <w:top w:val="nil"/>
              <w:left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1</w:t>
            </w:r>
          </w:p>
        </w:tc>
        <w:tc>
          <w:tcPr>
            <w:tcW w:w="1134" w:type="dxa"/>
            <w:vMerge w:val="restart"/>
            <w:tcBorders>
              <w:top w:val="nil"/>
              <w:left w:val="nil"/>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人员投入</w:t>
            </w:r>
          </w:p>
        </w:tc>
        <w:tc>
          <w:tcPr>
            <w:tcW w:w="5528" w:type="dxa"/>
            <w:tcBorders>
              <w:top w:val="nil"/>
              <w:left w:val="nil"/>
              <w:bottom w:val="single" w:color="auto" w:sz="4"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 xml:space="preserve">乙方收到甲方开展工作的通知后3日内递交拟开展项目的造价咨询人员配置一览表，并需提供投入人员近半年或以上社保证明； </w:t>
            </w:r>
          </w:p>
        </w:tc>
        <w:tc>
          <w:tcPr>
            <w:tcW w:w="2552" w:type="dxa"/>
            <w:tcBorders>
              <w:top w:val="nil"/>
              <w:left w:val="nil"/>
              <w:bottom w:val="single" w:color="auto" w:sz="4" w:space="0"/>
              <w:right w:val="single" w:color="auto" w:sz="8" w:space="0"/>
            </w:tcBorders>
            <w:shd w:val="clear" w:color="000000" w:fill="FFFFFF"/>
            <w:vAlign w:val="center"/>
          </w:tcPr>
          <w:p>
            <w:pPr>
              <w:widowControl/>
              <w:rPr>
                <w:rFonts w:ascii="宋体" w:hAnsi="宋体" w:cs="宋体"/>
                <w:bCs w:val="0"/>
                <w:kern w:val="0"/>
                <w:sz w:val="24"/>
              </w:rPr>
            </w:pPr>
          </w:p>
        </w:tc>
        <w:tc>
          <w:tcPr>
            <w:tcW w:w="1417" w:type="dxa"/>
            <w:tcBorders>
              <w:top w:val="nil"/>
              <w:left w:val="nil"/>
              <w:bottom w:val="single" w:color="auto" w:sz="4"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　</w:t>
            </w:r>
          </w:p>
        </w:tc>
        <w:tc>
          <w:tcPr>
            <w:tcW w:w="3484" w:type="dxa"/>
            <w:tcBorders>
              <w:top w:val="nil"/>
              <w:left w:val="nil"/>
              <w:bottom w:val="single" w:color="auto" w:sz="4" w:space="0"/>
              <w:right w:val="single" w:color="auto" w:sz="8" w:space="0"/>
            </w:tcBorders>
            <w:shd w:val="clear" w:color="000000" w:fill="FFFFFF"/>
            <w:vAlign w:val="center"/>
          </w:tcPr>
          <w:p>
            <w:pPr>
              <w:rPr>
                <w:rFonts w:ascii="宋体" w:hAnsi="宋体" w:cs="宋体"/>
                <w:bCs w:val="0"/>
                <w:kern w:val="0"/>
                <w:sz w:val="24"/>
              </w:rPr>
            </w:pPr>
            <w:r>
              <w:rPr>
                <w:rFonts w:hint="eastAsia" w:ascii="宋体" w:hAnsi="宋体" w:cs="宋体"/>
                <w:bCs w:val="0"/>
                <w:kern w:val="0"/>
                <w:sz w:val="24"/>
              </w:rPr>
              <w:t>若乙方未按时提交，首次书面警告一次，在三个工作日内仍未提交，记乙方一般违约一次。</w:t>
            </w:r>
          </w:p>
        </w:tc>
      </w:tr>
      <w:tr>
        <w:tblPrEx>
          <w:tblCellMar>
            <w:top w:w="0" w:type="dxa"/>
            <w:left w:w="108" w:type="dxa"/>
            <w:bottom w:w="0" w:type="dxa"/>
            <w:right w:w="108" w:type="dxa"/>
          </w:tblCellMar>
        </w:tblPrEx>
        <w:trPr>
          <w:trHeight w:val="936" w:hRule="atLeast"/>
          <w:jc w:val="center"/>
        </w:trPr>
        <w:tc>
          <w:tcPr>
            <w:tcW w:w="625" w:type="dxa"/>
            <w:vMerge w:val="continue"/>
            <w:tcBorders>
              <w:left w:val="single" w:color="auto" w:sz="8" w:space="0"/>
              <w:right w:val="single" w:color="auto" w:sz="8" w:space="0"/>
            </w:tcBorders>
            <w:shd w:val="clear" w:color="000000" w:fill="FFFFFF"/>
            <w:vAlign w:val="center"/>
          </w:tcPr>
          <w:p>
            <w:pPr>
              <w:rPr>
                <w:rFonts w:ascii="宋体" w:hAnsi="宋体" w:cs="宋体"/>
                <w:bCs w:val="0"/>
                <w:kern w:val="0"/>
                <w:sz w:val="24"/>
              </w:rPr>
            </w:pPr>
          </w:p>
        </w:tc>
        <w:tc>
          <w:tcPr>
            <w:tcW w:w="1134" w:type="dxa"/>
            <w:vMerge w:val="continue"/>
            <w:tcBorders>
              <w:left w:val="nil"/>
              <w:right w:val="single" w:color="auto" w:sz="8" w:space="0"/>
            </w:tcBorders>
            <w:shd w:val="clear" w:color="000000" w:fill="FFFFFF"/>
            <w:vAlign w:val="center"/>
          </w:tcPr>
          <w:p>
            <w:pPr>
              <w:widowControl/>
              <w:rPr>
                <w:rFonts w:ascii="宋体" w:hAnsi="宋体" w:cs="宋体"/>
                <w:bCs w:val="0"/>
                <w:kern w:val="0"/>
                <w:sz w:val="24"/>
              </w:rPr>
            </w:pPr>
          </w:p>
        </w:tc>
        <w:tc>
          <w:tcPr>
            <w:tcW w:w="5528" w:type="dxa"/>
            <w:tcBorders>
              <w:top w:val="single" w:color="auto" w:sz="4" w:space="0"/>
              <w:left w:val="nil"/>
              <w:bottom w:val="single" w:color="auto" w:sz="4"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要求投入人员具有较强的业务能力，实际编制、审核、操作人员须与造价咨询人员配置一览表一致（经甲方同意的除外）</w:t>
            </w:r>
          </w:p>
        </w:tc>
        <w:tc>
          <w:tcPr>
            <w:tcW w:w="2552" w:type="dxa"/>
            <w:tcBorders>
              <w:top w:val="single" w:color="auto" w:sz="4" w:space="0"/>
              <w:left w:val="nil"/>
              <w:bottom w:val="single" w:color="auto" w:sz="4" w:space="0"/>
              <w:right w:val="single" w:color="auto" w:sz="8" w:space="0"/>
            </w:tcBorders>
            <w:shd w:val="clear" w:color="000000" w:fill="FFFFFF"/>
            <w:vAlign w:val="center"/>
          </w:tcPr>
          <w:p>
            <w:pPr>
              <w:widowControl/>
              <w:rPr>
                <w:rFonts w:ascii="宋体" w:hAnsi="宋体" w:cs="宋体"/>
                <w:bCs w:val="0"/>
                <w:kern w:val="0"/>
                <w:sz w:val="24"/>
              </w:rPr>
            </w:pPr>
          </w:p>
        </w:tc>
        <w:tc>
          <w:tcPr>
            <w:tcW w:w="1417" w:type="dxa"/>
            <w:tcBorders>
              <w:top w:val="single" w:color="auto" w:sz="4" w:space="0"/>
              <w:left w:val="nil"/>
              <w:bottom w:val="single" w:color="auto" w:sz="4" w:space="0"/>
              <w:right w:val="single" w:color="auto" w:sz="8" w:space="0"/>
            </w:tcBorders>
            <w:shd w:val="clear" w:color="000000" w:fill="FFFFFF"/>
            <w:vAlign w:val="center"/>
          </w:tcPr>
          <w:p>
            <w:pPr>
              <w:rPr>
                <w:rFonts w:ascii="宋体" w:hAnsi="宋体" w:cs="宋体"/>
                <w:bCs w:val="0"/>
                <w:kern w:val="0"/>
                <w:sz w:val="24"/>
              </w:rPr>
            </w:pPr>
          </w:p>
        </w:tc>
        <w:tc>
          <w:tcPr>
            <w:tcW w:w="3484" w:type="dxa"/>
            <w:tcBorders>
              <w:top w:val="single" w:color="auto" w:sz="4" w:space="0"/>
              <w:left w:val="nil"/>
              <w:bottom w:val="single" w:color="auto" w:sz="4" w:space="0"/>
              <w:right w:val="single" w:color="auto" w:sz="8" w:space="0"/>
            </w:tcBorders>
            <w:shd w:val="clear" w:color="000000" w:fill="FFFFFF"/>
            <w:vAlign w:val="center"/>
          </w:tcPr>
          <w:p>
            <w:pPr>
              <w:rPr>
                <w:rFonts w:ascii="宋体" w:hAnsi="宋体" w:cs="宋体"/>
                <w:bCs w:val="0"/>
                <w:kern w:val="0"/>
                <w:sz w:val="24"/>
              </w:rPr>
            </w:pPr>
            <w:r>
              <w:rPr>
                <w:rFonts w:hint="eastAsia" w:ascii="宋体" w:hAnsi="宋体" w:cs="宋体"/>
                <w:bCs w:val="0"/>
                <w:kern w:val="0"/>
                <w:sz w:val="24"/>
              </w:rPr>
              <w:t>甲方发现不一致的首次发书面警告，若乙方在三个工作日内不作整改，记乙方一般违约一次</w:t>
            </w:r>
          </w:p>
        </w:tc>
      </w:tr>
      <w:tr>
        <w:tblPrEx>
          <w:tblCellMar>
            <w:top w:w="0" w:type="dxa"/>
            <w:left w:w="108" w:type="dxa"/>
            <w:bottom w:w="0" w:type="dxa"/>
            <w:right w:w="108" w:type="dxa"/>
          </w:tblCellMar>
        </w:tblPrEx>
        <w:trPr>
          <w:trHeight w:val="478" w:hRule="atLeast"/>
          <w:jc w:val="center"/>
        </w:trPr>
        <w:tc>
          <w:tcPr>
            <w:tcW w:w="625" w:type="dxa"/>
            <w:vMerge w:val="continue"/>
            <w:tcBorders>
              <w:left w:val="single" w:color="auto" w:sz="8" w:space="0"/>
              <w:right w:val="single" w:color="auto" w:sz="8" w:space="0"/>
            </w:tcBorders>
            <w:shd w:val="clear" w:color="000000" w:fill="FFFFFF"/>
            <w:vAlign w:val="center"/>
          </w:tcPr>
          <w:p>
            <w:pPr>
              <w:rPr>
                <w:rFonts w:ascii="宋体" w:hAnsi="宋体" w:cs="宋体"/>
                <w:bCs w:val="0"/>
                <w:kern w:val="0"/>
                <w:sz w:val="24"/>
              </w:rPr>
            </w:pPr>
          </w:p>
        </w:tc>
        <w:tc>
          <w:tcPr>
            <w:tcW w:w="1134" w:type="dxa"/>
            <w:vMerge w:val="continue"/>
            <w:tcBorders>
              <w:left w:val="nil"/>
              <w:right w:val="single" w:color="auto" w:sz="8" w:space="0"/>
            </w:tcBorders>
            <w:shd w:val="clear" w:color="000000" w:fill="FFFFFF"/>
            <w:vAlign w:val="center"/>
          </w:tcPr>
          <w:p>
            <w:pPr>
              <w:widowControl/>
              <w:rPr>
                <w:rFonts w:ascii="宋体" w:hAnsi="宋体" w:cs="宋体"/>
                <w:bCs w:val="0"/>
                <w:kern w:val="0"/>
                <w:sz w:val="24"/>
              </w:rPr>
            </w:pPr>
          </w:p>
        </w:tc>
        <w:tc>
          <w:tcPr>
            <w:tcW w:w="5528" w:type="dxa"/>
            <w:tcBorders>
              <w:top w:val="single" w:color="auto" w:sz="4" w:space="0"/>
              <w:left w:val="nil"/>
              <w:bottom w:val="single" w:color="auto" w:sz="4"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实际驻场人员与造价咨询人员配置一览表不一致且实际驻场人员业务水平能力达不到投标承诺要求的。</w:t>
            </w:r>
          </w:p>
        </w:tc>
        <w:tc>
          <w:tcPr>
            <w:tcW w:w="2552" w:type="dxa"/>
            <w:tcBorders>
              <w:top w:val="single" w:color="auto" w:sz="4" w:space="0"/>
              <w:left w:val="nil"/>
              <w:bottom w:val="single" w:color="auto" w:sz="4" w:space="0"/>
              <w:right w:val="single" w:color="auto" w:sz="8" w:space="0"/>
            </w:tcBorders>
            <w:shd w:val="clear" w:color="000000" w:fill="FFFFFF"/>
            <w:vAlign w:val="center"/>
          </w:tcPr>
          <w:p>
            <w:pPr>
              <w:widowControl/>
              <w:rPr>
                <w:rFonts w:ascii="宋体" w:hAnsi="宋体" w:cs="宋体"/>
                <w:bCs w:val="0"/>
                <w:kern w:val="0"/>
                <w:sz w:val="24"/>
              </w:rPr>
            </w:pPr>
          </w:p>
        </w:tc>
        <w:tc>
          <w:tcPr>
            <w:tcW w:w="1417" w:type="dxa"/>
            <w:tcBorders>
              <w:top w:val="single" w:color="auto" w:sz="4" w:space="0"/>
              <w:left w:val="nil"/>
              <w:bottom w:val="single" w:color="auto" w:sz="4" w:space="0"/>
              <w:right w:val="single" w:color="auto" w:sz="8" w:space="0"/>
            </w:tcBorders>
            <w:shd w:val="clear" w:color="000000" w:fill="FFFFFF"/>
            <w:vAlign w:val="center"/>
          </w:tcPr>
          <w:p>
            <w:pPr>
              <w:rPr>
                <w:rFonts w:ascii="宋体" w:hAnsi="宋体" w:cs="宋体"/>
                <w:bCs w:val="0"/>
                <w:kern w:val="0"/>
                <w:sz w:val="24"/>
              </w:rPr>
            </w:pPr>
          </w:p>
        </w:tc>
        <w:tc>
          <w:tcPr>
            <w:tcW w:w="3484" w:type="dxa"/>
            <w:tcBorders>
              <w:top w:val="single" w:color="auto" w:sz="4" w:space="0"/>
              <w:left w:val="nil"/>
              <w:bottom w:val="single" w:color="auto" w:sz="4" w:space="0"/>
              <w:right w:val="single" w:color="auto" w:sz="8" w:space="0"/>
            </w:tcBorders>
            <w:shd w:val="clear" w:color="000000" w:fill="FFFFFF"/>
            <w:vAlign w:val="center"/>
          </w:tcPr>
          <w:p>
            <w:pPr>
              <w:rPr>
                <w:rFonts w:ascii="宋体" w:hAnsi="宋体" w:cs="宋体"/>
                <w:bCs w:val="0"/>
                <w:kern w:val="0"/>
                <w:sz w:val="24"/>
              </w:rPr>
            </w:pPr>
            <w:r>
              <w:rPr>
                <w:rFonts w:hint="eastAsia" w:ascii="宋体" w:hAnsi="宋体" w:cs="宋体"/>
                <w:kern w:val="0"/>
                <w:sz w:val="24"/>
              </w:rPr>
              <w:t>甲方首次发书面警告，若乙方在五个工作日内不作整改，记乙方一般违约一次</w:t>
            </w:r>
          </w:p>
        </w:tc>
      </w:tr>
      <w:tr>
        <w:tblPrEx>
          <w:tblCellMar>
            <w:top w:w="0" w:type="dxa"/>
            <w:left w:w="108" w:type="dxa"/>
            <w:bottom w:w="0" w:type="dxa"/>
            <w:right w:w="108" w:type="dxa"/>
          </w:tblCellMar>
        </w:tblPrEx>
        <w:trPr>
          <w:trHeight w:val="1213" w:hRule="atLeast"/>
          <w:jc w:val="center"/>
        </w:trPr>
        <w:tc>
          <w:tcPr>
            <w:tcW w:w="625" w:type="dxa"/>
            <w:vMerge w:val="continue"/>
            <w:tcBorders>
              <w:left w:val="single" w:color="auto" w:sz="8" w:space="0"/>
              <w:bottom w:val="single" w:color="auto" w:sz="4" w:space="0"/>
              <w:right w:val="single" w:color="auto" w:sz="8" w:space="0"/>
            </w:tcBorders>
            <w:shd w:val="clear" w:color="000000" w:fill="FFFFFF"/>
            <w:vAlign w:val="center"/>
          </w:tcPr>
          <w:p>
            <w:pPr>
              <w:rPr>
                <w:rFonts w:ascii="宋体" w:hAnsi="宋体" w:cs="宋体"/>
                <w:bCs w:val="0"/>
                <w:kern w:val="0"/>
                <w:sz w:val="24"/>
              </w:rPr>
            </w:pPr>
          </w:p>
        </w:tc>
        <w:tc>
          <w:tcPr>
            <w:tcW w:w="1134" w:type="dxa"/>
            <w:vMerge w:val="continue"/>
            <w:tcBorders>
              <w:left w:val="nil"/>
              <w:bottom w:val="single" w:color="auto" w:sz="4" w:space="0"/>
              <w:right w:val="single" w:color="auto" w:sz="8" w:space="0"/>
            </w:tcBorders>
            <w:shd w:val="clear" w:color="000000" w:fill="FFFFFF"/>
            <w:vAlign w:val="center"/>
          </w:tcPr>
          <w:p>
            <w:pPr>
              <w:widowControl/>
              <w:rPr>
                <w:rFonts w:ascii="宋体" w:hAnsi="宋体" w:cs="宋体"/>
                <w:bCs w:val="0"/>
                <w:kern w:val="0"/>
                <w:sz w:val="24"/>
              </w:rPr>
            </w:pPr>
          </w:p>
        </w:tc>
        <w:tc>
          <w:tcPr>
            <w:tcW w:w="5528" w:type="dxa"/>
            <w:tcBorders>
              <w:top w:val="single" w:color="auto" w:sz="4" w:space="0"/>
              <w:left w:val="nil"/>
              <w:bottom w:val="single" w:color="auto" w:sz="4"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驻场人员：业主有权根据项目造价工作需要，安排1-2人至甲方办公室协助配合开展造价相关工作（包括但不限于本项目），甲方将对该人员的出勤、工作落实情况进行考核。</w:t>
            </w:r>
          </w:p>
        </w:tc>
        <w:tc>
          <w:tcPr>
            <w:tcW w:w="2552" w:type="dxa"/>
            <w:tcBorders>
              <w:top w:val="single" w:color="auto" w:sz="4" w:space="0"/>
              <w:left w:val="nil"/>
              <w:bottom w:val="single" w:color="auto" w:sz="4" w:space="0"/>
              <w:right w:val="single" w:color="auto" w:sz="8" w:space="0"/>
            </w:tcBorders>
            <w:shd w:val="clear" w:color="000000" w:fill="FFFFFF"/>
            <w:vAlign w:val="center"/>
          </w:tcPr>
          <w:p>
            <w:pPr>
              <w:widowControl/>
              <w:rPr>
                <w:rFonts w:ascii="宋体" w:hAnsi="宋体" w:cs="宋体"/>
                <w:bCs w:val="0"/>
                <w:kern w:val="0"/>
                <w:sz w:val="24"/>
              </w:rPr>
            </w:pPr>
          </w:p>
        </w:tc>
        <w:tc>
          <w:tcPr>
            <w:tcW w:w="1417" w:type="dxa"/>
            <w:tcBorders>
              <w:top w:val="single" w:color="auto" w:sz="4" w:space="0"/>
              <w:left w:val="nil"/>
              <w:bottom w:val="single" w:color="auto" w:sz="4" w:space="0"/>
              <w:right w:val="single" w:color="auto" w:sz="8" w:space="0"/>
            </w:tcBorders>
            <w:shd w:val="clear" w:color="000000" w:fill="FFFFFF"/>
            <w:vAlign w:val="center"/>
          </w:tcPr>
          <w:p>
            <w:pPr>
              <w:rPr>
                <w:rFonts w:ascii="宋体" w:hAnsi="宋体" w:cs="宋体"/>
                <w:bCs w:val="0"/>
                <w:kern w:val="0"/>
                <w:sz w:val="24"/>
              </w:rPr>
            </w:pPr>
          </w:p>
        </w:tc>
        <w:tc>
          <w:tcPr>
            <w:tcW w:w="3484" w:type="dxa"/>
            <w:tcBorders>
              <w:top w:val="single" w:color="auto" w:sz="4" w:space="0"/>
              <w:left w:val="nil"/>
              <w:bottom w:val="single" w:color="auto" w:sz="4" w:space="0"/>
              <w:right w:val="single" w:color="auto" w:sz="8" w:space="0"/>
            </w:tcBorders>
            <w:shd w:val="clear" w:color="000000" w:fill="FFFFFF"/>
            <w:vAlign w:val="center"/>
          </w:tcPr>
          <w:p>
            <w:pPr>
              <w:rPr>
                <w:rFonts w:ascii="宋体" w:hAnsi="宋体" w:cs="宋体"/>
                <w:bCs w:val="0"/>
                <w:kern w:val="0"/>
                <w:sz w:val="24"/>
              </w:rPr>
            </w:pPr>
            <w:r>
              <w:rPr>
                <w:rFonts w:hint="eastAsia" w:ascii="宋体" w:hAnsi="宋体" w:cs="宋体"/>
                <w:bCs w:val="0"/>
                <w:kern w:val="0"/>
                <w:sz w:val="24"/>
              </w:rPr>
              <w:t>若不能按要求开展工作的，</w:t>
            </w:r>
            <w:r>
              <w:rPr>
                <w:rFonts w:hint="eastAsia" w:ascii="宋体" w:hAnsi="宋体" w:cs="宋体"/>
                <w:kern w:val="0"/>
                <w:sz w:val="24"/>
              </w:rPr>
              <w:t>甲方首次发书面警告，若乙方在三个工作日内不作整改，记乙方一般违约一次。</w:t>
            </w:r>
          </w:p>
        </w:tc>
      </w:tr>
      <w:tr>
        <w:tblPrEx>
          <w:tblCellMar>
            <w:top w:w="0" w:type="dxa"/>
            <w:left w:w="108" w:type="dxa"/>
            <w:bottom w:w="0" w:type="dxa"/>
            <w:right w:w="108" w:type="dxa"/>
          </w:tblCellMar>
        </w:tblPrEx>
        <w:trPr>
          <w:trHeight w:val="630" w:hRule="atLeast"/>
          <w:jc w:val="center"/>
        </w:trPr>
        <w:tc>
          <w:tcPr>
            <w:tcW w:w="625"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2</w:t>
            </w:r>
          </w:p>
        </w:tc>
        <w:tc>
          <w:tcPr>
            <w:tcW w:w="1134"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设计概算及概算评审阶段（如有）</w:t>
            </w:r>
          </w:p>
        </w:tc>
        <w:tc>
          <w:tcPr>
            <w:tcW w:w="5528"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1.负责审核并协助完成初步设计概算评审，提出专业意见及合理化建议。</w:t>
            </w:r>
          </w:p>
        </w:tc>
        <w:tc>
          <w:tcPr>
            <w:tcW w:w="2552"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出具概算审核报告</w:t>
            </w:r>
          </w:p>
        </w:tc>
        <w:tc>
          <w:tcPr>
            <w:tcW w:w="1417" w:type="dxa"/>
            <w:tcBorders>
              <w:top w:val="nil"/>
              <w:left w:val="nil"/>
              <w:bottom w:val="single" w:color="auto" w:sz="8" w:space="0"/>
              <w:right w:val="single" w:color="auto" w:sz="8" w:space="0"/>
            </w:tcBorders>
            <w:shd w:val="clear" w:color="000000" w:fill="FFFFFF"/>
            <w:vAlign w:val="center"/>
          </w:tcPr>
          <w:p>
            <w:pPr>
              <w:widowControl/>
              <w:jc w:val="left"/>
              <w:rPr>
                <w:rFonts w:ascii="宋体" w:hAnsi="宋体" w:cs="宋体"/>
                <w:bCs w:val="0"/>
                <w:kern w:val="0"/>
                <w:sz w:val="24"/>
              </w:rPr>
            </w:pPr>
            <w:r>
              <w:rPr>
                <w:rFonts w:hint="eastAsia" w:ascii="宋体" w:hAnsi="宋体" w:cs="宋体"/>
                <w:kern w:val="0"/>
                <w:sz w:val="24"/>
              </w:rPr>
              <w:t>按甲方要求</w:t>
            </w:r>
          </w:p>
        </w:tc>
        <w:tc>
          <w:tcPr>
            <w:tcW w:w="3484"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若乙方未按时提交，首次书面警告一次，在三个工作日内仍未提交，记乙方一般违约一次。</w:t>
            </w:r>
          </w:p>
        </w:tc>
      </w:tr>
      <w:tr>
        <w:tblPrEx>
          <w:tblCellMar>
            <w:top w:w="0" w:type="dxa"/>
            <w:left w:w="108" w:type="dxa"/>
            <w:bottom w:w="0" w:type="dxa"/>
            <w:right w:w="108" w:type="dxa"/>
          </w:tblCellMar>
        </w:tblPrEx>
        <w:trPr>
          <w:trHeight w:val="795" w:hRule="atLeast"/>
          <w:jc w:val="center"/>
        </w:trPr>
        <w:tc>
          <w:tcPr>
            <w:tcW w:w="625"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1134"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5528"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2.负责根据批准的设计概算，提出工程项目的各专业工程和各阶段造价限额指标。</w:t>
            </w:r>
          </w:p>
        </w:tc>
        <w:tc>
          <w:tcPr>
            <w:tcW w:w="2552"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编制各专业工程及各阶段造价限额指标</w:t>
            </w:r>
          </w:p>
        </w:tc>
        <w:tc>
          <w:tcPr>
            <w:tcW w:w="1417"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kern w:val="0"/>
                <w:sz w:val="24"/>
              </w:rPr>
              <w:t>按甲方要求</w:t>
            </w:r>
          </w:p>
        </w:tc>
        <w:tc>
          <w:tcPr>
            <w:tcW w:w="3484"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若乙方未按时提交，首次书面警告一次，在三个工作日内仍未提交，记乙方一般违约一次。</w:t>
            </w:r>
          </w:p>
        </w:tc>
      </w:tr>
      <w:tr>
        <w:tblPrEx>
          <w:tblCellMar>
            <w:top w:w="0" w:type="dxa"/>
            <w:left w:w="108" w:type="dxa"/>
            <w:bottom w:w="0" w:type="dxa"/>
            <w:right w:w="108" w:type="dxa"/>
          </w:tblCellMar>
        </w:tblPrEx>
        <w:trPr>
          <w:trHeight w:val="720" w:hRule="atLeast"/>
          <w:jc w:val="center"/>
        </w:trPr>
        <w:tc>
          <w:tcPr>
            <w:tcW w:w="625"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1134"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5528"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3.负责对设计中采用的主材、设备等提供市场信息，进行方案比较，提出优化建议。</w:t>
            </w:r>
          </w:p>
        </w:tc>
        <w:tc>
          <w:tcPr>
            <w:tcW w:w="2552"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提供市场信息、进行方案比较</w:t>
            </w:r>
          </w:p>
        </w:tc>
        <w:tc>
          <w:tcPr>
            <w:tcW w:w="1417"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提出优化意见</w:t>
            </w:r>
          </w:p>
        </w:tc>
        <w:tc>
          <w:tcPr>
            <w:tcW w:w="3484"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未按时提交记书面警告一次，在三个工作日内仍未提交，记乙方一般违约一次。</w:t>
            </w:r>
          </w:p>
        </w:tc>
      </w:tr>
      <w:tr>
        <w:tblPrEx>
          <w:tblCellMar>
            <w:top w:w="0" w:type="dxa"/>
            <w:left w:w="108" w:type="dxa"/>
            <w:bottom w:w="0" w:type="dxa"/>
            <w:right w:w="108" w:type="dxa"/>
          </w:tblCellMar>
        </w:tblPrEx>
        <w:trPr>
          <w:trHeight w:val="945" w:hRule="atLeast"/>
          <w:jc w:val="center"/>
        </w:trPr>
        <w:tc>
          <w:tcPr>
            <w:tcW w:w="625"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1134"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5528"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4.负责参加设计方案论证会议、工程图纸会审、变更论证等专题会，提出造价专业意见。</w:t>
            </w:r>
          </w:p>
        </w:tc>
        <w:tc>
          <w:tcPr>
            <w:tcW w:w="2552"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对设计方案论证会议、工程图纸会审、变更论证会提出专业意见</w:t>
            </w:r>
          </w:p>
        </w:tc>
        <w:tc>
          <w:tcPr>
            <w:tcW w:w="1417"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kern w:val="0"/>
                <w:sz w:val="24"/>
              </w:rPr>
              <w:t>按甲方要求</w:t>
            </w:r>
          </w:p>
        </w:tc>
        <w:tc>
          <w:tcPr>
            <w:tcW w:w="3484"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若乙方未按时提交，首次书面警告一次，在三个工作日内仍未提交，记乙方一般违约一次。</w:t>
            </w:r>
          </w:p>
        </w:tc>
      </w:tr>
      <w:tr>
        <w:tblPrEx>
          <w:tblCellMar>
            <w:top w:w="0" w:type="dxa"/>
            <w:left w:w="108" w:type="dxa"/>
            <w:bottom w:w="0" w:type="dxa"/>
            <w:right w:w="108" w:type="dxa"/>
          </w:tblCellMar>
        </w:tblPrEx>
        <w:trPr>
          <w:trHeight w:val="975" w:hRule="atLeast"/>
          <w:jc w:val="center"/>
        </w:trPr>
        <w:tc>
          <w:tcPr>
            <w:tcW w:w="625"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1134"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5528"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5.根据确定的初步设计概算编制详细的工程成本预测和资金流量预测分析，以作为进度和成本控制的目标；随设计的深入定期分析工程成本、定期修正资金流量预测。</w:t>
            </w:r>
          </w:p>
        </w:tc>
        <w:tc>
          <w:tcPr>
            <w:tcW w:w="2552"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工程成本预测、资金流预测分析</w:t>
            </w:r>
          </w:p>
        </w:tc>
        <w:tc>
          <w:tcPr>
            <w:tcW w:w="1417"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kern w:val="0"/>
                <w:sz w:val="24"/>
              </w:rPr>
              <w:t>按甲方要求</w:t>
            </w:r>
          </w:p>
        </w:tc>
        <w:tc>
          <w:tcPr>
            <w:tcW w:w="3484"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若乙方未按时提交，首次书面警告一次，在三个工作日内仍未提交，记乙方一般违约一次。</w:t>
            </w:r>
          </w:p>
        </w:tc>
      </w:tr>
      <w:tr>
        <w:tblPrEx>
          <w:tblCellMar>
            <w:top w:w="0" w:type="dxa"/>
            <w:left w:w="108" w:type="dxa"/>
            <w:bottom w:w="0" w:type="dxa"/>
            <w:right w:w="108" w:type="dxa"/>
          </w:tblCellMar>
        </w:tblPrEx>
        <w:trPr>
          <w:trHeight w:val="916" w:hRule="atLeast"/>
          <w:jc w:val="center"/>
        </w:trPr>
        <w:tc>
          <w:tcPr>
            <w:tcW w:w="625"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1134"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5528"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6.负责按甲方要求编制各类造价管理文件。</w:t>
            </w:r>
          </w:p>
        </w:tc>
        <w:tc>
          <w:tcPr>
            <w:tcW w:w="2552"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编制清单计价模式等造价管理文件</w:t>
            </w:r>
          </w:p>
        </w:tc>
        <w:tc>
          <w:tcPr>
            <w:tcW w:w="1417"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kern w:val="0"/>
                <w:sz w:val="24"/>
              </w:rPr>
              <w:t>按甲方要求</w:t>
            </w:r>
          </w:p>
        </w:tc>
        <w:tc>
          <w:tcPr>
            <w:tcW w:w="3484"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若乙方未按时提交，首次书面警告一次，在三个工作日内仍未提交，记乙方一般违约一次。</w:t>
            </w:r>
          </w:p>
        </w:tc>
      </w:tr>
      <w:tr>
        <w:tblPrEx>
          <w:tblCellMar>
            <w:top w:w="0" w:type="dxa"/>
            <w:left w:w="108" w:type="dxa"/>
            <w:bottom w:w="0" w:type="dxa"/>
            <w:right w:w="108" w:type="dxa"/>
          </w:tblCellMar>
        </w:tblPrEx>
        <w:trPr>
          <w:trHeight w:val="625" w:hRule="atLeast"/>
          <w:jc w:val="center"/>
        </w:trPr>
        <w:tc>
          <w:tcPr>
            <w:tcW w:w="625" w:type="dxa"/>
            <w:vMerge w:val="restart"/>
            <w:tcBorders>
              <w:top w:val="nil"/>
              <w:left w:val="single" w:color="auto" w:sz="8" w:space="0"/>
              <w:right w:val="single" w:color="auto" w:sz="8" w:space="0"/>
            </w:tcBorders>
            <w:shd w:val="clear" w:color="auto" w:fill="auto"/>
            <w:vAlign w:val="center"/>
          </w:tcPr>
          <w:p>
            <w:pPr>
              <w:widowControl/>
              <w:jc w:val="left"/>
              <w:rPr>
                <w:rFonts w:ascii="宋体" w:hAnsi="宋体" w:cs="宋体"/>
                <w:bCs w:val="0"/>
                <w:kern w:val="0"/>
                <w:sz w:val="24"/>
              </w:rPr>
            </w:pPr>
            <w:r>
              <w:rPr>
                <w:rFonts w:hint="eastAsia" w:ascii="宋体" w:hAnsi="宋体" w:cs="宋体"/>
                <w:bCs w:val="0"/>
                <w:kern w:val="0"/>
                <w:sz w:val="24"/>
              </w:rPr>
              <w:t>3</w:t>
            </w:r>
          </w:p>
        </w:tc>
        <w:tc>
          <w:tcPr>
            <w:tcW w:w="1134" w:type="dxa"/>
            <w:vMerge w:val="restart"/>
            <w:tcBorders>
              <w:top w:val="nil"/>
              <w:left w:val="single" w:color="auto" w:sz="8" w:space="0"/>
              <w:right w:val="single" w:color="auto" w:sz="8" w:space="0"/>
            </w:tcBorders>
            <w:shd w:val="clear" w:color="auto" w:fill="auto"/>
            <w:vAlign w:val="center"/>
          </w:tcPr>
          <w:p>
            <w:pPr>
              <w:widowControl/>
              <w:jc w:val="left"/>
              <w:rPr>
                <w:rFonts w:ascii="宋体" w:hAnsi="宋体" w:cs="宋体"/>
                <w:bCs w:val="0"/>
                <w:kern w:val="0"/>
                <w:sz w:val="24"/>
              </w:rPr>
            </w:pPr>
            <w:r>
              <w:rPr>
                <w:rFonts w:hint="eastAsia" w:ascii="宋体" w:hAnsi="宋体" w:cs="宋体"/>
                <w:bCs w:val="0"/>
                <w:kern w:val="0"/>
                <w:sz w:val="24"/>
              </w:rPr>
              <w:t>施工图预算及预算专家评审阶段</w:t>
            </w:r>
          </w:p>
        </w:tc>
        <w:tc>
          <w:tcPr>
            <w:tcW w:w="5528"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1.负责编制施工图预算（含设计图纸修改后调整相应预算），按时提交编制报告、调整意见及合理化建议。</w:t>
            </w:r>
          </w:p>
        </w:tc>
        <w:tc>
          <w:tcPr>
            <w:tcW w:w="2552"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出具施工图预算书、完成与相关单位的对数工作</w:t>
            </w:r>
          </w:p>
        </w:tc>
        <w:tc>
          <w:tcPr>
            <w:tcW w:w="1417"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kern w:val="0"/>
                <w:sz w:val="24"/>
              </w:rPr>
              <w:t>按甲方要求</w:t>
            </w:r>
          </w:p>
        </w:tc>
        <w:tc>
          <w:tcPr>
            <w:tcW w:w="3484"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未按时提交预算书记书面警告一次，未按时完成对数记乙方一般违约一次。</w:t>
            </w:r>
          </w:p>
        </w:tc>
      </w:tr>
      <w:tr>
        <w:tblPrEx>
          <w:tblCellMar>
            <w:top w:w="0" w:type="dxa"/>
            <w:left w:w="108" w:type="dxa"/>
            <w:bottom w:w="0" w:type="dxa"/>
            <w:right w:w="108" w:type="dxa"/>
          </w:tblCellMar>
        </w:tblPrEx>
        <w:trPr>
          <w:trHeight w:val="625" w:hRule="atLeast"/>
          <w:jc w:val="center"/>
        </w:trPr>
        <w:tc>
          <w:tcPr>
            <w:tcW w:w="625" w:type="dxa"/>
            <w:vMerge w:val="continue"/>
            <w:tcBorders>
              <w:left w:val="single" w:color="auto"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1134" w:type="dxa"/>
            <w:vMerge w:val="continue"/>
            <w:tcBorders>
              <w:left w:val="single" w:color="auto"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5528"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2.</w:t>
            </w:r>
            <w:r>
              <w:rPr>
                <w:rFonts w:hint="eastAsia" w:ascii="宋体" w:hAnsi="宋体" w:cs="宋体"/>
                <w:sz w:val="24"/>
                <w:lang w:val="zh-CN"/>
              </w:rPr>
              <w:t xml:space="preserve"> 负责跟进预算、组织项目建设工程预算评审等各阶段工作，并及时反馈意见，对评审结果进行分解分析，给出专业意见及合理化建议。</w:t>
            </w:r>
          </w:p>
        </w:tc>
        <w:tc>
          <w:tcPr>
            <w:tcW w:w="2552"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协助甲方及时进行预算专家评审</w:t>
            </w:r>
          </w:p>
        </w:tc>
        <w:tc>
          <w:tcPr>
            <w:tcW w:w="1417"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kern w:val="0"/>
                <w:sz w:val="24"/>
              </w:rPr>
              <w:t>按甲方要求</w:t>
            </w:r>
          </w:p>
        </w:tc>
        <w:tc>
          <w:tcPr>
            <w:tcW w:w="3484"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未按时组织评审书面警告一次，未按时完成对数记乙方一般违约一次。</w:t>
            </w:r>
          </w:p>
        </w:tc>
      </w:tr>
      <w:tr>
        <w:tblPrEx>
          <w:tblCellMar>
            <w:top w:w="0" w:type="dxa"/>
            <w:left w:w="108" w:type="dxa"/>
            <w:bottom w:w="0" w:type="dxa"/>
            <w:right w:w="108" w:type="dxa"/>
          </w:tblCellMar>
        </w:tblPrEx>
        <w:trPr>
          <w:trHeight w:val="625" w:hRule="atLeast"/>
          <w:jc w:val="center"/>
        </w:trPr>
        <w:tc>
          <w:tcPr>
            <w:tcW w:w="625" w:type="dxa"/>
            <w:vMerge w:val="continue"/>
            <w:tcBorders>
              <w:left w:val="single" w:color="auto"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1134" w:type="dxa"/>
            <w:vMerge w:val="continue"/>
            <w:tcBorders>
              <w:left w:val="single" w:color="auto"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5528"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3.根据预算文件编制清单前言，并对清单前言的严谨性、完善性负责。</w:t>
            </w:r>
          </w:p>
        </w:tc>
        <w:tc>
          <w:tcPr>
            <w:tcW w:w="2552"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出具清单前言</w:t>
            </w:r>
          </w:p>
        </w:tc>
        <w:tc>
          <w:tcPr>
            <w:tcW w:w="1417"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kern w:val="0"/>
                <w:sz w:val="24"/>
              </w:rPr>
              <w:t>按甲方要求</w:t>
            </w:r>
          </w:p>
        </w:tc>
        <w:tc>
          <w:tcPr>
            <w:tcW w:w="3484"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未按时完成记书面警告一次，未按时完成对数记乙方一般违约一次。</w:t>
            </w:r>
          </w:p>
        </w:tc>
      </w:tr>
      <w:tr>
        <w:tblPrEx>
          <w:tblCellMar>
            <w:top w:w="0" w:type="dxa"/>
            <w:left w:w="108" w:type="dxa"/>
            <w:bottom w:w="0" w:type="dxa"/>
            <w:right w:w="108" w:type="dxa"/>
          </w:tblCellMar>
        </w:tblPrEx>
        <w:trPr>
          <w:trHeight w:val="625" w:hRule="atLeast"/>
          <w:jc w:val="center"/>
        </w:trPr>
        <w:tc>
          <w:tcPr>
            <w:tcW w:w="625" w:type="dxa"/>
            <w:vMerge w:val="continue"/>
            <w:tcBorders>
              <w:left w:val="single" w:color="auto"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1134" w:type="dxa"/>
            <w:vMerge w:val="continue"/>
            <w:tcBorders>
              <w:left w:val="single" w:color="auto"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5528"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4.根据确定的施工图预算编制详细的工程成本预测和资金流量预测分析，以作为进度和成本控制的目标；随设计的深入定期分析工程成本、定期修正资金流量预测。</w:t>
            </w:r>
          </w:p>
        </w:tc>
        <w:tc>
          <w:tcPr>
            <w:tcW w:w="2552"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出具成本分析报告</w:t>
            </w:r>
          </w:p>
        </w:tc>
        <w:tc>
          <w:tcPr>
            <w:tcW w:w="1417"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kern w:val="0"/>
                <w:sz w:val="24"/>
              </w:rPr>
              <w:t>按甲方要求</w:t>
            </w:r>
          </w:p>
        </w:tc>
        <w:tc>
          <w:tcPr>
            <w:tcW w:w="3484"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未按时完成记书面警告一次，未按时完成对数记乙方一般违约一次。</w:t>
            </w:r>
          </w:p>
        </w:tc>
      </w:tr>
      <w:tr>
        <w:tblPrEx>
          <w:tblCellMar>
            <w:top w:w="0" w:type="dxa"/>
            <w:left w:w="108" w:type="dxa"/>
            <w:bottom w:w="0" w:type="dxa"/>
            <w:right w:w="108" w:type="dxa"/>
          </w:tblCellMar>
        </w:tblPrEx>
        <w:trPr>
          <w:trHeight w:val="625" w:hRule="atLeast"/>
          <w:jc w:val="center"/>
        </w:trPr>
        <w:tc>
          <w:tcPr>
            <w:tcW w:w="625" w:type="dxa"/>
            <w:vMerge w:val="continue"/>
            <w:tcBorders>
              <w:left w:val="single" w:color="auto"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1134" w:type="dxa"/>
            <w:vMerge w:val="continue"/>
            <w:tcBorders>
              <w:left w:val="single" w:color="auto"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5528"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5.负责按甲方要求编制各类造价管理文件。</w:t>
            </w:r>
          </w:p>
        </w:tc>
        <w:tc>
          <w:tcPr>
            <w:tcW w:w="2552"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编制预算文件</w:t>
            </w:r>
          </w:p>
        </w:tc>
        <w:tc>
          <w:tcPr>
            <w:tcW w:w="1417"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kern w:val="0"/>
                <w:sz w:val="24"/>
              </w:rPr>
              <w:t>按甲方要求</w:t>
            </w:r>
          </w:p>
        </w:tc>
        <w:tc>
          <w:tcPr>
            <w:tcW w:w="3484"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未按时完成记书面警告一次，未按时完成对数记乙方一般违约一次。</w:t>
            </w:r>
          </w:p>
        </w:tc>
      </w:tr>
      <w:tr>
        <w:tblPrEx>
          <w:tblCellMar>
            <w:top w:w="0" w:type="dxa"/>
            <w:left w:w="108" w:type="dxa"/>
            <w:bottom w:w="0" w:type="dxa"/>
            <w:right w:w="108" w:type="dxa"/>
          </w:tblCellMar>
        </w:tblPrEx>
        <w:trPr>
          <w:trHeight w:val="625" w:hRule="atLeast"/>
          <w:jc w:val="center"/>
        </w:trPr>
        <w:tc>
          <w:tcPr>
            <w:tcW w:w="625" w:type="dxa"/>
            <w:vMerge w:val="continue"/>
            <w:tcBorders>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1134" w:type="dxa"/>
            <w:vMerge w:val="continue"/>
            <w:tcBorders>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5528"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6.负责工程其他费用预算评审，并按时提交审核报告</w:t>
            </w:r>
            <w:r>
              <w:rPr>
                <w:rFonts w:hint="eastAsia" w:ascii="宋体" w:hAnsi="宋体" w:cs="宋体"/>
                <w:bCs w:val="0"/>
                <w:kern w:val="0"/>
                <w:sz w:val="24"/>
                <w:lang w:eastAsia="zh-CN"/>
              </w:rPr>
              <w:t>（</w:t>
            </w:r>
            <w:r>
              <w:rPr>
                <w:rFonts w:hint="eastAsia" w:ascii="宋体" w:hAnsi="宋体" w:cs="宋体"/>
                <w:bCs w:val="0"/>
                <w:kern w:val="0"/>
                <w:sz w:val="24"/>
                <w:lang w:val="en-US" w:eastAsia="zh-CN"/>
              </w:rPr>
              <w:t>如需</w:t>
            </w:r>
            <w:bookmarkStart w:id="86" w:name="_GoBack"/>
            <w:bookmarkEnd w:id="86"/>
            <w:r>
              <w:rPr>
                <w:rFonts w:hint="eastAsia" w:ascii="宋体" w:hAnsi="宋体" w:cs="宋体"/>
                <w:bCs w:val="0"/>
                <w:kern w:val="0"/>
                <w:sz w:val="24"/>
                <w:lang w:eastAsia="zh-CN"/>
              </w:rPr>
              <w:t>）</w:t>
            </w:r>
            <w:r>
              <w:rPr>
                <w:rFonts w:hint="eastAsia" w:ascii="宋体" w:hAnsi="宋体" w:cs="宋体"/>
                <w:bCs w:val="0"/>
                <w:kern w:val="0"/>
                <w:sz w:val="24"/>
              </w:rPr>
              <w:t>。</w:t>
            </w:r>
          </w:p>
        </w:tc>
        <w:tc>
          <w:tcPr>
            <w:tcW w:w="2552"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出具预算书、完成与相关单位的对数工作</w:t>
            </w:r>
          </w:p>
        </w:tc>
        <w:tc>
          <w:tcPr>
            <w:tcW w:w="1417"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kern w:val="0"/>
                <w:sz w:val="24"/>
              </w:rPr>
            </w:pPr>
            <w:r>
              <w:rPr>
                <w:rFonts w:hint="eastAsia" w:ascii="宋体" w:hAnsi="宋体" w:cs="宋体"/>
                <w:kern w:val="0"/>
                <w:sz w:val="24"/>
              </w:rPr>
              <w:t>按甲方要求</w:t>
            </w:r>
          </w:p>
        </w:tc>
        <w:tc>
          <w:tcPr>
            <w:tcW w:w="3484"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未按时提交预算书记书面警告一次，未按时完成对数记乙方一般违约一次。</w:t>
            </w:r>
          </w:p>
        </w:tc>
      </w:tr>
      <w:tr>
        <w:tblPrEx>
          <w:tblCellMar>
            <w:top w:w="0" w:type="dxa"/>
            <w:left w:w="108" w:type="dxa"/>
            <w:bottom w:w="0" w:type="dxa"/>
            <w:right w:w="108" w:type="dxa"/>
          </w:tblCellMar>
        </w:tblPrEx>
        <w:trPr>
          <w:trHeight w:val="765" w:hRule="atLeast"/>
          <w:jc w:val="center"/>
        </w:trPr>
        <w:tc>
          <w:tcPr>
            <w:tcW w:w="625"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4</w:t>
            </w:r>
          </w:p>
        </w:tc>
        <w:tc>
          <w:tcPr>
            <w:tcW w:w="1134"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施工阶段</w:t>
            </w:r>
          </w:p>
        </w:tc>
        <w:tc>
          <w:tcPr>
            <w:tcW w:w="5528"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1．负责清标工作并编制清标报告。施工合同签订后1个月内组织监理单位及施工单位完成清标工作并编制清标报告。</w:t>
            </w:r>
          </w:p>
        </w:tc>
        <w:tc>
          <w:tcPr>
            <w:tcW w:w="2552"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出具清标报告书</w:t>
            </w:r>
          </w:p>
        </w:tc>
        <w:tc>
          <w:tcPr>
            <w:tcW w:w="1417"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施工合同签订后一个月内</w:t>
            </w:r>
          </w:p>
        </w:tc>
        <w:tc>
          <w:tcPr>
            <w:tcW w:w="3484"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未按时审核记书面警告一次，三次书面警告记一般违约一次。</w:t>
            </w:r>
          </w:p>
        </w:tc>
      </w:tr>
      <w:tr>
        <w:tblPrEx>
          <w:tblCellMar>
            <w:top w:w="0" w:type="dxa"/>
            <w:left w:w="108" w:type="dxa"/>
            <w:bottom w:w="0" w:type="dxa"/>
            <w:right w:w="108" w:type="dxa"/>
          </w:tblCellMar>
        </w:tblPrEx>
        <w:trPr>
          <w:trHeight w:val="645" w:hRule="atLeast"/>
          <w:jc w:val="center"/>
        </w:trPr>
        <w:tc>
          <w:tcPr>
            <w:tcW w:w="625"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1134"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5528"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2.负责按甲方要求编制各类造价管理文件，包括工程变更程序、工程款支付程序等。</w:t>
            </w:r>
          </w:p>
        </w:tc>
        <w:tc>
          <w:tcPr>
            <w:tcW w:w="2552"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出具工程变更办法、工程款支付办法。</w:t>
            </w:r>
          </w:p>
        </w:tc>
        <w:tc>
          <w:tcPr>
            <w:tcW w:w="1417"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　</w:t>
            </w:r>
          </w:p>
        </w:tc>
        <w:tc>
          <w:tcPr>
            <w:tcW w:w="3484"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未按时提交记书面警告一次，超3工作日仍未提交记一般违约一次。</w:t>
            </w:r>
          </w:p>
        </w:tc>
      </w:tr>
      <w:tr>
        <w:tblPrEx>
          <w:tblCellMar>
            <w:top w:w="0" w:type="dxa"/>
            <w:left w:w="108" w:type="dxa"/>
            <w:bottom w:w="0" w:type="dxa"/>
            <w:right w:w="108" w:type="dxa"/>
          </w:tblCellMar>
        </w:tblPrEx>
        <w:trPr>
          <w:trHeight w:val="1200" w:hRule="atLeast"/>
          <w:jc w:val="center"/>
        </w:trPr>
        <w:tc>
          <w:tcPr>
            <w:tcW w:w="625"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1134"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5528"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3.制定项目总体投资进度计划，根据实际进度与每月实际投资和计划投资作分析比较，分析成本超支的原因和修正项目投资进度计划。</w:t>
            </w:r>
          </w:p>
        </w:tc>
        <w:tc>
          <w:tcPr>
            <w:tcW w:w="2552"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编制项目总体投资进度计划，对比每月实际投资与计划投资，分析并修正。</w:t>
            </w:r>
          </w:p>
        </w:tc>
        <w:tc>
          <w:tcPr>
            <w:tcW w:w="1417"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　</w:t>
            </w:r>
          </w:p>
        </w:tc>
        <w:tc>
          <w:tcPr>
            <w:tcW w:w="3484"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未按时审核记书面警告一次，三次书面警告记一般违约一次。</w:t>
            </w:r>
          </w:p>
        </w:tc>
      </w:tr>
      <w:tr>
        <w:tblPrEx>
          <w:tblCellMar>
            <w:top w:w="0" w:type="dxa"/>
            <w:left w:w="108" w:type="dxa"/>
            <w:bottom w:w="0" w:type="dxa"/>
            <w:right w:w="108" w:type="dxa"/>
          </w:tblCellMar>
        </w:tblPrEx>
        <w:trPr>
          <w:trHeight w:val="1020" w:hRule="atLeast"/>
          <w:jc w:val="center"/>
        </w:trPr>
        <w:tc>
          <w:tcPr>
            <w:tcW w:w="625"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1134"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5528"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4.负责施工过程造价控制（含编制方案及实施计划），审核工程量与进度款，2个日历天内完成。</w:t>
            </w:r>
          </w:p>
        </w:tc>
        <w:tc>
          <w:tcPr>
            <w:tcW w:w="2552"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编制施工过程造价控制方案及实施计划、审核工程量与进度款</w:t>
            </w:r>
          </w:p>
        </w:tc>
        <w:tc>
          <w:tcPr>
            <w:tcW w:w="1417"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审核工程量与进度款2个日历天完成</w:t>
            </w:r>
          </w:p>
        </w:tc>
        <w:tc>
          <w:tcPr>
            <w:tcW w:w="3484"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未按时审核记书面警告一次，三次书面警告记一般违约一次。</w:t>
            </w:r>
          </w:p>
        </w:tc>
      </w:tr>
      <w:tr>
        <w:tblPrEx>
          <w:tblCellMar>
            <w:top w:w="0" w:type="dxa"/>
            <w:left w:w="108" w:type="dxa"/>
            <w:bottom w:w="0" w:type="dxa"/>
            <w:right w:w="108" w:type="dxa"/>
          </w:tblCellMar>
        </w:tblPrEx>
        <w:trPr>
          <w:trHeight w:val="642" w:hRule="atLeast"/>
          <w:jc w:val="center"/>
        </w:trPr>
        <w:tc>
          <w:tcPr>
            <w:tcW w:w="625"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1134"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5528"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5.负责协助第三方的合同索赔处理，参加合同变更谈判，负责处理合同变更，维护甲方的合法权益。</w:t>
            </w:r>
          </w:p>
        </w:tc>
        <w:tc>
          <w:tcPr>
            <w:tcW w:w="2552"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合同变更谈判，处理合同变更</w:t>
            </w:r>
          </w:p>
        </w:tc>
        <w:tc>
          <w:tcPr>
            <w:tcW w:w="1417"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　</w:t>
            </w:r>
          </w:p>
        </w:tc>
        <w:tc>
          <w:tcPr>
            <w:tcW w:w="3484"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　</w:t>
            </w:r>
          </w:p>
        </w:tc>
      </w:tr>
      <w:tr>
        <w:tblPrEx>
          <w:tblCellMar>
            <w:top w:w="0" w:type="dxa"/>
            <w:left w:w="108" w:type="dxa"/>
            <w:bottom w:w="0" w:type="dxa"/>
            <w:right w:w="108" w:type="dxa"/>
          </w:tblCellMar>
        </w:tblPrEx>
        <w:trPr>
          <w:trHeight w:val="1335" w:hRule="atLeast"/>
          <w:jc w:val="center"/>
        </w:trPr>
        <w:tc>
          <w:tcPr>
            <w:tcW w:w="625"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1134"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5528"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6.负责建立合同台账、支付台账、工程变更管理台账（按变更原因分类）、签证台账、动态投资台账，负责每个月月底前提交工程项目整体结算价预估分析、动态成本（须与目标成本对比分析偏差原因及解决方案）。</w:t>
            </w:r>
          </w:p>
        </w:tc>
        <w:tc>
          <w:tcPr>
            <w:tcW w:w="2552"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建立合同台账、支付台账、工程变更管理台账、签证台账、动态投资台账。</w:t>
            </w:r>
          </w:p>
        </w:tc>
        <w:tc>
          <w:tcPr>
            <w:tcW w:w="1417"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　</w:t>
            </w:r>
          </w:p>
        </w:tc>
        <w:tc>
          <w:tcPr>
            <w:tcW w:w="3484"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未按时提交书面警告一次，三次记一般违约一次。</w:t>
            </w:r>
          </w:p>
        </w:tc>
      </w:tr>
      <w:tr>
        <w:tblPrEx>
          <w:tblCellMar>
            <w:top w:w="0" w:type="dxa"/>
            <w:left w:w="108" w:type="dxa"/>
            <w:bottom w:w="0" w:type="dxa"/>
            <w:right w:w="108" w:type="dxa"/>
          </w:tblCellMar>
        </w:tblPrEx>
        <w:trPr>
          <w:trHeight w:val="1320" w:hRule="atLeast"/>
          <w:jc w:val="center"/>
        </w:trPr>
        <w:tc>
          <w:tcPr>
            <w:tcW w:w="625"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1134"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5528"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7.负责定期召开造价控制会议，集中会审现场签证、工程变更的工程量和造价预算，确认变更价款。负责每月5号前提交工程变更（包括：图纸会审、图纸修改、工程洽商等）对造价影响分析，及成本控制报告。</w:t>
            </w:r>
          </w:p>
        </w:tc>
        <w:tc>
          <w:tcPr>
            <w:tcW w:w="2552"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提交工程变更造价分析表及成本控制报告</w:t>
            </w:r>
          </w:p>
        </w:tc>
        <w:tc>
          <w:tcPr>
            <w:tcW w:w="1417"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每月5号前提交</w:t>
            </w:r>
          </w:p>
        </w:tc>
        <w:tc>
          <w:tcPr>
            <w:tcW w:w="3484"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未按时提交书面警告一次，三次书面警告记一般违约一次。</w:t>
            </w:r>
          </w:p>
        </w:tc>
      </w:tr>
      <w:tr>
        <w:tblPrEx>
          <w:tblCellMar>
            <w:top w:w="0" w:type="dxa"/>
            <w:left w:w="108" w:type="dxa"/>
            <w:bottom w:w="0" w:type="dxa"/>
            <w:right w:w="108" w:type="dxa"/>
          </w:tblCellMar>
        </w:tblPrEx>
        <w:trPr>
          <w:trHeight w:val="707" w:hRule="atLeast"/>
          <w:jc w:val="center"/>
        </w:trPr>
        <w:tc>
          <w:tcPr>
            <w:tcW w:w="625"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1134"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5528"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8.发生现场签证时，须与工程部、工程监理、施工单位一起进行工程量现场核查，各方签认后作为签证依据。</w:t>
            </w:r>
          </w:p>
        </w:tc>
        <w:tc>
          <w:tcPr>
            <w:tcW w:w="2552"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出具现场工程变更签证表</w:t>
            </w:r>
          </w:p>
        </w:tc>
        <w:tc>
          <w:tcPr>
            <w:tcW w:w="1417"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　</w:t>
            </w:r>
          </w:p>
        </w:tc>
        <w:tc>
          <w:tcPr>
            <w:tcW w:w="3484"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未按时提交书面警告一次，三次书面警告记一般违约一次。</w:t>
            </w:r>
          </w:p>
        </w:tc>
      </w:tr>
      <w:tr>
        <w:tblPrEx>
          <w:tblCellMar>
            <w:top w:w="0" w:type="dxa"/>
            <w:left w:w="108" w:type="dxa"/>
            <w:bottom w:w="0" w:type="dxa"/>
            <w:right w:w="108" w:type="dxa"/>
          </w:tblCellMar>
        </w:tblPrEx>
        <w:trPr>
          <w:trHeight w:val="1170" w:hRule="atLeast"/>
          <w:jc w:val="center"/>
        </w:trPr>
        <w:tc>
          <w:tcPr>
            <w:tcW w:w="625"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1134"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5528"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9.负责定期收集和整理有关设备材料的市场价格动态信息，对施工方案、材料选用提供成本控制建议。每月提交人工机械主材设备价格造价影响分析。</w:t>
            </w:r>
          </w:p>
        </w:tc>
        <w:tc>
          <w:tcPr>
            <w:tcW w:w="2552"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对施工方案、材料选用提供成本控制建议，提交人工机械主材设备价格造价影响分析表</w:t>
            </w:r>
          </w:p>
        </w:tc>
        <w:tc>
          <w:tcPr>
            <w:tcW w:w="1417"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每月25号提交当月</w:t>
            </w:r>
          </w:p>
        </w:tc>
        <w:tc>
          <w:tcPr>
            <w:tcW w:w="3484"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未按时提交书面警告一次，三次书面警告记一般违约一次。</w:t>
            </w:r>
          </w:p>
        </w:tc>
      </w:tr>
      <w:tr>
        <w:tblPrEx>
          <w:tblCellMar>
            <w:top w:w="0" w:type="dxa"/>
            <w:left w:w="108" w:type="dxa"/>
            <w:bottom w:w="0" w:type="dxa"/>
            <w:right w:w="108" w:type="dxa"/>
          </w:tblCellMar>
        </w:tblPrEx>
        <w:trPr>
          <w:trHeight w:val="992" w:hRule="atLeast"/>
          <w:jc w:val="center"/>
        </w:trPr>
        <w:tc>
          <w:tcPr>
            <w:tcW w:w="625" w:type="dxa"/>
            <w:vMerge w:val="restart"/>
            <w:tcBorders>
              <w:top w:val="nil"/>
              <w:left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5</w:t>
            </w:r>
          </w:p>
        </w:tc>
        <w:tc>
          <w:tcPr>
            <w:tcW w:w="1134" w:type="dxa"/>
            <w:vMerge w:val="restart"/>
            <w:tcBorders>
              <w:top w:val="nil"/>
              <w:left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结（决）算阶段</w:t>
            </w:r>
          </w:p>
        </w:tc>
        <w:tc>
          <w:tcPr>
            <w:tcW w:w="5528"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1.负责按甲方及区评审中心的要求编制结算管理文件，开展过程结算，完成工程结算审核工作，并与施工单位完成对数，60个工作日内出具结算审核报告。</w:t>
            </w:r>
          </w:p>
        </w:tc>
        <w:tc>
          <w:tcPr>
            <w:tcW w:w="2552"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编制结算管理文件，出具结算审核报告</w:t>
            </w:r>
          </w:p>
        </w:tc>
        <w:tc>
          <w:tcPr>
            <w:tcW w:w="1417"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60个工作日内出具结算审核报告</w:t>
            </w:r>
          </w:p>
        </w:tc>
        <w:tc>
          <w:tcPr>
            <w:tcW w:w="3484"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未按时提交书面警告一次，三次记一般违约一次。</w:t>
            </w:r>
          </w:p>
        </w:tc>
      </w:tr>
      <w:tr>
        <w:tblPrEx>
          <w:tblCellMar>
            <w:top w:w="0" w:type="dxa"/>
            <w:left w:w="108" w:type="dxa"/>
            <w:bottom w:w="0" w:type="dxa"/>
            <w:right w:w="108" w:type="dxa"/>
          </w:tblCellMar>
        </w:tblPrEx>
        <w:trPr>
          <w:trHeight w:val="760" w:hRule="atLeast"/>
          <w:jc w:val="center"/>
        </w:trPr>
        <w:tc>
          <w:tcPr>
            <w:tcW w:w="625" w:type="dxa"/>
            <w:vMerge w:val="continue"/>
            <w:tcBorders>
              <w:left w:val="single" w:color="auto"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1134" w:type="dxa"/>
            <w:vMerge w:val="continue"/>
            <w:tcBorders>
              <w:left w:val="single" w:color="auto"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5528"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2.负责收集和整理结算依据资料，收集有关工程费用方面的签证资料，核对单据并及时归档。</w:t>
            </w:r>
          </w:p>
        </w:tc>
        <w:tc>
          <w:tcPr>
            <w:tcW w:w="2552"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收集、整理结算资料，核对并归档</w:t>
            </w:r>
          </w:p>
        </w:tc>
        <w:tc>
          <w:tcPr>
            <w:tcW w:w="1417"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kern w:val="0"/>
                <w:sz w:val="24"/>
              </w:rPr>
              <w:t>按甲方要求</w:t>
            </w:r>
          </w:p>
        </w:tc>
        <w:tc>
          <w:tcPr>
            <w:tcW w:w="3484"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p>
        </w:tc>
      </w:tr>
      <w:tr>
        <w:tblPrEx>
          <w:tblCellMar>
            <w:top w:w="0" w:type="dxa"/>
            <w:left w:w="108" w:type="dxa"/>
            <w:bottom w:w="0" w:type="dxa"/>
            <w:right w:w="108" w:type="dxa"/>
          </w:tblCellMar>
        </w:tblPrEx>
        <w:trPr>
          <w:trHeight w:val="820" w:hRule="atLeast"/>
          <w:jc w:val="center"/>
        </w:trPr>
        <w:tc>
          <w:tcPr>
            <w:tcW w:w="625" w:type="dxa"/>
            <w:vMerge w:val="continue"/>
            <w:tcBorders>
              <w:left w:val="single" w:color="auto"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1134" w:type="dxa"/>
            <w:vMerge w:val="continue"/>
            <w:tcBorders>
              <w:left w:val="single" w:color="auto"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5528"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3.审核其他费用，出具审价报告。</w:t>
            </w:r>
          </w:p>
        </w:tc>
        <w:tc>
          <w:tcPr>
            <w:tcW w:w="2552"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出具其他费用的审价报告</w:t>
            </w:r>
          </w:p>
        </w:tc>
        <w:tc>
          <w:tcPr>
            <w:tcW w:w="1417"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kern w:val="0"/>
                <w:sz w:val="24"/>
              </w:rPr>
              <w:t>按甲方要求</w:t>
            </w:r>
          </w:p>
        </w:tc>
        <w:tc>
          <w:tcPr>
            <w:tcW w:w="3484"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未按时提交报告记书面警告一次，超3个工作日仍未提交记一般违约一次。</w:t>
            </w:r>
          </w:p>
        </w:tc>
      </w:tr>
      <w:tr>
        <w:tblPrEx>
          <w:tblCellMar>
            <w:top w:w="0" w:type="dxa"/>
            <w:left w:w="108" w:type="dxa"/>
            <w:bottom w:w="0" w:type="dxa"/>
            <w:right w:w="108" w:type="dxa"/>
          </w:tblCellMar>
        </w:tblPrEx>
        <w:trPr>
          <w:trHeight w:val="913" w:hRule="atLeast"/>
          <w:jc w:val="center"/>
        </w:trPr>
        <w:tc>
          <w:tcPr>
            <w:tcW w:w="625" w:type="dxa"/>
            <w:vMerge w:val="continue"/>
            <w:tcBorders>
              <w:left w:val="single" w:color="auto"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1134" w:type="dxa"/>
            <w:vMerge w:val="continue"/>
            <w:tcBorders>
              <w:left w:val="single" w:color="auto"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5528"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4.负责建立结算台账，编制结算计划。</w:t>
            </w:r>
          </w:p>
        </w:tc>
        <w:tc>
          <w:tcPr>
            <w:tcW w:w="2552"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建立结算台账，编制结算计划</w:t>
            </w:r>
          </w:p>
        </w:tc>
        <w:tc>
          <w:tcPr>
            <w:tcW w:w="1417"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kern w:val="0"/>
                <w:sz w:val="24"/>
              </w:rPr>
              <w:t>按甲方要求</w:t>
            </w:r>
          </w:p>
        </w:tc>
        <w:tc>
          <w:tcPr>
            <w:tcW w:w="3484"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未按时提交报告记书面警告一次，超3个工作日仍未提交记一般违约一次。</w:t>
            </w:r>
          </w:p>
        </w:tc>
      </w:tr>
      <w:tr>
        <w:tblPrEx>
          <w:tblCellMar>
            <w:top w:w="0" w:type="dxa"/>
            <w:left w:w="108" w:type="dxa"/>
            <w:bottom w:w="0" w:type="dxa"/>
            <w:right w:w="108" w:type="dxa"/>
          </w:tblCellMar>
        </w:tblPrEx>
        <w:trPr>
          <w:trHeight w:val="481" w:hRule="atLeast"/>
          <w:jc w:val="center"/>
        </w:trPr>
        <w:tc>
          <w:tcPr>
            <w:tcW w:w="625" w:type="dxa"/>
            <w:vMerge w:val="continue"/>
            <w:tcBorders>
              <w:left w:val="single" w:color="auto"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1134" w:type="dxa"/>
            <w:vMerge w:val="continue"/>
            <w:tcBorders>
              <w:left w:val="single" w:color="auto"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5528"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5.出具工程结算报告</w:t>
            </w:r>
          </w:p>
        </w:tc>
        <w:tc>
          <w:tcPr>
            <w:tcW w:w="2552"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p>
        </w:tc>
        <w:tc>
          <w:tcPr>
            <w:tcW w:w="1417"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　</w:t>
            </w:r>
          </w:p>
        </w:tc>
        <w:tc>
          <w:tcPr>
            <w:tcW w:w="3484"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　</w:t>
            </w:r>
          </w:p>
        </w:tc>
      </w:tr>
      <w:tr>
        <w:tblPrEx>
          <w:tblCellMar>
            <w:top w:w="0" w:type="dxa"/>
            <w:left w:w="108" w:type="dxa"/>
            <w:bottom w:w="0" w:type="dxa"/>
            <w:right w:w="108" w:type="dxa"/>
          </w:tblCellMar>
        </w:tblPrEx>
        <w:trPr>
          <w:trHeight w:val="481" w:hRule="atLeast"/>
          <w:jc w:val="center"/>
        </w:trPr>
        <w:tc>
          <w:tcPr>
            <w:tcW w:w="625" w:type="dxa"/>
            <w:vMerge w:val="continue"/>
            <w:tcBorders>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1134" w:type="dxa"/>
            <w:vMerge w:val="continue"/>
            <w:tcBorders>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5528"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6.编制竣工财务决算报告</w:t>
            </w:r>
          </w:p>
        </w:tc>
        <w:tc>
          <w:tcPr>
            <w:tcW w:w="2552"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p>
        </w:tc>
        <w:tc>
          <w:tcPr>
            <w:tcW w:w="1417"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p>
        </w:tc>
        <w:tc>
          <w:tcPr>
            <w:tcW w:w="3484"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p>
        </w:tc>
      </w:tr>
      <w:tr>
        <w:tblPrEx>
          <w:tblCellMar>
            <w:top w:w="0" w:type="dxa"/>
            <w:left w:w="108" w:type="dxa"/>
            <w:bottom w:w="0" w:type="dxa"/>
            <w:right w:w="108" w:type="dxa"/>
          </w:tblCellMar>
        </w:tblPrEx>
        <w:trPr>
          <w:trHeight w:val="750" w:hRule="atLeast"/>
          <w:jc w:val="center"/>
        </w:trPr>
        <w:tc>
          <w:tcPr>
            <w:tcW w:w="625"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6</w:t>
            </w:r>
          </w:p>
        </w:tc>
        <w:tc>
          <w:tcPr>
            <w:tcW w:w="1134"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其他</w:t>
            </w:r>
          </w:p>
        </w:tc>
        <w:tc>
          <w:tcPr>
            <w:tcW w:w="5528" w:type="dxa"/>
            <w:tcBorders>
              <w:top w:val="nil"/>
              <w:left w:val="nil"/>
              <w:bottom w:val="single" w:color="auto" w:sz="8" w:space="0"/>
              <w:right w:val="single" w:color="auto" w:sz="8" w:space="0"/>
            </w:tcBorders>
            <w:shd w:val="clear" w:color="000000" w:fill="FFFFFF"/>
            <w:vAlign w:val="center"/>
          </w:tcPr>
          <w:p>
            <w:pPr>
              <w:widowControl/>
              <w:shd w:val="solid" w:color="FFFFFF" w:fill="auto"/>
              <w:autoSpaceDN w:val="0"/>
              <w:snapToGrid w:val="0"/>
              <w:spacing w:line="360" w:lineRule="auto"/>
              <w:rPr>
                <w:rFonts w:ascii="宋体" w:hAnsi="宋体" w:cs="宋体"/>
                <w:bCs w:val="0"/>
                <w:kern w:val="0"/>
                <w:sz w:val="24"/>
              </w:rPr>
            </w:pPr>
            <w:r>
              <w:rPr>
                <w:rFonts w:hint="eastAsia" w:ascii="宋体" w:hAnsi="宋体" w:cs="宋体"/>
                <w:kern w:val="0"/>
                <w:sz w:val="24"/>
                <w:shd w:val="clear" w:color="auto" w:fill="FFFFFF"/>
              </w:rPr>
              <w:t>1.按甲方</w:t>
            </w:r>
            <w:r>
              <w:rPr>
                <w:rFonts w:hint="eastAsia" w:ascii="宋体" w:hAnsi="宋体" w:cs="宋体"/>
                <w:kern w:val="0"/>
                <w:sz w:val="24"/>
                <w:shd w:val="clear" w:color="auto" w:fill="FFFFFF"/>
                <w:lang w:val="zh-CN"/>
              </w:rPr>
              <w:t>及</w:t>
            </w:r>
            <w:r>
              <w:rPr>
                <w:rFonts w:hint="eastAsia" w:ascii="宋体" w:hAnsi="宋体" w:cs="宋体"/>
                <w:kern w:val="0"/>
                <w:sz w:val="24"/>
                <w:shd w:val="clear" w:color="auto" w:fill="FFFFFF"/>
              </w:rPr>
              <w:t>财政部门要求，负责组织项目建设工程预算评审，预算评审费用由乙方负责。</w:t>
            </w:r>
          </w:p>
        </w:tc>
        <w:tc>
          <w:tcPr>
            <w:tcW w:w="2552"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组织造价评审会议</w:t>
            </w:r>
          </w:p>
        </w:tc>
        <w:tc>
          <w:tcPr>
            <w:tcW w:w="1417"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按甲方要求</w:t>
            </w:r>
          </w:p>
        </w:tc>
        <w:tc>
          <w:tcPr>
            <w:tcW w:w="3484"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　</w:t>
            </w:r>
          </w:p>
        </w:tc>
      </w:tr>
      <w:tr>
        <w:tblPrEx>
          <w:tblCellMar>
            <w:top w:w="0" w:type="dxa"/>
            <w:left w:w="108" w:type="dxa"/>
            <w:bottom w:w="0" w:type="dxa"/>
            <w:right w:w="108" w:type="dxa"/>
          </w:tblCellMar>
        </w:tblPrEx>
        <w:trPr>
          <w:trHeight w:val="90" w:hRule="atLeast"/>
          <w:jc w:val="center"/>
        </w:trPr>
        <w:tc>
          <w:tcPr>
            <w:tcW w:w="625"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1134"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5528"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2.</w:t>
            </w:r>
            <w:r>
              <w:rPr>
                <w:rFonts w:hint="eastAsia" w:ascii="宋体" w:hAnsi="宋体" w:cs="宋体"/>
                <w:bCs w:val="0"/>
                <w:kern w:val="0"/>
                <w:sz w:val="24"/>
                <w:lang w:val="zh-CN"/>
              </w:rPr>
              <w:t>与广州北站东侧老旧小区成片连片微改造项目相关的</w:t>
            </w:r>
            <w:r>
              <w:rPr>
                <w:rFonts w:hint="eastAsia" w:ascii="宋体" w:hAnsi="宋体" w:cs="宋体"/>
                <w:bCs w:val="0"/>
                <w:kern w:val="0"/>
                <w:sz w:val="24"/>
              </w:rPr>
              <w:t>征地拆迁、管线、绿化迁移及其他相关的造价审核工作。</w:t>
            </w:r>
          </w:p>
        </w:tc>
        <w:tc>
          <w:tcPr>
            <w:tcW w:w="2552"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　</w:t>
            </w:r>
          </w:p>
        </w:tc>
        <w:tc>
          <w:tcPr>
            <w:tcW w:w="1417"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kern w:val="0"/>
                <w:sz w:val="24"/>
              </w:rPr>
              <w:t>按甲方要求</w:t>
            </w:r>
          </w:p>
        </w:tc>
        <w:tc>
          <w:tcPr>
            <w:tcW w:w="3484"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　</w:t>
            </w:r>
          </w:p>
        </w:tc>
      </w:tr>
      <w:tr>
        <w:tblPrEx>
          <w:tblCellMar>
            <w:top w:w="0" w:type="dxa"/>
            <w:left w:w="108" w:type="dxa"/>
            <w:bottom w:w="0" w:type="dxa"/>
            <w:right w:w="108" w:type="dxa"/>
          </w:tblCellMar>
        </w:tblPrEx>
        <w:trPr>
          <w:trHeight w:val="986" w:hRule="atLeast"/>
          <w:jc w:val="center"/>
        </w:trPr>
        <w:tc>
          <w:tcPr>
            <w:tcW w:w="625"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1134"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5528" w:type="dxa"/>
            <w:tcBorders>
              <w:top w:val="nil"/>
              <w:left w:val="nil"/>
              <w:bottom w:val="single" w:color="auto" w:sz="8" w:space="0"/>
              <w:right w:val="single" w:color="auto" w:sz="8" w:space="0"/>
            </w:tcBorders>
            <w:shd w:val="clear" w:color="000000" w:fill="FFFFFF"/>
            <w:vAlign w:val="center"/>
          </w:tcPr>
          <w:p>
            <w:pPr>
              <w:widowControl/>
              <w:snapToGrid w:val="0"/>
              <w:spacing w:line="400" w:lineRule="exact"/>
              <w:rPr>
                <w:rFonts w:ascii="宋体" w:hAnsi="宋体" w:cs="宋体"/>
                <w:bCs w:val="0"/>
                <w:kern w:val="0"/>
                <w:sz w:val="24"/>
              </w:rPr>
            </w:pPr>
            <w:r>
              <w:rPr>
                <w:rFonts w:hint="eastAsia" w:ascii="宋体" w:hAnsi="宋体" w:cs="宋体"/>
                <w:bCs w:val="0"/>
                <w:kern w:val="0"/>
                <w:sz w:val="24"/>
              </w:rPr>
              <w:t>3</w:t>
            </w:r>
            <w:r>
              <w:rPr>
                <w:rFonts w:hint="eastAsia" w:ascii="宋体" w:hAnsi="宋体" w:cs="宋体"/>
                <w:bCs w:val="0"/>
                <w:kern w:val="0"/>
                <w:sz w:val="24"/>
                <w:lang w:val="zh-CN"/>
              </w:rPr>
              <w:t>.合同履行期间，根据甲方要求派驻一位驻场造价人员，接受甲方工作安排，协助甲方完成造价工作。</w:t>
            </w:r>
          </w:p>
        </w:tc>
        <w:tc>
          <w:tcPr>
            <w:tcW w:w="2552"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p>
        </w:tc>
        <w:tc>
          <w:tcPr>
            <w:tcW w:w="1417"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kern w:val="0"/>
                <w:sz w:val="24"/>
              </w:rPr>
            </w:pPr>
            <w:r>
              <w:rPr>
                <w:rFonts w:hint="eastAsia" w:ascii="宋体" w:hAnsi="宋体" w:cs="宋体"/>
                <w:kern w:val="0"/>
                <w:sz w:val="24"/>
              </w:rPr>
              <w:t>按甲方要求</w:t>
            </w:r>
          </w:p>
        </w:tc>
        <w:tc>
          <w:tcPr>
            <w:tcW w:w="3484"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p>
        </w:tc>
      </w:tr>
      <w:tr>
        <w:tblPrEx>
          <w:tblCellMar>
            <w:top w:w="0" w:type="dxa"/>
            <w:left w:w="108" w:type="dxa"/>
            <w:bottom w:w="0" w:type="dxa"/>
            <w:right w:w="108" w:type="dxa"/>
          </w:tblCellMar>
        </w:tblPrEx>
        <w:trPr>
          <w:trHeight w:val="516" w:hRule="atLeast"/>
          <w:jc w:val="center"/>
        </w:trPr>
        <w:tc>
          <w:tcPr>
            <w:tcW w:w="625"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1134"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5528"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4.第三方编制成果偏差较大（清标、设计变更及签证审核等）</w:t>
            </w:r>
          </w:p>
        </w:tc>
        <w:tc>
          <w:tcPr>
            <w:tcW w:w="2552"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　</w:t>
            </w:r>
          </w:p>
        </w:tc>
        <w:tc>
          <w:tcPr>
            <w:tcW w:w="1417"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kern w:val="0"/>
                <w:sz w:val="24"/>
              </w:rPr>
              <w:t>按甲方要求</w:t>
            </w:r>
          </w:p>
        </w:tc>
        <w:tc>
          <w:tcPr>
            <w:tcW w:w="3484"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p>
        </w:tc>
      </w:tr>
      <w:tr>
        <w:tblPrEx>
          <w:tblCellMar>
            <w:top w:w="0" w:type="dxa"/>
            <w:left w:w="108" w:type="dxa"/>
            <w:bottom w:w="0" w:type="dxa"/>
            <w:right w:w="108" w:type="dxa"/>
          </w:tblCellMar>
        </w:tblPrEx>
        <w:trPr>
          <w:trHeight w:val="680" w:hRule="atLeast"/>
          <w:jc w:val="center"/>
        </w:trPr>
        <w:tc>
          <w:tcPr>
            <w:tcW w:w="625"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1134"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5528"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6.按既定工作时间未完成工作任务</w:t>
            </w:r>
          </w:p>
        </w:tc>
        <w:tc>
          <w:tcPr>
            <w:tcW w:w="2552"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　</w:t>
            </w:r>
          </w:p>
        </w:tc>
        <w:tc>
          <w:tcPr>
            <w:tcW w:w="1417"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kern w:val="0"/>
                <w:sz w:val="24"/>
              </w:rPr>
              <w:t>按甲方要求</w:t>
            </w:r>
          </w:p>
        </w:tc>
        <w:tc>
          <w:tcPr>
            <w:tcW w:w="3484"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超既定时间1天书面警告一次，超3个工作日仍未完成记一般违约一次。</w:t>
            </w:r>
          </w:p>
        </w:tc>
      </w:tr>
      <w:tr>
        <w:tblPrEx>
          <w:tblCellMar>
            <w:top w:w="0" w:type="dxa"/>
            <w:left w:w="108" w:type="dxa"/>
            <w:bottom w:w="0" w:type="dxa"/>
            <w:right w:w="108" w:type="dxa"/>
          </w:tblCellMar>
        </w:tblPrEx>
        <w:trPr>
          <w:trHeight w:val="780" w:hRule="atLeast"/>
          <w:jc w:val="center"/>
        </w:trPr>
        <w:tc>
          <w:tcPr>
            <w:tcW w:w="625"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1134" w:type="dxa"/>
            <w:vMerge w:val="continue"/>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cs="宋体"/>
                <w:bCs w:val="0"/>
                <w:kern w:val="0"/>
                <w:sz w:val="24"/>
              </w:rPr>
            </w:pPr>
          </w:p>
        </w:tc>
        <w:tc>
          <w:tcPr>
            <w:tcW w:w="5528"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7.按照合同、招标文件及清单前言等造价文件，需对清标、设计变更及签证审核等出具明确意见。</w:t>
            </w:r>
          </w:p>
        </w:tc>
        <w:tc>
          <w:tcPr>
            <w:tcW w:w="2552"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　</w:t>
            </w:r>
          </w:p>
        </w:tc>
        <w:tc>
          <w:tcPr>
            <w:tcW w:w="1417"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kern w:val="0"/>
                <w:sz w:val="24"/>
              </w:rPr>
              <w:t>按甲方要求</w:t>
            </w:r>
          </w:p>
        </w:tc>
        <w:tc>
          <w:tcPr>
            <w:tcW w:w="3484" w:type="dxa"/>
            <w:tcBorders>
              <w:top w:val="nil"/>
              <w:left w:val="nil"/>
              <w:bottom w:val="single" w:color="auto" w:sz="8" w:space="0"/>
              <w:right w:val="single" w:color="auto" w:sz="8" w:space="0"/>
            </w:tcBorders>
            <w:shd w:val="clear" w:color="000000" w:fill="FFFFFF"/>
            <w:vAlign w:val="center"/>
          </w:tcPr>
          <w:p>
            <w:pPr>
              <w:widowControl/>
              <w:rPr>
                <w:rFonts w:ascii="宋体" w:hAnsi="宋体" w:cs="宋体"/>
                <w:bCs w:val="0"/>
                <w:kern w:val="0"/>
                <w:sz w:val="24"/>
              </w:rPr>
            </w:pPr>
            <w:r>
              <w:rPr>
                <w:rFonts w:hint="eastAsia" w:ascii="宋体" w:hAnsi="宋体" w:cs="宋体"/>
                <w:bCs w:val="0"/>
                <w:kern w:val="0"/>
                <w:sz w:val="24"/>
              </w:rPr>
              <w:t>未按时提交及未提出明确意见记一般违约一次。</w:t>
            </w:r>
          </w:p>
        </w:tc>
      </w:tr>
    </w:tbl>
    <w:p>
      <w:pPr>
        <w:shd w:val="clear" w:color="auto" w:fill="FFFFFF"/>
        <w:spacing w:line="360" w:lineRule="auto"/>
        <w:rPr>
          <w:rFonts w:ascii="宋体" w:hAnsi="宋体" w:cs="宋体"/>
          <w:kern w:val="0"/>
          <w:sz w:val="24"/>
          <w:shd w:val="clear" w:color="auto" w:fill="FFFFFF"/>
        </w:rPr>
      </w:pPr>
      <w:r>
        <w:rPr>
          <w:rFonts w:hint="eastAsia" w:ascii="宋体" w:hAnsi="宋体" w:cs="宋体"/>
          <w:kern w:val="0"/>
          <w:sz w:val="24"/>
          <w:shd w:val="clear" w:color="auto" w:fill="FFFFFF"/>
        </w:rPr>
        <w:t>注：1、为实现项目的投资控制目标，由</w:t>
      </w:r>
      <w:r>
        <w:rPr>
          <w:rFonts w:hint="eastAsia" w:ascii="宋体" w:hAnsi="宋体" w:cs="宋体"/>
          <w:color w:val="000000"/>
          <w:kern w:val="0"/>
          <w:sz w:val="24"/>
          <w:shd w:val="clear" w:color="auto" w:fill="FFFFFF"/>
        </w:rPr>
        <w:t>乙方</w:t>
      </w:r>
      <w:r>
        <w:rPr>
          <w:rFonts w:hint="eastAsia" w:ascii="宋体" w:hAnsi="宋体" w:cs="宋体"/>
          <w:kern w:val="0"/>
          <w:sz w:val="24"/>
          <w:shd w:val="clear" w:color="auto" w:fill="FFFFFF"/>
        </w:rPr>
        <w:t>作为派驻驻场造价人员组成项目组，拟派驻人员详见</w:t>
      </w:r>
      <w:r>
        <w:rPr>
          <w:rFonts w:hint="eastAsia" w:ascii="宋体" w:hAnsi="宋体" w:cs="宋体"/>
          <w:color w:val="000000"/>
          <w:kern w:val="0"/>
          <w:sz w:val="24"/>
          <w:shd w:val="clear" w:color="auto" w:fill="FFFFFF"/>
        </w:rPr>
        <w:t>《造价咨询服务人员配备要求表》</w:t>
      </w:r>
      <w:r>
        <w:rPr>
          <w:rFonts w:hint="eastAsia" w:ascii="宋体" w:hAnsi="宋体" w:cs="宋体"/>
          <w:kern w:val="0"/>
          <w:sz w:val="24"/>
          <w:shd w:val="clear" w:color="auto" w:fill="FFFFFF"/>
        </w:rPr>
        <w:t>，如需更换人员需提前通知并取得委托人的同意。委托人仅提供驻场人员办公场地，其他如办公设备、办公用品、就餐、住宿等由造价咨询单位自行解决，费用已包含在合同价款内；具体以合同要求为准。</w:t>
      </w:r>
    </w:p>
    <w:p>
      <w:pPr>
        <w:widowControl/>
        <w:numPr>
          <w:ilvl w:val="255"/>
          <w:numId w:val="0"/>
        </w:numPr>
        <w:shd w:val="clear" w:color="auto" w:fill="FFFFFF"/>
        <w:spacing w:line="360" w:lineRule="auto"/>
        <w:jc w:val="left"/>
        <w:rPr>
          <w:rFonts w:ascii="宋体" w:hAnsi="宋体" w:cs="宋体"/>
          <w:kern w:val="0"/>
          <w:sz w:val="24"/>
          <w:shd w:val="clear" w:color="auto" w:fill="FFFFFF"/>
        </w:rPr>
      </w:pPr>
      <w:r>
        <w:rPr>
          <w:rFonts w:hint="eastAsia" w:ascii="宋体" w:hAnsi="宋体" w:cs="宋体"/>
          <w:kern w:val="0"/>
          <w:sz w:val="24"/>
          <w:shd w:val="clear" w:color="auto" w:fill="FFFFFF"/>
        </w:rPr>
        <w:t>2、项目负责人必须定期参加工程例会，参加委托人组织与造价有关的专题会议并提出专业意见，造价咨询单位总部按委托人的要求提供技术支持；相关的驻场人员工作要求，应服从委托人管理和工作分配，具体以合同要求为准。人员数量要求按《造价咨询服务人员配备要求表》的约定。</w:t>
      </w:r>
    </w:p>
    <w:p>
      <w:pPr>
        <w:shd w:val="clear" w:color="auto" w:fill="FFFFFF"/>
        <w:spacing w:line="360" w:lineRule="auto"/>
        <w:rPr>
          <w:rFonts w:ascii="宋体" w:hAnsi="宋体" w:cs="宋体"/>
          <w:kern w:val="0"/>
          <w:sz w:val="24"/>
          <w:shd w:val="clear" w:color="auto" w:fill="FFFFFF"/>
        </w:rPr>
      </w:pPr>
      <w:r>
        <w:rPr>
          <w:rFonts w:hint="eastAsia" w:ascii="宋体" w:hAnsi="宋体" w:cs="宋体"/>
          <w:kern w:val="0"/>
          <w:sz w:val="24"/>
          <w:shd w:val="clear" w:color="auto" w:fill="FFFFFF"/>
        </w:rPr>
        <w:t>3、乙方需在甲方要求的期限内完成各项工作内容，如未按要求完成的，乙方有权直接按照本招标项目合同专用条款第三十三条执行。</w:t>
      </w:r>
    </w:p>
    <w:p>
      <w:pPr>
        <w:rPr>
          <w:rFonts w:ascii="宋体" w:hAnsi="宋体" w:cs="宋体"/>
          <w:kern w:val="0"/>
          <w:sz w:val="24"/>
          <w:shd w:val="clear" w:color="auto" w:fill="FFFFFF"/>
        </w:rPr>
      </w:pPr>
      <w:r>
        <w:rPr>
          <w:rFonts w:hint="eastAsia" w:ascii="宋体" w:hAnsi="宋体" w:cs="宋体"/>
          <w:kern w:val="0"/>
          <w:sz w:val="24"/>
          <w:shd w:val="clear" w:color="auto" w:fill="FFFFFF"/>
        </w:rPr>
        <w:br w:type="page"/>
      </w:r>
    </w:p>
    <w:p>
      <w:pPr>
        <w:shd w:val="clear" w:color="auto" w:fill="FFFFFF"/>
        <w:spacing w:line="360" w:lineRule="auto"/>
        <w:rPr>
          <w:rFonts w:ascii="宋体" w:hAnsi="宋体" w:cs="宋体"/>
          <w:sz w:val="24"/>
        </w:rPr>
      </w:pPr>
      <w:r>
        <w:rPr>
          <w:rFonts w:hint="eastAsia" w:ascii="宋体" w:hAnsi="宋体" w:cs="宋体"/>
          <w:sz w:val="24"/>
        </w:rPr>
        <w:t>附件2：</w:t>
      </w:r>
    </w:p>
    <w:p>
      <w:pPr>
        <w:pStyle w:val="35"/>
        <w:jc w:val="center"/>
        <w:rPr>
          <w:b/>
          <w:bCs/>
          <w:color w:val="000000" w:themeColor="text1"/>
          <w:sz w:val="28"/>
          <w:szCs w:val="28"/>
          <w:lang w:val="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造价咨询服务人员配备要求表</w:t>
      </w:r>
    </w:p>
    <w:tbl>
      <w:tblPr>
        <w:tblStyle w:val="20"/>
        <w:tblW w:w="0" w:type="auto"/>
        <w:tblInd w:w="10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9"/>
        <w:gridCol w:w="1456"/>
        <w:gridCol w:w="3800"/>
        <w:gridCol w:w="3450"/>
        <w:gridCol w:w="1425"/>
        <w:gridCol w:w="14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689" w:type="dxa"/>
            <w:vAlign w:val="center"/>
          </w:tcPr>
          <w:p>
            <w:pPr>
              <w:autoSpaceDE w:val="0"/>
              <w:autoSpaceDN w:val="0"/>
              <w:adjustRightInd w:val="0"/>
              <w:ind w:left="56" w:leftChars="27" w:right="144"/>
              <w:rPr>
                <w:rFonts w:ascii="宋体" w:hAnsi="宋体" w:cs="宋体"/>
                <w:kern w:val="0"/>
                <w:sz w:val="24"/>
                <w:lang w:val="zh-CN"/>
              </w:rPr>
            </w:pPr>
            <w:r>
              <w:rPr>
                <w:rFonts w:hint="eastAsia" w:ascii="宋体" w:hAnsi="宋体" w:cs="宋体"/>
                <w:kern w:val="0"/>
                <w:sz w:val="24"/>
                <w:lang w:val="zh-CN"/>
              </w:rPr>
              <w:t>序号</w:t>
            </w:r>
          </w:p>
        </w:tc>
        <w:tc>
          <w:tcPr>
            <w:tcW w:w="1456" w:type="dxa"/>
            <w:vAlign w:val="center"/>
          </w:tcPr>
          <w:p>
            <w:pPr>
              <w:autoSpaceDE w:val="0"/>
              <w:autoSpaceDN w:val="0"/>
              <w:adjustRightInd w:val="0"/>
              <w:ind w:left="56" w:leftChars="27" w:right="144"/>
              <w:jc w:val="center"/>
              <w:rPr>
                <w:rFonts w:ascii="宋体" w:hAnsi="宋体" w:cs="宋体"/>
                <w:kern w:val="0"/>
                <w:sz w:val="24"/>
                <w:lang w:val="zh-CN"/>
              </w:rPr>
            </w:pPr>
            <w:r>
              <w:rPr>
                <w:rFonts w:hint="eastAsia" w:ascii="宋体" w:hAnsi="宋体" w:cs="宋体"/>
                <w:kern w:val="0"/>
                <w:sz w:val="24"/>
                <w:lang w:val="zh-CN"/>
              </w:rPr>
              <w:t>岗位人员</w:t>
            </w:r>
          </w:p>
        </w:tc>
        <w:tc>
          <w:tcPr>
            <w:tcW w:w="3800" w:type="dxa"/>
            <w:vAlign w:val="center"/>
          </w:tcPr>
          <w:p>
            <w:pPr>
              <w:autoSpaceDE w:val="0"/>
              <w:autoSpaceDN w:val="0"/>
              <w:adjustRightInd w:val="0"/>
              <w:ind w:left="56" w:leftChars="27" w:right="144" w:firstLine="516" w:firstLineChars="215"/>
              <w:rPr>
                <w:rFonts w:ascii="宋体" w:hAnsi="宋体" w:cs="宋体"/>
                <w:kern w:val="0"/>
                <w:sz w:val="24"/>
                <w:lang w:val="zh-CN"/>
              </w:rPr>
            </w:pPr>
            <w:r>
              <w:rPr>
                <w:rFonts w:hint="eastAsia" w:ascii="宋体" w:hAnsi="宋体" w:cs="宋体"/>
                <w:kern w:val="0"/>
                <w:sz w:val="24"/>
                <w:lang w:val="zh-CN"/>
              </w:rPr>
              <w:t>职称和资格要求</w:t>
            </w:r>
          </w:p>
        </w:tc>
        <w:tc>
          <w:tcPr>
            <w:tcW w:w="3450" w:type="dxa"/>
            <w:vAlign w:val="center"/>
          </w:tcPr>
          <w:p>
            <w:pPr>
              <w:autoSpaceDE w:val="0"/>
              <w:autoSpaceDN w:val="0"/>
              <w:adjustRightInd w:val="0"/>
              <w:ind w:left="56" w:leftChars="27" w:right="144" w:firstLine="516" w:firstLineChars="215"/>
              <w:rPr>
                <w:rFonts w:ascii="宋体" w:hAnsi="宋体" w:cs="宋体"/>
                <w:kern w:val="0"/>
                <w:sz w:val="24"/>
                <w:lang w:val="zh-CN"/>
              </w:rPr>
            </w:pPr>
            <w:r>
              <w:rPr>
                <w:rFonts w:hint="eastAsia" w:ascii="宋体" w:hAnsi="宋体" w:cs="宋体"/>
                <w:kern w:val="0"/>
                <w:sz w:val="24"/>
                <w:lang w:val="zh-CN"/>
              </w:rPr>
              <w:t>职责范围</w:t>
            </w:r>
          </w:p>
        </w:tc>
        <w:tc>
          <w:tcPr>
            <w:tcW w:w="1425" w:type="dxa"/>
            <w:vAlign w:val="center"/>
          </w:tcPr>
          <w:p>
            <w:pPr>
              <w:autoSpaceDE w:val="0"/>
              <w:autoSpaceDN w:val="0"/>
              <w:adjustRightInd w:val="0"/>
              <w:ind w:left="56" w:leftChars="27" w:right="144"/>
              <w:jc w:val="center"/>
              <w:rPr>
                <w:rFonts w:ascii="宋体" w:hAnsi="宋体" w:cs="宋体"/>
                <w:kern w:val="0"/>
                <w:sz w:val="24"/>
                <w:lang w:val="zh-CN"/>
              </w:rPr>
            </w:pPr>
            <w:r>
              <w:rPr>
                <w:rFonts w:hint="eastAsia" w:ascii="宋体" w:hAnsi="宋体" w:cs="宋体"/>
                <w:kern w:val="0"/>
                <w:sz w:val="24"/>
                <w:lang w:val="zh-CN"/>
              </w:rPr>
              <w:t>人数要求</w:t>
            </w:r>
          </w:p>
        </w:tc>
        <w:tc>
          <w:tcPr>
            <w:tcW w:w="1425" w:type="dxa"/>
            <w:vAlign w:val="center"/>
          </w:tcPr>
          <w:p>
            <w:pPr>
              <w:widowControl/>
              <w:jc w:val="center"/>
              <w:rPr>
                <w:b/>
                <w:kern w:val="0"/>
                <w:sz w:val="24"/>
                <w:lang w:val="zh-CN"/>
              </w:rPr>
            </w:pPr>
            <w:r>
              <w:rPr>
                <w:rFonts w:hint="eastAsia" w:ascii="宋体" w:hAnsi="宋体" w:cs="宋体"/>
                <w:kern w:val="0"/>
                <w:sz w:val="24"/>
                <w:lang w:val="zh-CN"/>
              </w:rPr>
              <w:t>驻场时间要求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689" w:type="dxa"/>
            <w:vAlign w:val="center"/>
          </w:tcPr>
          <w:p>
            <w:pPr>
              <w:autoSpaceDE w:val="0"/>
              <w:autoSpaceDN w:val="0"/>
              <w:adjustRightInd w:val="0"/>
              <w:jc w:val="center"/>
              <w:rPr>
                <w:rFonts w:ascii="宋体" w:hAnsi="宋体" w:cs="宋体"/>
                <w:kern w:val="0"/>
                <w:sz w:val="24"/>
                <w:lang w:val="zh-CN"/>
              </w:rPr>
            </w:pPr>
            <w:r>
              <w:rPr>
                <w:rFonts w:hint="eastAsia" w:ascii="宋体" w:hAnsi="宋体" w:cs="宋体"/>
                <w:kern w:val="0"/>
                <w:sz w:val="24"/>
                <w:lang w:val="zh-CN"/>
              </w:rPr>
              <w:t>1</w:t>
            </w:r>
          </w:p>
        </w:tc>
        <w:tc>
          <w:tcPr>
            <w:tcW w:w="1456" w:type="dxa"/>
            <w:vAlign w:val="center"/>
          </w:tcPr>
          <w:p>
            <w:pPr>
              <w:autoSpaceDE w:val="0"/>
              <w:autoSpaceDN w:val="0"/>
              <w:adjustRightInd w:val="0"/>
              <w:ind w:right="144"/>
              <w:jc w:val="center"/>
              <w:rPr>
                <w:rFonts w:ascii="宋体" w:hAnsi="宋体" w:cs="宋体"/>
                <w:kern w:val="0"/>
                <w:sz w:val="24"/>
                <w:lang w:val="zh-CN"/>
              </w:rPr>
            </w:pPr>
            <w:r>
              <w:rPr>
                <w:rFonts w:hint="eastAsia" w:ascii="宋体" w:hAnsi="宋体" w:cs="宋体"/>
                <w:kern w:val="0"/>
                <w:sz w:val="24"/>
                <w:lang w:val="zh-CN"/>
              </w:rPr>
              <w:t>项目负责人</w:t>
            </w:r>
          </w:p>
        </w:tc>
        <w:tc>
          <w:tcPr>
            <w:tcW w:w="3800" w:type="dxa"/>
            <w:vAlign w:val="center"/>
          </w:tcPr>
          <w:p>
            <w:pPr>
              <w:autoSpaceDE w:val="0"/>
              <w:autoSpaceDN w:val="0"/>
              <w:adjustRightInd w:val="0"/>
              <w:ind w:right="144"/>
              <w:rPr>
                <w:rFonts w:ascii="宋体" w:hAnsi="宋体" w:cs="宋体"/>
                <w:kern w:val="0"/>
                <w:sz w:val="24"/>
                <w:lang w:val="zh-CN"/>
              </w:rPr>
            </w:pPr>
            <w:r>
              <w:rPr>
                <w:rFonts w:hint="eastAsia" w:ascii="宋体" w:hAnsi="宋体" w:cs="宋体"/>
                <w:kern w:val="0"/>
                <w:sz w:val="24"/>
                <w:lang w:val="zh-CN"/>
              </w:rPr>
              <w:t>具有注册造价工程师或注册一级造价工程师（土建专业或安装专业）执业资格证书。</w:t>
            </w:r>
          </w:p>
        </w:tc>
        <w:tc>
          <w:tcPr>
            <w:tcW w:w="3450" w:type="dxa"/>
            <w:vAlign w:val="center"/>
          </w:tcPr>
          <w:p>
            <w:pPr>
              <w:autoSpaceDE w:val="0"/>
              <w:autoSpaceDN w:val="0"/>
              <w:adjustRightInd w:val="0"/>
              <w:ind w:right="144"/>
              <w:rPr>
                <w:rFonts w:ascii="宋体" w:hAnsi="宋体" w:cs="宋体"/>
                <w:kern w:val="0"/>
                <w:sz w:val="24"/>
                <w:lang w:val="zh-CN"/>
              </w:rPr>
            </w:pPr>
            <w:r>
              <w:rPr>
                <w:rFonts w:hint="eastAsia" w:ascii="宋体" w:hAnsi="宋体" w:cs="宋体"/>
                <w:kern w:val="0"/>
                <w:sz w:val="24"/>
                <w:lang w:val="zh-CN"/>
              </w:rPr>
              <w:t>负责本项目造价咨询服务的总体统筹、协调工作，对服务质量负责。</w:t>
            </w:r>
          </w:p>
        </w:tc>
        <w:tc>
          <w:tcPr>
            <w:tcW w:w="1425" w:type="dxa"/>
            <w:vAlign w:val="center"/>
          </w:tcPr>
          <w:p>
            <w:pPr>
              <w:autoSpaceDE w:val="0"/>
              <w:autoSpaceDN w:val="0"/>
              <w:adjustRightInd w:val="0"/>
              <w:ind w:right="144"/>
              <w:jc w:val="center"/>
              <w:rPr>
                <w:rFonts w:ascii="宋体" w:hAnsi="宋体" w:cs="宋体"/>
                <w:kern w:val="0"/>
                <w:sz w:val="24"/>
                <w:lang w:val="zh-CN"/>
              </w:rPr>
            </w:pPr>
            <w:r>
              <w:rPr>
                <w:rFonts w:hint="eastAsia" w:ascii="宋体" w:hAnsi="宋体" w:cs="宋体"/>
                <w:kern w:val="0"/>
                <w:sz w:val="24"/>
                <w:lang w:val="zh-CN"/>
              </w:rPr>
              <w:t>1名</w:t>
            </w:r>
          </w:p>
        </w:tc>
        <w:tc>
          <w:tcPr>
            <w:tcW w:w="1425" w:type="dxa"/>
            <w:vAlign w:val="center"/>
          </w:tcPr>
          <w:p>
            <w:pPr>
              <w:autoSpaceDE w:val="0"/>
              <w:autoSpaceDN w:val="0"/>
              <w:adjustRightInd w:val="0"/>
              <w:ind w:right="144"/>
              <w:rPr>
                <w:rFonts w:ascii="宋体" w:hAnsi="宋体" w:cs="宋体"/>
                <w:kern w:val="0"/>
                <w:sz w:val="24"/>
                <w:lang w:val="zh-CN"/>
              </w:rPr>
            </w:pPr>
            <w:r>
              <w:rPr>
                <w:rFonts w:hint="eastAsia" w:ascii="宋体" w:hAnsi="宋体" w:cs="宋体"/>
                <w:kern w:val="0"/>
                <w:sz w:val="24"/>
                <w:lang w:val="zh-CN"/>
              </w:rPr>
              <w:t>每周不少于1天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689" w:type="dxa"/>
            <w:vAlign w:val="center"/>
          </w:tcPr>
          <w:p>
            <w:pPr>
              <w:autoSpaceDE w:val="0"/>
              <w:autoSpaceDN w:val="0"/>
              <w:adjustRightInd w:val="0"/>
              <w:jc w:val="center"/>
              <w:rPr>
                <w:rFonts w:ascii="宋体" w:hAnsi="宋体" w:cs="宋体"/>
                <w:kern w:val="0"/>
                <w:sz w:val="24"/>
                <w:lang w:val="zh-CN"/>
              </w:rPr>
            </w:pPr>
            <w:r>
              <w:rPr>
                <w:rFonts w:hint="eastAsia" w:ascii="宋体" w:hAnsi="宋体" w:cs="宋体"/>
                <w:kern w:val="0"/>
                <w:sz w:val="24"/>
                <w:lang w:val="zh-CN"/>
              </w:rPr>
              <w:t>2</w:t>
            </w:r>
          </w:p>
        </w:tc>
        <w:tc>
          <w:tcPr>
            <w:tcW w:w="1456" w:type="dxa"/>
            <w:vAlign w:val="center"/>
          </w:tcPr>
          <w:p>
            <w:pPr>
              <w:autoSpaceDE w:val="0"/>
              <w:autoSpaceDN w:val="0"/>
              <w:adjustRightInd w:val="0"/>
              <w:ind w:right="144"/>
              <w:jc w:val="center"/>
              <w:rPr>
                <w:rFonts w:ascii="宋体" w:hAnsi="宋体" w:cs="宋体"/>
                <w:kern w:val="0"/>
                <w:sz w:val="24"/>
                <w:lang w:val="zh-CN"/>
              </w:rPr>
            </w:pPr>
            <w:r>
              <w:rPr>
                <w:rFonts w:hint="eastAsia" w:ascii="宋体" w:hAnsi="宋体" w:cs="宋体"/>
                <w:kern w:val="0"/>
                <w:sz w:val="24"/>
                <w:lang w:val="zh-CN"/>
              </w:rPr>
              <w:t>土建专业负责人</w:t>
            </w:r>
          </w:p>
        </w:tc>
        <w:tc>
          <w:tcPr>
            <w:tcW w:w="3800" w:type="dxa"/>
            <w:vAlign w:val="center"/>
          </w:tcPr>
          <w:p>
            <w:pPr>
              <w:autoSpaceDE w:val="0"/>
              <w:autoSpaceDN w:val="0"/>
              <w:adjustRightInd w:val="0"/>
              <w:ind w:right="144"/>
              <w:rPr>
                <w:rFonts w:ascii="宋体" w:hAnsi="宋体" w:cs="宋体"/>
                <w:kern w:val="0"/>
                <w:sz w:val="24"/>
                <w:lang w:val="zh-CN"/>
              </w:rPr>
            </w:pPr>
            <w:r>
              <w:rPr>
                <w:rFonts w:hint="eastAsia" w:ascii="宋体" w:hAnsi="宋体" w:cs="宋体"/>
                <w:kern w:val="0"/>
                <w:sz w:val="24"/>
                <w:lang w:val="zh-CN"/>
              </w:rPr>
              <w:t>具有注册造价工程师或注册一级造价工程师（土建专业）执业资格证书，</w:t>
            </w:r>
            <w:r>
              <w:rPr>
                <w:rFonts w:hint="eastAsia" w:ascii="宋体" w:hAnsi="宋体" w:cs="宋体"/>
                <w:kern w:val="0"/>
                <w:sz w:val="24"/>
              </w:rPr>
              <w:t>具有</w:t>
            </w:r>
            <w:r>
              <w:rPr>
                <w:rFonts w:hint="eastAsia" w:ascii="宋体" w:hAnsi="宋体" w:cs="宋体"/>
                <w:kern w:val="0"/>
                <w:sz w:val="24"/>
                <w:lang w:val="zh-CN"/>
              </w:rPr>
              <w:t>10年或以上工作经验。</w:t>
            </w:r>
          </w:p>
        </w:tc>
        <w:tc>
          <w:tcPr>
            <w:tcW w:w="3450" w:type="dxa"/>
            <w:vAlign w:val="center"/>
          </w:tcPr>
          <w:p>
            <w:pPr>
              <w:autoSpaceDE w:val="0"/>
              <w:autoSpaceDN w:val="0"/>
              <w:adjustRightInd w:val="0"/>
              <w:ind w:right="144"/>
              <w:rPr>
                <w:rFonts w:ascii="宋体" w:hAnsi="宋体" w:cs="宋体"/>
                <w:kern w:val="0"/>
                <w:sz w:val="24"/>
                <w:lang w:val="zh-CN"/>
              </w:rPr>
            </w:pPr>
            <w:r>
              <w:rPr>
                <w:rFonts w:hint="eastAsia" w:ascii="宋体" w:hAnsi="宋体" w:cs="宋体"/>
                <w:kern w:val="0"/>
                <w:sz w:val="24"/>
                <w:lang w:val="zh-CN"/>
              </w:rPr>
              <w:t>负责土建、市政、采购、园建绿化等专业造价咨询服务的组织协调工作。</w:t>
            </w:r>
          </w:p>
        </w:tc>
        <w:tc>
          <w:tcPr>
            <w:tcW w:w="1425" w:type="dxa"/>
            <w:vAlign w:val="center"/>
          </w:tcPr>
          <w:p>
            <w:pPr>
              <w:autoSpaceDE w:val="0"/>
              <w:autoSpaceDN w:val="0"/>
              <w:adjustRightInd w:val="0"/>
              <w:ind w:right="144"/>
              <w:jc w:val="center"/>
              <w:rPr>
                <w:rFonts w:ascii="宋体" w:hAnsi="宋体" w:cs="宋体"/>
                <w:kern w:val="0"/>
                <w:sz w:val="24"/>
                <w:lang w:val="zh-CN"/>
              </w:rPr>
            </w:pPr>
            <w:r>
              <w:rPr>
                <w:rFonts w:hint="eastAsia" w:ascii="宋体" w:hAnsi="宋体" w:cs="宋体"/>
                <w:kern w:val="0"/>
                <w:sz w:val="24"/>
                <w:lang w:val="zh-CN"/>
              </w:rPr>
              <w:t>1名</w:t>
            </w:r>
          </w:p>
        </w:tc>
        <w:tc>
          <w:tcPr>
            <w:tcW w:w="1425" w:type="dxa"/>
            <w:vAlign w:val="center"/>
          </w:tcPr>
          <w:p>
            <w:pPr>
              <w:autoSpaceDE w:val="0"/>
              <w:autoSpaceDN w:val="0"/>
              <w:adjustRightInd w:val="0"/>
              <w:ind w:right="144"/>
              <w:rPr>
                <w:rFonts w:ascii="宋体" w:hAnsi="宋体" w:cs="宋体"/>
                <w:kern w:val="0"/>
                <w:sz w:val="24"/>
                <w:lang w:val="zh-CN"/>
              </w:rPr>
            </w:pPr>
            <w:r>
              <w:rPr>
                <w:rFonts w:hint="eastAsia" w:ascii="宋体" w:hAnsi="宋体" w:cs="宋体"/>
                <w:kern w:val="0"/>
                <w:sz w:val="24"/>
                <w:lang w:val="zh-CN"/>
              </w:rPr>
              <w:t>分阶段驻场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89" w:type="dxa"/>
            <w:vAlign w:val="center"/>
          </w:tcPr>
          <w:p>
            <w:pPr>
              <w:autoSpaceDE w:val="0"/>
              <w:autoSpaceDN w:val="0"/>
              <w:adjustRightInd w:val="0"/>
              <w:jc w:val="center"/>
              <w:rPr>
                <w:rFonts w:ascii="宋体" w:hAnsi="宋体" w:cs="宋体"/>
                <w:kern w:val="0"/>
                <w:sz w:val="24"/>
                <w:lang w:val="zh-CN"/>
              </w:rPr>
            </w:pPr>
            <w:r>
              <w:rPr>
                <w:rFonts w:hint="eastAsia" w:ascii="宋体" w:hAnsi="宋体" w:cs="宋体"/>
                <w:kern w:val="0"/>
                <w:sz w:val="24"/>
                <w:lang w:val="zh-CN"/>
              </w:rPr>
              <w:t>3</w:t>
            </w:r>
          </w:p>
        </w:tc>
        <w:tc>
          <w:tcPr>
            <w:tcW w:w="1456" w:type="dxa"/>
            <w:vAlign w:val="center"/>
          </w:tcPr>
          <w:p>
            <w:pPr>
              <w:autoSpaceDE w:val="0"/>
              <w:autoSpaceDN w:val="0"/>
              <w:adjustRightInd w:val="0"/>
              <w:ind w:right="144"/>
              <w:jc w:val="center"/>
              <w:rPr>
                <w:rFonts w:ascii="宋体" w:hAnsi="宋体" w:cs="宋体"/>
                <w:kern w:val="0"/>
                <w:sz w:val="24"/>
                <w:lang w:val="zh-CN"/>
              </w:rPr>
            </w:pPr>
            <w:r>
              <w:rPr>
                <w:rFonts w:hint="eastAsia" w:ascii="宋体" w:hAnsi="宋体" w:cs="宋体"/>
                <w:kern w:val="0"/>
                <w:sz w:val="24"/>
                <w:lang w:val="zh-CN"/>
              </w:rPr>
              <w:t>土建、市政、园建绿化专业造价人员</w:t>
            </w:r>
          </w:p>
        </w:tc>
        <w:tc>
          <w:tcPr>
            <w:tcW w:w="3800" w:type="dxa"/>
            <w:vAlign w:val="center"/>
          </w:tcPr>
          <w:p>
            <w:pPr>
              <w:autoSpaceDE w:val="0"/>
              <w:autoSpaceDN w:val="0"/>
              <w:adjustRightInd w:val="0"/>
              <w:ind w:right="144"/>
              <w:rPr>
                <w:rFonts w:ascii="宋体" w:hAnsi="宋体" w:cs="宋体"/>
                <w:kern w:val="0"/>
                <w:sz w:val="24"/>
                <w:lang w:val="zh-CN"/>
              </w:rPr>
            </w:pPr>
            <w:r>
              <w:rPr>
                <w:rFonts w:hint="eastAsia" w:ascii="宋体" w:hAnsi="宋体" w:cs="宋体"/>
                <w:kern w:val="0"/>
                <w:sz w:val="24"/>
                <w:lang w:val="zh-CN"/>
              </w:rPr>
              <w:t>具有注册造价工程师或注册一级造价工程师或注册二级造价工程师或中级工程师职称或造价员证书，以上人员均具有6年或以上工作经验。</w:t>
            </w:r>
          </w:p>
        </w:tc>
        <w:tc>
          <w:tcPr>
            <w:tcW w:w="3450" w:type="dxa"/>
            <w:vAlign w:val="center"/>
          </w:tcPr>
          <w:p>
            <w:pPr>
              <w:autoSpaceDE w:val="0"/>
              <w:autoSpaceDN w:val="0"/>
              <w:adjustRightInd w:val="0"/>
              <w:ind w:right="144"/>
              <w:rPr>
                <w:rFonts w:ascii="宋体" w:hAnsi="宋体" w:cs="宋体"/>
                <w:kern w:val="0"/>
                <w:sz w:val="24"/>
                <w:lang w:val="zh-CN"/>
              </w:rPr>
            </w:pPr>
            <w:r>
              <w:rPr>
                <w:rFonts w:hint="eastAsia" w:ascii="宋体" w:hAnsi="宋体" w:cs="宋体"/>
                <w:kern w:val="0"/>
                <w:sz w:val="24"/>
                <w:lang w:val="zh-CN"/>
              </w:rPr>
              <w:t>负责本项目的（包含但不限于）建筑、装修、采购、市政、土石方、室外配套、园建绿化等专业造价咨询服务工作。</w:t>
            </w:r>
          </w:p>
        </w:tc>
        <w:tc>
          <w:tcPr>
            <w:tcW w:w="1425" w:type="dxa"/>
            <w:vAlign w:val="center"/>
          </w:tcPr>
          <w:p>
            <w:pPr>
              <w:autoSpaceDE w:val="0"/>
              <w:autoSpaceDN w:val="0"/>
              <w:adjustRightInd w:val="0"/>
              <w:ind w:right="144"/>
              <w:jc w:val="center"/>
              <w:rPr>
                <w:rFonts w:ascii="宋体" w:hAnsi="宋体" w:cs="宋体"/>
                <w:kern w:val="0"/>
                <w:sz w:val="24"/>
                <w:lang w:val="zh-CN"/>
              </w:rPr>
            </w:pPr>
            <w:r>
              <w:rPr>
                <w:rFonts w:hint="eastAsia" w:ascii="宋体" w:hAnsi="宋体" w:cs="宋体"/>
                <w:kern w:val="0"/>
                <w:sz w:val="24"/>
                <w:lang w:val="zh-CN"/>
              </w:rPr>
              <w:t>不少于</w:t>
            </w:r>
            <w:r>
              <w:rPr>
                <w:rFonts w:hint="eastAsia" w:ascii="宋体" w:hAnsi="宋体" w:cs="宋体"/>
                <w:kern w:val="0"/>
                <w:sz w:val="24"/>
              </w:rPr>
              <w:t>2</w:t>
            </w:r>
            <w:r>
              <w:rPr>
                <w:rFonts w:hint="eastAsia" w:ascii="宋体" w:hAnsi="宋体" w:cs="宋体"/>
                <w:kern w:val="0"/>
                <w:sz w:val="24"/>
                <w:lang w:val="zh-CN"/>
              </w:rPr>
              <w:t>名</w:t>
            </w:r>
          </w:p>
        </w:tc>
        <w:tc>
          <w:tcPr>
            <w:tcW w:w="1425" w:type="dxa"/>
            <w:vAlign w:val="center"/>
          </w:tcPr>
          <w:p>
            <w:pPr>
              <w:autoSpaceDE w:val="0"/>
              <w:autoSpaceDN w:val="0"/>
              <w:adjustRightInd w:val="0"/>
              <w:ind w:right="144"/>
              <w:rPr>
                <w:rFonts w:ascii="宋体" w:hAnsi="宋体" w:cs="宋体"/>
                <w:kern w:val="0"/>
                <w:sz w:val="24"/>
                <w:lang w:val="zh-CN"/>
              </w:rPr>
            </w:pPr>
            <w:r>
              <w:rPr>
                <w:rFonts w:hint="eastAsia" w:ascii="宋体" w:hAnsi="宋体" w:cs="宋体"/>
                <w:kern w:val="0"/>
                <w:sz w:val="24"/>
                <w:lang w:val="zh-CN"/>
              </w:rPr>
              <w:t>分阶段驻场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689" w:type="dxa"/>
            <w:vAlign w:val="center"/>
          </w:tcPr>
          <w:p>
            <w:pPr>
              <w:autoSpaceDE w:val="0"/>
              <w:autoSpaceDN w:val="0"/>
              <w:adjustRightInd w:val="0"/>
              <w:jc w:val="center"/>
              <w:rPr>
                <w:rFonts w:ascii="宋体" w:hAnsi="宋体" w:cs="宋体"/>
                <w:kern w:val="0"/>
                <w:sz w:val="24"/>
                <w:lang w:val="zh-CN"/>
              </w:rPr>
            </w:pPr>
            <w:r>
              <w:rPr>
                <w:rFonts w:hint="eastAsia" w:ascii="宋体" w:hAnsi="宋体" w:cs="宋体"/>
                <w:kern w:val="0"/>
                <w:sz w:val="24"/>
                <w:lang w:val="zh-CN"/>
              </w:rPr>
              <w:t>4</w:t>
            </w:r>
          </w:p>
        </w:tc>
        <w:tc>
          <w:tcPr>
            <w:tcW w:w="1456" w:type="dxa"/>
            <w:vAlign w:val="center"/>
          </w:tcPr>
          <w:p>
            <w:pPr>
              <w:autoSpaceDE w:val="0"/>
              <w:autoSpaceDN w:val="0"/>
              <w:adjustRightInd w:val="0"/>
              <w:ind w:right="144"/>
              <w:jc w:val="center"/>
              <w:rPr>
                <w:rFonts w:ascii="宋体" w:hAnsi="宋体" w:cs="宋体"/>
                <w:kern w:val="0"/>
                <w:sz w:val="24"/>
                <w:lang w:val="zh-CN"/>
              </w:rPr>
            </w:pPr>
            <w:r>
              <w:rPr>
                <w:rFonts w:hint="eastAsia" w:ascii="宋体" w:hAnsi="宋体" w:cs="宋体"/>
                <w:kern w:val="0"/>
                <w:sz w:val="24"/>
                <w:lang w:val="zh-CN"/>
              </w:rPr>
              <w:t>安装专业负责人</w:t>
            </w:r>
          </w:p>
        </w:tc>
        <w:tc>
          <w:tcPr>
            <w:tcW w:w="3800" w:type="dxa"/>
            <w:vAlign w:val="center"/>
          </w:tcPr>
          <w:p>
            <w:pPr>
              <w:autoSpaceDE w:val="0"/>
              <w:autoSpaceDN w:val="0"/>
              <w:adjustRightInd w:val="0"/>
              <w:ind w:right="144"/>
              <w:rPr>
                <w:rFonts w:ascii="宋体" w:hAnsi="宋体" w:cs="宋体"/>
                <w:kern w:val="0"/>
                <w:sz w:val="24"/>
                <w:lang w:val="zh-CN"/>
              </w:rPr>
            </w:pPr>
            <w:r>
              <w:rPr>
                <w:rFonts w:hint="eastAsia" w:ascii="宋体" w:hAnsi="宋体" w:cs="宋体"/>
                <w:kern w:val="0"/>
                <w:sz w:val="24"/>
                <w:lang w:val="zh-CN"/>
              </w:rPr>
              <w:t>具有注册造价工程师或注册一级造价工程师（安装专业）执业资格证书，</w:t>
            </w:r>
            <w:r>
              <w:rPr>
                <w:rFonts w:hint="eastAsia" w:ascii="宋体" w:hAnsi="宋体" w:cs="宋体"/>
                <w:kern w:val="0"/>
                <w:sz w:val="24"/>
              </w:rPr>
              <w:t>具有</w:t>
            </w:r>
            <w:r>
              <w:rPr>
                <w:rFonts w:hint="eastAsia" w:ascii="宋体" w:hAnsi="宋体" w:cs="宋体"/>
                <w:kern w:val="0"/>
                <w:sz w:val="24"/>
                <w:lang w:val="zh-CN"/>
              </w:rPr>
              <w:t>10年或以上工作经验。</w:t>
            </w:r>
          </w:p>
        </w:tc>
        <w:tc>
          <w:tcPr>
            <w:tcW w:w="3450" w:type="dxa"/>
            <w:vAlign w:val="center"/>
          </w:tcPr>
          <w:p>
            <w:pPr>
              <w:autoSpaceDE w:val="0"/>
              <w:autoSpaceDN w:val="0"/>
              <w:adjustRightInd w:val="0"/>
              <w:ind w:right="144"/>
              <w:rPr>
                <w:rFonts w:ascii="宋体" w:hAnsi="宋体" w:cs="宋体"/>
                <w:kern w:val="0"/>
                <w:sz w:val="24"/>
                <w:lang w:val="zh-CN"/>
              </w:rPr>
            </w:pPr>
            <w:r>
              <w:rPr>
                <w:rFonts w:hint="eastAsia" w:ascii="宋体" w:hAnsi="宋体" w:cs="宋体"/>
                <w:kern w:val="0"/>
                <w:sz w:val="24"/>
                <w:lang w:val="zh-CN"/>
              </w:rPr>
              <w:t>负责安装专业造价咨询服务的组织协调工作。</w:t>
            </w:r>
          </w:p>
        </w:tc>
        <w:tc>
          <w:tcPr>
            <w:tcW w:w="1425" w:type="dxa"/>
            <w:vAlign w:val="center"/>
          </w:tcPr>
          <w:p>
            <w:pPr>
              <w:autoSpaceDE w:val="0"/>
              <w:autoSpaceDN w:val="0"/>
              <w:adjustRightInd w:val="0"/>
              <w:ind w:right="144"/>
              <w:jc w:val="center"/>
              <w:rPr>
                <w:rFonts w:ascii="宋体" w:hAnsi="宋体" w:cs="宋体"/>
                <w:kern w:val="0"/>
                <w:sz w:val="24"/>
                <w:lang w:val="zh-CN"/>
              </w:rPr>
            </w:pPr>
            <w:r>
              <w:rPr>
                <w:rFonts w:hint="eastAsia" w:ascii="宋体" w:hAnsi="宋体" w:cs="宋体"/>
                <w:kern w:val="0"/>
                <w:sz w:val="24"/>
                <w:lang w:val="zh-CN"/>
              </w:rPr>
              <w:t>1名</w:t>
            </w:r>
          </w:p>
        </w:tc>
        <w:tc>
          <w:tcPr>
            <w:tcW w:w="1425" w:type="dxa"/>
            <w:vAlign w:val="center"/>
          </w:tcPr>
          <w:p>
            <w:pPr>
              <w:autoSpaceDE w:val="0"/>
              <w:autoSpaceDN w:val="0"/>
              <w:adjustRightInd w:val="0"/>
              <w:ind w:right="144"/>
              <w:rPr>
                <w:rFonts w:ascii="宋体" w:hAnsi="宋体" w:cs="宋体"/>
                <w:kern w:val="0"/>
                <w:sz w:val="24"/>
                <w:lang w:val="zh-CN"/>
              </w:rPr>
            </w:pPr>
            <w:r>
              <w:rPr>
                <w:rFonts w:hint="eastAsia" w:ascii="宋体" w:hAnsi="宋体" w:cs="宋体"/>
                <w:kern w:val="0"/>
                <w:sz w:val="24"/>
                <w:lang w:val="zh-CN"/>
              </w:rPr>
              <w:t>分阶段驻场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5" w:hRule="atLeast"/>
        </w:trPr>
        <w:tc>
          <w:tcPr>
            <w:tcW w:w="689" w:type="dxa"/>
            <w:vAlign w:val="center"/>
          </w:tcPr>
          <w:p>
            <w:pPr>
              <w:autoSpaceDE w:val="0"/>
              <w:autoSpaceDN w:val="0"/>
              <w:adjustRightInd w:val="0"/>
              <w:jc w:val="center"/>
              <w:rPr>
                <w:rFonts w:ascii="宋体" w:hAnsi="宋体" w:cs="宋体"/>
                <w:kern w:val="0"/>
                <w:sz w:val="24"/>
                <w:lang w:val="zh-CN"/>
              </w:rPr>
            </w:pPr>
            <w:r>
              <w:rPr>
                <w:rFonts w:hint="eastAsia" w:ascii="宋体" w:hAnsi="宋体" w:cs="宋体"/>
                <w:kern w:val="0"/>
                <w:sz w:val="24"/>
                <w:lang w:val="zh-CN"/>
              </w:rPr>
              <w:t>5</w:t>
            </w:r>
          </w:p>
        </w:tc>
        <w:tc>
          <w:tcPr>
            <w:tcW w:w="1456" w:type="dxa"/>
            <w:vAlign w:val="center"/>
          </w:tcPr>
          <w:p>
            <w:pPr>
              <w:autoSpaceDE w:val="0"/>
              <w:autoSpaceDN w:val="0"/>
              <w:adjustRightInd w:val="0"/>
              <w:ind w:right="144"/>
              <w:jc w:val="center"/>
              <w:rPr>
                <w:rFonts w:ascii="宋体" w:hAnsi="宋体" w:cs="宋体"/>
                <w:kern w:val="0"/>
                <w:sz w:val="24"/>
                <w:lang w:val="zh-CN"/>
              </w:rPr>
            </w:pPr>
            <w:r>
              <w:rPr>
                <w:rFonts w:hint="eastAsia" w:ascii="宋体" w:hAnsi="宋体" w:cs="宋体"/>
                <w:kern w:val="0"/>
                <w:sz w:val="24"/>
                <w:lang w:val="zh-CN"/>
              </w:rPr>
              <w:t>安装专业造价人员</w:t>
            </w:r>
          </w:p>
        </w:tc>
        <w:tc>
          <w:tcPr>
            <w:tcW w:w="3800" w:type="dxa"/>
            <w:vAlign w:val="center"/>
          </w:tcPr>
          <w:p>
            <w:pPr>
              <w:autoSpaceDE w:val="0"/>
              <w:autoSpaceDN w:val="0"/>
              <w:adjustRightInd w:val="0"/>
              <w:ind w:right="144"/>
              <w:rPr>
                <w:rFonts w:ascii="宋体" w:hAnsi="宋体" w:cs="宋体"/>
                <w:kern w:val="0"/>
                <w:sz w:val="24"/>
                <w:lang w:val="zh-CN"/>
              </w:rPr>
            </w:pPr>
            <w:r>
              <w:rPr>
                <w:rFonts w:hint="eastAsia" w:ascii="宋体" w:hAnsi="宋体" w:cs="宋体"/>
                <w:kern w:val="0"/>
                <w:sz w:val="24"/>
                <w:lang w:val="zh-CN"/>
              </w:rPr>
              <w:t>具有注册造价工程师或注册一级造价工程师或注册二级造价工程师或中级工程师职称或造价员证书，具有6年或以上工作经验。</w:t>
            </w:r>
          </w:p>
        </w:tc>
        <w:tc>
          <w:tcPr>
            <w:tcW w:w="3450" w:type="dxa"/>
            <w:vAlign w:val="center"/>
          </w:tcPr>
          <w:p>
            <w:pPr>
              <w:autoSpaceDE w:val="0"/>
              <w:autoSpaceDN w:val="0"/>
              <w:adjustRightInd w:val="0"/>
              <w:ind w:right="144"/>
              <w:rPr>
                <w:rFonts w:ascii="宋体" w:hAnsi="宋体" w:cs="宋体"/>
                <w:kern w:val="0"/>
                <w:sz w:val="24"/>
                <w:lang w:val="zh-CN"/>
              </w:rPr>
            </w:pPr>
            <w:r>
              <w:rPr>
                <w:rFonts w:hint="eastAsia" w:ascii="宋体" w:hAnsi="宋体" w:cs="宋体"/>
                <w:kern w:val="0"/>
                <w:sz w:val="24"/>
                <w:lang w:val="zh-CN"/>
              </w:rPr>
              <w:t>负责本项目的（包含但不限于）照明、给排水、消防、自动报警、通风及排烟、燃气管道、电梯、泛光照明、人防、弱电、变配电、外电等专业造价咨询服务工作。</w:t>
            </w:r>
          </w:p>
        </w:tc>
        <w:tc>
          <w:tcPr>
            <w:tcW w:w="1425" w:type="dxa"/>
            <w:vAlign w:val="center"/>
          </w:tcPr>
          <w:p>
            <w:pPr>
              <w:autoSpaceDE w:val="0"/>
              <w:autoSpaceDN w:val="0"/>
              <w:adjustRightInd w:val="0"/>
              <w:ind w:right="144"/>
              <w:jc w:val="center"/>
              <w:rPr>
                <w:rFonts w:ascii="宋体" w:hAnsi="宋体" w:cs="宋体"/>
                <w:kern w:val="0"/>
                <w:sz w:val="24"/>
                <w:lang w:val="zh-CN"/>
              </w:rPr>
            </w:pPr>
            <w:r>
              <w:rPr>
                <w:rFonts w:hint="eastAsia" w:ascii="宋体" w:hAnsi="宋体" w:cs="宋体"/>
                <w:kern w:val="0"/>
                <w:sz w:val="24"/>
                <w:lang w:val="zh-CN"/>
              </w:rPr>
              <w:t>不少于</w:t>
            </w:r>
            <w:r>
              <w:rPr>
                <w:rFonts w:hint="eastAsia" w:ascii="宋体" w:hAnsi="宋体" w:cs="宋体"/>
                <w:kern w:val="0"/>
                <w:sz w:val="24"/>
              </w:rPr>
              <w:t>2</w:t>
            </w:r>
            <w:r>
              <w:rPr>
                <w:rFonts w:hint="eastAsia" w:ascii="宋体" w:hAnsi="宋体" w:cs="宋体"/>
                <w:kern w:val="0"/>
                <w:sz w:val="24"/>
                <w:lang w:val="zh-CN"/>
              </w:rPr>
              <w:t>名</w:t>
            </w:r>
          </w:p>
        </w:tc>
        <w:tc>
          <w:tcPr>
            <w:tcW w:w="1425" w:type="dxa"/>
            <w:vAlign w:val="center"/>
          </w:tcPr>
          <w:p>
            <w:pPr>
              <w:autoSpaceDE w:val="0"/>
              <w:autoSpaceDN w:val="0"/>
              <w:adjustRightInd w:val="0"/>
              <w:ind w:right="144"/>
              <w:rPr>
                <w:rFonts w:ascii="宋体" w:hAnsi="宋体" w:cs="宋体"/>
                <w:kern w:val="0"/>
                <w:sz w:val="24"/>
                <w:lang w:val="zh-CN"/>
              </w:rPr>
            </w:pPr>
            <w:r>
              <w:rPr>
                <w:rFonts w:hint="eastAsia" w:ascii="宋体" w:hAnsi="宋体" w:cs="宋体"/>
                <w:kern w:val="0"/>
                <w:sz w:val="24"/>
                <w:lang w:val="zh-CN"/>
              </w:rPr>
              <w:t>分阶段驻场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8" w:hRule="atLeast"/>
        </w:trPr>
        <w:tc>
          <w:tcPr>
            <w:tcW w:w="689" w:type="dxa"/>
            <w:vAlign w:val="center"/>
          </w:tcPr>
          <w:p>
            <w:pPr>
              <w:autoSpaceDE w:val="0"/>
              <w:autoSpaceDN w:val="0"/>
              <w:adjustRightInd w:val="0"/>
              <w:jc w:val="center"/>
              <w:rPr>
                <w:rFonts w:ascii="宋体" w:hAnsi="宋体" w:cs="宋体"/>
                <w:kern w:val="0"/>
                <w:sz w:val="24"/>
              </w:rPr>
            </w:pPr>
            <w:r>
              <w:rPr>
                <w:rFonts w:hint="eastAsia" w:ascii="宋体" w:hAnsi="宋体" w:cs="宋体"/>
                <w:kern w:val="0"/>
                <w:sz w:val="24"/>
              </w:rPr>
              <w:t>6</w:t>
            </w:r>
          </w:p>
        </w:tc>
        <w:tc>
          <w:tcPr>
            <w:tcW w:w="1456" w:type="dxa"/>
            <w:vAlign w:val="center"/>
          </w:tcPr>
          <w:p>
            <w:pPr>
              <w:autoSpaceDE w:val="0"/>
              <w:autoSpaceDN w:val="0"/>
              <w:adjustRightInd w:val="0"/>
              <w:ind w:right="144"/>
              <w:jc w:val="center"/>
              <w:rPr>
                <w:rFonts w:ascii="宋体" w:hAnsi="宋体" w:cs="宋体"/>
                <w:kern w:val="0"/>
                <w:sz w:val="24"/>
                <w:lang w:val="zh-CN"/>
              </w:rPr>
            </w:pPr>
            <w:r>
              <w:rPr>
                <w:rFonts w:hint="eastAsia" w:ascii="宋体" w:hAnsi="宋体"/>
                <w:sz w:val="24"/>
                <w:lang w:val="zh-CN"/>
              </w:rPr>
              <w:t>驻场造价人员</w:t>
            </w:r>
          </w:p>
        </w:tc>
        <w:tc>
          <w:tcPr>
            <w:tcW w:w="3800" w:type="dxa"/>
            <w:vAlign w:val="center"/>
          </w:tcPr>
          <w:p>
            <w:pPr>
              <w:autoSpaceDE w:val="0"/>
              <w:autoSpaceDN w:val="0"/>
              <w:adjustRightInd w:val="0"/>
              <w:ind w:right="144"/>
              <w:rPr>
                <w:rFonts w:ascii="宋体" w:hAnsi="宋体" w:cs="宋体"/>
                <w:kern w:val="0"/>
                <w:sz w:val="24"/>
              </w:rPr>
            </w:pPr>
            <w:r>
              <w:rPr>
                <w:rFonts w:hint="eastAsia" w:ascii="宋体" w:hAnsi="宋体" w:cs="宋体"/>
                <w:kern w:val="0"/>
                <w:sz w:val="24"/>
                <w:lang w:val="zh-CN"/>
              </w:rPr>
              <w:t>具有注册造价工程师或注册一级造价工程师或注册二级造价工程师或中级工程师职称，</w:t>
            </w:r>
            <w:r>
              <w:rPr>
                <w:rFonts w:hint="eastAsia" w:ascii="宋体" w:hAnsi="宋体" w:cs="宋体"/>
                <w:kern w:val="0"/>
                <w:sz w:val="24"/>
              </w:rPr>
              <w:t>具有3年或以上工作经验。</w:t>
            </w:r>
          </w:p>
        </w:tc>
        <w:tc>
          <w:tcPr>
            <w:tcW w:w="3450" w:type="dxa"/>
            <w:vAlign w:val="center"/>
          </w:tcPr>
          <w:p>
            <w:pPr>
              <w:autoSpaceDE w:val="0"/>
              <w:autoSpaceDN w:val="0"/>
              <w:adjustRightInd w:val="0"/>
              <w:ind w:right="144"/>
              <w:rPr>
                <w:rFonts w:ascii="宋体" w:hAnsi="宋体" w:cs="宋体"/>
                <w:kern w:val="0"/>
                <w:sz w:val="24"/>
              </w:rPr>
            </w:pPr>
            <w:r>
              <w:rPr>
                <w:rFonts w:hint="eastAsia" w:ascii="宋体" w:hAnsi="宋体"/>
                <w:sz w:val="24"/>
                <w:lang w:val="zh-CN"/>
              </w:rPr>
              <w:t>完成甲方分派的造价工作</w:t>
            </w:r>
          </w:p>
        </w:tc>
        <w:tc>
          <w:tcPr>
            <w:tcW w:w="1425" w:type="dxa"/>
            <w:vAlign w:val="center"/>
          </w:tcPr>
          <w:p>
            <w:pPr>
              <w:autoSpaceDE w:val="0"/>
              <w:autoSpaceDN w:val="0"/>
              <w:adjustRightInd w:val="0"/>
              <w:ind w:right="144"/>
              <w:jc w:val="center"/>
              <w:rPr>
                <w:rFonts w:ascii="宋体" w:hAnsi="宋体" w:cs="宋体"/>
                <w:kern w:val="0"/>
                <w:sz w:val="24"/>
              </w:rPr>
            </w:pPr>
            <w:r>
              <w:rPr>
                <w:rFonts w:hint="eastAsia" w:ascii="宋体" w:hAnsi="宋体" w:cs="宋体"/>
                <w:kern w:val="0"/>
                <w:sz w:val="24"/>
              </w:rPr>
              <w:t>2名</w:t>
            </w:r>
          </w:p>
        </w:tc>
        <w:tc>
          <w:tcPr>
            <w:tcW w:w="1425" w:type="dxa"/>
            <w:vAlign w:val="center"/>
          </w:tcPr>
          <w:p>
            <w:pPr>
              <w:jc w:val="center"/>
              <w:rPr>
                <w:bCs w:val="0"/>
                <w:kern w:val="0"/>
                <w:sz w:val="24"/>
              </w:rPr>
            </w:pPr>
            <w:r>
              <w:rPr>
                <w:rFonts w:hint="eastAsia" w:ascii="宋体" w:hAnsi="宋体" w:cs="宋体"/>
                <w:kern w:val="0"/>
                <w:sz w:val="24"/>
              </w:rPr>
              <w:t>长期驻场</w:t>
            </w:r>
          </w:p>
        </w:tc>
      </w:tr>
    </w:tbl>
    <w:p>
      <w:pPr>
        <w:pStyle w:val="7"/>
        <w:jc w:val="left"/>
        <w:sectPr>
          <w:pgSz w:w="16838" w:h="11906" w:orient="landscape"/>
          <w:pgMar w:top="1021" w:right="1361" w:bottom="1021" w:left="1418" w:header="851" w:footer="851" w:gutter="0"/>
          <w:cols w:space="720" w:num="1"/>
          <w:titlePg/>
          <w:docGrid w:type="linesAndChars" w:linePitch="312" w:charSpace="0"/>
        </w:sectPr>
      </w:pPr>
      <w:r>
        <w:rPr>
          <w:rStyle w:val="34"/>
          <w:rFonts w:hint="eastAsia" w:hAnsi="宋体"/>
          <w:b w:val="0"/>
          <w:bCs w:val="0"/>
          <w:szCs w:val="24"/>
          <w:lang w:val="zh-CN"/>
        </w:rPr>
        <w:t>注：工作经验年限以提供毕业证书发证时间为准；</w:t>
      </w:r>
      <w:r>
        <w:rPr>
          <w:rStyle w:val="34"/>
          <w:rFonts w:hint="eastAsia" w:hAnsi="宋体"/>
          <w:b w:val="0"/>
          <w:bCs w:val="0"/>
          <w:szCs w:val="24"/>
        </w:rPr>
        <w:t>要求专业造价人员和驻场造价人员同时驻场。</w:t>
      </w:r>
    </w:p>
    <w:p>
      <w:pPr>
        <w:adjustRightInd w:val="0"/>
        <w:snapToGrid w:val="0"/>
        <w:spacing w:line="360" w:lineRule="auto"/>
        <w:rPr>
          <w:rFonts w:ascii="宋体" w:hAnsi="宋体" w:cs="宋体"/>
          <w:b/>
          <w:sz w:val="24"/>
        </w:rPr>
      </w:pPr>
      <w:r>
        <w:rPr>
          <w:rFonts w:hint="eastAsia" w:ascii="宋体" w:hAnsi="宋体" w:cs="宋体"/>
          <w:b/>
          <w:sz w:val="24"/>
        </w:rPr>
        <w:t xml:space="preserve">附件3： </w:t>
      </w:r>
    </w:p>
    <w:p>
      <w:pPr>
        <w:spacing w:line="500" w:lineRule="exact"/>
        <w:jc w:val="center"/>
        <w:rPr>
          <w:b/>
          <w:sz w:val="44"/>
          <w:szCs w:val="44"/>
        </w:rPr>
      </w:pPr>
      <w:r>
        <w:rPr>
          <w:b/>
          <w:sz w:val="44"/>
          <w:szCs w:val="44"/>
        </w:rPr>
        <w:t>保 密 协 议</w:t>
      </w:r>
    </w:p>
    <w:p>
      <w:pPr>
        <w:adjustRightInd w:val="0"/>
        <w:snapToGrid w:val="0"/>
        <w:spacing w:line="360" w:lineRule="auto"/>
        <w:ind w:firstLine="422" w:firstLineChars="200"/>
        <w:rPr>
          <w:b/>
          <w:szCs w:val="21"/>
        </w:rPr>
      </w:pPr>
    </w:p>
    <w:p>
      <w:pPr>
        <w:spacing w:line="360" w:lineRule="auto"/>
        <w:ind w:right="-178" w:rightChars="-85"/>
        <w:rPr>
          <w:rFonts w:ascii="宋体" w:hAnsi="宋体" w:cs="宋体"/>
          <w:b/>
          <w:bCs w:val="0"/>
          <w:sz w:val="24"/>
          <w:u w:val="single"/>
        </w:rPr>
      </w:pPr>
      <w:r>
        <w:rPr>
          <w:rFonts w:hint="eastAsia" w:ascii="宋体" w:hAnsi="宋体" w:cs="宋体"/>
          <w:b/>
          <w:sz w:val="24"/>
        </w:rPr>
        <w:t>委托人（甲方）：</w:t>
      </w:r>
      <w:r>
        <w:rPr>
          <w:rFonts w:hint="eastAsia" w:ascii="宋体" w:hAnsi="宋体" w:cs="宋体"/>
          <w:sz w:val="24"/>
        </w:rPr>
        <w:t>广州市花都区人民政府新华街道办事处</w:t>
      </w:r>
    </w:p>
    <w:p>
      <w:pPr>
        <w:spacing w:line="360" w:lineRule="auto"/>
        <w:ind w:right="-178" w:rightChars="-85"/>
        <w:rPr>
          <w:rFonts w:ascii="宋体" w:hAnsi="宋体" w:cs="宋体"/>
          <w:sz w:val="24"/>
          <w:u w:val="single"/>
        </w:rPr>
      </w:pPr>
      <w:r>
        <w:rPr>
          <w:rFonts w:hint="eastAsia" w:ascii="宋体" w:hAnsi="宋体" w:cs="宋体"/>
          <w:b/>
          <w:sz w:val="24"/>
        </w:rPr>
        <w:t>咨询人（乙方）：</w:t>
      </w:r>
    </w:p>
    <w:p>
      <w:pPr>
        <w:adjustRightInd w:val="0"/>
        <w:snapToGrid w:val="0"/>
        <w:spacing w:line="360" w:lineRule="auto"/>
        <w:ind w:firstLine="480" w:firstLineChars="200"/>
        <w:rPr>
          <w:rFonts w:ascii="宋体" w:hAnsi="宋体" w:cs="宋体"/>
          <w:b/>
          <w:sz w:val="24"/>
          <w:u w:val="single"/>
        </w:rPr>
      </w:pPr>
      <w:r>
        <w:rPr>
          <w:rFonts w:hint="eastAsia" w:ascii="宋体" w:hAnsi="宋体" w:cs="宋体"/>
          <w:sz w:val="24"/>
        </w:rPr>
        <w:t>鉴于乙方在</w:t>
      </w:r>
      <w:r>
        <w:rPr>
          <w:rFonts w:hint="eastAsia" w:ascii="宋体" w:hAnsi="宋体" w:cs="宋体"/>
          <w:sz w:val="24"/>
          <w:u w:val="single"/>
        </w:rPr>
        <w:t>广州北站东侧老旧小区成片连片微改造项目</w:t>
      </w:r>
      <w:r>
        <w:rPr>
          <w:rFonts w:hint="eastAsia" w:ascii="宋体" w:hAnsi="宋体" w:cs="宋体"/>
          <w:sz w:val="24"/>
        </w:rPr>
        <w:t>全过程造价咨询服务（以下简称本项目）过程中，已经或将要接触或获得涉及甲方的保密资料及将在该项目实施过程中形成的资料，经甲、乙双方友好协商，甲方愿意向乙方披露相关保密资料，乙方承诺按照本协议的约定对甲方的保密资料予以保密。</w:t>
      </w:r>
    </w:p>
    <w:p>
      <w:pPr>
        <w:adjustRightInd w:val="0"/>
        <w:snapToGrid w:val="0"/>
        <w:spacing w:line="360" w:lineRule="auto"/>
        <w:outlineLvl w:val="0"/>
        <w:rPr>
          <w:rFonts w:ascii="宋体" w:hAnsi="宋体" w:cs="宋体"/>
          <w:b/>
          <w:sz w:val="24"/>
        </w:rPr>
      </w:pPr>
      <w:r>
        <w:rPr>
          <w:rFonts w:hint="eastAsia" w:ascii="宋体" w:hAnsi="宋体" w:cs="宋体"/>
          <w:b/>
          <w:sz w:val="24"/>
        </w:rPr>
        <w:t>一、“保密资料”包括：</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（一）甲方向乙方披露或将要披露的与本项目相关的所有商业秘密、技术秘密以及其他甲方尚未公开的资料。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（二）乙方在项目中形成的任何分析、编辑、研究、咨询成果或其他文件资料。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以上资料包括书面的、口头的、图形的、电磁的或其它任何形式的资料，包括但不限于数据、模型、样品、草案、技术、方法、仪器设备和其它资料。</w:t>
      </w:r>
    </w:p>
    <w:p>
      <w:pPr>
        <w:adjustRightInd w:val="0"/>
        <w:snapToGrid w:val="0"/>
        <w:spacing w:line="360" w:lineRule="auto"/>
        <w:outlineLvl w:val="0"/>
        <w:rPr>
          <w:rFonts w:ascii="宋体" w:hAnsi="宋体" w:cs="宋体"/>
          <w:b/>
          <w:sz w:val="24"/>
        </w:rPr>
      </w:pPr>
      <w:r>
        <w:rPr>
          <w:rFonts w:hint="eastAsia" w:ascii="宋体" w:hAnsi="宋体" w:cs="宋体"/>
          <w:b/>
          <w:sz w:val="24"/>
        </w:rPr>
        <w:t>二、</w:t>
      </w:r>
      <w:r>
        <w:rPr>
          <w:rFonts w:hint="eastAsia" w:ascii="宋体" w:hAnsi="宋体" w:cs="宋体"/>
          <w:b/>
          <w:sz w:val="24"/>
          <w:u w:val="single"/>
        </w:rPr>
        <w:t>全过程造价咨询服务</w:t>
      </w:r>
      <w:r>
        <w:rPr>
          <w:rFonts w:hint="eastAsia" w:ascii="宋体" w:hAnsi="宋体" w:cs="宋体"/>
          <w:b/>
          <w:sz w:val="24"/>
        </w:rPr>
        <w:t>项目定义：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专指甲乙双方签订的</w:t>
      </w:r>
      <w:r>
        <w:rPr>
          <w:rFonts w:hint="eastAsia" w:ascii="宋体" w:hAnsi="宋体" w:cs="宋体"/>
          <w:sz w:val="24"/>
          <w:u w:val="single"/>
        </w:rPr>
        <w:t>广州北站东侧老旧小区成片连片微改造项目</w:t>
      </w:r>
      <w:r>
        <w:rPr>
          <w:rFonts w:hint="eastAsia" w:ascii="宋体" w:hAnsi="宋体" w:cs="宋体"/>
          <w:sz w:val="24"/>
        </w:rPr>
        <w:t>全过程造价咨询服务项目合同。</w:t>
      </w:r>
    </w:p>
    <w:p>
      <w:pPr>
        <w:adjustRightInd w:val="0"/>
        <w:snapToGrid w:val="0"/>
        <w:spacing w:line="360" w:lineRule="auto"/>
        <w:outlineLvl w:val="0"/>
        <w:rPr>
          <w:rFonts w:ascii="宋体" w:hAnsi="宋体" w:cs="宋体"/>
          <w:b/>
          <w:sz w:val="24"/>
        </w:rPr>
      </w:pPr>
      <w:r>
        <w:rPr>
          <w:rFonts w:hint="eastAsia" w:ascii="宋体" w:hAnsi="宋体" w:cs="宋体"/>
          <w:b/>
          <w:sz w:val="24"/>
        </w:rPr>
        <w:t>三、保密义务：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乙方保证遵守国家法律和国家有关部门制定的保密法规，严格控制甲方所披露的保密资料，保护的程度不能低于乙方保护自己的保密资料。无论如何，乙方对该保密资料的保护程度不能低于一个管理良好的技术企业保护自己的保密资料的保护程度；</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2.乙方保证采取所有必要的方法对甲方提供的保密资料进行保密，包括但不限于执行和坚持适当的作业程序来避免非授权透露、使用或复制保密资料；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3.乙方保证在任何情况下，除依照法律强制性的要求外，不向任何第三方透露或披露甲方的保密资料以及本协议的存在或本协议的任何内容；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 如果乙方基于法律、法规、判决、裁定（包括按照传票、法院或政府处理程序）的要求而必需披露相关的保密资料，乙方应当事先尽快通知甲方，同时，乙方应当尽最大的努力帮助甲方有效地防止或限制该保密资料的传播。</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 乙方不得有损害甲方利益的其他泄密和使用行为。</w:t>
      </w:r>
    </w:p>
    <w:p>
      <w:pPr>
        <w:adjustRightInd w:val="0"/>
        <w:snapToGrid w:val="0"/>
        <w:spacing w:line="360" w:lineRule="auto"/>
        <w:outlineLvl w:val="0"/>
        <w:rPr>
          <w:rFonts w:ascii="宋体" w:hAnsi="宋体" w:cs="宋体"/>
          <w:b/>
          <w:sz w:val="24"/>
        </w:rPr>
      </w:pPr>
      <w:r>
        <w:rPr>
          <w:rFonts w:hint="eastAsia" w:ascii="宋体" w:hAnsi="宋体" w:cs="宋体"/>
          <w:b/>
          <w:sz w:val="24"/>
        </w:rPr>
        <w:t>四、保密资料的使用方式和不使用义务：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1.乙方只能为完成本项目而使用保密资料；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2.除乙方为完成本项目需要时而将保密资料披露给必需直接参与本项工作、必需知晓保密资料的职员之外，乙方不能将保密资料透露给其它任何人；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3.乙方不能将此保密资料的全部或部分进行复制或仿造；</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4.乙方应当告知并以适当方式要求其参与本项工作之雇员遵守本协议规定，若参与本项工作之雇员（包括已离职员工）违反本协议规定，乙方应承担连带责任。</w:t>
      </w:r>
    </w:p>
    <w:p>
      <w:pPr>
        <w:adjustRightInd w:val="0"/>
        <w:snapToGrid w:val="0"/>
        <w:spacing w:line="360" w:lineRule="auto"/>
        <w:outlineLvl w:val="0"/>
        <w:rPr>
          <w:rFonts w:ascii="宋体" w:hAnsi="宋体" w:cs="宋体"/>
          <w:b/>
          <w:sz w:val="24"/>
        </w:rPr>
      </w:pPr>
      <w:r>
        <w:rPr>
          <w:rFonts w:hint="eastAsia" w:ascii="宋体" w:hAnsi="宋体" w:cs="宋体"/>
          <w:b/>
          <w:sz w:val="24"/>
        </w:rPr>
        <w:t>五、保密资料的交回：</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1.当甲方以书面形式要求乙方交回保密资料时，乙方应当立即交回所有书面的或其他有形的保密资料以及所有描述和概括该保密资料的文件；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2.没有甲方的书面许可，乙方不得丢弃和处理任何书面的或其他有形的保密资料。</w:t>
      </w:r>
    </w:p>
    <w:p>
      <w:pPr>
        <w:adjustRightInd w:val="0"/>
        <w:snapToGrid w:val="0"/>
        <w:spacing w:line="360" w:lineRule="auto"/>
        <w:outlineLvl w:val="0"/>
        <w:rPr>
          <w:rFonts w:ascii="宋体" w:hAnsi="宋体" w:cs="宋体"/>
          <w:b/>
          <w:sz w:val="24"/>
        </w:rPr>
      </w:pPr>
      <w:r>
        <w:rPr>
          <w:rFonts w:hint="eastAsia" w:ascii="宋体" w:hAnsi="宋体" w:cs="宋体"/>
          <w:b/>
          <w:sz w:val="24"/>
        </w:rPr>
        <w:t>六、知识产权：</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除非甲方明确地授权，乙方不能认为甲方授予其包含该保密资料的任何专利权、专利申请权、商标权、著作权、商业秘密或其它的知识产权。</w:t>
      </w:r>
    </w:p>
    <w:p>
      <w:pPr>
        <w:adjustRightInd w:val="0"/>
        <w:snapToGrid w:val="0"/>
        <w:spacing w:line="360" w:lineRule="auto"/>
        <w:outlineLvl w:val="0"/>
        <w:rPr>
          <w:rFonts w:ascii="宋体" w:hAnsi="宋体" w:cs="宋体"/>
          <w:b/>
          <w:sz w:val="24"/>
        </w:rPr>
      </w:pPr>
      <w:r>
        <w:rPr>
          <w:rFonts w:hint="eastAsia" w:ascii="宋体" w:hAnsi="宋体" w:cs="宋体"/>
          <w:b/>
          <w:sz w:val="24"/>
        </w:rPr>
        <w:t>七、违约救济：如果发生乙方违约，双方同意依如下条款处理：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1.乙方应当尽最大的努力帮助甲方有效地防止或限制该保密资料的传播或按照甲方的指示采取有效的方法对该保密资料进行保密，所需费用由乙方承担；</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2.乙方应当赔偿甲方的所有损失，包括但不限于法院诉讼的费用、合理的律师酬金和费用、所有损失或损害等等。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同时，乙方按项目合同费用总金额的15%向甲方支付违约金。</w:t>
      </w:r>
    </w:p>
    <w:p>
      <w:pPr>
        <w:adjustRightInd w:val="0"/>
        <w:snapToGrid w:val="0"/>
        <w:spacing w:line="360" w:lineRule="auto"/>
        <w:outlineLvl w:val="0"/>
        <w:rPr>
          <w:rFonts w:ascii="宋体" w:hAnsi="宋体" w:cs="宋体"/>
          <w:b/>
          <w:sz w:val="24"/>
        </w:rPr>
      </w:pPr>
      <w:r>
        <w:rPr>
          <w:rFonts w:hint="eastAsia" w:ascii="宋体" w:hAnsi="宋体" w:cs="宋体"/>
          <w:b/>
          <w:sz w:val="24"/>
        </w:rPr>
        <w:t>八、适用法律：</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本协议适用中华人民共和国法律，并在所有方面依其进行解释。</w:t>
      </w:r>
    </w:p>
    <w:p>
      <w:pPr>
        <w:adjustRightInd w:val="0"/>
        <w:snapToGrid w:val="0"/>
        <w:spacing w:line="360" w:lineRule="auto"/>
        <w:outlineLvl w:val="0"/>
        <w:rPr>
          <w:rFonts w:ascii="宋体" w:hAnsi="宋体" w:cs="宋体"/>
          <w:b/>
          <w:sz w:val="24"/>
        </w:rPr>
      </w:pPr>
      <w:r>
        <w:rPr>
          <w:rFonts w:hint="eastAsia" w:ascii="宋体" w:hAnsi="宋体" w:cs="宋体"/>
          <w:b/>
          <w:sz w:val="24"/>
        </w:rPr>
        <w:t>九、争议和裁决</w:t>
      </w:r>
    </w:p>
    <w:p>
      <w:pPr>
        <w:autoSpaceDE w:val="0"/>
        <w:autoSpaceDN w:val="0"/>
        <w:adjustRightInd w:val="0"/>
        <w:spacing w:line="360" w:lineRule="auto"/>
        <w:ind w:firstLine="540"/>
        <w:rPr>
          <w:rFonts w:ascii="宋体" w:hAnsi="宋体" w:cs="宋体"/>
          <w:sz w:val="24"/>
        </w:rPr>
      </w:pPr>
      <w:r>
        <w:rPr>
          <w:rFonts w:hint="eastAsia" w:ascii="宋体" w:hAnsi="宋体" w:cs="宋体"/>
          <w:sz w:val="24"/>
        </w:rPr>
        <w:t>双方约定，凡因执行本合同所发生的与本合同有关的一切争议，当和解或调解不成时，选择下列第</w:t>
      </w:r>
      <w:r>
        <w:rPr>
          <w:rFonts w:hint="eastAsia" w:ascii="宋体" w:hAnsi="宋体" w:cs="宋体"/>
          <w:bCs w:val="0"/>
          <w:sz w:val="24"/>
          <w:u w:val="single"/>
        </w:rPr>
        <w:t>（2）</w:t>
      </w:r>
      <w:r>
        <w:rPr>
          <w:rFonts w:hint="eastAsia" w:ascii="宋体" w:hAnsi="宋体" w:cs="宋体"/>
          <w:sz w:val="24"/>
        </w:rPr>
        <w:t>种方式解决：</w:t>
      </w:r>
    </w:p>
    <w:p>
      <w:pPr>
        <w:autoSpaceDE w:val="0"/>
        <w:autoSpaceDN w:val="0"/>
        <w:adjustRightInd w:val="0"/>
        <w:spacing w:line="360" w:lineRule="auto"/>
        <w:ind w:firstLine="540"/>
        <w:rPr>
          <w:rFonts w:ascii="宋体" w:hAnsi="宋体" w:cs="宋体"/>
          <w:sz w:val="24"/>
        </w:rPr>
      </w:pPr>
      <w:r>
        <w:rPr>
          <w:rFonts w:hint="eastAsia" w:ascii="宋体" w:hAnsi="宋体" w:cs="宋体"/>
          <w:sz w:val="24"/>
        </w:rPr>
        <w:t>（1）将争议提交</w:t>
      </w:r>
      <w:r>
        <w:rPr>
          <w:rFonts w:hint="eastAsia" w:ascii="宋体" w:hAnsi="宋体" w:cs="宋体"/>
          <w:b/>
          <w:bCs w:val="0"/>
          <w:sz w:val="24"/>
          <w:u w:val="single"/>
        </w:rPr>
        <w:t>广州市</w:t>
      </w:r>
      <w:r>
        <w:rPr>
          <w:rFonts w:hint="eastAsia" w:ascii="宋体" w:hAnsi="宋体" w:cs="宋体"/>
          <w:sz w:val="24"/>
        </w:rPr>
        <w:t>仲裁委员会仲裁；</w:t>
      </w:r>
    </w:p>
    <w:p>
      <w:pPr>
        <w:autoSpaceDE w:val="0"/>
        <w:autoSpaceDN w:val="0"/>
        <w:adjustRightInd w:val="0"/>
        <w:spacing w:line="360" w:lineRule="auto"/>
        <w:ind w:firstLine="540"/>
        <w:rPr>
          <w:rFonts w:ascii="宋体" w:hAnsi="宋体" w:cs="宋体"/>
          <w:sz w:val="24"/>
          <w:u w:val="single"/>
        </w:rPr>
      </w:pPr>
      <w:r>
        <w:rPr>
          <w:rFonts w:hint="eastAsia" w:ascii="宋体" w:hAnsi="宋体" w:cs="宋体"/>
          <w:sz w:val="24"/>
        </w:rPr>
        <w:t>（2）依法向当地</w:t>
      </w:r>
      <w:r>
        <w:rPr>
          <w:rFonts w:hint="eastAsia" w:ascii="宋体" w:hAnsi="宋体" w:cs="宋体"/>
          <w:b/>
          <w:sz w:val="24"/>
          <w:u w:val="single"/>
        </w:rPr>
        <w:t>甲方所在地有管辖权的</w:t>
      </w:r>
      <w:r>
        <w:rPr>
          <w:rFonts w:hint="eastAsia" w:ascii="宋体" w:hAnsi="宋体" w:cs="宋体"/>
          <w:b/>
          <w:bCs w:val="0"/>
          <w:sz w:val="24"/>
          <w:u w:val="single"/>
        </w:rPr>
        <w:t xml:space="preserve">法院   </w:t>
      </w:r>
      <w:r>
        <w:rPr>
          <w:rFonts w:hint="eastAsia" w:ascii="宋体" w:hAnsi="宋体" w:cs="宋体"/>
          <w:bCs w:val="0"/>
          <w:sz w:val="24"/>
        </w:rPr>
        <w:t>提起诉讼</w:t>
      </w:r>
      <w:r>
        <w:rPr>
          <w:rFonts w:hint="eastAsia" w:ascii="宋体" w:hAnsi="宋体" w:cs="宋体"/>
          <w:sz w:val="24"/>
        </w:rPr>
        <w:t>。</w:t>
      </w:r>
    </w:p>
    <w:p>
      <w:pPr>
        <w:adjustRightInd w:val="0"/>
        <w:snapToGrid w:val="0"/>
        <w:spacing w:line="360" w:lineRule="auto"/>
        <w:outlineLvl w:val="0"/>
        <w:rPr>
          <w:rFonts w:ascii="宋体" w:hAnsi="宋体" w:cs="宋体"/>
          <w:b/>
          <w:sz w:val="24"/>
        </w:rPr>
      </w:pPr>
      <w:r>
        <w:rPr>
          <w:rFonts w:hint="eastAsia" w:ascii="宋体" w:hAnsi="宋体" w:cs="宋体"/>
          <w:b/>
          <w:sz w:val="24"/>
        </w:rPr>
        <w:t>十、协议的生效：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本协议在各方的法定代表人或其授权代表签字（或盖章）并加盖公章后生效。</w:t>
      </w:r>
      <w:r>
        <w:rPr>
          <w:rFonts w:hint="eastAsia" w:ascii="宋体" w:hAnsi="宋体" w:cs="宋体"/>
          <w:sz w:val="24"/>
          <w:lang w:val="zh-CN"/>
        </w:rPr>
        <w:t>本合同一式</w:t>
      </w:r>
      <w:r>
        <w:rPr>
          <w:rFonts w:hint="eastAsia" w:ascii="宋体" w:hAnsi="宋体" w:cs="宋体"/>
          <w:b/>
          <w:sz w:val="24"/>
          <w:u w:val="single"/>
        </w:rPr>
        <w:t>*</w:t>
      </w:r>
      <w:r>
        <w:rPr>
          <w:rFonts w:hint="eastAsia" w:ascii="宋体" w:hAnsi="宋体" w:cs="宋体"/>
          <w:sz w:val="24"/>
          <w:lang w:val="zh-CN"/>
        </w:rPr>
        <w:t>份，合同各方各执</w:t>
      </w:r>
      <w:r>
        <w:rPr>
          <w:rFonts w:hint="eastAsia" w:ascii="宋体" w:hAnsi="宋体" w:cs="宋体"/>
          <w:b/>
          <w:sz w:val="24"/>
          <w:u w:val="single"/>
        </w:rPr>
        <w:t>*</w:t>
      </w:r>
      <w:r>
        <w:rPr>
          <w:rFonts w:hint="eastAsia" w:ascii="宋体" w:hAnsi="宋体" w:cs="宋体"/>
          <w:sz w:val="24"/>
          <w:lang w:val="zh-CN"/>
        </w:rPr>
        <w:t>份。</w:t>
      </w:r>
    </w:p>
    <w:p>
      <w:pPr>
        <w:adjustRightInd w:val="0"/>
        <w:snapToGrid w:val="0"/>
        <w:spacing w:line="360" w:lineRule="auto"/>
        <w:ind w:left="-178" w:leftChars="-85" w:right="-178" w:rightChars="-85" w:firstLine="480" w:firstLineChars="200"/>
        <w:rPr>
          <w:rFonts w:ascii="宋体" w:hAnsi="宋体" w:cs="宋体"/>
          <w:sz w:val="24"/>
        </w:rPr>
      </w:pPr>
      <w:r>
        <w:rPr>
          <w:rFonts w:hint="eastAsia" w:ascii="宋体" w:hAnsi="宋体" w:cs="宋体"/>
          <w:sz w:val="24"/>
        </w:rPr>
        <w:t>（以下无正文）</w:t>
      </w:r>
    </w:p>
    <w:p>
      <w:pPr>
        <w:adjustRightInd w:val="0"/>
        <w:snapToGrid w:val="0"/>
        <w:spacing w:line="360" w:lineRule="auto"/>
        <w:ind w:left="-178" w:leftChars="-85" w:right="-178" w:rightChars="-85" w:firstLine="480" w:firstLineChars="200"/>
        <w:rPr>
          <w:rFonts w:ascii="宋体" w:hAnsi="宋体" w:cs="宋体"/>
          <w:sz w:val="24"/>
        </w:rPr>
      </w:pPr>
    </w:p>
    <w:p>
      <w:pPr>
        <w:adjustRightInd w:val="0"/>
        <w:snapToGrid w:val="0"/>
        <w:spacing w:line="360" w:lineRule="auto"/>
        <w:ind w:left="-178" w:leftChars="-85" w:right="-178" w:rightChars="-85" w:firstLine="480" w:firstLineChars="200"/>
        <w:rPr>
          <w:rFonts w:ascii="宋体" w:hAnsi="宋体" w:cs="宋体"/>
          <w:sz w:val="24"/>
        </w:rPr>
      </w:pPr>
    </w:p>
    <w:p>
      <w:pPr>
        <w:adjustRightInd w:val="0"/>
        <w:snapToGrid w:val="0"/>
        <w:spacing w:line="360" w:lineRule="auto"/>
        <w:ind w:left="-178" w:leftChars="-85" w:right="-178" w:rightChars="-85" w:firstLine="480" w:firstLineChars="200"/>
        <w:rPr>
          <w:rFonts w:ascii="宋体" w:hAnsi="宋体" w:cs="宋体"/>
          <w:sz w:val="24"/>
        </w:rPr>
      </w:pPr>
      <w:r>
        <w:rPr>
          <w:rFonts w:hint="eastAsia" w:hAnsi="宋体" w:cs="仿宋_GB2312"/>
          <w:sz w:val="24"/>
        </w:rPr>
        <w:t xml:space="preserve"> (本页无正文，为</w:t>
      </w:r>
      <w:r>
        <w:rPr>
          <w:rFonts w:hint="eastAsia" w:ascii="宋体" w:hAnsi="宋体" w:cs="宋体"/>
          <w:sz w:val="24"/>
          <w:u w:val="single"/>
        </w:rPr>
        <w:t>广州北站东侧老旧小区成片连片微改造项目全过程造价咨询保密协议</w:t>
      </w:r>
      <w:r>
        <w:rPr>
          <w:rFonts w:hint="eastAsia" w:hAnsi="宋体" w:cs="仿宋_GB2312"/>
          <w:sz w:val="24"/>
        </w:rPr>
        <w:t>签署页）</w:t>
      </w:r>
    </w:p>
    <w:tbl>
      <w:tblPr>
        <w:tblStyle w:val="21"/>
        <w:tblW w:w="97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6"/>
        <w:gridCol w:w="5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exact"/>
        </w:trPr>
        <w:tc>
          <w:tcPr>
            <w:tcW w:w="4536" w:type="dxa"/>
            <w:tcBorders>
              <w:right w:val="dashed" w:color="000000" w:sz="4" w:space="0"/>
              <w:tl2br w:val="nil"/>
              <w:tr2bl w:val="nil"/>
            </w:tcBorders>
          </w:tcPr>
          <w:p>
            <w:pPr>
              <w:rPr>
                <w:rFonts w:ascii="宋体" w:hAnsi="宋体" w:cs="宋体"/>
                <w:snapToGrid w:val="0"/>
                <w:sz w:val="24"/>
              </w:rPr>
            </w:pPr>
            <w:r>
              <w:rPr>
                <w:rFonts w:hint="eastAsia" w:ascii="宋体" w:hAnsi="宋体" w:cs="宋体"/>
                <w:snapToGrid w:val="0"/>
                <w:sz w:val="24"/>
              </w:rPr>
              <w:t>委托人（甲方）：广州市花都区人民政府新华街道办事处</w:t>
            </w:r>
          </w:p>
          <w:p>
            <w:pPr>
              <w:adjustRightInd w:val="0"/>
              <w:snapToGrid w:val="0"/>
              <w:spacing w:line="360" w:lineRule="auto"/>
              <w:ind w:left="1920" w:hanging="1920" w:hangingChars="800"/>
              <w:rPr>
                <w:rFonts w:ascii="宋体" w:hAnsi="宋体" w:cs="宋体"/>
                <w:snapToGrid w:val="0"/>
                <w:sz w:val="24"/>
              </w:rPr>
            </w:pPr>
          </w:p>
        </w:tc>
        <w:tc>
          <w:tcPr>
            <w:tcW w:w="5200" w:type="dxa"/>
            <w:tcBorders>
              <w:left w:val="dashed" w:color="000000" w:sz="4" w:space="0"/>
              <w:tl2br w:val="nil"/>
              <w:tr2bl w:val="nil"/>
            </w:tcBorders>
          </w:tcPr>
          <w:p>
            <w:pPr>
              <w:adjustRightInd w:val="0"/>
              <w:snapToGrid w:val="0"/>
              <w:spacing w:line="360" w:lineRule="auto"/>
              <w:rPr>
                <w:rFonts w:ascii="宋体" w:hAnsi="宋体" w:cs="宋体"/>
                <w:b/>
                <w:sz w:val="24"/>
                <w:u w:val="single"/>
              </w:rPr>
            </w:pPr>
            <w:r>
              <w:rPr>
                <w:rFonts w:hint="eastAsia" w:ascii="宋体" w:hAnsi="宋体" w:cs="宋体"/>
                <w:snapToGrid w:val="0"/>
                <w:sz w:val="24"/>
              </w:rPr>
              <w:t>咨询人（乙方）：</w:t>
            </w:r>
          </w:p>
          <w:p>
            <w:pPr>
              <w:adjustRightInd w:val="0"/>
              <w:snapToGrid w:val="0"/>
              <w:spacing w:line="360" w:lineRule="auto"/>
              <w:ind w:firstLine="2400" w:firstLineChars="1000"/>
              <w:rPr>
                <w:rFonts w:ascii="宋体" w:hAnsi="宋体" w:cs="宋体"/>
                <w:snapToGrid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4536" w:type="dxa"/>
            <w:tcBorders>
              <w:right w:val="dashed" w:color="000000" w:sz="4" w:space="0"/>
              <w:tl2br w:val="nil"/>
              <w:tr2bl w:val="nil"/>
            </w:tcBorders>
          </w:tcPr>
          <w:p>
            <w:pPr>
              <w:adjustRightInd w:val="0"/>
              <w:snapToGrid w:val="0"/>
              <w:spacing w:line="560" w:lineRule="exact"/>
              <w:rPr>
                <w:rFonts w:ascii="宋体" w:hAnsi="宋体" w:cs="宋体"/>
                <w:snapToGrid w:val="0"/>
                <w:sz w:val="24"/>
              </w:rPr>
            </w:pPr>
            <w:r>
              <w:rPr>
                <w:rFonts w:hint="eastAsia" w:ascii="宋体" w:hAnsi="宋体" w:cs="宋体"/>
                <w:snapToGrid w:val="0"/>
                <w:sz w:val="24"/>
              </w:rPr>
              <w:t>法定代表人：</w:t>
            </w:r>
          </w:p>
        </w:tc>
        <w:tc>
          <w:tcPr>
            <w:tcW w:w="5200" w:type="dxa"/>
            <w:tcBorders>
              <w:left w:val="dashed" w:color="000000" w:sz="4" w:space="0"/>
              <w:tl2br w:val="nil"/>
              <w:tr2bl w:val="nil"/>
            </w:tcBorders>
          </w:tcPr>
          <w:p>
            <w:pPr>
              <w:adjustRightInd w:val="0"/>
              <w:snapToGrid w:val="0"/>
              <w:spacing w:line="560" w:lineRule="exact"/>
              <w:rPr>
                <w:rFonts w:ascii="宋体" w:hAnsi="宋体" w:cs="宋体"/>
                <w:snapToGrid w:val="0"/>
                <w:sz w:val="24"/>
              </w:rPr>
            </w:pPr>
            <w:r>
              <w:rPr>
                <w:rFonts w:hint="eastAsia" w:ascii="宋体" w:hAnsi="宋体" w:cs="宋体"/>
                <w:snapToGrid w:val="0"/>
                <w:sz w:val="24"/>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4536" w:type="dxa"/>
            <w:tcBorders>
              <w:right w:val="dashed" w:color="000000" w:sz="4" w:space="0"/>
              <w:tl2br w:val="nil"/>
              <w:tr2bl w:val="nil"/>
            </w:tcBorders>
          </w:tcPr>
          <w:p>
            <w:pPr>
              <w:adjustRightInd w:val="0"/>
              <w:snapToGrid w:val="0"/>
              <w:spacing w:line="560" w:lineRule="exact"/>
              <w:rPr>
                <w:rFonts w:ascii="宋体" w:hAnsi="宋体" w:cs="宋体"/>
                <w:snapToGrid w:val="0"/>
                <w:sz w:val="24"/>
              </w:rPr>
            </w:pPr>
            <w:r>
              <w:rPr>
                <w:rFonts w:hint="eastAsia" w:ascii="宋体" w:hAnsi="宋体" w:cs="宋体"/>
                <w:sz w:val="24"/>
              </w:rPr>
              <w:t>或签约代表人：</w:t>
            </w:r>
          </w:p>
        </w:tc>
        <w:tc>
          <w:tcPr>
            <w:tcW w:w="5200" w:type="dxa"/>
            <w:tcBorders>
              <w:left w:val="dashed" w:color="000000" w:sz="4" w:space="0"/>
              <w:tl2br w:val="nil"/>
              <w:tr2bl w:val="nil"/>
            </w:tcBorders>
          </w:tcPr>
          <w:p>
            <w:pPr>
              <w:adjustRightInd w:val="0"/>
              <w:snapToGrid w:val="0"/>
              <w:spacing w:line="560" w:lineRule="exact"/>
              <w:rPr>
                <w:rFonts w:ascii="宋体" w:hAnsi="宋体" w:cs="宋体"/>
                <w:snapToGrid w:val="0"/>
                <w:sz w:val="24"/>
              </w:rPr>
            </w:pPr>
            <w:r>
              <w:rPr>
                <w:rFonts w:hint="eastAsia" w:ascii="宋体" w:hAnsi="宋体" w:cs="宋体"/>
                <w:sz w:val="24"/>
              </w:rPr>
              <w:t>或签约代表人：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4536" w:type="dxa"/>
            <w:tcBorders>
              <w:bottom w:val="dashed" w:color="000000" w:sz="4" w:space="0"/>
              <w:right w:val="dashed" w:color="000000" w:sz="4" w:space="0"/>
              <w:tl2br w:val="nil"/>
              <w:tr2bl w:val="nil"/>
            </w:tcBorders>
          </w:tcPr>
          <w:p>
            <w:pPr>
              <w:adjustRightInd w:val="0"/>
              <w:snapToGrid w:val="0"/>
              <w:spacing w:line="560" w:lineRule="exact"/>
              <w:rPr>
                <w:rFonts w:ascii="宋体" w:hAnsi="宋体" w:cs="宋体"/>
                <w:snapToGrid w:val="0"/>
                <w:sz w:val="24"/>
              </w:rPr>
            </w:pPr>
            <w:r>
              <w:rPr>
                <w:rFonts w:hint="eastAsia" w:ascii="宋体" w:hAnsi="宋体" w:cs="宋体"/>
                <w:snapToGrid w:val="0"/>
                <w:sz w:val="24"/>
              </w:rPr>
              <w:t>年 月日</w:t>
            </w:r>
          </w:p>
        </w:tc>
        <w:tc>
          <w:tcPr>
            <w:tcW w:w="5200" w:type="dxa"/>
            <w:tcBorders>
              <w:left w:val="dashed" w:color="000000" w:sz="4" w:space="0"/>
              <w:bottom w:val="dashed" w:color="000000" w:sz="4" w:space="0"/>
              <w:tl2br w:val="nil"/>
              <w:tr2bl w:val="nil"/>
            </w:tcBorders>
          </w:tcPr>
          <w:p>
            <w:pPr>
              <w:adjustRightInd w:val="0"/>
              <w:snapToGrid w:val="0"/>
              <w:spacing w:line="560" w:lineRule="exact"/>
              <w:rPr>
                <w:rFonts w:ascii="宋体" w:hAnsi="宋体" w:cs="宋体"/>
                <w:snapToGrid w:val="0"/>
                <w:sz w:val="24"/>
              </w:rPr>
            </w:pPr>
            <w:r>
              <w:rPr>
                <w:rFonts w:hint="eastAsia" w:ascii="宋体" w:hAnsi="宋体" w:cs="宋体"/>
                <w:snapToGrid w:val="0"/>
                <w:sz w:val="24"/>
              </w:rPr>
              <w:t xml:space="preserve">年    月   日   </w:t>
            </w:r>
          </w:p>
        </w:tc>
      </w:tr>
    </w:tbl>
    <w:p>
      <w:pPr>
        <w:widowControl/>
        <w:jc w:val="left"/>
        <w:rPr>
          <w:b/>
          <w:szCs w:val="21"/>
        </w:rPr>
      </w:pPr>
      <w:r>
        <w:rPr>
          <w:szCs w:val="21"/>
        </w:rPr>
        <w:br w:type="page"/>
      </w:r>
      <w:r>
        <w:rPr>
          <w:b/>
          <w:szCs w:val="21"/>
        </w:rPr>
        <w:t>附件</w:t>
      </w:r>
      <w:r>
        <w:rPr>
          <w:rFonts w:hint="eastAsia"/>
          <w:b/>
          <w:szCs w:val="21"/>
        </w:rPr>
        <w:t>4</w:t>
      </w:r>
      <w:r>
        <w:rPr>
          <w:b/>
          <w:szCs w:val="21"/>
        </w:rPr>
        <w:t xml:space="preserve">： </w:t>
      </w:r>
    </w:p>
    <w:p>
      <w:pPr>
        <w:spacing w:line="500" w:lineRule="exact"/>
        <w:jc w:val="center"/>
        <w:rPr>
          <w:b/>
          <w:sz w:val="44"/>
          <w:szCs w:val="44"/>
        </w:rPr>
      </w:pPr>
      <w:r>
        <w:rPr>
          <w:b/>
          <w:sz w:val="44"/>
          <w:szCs w:val="44"/>
        </w:rPr>
        <w:t>廉 政 合 同</w:t>
      </w:r>
    </w:p>
    <w:p>
      <w:pPr>
        <w:spacing w:line="360" w:lineRule="auto"/>
        <w:ind w:right="-178" w:rightChars="-85"/>
        <w:rPr>
          <w:b/>
        </w:rPr>
      </w:pPr>
    </w:p>
    <w:p>
      <w:pPr>
        <w:spacing w:line="360" w:lineRule="auto"/>
        <w:ind w:right="-178" w:rightChars="-85"/>
        <w:rPr>
          <w:rFonts w:ascii="宋体" w:hAnsi="宋体" w:cs="宋体"/>
          <w:b/>
          <w:bCs w:val="0"/>
          <w:sz w:val="24"/>
          <w:u w:val="single"/>
        </w:rPr>
      </w:pPr>
      <w:r>
        <w:rPr>
          <w:rFonts w:hint="eastAsia" w:ascii="宋体" w:hAnsi="宋体" w:cs="宋体"/>
          <w:b/>
          <w:sz w:val="24"/>
        </w:rPr>
        <w:t>委托人（甲方）：</w:t>
      </w:r>
      <w:r>
        <w:rPr>
          <w:rFonts w:hint="eastAsia" w:ascii="宋体" w:hAnsi="宋体" w:cs="宋体"/>
          <w:kern w:val="0"/>
          <w:sz w:val="24"/>
          <w:lang w:val="zh-CN"/>
        </w:rPr>
        <w:t>广州市花都区人民政府新华街道办事处</w:t>
      </w:r>
    </w:p>
    <w:p>
      <w:pPr>
        <w:spacing w:line="360" w:lineRule="auto"/>
        <w:ind w:right="-178" w:rightChars="-85"/>
        <w:rPr>
          <w:rFonts w:ascii="宋体" w:hAnsi="宋体" w:cs="宋体"/>
          <w:sz w:val="24"/>
          <w:u w:val="single"/>
          <w:shd w:val="pct10" w:color="auto" w:fill="FFFFFF"/>
        </w:rPr>
      </w:pPr>
      <w:r>
        <w:rPr>
          <w:rFonts w:hint="eastAsia" w:ascii="宋体" w:hAnsi="宋体" w:cs="宋体"/>
          <w:b/>
          <w:sz w:val="24"/>
        </w:rPr>
        <w:t>咨询人（乙方）：</w:t>
      </w:r>
    </w:p>
    <w:p>
      <w:pPr>
        <w:spacing w:line="360" w:lineRule="auto"/>
        <w:ind w:left="-178" w:leftChars="-85" w:right="-178" w:rightChars="-85" w:firstLine="196" w:firstLineChars="87"/>
        <w:rPr>
          <w:rFonts w:ascii="宋体" w:hAnsi="宋体" w:cs="宋体"/>
          <w:b/>
          <w:spacing w:val="-8"/>
          <w:sz w:val="24"/>
          <w:u w:val="single"/>
        </w:rPr>
      </w:pPr>
    </w:p>
    <w:p>
      <w:pPr>
        <w:spacing w:line="360" w:lineRule="auto"/>
        <w:rPr>
          <w:rFonts w:ascii="宋体" w:hAnsi="宋体" w:cs="宋体"/>
          <w:sz w:val="24"/>
        </w:rPr>
      </w:pPr>
      <w:r>
        <w:rPr>
          <w:rFonts w:hint="eastAsia" w:ascii="宋体" w:hAnsi="宋体" w:cs="宋体"/>
          <w:kern w:val="0"/>
          <w:sz w:val="24"/>
          <w:lang w:val="zh-CN"/>
        </w:rPr>
        <w:t>根据国家、省有关廉政建设的规定，为做好合同工程的廉政建设，保证工程质量与施工安全，提高建设资金的有效使用和投资效益，合同各方当事人就加强合同工程的廉政建设，订立本合同</w:t>
      </w:r>
      <w:r>
        <w:rPr>
          <w:rFonts w:hint="eastAsia" w:ascii="宋体" w:hAnsi="宋体" w:cs="宋体"/>
          <w:sz w:val="24"/>
        </w:rPr>
        <w:t>。</w:t>
      </w:r>
    </w:p>
    <w:p>
      <w:pPr>
        <w:spacing w:line="360" w:lineRule="auto"/>
        <w:ind w:firstLine="482" w:firstLineChars="200"/>
        <w:jc w:val="left"/>
        <w:rPr>
          <w:rFonts w:ascii="宋体" w:hAnsi="宋体" w:cs="宋体"/>
          <w:b/>
          <w:bCs w:val="0"/>
          <w:sz w:val="24"/>
        </w:rPr>
      </w:pPr>
      <w:r>
        <w:rPr>
          <w:rFonts w:hint="eastAsia" w:ascii="宋体" w:hAnsi="宋体" w:cs="宋体"/>
          <w:b/>
          <w:sz w:val="24"/>
        </w:rPr>
        <w:t>1  各方权利和义务</w:t>
      </w:r>
    </w:p>
    <w:p>
      <w:pPr>
        <w:spacing w:line="360" w:lineRule="auto"/>
        <w:ind w:firstLine="480" w:firstLineChars="200"/>
        <w:jc w:val="left"/>
        <w:rPr>
          <w:rFonts w:ascii="宋体" w:hAnsi="宋体" w:cs="宋体"/>
          <w:sz w:val="24"/>
        </w:rPr>
      </w:pPr>
      <w:r>
        <w:rPr>
          <w:rFonts w:hint="eastAsia" w:ascii="宋体" w:hAnsi="宋体" w:cs="宋体"/>
          <w:sz w:val="24"/>
        </w:rPr>
        <w:t>1.1  严格遵守国家、省有关法律法规的规定。</w:t>
      </w:r>
    </w:p>
    <w:p>
      <w:pPr>
        <w:spacing w:line="360" w:lineRule="auto"/>
        <w:ind w:firstLine="480" w:firstLineChars="200"/>
        <w:rPr>
          <w:rFonts w:ascii="宋体" w:hAnsi="宋体" w:cs="宋体"/>
          <w:sz w:val="24"/>
        </w:rPr>
      </w:pPr>
      <w:r>
        <w:rPr>
          <w:rFonts w:hint="eastAsia" w:ascii="宋体" w:hAnsi="宋体" w:cs="宋体"/>
          <w:sz w:val="24"/>
        </w:rPr>
        <w:t>1.2  严格执行合同工程一切合同文件，自觉按合同办事。</w:t>
      </w:r>
    </w:p>
    <w:p>
      <w:pPr>
        <w:spacing w:line="360" w:lineRule="auto"/>
        <w:ind w:firstLine="480" w:firstLineChars="200"/>
        <w:rPr>
          <w:rFonts w:ascii="宋体" w:hAnsi="宋体" w:cs="宋体"/>
          <w:sz w:val="24"/>
        </w:rPr>
      </w:pPr>
      <w:r>
        <w:rPr>
          <w:rFonts w:hint="eastAsia" w:ascii="宋体" w:hAnsi="宋体" w:cs="宋体"/>
          <w:sz w:val="24"/>
        </w:rPr>
        <w:t xml:space="preserve">1.3  </w:t>
      </w:r>
      <w:r>
        <w:rPr>
          <w:rFonts w:hint="eastAsia" w:ascii="宋体" w:hAnsi="宋体" w:cs="宋体"/>
          <w:kern w:val="0"/>
          <w:sz w:val="24"/>
          <w:lang w:val="zh-CN"/>
        </w:rPr>
        <w:t>合同各方当事人的业务活动应坚持公平、公开、公正和诚信的原则（法律认定的商业秘密和合同文件另有规定除外），不得损害国家和集体利益，不得违反工程建设管理规章制度</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1.4  建立健全廉政制度，开展廉政教育，设立廉政告示牌，公布举报电话，监督并认真查处违法违纪行为。</w:t>
      </w:r>
    </w:p>
    <w:p>
      <w:pPr>
        <w:spacing w:line="360" w:lineRule="auto"/>
        <w:ind w:firstLine="480" w:firstLineChars="200"/>
        <w:rPr>
          <w:rFonts w:ascii="宋体" w:hAnsi="宋体" w:cs="宋体"/>
          <w:sz w:val="24"/>
        </w:rPr>
      </w:pPr>
      <w:r>
        <w:rPr>
          <w:rFonts w:hint="eastAsia" w:ascii="宋体" w:hAnsi="宋体" w:cs="宋体"/>
          <w:sz w:val="24"/>
        </w:rPr>
        <w:t>1.5  发现对方在业务活动中有违反廉政建设规定的行为，应及时给予提醒和纠正。</w:t>
      </w:r>
    </w:p>
    <w:p>
      <w:pPr>
        <w:spacing w:line="360" w:lineRule="auto"/>
        <w:ind w:firstLine="480" w:firstLineChars="200"/>
        <w:jc w:val="left"/>
        <w:rPr>
          <w:rFonts w:ascii="宋体" w:hAnsi="宋体" w:cs="宋体"/>
          <w:sz w:val="24"/>
        </w:rPr>
      </w:pPr>
      <w:r>
        <w:rPr>
          <w:rFonts w:hint="eastAsia" w:ascii="宋体" w:hAnsi="宋体" w:cs="宋体"/>
          <w:sz w:val="24"/>
        </w:rPr>
        <w:t>1.6  发现对方严重违反合同的行为，有向其上级部门举报、建议给予处理并要求告知处理结果的权利。</w:t>
      </w:r>
    </w:p>
    <w:p>
      <w:pPr>
        <w:spacing w:line="360" w:lineRule="auto"/>
        <w:ind w:firstLine="482" w:firstLineChars="200"/>
        <w:jc w:val="left"/>
        <w:rPr>
          <w:rFonts w:ascii="宋体" w:hAnsi="宋体" w:cs="宋体"/>
          <w:b/>
          <w:bCs w:val="0"/>
          <w:sz w:val="24"/>
        </w:rPr>
      </w:pPr>
      <w:r>
        <w:rPr>
          <w:rFonts w:hint="eastAsia" w:ascii="宋体" w:hAnsi="宋体" w:cs="宋体"/>
          <w:b/>
          <w:sz w:val="24"/>
        </w:rPr>
        <w:t>2  发包方义务</w:t>
      </w:r>
    </w:p>
    <w:p>
      <w:pPr>
        <w:spacing w:line="360" w:lineRule="auto"/>
        <w:ind w:firstLine="480" w:firstLineChars="200"/>
        <w:jc w:val="left"/>
        <w:rPr>
          <w:rFonts w:ascii="宋体" w:hAnsi="宋体" w:cs="宋体"/>
          <w:sz w:val="24"/>
        </w:rPr>
      </w:pPr>
      <w:r>
        <w:rPr>
          <w:rFonts w:hint="eastAsia" w:ascii="宋体" w:hAnsi="宋体" w:cs="宋体"/>
          <w:sz w:val="24"/>
        </w:rPr>
        <w:t>2.1  发包方及其工作人员不得索要或接受承包方的礼金、有价证券和贵重物品，不得在承包方报销任何应由发包方或工作人员个人支付的费用等。</w:t>
      </w:r>
    </w:p>
    <w:p>
      <w:pPr>
        <w:spacing w:line="360" w:lineRule="auto"/>
        <w:ind w:firstLine="480" w:firstLineChars="200"/>
        <w:rPr>
          <w:rFonts w:ascii="宋体" w:hAnsi="宋体" w:cs="宋体"/>
          <w:sz w:val="24"/>
        </w:rPr>
      </w:pPr>
      <w:r>
        <w:rPr>
          <w:rFonts w:hint="eastAsia" w:ascii="宋体" w:hAnsi="宋体" w:cs="宋体"/>
          <w:sz w:val="24"/>
        </w:rPr>
        <w:t>2.2  发包方及其工作人员不得参加承包方安排的宴请（工作餐除外）和娱乐活动；不得接受承包方提供的通讯工具、交通工具和高档办公用品等。</w:t>
      </w:r>
    </w:p>
    <w:p>
      <w:pPr>
        <w:spacing w:line="360" w:lineRule="auto"/>
        <w:ind w:firstLine="480" w:firstLineChars="200"/>
        <w:rPr>
          <w:rFonts w:ascii="宋体" w:hAnsi="宋体" w:cs="宋体"/>
          <w:sz w:val="24"/>
        </w:rPr>
      </w:pPr>
      <w:r>
        <w:rPr>
          <w:rFonts w:hint="eastAsia" w:ascii="宋体" w:hAnsi="宋体" w:cs="宋体"/>
          <w:sz w:val="24"/>
        </w:rPr>
        <w:t>2.3  发包方及其工作人员不得要求或者接受承包方为其住房装修、婚丧嫁娶活动、配偶子女的工作安排以及出国出境、旅游等提供方便等。</w:t>
      </w:r>
    </w:p>
    <w:p>
      <w:pPr>
        <w:spacing w:line="360" w:lineRule="auto"/>
        <w:ind w:firstLine="480" w:firstLineChars="200"/>
        <w:rPr>
          <w:rFonts w:ascii="宋体" w:hAnsi="宋体" w:cs="宋体"/>
          <w:sz w:val="24"/>
        </w:rPr>
      </w:pPr>
      <w:r>
        <w:rPr>
          <w:rFonts w:hint="eastAsia" w:ascii="宋体" w:hAnsi="宋体" w:cs="宋体"/>
          <w:sz w:val="24"/>
        </w:rPr>
        <w:t>2.4  发包方</w:t>
      </w:r>
      <w:r>
        <w:rPr>
          <w:rFonts w:hint="eastAsia" w:ascii="宋体" w:hAnsi="宋体" w:cs="宋体"/>
          <w:kern w:val="0"/>
          <w:sz w:val="24"/>
          <w:lang w:val="zh-CN"/>
        </w:rPr>
        <w:t>及其工作人员不得以任何理由向</w:t>
      </w:r>
      <w:r>
        <w:rPr>
          <w:rFonts w:hint="eastAsia" w:ascii="宋体" w:hAnsi="宋体" w:cs="宋体"/>
          <w:sz w:val="24"/>
        </w:rPr>
        <w:t>承包方</w:t>
      </w:r>
      <w:r>
        <w:rPr>
          <w:rFonts w:hint="eastAsia" w:ascii="宋体" w:hAnsi="宋体" w:cs="宋体"/>
          <w:kern w:val="0"/>
          <w:sz w:val="24"/>
          <w:lang w:val="zh-CN"/>
        </w:rPr>
        <w:t>推荐分包人、推销材料和工程设备，不得要求</w:t>
      </w:r>
      <w:r>
        <w:rPr>
          <w:rFonts w:hint="eastAsia" w:ascii="宋体" w:hAnsi="宋体" w:cs="宋体"/>
          <w:sz w:val="24"/>
        </w:rPr>
        <w:t>承包方</w:t>
      </w:r>
      <w:r>
        <w:rPr>
          <w:rFonts w:hint="eastAsia" w:ascii="宋体" w:hAnsi="宋体" w:cs="宋体"/>
          <w:kern w:val="0"/>
          <w:sz w:val="24"/>
          <w:lang w:val="zh-CN"/>
        </w:rPr>
        <w:t>购买合同以外的材料和工程设备</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2.5  发包方</w:t>
      </w:r>
      <w:r>
        <w:rPr>
          <w:rFonts w:hint="eastAsia" w:ascii="宋体" w:hAnsi="宋体" w:cs="宋体"/>
          <w:kern w:val="0"/>
          <w:sz w:val="24"/>
          <w:lang w:val="zh-CN"/>
        </w:rPr>
        <w:t>及其工作人员要秉公办事，不准营私舞弊，不准利用职权私自为合同工程安排施工队伍，也不得从事与合同工程有关的各种有偿中介活动</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2.6  发包方</w:t>
      </w:r>
      <w:r>
        <w:rPr>
          <w:rFonts w:hint="eastAsia" w:ascii="宋体" w:hAnsi="宋体" w:cs="宋体"/>
          <w:kern w:val="0"/>
          <w:sz w:val="24"/>
          <w:lang w:val="zh-CN"/>
        </w:rPr>
        <w:t>及其工作人员（含其配偶、子女）不得从事与合同工程有关的材料和工程设备供应、工程分包、劳务等经济活动</w:t>
      </w:r>
      <w:r>
        <w:rPr>
          <w:rFonts w:hint="eastAsia" w:ascii="宋体" w:hAnsi="宋体" w:cs="宋体"/>
          <w:sz w:val="24"/>
        </w:rPr>
        <w:t>。</w:t>
      </w:r>
    </w:p>
    <w:p>
      <w:pPr>
        <w:spacing w:line="360" w:lineRule="auto"/>
        <w:ind w:firstLine="482" w:firstLineChars="200"/>
        <w:rPr>
          <w:rFonts w:ascii="宋体" w:hAnsi="宋体" w:cs="宋体"/>
          <w:b/>
          <w:bCs w:val="0"/>
          <w:sz w:val="24"/>
        </w:rPr>
      </w:pPr>
      <w:r>
        <w:rPr>
          <w:rFonts w:hint="eastAsia" w:ascii="宋体" w:hAnsi="宋体" w:cs="宋体"/>
          <w:b/>
          <w:sz w:val="24"/>
        </w:rPr>
        <w:t>3  承包方义务</w:t>
      </w:r>
    </w:p>
    <w:p>
      <w:pPr>
        <w:spacing w:line="360" w:lineRule="auto"/>
        <w:ind w:firstLine="480" w:firstLineChars="200"/>
        <w:rPr>
          <w:rFonts w:ascii="宋体" w:hAnsi="宋体" w:cs="宋体"/>
          <w:sz w:val="24"/>
        </w:rPr>
      </w:pPr>
      <w:r>
        <w:rPr>
          <w:rFonts w:hint="eastAsia" w:ascii="宋体" w:hAnsi="宋体" w:cs="宋体"/>
          <w:sz w:val="24"/>
        </w:rPr>
        <w:t>3.1  承包方不得以任何理由向发包方及其工作人员行贿或馈赠礼金、有价证券、贵重礼品。</w:t>
      </w:r>
    </w:p>
    <w:p>
      <w:pPr>
        <w:spacing w:line="360" w:lineRule="auto"/>
        <w:ind w:firstLine="480" w:firstLineChars="200"/>
        <w:rPr>
          <w:rFonts w:ascii="宋体" w:hAnsi="宋体" w:cs="宋体"/>
          <w:sz w:val="24"/>
        </w:rPr>
      </w:pPr>
      <w:r>
        <w:rPr>
          <w:rFonts w:hint="eastAsia" w:ascii="宋体" w:hAnsi="宋体" w:cs="宋体"/>
          <w:sz w:val="24"/>
        </w:rPr>
        <w:t>3.2  承包方不得以任何名义为发包方及其工作人员报销应由发包方或工作人员个人支付的任何费用。</w:t>
      </w:r>
    </w:p>
    <w:p>
      <w:pPr>
        <w:spacing w:line="360" w:lineRule="auto"/>
        <w:ind w:firstLine="480" w:firstLineChars="200"/>
        <w:rPr>
          <w:rFonts w:ascii="宋体" w:hAnsi="宋体" w:cs="宋体"/>
          <w:sz w:val="24"/>
        </w:rPr>
      </w:pPr>
      <w:r>
        <w:rPr>
          <w:rFonts w:hint="eastAsia" w:ascii="宋体" w:hAnsi="宋体" w:cs="宋体"/>
          <w:sz w:val="24"/>
        </w:rPr>
        <w:t>3.3  承包方不得以任何理由安排发包方及其工作人员参加宴请（工作餐除外）及娱乐活动。</w:t>
      </w:r>
    </w:p>
    <w:p>
      <w:pPr>
        <w:spacing w:line="360" w:lineRule="auto"/>
        <w:ind w:firstLine="480" w:firstLineChars="200"/>
        <w:rPr>
          <w:rFonts w:ascii="宋体" w:hAnsi="宋体" w:cs="宋体"/>
          <w:sz w:val="24"/>
        </w:rPr>
      </w:pPr>
      <w:r>
        <w:rPr>
          <w:rFonts w:hint="eastAsia" w:ascii="宋体" w:hAnsi="宋体" w:cs="宋体"/>
          <w:sz w:val="24"/>
        </w:rPr>
        <w:t>3.4  承包方不得为发包方和个人购置或提供通讯工具、交通工具和高档办公用品等。</w:t>
      </w:r>
    </w:p>
    <w:p>
      <w:pPr>
        <w:spacing w:line="360" w:lineRule="auto"/>
        <w:ind w:firstLine="480" w:firstLineChars="200"/>
        <w:rPr>
          <w:rFonts w:ascii="宋体" w:hAnsi="宋体" w:cs="宋体"/>
          <w:sz w:val="24"/>
        </w:rPr>
      </w:pPr>
      <w:r>
        <w:rPr>
          <w:rFonts w:hint="eastAsia" w:ascii="宋体" w:hAnsi="宋体" w:cs="宋体"/>
          <w:sz w:val="24"/>
        </w:rPr>
        <w:t>3.5  承包方</w:t>
      </w:r>
      <w:r>
        <w:rPr>
          <w:rFonts w:hint="eastAsia" w:ascii="宋体" w:hAnsi="宋体" w:cs="宋体"/>
          <w:kern w:val="0"/>
          <w:sz w:val="24"/>
          <w:lang w:val="zh-CN"/>
        </w:rPr>
        <w:t>不得为</w:t>
      </w:r>
      <w:r>
        <w:rPr>
          <w:rFonts w:hint="eastAsia" w:ascii="宋体" w:hAnsi="宋体" w:cs="宋体"/>
          <w:sz w:val="24"/>
        </w:rPr>
        <w:t>发包方</w:t>
      </w:r>
      <w:r>
        <w:rPr>
          <w:rFonts w:hint="eastAsia" w:ascii="宋体" w:hAnsi="宋体" w:cs="宋体"/>
          <w:kern w:val="0"/>
          <w:sz w:val="24"/>
          <w:lang w:val="zh-CN"/>
        </w:rPr>
        <w:t>及其工作人员的住房装修、婚丧嫁娶活动、配偶子女工作安排以及出国出境、旅游等提供方便。</w:t>
      </w:r>
    </w:p>
    <w:p>
      <w:pPr>
        <w:tabs>
          <w:tab w:val="left" w:pos="900"/>
        </w:tabs>
        <w:spacing w:line="360" w:lineRule="auto"/>
        <w:ind w:firstLine="482" w:firstLineChars="200"/>
        <w:rPr>
          <w:rFonts w:ascii="宋体" w:hAnsi="宋体" w:cs="宋体"/>
          <w:b/>
          <w:bCs w:val="0"/>
          <w:sz w:val="24"/>
        </w:rPr>
      </w:pPr>
      <w:r>
        <w:rPr>
          <w:rFonts w:hint="eastAsia" w:ascii="宋体" w:hAnsi="宋体" w:cs="宋体"/>
          <w:b/>
          <w:sz w:val="24"/>
        </w:rPr>
        <w:t>4  违约责任</w:t>
      </w:r>
    </w:p>
    <w:p>
      <w:pPr>
        <w:spacing w:line="360" w:lineRule="auto"/>
        <w:ind w:firstLine="480" w:firstLineChars="200"/>
        <w:rPr>
          <w:rFonts w:ascii="宋体" w:hAnsi="宋体" w:cs="宋体"/>
          <w:sz w:val="24"/>
        </w:rPr>
      </w:pPr>
      <w:r>
        <w:rPr>
          <w:rFonts w:hint="eastAsia" w:ascii="宋体" w:hAnsi="宋体" w:cs="宋体"/>
          <w:sz w:val="24"/>
        </w:rPr>
        <w:t>4.1  发包方及其工作人员违反本合同第1条和第2条规定，应依据有关规定给予廉政建设规定的处分；涉嫌犯罪的，移交司法机关追究刑事责任；给承包方造成经济损失的，应予赔偿。</w:t>
      </w:r>
    </w:p>
    <w:p>
      <w:pPr>
        <w:spacing w:line="360" w:lineRule="auto"/>
        <w:ind w:firstLine="480" w:firstLineChars="200"/>
        <w:rPr>
          <w:rFonts w:ascii="宋体" w:hAnsi="宋体" w:cs="宋体"/>
          <w:sz w:val="24"/>
        </w:rPr>
      </w:pPr>
      <w:r>
        <w:rPr>
          <w:rFonts w:hint="eastAsia" w:ascii="宋体" w:hAnsi="宋体" w:cs="宋体"/>
          <w:sz w:val="24"/>
        </w:rPr>
        <w:t>4.2  承包方</w:t>
      </w:r>
      <w:r>
        <w:rPr>
          <w:rFonts w:hint="eastAsia" w:ascii="宋体" w:hAnsi="宋体" w:cs="宋体"/>
          <w:kern w:val="0"/>
          <w:sz w:val="24"/>
          <w:lang w:val="zh-CN"/>
        </w:rPr>
        <w:t>及其工作人员违反本合同第</w:t>
      </w:r>
      <w:r>
        <w:rPr>
          <w:rFonts w:hint="eastAsia" w:ascii="宋体" w:hAnsi="宋体" w:cs="宋体"/>
          <w:kern w:val="0"/>
          <w:sz w:val="24"/>
        </w:rPr>
        <w:t xml:space="preserve"> 1 </w:t>
      </w:r>
      <w:r>
        <w:rPr>
          <w:rFonts w:hint="eastAsia" w:ascii="宋体" w:hAnsi="宋体" w:cs="宋体"/>
          <w:kern w:val="0"/>
          <w:sz w:val="24"/>
          <w:lang w:val="zh-CN"/>
        </w:rPr>
        <w:t>条和第</w:t>
      </w:r>
      <w:r>
        <w:rPr>
          <w:rFonts w:hint="eastAsia" w:ascii="宋体" w:hAnsi="宋体" w:cs="宋体"/>
          <w:kern w:val="0"/>
          <w:sz w:val="24"/>
        </w:rPr>
        <w:t xml:space="preserve"> 3 </w:t>
      </w:r>
      <w:r>
        <w:rPr>
          <w:rFonts w:hint="eastAsia" w:ascii="宋体" w:hAnsi="宋体" w:cs="宋体"/>
          <w:kern w:val="0"/>
          <w:sz w:val="24"/>
          <w:lang w:val="zh-CN"/>
        </w:rPr>
        <w:t>条规定，应按照廉政建设的有关规定给予处分；情节严重的，给予</w:t>
      </w:r>
      <w:r>
        <w:rPr>
          <w:rFonts w:hint="eastAsia" w:ascii="宋体" w:hAnsi="宋体" w:cs="宋体"/>
          <w:sz w:val="24"/>
        </w:rPr>
        <w:t>承包方</w:t>
      </w:r>
      <w:r>
        <w:rPr>
          <w:rFonts w:hint="eastAsia" w:ascii="宋体" w:hAnsi="宋体" w:cs="宋体"/>
          <w:kern w:val="0"/>
          <w:sz w:val="24"/>
        </w:rPr>
        <w:t xml:space="preserve"> 1</w:t>
      </w:r>
      <w:r>
        <w:rPr>
          <w:rFonts w:hint="eastAsia" w:ascii="宋体" w:hAnsi="宋体" w:cs="宋体"/>
          <w:kern w:val="0"/>
          <w:sz w:val="24"/>
          <w:lang w:val="zh-CN"/>
        </w:rPr>
        <w:t>～</w:t>
      </w:r>
      <w:r>
        <w:rPr>
          <w:rFonts w:hint="eastAsia" w:ascii="宋体" w:hAnsi="宋体" w:cs="宋体"/>
          <w:kern w:val="0"/>
          <w:sz w:val="24"/>
        </w:rPr>
        <w:t xml:space="preserve">3 </w:t>
      </w:r>
      <w:r>
        <w:rPr>
          <w:rFonts w:hint="eastAsia" w:ascii="宋体" w:hAnsi="宋体" w:cs="宋体"/>
          <w:kern w:val="0"/>
          <w:sz w:val="24"/>
          <w:lang w:val="zh-CN"/>
        </w:rPr>
        <w:t>年内不得进入工程建设市场的处罚；涉嫌犯罪的，移交司法机关追究刑事责任；给</w:t>
      </w:r>
      <w:r>
        <w:rPr>
          <w:rFonts w:hint="eastAsia" w:ascii="宋体" w:hAnsi="宋体" w:cs="宋体"/>
          <w:sz w:val="24"/>
        </w:rPr>
        <w:t>发包方</w:t>
      </w:r>
      <w:r>
        <w:rPr>
          <w:rFonts w:hint="eastAsia" w:ascii="宋体" w:hAnsi="宋体" w:cs="宋体"/>
          <w:kern w:val="0"/>
          <w:sz w:val="24"/>
          <w:lang w:val="zh-CN"/>
        </w:rPr>
        <w:t>造成损失的，应予赔偿；</w:t>
      </w:r>
    </w:p>
    <w:p>
      <w:pPr>
        <w:numPr>
          <w:ilvl w:val="0"/>
          <w:numId w:val="5"/>
        </w:numPr>
        <w:spacing w:line="360" w:lineRule="auto"/>
        <w:rPr>
          <w:rFonts w:ascii="宋体" w:hAnsi="宋体" w:cs="宋体"/>
          <w:b/>
          <w:bCs w:val="0"/>
          <w:sz w:val="24"/>
        </w:rPr>
      </w:pPr>
      <w:r>
        <w:rPr>
          <w:rFonts w:hint="eastAsia" w:ascii="宋体" w:hAnsi="宋体" w:cs="宋体"/>
          <w:b/>
          <w:sz w:val="24"/>
        </w:rPr>
        <w:t>各方约定</w:t>
      </w:r>
    </w:p>
    <w:p>
      <w:pPr>
        <w:pStyle w:val="9"/>
        <w:spacing w:line="360" w:lineRule="auto"/>
        <w:ind w:firstLine="420" w:firstLineChars="175"/>
        <w:rPr>
          <w:rFonts w:cs="宋体"/>
          <w:sz w:val="24"/>
        </w:rPr>
      </w:pPr>
      <w:r>
        <w:rPr>
          <w:rFonts w:hint="eastAsia" w:cs="宋体"/>
          <w:kern w:val="0"/>
          <w:sz w:val="24"/>
          <w:lang w:val="zh-CN"/>
        </w:rPr>
        <w:t>本合同由合同各方当事人或其上级部门负责监督执行，并由合同各方当事人或其上级部门相互约请对本合同执行情况进行检查</w:t>
      </w:r>
      <w:r>
        <w:rPr>
          <w:rFonts w:hint="eastAsia" w:cs="宋体"/>
          <w:sz w:val="24"/>
        </w:rPr>
        <w:t>。</w:t>
      </w:r>
    </w:p>
    <w:p>
      <w:pPr>
        <w:spacing w:line="360" w:lineRule="auto"/>
        <w:ind w:firstLine="482" w:firstLineChars="200"/>
        <w:rPr>
          <w:rFonts w:ascii="宋体" w:hAnsi="宋体" w:cs="宋体"/>
          <w:b/>
          <w:bCs w:val="0"/>
          <w:sz w:val="24"/>
        </w:rPr>
      </w:pPr>
      <w:r>
        <w:rPr>
          <w:rFonts w:hint="eastAsia" w:ascii="宋体" w:hAnsi="宋体" w:cs="宋体"/>
          <w:b/>
          <w:sz w:val="24"/>
        </w:rPr>
        <w:t>5  合同法律效力</w:t>
      </w:r>
    </w:p>
    <w:p>
      <w:pPr>
        <w:spacing w:line="360" w:lineRule="auto"/>
        <w:ind w:firstLine="480" w:firstLineChars="200"/>
        <w:rPr>
          <w:rFonts w:ascii="宋体" w:hAnsi="宋体" w:cs="宋体"/>
          <w:sz w:val="24"/>
        </w:rPr>
      </w:pPr>
      <w:r>
        <w:rPr>
          <w:rFonts w:hint="eastAsia" w:ascii="宋体" w:hAnsi="宋体" w:cs="宋体"/>
          <w:sz w:val="24"/>
        </w:rPr>
        <w:t>本合同作为</w:t>
      </w:r>
      <w:r>
        <w:rPr>
          <w:rFonts w:hint="eastAsia" w:ascii="宋体" w:hAnsi="宋体" w:cs="宋体"/>
          <w:b/>
          <w:sz w:val="24"/>
          <w:u w:val="single"/>
        </w:rPr>
        <w:t>********</w:t>
      </w:r>
      <w:r>
        <w:rPr>
          <w:rFonts w:hint="eastAsia" w:ascii="宋体" w:hAnsi="宋体" w:cs="宋体"/>
          <w:b/>
          <w:kern w:val="0"/>
          <w:sz w:val="24"/>
          <w:u w:val="single"/>
        </w:rPr>
        <w:t>全过程造价咨询服务项目合同</w:t>
      </w:r>
      <w:r>
        <w:rPr>
          <w:rFonts w:hint="eastAsia" w:ascii="宋体" w:hAnsi="宋体" w:cs="宋体"/>
          <w:sz w:val="24"/>
        </w:rPr>
        <w:t>的附件，与主合同具有同等的法律效力。</w:t>
      </w:r>
    </w:p>
    <w:p>
      <w:pPr>
        <w:spacing w:line="360" w:lineRule="auto"/>
        <w:ind w:firstLine="472" w:firstLineChars="196"/>
        <w:rPr>
          <w:rFonts w:ascii="宋体" w:hAnsi="宋体" w:cs="宋体"/>
          <w:b/>
          <w:bCs w:val="0"/>
          <w:sz w:val="24"/>
        </w:rPr>
      </w:pPr>
      <w:r>
        <w:rPr>
          <w:rFonts w:hint="eastAsia" w:ascii="宋体" w:hAnsi="宋体" w:cs="宋体"/>
          <w:b/>
          <w:sz w:val="24"/>
        </w:rPr>
        <w:t>6  合同份数</w:t>
      </w:r>
    </w:p>
    <w:p>
      <w:pPr>
        <w:tabs>
          <w:tab w:val="left" w:pos="540"/>
        </w:tabs>
        <w:spacing w:line="360" w:lineRule="auto"/>
        <w:ind w:firstLine="480" w:firstLineChars="200"/>
        <w:rPr>
          <w:rFonts w:ascii="宋体" w:hAnsi="宋体" w:cs="宋体"/>
          <w:sz w:val="24"/>
        </w:rPr>
      </w:pPr>
      <w:r>
        <w:rPr>
          <w:rFonts w:hint="eastAsia" w:ascii="宋体" w:hAnsi="宋体" w:cs="宋体"/>
          <w:sz w:val="24"/>
        </w:rPr>
        <w:t>本协议在各方的法定代表人或其授权代表签字（或盖章）并加盖公章后生效。</w:t>
      </w:r>
      <w:r>
        <w:rPr>
          <w:rFonts w:hint="eastAsia" w:ascii="宋体" w:hAnsi="宋体" w:cs="宋体"/>
          <w:sz w:val="24"/>
          <w:lang w:val="zh-CN"/>
        </w:rPr>
        <w:t>本合同份，合同各方各执</w:t>
      </w:r>
      <w:r>
        <w:rPr>
          <w:rFonts w:hint="eastAsia" w:ascii="宋体" w:hAnsi="宋体" w:cs="宋体"/>
          <w:b/>
          <w:sz w:val="24"/>
          <w:u w:val="single"/>
        </w:rPr>
        <w:t>*</w:t>
      </w:r>
      <w:r>
        <w:rPr>
          <w:rFonts w:hint="eastAsia" w:ascii="宋体" w:hAnsi="宋体" w:cs="宋体"/>
          <w:sz w:val="24"/>
          <w:lang w:val="zh-CN"/>
        </w:rPr>
        <w:t>份。</w:t>
      </w:r>
    </w:p>
    <w:p>
      <w:pPr>
        <w:adjustRightInd w:val="0"/>
        <w:snapToGrid w:val="0"/>
        <w:spacing w:line="360" w:lineRule="auto"/>
        <w:ind w:left="-178" w:leftChars="-85" w:right="-178" w:rightChars="-85" w:firstLine="480" w:firstLineChars="200"/>
        <w:rPr>
          <w:rFonts w:ascii="宋体" w:hAnsi="宋体" w:cs="宋体"/>
          <w:sz w:val="24"/>
        </w:rPr>
      </w:pPr>
      <w:r>
        <w:rPr>
          <w:rFonts w:hint="eastAsia" w:ascii="宋体" w:hAnsi="宋体" w:cs="宋体"/>
          <w:sz w:val="24"/>
        </w:rPr>
        <w:t>（以下无正文）</w:t>
      </w:r>
    </w:p>
    <w:p>
      <w:pPr>
        <w:adjustRightInd w:val="0"/>
        <w:snapToGrid w:val="0"/>
        <w:spacing w:line="360" w:lineRule="auto"/>
        <w:ind w:left="-178" w:leftChars="-85" w:right="-178" w:rightChars="-85" w:firstLine="480" w:firstLineChars="200"/>
        <w:rPr>
          <w:rFonts w:ascii="宋体" w:hAnsi="宋体" w:cs="宋体"/>
          <w:sz w:val="24"/>
        </w:rPr>
      </w:pPr>
    </w:p>
    <w:p>
      <w:pPr>
        <w:adjustRightInd w:val="0"/>
        <w:snapToGrid w:val="0"/>
        <w:spacing w:line="360" w:lineRule="auto"/>
        <w:ind w:left="-178" w:leftChars="-85" w:right="-178" w:rightChars="-85" w:firstLine="480" w:firstLineChars="200"/>
        <w:rPr>
          <w:rFonts w:ascii="宋体" w:hAnsi="宋体" w:cs="宋体"/>
          <w:sz w:val="24"/>
        </w:rPr>
      </w:pPr>
    </w:p>
    <w:p>
      <w:pPr>
        <w:adjustRightInd w:val="0"/>
        <w:snapToGrid w:val="0"/>
        <w:spacing w:line="360" w:lineRule="auto"/>
        <w:ind w:left="-178" w:leftChars="-85" w:right="-178" w:rightChars="-85" w:firstLine="480" w:firstLineChars="200"/>
        <w:rPr>
          <w:rFonts w:ascii="宋体" w:hAnsi="宋体" w:cs="宋体"/>
          <w:sz w:val="24"/>
        </w:rPr>
      </w:pPr>
      <w:r>
        <w:rPr>
          <w:rFonts w:hint="eastAsia" w:hAnsi="宋体" w:cs="仿宋_GB2312"/>
          <w:sz w:val="24"/>
        </w:rPr>
        <w:t xml:space="preserve"> (本页无正文，为</w:t>
      </w:r>
      <w:r>
        <w:rPr>
          <w:rFonts w:hint="eastAsia" w:ascii="宋体" w:hAnsi="宋体" w:cs="宋体"/>
          <w:sz w:val="24"/>
          <w:u w:val="single"/>
        </w:rPr>
        <w:t>广州北站东侧老旧小区成片连片微改造项目全过程造价咨询廉政</w:t>
      </w:r>
      <w:r>
        <w:rPr>
          <w:rFonts w:hint="eastAsia" w:hAnsi="宋体" w:cs="仿宋_GB2312"/>
          <w:sz w:val="24"/>
        </w:rPr>
        <w:t>合同签署页）</w:t>
      </w:r>
    </w:p>
    <w:p>
      <w:pPr>
        <w:adjustRightInd w:val="0"/>
        <w:snapToGrid w:val="0"/>
        <w:spacing w:line="500" w:lineRule="exact"/>
        <w:ind w:right="-178" w:rightChars="-85"/>
        <w:rPr>
          <w:rFonts w:ascii="宋体" w:hAnsi="宋体" w:cs="宋体"/>
          <w:sz w:val="24"/>
        </w:rPr>
      </w:pPr>
    </w:p>
    <w:tbl>
      <w:tblPr>
        <w:tblStyle w:val="21"/>
        <w:tblW w:w="97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6"/>
        <w:gridCol w:w="5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exact"/>
        </w:trPr>
        <w:tc>
          <w:tcPr>
            <w:tcW w:w="4536" w:type="dxa"/>
            <w:tcBorders>
              <w:right w:val="dashed" w:color="000000" w:sz="4" w:space="0"/>
              <w:tl2br w:val="nil"/>
              <w:tr2bl w:val="nil"/>
            </w:tcBorders>
          </w:tcPr>
          <w:p>
            <w:pPr>
              <w:rPr>
                <w:rFonts w:ascii="宋体" w:hAnsi="宋体" w:cs="宋体"/>
                <w:snapToGrid w:val="0"/>
                <w:sz w:val="24"/>
              </w:rPr>
            </w:pPr>
            <w:r>
              <w:rPr>
                <w:rFonts w:hint="eastAsia" w:ascii="宋体" w:hAnsi="宋体" w:cs="宋体"/>
                <w:snapToGrid w:val="0"/>
                <w:sz w:val="24"/>
              </w:rPr>
              <w:t>发包方（甲方）：广州市花都区人民政府新华街道办事处</w:t>
            </w:r>
          </w:p>
          <w:p>
            <w:pPr>
              <w:adjustRightInd w:val="0"/>
              <w:snapToGrid w:val="0"/>
              <w:spacing w:line="360" w:lineRule="auto"/>
              <w:ind w:left="1920" w:hanging="1920" w:hangingChars="800"/>
              <w:rPr>
                <w:rFonts w:ascii="宋体" w:hAnsi="宋体" w:cs="宋体"/>
                <w:snapToGrid w:val="0"/>
                <w:sz w:val="24"/>
              </w:rPr>
            </w:pPr>
          </w:p>
        </w:tc>
        <w:tc>
          <w:tcPr>
            <w:tcW w:w="5200" w:type="dxa"/>
            <w:tcBorders>
              <w:left w:val="dashed" w:color="000000" w:sz="4" w:space="0"/>
              <w:tl2br w:val="nil"/>
              <w:tr2bl w:val="nil"/>
            </w:tcBorders>
          </w:tcPr>
          <w:p>
            <w:pPr>
              <w:adjustRightInd w:val="0"/>
              <w:snapToGrid w:val="0"/>
              <w:spacing w:line="360" w:lineRule="auto"/>
              <w:rPr>
                <w:rFonts w:ascii="宋体" w:hAnsi="宋体" w:cs="宋体"/>
                <w:b/>
                <w:sz w:val="24"/>
                <w:u w:val="single"/>
              </w:rPr>
            </w:pPr>
            <w:r>
              <w:rPr>
                <w:rFonts w:hint="eastAsia" w:ascii="宋体" w:hAnsi="宋体" w:cs="宋体"/>
                <w:snapToGrid w:val="0"/>
                <w:sz w:val="24"/>
              </w:rPr>
              <w:t>承包方（乙方）：</w:t>
            </w:r>
          </w:p>
          <w:p>
            <w:pPr>
              <w:adjustRightInd w:val="0"/>
              <w:snapToGrid w:val="0"/>
              <w:spacing w:line="360" w:lineRule="auto"/>
              <w:ind w:firstLine="1928" w:firstLineChars="800"/>
              <w:rPr>
                <w:rFonts w:ascii="宋体" w:hAnsi="宋体" w:cs="宋体"/>
                <w:b/>
                <w:bCs w:val="0"/>
                <w:snapToGrid w:val="0"/>
                <w:sz w:val="24"/>
              </w:rPr>
            </w:pPr>
          </w:p>
          <w:p>
            <w:pPr>
              <w:adjustRightInd w:val="0"/>
              <w:snapToGrid w:val="0"/>
              <w:spacing w:line="360" w:lineRule="auto"/>
              <w:ind w:firstLine="2400" w:firstLineChars="1000"/>
              <w:rPr>
                <w:rFonts w:ascii="宋体" w:hAnsi="宋体" w:cs="宋体"/>
                <w:snapToGrid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Borders>
              <w:right w:val="dashed" w:color="000000" w:sz="4" w:space="0"/>
              <w:tl2br w:val="nil"/>
              <w:tr2bl w:val="nil"/>
            </w:tcBorders>
          </w:tcPr>
          <w:p>
            <w:pPr>
              <w:adjustRightInd w:val="0"/>
              <w:snapToGrid w:val="0"/>
              <w:spacing w:line="560" w:lineRule="exact"/>
              <w:rPr>
                <w:rFonts w:ascii="宋体" w:hAnsi="宋体" w:cs="宋体"/>
                <w:snapToGrid w:val="0"/>
                <w:sz w:val="24"/>
              </w:rPr>
            </w:pPr>
            <w:r>
              <w:rPr>
                <w:rFonts w:hint="eastAsia" w:ascii="宋体" w:hAnsi="宋体" w:cs="宋体"/>
                <w:snapToGrid w:val="0"/>
                <w:sz w:val="24"/>
              </w:rPr>
              <w:t>法定代表人：</w:t>
            </w:r>
          </w:p>
        </w:tc>
        <w:tc>
          <w:tcPr>
            <w:tcW w:w="5200" w:type="dxa"/>
            <w:tcBorders>
              <w:left w:val="dashed" w:color="000000" w:sz="4" w:space="0"/>
              <w:tl2br w:val="nil"/>
              <w:tr2bl w:val="nil"/>
            </w:tcBorders>
          </w:tcPr>
          <w:p>
            <w:pPr>
              <w:adjustRightInd w:val="0"/>
              <w:snapToGrid w:val="0"/>
              <w:spacing w:line="560" w:lineRule="exact"/>
              <w:rPr>
                <w:rFonts w:ascii="宋体" w:hAnsi="宋体" w:cs="宋体"/>
                <w:snapToGrid w:val="0"/>
                <w:sz w:val="24"/>
              </w:rPr>
            </w:pPr>
            <w:r>
              <w:rPr>
                <w:rFonts w:hint="eastAsia" w:ascii="宋体" w:hAnsi="宋体" w:cs="宋体"/>
                <w:snapToGrid w:val="0"/>
                <w:sz w:val="24"/>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Borders>
              <w:right w:val="dashed" w:color="000000" w:sz="4" w:space="0"/>
              <w:tl2br w:val="nil"/>
              <w:tr2bl w:val="nil"/>
            </w:tcBorders>
          </w:tcPr>
          <w:p>
            <w:pPr>
              <w:adjustRightInd w:val="0"/>
              <w:snapToGrid w:val="0"/>
              <w:spacing w:line="560" w:lineRule="exact"/>
              <w:rPr>
                <w:rFonts w:ascii="宋体" w:hAnsi="宋体" w:cs="宋体"/>
                <w:snapToGrid w:val="0"/>
                <w:sz w:val="24"/>
              </w:rPr>
            </w:pPr>
            <w:r>
              <w:rPr>
                <w:rFonts w:hint="eastAsia" w:ascii="宋体" w:hAnsi="宋体" w:cs="宋体"/>
                <w:sz w:val="24"/>
              </w:rPr>
              <w:t>或签约代表人：</w:t>
            </w:r>
          </w:p>
        </w:tc>
        <w:tc>
          <w:tcPr>
            <w:tcW w:w="5200" w:type="dxa"/>
            <w:tcBorders>
              <w:left w:val="dashed" w:color="000000" w:sz="4" w:space="0"/>
              <w:tl2br w:val="nil"/>
              <w:tr2bl w:val="nil"/>
            </w:tcBorders>
          </w:tcPr>
          <w:p>
            <w:pPr>
              <w:adjustRightInd w:val="0"/>
              <w:snapToGrid w:val="0"/>
              <w:spacing w:line="560" w:lineRule="exact"/>
              <w:rPr>
                <w:rFonts w:ascii="宋体" w:hAnsi="宋体" w:cs="宋体"/>
                <w:snapToGrid w:val="0"/>
                <w:sz w:val="24"/>
              </w:rPr>
            </w:pPr>
            <w:r>
              <w:rPr>
                <w:rFonts w:hint="eastAsia" w:ascii="宋体" w:hAnsi="宋体" w:cs="宋体"/>
                <w:sz w:val="24"/>
              </w:rPr>
              <w:t>或签约代表人：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536" w:type="dxa"/>
            <w:tcBorders>
              <w:bottom w:val="dashed" w:color="000000" w:sz="4" w:space="0"/>
              <w:right w:val="dashed" w:color="000000" w:sz="4" w:space="0"/>
              <w:tl2br w:val="nil"/>
              <w:tr2bl w:val="nil"/>
            </w:tcBorders>
          </w:tcPr>
          <w:p>
            <w:pPr>
              <w:adjustRightInd w:val="0"/>
              <w:snapToGrid w:val="0"/>
              <w:spacing w:line="560" w:lineRule="exact"/>
              <w:rPr>
                <w:rFonts w:ascii="宋体" w:hAnsi="宋体" w:cs="宋体"/>
                <w:snapToGrid w:val="0"/>
                <w:sz w:val="24"/>
              </w:rPr>
            </w:pPr>
            <w:r>
              <w:rPr>
                <w:rFonts w:hint="eastAsia" w:ascii="宋体" w:hAnsi="宋体" w:cs="宋体"/>
                <w:snapToGrid w:val="0"/>
                <w:sz w:val="24"/>
              </w:rPr>
              <w:t xml:space="preserve">年  月   日   </w:t>
            </w:r>
          </w:p>
        </w:tc>
        <w:tc>
          <w:tcPr>
            <w:tcW w:w="5200" w:type="dxa"/>
            <w:tcBorders>
              <w:left w:val="dashed" w:color="000000" w:sz="4" w:space="0"/>
              <w:bottom w:val="dashed" w:color="000000" w:sz="4" w:space="0"/>
              <w:tl2br w:val="nil"/>
              <w:tr2bl w:val="nil"/>
            </w:tcBorders>
          </w:tcPr>
          <w:p>
            <w:pPr>
              <w:adjustRightInd w:val="0"/>
              <w:snapToGrid w:val="0"/>
              <w:spacing w:line="560" w:lineRule="exact"/>
              <w:rPr>
                <w:rFonts w:ascii="宋体" w:hAnsi="宋体" w:cs="宋体"/>
                <w:snapToGrid w:val="0"/>
                <w:sz w:val="24"/>
              </w:rPr>
            </w:pPr>
            <w:r>
              <w:rPr>
                <w:rFonts w:hint="eastAsia" w:ascii="宋体" w:hAnsi="宋体" w:cs="宋体"/>
                <w:snapToGrid w:val="0"/>
                <w:sz w:val="24"/>
              </w:rPr>
              <w:t>年   月  日</w:t>
            </w:r>
          </w:p>
        </w:tc>
      </w:tr>
    </w:tbl>
    <w:p>
      <w:pPr>
        <w:rPr>
          <w:rFonts w:ascii="宋体" w:hAnsi="宋体" w:cs="宋体"/>
          <w:b/>
          <w:sz w:val="24"/>
        </w:rPr>
      </w:pPr>
    </w:p>
    <w:p>
      <w:pPr>
        <w:pStyle w:val="32"/>
        <w:spacing w:line="395" w:lineRule="exact"/>
        <w:ind w:firstLine="0"/>
        <w:rPr>
          <w:bCs w:val="0"/>
          <w:color w:val="000000"/>
          <w:sz w:val="21"/>
          <w:szCs w:val="21"/>
        </w:rPr>
      </w:pPr>
    </w:p>
    <w:p>
      <w:pPr>
        <w:pStyle w:val="32"/>
        <w:spacing w:line="395" w:lineRule="exact"/>
        <w:ind w:firstLine="0"/>
        <w:rPr>
          <w:bCs w:val="0"/>
          <w:color w:val="000000"/>
          <w:sz w:val="21"/>
          <w:szCs w:val="21"/>
        </w:rPr>
      </w:pPr>
    </w:p>
    <w:p>
      <w:pPr>
        <w:pStyle w:val="32"/>
        <w:spacing w:line="395" w:lineRule="exact"/>
        <w:ind w:firstLine="0"/>
        <w:rPr>
          <w:bCs w:val="0"/>
          <w:color w:val="000000"/>
          <w:sz w:val="21"/>
          <w:szCs w:val="21"/>
        </w:rPr>
      </w:pPr>
    </w:p>
    <w:p>
      <w:pPr>
        <w:pStyle w:val="32"/>
        <w:spacing w:line="395" w:lineRule="exact"/>
        <w:ind w:firstLine="0"/>
        <w:rPr>
          <w:bCs w:val="0"/>
          <w:color w:val="000000"/>
          <w:sz w:val="21"/>
          <w:szCs w:val="21"/>
        </w:rPr>
      </w:pPr>
    </w:p>
    <w:p>
      <w:pPr>
        <w:pStyle w:val="32"/>
        <w:spacing w:line="395" w:lineRule="exact"/>
        <w:ind w:firstLine="0"/>
        <w:rPr>
          <w:bCs w:val="0"/>
          <w:color w:val="000000"/>
          <w:sz w:val="21"/>
          <w:szCs w:val="21"/>
        </w:rPr>
      </w:pPr>
    </w:p>
    <w:p>
      <w:pPr>
        <w:pStyle w:val="32"/>
        <w:spacing w:line="395" w:lineRule="exact"/>
        <w:ind w:firstLine="0"/>
        <w:rPr>
          <w:bCs w:val="0"/>
          <w:color w:val="000000"/>
          <w:sz w:val="21"/>
          <w:szCs w:val="21"/>
        </w:rPr>
      </w:pPr>
    </w:p>
    <w:p>
      <w:pPr>
        <w:pStyle w:val="32"/>
        <w:spacing w:line="395" w:lineRule="exact"/>
        <w:ind w:firstLine="0"/>
        <w:rPr>
          <w:bCs w:val="0"/>
          <w:color w:val="000000"/>
          <w:sz w:val="21"/>
          <w:szCs w:val="21"/>
        </w:rPr>
      </w:pPr>
    </w:p>
    <w:p>
      <w:pPr>
        <w:pStyle w:val="32"/>
        <w:spacing w:line="395" w:lineRule="exact"/>
        <w:ind w:firstLine="0"/>
        <w:rPr>
          <w:bCs w:val="0"/>
          <w:color w:val="000000"/>
          <w:sz w:val="21"/>
          <w:szCs w:val="21"/>
        </w:rPr>
      </w:pPr>
    </w:p>
    <w:p>
      <w:pPr>
        <w:pStyle w:val="32"/>
        <w:spacing w:line="395" w:lineRule="exact"/>
        <w:ind w:firstLine="0"/>
        <w:rPr>
          <w:bCs w:val="0"/>
          <w:color w:val="000000"/>
          <w:sz w:val="21"/>
          <w:szCs w:val="21"/>
        </w:rPr>
      </w:pPr>
    </w:p>
    <w:p>
      <w:pPr>
        <w:pStyle w:val="32"/>
        <w:spacing w:line="395" w:lineRule="exact"/>
        <w:ind w:firstLine="0"/>
        <w:rPr>
          <w:bCs w:val="0"/>
          <w:color w:val="000000"/>
          <w:sz w:val="21"/>
          <w:szCs w:val="21"/>
        </w:rPr>
      </w:pPr>
    </w:p>
    <w:p>
      <w:pPr>
        <w:pStyle w:val="32"/>
        <w:spacing w:line="395" w:lineRule="exact"/>
        <w:ind w:firstLine="0"/>
        <w:rPr>
          <w:bCs w:val="0"/>
          <w:color w:val="000000"/>
          <w:sz w:val="21"/>
          <w:szCs w:val="21"/>
        </w:rPr>
      </w:pPr>
    </w:p>
    <w:p>
      <w:pPr>
        <w:pStyle w:val="32"/>
        <w:spacing w:line="395" w:lineRule="exact"/>
        <w:ind w:firstLine="0"/>
        <w:rPr>
          <w:bCs w:val="0"/>
          <w:color w:val="000000"/>
          <w:sz w:val="21"/>
          <w:szCs w:val="21"/>
        </w:rPr>
      </w:pPr>
    </w:p>
    <w:p>
      <w:pPr>
        <w:pStyle w:val="32"/>
        <w:spacing w:line="395" w:lineRule="exact"/>
        <w:ind w:firstLine="0"/>
        <w:rPr>
          <w:bCs w:val="0"/>
          <w:color w:val="000000"/>
          <w:sz w:val="21"/>
          <w:szCs w:val="21"/>
        </w:rPr>
      </w:pPr>
    </w:p>
    <w:p>
      <w:pPr>
        <w:pStyle w:val="32"/>
        <w:spacing w:line="395" w:lineRule="exact"/>
        <w:ind w:firstLine="0"/>
        <w:rPr>
          <w:bCs w:val="0"/>
          <w:color w:val="000000"/>
          <w:sz w:val="21"/>
          <w:szCs w:val="21"/>
        </w:rPr>
      </w:pPr>
    </w:p>
    <w:p>
      <w:pPr>
        <w:pStyle w:val="32"/>
        <w:spacing w:line="395" w:lineRule="exact"/>
        <w:ind w:firstLine="0"/>
        <w:rPr>
          <w:bCs w:val="0"/>
          <w:color w:val="000000"/>
          <w:sz w:val="21"/>
          <w:szCs w:val="21"/>
        </w:rPr>
      </w:pPr>
    </w:p>
    <w:p>
      <w:pPr>
        <w:pStyle w:val="32"/>
        <w:spacing w:line="395" w:lineRule="exact"/>
        <w:ind w:firstLine="0"/>
        <w:rPr>
          <w:bCs w:val="0"/>
          <w:color w:val="000000"/>
          <w:sz w:val="21"/>
          <w:szCs w:val="21"/>
        </w:rPr>
      </w:pPr>
    </w:p>
    <w:p>
      <w:pPr>
        <w:pStyle w:val="32"/>
        <w:spacing w:line="395" w:lineRule="exact"/>
        <w:ind w:firstLine="0"/>
        <w:rPr>
          <w:bCs w:val="0"/>
          <w:color w:val="000000"/>
          <w:sz w:val="21"/>
          <w:szCs w:val="21"/>
        </w:rPr>
      </w:pPr>
    </w:p>
    <w:p>
      <w:pPr>
        <w:pStyle w:val="32"/>
        <w:spacing w:line="395" w:lineRule="exact"/>
        <w:ind w:firstLine="0"/>
        <w:rPr>
          <w:bCs w:val="0"/>
          <w:color w:val="000000"/>
          <w:sz w:val="21"/>
          <w:szCs w:val="21"/>
        </w:rPr>
      </w:pPr>
    </w:p>
    <w:p>
      <w:pPr>
        <w:pStyle w:val="32"/>
        <w:spacing w:line="395" w:lineRule="exact"/>
        <w:ind w:firstLine="0"/>
        <w:rPr>
          <w:bCs w:val="0"/>
          <w:color w:val="000000"/>
          <w:sz w:val="21"/>
          <w:szCs w:val="21"/>
        </w:rPr>
      </w:pPr>
    </w:p>
    <w:p>
      <w:pPr>
        <w:pStyle w:val="32"/>
        <w:spacing w:line="395" w:lineRule="exact"/>
        <w:ind w:firstLine="0"/>
        <w:rPr>
          <w:bCs w:val="0"/>
          <w:color w:val="000000"/>
          <w:sz w:val="21"/>
          <w:szCs w:val="21"/>
        </w:rPr>
      </w:pPr>
    </w:p>
    <w:p>
      <w:pPr>
        <w:pStyle w:val="32"/>
        <w:spacing w:line="395" w:lineRule="exact"/>
        <w:ind w:firstLine="0"/>
        <w:rPr>
          <w:bCs w:val="0"/>
          <w:color w:val="000000"/>
          <w:sz w:val="21"/>
          <w:szCs w:val="21"/>
        </w:rPr>
      </w:pPr>
    </w:p>
    <w:p>
      <w:pPr>
        <w:pStyle w:val="32"/>
        <w:spacing w:line="395" w:lineRule="exact"/>
        <w:ind w:firstLine="0"/>
        <w:rPr>
          <w:bCs w:val="0"/>
          <w:color w:val="000000"/>
          <w:sz w:val="21"/>
          <w:szCs w:val="21"/>
        </w:rPr>
      </w:pPr>
    </w:p>
    <w:p>
      <w:pPr>
        <w:pStyle w:val="32"/>
        <w:spacing w:line="395" w:lineRule="exact"/>
        <w:ind w:firstLine="0"/>
        <w:rPr>
          <w:bCs w:val="0"/>
          <w:color w:val="000000"/>
          <w:sz w:val="21"/>
          <w:szCs w:val="21"/>
        </w:rPr>
      </w:pPr>
    </w:p>
    <w:p>
      <w:pPr>
        <w:pStyle w:val="32"/>
        <w:spacing w:line="395" w:lineRule="exact"/>
        <w:ind w:firstLine="0"/>
        <w:rPr>
          <w:bCs w:val="0"/>
          <w:color w:val="000000"/>
          <w:sz w:val="21"/>
          <w:szCs w:val="21"/>
        </w:rPr>
      </w:pPr>
    </w:p>
    <w:p>
      <w:pPr>
        <w:pStyle w:val="32"/>
        <w:spacing w:line="395" w:lineRule="exact"/>
        <w:ind w:firstLine="0"/>
        <w:rPr>
          <w:bCs w:val="0"/>
          <w:color w:val="000000"/>
          <w:sz w:val="21"/>
          <w:szCs w:val="21"/>
        </w:rPr>
      </w:pPr>
    </w:p>
    <w:p>
      <w:pPr>
        <w:pStyle w:val="32"/>
        <w:spacing w:line="395" w:lineRule="exact"/>
        <w:ind w:firstLine="0"/>
        <w:rPr>
          <w:bCs w:val="0"/>
          <w:color w:val="000000"/>
          <w:sz w:val="21"/>
          <w:szCs w:val="21"/>
        </w:rPr>
      </w:pPr>
    </w:p>
    <w:p>
      <w:pPr>
        <w:pStyle w:val="32"/>
        <w:spacing w:line="395" w:lineRule="exact"/>
        <w:ind w:firstLine="0"/>
        <w:rPr>
          <w:rFonts w:ascii="仿宋" w:hAnsi="仿宋" w:eastAsia="仿宋" w:cs="仿宋"/>
          <w:bCs w:val="0"/>
          <w:color w:val="000000"/>
          <w:sz w:val="24"/>
          <w:szCs w:val="24"/>
        </w:rPr>
      </w:pPr>
      <w:r>
        <w:rPr>
          <w:rFonts w:hint="eastAsia"/>
          <w:bCs w:val="0"/>
          <w:color w:val="000000"/>
          <w:sz w:val="24"/>
          <w:szCs w:val="24"/>
        </w:rPr>
        <w:t>附件</w:t>
      </w:r>
      <w:r>
        <w:rPr>
          <w:rFonts w:hint="eastAsia"/>
          <w:bCs w:val="0"/>
          <w:color w:val="000000"/>
          <w:sz w:val="24"/>
          <w:szCs w:val="24"/>
          <w:lang w:val="en-US" w:eastAsia="zh-CN"/>
        </w:rPr>
        <w:t>5</w:t>
      </w:r>
      <w:r>
        <w:rPr>
          <w:rFonts w:hint="eastAsia"/>
          <w:bCs w:val="0"/>
          <w:color w:val="000000"/>
          <w:sz w:val="24"/>
          <w:szCs w:val="24"/>
        </w:rPr>
        <w:t>：</w:t>
      </w:r>
    </w:p>
    <w:p>
      <w:pPr>
        <w:pStyle w:val="33"/>
        <w:ind w:right="-88"/>
        <w:rPr>
          <w:rFonts w:hAnsi="宋体" w:eastAsia="宋体" w:cs="宋体"/>
          <w:color w:val="000000"/>
          <w:sz w:val="24"/>
          <w:szCs w:val="24"/>
        </w:rPr>
      </w:pPr>
      <w:bookmarkStart w:id="75" w:name="bookmark2"/>
      <w:bookmarkStart w:id="76" w:name="bookmark1"/>
      <w:bookmarkStart w:id="77" w:name="bookmark0"/>
      <w:r>
        <w:rPr>
          <w:rFonts w:hint="eastAsia" w:hAnsi="宋体" w:eastAsia="宋体"/>
          <w:b/>
          <w:color w:val="000000"/>
          <w:kern w:val="2"/>
          <w:sz w:val="30"/>
          <w:szCs w:val="30"/>
        </w:rPr>
        <w:t>结算工作协议书</w:t>
      </w:r>
      <w:bookmarkEnd w:id="75"/>
      <w:bookmarkEnd w:id="76"/>
      <w:bookmarkEnd w:id="77"/>
    </w:p>
    <w:p>
      <w:pPr>
        <w:pStyle w:val="32"/>
        <w:spacing w:line="360" w:lineRule="auto"/>
        <w:ind w:firstLine="0"/>
        <w:rPr>
          <w:sz w:val="24"/>
          <w:szCs w:val="24"/>
          <w:u w:val="single"/>
          <w:lang w:eastAsia="zh-CN"/>
        </w:rPr>
      </w:pPr>
      <w:r>
        <w:rPr>
          <w:rFonts w:hint="eastAsia"/>
          <w:color w:val="000000"/>
          <w:sz w:val="24"/>
          <w:szCs w:val="24"/>
          <w:lang w:eastAsia="zh-CN"/>
        </w:rPr>
        <w:t>甲方</w:t>
      </w:r>
      <w:r>
        <w:rPr>
          <w:rFonts w:hint="eastAsia"/>
          <w:color w:val="000000"/>
          <w:sz w:val="24"/>
          <w:szCs w:val="24"/>
        </w:rPr>
        <w:t>：广州市花都区人民政府新华街道办事处</w:t>
      </w:r>
    </w:p>
    <w:p>
      <w:pPr>
        <w:pStyle w:val="32"/>
        <w:spacing w:line="360" w:lineRule="auto"/>
        <w:ind w:firstLine="0"/>
        <w:rPr>
          <w:sz w:val="24"/>
          <w:szCs w:val="24"/>
        </w:rPr>
      </w:pPr>
      <w:r>
        <w:rPr>
          <w:rFonts w:hint="eastAsia"/>
          <w:color w:val="000000"/>
          <w:sz w:val="24"/>
          <w:szCs w:val="24"/>
          <w:lang w:eastAsia="zh-CN"/>
        </w:rPr>
        <w:t>乙方</w:t>
      </w:r>
      <w:r>
        <w:rPr>
          <w:rFonts w:hint="eastAsia"/>
          <w:color w:val="000000"/>
          <w:sz w:val="24"/>
          <w:szCs w:val="24"/>
        </w:rPr>
        <w:t>：</w:t>
      </w:r>
    </w:p>
    <w:p>
      <w:pPr>
        <w:pStyle w:val="32"/>
        <w:spacing w:line="360" w:lineRule="auto"/>
        <w:rPr>
          <w:color w:val="000000"/>
          <w:sz w:val="24"/>
          <w:szCs w:val="24"/>
        </w:rPr>
      </w:pPr>
    </w:p>
    <w:p>
      <w:pPr>
        <w:pStyle w:val="32"/>
        <w:spacing w:line="360" w:lineRule="auto"/>
        <w:rPr>
          <w:sz w:val="24"/>
          <w:szCs w:val="24"/>
        </w:rPr>
      </w:pPr>
      <w:r>
        <w:rPr>
          <w:rFonts w:hint="eastAsia"/>
          <w:color w:val="000000"/>
          <w:sz w:val="24"/>
          <w:szCs w:val="24"/>
        </w:rPr>
        <w:t>为及时做好</w:t>
      </w:r>
      <w:r>
        <w:rPr>
          <w:rFonts w:hint="eastAsia"/>
          <w:sz w:val="24"/>
          <w:szCs w:val="24"/>
          <w:u w:val="single"/>
          <w:lang w:val="en-US" w:eastAsia="zh-CN"/>
        </w:rPr>
        <w:t>广州北站东侧老旧小区成片连片微改造项目全过程造价咨询</w:t>
      </w:r>
      <w:r>
        <w:rPr>
          <w:rFonts w:hint="eastAsia"/>
          <w:color w:val="000000"/>
          <w:sz w:val="24"/>
          <w:szCs w:val="24"/>
        </w:rPr>
        <w:t>结算工作，</w:t>
      </w:r>
      <w:r>
        <w:rPr>
          <w:rFonts w:hint="eastAsia"/>
          <w:color w:val="000000"/>
          <w:sz w:val="24"/>
          <w:szCs w:val="24"/>
          <w:lang w:eastAsia="zh-CN"/>
        </w:rPr>
        <w:t>甲方</w:t>
      </w:r>
      <w:r>
        <w:rPr>
          <w:rFonts w:hint="eastAsia"/>
          <w:color w:val="000000"/>
          <w:sz w:val="24"/>
          <w:szCs w:val="24"/>
        </w:rPr>
        <w:t>、</w:t>
      </w:r>
      <w:r>
        <w:rPr>
          <w:rFonts w:hint="eastAsia"/>
          <w:color w:val="000000"/>
          <w:sz w:val="24"/>
          <w:szCs w:val="24"/>
          <w:lang w:eastAsia="zh-CN"/>
        </w:rPr>
        <w:t>乙方</w:t>
      </w:r>
      <w:r>
        <w:rPr>
          <w:rFonts w:hint="eastAsia"/>
          <w:color w:val="000000"/>
          <w:sz w:val="24"/>
          <w:szCs w:val="24"/>
        </w:rPr>
        <w:t>双方经协商一致，签订本工作协议书，资双方共同遵照执行。</w:t>
      </w:r>
    </w:p>
    <w:p>
      <w:pPr>
        <w:pStyle w:val="32"/>
        <w:tabs>
          <w:tab w:val="left" w:pos="784"/>
        </w:tabs>
        <w:spacing w:line="360" w:lineRule="auto"/>
        <w:rPr>
          <w:sz w:val="24"/>
          <w:szCs w:val="24"/>
        </w:rPr>
      </w:pPr>
      <w:bookmarkStart w:id="78" w:name="bookmark3"/>
      <w:r>
        <w:rPr>
          <w:rFonts w:hint="eastAsia"/>
          <w:color w:val="000000"/>
          <w:sz w:val="24"/>
          <w:szCs w:val="24"/>
        </w:rPr>
        <w:t>1</w:t>
      </w:r>
      <w:bookmarkEnd w:id="78"/>
      <w:r>
        <w:rPr>
          <w:rFonts w:hint="eastAsia"/>
          <w:color w:val="000000"/>
          <w:sz w:val="24"/>
          <w:szCs w:val="24"/>
        </w:rPr>
        <w:t>、</w:t>
      </w:r>
      <w:r>
        <w:rPr>
          <w:rFonts w:hint="eastAsia"/>
          <w:color w:val="000000"/>
          <w:sz w:val="24"/>
          <w:szCs w:val="24"/>
        </w:rPr>
        <w:tab/>
      </w:r>
      <w:r>
        <w:rPr>
          <w:rFonts w:hint="eastAsia"/>
          <w:sz w:val="24"/>
          <w:szCs w:val="24"/>
          <w:u w:val="single"/>
          <w:lang w:val="en-US" w:eastAsia="zh-CN"/>
        </w:rPr>
        <w:t>全过程造价咨询</w:t>
      </w:r>
      <w:r>
        <w:rPr>
          <w:rFonts w:hint="eastAsia"/>
          <w:color w:val="000000"/>
          <w:sz w:val="24"/>
          <w:szCs w:val="24"/>
        </w:rPr>
        <w:t>结算报告的提交及审定</w:t>
      </w:r>
    </w:p>
    <w:p>
      <w:pPr>
        <w:pStyle w:val="32"/>
        <w:numPr>
          <w:ilvl w:val="0"/>
          <w:numId w:val="6"/>
        </w:numPr>
        <w:tabs>
          <w:tab w:val="left" w:pos="956"/>
        </w:tabs>
        <w:spacing w:line="360" w:lineRule="auto"/>
        <w:ind w:firstLine="500"/>
        <w:rPr>
          <w:sz w:val="24"/>
          <w:szCs w:val="24"/>
        </w:rPr>
      </w:pPr>
      <w:bookmarkStart w:id="79" w:name="bookmark4"/>
      <w:bookmarkEnd w:id="79"/>
      <w:r>
        <w:rPr>
          <w:rFonts w:hint="eastAsia"/>
          <w:color w:val="000000"/>
          <w:sz w:val="24"/>
          <w:szCs w:val="24"/>
          <w:lang w:eastAsia="zh-CN"/>
        </w:rPr>
        <w:t>乙方</w:t>
      </w:r>
      <w:r>
        <w:rPr>
          <w:rFonts w:hint="eastAsia"/>
          <w:color w:val="000000"/>
          <w:sz w:val="24"/>
          <w:szCs w:val="24"/>
        </w:rPr>
        <w:t>应按</w:t>
      </w:r>
      <w:r>
        <w:rPr>
          <w:rFonts w:hint="eastAsia"/>
          <w:color w:val="000000"/>
          <w:sz w:val="24"/>
          <w:szCs w:val="24"/>
          <w:lang w:eastAsia="zh-CN"/>
        </w:rPr>
        <w:t>甲方</w:t>
      </w:r>
      <w:r>
        <w:rPr>
          <w:rFonts w:hint="eastAsia"/>
          <w:color w:val="000000"/>
          <w:sz w:val="24"/>
          <w:szCs w:val="24"/>
        </w:rPr>
        <w:t>的要求和本项目</w:t>
      </w:r>
      <w:r>
        <w:rPr>
          <w:rFonts w:hint="eastAsia"/>
          <w:sz w:val="24"/>
          <w:szCs w:val="24"/>
          <w:u w:val="single"/>
          <w:lang w:val="en-US" w:eastAsia="zh-CN"/>
        </w:rPr>
        <w:t>全过程造价咨询</w:t>
      </w:r>
      <w:r>
        <w:rPr>
          <w:rFonts w:hint="eastAsia"/>
          <w:color w:val="000000"/>
          <w:sz w:val="24"/>
          <w:szCs w:val="24"/>
        </w:rPr>
        <w:t>结算工作的需要派出不少于名工程结算人员，在</w:t>
      </w:r>
      <w:r>
        <w:rPr>
          <w:rFonts w:hint="eastAsia"/>
          <w:color w:val="000000"/>
          <w:sz w:val="24"/>
          <w:szCs w:val="24"/>
          <w:lang w:val="en-US" w:eastAsia="zh-CN"/>
        </w:rPr>
        <w:t>甲方书面通知要求期限内</w:t>
      </w:r>
      <w:r>
        <w:rPr>
          <w:rFonts w:hint="eastAsia"/>
          <w:color w:val="000000"/>
          <w:sz w:val="24"/>
          <w:szCs w:val="24"/>
        </w:rPr>
        <w:t>必须保证在工地现场办公，专门从事</w:t>
      </w:r>
      <w:r>
        <w:rPr>
          <w:rFonts w:hint="eastAsia"/>
          <w:sz w:val="24"/>
          <w:szCs w:val="24"/>
          <w:u w:val="single"/>
          <w:lang w:val="en-US" w:eastAsia="zh-CN"/>
        </w:rPr>
        <w:t>全过程造价咨询</w:t>
      </w:r>
      <w:r>
        <w:rPr>
          <w:rFonts w:hint="eastAsia"/>
          <w:color w:val="000000"/>
          <w:sz w:val="24"/>
          <w:szCs w:val="24"/>
        </w:rPr>
        <w:t>竣工档案编制、工程结算工作。</w:t>
      </w:r>
    </w:p>
    <w:p>
      <w:pPr>
        <w:pStyle w:val="32"/>
        <w:numPr>
          <w:ilvl w:val="0"/>
          <w:numId w:val="6"/>
        </w:numPr>
        <w:tabs>
          <w:tab w:val="left" w:pos="961"/>
        </w:tabs>
        <w:spacing w:line="360" w:lineRule="auto"/>
        <w:ind w:firstLine="500"/>
        <w:rPr>
          <w:sz w:val="24"/>
          <w:szCs w:val="24"/>
        </w:rPr>
      </w:pPr>
      <w:bookmarkStart w:id="80" w:name="bookmark5"/>
      <w:bookmarkEnd w:id="80"/>
      <w:r>
        <w:rPr>
          <w:rFonts w:hint="eastAsia"/>
          <w:color w:val="000000"/>
          <w:sz w:val="24"/>
          <w:szCs w:val="24"/>
          <w:lang w:eastAsia="zh-CN"/>
        </w:rPr>
        <w:t>乙方</w:t>
      </w:r>
      <w:r>
        <w:rPr>
          <w:rFonts w:hint="eastAsia"/>
          <w:color w:val="000000"/>
          <w:sz w:val="24"/>
          <w:szCs w:val="24"/>
        </w:rPr>
        <w:t>应按要求编制</w:t>
      </w:r>
      <w:r>
        <w:rPr>
          <w:rFonts w:hint="eastAsia"/>
          <w:sz w:val="24"/>
          <w:szCs w:val="24"/>
          <w:u w:val="single"/>
          <w:lang w:val="en-US" w:eastAsia="zh-CN"/>
        </w:rPr>
        <w:t>全过程造价咨询</w:t>
      </w:r>
      <w:r>
        <w:rPr>
          <w:rFonts w:hint="eastAsia"/>
          <w:color w:val="000000"/>
          <w:sz w:val="24"/>
          <w:szCs w:val="24"/>
        </w:rPr>
        <w:t>结算基础资料，并在</w:t>
      </w:r>
      <w:r>
        <w:rPr>
          <w:rFonts w:hint="eastAsia"/>
          <w:color w:val="000000"/>
          <w:sz w:val="24"/>
          <w:szCs w:val="24"/>
          <w:lang w:val="en-US" w:eastAsia="zh-CN"/>
        </w:rPr>
        <w:t>甲方书面通知要求期限内</w:t>
      </w:r>
      <w:r>
        <w:rPr>
          <w:rFonts w:hint="eastAsia"/>
          <w:color w:val="000000"/>
          <w:sz w:val="24"/>
          <w:szCs w:val="24"/>
        </w:rPr>
        <w:t>向</w:t>
      </w:r>
      <w:r>
        <w:rPr>
          <w:rFonts w:hint="eastAsia"/>
          <w:color w:val="000000"/>
          <w:sz w:val="24"/>
          <w:szCs w:val="24"/>
          <w:lang w:eastAsia="zh-CN"/>
        </w:rPr>
        <w:t>甲方</w:t>
      </w:r>
      <w:r>
        <w:rPr>
          <w:rFonts w:hint="eastAsia"/>
          <w:color w:val="000000"/>
          <w:sz w:val="24"/>
          <w:szCs w:val="24"/>
        </w:rPr>
        <w:t>提交符合要求的全部竣工结算资料。如因</w:t>
      </w:r>
      <w:r>
        <w:rPr>
          <w:rFonts w:hint="eastAsia"/>
          <w:color w:val="000000"/>
          <w:sz w:val="24"/>
          <w:szCs w:val="24"/>
          <w:lang w:eastAsia="zh-CN"/>
        </w:rPr>
        <w:t>乙方</w:t>
      </w:r>
      <w:r>
        <w:rPr>
          <w:rFonts w:hint="eastAsia"/>
          <w:color w:val="000000"/>
          <w:sz w:val="24"/>
          <w:szCs w:val="24"/>
        </w:rPr>
        <w:t>原因，无法及时提交</w:t>
      </w:r>
      <w:r>
        <w:rPr>
          <w:rFonts w:hint="eastAsia"/>
          <w:sz w:val="24"/>
          <w:szCs w:val="24"/>
          <w:u w:val="single"/>
          <w:lang w:val="en-US" w:eastAsia="zh-CN"/>
        </w:rPr>
        <w:t>全过程造价咨询</w:t>
      </w:r>
      <w:r>
        <w:rPr>
          <w:rFonts w:hint="eastAsia"/>
          <w:color w:val="000000"/>
          <w:sz w:val="24"/>
          <w:szCs w:val="24"/>
        </w:rPr>
        <w:t>结算资料，导致本项目</w:t>
      </w:r>
      <w:r>
        <w:rPr>
          <w:rFonts w:hint="eastAsia"/>
          <w:sz w:val="24"/>
          <w:szCs w:val="24"/>
          <w:u w:val="single"/>
          <w:lang w:val="en-US" w:eastAsia="zh-CN"/>
        </w:rPr>
        <w:t>全过程造价咨询</w:t>
      </w:r>
      <w:r>
        <w:rPr>
          <w:rFonts w:hint="eastAsia"/>
          <w:color w:val="000000"/>
          <w:sz w:val="24"/>
          <w:szCs w:val="24"/>
        </w:rPr>
        <w:t>不能正常办理结算工作的，</w:t>
      </w:r>
      <w:r>
        <w:rPr>
          <w:rFonts w:hint="eastAsia"/>
          <w:color w:val="000000"/>
          <w:sz w:val="24"/>
          <w:szCs w:val="24"/>
          <w:lang w:eastAsia="zh-CN"/>
        </w:rPr>
        <w:t>甲方</w:t>
      </w:r>
      <w:r>
        <w:rPr>
          <w:rFonts w:hint="eastAsia"/>
          <w:color w:val="000000"/>
          <w:sz w:val="24"/>
          <w:szCs w:val="24"/>
        </w:rPr>
        <w:t>有权根据《广东省建设工程造价管理规定》(广东省人民政府令第205号)第二十一条相关约定办理。</w:t>
      </w:r>
    </w:p>
    <w:p>
      <w:pPr>
        <w:pStyle w:val="32"/>
        <w:numPr>
          <w:ilvl w:val="0"/>
          <w:numId w:val="6"/>
        </w:numPr>
        <w:tabs>
          <w:tab w:val="left" w:pos="951"/>
        </w:tabs>
        <w:spacing w:line="360" w:lineRule="auto"/>
        <w:ind w:firstLine="500"/>
        <w:rPr>
          <w:sz w:val="24"/>
          <w:szCs w:val="24"/>
        </w:rPr>
      </w:pPr>
      <w:bookmarkStart w:id="81" w:name="bookmark6"/>
      <w:bookmarkEnd w:id="81"/>
      <w:r>
        <w:rPr>
          <w:rFonts w:hint="eastAsia"/>
          <w:color w:val="000000"/>
          <w:sz w:val="24"/>
          <w:szCs w:val="24"/>
        </w:rPr>
        <w:t>本项目合同正常结算工作以截止在</w:t>
      </w:r>
      <w:r>
        <w:rPr>
          <w:rFonts w:hint="eastAsia"/>
          <w:color w:val="000000"/>
          <w:sz w:val="24"/>
          <w:szCs w:val="24"/>
          <w:lang w:val="en-US" w:eastAsia="zh-CN"/>
        </w:rPr>
        <w:t>甲方书面通知要求期限内</w:t>
      </w:r>
      <w:r>
        <w:rPr>
          <w:rFonts w:hint="eastAsia"/>
          <w:color w:val="000000"/>
          <w:sz w:val="24"/>
          <w:szCs w:val="24"/>
        </w:rPr>
        <w:t>前上报的</w:t>
      </w:r>
      <w:r>
        <w:rPr>
          <w:rFonts w:hint="eastAsia"/>
          <w:sz w:val="24"/>
          <w:szCs w:val="24"/>
          <w:u w:val="single"/>
          <w:lang w:val="en-US" w:eastAsia="zh-CN"/>
        </w:rPr>
        <w:t>全过程造价咨询</w:t>
      </w:r>
      <w:r>
        <w:rPr>
          <w:rFonts w:hint="eastAsia"/>
          <w:color w:val="000000"/>
          <w:sz w:val="24"/>
          <w:szCs w:val="24"/>
        </w:rPr>
        <w:t>结算资料为基础进行，</w:t>
      </w:r>
      <w:r>
        <w:rPr>
          <w:rFonts w:hint="eastAsia"/>
          <w:color w:val="000000"/>
          <w:sz w:val="24"/>
          <w:szCs w:val="24"/>
          <w:lang w:eastAsia="zh-CN"/>
        </w:rPr>
        <w:t>乙方</w:t>
      </w:r>
      <w:r>
        <w:rPr>
          <w:rFonts w:hint="eastAsia"/>
          <w:color w:val="000000"/>
          <w:sz w:val="24"/>
          <w:szCs w:val="24"/>
        </w:rPr>
        <w:t>应积极配合</w:t>
      </w:r>
      <w:r>
        <w:rPr>
          <w:rFonts w:hint="eastAsia"/>
          <w:color w:val="000000"/>
          <w:sz w:val="24"/>
          <w:szCs w:val="24"/>
          <w:lang w:eastAsia="zh-CN"/>
        </w:rPr>
        <w:t>甲方</w:t>
      </w:r>
      <w:r>
        <w:rPr>
          <w:rFonts w:hint="eastAsia"/>
          <w:color w:val="000000"/>
          <w:sz w:val="24"/>
          <w:szCs w:val="24"/>
        </w:rPr>
        <w:t>，协助政府上级主管部门，完成上报</w:t>
      </w:r>
      <w:r>
        <w:rPr>
          <w:rFonts w:hint="eastAsia"/>
          <w:color w:val="000000"/>
          <w:sz w:val="24"/>
          <w:szCs w:val="24"/>
          <w:lang w:val="en-US" w:eastAsia="zh-CN"/>
        </w:rPr>
        <w:t>全过程造价咨询</w:t>
      </w:r>
      <w:r>
        <w:rPr>
          <w:rFonts w:hint="eastAsia"/>
          <w:color w:val="000000"/>
          <w:sz w:val="24"/>
          <w:szCs w:val="24"/>
        </w:rPr>
        <w:t>结算书的审定工作。</w:t>
      </w:r>
    </w:p>
    <w:p>
      <w:pPr>
        <w:pStyle w:val="32"/>
        <w:numPr>
          <w:ilvl w:val="0"/>
          <w:numId w:val="6"/>
        </w:numPr>
        <w:tabs>
          <w:tab w:val="left" w:pos="956"/>
        </w:tabs>
        <w:spacing w:line="360" w:lineRule="auto"/>
        <w:ind w:firstLine="500"/>
        <w:rPr>
          <w:sz w:val="24"/>
          <w:szCs w:val="24"/>
        </w:rPr>
      </w:pPr>
      <w:bookmarkStart w:id="82" w:name="bookmark7"/>
      <w:bookmarkEnd w:id="82"/>
      <w:r>
        <w:rPr>
          <w:rFonts w:hint="eastAsia"/>
          <w:color w:val="000000"/>
          <w:sz w:val="24"/>
          <w:szCs w:val="24"/>
          <w:lang w:eastAsia="zh-CN"/>
        </w:rPr>
        <w:t>甲方</w:t>
      </w:r>
      <w:r>
        <w:rPr>
          <w:rFonts w:hint="eastAsia"/>
          <w:color w:val="000000"/>
          <w:sz w:val="24"/>
          <w:szCs w:val="24"/>
        </w:rPr>
        <w:t>在收到</w:t>
      </w:r>
      <w:r>
        <w:rPr>
          <w:rFonts w:hint="eastAsia"/>
          <w:color w:val="000000"/>
          <w:sz w:val="24"/>
          <w:szCs w:val="24"/>
          <w:lang w:eastAsia="zh-CN"/>
        </w:rPr>
        <w:t>乙方</w:t>
      </w:r>
      <w:r>
        <w:rPr>
          <w:rFonts w:hint="eastAsia"/>
          <w:color w:val="000000"/>
          <w:sz w:val="24"/>
          <w:szCs w:val="24"/>
        </w:rPr>
        <w:t>提交的手续齐备的</w:t>
      </w:r>
      <w:r>
        <w:rPr>
          <w:rFonts w:hint="eastAsia"/>
          <w:sz w:val="24"/>
          <w:szCs w:val="24"/>
          <w:u w:val="single"/>
          <w:lang w:val="en-US" w:eastAsia="zh-CN"/>
        </w:rPr>
        <w:t>全过程造价咨询</w:t>
      </w:r>
      <w:r>
        <w:rPr>
          <w:rFonts w:hint="eastAsia"/>
          <w:color w:val="000000"/>
          <w:sz w:val="24"/>
          <w:szCs w:val="24"/>
        </w:rPr>
        <w:t>结算资料后，应组织有关单位</w:t>
      </w:r>
      <w:r>
        <w:rPr>
          <w:rFonts w:hint="eastAsia"/>
          <w:color w:val="000000"/>
          <w:sz w:val="24"/>
          <w:szCs w:val="24"/>
          <w:lang w:val="en-US" w:eastAsia="zh-CN"/>
        </w:rPr>
        <w:t>进行</w:t>
      </w:r>
      <w:r>
        <w:rPr>
          <w:rFonts w:hint="eastAsia"/>
          <w:color w:val="000000"/>
          <w:sz w:val="24"/>
          <w:szCs w:val="24"/>
        </w:rPr>
        <w:t>审核，及时报送上级部门审批。</w:t>
      </w:r>
    </w:p>
    <w:p>
      <w:pPr>
        <w:pStyle w:val="32"/>
        <w:numPr>
          <w:ilvl w:val="0"/>
          <w:numId w:val="6"/>
        </w:numPr>
        <w:tabs>
          <w:tab w:val="left" w:pos="956"/>
        </w:tabs>
        <w:spacing w:line="360" w:lineRule="auto"/>
        <w:ind w:firstLine="500"/>
        <w:rPr>
          <w:sz w:val="24"/>
          <w:szCs w:val="24"/>
        </w:rPr>
      </w:pPr>
      <w:r>
        <w:rPr>
          <w:rFonts w:hint="eastAsia"/>
          <w:color w:val="000000"/>
          <w:sz w:val="24"/>
          <w:szCs w:val="24"/>
          <w:lang w:eastAsia="zh-CN"/>
        </w:rPr>
        <w:t>乙方</w:t>
      </w:r>
      <w:r>
        <w:rPr>
          <w:rFonts w:hint="eastAsia"/>
          <w:color w:val="000000"/>
          <w:sz w:val="24"/>
          <w:szCs w:val="24"/>
        </w:rPr>
        <w:t>能在</w:t>
      </w:r>
      <w:r>
        <w:rPr>
          <w:rFonts w:hint="eastAsia"/>
          <w:color w:val="000000"/>
          <w:sz w:val="24"/>
          <w:szCs w:val="24"/>
          <w:lang w:val="en-US" w:eastAsia="zh-CN"/>
        </w:rPr>
        <w:t>甲方书面通知要求期限内</w:t>
      </w:r>
      <w:r>
        <w:rPr>
          <w:rFonts w:hint="eastAsia"/>
          <w:color w:val="000000"/>
          <w:sz w:val="24"/>
          <w:szCs w:val="24"/>
        </w:rPr>
        <w:t>前上报且符合要求的</w:t>
      </w:r>
      <w:r>
        <w:rPr>
          <w:rFonts w:hint="eastAsia"/>
          <w:sz w:val="24"/>
          <w:szCs w:val="24"/>
          <w:u w:val="single"/>
          <w:lang w:val="en-US" w:eastAsia="zh-CN"/>
        </w:rPr>
        <w:t>全过程造价咨询</w:t>
      </w:r>
      <w:r>
        <w:rPr>
          <w:rFonts w:hint="eastAsia"/>
          <w:color w:val="000000"/>
          <w:sz w:val="24"/>
          <w:szCs w:val="24"/>
        </w:rPr>
        <w:t>结算资料，由</w:t>
      </w:r>
      <w:r>
        <w:rPr>
          <w:rFonts w:hint="eastAsia"/>
          <w:color w:val="000000"/>
          <w:sz w:val="24"/>
          <w:szCs w:val="24"/>
          <w:lang w:eastAsia="zh-CN"/>
        </w:rPr>
        <w:t>甲方</w:t>
      </w:r>
      <w:r>
        <w:rPr>
          <w:rFonts w:hint="eastAsia"/>
          <w:color w:val="000000"/>
          <w:sz w:val="24"/>
          <w:szCs w:val="24"/>
        </w:rPr>
        <w:t>作为本项目合同的善后处理工作组织审核审定。</w:t>
      </w:r>
    </w:p>
    <w:p>
      <w:pPr>
        <w:pStyle w:val="32"/>
        <w:spacing w:line="360" w:lineRule="auto"/>
        <w:ind w:firstLine="500"/>
        <w:rPr>
          <w:color w:val="000000"/>
          <w:sz w:val="24"/>
          <w:szCs w:val="24"/>
        </w:rPr>
      </w:pPr>
      <w:r>
        <w:rPr>
          <w:rFonts w:hint="eastAsia"/>
          <w:color w:val="000000"/>
          <w:sz w:val="24"/>
          <w:szCs w:val="24"/>
        </w:rPr>
        <w:t>(6)</w:t>
      </w:r>
      <w:r>
        <w:rPr>
          <w:rFonts w:hint="eastAsia"/>
          <w:color w:val="000000"/>
          <w:sz w:val="24"/>
          <w:szCs w:val="24"/>
          <w:lang w:val="en-US" w:eastAsia="zh-CN"/>
        </w:rPr>
        <w:t>乙方在甲方书面通知要求期限内</w:t>
      </w:r>
      <w:r>
        <w:rPr>
          <w:rFonts w:hint="eastAsia"/>
          <w:color w:val="000000"/>
          <w:sz w:val="24"/>
          <w:szCs w:val="24"/>
        </w:rPr>
        <w:t>未报送的本项目</w:t>
      </w:r>
      <w:r>
        <w:rPr>
          <w:rFonts w:hint="eastAsia"/>
          <w:sz w:val="24"/>
          <w:szCs w:val="24"/>
          <w:u w:val="single"/>
          <w:lang w:val="en-US" w:eastAsia="zh-CN"/>
        </w:rPr>
        <w:t>全过程造价咨询</w:t>
      </w:r>
      <w:r>
        <w:rPr>
          <w:rFonts w:hint="eastAsia"/>
          <w:color w:val="000000"/>
          <w:sz w:val="24"/>
          <w:szCs w:val="24"/>
        </w:rPr>
        <w:t>结算资料，视为已全部报出，</w:t>
      </w:r>
      <w:r>
        <w:rPr>
          <w:rFonts w:hint="eastAsia"/>
          <w:color w:val="000000"/>
          <w:sz w:val="24"/>
          <w:szCs w:val="24"/>
          <w:lang w:eastAsia="zh-CN"/>
        </w:rPr>
        <w:t>甲方</w:t>
      </w:r>
      <w:r>
        <w:rPr>
          <w:rFonts w:hint="eastAsia"/>
          <w:color w:val="000000"/>
          <w:sz w:val="24"/>
          <w:szCs w:val="24"/>
        </w:rPr>
        <w:t>不再受理任何本项目</w:t>
      </w:r>
      <w:r>
        <w:rPr>
          <w:rFonts w:hint="eastAsia"/>
          <w:sz w:val="24"/>
          <w:szCs w:val="24"/>
          <w:u w:val="single"/>
          <w:lang w:val="en-US" w:eastAsia="zh-CN"/>
        </w:rPr>
        <w:t>全过程造价咨询</w:t>
      </w:r>
      <w:r>
        <w:rPr>
          <w:rFonts w:hint="eastAsia"/>
          <w:color w:val="000000"/>
          <w:sz w:val="24"/>
          <w:szCs w:val="24"/>
        </w:rPr>
        <w:t>结算资料。</w:t>
      </w:r>
    </w:p>
    <w:p>
      <w:pPr>
        <w:pStyle w:val="32"/>
        <w:spacing w:line="360" w:lineRule="auto"/>
        <w:ind w:firstLine="500"/>
        <w:rPr>
          <w:sz w:val="24"/>
          <w:szCs w:val="24"/>
        </w:rPr>
      </w:pPr>
      <w:r>
        <w:rPr>
          <w:rFonts w:hint="eastAsia"/>
          <w:color w:val="000000"/>
          <w:sz w:val="24"/>
          <w:szCs w:val="24"/>
        </w:rPr>
        <w:t>(7)</w:t>
      </w:r>
      <w:r>
        <w:rPr>
          <w:rFonts w:hint="eastAsia"/>
          <w:color w:val="000000"/>
          <w:sz w:val="24"/>
          <w:szCs w:val="24"/>
          <w:lang w:eastAsia="zh-CN"/>
        </w:rPr>
        <w:t>乙方</w:t>
      </w:r>
      <w:r>
        <w:rPr>
          <w:rFonts w:hint="eastAsia"/>
          <w:color w:val="000000"/>
          <w:sz w:val="24"/>
          <w:szCs w:val="24"/>
        </w:rPr>
        <w:t>应按</w:t>
      </w:r>
      <w:r>
        <w:rPr>
          <w:rFonts w:hint="eastAsia"/>
          <w:color w:val="000000"/>
          <w:sz w:val="24"/>
          <w:szCs w:val="24"/>
          <w:lang w:eastAsia="zh-CN"/>
        </w:rPr>
        <w:t>甲方</w:t>
      </w:r>
      <w:r>
        <w:rPr>
          <w:rFonts w:hint="eastAsia"/>
          <w:color w:val="000000"/>
          <w:sz w:val="24"/>
          <w:szCs w:val="24"/>
        </w:rPr>
        <w:t>的要求及时派出足够的工程结算管理人员与</w:t>
      </w:r>
      <w:r>
        <w:rPr>
          <w:rFonts w:hint="eastAsia"/>
          <w:color w:val="000000"/>
          <w:sz w:val="24"/>
          <w:szCs w:val="24"/>
          <w:lang w:eastAsia="zh-CN"/>
        </w:rPr>
        <w:t>甲方</w:t>
      </w:r>
      <w:r>
        <w:rPr>
          <w:rFonts w:hint="eastAsia"/>
          <w:color w:val="000000"/>
          <w:sz w:val="24"/>
          <w:szCs w:val="24"/>
        </w:rPr>
        <w:t>派出的工程结算管理人员一起组成工程结算管理小组，并由</w:t>
      </w:r>
      <w:r>
        <w:rPr>
          <w:rFonts w:hint="eastAsia"/>
          <w:color w:val="000000"/>
          <w:sz w:val="24"/>
          <w:szCs w:val="24"/>
          <w:lang w:eastAsia="zh-CN"/>
        </w:rPr>
        <w:t>乙方</w:t>
      </w:r>
      <w:r>
        <w:rPr>
          <w:rFonts w:hint="eastAsia"/>
          <w:color w:val="000000"/>
          <w:sz w:val="24"/>
          <w:szCs w:val="24"/>
        </w:rPr>
        <w:t>负责其管理范围内</w:t>
      </w:r>
      <w:r>
        <w:rPr>
          <w:rFonts w:hint="eastAsia"/>
          <w:sz w:val="24"/>
          <w:szCs w:val="24"/>
          <w:u w:val="single"/>
          <w:lang w:val="en-US" w:eastAsia="zh-CN"/>
        </w:rPr>
        <w:t>全过程造价咨询</w:t>
      </w:r>
      <w:r>
        <w:rPr>
          <w:rFonts w:hint="eastAsia"/>
          <w:color w:val="000000"/>
          <w:sz w:val="24"/>
          <w:szCs w:val="24"/>
        </w:rPr>
        <w:t>结算的牵头工作，督促其管理范围内的各专业单位按本条第(2)项的要求及时报送</w:t>
      </w:r>
      <w:r>
        <w:rPr>
          <w:rFonts w:hint="eastAsia"/>
          <w:sz w:val="24"/>
          <w:szCs w:val="24"/>
          <w:u w:val="single"/>
          <w:lang w:val="en-US" w:eastAsia="zh-CN"/>
        </w:rPr>
        <w:t>全过程造价咨询</w:t>
      </w:r>
      <w:r>
        <w:rPr>
          <w:rFonts w:hint="eastAsia"/>
          <w:color w:val="000000"/>
          <w:sz w:val="24"/>
          <w:szCs w:val="24"/>
        </w:rPr>
        <w:t>结算资料并予以落实。如</w:t>
      </w:r>
      <w:r>
        <w:rPr>
          <w:rFonts w:hint="eastAsia"/>
          <w:color w:val="000000"/>
          <w:sz w:val="24"/>
          <w:szCs w:val="24"/>
          <w:lang w:eastAsia="zh-CN"/>
        </w:rPr>
        <w:t>乙方</w:t>
      </w:r>
      <w:r>
        <w:rPr>
          <w:rFonts w:hint="eastAsia"/>
          <w:color w:val="000000"/>
          <w:sz w:val="24"/>
          <w:szCs w:val="24"/>
        </w:rPr>
        <w:t>不按</w:t>
      </w:r>
      <w:r>
        <w:rPr>
          <w:rFonts w:hint="eastAsia"/>
          <w:color w:val="000000"/>
          <w:sz w:val="24"/>
          <w:szCs w:val="24"/>
          <w:lang w:eastAsia="zh-CN"/>
        </w:rPr>
        <w:t>甲方</w:t>
      </w:r>
      <w:r>
        <w:rPr>
          <w:rFonts w:hint="eastAsia"/>
          <w:color w:val="000000"/>
          <w:sz w:val="24"/>
          <w:szCs w:val="24"/>
        </w:rPr>
        <w:t>的要求及时派出足够的工程结算管理人员，</w:t>
      </w:r>
      <w:r>
        <w:rPr>
          <w:rFonts w:hint="eastAsia"/>
          <w:color w:val="000000"/>
          <w:sz w:val="24"/>
          <w:szCs w:val="24"/>
          <w:lang w:eastAsia="zh-CN"/>
        </w:rPr>
        <w:t>甲方</w:t>
      </w:r>
      <w:r>
        <w:rPr>
          <w:rFonts w:hint="eastAsia"/>
          <w:color w:val="000000"/>
          <w:sz w:val="24"/>
          <w:szCs w:val="24"/>
        </w:rPr>
        <w:t>有权另行聘请有关工程结算管理人员，有关费用在原合同的管理费或专业工程配合服务费中支付，</w:t>
      </w:r>
      <w:r>
        <w:rPr>
          <w:rFonts w:hint="eastAsia"/>
          <w:color w:val="000000"/>
          <w:sz w:val="24"/>
          <w:szCs w:val="24"/>
          <w:lang w:eastAsia="zh-CN"/>
        </w:rPr>
        <w:t>乙方</w:t>
      </w:r>
      <w:r>
        <w:rPr>
          <w:rFonts w:hint="eastAsia"/>
          <w:color w:val="000000"/>
          <w:sz w:val="24"/>
          <w:szCs w:val="24"/>
        </w:rPr>
        <w:t>不得有异议。</w:t>
      </w:r>
    </w:p>
    <w:p>
      <w:pPr>
        <w:pStyle w:val="32"/>
        <w:spacing w:line="360" w:lineRule="auto"/>
        <w:rPr>
          <w:sz w:val="24"/>
          <w:szCs w:val="24"/>
        </w:rPr>
      </w:pPr>
      <w:r>
        <w:rPr>
          <w:rFonts w:hint="eastAsia"/>
          <w:color w:val="000000"/>
          <w:sz w:val="24"/>
          <w:szCs w:val="24"/>
          <w:lang w:val="en-US" w:eastAsia="zh-CN"/>
        </w:rPr>
        <w:t>2</w:t>
      </w:r>
      <w:r>
        <w:rPr>
          <w:rFonts w:hint="eastAsia"/>
          <w:color w:val="000000"/>
          <w:sz w:val="24"/>
          <w:szCs w:val="24"/>
        </w:rPr>
        <w:t>、</w:t>
      </w:r>
      <w:r>
        <w:rPr>
          <w:rFonts w:hint="eastAsia"/>
          <w:sz w:val="24"/>
          <w:szCs w:val="24"/>
          <w:u w:val="single"/>
          <w:lang w:val="en-US" w:eastAsia="zh-CN"/>
        </w:rPr>
        <w:t>全过程造价咨询</w:t>
      </w:r>
      <w:r>
        <w:rPr>
          <w:rFonts w:hint="eastAsia"/>
          <w:color w:val="000000"/>
          <w:sz w:val="24"/>
          <w:szCs w:val="24"/>
        </w:rPr>
        <w:t>结算中争议问题的处理</w:t>
      </w:r>
    </w:p>
    <w:p>
      <w:pPr>
        <w:pStyle w:val="32"/>
        <w:spacing w:line="360" w:lineRule="auto"/>
        <w:rPr>
          <w:sz w:val="24"/>
          <w:szCs w:val="24"/>
        </w:rPr>
      </w:pPr>
      <w:r>
        <w:rPr>
          <w:rFonts w:hint="eastAsia"/>
          <w:color w:val="000000"/>
          <w:sz w:val="24"/>
          <w:szCs w:val="24"/>
        </w:rPr>
        <w:t>对于</w:t>
      </w:r>
      <w:r>
        <w:rPr>
          <w:rFonts w:hint="eastAsia"/>
          <w:sz w:val="24"/>
          <w:szCs w:val="24"/>
          <w:u w:val="single"/>
          <w:lang w:val="en-US" w:eastAsia="zh-CN"/>
        </w:rPr>
        <w:t>全过程造价咨询</w:t>
      </w:r>
      <w:r>
        <w:rPr>
          <w:rFonts w:hint="eastAsia"/>
          <w:color w:val="000000"/>
          <w:sz w:val="24"/>
          <w:szCs w:val="24"/>
        </w:rPr>
        <w:t>结算中有争议的问题，依据合同的相关约定，本着</w:t>
      </w:r>
      <w:r>
        <w:rPr>
          <w:rFonts w:hint="eastAsia"/>
          <w:color w:val="000000"/>
          <w:sz w:val="24"/>
          <w:szCs w:val="24"/>
          <w:lang w:val="zh-CN" w:eastAsia="zh-CN" w:bidi="zh-CN"/>
        </w:rPr>
        <w:t>“依法</w:t>
      </w:r>
      <w:r>
        <w:rPr>
          <w:rFonts w:hint="eastAsia"/>
          <w:color w:val="000000"/>
          <w:sz w:val="24"/>
          <w:szCs w:val="24"/>
        </w:rPr>
        <w:t>依规，实事求是和风险共担”的原则，按如下约定处理：</w:t>
      </w:r>
    </w:p>
    <w:p>
      <w:pPr>
        <w:pStyle w:val="32"/>
        <w:tabs>
          <w:tab w:val="left" w:pos="963"/>
        </w:tabs>
        <w:spacing w:line="360" w:lineRule="auto"/>
        <w:ind w:firstLine="500"/>
        <w:rPr>
          <w:sz w:val="24"/>
          <w:szCs w:val="24"/>
        </w:rPr>
      </w:pPr>
      <w:bookmarkStart w:id="83" w:name="bookmark12"/>
      <w:r>
        <w:rPr>
          <w:rFonts w:hint="eastAsia"/>
          <w:color w:val="000000"/>
          <w:sz w:val="24"/>
          <w:szCs w:val="24"/>
        </w:rPr>
        <w:t>（</w:t>
      </w:r>
      <w:bookmarkEnd w:id="83"/>
      <w:r>
        <w:rPr>
          <w:rFonts w:hint="eastAsia"/>
          <w:color w:val="000000"/>
          <w:sz w:val="24"/>
          <w:szCs w:val="24"/>
        </w:rPr>
        <w:t>1）</w:t>
      </w:r>
      <w:r>
        <w:rPr>
          <w:rFonts w:hint="eastAsia"/>
          <w:color w:val="000000"/>
          <w:sz w:val="24"/>
          <w:szCs w:val="24"/>
          <w:lang w:eastAsia="zh-CN"/>
        </w:rPr>
        <w:t>乙方</w:t>
      </w:r>
      <w:r>
        <w:rPr>
          <w:rFonts w:hint="eastAsia"/>
          <w:color w:val="000000"/>
          <w:sz w:val="24"/>
          <w:szCs w:val="24"/>
        </w:rPr>
        <w:t>在</w:t>
      </w:r>
      <w:r>
        <w:rPr>
          <w:rFonts w:hint="eastAsia"/>
          <w:color w:val="000000"/>
          <w:sz w:val="24"/>
          <w:szCs w:val="24"/>
          <w:lang w:val="en-US" w:eastAsia="zh-CN"/>
        </w:rPr>
        <w:t>甲方书面通知要求期限内</w:t>
      </w:r>
      <w:r>
        <w:rPr>
          <w:rFonts w:hint="eastAsia"/>
          <w:color w:val="000000"/>
          <w:sz w:val="24"/>
          <w:szCs w:val="24"/>
        </w:rPr>
        <w:t>上报的</w:t>
      </w:r>
      <w:r>
        <w:rPr>
          <w:rFonts w:hint="eastAsia"/>
          <w:sz w:val="24"/>
          <w:szCs w:val="24"/>
          <w:u w:val="single"/>
          <w:lang w:val="en-US" w:eastAsia="zh-CN"/>
        </w:rPr>
        <w:t>全过程造价咨询</w:t>
      </w:r>
      <w:r>
        <w:rPr>
          <w:rFonts w:hint="eastAsia"/>
          <w:color w:val="000000"/>
          <w:sz w:val="24"/>
          <w:szCs w:val="24"/>
        </w:rPr>
        <w:t>结算资料经</w:t>
      </w:r>
      <w:r>
        <w:rPr>
          <w:rFonts w:hint="eastAsia"/>
          <w:color w:val="000000"/>
          <w:sz w:val="24"/>
          <w:szCs w:val="24"/>
          <w:lang w:eastAsia="zh-CN"/>
        </w:rPr>
        <w:t>甲方</w:t>
      </w:r>
      <w:r>
        <w:rPr>
          <w:rFonts w:hint="eastAsia"/>
          <w:color w:val="000000"/>
          <w:sz w:val="24"/>
          <w:szCs w:val="24"/>
        </w:rPr>
        <w:t>审核后如发生争议，双方能达成一致且经上级主管部门审定的部分纳入正常结算审定；未能达成一致的部分如</w:t>
      </w:r>
      <w:r>
        <w:rPr>
          <w:rFonts w:hint="eastAsia"/>
          <w:color w:val="000000"/>
          <w:sz w:val="24"/>
          <w:szCs w:val="24"/>
          <w:lang w:val="en-US" w:eastAsia="zh-CN"/>
        </w:rPr>
        <w:t>在复审</w:t>
      </w:r>
      <w:r>
        <w:rPr>
          <w:rFonts w:hint="eastAsia"/>
          <w:color w:val="000000"/>
          <w:sz w:val="24"/>
          <w:szCs w:val="24"/>
          <w:lang w:val="zh-CN" w:eastAsia="zh-CN" w:bidi="zh-CN"/>
        </w:rPr>
        <w:t>前</w:t>
      </w:r>
      <w:r>
        <w:rPr>
          <w:rFonts w:hint="eastAsia"/>
          <w:color w:val="000000"/>
          <w:sz w:val="24"/>
          <w:szCs w:val="24"/>
        </w:rPr>
        <w:t>取得一致的，将与</w:t>
      </w:r>
      <w:r>
        <w:rPr>
          <w:rFonts w:hint="eastAsia"/>
          <w:color w:val="000000"/>
          <w:sz w:val="24"/>
          <w:szCs w:val="24"/>
          <w:lang w:val="en-US" w:eastAsia="zh-CN"/>
        </w:rPr>
        <w:t>前期</w:t>
      </w:r>
      <w:r>
        <w:rPr>
          <w:rFonts w:hint="eastAsia"/>
          <w:color w:val="000000"/>
          <w:sz w:val="24"/>
          <w:szCs w:val="24"/>
        </w:rPr>
        <w:t>上报的</w:t>
      </w:r>
      <w:r>
        <w:rPr>
          <w:rFonts w:hint="eastAsia"/>
          <w:sz w:val="24"/>
          <w:szCs w:val="24"/>
          <w:u w:val="single"/>
          <w:lang w:val="en-US" w:eastAsia="zh-CN"/>
        </w:rPr>
        <w:t>全过程造价咨询</w:t>
      </w:r>
      <w:r>
        <w:rPr>
          <w:rFonts w:hint="eastAsia"/>
          <w:color w:val="000000"/>
          <w:sz w:val="24"/>
          <w:szCs w:val="24"/>
        </w:rPr>
        <w:t>结算资料为基础，经上级主管部门审定后，由</w:t>
      </w:r>
      <w:r>
        <w:rPr>
          <w:rFonts w:hint="eastAsia"/>
          <w:color w:val="000000"/>
          <w:sz w:val="24"/>
          <w:szCs w:val="24"/>
          <w:lang w:eastAsia="zh-CN"/>
        </w:rPr>
        <w:t>甲方</w:t>
      </w:r>
      <w:r>
        <w:rPr>
          <w:rFonts w:hint="eastAsia"/>
          <w:color w:val="000000"/>
          <w:sz w:val="24"/>
          <w:szCs w:val="24"/>
        </w:rPr>
        <w:t>作为本项目合同的善后处理工作组织审核审定。</w:t>
      </w:r>
    </w:p>
    <w:p>
      <w:pPr>
        <w:pStyle w:val="32"/>
        <w:tabs>
          <w:tab w:val="left" w:pos="968"/>
        </w:tabs>
        <w:spacing w:after="160" w:line="360" w:lineRule="auto"/>
        <w:ind w:firstLine="500"/>
        <w:rPr>
          <w:color w:val="000000"/>
          <w:sz w:val="24"/>
          <w:szCs w:val="24"/>
        </w:rPr>
      </w:pPr>
      <w:bookmarkStart w:id="84" w:name="bookmark13"/>
      <w:r>
        <w:rPr>
          <w:rFonts w:hint="eastAsia"/>
          <w:color w:val="000000"/>
          <w:sz w:val="24"/>
          <w:szCs w:val="24"/>
        </w:rPr>
        <w:t>（</w:t>
      </w:r>
      <w:bookmarkEnd w:id="84"/>
      <w:r>
        <w:rPr>
          <w:rFonts w:hint="eastAsia"/>
          <w:color w:val="000000"/>
          <w:sz w:val="24"/>
          <w:szCs w:val="24"/>
        </w:rPr>
        <w:t>2）双方未能</w:t>
      </w:r>
      <w:r>
        <w:rPr>
          <w:rFonts w:hint="eastAsia"/>
          <w:color w:val="000000"/>
          <w:sz w:val="24"/>
          <w:szCs w:val="24"/>
          <w:lang w:val="en-US" w:eastAsia="zh-CN"/>
        </w:rPr>
        <w:t>在复审前</w:t>
      </w:r>
      <w:r>
        <w:rPr>
          <w:rFonts w:hint="eastAsia"/>
          <w:color w:val="000000"/>
          <w:sz w:val="24"/>
          <w:szCs w:val="24"/>
        </w:rPr>
        <w:t>达成一致的本项目</w:t>
      </w:r>
      <w:r>
        <w:rPr>
          <w:rFonts w:hint="eastAsia"/>
          <w:sz w:val="24"/>
          <w:szCs w:val="24"/>
          <w:u w:val="single"/>
          <w:lang w:val="en-US" w:eastAsia="zh-CN"/>
        </w:rPr>
        <w:t>全过程造价咨询</w:t>
      </w:r>
      <w:r>
        <w:rPr>
          <w:rFonts w:hint="eastAsia"/>
          <w:color w:val="000000"/>
          <w:sz w:val="24"/>
          <w:szCs w:val="24"/>
        </w:rPr>
        <w:t>结算争议，</w:t>
      </w:r>
      <w:r>
        <w:rPr>
          <w:rFonts w:hint="eastAsia"/>
          <w:color w:val="000000"/>
          <w:sz w:val="24"/>
          <w:szCs w:val="24"/>
          <w:lang w:eastAsia="zh-CN"/>
        </w:rPr>
        <w:t>甲方</w:t>
      </w:r>
      <w:r>
        <w:rPr>
          <w:rFonts w:hint="eastAsia"/>
          <w:color w:val="000000"/>
          <w:sz w:val="24"/>
          <w:szCs w:val="24"/>
        </w:rPr>
        <w:t>可依据已有资料单方面组织结算，</w:t>
      </w:r>
      <w:r>
        <w:rPr>
          <w:rFonts w:hint="eastAsia"/>
          <w:color w:val="000000"/>
          <w:sz w:val="24"/>
          <w:szCs w:val="24"/>
          <w:lang w:eastAsia="zh-CN"/>
        </w:rPr>
        <w:t>乙方</w:t>
      </w:r>
      <w:r>
        <w:rPr>
          <w:rFonts w:hint="eastAsia"/>
          <w:color w:val="000000"/>
          <w:sz w:val="24"/>
          <w:szCs w:val="24"/>
        </w:rPr>
        <w:t>有异议的可通过法律途径解决。</w:t>
      </w:r>
      <w:bookmarkStart w:id="85" w:name="bookmark14"/>
    </w:p>
    <w:bookmarkEnd w:id="85"/>
    <w:p>
      <w:pPr>
        <w:pStyle w:val="32"/>
        <w:tabs>
          <w:tab w:val="left" w:pos="968"/>
        </w:tabs>
        <w:spacing w:after="160" w:line="360" w:lineRule="auto"/>
        <w:ind w:firstLine="500"/>
        <w:rPr>
          <w:sz w:val="24"/>
          <w:szCs w:val="24"/>
          <w:lang w:eastAsia="zh-CN"/>
        </w:rPr>
      </w:pPr>
      <w:r>
        <w:rPr>
          <w:rFonts w:hint="eastAsia"/>
          <w:color w:val="000000"/>
          <w:sz w:val="24"/>
          <w:szCs w:val="24"/>
          <w:lang w:val="en-US" w:eastAsia="zh-CN"/>
        </w:rPr>
        <w:t>3</w:t>
      </w:r>
      <w:r>
        <w:rPr>
          <w:rFonts w:hint="eastAsia"/>
          <w:color w:val="000000"/>
          <w:sz w:val="24"/>
          <w:szCs w:val="24"/>
        </w:rPr>
        <w:t>、本工作协议书作为原合同的组成部分，与原合同具有同等法律效力。本工作协议书的约定与原合同相冲突的，以本工作协议书的约定为准</w:t>
      </w:r>
      <w:r>
        <w:rPr>
          <w:rFonts w:hint="eastAsia"/>
          <w:color w:val="000000"/>
          <w:sz w:val="24"/>
          <w:szCs w:val="24"/>
          <w:lang w:eastAsia="zh-CN"/>
        </w:rPr>
        <w:t>。</w:t>
      </w:r>
    </w:p>
    <w:p>
      <w:pPr>
        <w:pStyle w:val="32"/>
        <w:spacing w:after="240" w:line="360" w:lineRule="auto"/>
        <w:ind w:firstLine="480" w:firstLineChars="200"/>
        <w:rPr>
          <w:sz w:val="24"/>
          <w:szCs w:val="24"/>
          <w:lang w:val="en-US" w:eastAsia="zh-CN"/>
        </w:rPr>
      </w:pPr>
      <w:r>
        <w:rPr>
          <w:rFonts w:hint="eastAsia"/>
          <w:color w:val="000000"/>
          <w:sz w:val="24"/>
          <w:szCs w:val="24"/>
          <w:lang w:val="en-US" w:eastAsia="zh-CN"/>
        </w:rPr>
        <w:t>4</w:t>
      </w:r>
      <w:r>
        <w:rPr>
          <w:rFonts w:hint="eastAsia"/>
          <w:color w:val="000000"/>
          <w:sz w:val="24"/>
          <w:szCs w:val="24"/>
        </w:rPr>
        <w:t>、本工作协议书于双方签字盖章后生效，至双方履行完本工作协议书中的义务与责任时终止。</w:t>
      </w:r>
      <w:r>
        <w:rPr>
          <w:rFonts w:hint="eastAsia"/>
          <w:sz w:val="24"/>
          <w:szCs w:val="24"/>
          <w:lang w:val="en-US" w:eastAsia="zh-CN"/>
        </w:rPr>
        <w:br w:type="textWrapping"/>
      </w:r>
    </w:p>
    <w:p>
      <w:pPr>
        <w:pStyle w:val="32"/>
        <w:spacing w:after="240" w:line="360" w:lineRule="auto"/>
        <w:rPr>
          <w:sz w:val="24"/>
          <w:szCs w:val="24"/>
          <w:lang w:val="en-US" w:eastAsia="zh-CN"/>
        </w:rPr>
      </w:pPr>
      <w:r>
        <w:rPr>
          <w:rFonts w:hint="eastAsia"/>
          <w:bCs w:val="0"/>
          <w:sz w:val="24"/>
          <w:szCs w:val="24"/>
          <w:lang w:val="en-US" w:eastAsia="zh-CN" w:bidi="en-US"/>
        </w:rPr>
        <w:t>甲方（盖章） 乙方（盖</w:t>
      </w:r>
      <w:r>
        <w:rPr>
          <w:rFonts w:hint="eastAsia"/>
          <w:sz w:val="24"/>
          <w:szCs w:val="24"/>
          <w:lang w:val="en-US" w:eastAsia="zh-CN"/>
        </w:rPr>
        <w:t>章）：</w:t>
      </w:r>
    </w:p>
    <w:p>
      <w:pPr>
        <w:snapToGrid w:val="0"/>
        <w:spacing w:line="360" w:lineRule="auto"/>
        <w:ind w:left="315" w:leftChars="150"/>
        <w:rPr>
          <w:rFonts w:ascii="宋体" w:hAnsi="宋体" w:cs="宋体"/>
          <w:sz w:val="24"/>
        </w:rPr>
      </w:pPr>
      <w:r>
        <w:rPr>
          <w:rFonts w:hint="eastAsia" w:ascii="宋体" w:hAnsi="宋体" w:cs="宋体"/>
          <w:sz w:val="24"/>
        </w:rPr>
        <w:t>法定代表人                          法定代表人</w:t>
      </w:r>
    </w:p>
    <w:p>
      <w:pPr>
        <w:snapToGrid w:val="0"/>
        <w:spacing w:line="360" w:lineRule="auto"/>
        <w:ind w:firstLine="480" w:firstLineChars="200"/>
        <w:rPr>
          <w:rFonts w:ascii="宋体" w:hAnsi="宋体" w:cs="宋体"/>
          <w:sz w:val="24"/>
        </w:rPr>
      </w:pPr>
      <w:r>
        <w:rPr>
          <w:rFonts w:hint="eastAsia" w:ascii="宋体" w:hAnsi="宋体" w:cs="宋体"/>
          <w:sz w:val="24"/>
        </w:rPr>
        <w:t xml:space="preserve">（或委托代理人）：                  （或委托代理人）：                 </w:t>
      </w:r>
    </w:p>
    <w:p>
      <w:pPr>
        <w:snapToGrid w:val="0"/>
        <w:spacing w:line="360" w:lineRule="auto"/>
        <w:ind w:firstLine="480" w:firstLineChars="200"/>
        <w:rPr>
          <w:rFonts w:ascii="宋体" w:hAnsi="宋体" w:cs="宋体"/>
          <w:sz w:val="24"/>
        </w:rPr>
      </w:pPr>
      <w:r>
        <w:rPr>
          <w:rFonts w:hint="eastAsia" w:ascii="宋体" w:hAnsi="宋体" w:cs="宋体"/>
          <w:sz w:val="24"/>
        </w:rPr>
        <w:t xml:space="preserve"> 年    月    日                     年    月    日</w:t>
      </w:r>
    </w:p>
    <w:p>
      <w:pPr>
        <w:spacing w:line="360" w:lineRule="auto"/>
        <w:rPr>
          <w:b/>
          <w:sz w:val="24"/>
        </w:rPr>
      </w:pPr>
      <w:r>
        <w:rPr>
          <w:b/>
          <w:szCs w:val="21"/>
        </w:rPr>
        <w:br w:type="page"/>
      </w:r>
      <w:r>
        <w:rPr>
          <w:rFonts w:hint="eastAsia"/>
          <w:b/>
          <w:sz w:val="24"/>
        </w:rPr>
        <w:t>附件6：中标通知书</w:t>
      </w:r>
    </w:p>
    <w:p>
      <w:pPr>
        <w:adjustRightInd w:val="0"/>
        <w:snapToGrid w:val="0"/>
        <w:spacing w:line="500" w:lineRule="exact"/>
        <w:ind w:left="-178" w:leftChars="-85" w:right="-178" w:rightChars="-85" w:firstLine="420" w:firstLineChars="200"/>
        <w:rPr>
          <w:szCs w:val="21"/>
        </w:rPr>
      </w:pPr>
    </w:p>
    <w:sectPr>
      <w:pgSz w:w="11906" w:h="16838"/>
      <w:pgMar w:top="1021" w:right="1361" w:bottom="1021" w:left="1418" w:header="851" w:footer="85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1843450"/>
    </w:sdtPr>
    <w:sdtContent>
      <w:sdt>
        <w:sdtPr>
          <w:id w:val="1728636285"/>
        </w:sdtPr>
        <w:sdtContent>
          <w:p>
            <w:pPr>
              <w:pStyle w:val="13"/>
              <w:jc w:val="center"/>
            </w:pPr>
            <w:r>
              <w:fldChar w:fldCharType="begin"/>
            </w:r>
            <w:r>
              <w:instrText xml:space="preserve">PAGE</w:instrText>
            </w:r>
            <w:r>
              <w:fldChar w:fldCharType="separate"/>
            </w:r>
            <w:r>
              <w:t>32</w:t>
            </w:r>
            <w:r>
              <w:fldChar w:fldCharType="end"/>
            </w:r>
            <w:r>
              <w:t xml:space="preserve"> / </w:t>
            </w:r>
            <w:r>
              <w:fldChar w:fldCharType="begin"/>
            </w:r>
            <w:r>
              <w:instrText xml:space="preserve"> =</w:instrText>
            </w:r>
            <w:r>
              <w:fldChar w:fldCharType="begin"/>
            </w:r>
            <w:r>
              <w:instrText xml:space="preserve"> numpages </w:instrText>
            </w:r>
            <w:r>
              <w:fldChar w:fldCharType="separate"/>
            </w:r>
            <w:r>
              <w:instrText xml:space="preserve">33</w:instrText>
            </w:r>
            <w:r>
              <w:fldChar w:fldCharType="end"/>
            </w:r>
            <w:r>
              <w:instrText xml:space="preserve">-2 </w:instrText>
            </w:r>
            <w:r>
              <w:fldChar w:fldCharType="separate"/>
            </w:r>
            <w:r>
              <w:t>31</w:t>
            </w:r>
            <w:r>
              <w:fldChar w:fldCharType="end"/>
            </w:r>
          </w:p>
        </w:sdtContent>
      </w:sdt>
    </w:sdtContent>
  </w:sdt>
  <w:p>
    <w:pPr>
      <w:pStyle w:val="13"/>
      <w:ind w:firstLine="360" w:firstLineChars="2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13"/>
      <w:ind w:firstLine="360" w:firstLineChars="2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CE153"/>
    <w:multiLevelType w:val="singleLevel"/>
    <w:tmpl w:val="8D6CE153"/>
    <w:lvl w:ilvl="0" w:tentative="0">
      <w:start w:val="3"/>
      <w:numFmt w:val="decimal"/>
      <w:suff w:val="space"/>
      <w:lvlText w:val="%1."/>
      <w:lvlJc w:val="left"/>
    </w:lvl>
  </w:abstractNum>
  <w:abstractNum w:abstractNumId="1">
    <w:nsid w:val="EE9A7012"/>
    <w:multiLevelType w:val="singleLevel"/>
    <w:tmpl w:val="EE9A7012"/>
    <w:lvl w:ilvl="0" w:tentative="0">
      <w:start w:val="1"/>
      <w:numFmt w:val="decimal"/>
      <w:suff w:val="space"/>
      <w:lvlText w:val="%1."/>
      <w:lvlJc w:val="left"/>
    </w:lvl>
  </w:abstractNum>
  <w:abstractNum w:abstractNumId="2">
    <w:nsid w:val="00000009"/>
    <w:multiLevelType w:val="multilevel"/>
    <w:tmpl w:val="00000009"/>
    <w:lvl w:ilvl="0" w:tentative="0">
      <w:start w:val="1"/>
      <w:numFmt w:val="decimal"/>
      <w:lvlText w:val="（%1）"/>
      <w:lvlJc w:val="left"/>
      <w:pPr>
        <w:tabs>
          <w:tab w:val="left" w:pos="960"/>
        </w:tabs>
        <w:ind w:left="960" w:hanging="720"/>
      </w:pPr>
      <w:rPr>
        <w:rFonts w:hint="default"/>
        <w:lang w:val="en-US"/>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3">
    <w:nsid w:val="0053208E"/>
    <w:multiLevelType w:val="singleLevel"/>
    <w:tmpl w:val="0053208E"/>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4">
    <w:nsid w:val="0C1A6254"/>
    <w:multiLevelType w:val="multilevel"/>
    <w:tmpl w:val="0C1A6254"/>
    <w:lvl w:ilvl="0" w:tentative="0">
      <w:start w:val="1"/>
      <w:numFmt w:val="chineseCountingThousand"/>
      <w:suff w:val="space"/>
      <w:lvlText w:val="第%1章"/>
      <w:lvlJc w:val="left"/>
      <w:pPr>
        <w:ind w:left="1530" w:hanging="1530"/>
      </w:pPr>
      <w:rPr>
        <w:rFonts w:hint="default"/>
        <w:lang w:val="en-US"/>
      </w:rPr>
    </w:lvl>
    <w:lvl w:ilvl="1" w:tentative="0">
      <w:start w:val="1"/>
      <w:numFmt w:val="chineseCountingThousand"/>
      <w:pStyle w:val="41"/>
      <w:suff w:val="space"/>
      <w:lvlText w:val="第%2节"/>
      <w:lvlJc w:val="left"/>
      <w:pPr>
        <w:ind w:left="1500" w:hanging="1080"/>
      </w:pPr>
      <w:rPr>
        <w:rFonts w:hint="default"/>
      </w:rPr>
    </w:lvl>
    <w:lvl w:ilvl="2" w:tentative="0">
      <w:start w:val="1"/>
      <w:numFmt w:val="decimal"/>
      <w:pStyle w:val="40"/>
      <w:suff w:val="space"/>
      <w:lvlText w:val="%3"/>
      <w:lvlJc w:val="left"/>
      <w:pPr>
        <w:ind w:left="1560" w:hanging="720"/>
      </w:pPr>
      <w:rPr>
        <w:rFonts w:hint="default"/>
      </w:rPr>
    </w:lvl>
    <w:lvl w:ilvl="3" w:tentative="0">
      <w:start w:val="1"/>
      <w:numFmt w:val="decimal"/>
      <w:pStyle w:val="39"/>
      <w:suff w:val="space"/>
      <w:lvlText w:val="%3.%4"/>
      <w:lvlJc w:val="left"/>
      <w:pPr>
        <w:ind w:left="1680" w:hanging="420"/>
      </w:pPr>
      <w:rPr>
        <w:rFonts w:hint="eastAsia"/>
      </w:rPr>
    </w:lvl>
    <w:lvl w:ilvl="4" w:tentative="0">
      <w:start w:val="1"/>
      <w:numFmt w:val="decimal"/>
      <w:suff w:val="space"/>
      <w:lvlText w:val="%3.%4.%5"/>
      <w:lvlJc w:val="left"/>
      <w:pPr>
        <w:ind w:left="2400" w:hanging="720"/>
      </w:pPr>
      <w:rPr>
        <w:rFonts w:hint="default"/>
      </w:rPr>
    </w:lvl>
    <w:lvl w:ilvl="5" w:tentative="0">
      <w:start w:val="1"/>
      <w:numFmt w:val="decimal"/>
      <w:suff w:val="space"/>
      <w:lvlText w:val="%3.%4.%5.%6"/>
      <w:lvlJc w:val="left"/>
      <w:pPr>
        <w:ind w:left="2460" w:hanging="360"/>
      </w:pPr>
      <w:rPr>
        <w:rFonts w:hint="default"/>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5A6A8B3F"/>
    <w:multiLevelType w:val="singleLevel"/>
    <w:tmpl w:val="5A6A8B3F"/>
    <w:lvl w:ilvl="0" w:tentative="0">
      <w:start w:val="1"/>
      <w:numFmt w:val="decimal"/>
      <w:suff w:val="nothing"/>
      <w:lvlText w:val="（%1）"/>
      <w:lvlJc w:val="left"/>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kNjYyMmYwYjc2Yzc0ZTY0YWU5Y2U1MDdkNTg4M2QifQ=="/>
  </w:docVars>
  <w:rsids>
    <w:rsidRoot w:val="00172A27"/>
    <w:rsid w:val="00004CA5"/>
    <w:rsid w:val="000060FF"/>
    <w:rsid w:val="0001014C"/>
    <w:rsid w:val="00011C8A"/>
    <w:rsid w:val="00016A30"/>
    <w:rsid w:val="00017104"/>
    <w:rsid w:val="00020929"/>
    <w:rsid w:val="000457E3"/>
    <w:rsid w:val="00045B96"/>
    <w:rsid w:val="00052663"/>
    <w:rsid w:val="0005650A"/>
    <w:rsid w:val="00056838"/>
    <w:rsid w:val="00061E6C"/>
    <w:rsid w:val="00064E86"/>
    <w:rsid w:val="00066E42"/>
    <w:rsid w:val="00077911"/>
    <w:rsid w:val="00077CD0"/>
    <w:rsid w:val="000A2269"/>
    <w:rsid w:val="000A725F"/>
    <w:rsid w:val="000B3008"/>
    <w:rsid w:val="000B7B79"/>
    <w:rsid w:val="000C2BAC"/>
    <w:rsid w:val="000D6848"/>
    <w:rsid w:val="000D6ADE"/>
    <w:rsid w:val="000E2070"/>
    <w:rsid w:val="000F19EB"/>
    <w:rsid w:val="000F47D2"/>
    <w:rsid w:val="000F5AEE"/>
    <w:rsid w:val="000F7E90"/>
    <w:rsid w:val="001005AE"/>
    <w:rsid w:val="00103512"/>
    <w:rsid w:val="001062E2"/>
    <w:rsid w:val="00113B7A"/>
    <w:rsid w:val="001217F1"/>
    <w:rsid w:val="001558E5"/>
    <w:rsid w:val="001563E7"/>
    <w:rsid w:val="00161CE9"/>
    <w:rsid w:val="00167727"/>
    <w:rsid w:val="0017095F"/>
    <w:rsid w:val="00172A27"/>
    <w:rsid w:val="00173505"/>
    <w:rsid w:val="001844E0"/>
    <w:rsid w:val="00193E8E"/>
    <w:rsid w:val="00196288"/>
    <w:rsid w:val="0019634C"/>
    <w:rsid w:val="00197412"/>
    <w:rsid w:val="001A5D46"/>
    <w:rsid w:val="001B77B0"/>
    <w:rsid w:val="001C0FAB"/>
    <w:rsid w:val="001C1EC7"/>
    <w:rsid w:val="001C488D"/>
    <w:rsid w:val="001C7C24"/>
    <w:rsid w:val="001D0F96"/>
    <w:rsid w:val="001D2CEC"/>
    <w:rsid w:val="001D4A61"/>
    <w:rsid w:val="001E05B0"/>
    <w:rsid w:val="001E55A9"/>
    <w:rsid w:val="001F21B0"/>
    <w:rsid w:val="001F718A"/>
    <w:rsid w:val="00204438"/>
    <w:rsid w:val="00210123"/>
    <w:rsid w:val="00216E49"/>
    <w:rsid w:val="0021709A"/>
    <w:rsid w:val="0023748D"/>
    <w:rsid w:val="00245B32"/>
    <w:rsid w:val="002471E8"/>
    <w:rsid w:val="0024722A"/>
    <w:rsid w:val="00251421"/>
    <w:rsid w:val="00262E84"/>
    <w:rsid w:val="00265980"/>
    <w:rsid w:val="00273DDB"/>
    <w:rsid w:val="00277A79"/>
    <w:rsid w:val="00284DAC"/>
    <w:rsid w:val="00285539"/>
    <w:rsid w:val="00291F88"/>
    <w:rsid w:val="002921F9"/>
    <w:rsid w:val="00296D44"/>
    <w:rsid w:val="002A0081"/>
    <w:rsid w:val="002B01A4"/>
    <w:rsid w:val="002B400E"/>
    <w:rsid w:val="002B4618"/>
    <w:rsid w:val="002C281B"/>
    <w:rsid w:val="002C3158"/>
    <w:rsid w:val="002D0E9C"/>
    <w:rsid w:val="002D1ABD"/>
    <w:rsid w:val="002D3AE1"/>
    <w:rsid w:val="002E0606"/>
    <w:rsid w:val="002E2DBE"/>
    <w:rsid w:val="002E4952"/>
    <w:rsid w:val="002F1784"/>
    <w:rsid w:val="003125A9"/>
    <w:rsid w:val="00320283"/>
    <w:rsid w:val="00324871"/>
    <w:rsid w:val="00324931"/>
    <w:rsid w:val="00334C0B"/>
    <w:rsid w:val="00336075"/>
    <w:rsid w:val="00352533"/>
    <w:rsid w:val="003542A9"/>
    <w:rsid w:val="00363C32"/>
    <w:rsid w:val="003669AD"/>
    <w:rsid w:val="00374B0B"/>
    <w:rsid w:val="00375B7E"/>
    <w:rsid w:val="00380B74"/>
    <w:rsid w:val="003817A3"/>
    <w:rsid w:val="00381ED9"/>
    <w:rsid w:val="003838A4"/>
    <w:rsid w:val="00386D51"/>
    <w:rsid w:val="003954DA"/>
    <w:rsid w:val="003A7296"/>
    <w:rsid w:val="003A78C9"/>
    <w:rsid w:val="003A7934"/>
    <w:rsid w:val="003B3570"/>
    <w:rsid w:val="003B53B0"/>
    <w:rsid w:val="003B718C"/>
    <w:rsid w:val="003B71B5"/>
    <w:rsid w:val="003D41B8"/>
    <w:rsid w:val="003D60E2"/>
    <w:rsid w:val="003E5D51"/>
    <w:rsid w:val="003E7667"/>
    <w:rsid w:val="003F1FF0"/>
    <w:rsid w:val="003F67BB"/>
    <w:rsid w:val="00402D0E"/>
    <w:rsid w:val="00404B36"/>
    <w:rsid w:val="0040509B"/>
    <w:rsid w:val="00413E30"/>
    <w:rsid w:val="00414AB4"/>
    <w:rsid w:val="00423243"/>
    <w:rsid w:val="00427FD7"/>
    <w:rsid w:val="00430DA3"/>
    <w:rsid w:val="004416B7"/>
    <w:rsid w:val="00443FB6"/>
    <w:rsid w:val="00445F09"/>
    <w:rsid w:val="00454EC9"/>
    <w:rsid w:val="00456313"/>
    <w:rsid w:val="00467CA5"/>
    <w:rsid w:val="004749D8"/>
    <w:rsid w:val="004769A4"/>
    <w:rsid w:val="0047749B"/>
    <w:rsid w:val="00477EA3"/>
    <w:rsid w:val="00480DE5"/>
    <w:rsid w:val="004959F9"/>
    <w:rsid w:val="004A0341"/>
    <w:rsid w:val="004A0497"/>
    <w:rsid w:val="004A1B1C"/>
    <w:rsid w:val="004A37A4"/>
    <w:rsid w:val="004A47A8"/>
    <w:rsid w:val="004A4C74"/>
    <w:rsid w:val="004A6E80"/>
    <w:rsid w:val="004B5C07"/>
    <w:rsid w:val="004B5CAB"/>
    <w:rsid w:val="004C04BC"/>
    <w:rsid w:val="004C074E"/>
    <w:rsid w:val="004C0F92"/>
    <w:rsid w:val="004C0FCB"/>
    <w:rsid w:val="004C1D13"/>
    <w:rsid w:val="004C2133"/>
    <w:rsid w:val="004C3658"/>
    <w:rsid w:val="004C7234"/>
    <w:rsid w:val="004C778D"/>
    <w:rsid w:val="004D07CE"/>
    <w:rsid w:val="004D2B77"/>
    <w:rsid w:val="004F3386"/>
    <w:rsid w:val="004F363C"/>
    <w:rsid w:val="004F409E"/>
    <w:rsid w:val="004F5331"/>
    <w:rsid w:val="00500C79"/>
    <w:rsid w:val="005030B3"/>
    <w:rsid w:val="0050739C"/>
    <w:rsid w:val="00531C20"/>
    <w:rsid w:val="0054474F"/>
    <w:rsid w:val="00552968"/>
    <w:rsid w:val="0055491D"/>
    <w:rsid w:val="0055653B"/>
    <w:rsid w:val="005568B9"/>
    <w:rsid w:val="00566C10"/>
    <w:rsid w:val="005731F0"/>
    <w:rsid w:val="005749C8"/>
    <w:rsid w:val="005B3DBD"/>
    <w:rsid w:val="005B75CA"/>
    <w:rsid w:val="005D58E9"/>
    <w:rsid w:val="005E3595"/>
    <w:rsid w:val="005F65C5"/>
    <w:rsid w:val="00605515"/>
    <w:rsid w:val="00606EE4"/>
    <w:rsid w:val="006202FD"/>
    <w:rsid w:val="00642BBD"/>
    <w:rsid w:val="00652E0B"/>
    <w:rsid w:val="006557B5"/>
    <w:rsid w:val="00656844"/>
    <w:rsid w:val="00666223"/>
    <w:rsid w:val="0067084D"/>
    <w:rsid w:val="006710A0"/>
    <w:rsid w:val="00681BE0"/>
    <w:rsid w:val="006854C8"/>
    <w:rsid w:val="00685976"/>
    <w:rsid w:val="00686180"/>
    <w:rsid w:val="0069070C"/>
    <w:rsid w:val="00691FAB"/>
    <w:rsid w:val="006A2249"/>
    <w:rsid w:val="006A6D2F"/>
    <w:rsid w:val="006B0447"/>
    <w:rsid w:val="006B2C3C"/>
    <w:rsid w:val="006B6BA0"/>
    <w:rsid w:val="006B7977"/>
    <w:rsid w:val="006C0ED5"/>
    <w:rsid w:val="006C3ADF"/>
    <w:rsid w:val="006C3BD0"/>
    <w:rsid w:val="006C40B0"/>
    <w:rsid w:val="006C6198"/>
    <w:rsid w:val="006F2F45"/>
    <w:rsid w:val="006F61DE"/>
    <w:rsid w:val="006F6D9F"/>
    <w:rsid w:val="00705FF1"/>
    <w:rsid w:val="007113D2"/>
    <w:rsid w:val="00716479"/>
    <w:rsid w:val="007424B9"/>
    <w:rsid w:val="007450E6"/>
    <w:rsid w:val="00747B3F"/>
    <w:rsid w:val="00753B3A"/>
    <w:rsid w:val="00762EE9"/>
    <w:rsid w:val="00785243"/>
    <w:rsid w:val="00786B3A"/>
    <w:rsid w:val="007956DD"/>
    <w:rsid w:val="0079778D"/>
    <w:rsid w:val="007A32E0"/>
    <w:rsid w:val="007A4B48"/>
    <w:rsid w:val="007A5BB4"/>
    <w:rsid w:val="007B0B9C"/>
    <w:rsid w:val="007B6A11"/>
    <w:rsid w:val="007C4E9F"/>
    <w:rsid w:val="007C5D04"/>
    <w:rsid w:val="007C68F3"/>
    <w:rsid w:val="007C7893"/>
    <w:rsid w:val="007D3041"/>
    <w:rsid w:val="007D72C6"/>
    <w:rsid w:val="007E1D42"/>
    <w:rsid w:val="007E7A4E"/>
    <w:rsid w:val="007F4734"/>
    <w:rsid w:val="007F4787"/>
    <w:rsid w:val="008001CD"/>
    <w:rsid w:val="008017A9"/>
    <w:rsid w:val="008056CB"/>
    <w:rsid w:val="00810486"/>
    <w:rsid w:val="00812230"/>
    <w:rsid w:val="008138FD"/>
    <w:rsid w:val="00814795"/>
    <w:rsid w:val="00814CDF"/>
    <w:rsid w:val="0081612B"/>
    <w:rsid w:val="00817FDB"/>
    <w:rsid w:val="00821558"/>
    <w:rsid w:val="0082385C"/>
    <w:rsid w:val="00823CA5"/>
    <w:rsid w:val="008241F5"/>
    <w:rsid w:val="00832EDB"/>
    <w:rsid w:val="00834B8C"/>
    <w:rsid w:val="00837B08"/>
    <w:rsid w:val="00845BAB"/>
    <w:rsid w:val="00847590"/>
    <w:rsid w:val="00850B9C"/>
    <w:rsid w:val="00854849"/>
    <w:rsid w:val="00856CEC"/>
    <w:rsid w:val="00861E24"/>
    <w:rsid w:val="00871EE0"/>
    <w:rsid w:val="0087422E"/>
    <w:rsid w:val="00884049"/>
    <w:rsid w:val="00891CCA"/>
    <w:rsid w:val="008925ED"/>
    <w:rsid w:val="00893A6D"/>
    <w:rsid w:val="0089744F"/>
    <w:rsid w:val="008A1CEC"/>
    <w:rsid w:val="008B410D"/>
    <w:rsid w:val="008C01F2"/>
    <w:rsid w:val="008C65C3"/>
    <w:rsid w:val="008D26CA"/>
    <w:rsid w:val="008D2B28"/>
    <w:rsid w:val="008D3280"/>
    <w:rsid w:val="008D40AF"/>
    <w:rsid w:val="008E704F"/>
    <w:rsid w:val="008F26D4"/>
    <w:rsid w:val="008F317C"/>
    <w:rsid w:val="008F77FC"/>
    <w:rsid w:val="00905C0B"/>
    <w:rsid w:val="00906D87"/>
    <w:rsid w:val="00913F84"/>
    <w:rsid w:val="00914C9D"/>
    <w:rsid w:val="009213D8"/>
    <w:rsid w:val="009250FD"/>
    <w:rsid w:val="00931E11"/>
    <w:rsid w:val="00931FAB"/>
    <w:rsid w:val="00934E91"/>
    <w:rsid w:val="009403F7"/>
    <w:rsid w:val="00940E81"/>
    <w:rsid w:val="009446D6"/>
    <w:rsid w:val="00944860"/>
    <w:rsid w:val="00945087"/>
    <w:rsid w:val="00960FCE"/>
    <w:rsid w:val="00966F3C"/>
    <w:rsid w:val="00973101"/>
    <w:rsid w:val="0097366D"/>
    <w:rsid w:val="009757C6"/>
    <w:rsid w:val="00983666"/>
    <w:rsid w:val="00991081"/>
    <w:rsid w:val="00994B5D"/>
    <w:rsid w:val="009A06F5"/>
    <w:rsid w:val="009A4F56"/>
    <w:rsid w:val="009A7416"/>
    <w:rsid w:val="009B53F4"/>
    <w:rsid w:val="009C321B"/>
    <w:rsid w:val="009C69E3"/>
    <w:rsid w:val="009C6DA1"/>
    <w:rsid w:val="009C7457"/>
    <w:rsid w:val="009D3B96"/>
    <w:rsid w:val="009E704A"/>
    <w:rsid w:val="009F74D2"/>
    <w:rsid w:val="00A06FA6"/>
    <w:rsid w:val="00A073CB"/>
    <w:rsid w:val="00A177EA"/>
    <w:rsid w:val="00A21F01"/>
    <w:rsid w:val="00A35817"/>
    <w:rsid w:val="00A36E41"/>
    <w:rsid w:val="00A40F63"/>
    <w:rsid w:val="00A54D10"/>
    <w:rsid w:val="00A61770"/>
    <w:rsid w:val="00A7253A"/>
    <w:rsid w:val="00A74143"/>
    <w:rsid w:val="00A74A1D"/>
    <w:rsid w:val="00A74B3E"/>
    <w:rsid w:val="00A936D7"/>
    <w:rsid w:val="00AA31B1"/>
    <w:rsid w:val="00AA36F0"/>
    <w:rsid w:val="00AA6707"/>
    <w:rsid w:val="00AB3B97"/>
    <w:rsid w:val="00AC1169"/>
    <w:rsid w:val="00AC78CC"/>
    <w:rsid w:val="00AD5F86"/>
    <w:rsid w:val="00AE0C3F"/>
    <w:rsid w:val="00AE3FA7"/>
    <w:rsid w:val="00B026B2"/>
    <w:rsid w:val="00B17C19"/>
    <w:rsid w:val="00B27D6E"/>
    <w:rsid w:val="00B3453F"/>
    <w:rsid w:val="00B366A5"/>
    <w:rsid w:val="00B376C3"/>
    <w:rsid w:val="00B3795C"/>
    <w:rsid w:val="00B5109B"/>
    <w:rsid w:val="00B55978"/>
    <w:rsid w:val="00B5611A"/>
    <w:rsid w:val="00B5721E"/>
    <w:rsid w:val="00B61712"/>
    <w:rsid w:val="00B655B7"/>
    <w:rsid w:val="00B65759"/>
    <w:rsid w:val="00B6608E"/>
    <w:rsid w:val="00B73A19"/>
    <w:rsid w:val="00B849F2"/>
    <w:rsid w:val="00B84F12"/>
    <w:rsid w:val="00B864A0"/>
    <w:rsid w:val="00B901F4"/>
    <w:rsid w:val="00B91439"/>
    <w:rsid w:val="00B93750"/>
    <w:rsid w:val="00B939DC"/>
    <w:rsid w:val="00BA1CCC"/>
    <w:rsid w:val="00BA5FD5"/>
    <w:rsid w:val="00BA749C"/>
    <w:rsid w:val="00BB203D"/>
    <w:rsid w:val="00BB3B7B"/>
    <w:rsid w:val="00BB5FD8"/>
    <w:rsid w:val="00BB6B6F"/>
    <w:rsid w:val="00BB7A39"/>
    <w:rsid w:val="00BC00A2"/>
    <w:rsid w:val="00BC6418"/>
    <w:rsid w:val="00BD21B7"/>
    <w:rsid w:val="00BD6D6B"/>
    <w:rsid w:val="00BE330B"/>
    <w:rsid w:val="00BE6BDD"/>
    <w:rsid w:val="00BE7481"/>
    <w:rsid w:val="00BF1BAA"/>
    <w:rsid w:val="00C00CE6"/>
    <w:rsid w:val="00C02A31"/>
    <w:rsid w:val="00C04E9F"/>
    <w:rsid w:val="00C06A67"/>
    <w:rsid w:val="00C1339A"/>
    <w:rsid w:val="00C16393"/>
    <w:rsid w:val="00C17D0F"/>
    <w:rsid w:val="00C21F6D"/>
    <w:rsid w:val="00C23DD9"/>
    <w:rsid w:val="00C23EE8"/>
    <w:rsid w:val="00C3045B"/>
    <w:rsid w:val="00C313B5"/>
    <w:rsid w:val="00C31FBF"/>
    <w:rsid w:val="00C4253E"/>
    <w:rsid w:val="00C4328D"/>
    <w:rsid w:val="00C4340F"/>
    <w:rsid w:val="00C54A17"/>
    <w:rsid w:val="00C56809"/>
    <w:rsid w:val="00C57694"/>
    <w:rsid w:val="00C60204"/>
    <w:rsid w:val="00C60F55"/>
    <w:rsid w:val="00C619BC"/>
    <w:rsid w:val="00C6269E"/>
    <w:rsid w:val="00C62DC5"/>
    <w:rsid w:val="00C63A11"/>
    <w:rsid w:val="00C7165B"/>
    <w:rsid w:val="00C7702E"/>
    <w:rsid w:val="00C80BAF"/>
    <w:rsid w:val="00C86838"/>
    <w:rsid w:val="00C90240"/>
    <w:rsid w:val="00C91296"/>
    <w:rsid w:val="00C924DB"/>
    <w:rsid w:val="00C92A58"/>
    <w:rsid w:val="00C930C3"/>
    <w:rsid w:val="00C96B44"/>
    <w:rsid w:val="00CA061E"/>
    <w:rsid w:val="00CA769A"/>
    <w:rsid w:val="00CB10ED"/>
    <w:rsid w:val="00CB534D"/>
    <w:rsid w:val="00CC19AE"/>
    <w:rsid w:val="00CC1A11"/>
    <w:rsid w:val="00CD6A3E"/>
    <w:rsid w:val="00CE143F"/>
    <w:rsid w:val="00CE2DB9"/>
    <w:rsid w:val="00CE402D"/>
    <w:rsid w:val="00CF5FE6"/>
    <w:rsid w:val="00D01666"/>
    <w:rsid w:val="00D01C1B"/>
    <w:rsid w:val="00D05939"/>
    <w:rsid w:val="00D127A9"/>
    <w:rsid w:val="00D12832"/>
    <w:rsid w:val="00D15E51"/>
    <w:rsid w:val="00D160B9"/>
    <w:rsid w:val="00D23804"/>
    <w:rsid w:val="00D250C4"/>
    <w:rsid w:val="00D326C7"/>
    <w:rsid w:val="00D32C10"/>
    <w:rsid w:val="00D34BBF"/>
    <w:rsid w:val="00D350A7"/>
    <w:rsid w:val="00D40165"/>
    <w:rsid w:val="00D44FAC"/>
    <w:rsid w:val="00D51319"/>
    <w:rsid w:val="00D70790"/>
    <w:rsid w:val="00D74C61"/>
    <w:rsid w:val="00D76B7B"/>
    <w:rsid w:val="00D92F55"/>
    <w:rsid w:val="00D972DB"/>
    <w:rsid w:val="00D97A84"/>
    <w:rsid w:val="00DB1F92"/>
    <w:rsid w:val="00DC4270"/>
    <w:rsid w:val="00DC5061"/>
    <w:rsid w:val="00DC72F7"/>
    <w:rsid w:val="00DD67CD"/>
    <w:rsid w:val="00DD6EE7"/>
    <w:rsid w:val="00DE0062"/>
    <w:rsid w:val="00DE26C1"/>
    <w:rsid w:val="00DE3D63"/>
    <w:rsid w:val="00DF43E4"/>
    <w:rsid w:val="00DF7889"/>
    <w:rsid w:val="00E01C2A"/>
    <w:rsid w:val="00E0284F"/>
    <w:rsid w:val="00E05623"/>
    <w:rsid w:val="00E13A2F"/>
    <w:rsid w:val="00E14946"/>
    <w:rsid w:val="00E14E59"/>
    <w:rsid w:val="00E16894"/>
    <w:rsid w:val="00E2061F"/>
    <w:rsid w:val="00E254D4"/>
    <w:rsid w:val="00E27860"/>
    <w:rsid w:val="00E303D0"/>
    <w:rsid w:val="00E30CAE"/>
    <w:rsid w:val="00E32824"/>
    <w:rsid w:val="00E40EF4"/>
    <w:rsid w:val="00E458DD"/>
    <w:rsid w:val="00E54E9D"/>
    <w:rsid w:val="00E75A30"/>
    <w:rsid w:val="00E810D0"/>
    <w:rsid w:val="00E84535"/>
    <w:rsid w:val="00E95B70"/>
    <w:rsid w:val="00E97D24"/>
    <w:rsid w:val="00EA0627"/>
    <w:rsid w:val="00EA53C0"/>
    <w:rsid w:val="00EA57AC"/>
    <w:rsid w:val="00EB0C07"/>
    <w:rsid w:val="00EB3F3C"/>
    <w:rsid w:val="00EB75E1"/>
    <w:rsid w:val="00EC0AB0"/>
    <w:rsid w:val="00EC2813"/>
    <w:rsid w:val="00ED0DA0"/>
    <w:rsid w:val="00ED1CE0"/>
    <w:rsid w:val="00EE0250"/>
    <w:rsid w:val="00EE25B0"/>
    <w:rsid w:val="00EE3F78"/>
    <w:rsid w:val="00EE7FC1"/>
    <w:rsid w:val="00EF1895"/>
    <w:rsid w:val="00EF3DF2"/>
    <w:rsid w:val="00EF4697"/>
    <w:rsid w:val="00EF4CAB"/>
    <w:rsid w:val="00EF7B18"/>
    <w:rsid w:val="00F0239C"/>
    <w:rsid w:val="00F02456"/>
    <w:rsid w:val="00F07530"/>
    <w:rsid w:val="00F10F2B"/>
    <w:rsid w:val="00F116ED"/>
    <w:rsid w:val="00F14EB4"/>
    <w:rsid w:val="00F16E15"/>
    <w:rsid w:val="00F21570"/>
    <w:rsid w:val="00F25350"/>
    <w:rsid w:val="00F268E3"/>
    <w:rsid w:val="00F313A6"/>
    <w:rsid w:val="00F34CD6"/>
    <w:rsid w:val="00F5252C"/>
    <w:rsid w:val="00F52B77"/>
    <w:rsid w:val="00F56F47"/>
    <w:rsid w:val="00F6267F"/>
    <w:rsid w:val="00F66578"/>
    <w:rsid w:val="00F66FFE"/>
    <w:rsid w:val="00F71B1B"/>
    <w:rsid w:val="00F75A10"/>
    <w:rsid w:val="00F82D2D"/>
    <w:rsid w:val="00F84EE9"/>
    <w:rsid w:val="00F8698C"/>
    <w:rsid w:val="00F87789"/>
    <w:rsid w:val="00F93B43"/>
    <w:rsid w:val="00F95472"/>
    <w:rsid w:val="00F95DBA"/>
    <w:rsid w:val="00F97578"/>
    <w:rsid w:val="00FA0F9C"/>
    <w:rsid w:val="00FA2406"/>
    <w:rsid w:val="00FA2603"/>
    <w:rsid w:val="00FA67F1"/>
    <w:rsid w:val="00FC3B28"/>
    <w:rsid w:val="00FC3EA5"/>
    <w:rsid w:val="00FD2A5D"/>
    <w:rsid w:val="00FD39CE"/>
    <w:rsid w:val="00FD4881"/>
    <w:rsid w:val="00FE267B"/>
    <w:rsid w:val="00FE3DD0"/>
    <w:rsid w:val="00FF4E89"/>
    <w:rsid w:val="00FF58F2"/>
    <w:rsid w:val="00FF5F90"/>
    <w:rsid w:val="00FF6B21"/>
    <w:rsid w:val="013D7393"/>
    <w:rsid w:val="015B12FA"/>
    <w:rsid w:val="016322CF"/>
    <w:rsid w:val="021D229B"/>
    <w:rsid w:val="02320F40"/>
    <w:rsid w:val="02810A7C"/>
    <w:rsid w:val="02A604E3"/>
    <w:rsid w:val="033A58E3"/>
    <w:rsid w:val="033B7CEE"/>
    <w:rsid w:val="033C0FA5"/>
    <w:rsid w:val="0374431B"/>
    <w:rsid w:val="038500F8"/>
    <w:rsid w:val="03CC05F6"/>
    <w:rsid w:val="0431226F"/>
    <w:rsid w:val="04585160"/>
    <w:rsid w:val="05530C3F"/>
    <w:rsid w:val="06267D8F"/>
    <w:rsid w:val="066C59D6"/>
    <w:rsid w:val="06FB2296"/>
    <w:rsid w:val="07013856"/>
    <w:rsid w:val="07F650E6"/>
    <w:rsid w:val="0824326F"/>
    <w:rsid w:val="08A90F87"/>
    <w:rsid w:val="08E31491"/>
    <w:rsid w:val="093323A4"/>
    <w:rsid w:val="0B0A435D"/>
    <w:rsid w:val="0B5343DF"/>
    <w:rsid w:val="0B9761FA"/>
    <w:rsid w:val="0BE565DD"/>
    <w:rsid w:val="0C2B1A59"/>
    <w:rsid w:val="0C3E00A0"/>
    <w:rsid w:val="0C780A15"/>
    <w:rsid w:val="0CC028E5"/>
    <w:rsid w:val="0D720386"/>
    <w:rsid w:val="0DB241E0"/>
    <w:rsid w:val="0DE93564"/>
    <w:rsid w:val="0E71409B"/>
    <w:rsid w:val="0E99350F"/>
    <w:rsid w:val="0F035023"/>
    <w:rsid w:val="0F1E4EB1"/>
    <w:rsid w:val="0F844130"/>
    <w:rsid w:val="0FFA518E"/>
    <w:rsid w:val="10352EA6"/>
    <w:rsid w:val="10F845FF"/>
    <w:rsid w:val="115858DA"/>
    <w:rsid w:val="116E3B38"/>
    <w:rsid w:val="116F3CB8"/>
    <w:rsid w:val="12050515"/>
    <w:rsid w:val="1246067F"/>
    <w:rsid w:val="12832FD7"/>
    <w:rsid w:val="129E2F84"/>
    <w:rsid w:val="129E4D32"/>
    <w:rsid w:val="12A10CC7"/>
    <w:rsid w:val="12A4329C"/>
    <w:rsid w:val="132B390D"/>
    <w:rsid w:val="138853DF"/>
    <w:rsid w:val="13A75232"/>
    <w:rsid w:val="13D80718"/>
    <w:rsid w:val="13E470BD"/>
    <w:rsid w:val="14444A7F"/>
    <w:rsid w:val="14CA1C41"/>
    <w:rsid w:val="155B6F0B"/>
    <w:rsid w:val="157977FA"/>
    <w:rsid w:val="15A364C0"/>
    <w:rsid w:val="163115CE"/>
    <w:rsid w:val="16557DFE"/>
    <w:rsid w:val="16A63E30"/>
    <w:rsid w:val="16B4247D"/>
    <w:rsid w:val="17574C53"/>
    <w:rsid w:val="17654312"/>
    <w:rsid w:val="17812824"/>
    <w:rsid w:val="17916272"/>
    <w:rsid w:val="182C1740"/>
    <w:rsid w:val="184B317E"/>
    <w:rsid w:val="186168EF"/>
    <w:rsid w:val="18D019BE"/>
    <w:rsid w:val="18E32AAE"/>
    <w:rsid w:val="19411560"/>
    <w:rsid w:val="1981785B"/>
    <w:rsid w:val="19B968F6"/>
    <w:rsid w:val="1B032CDB"/>
    <w:rsid w:val="1B8D4842"/>
    <w:rsid w:val="1B90291C"/>
    <w:rsid w:val="1B944F25"/>
    <w:rsid w:val="1BA661F5"/>
    <w:rsid w:val="1BBD7DC1"/>
    <w:rsid w:val="1C7209FB"/>
    <w:rsid w:val="1CB53FBB"/>
    <w:rsid w:val="1CC01D49"/>
    <w:rsid w:val="1D91498A"/>
    <w:rsid w:val="1DBA6D7A"/>
    <w:rsid w:val="1E01086B"/>
    <w:rsid w:val="1E863A2A"/>
    <w:rsid w:val="1F212F73"/>
    <w:rsid w:val="1F3D2378"/>
    <w:rsid w:val="1F7C2DF3"/>
    <w:rsid w:val="20206420"/>
    <w:rsid w:val="20826217"/>
    <w:rsid w:val="20AD48E7"/>
    <w:rsid w:val="20C1767C"/>
    <w:rsid w:val="20D67D8D"/>
    <w:rsid w:val="2116138E"/>
    <w:rsid w:val="21336F8E"/>
    <w:rsid w:val="232F3AD2"/>
    <w:rsid w:val="23616034"/>
    <w:rsid w:val="237F64BA"/>
    <w:rsid w:val="23D762F6"/>
    <w:rsid w:val="23E80503"/>
    <w:rsid w:val="24125580"/>
    <w:rsid w:val="2458074A"/>
    <w:rsid w:val="248A2B54"/>
    <w:rsid w:val="248B6B58"/>
    <w:rsid w:val="24CE594B"/>
    <w:rsid w:val="24CF6FCD"/>
    <w:rsid w:val="25530F26"/>
    <w:rsid w:val="25B05051"/>
    <w:rsid w:val="266C66DC"/>
    <w:rsid w:val="26B92A3D"/>
    <w:rsid w:val="270513CC"/>
    <w:rsid w:val="272C20C3"/>
    <w:rsid w:val="27537C6F"/>
    <w:rsid w:val="293F0D0A"/>
    <w:rsid w:val="29477D04"/>
    <w:rsid w:val="29566969"/>
    <w:rsid w:val="297F17A6"/>
    <w:rsid w:val="2B2F07C6"/>
    <w:rsid w:val="2B542615"/>
    <w:rsid w:val="2B73144A"/>
    <w:rsid w:val="2C0D1E6E"/>
    <w:rsid w:val="2C585935"/>
    <w:rsid w:val="2C931E20"/>
    <w:rsid w:val="2D12039F"/>
    <w:rsid w:val="2D8615B4"/>
    <w:rsid w:val="2DA87D45"/>
    <w:rsid w:val="2DD702D0"/>
    <w:rsid w:val="2DD90EBD"/>
    <w:rsid w:val="2DFE0F97"/>
    <w:rsid w:val="2E16587C"/>
    <w:rsid w:val="2E3939FC"/>
    <w:rsid w:val="2E602CD7"/>
    <w:rsid w:val="2EEA322C"/>
    <w:rsid w:val="2F290D25"/>
    <w:rsid w:val="2F68141B"/>
    <w:rsid w:val="30FF3F23"/>
    <w:rsid w:val="31327353"/>
    <w:rsid w:val="314825E1"/>
    <w:rsid w:val="32E97D58"/>
    <w:rsid w:val="33061C2E"/>
    <w:rsid w:val="330A31F5"/>
    <w:rsid w:val="331A5C3C"/>
    <w:rsid w:val="3333520C"/>
    <w:rsid w:val="33426C9D"/>
    <w:rsid w:val="339558B6"/>
    <w:rsid w:val="351F4A72"/>
    <w:rsid w:val="35392301"/>
    <w:rsid w:val="35DF1E83"/>
    <w:rsid w:val="369B3EB9"/>
    <w:rsid w:val="36CE7444"/>
    <w:rsid w:val="3710606A"/>
    <w:rsid w:val="374F30BE"/>
    <w:rsid w:val="379C325D"/>
    <w:rsid w:val="37EC048D"/>
    <w:rsid w:val="383733B0"/>
    <w:rsid w:val="39033A31"/>
    <w:rsid w:val="3991089E"/>
    <w:rsid w:val="39C649EB"/>
    <w:rsid w:val="3ABB1107"/>
    <w:rsid w:val="3B111FD1"/>
    <w:rsid w:val="3B5E2C18"/>
    <w:rsid w:val="3C410065"/>
    <w:rsid w:val="3C642299"/>
    <w:rsid w:val="3C860462"/>
    <w:rsid w:val="3CE0569F"/>
    <w:rsid w:val="3CF822AD"/>
    <w:rsid w:val="3DD737D3"/>
    <w:rsid w:val="3E8B6203"/>
    <w:rsid w:val="3F0B05C9"/>
    <w:rsid w:val="3F1F71E0"/>
    <w:rsid w:val="3F292BCC"/>
    <w:rsid w:val="3F3C1B85"/>
    <w:rsid w:val="3F524038"/>
    <w:rsid w:val="3FCC262F"/>
    <w:rsid w:val="3FE22B50"/>
    <w:rsid w:val="405E6B02"/>
    <w:rsid w:val="41A42801"/>
    <w:rsid w:val="4274330F"/>
    <w:rsid w:val="43543068"/>
    <w:rsid w:val="43F53BF3"/>
    <w:rsid w:val="444A5A42"/>
    <w:rsid w:val="45AA11BE"/>
    <w:rsid w:val="45C901CF"/>
    <w:rsid w:val="45E85CE9"/>
    <w:rsid w:val="45F60406"/>
    <w:rsid w:val="466F5189"/>
    <w:rsid w:val="46CA1053"/>
    <w:rsid w:val="470D33D6"/>
    <w:rsid w:val="47114A03"/>
    <w:rsid w:val="471B2B08"/>
    <w:rsid w:val="477E5A35"/>
    <w:rsid w:val="47D43B60"/>
    <w:rsid w:val="4800556C"/>
    <w:rsid w:val="488868E9"/>
    <w:rsid w:val="48DC7D87"/>
    <w:rsid w:val="48EA1279"/>
    <w:rsid w:val="49227764"/>
    <w:rsid w:val="496D2005"/>
    <w:rsid w:val="499A041F"/>
    <w:rsid w:val="49A759FF"/>
    <w:rsid w:val="49AF724A"/>
    <w:rsid w:val="4A190B67"/>
    <w:rsid w:val="4AE9372D"/>
    <w:rsid w:val="4AFA1230"/>
    <w:rsid w:val="4B3050DA"/>
    <w:rsid w:val="4B810454"/>
    <w:rsid w:val="4C151307"/>
    <w:rsid w:val="4C1C490F"/>
    <w:rsid w:val="4C3F19A4"/>
    <w:rsid w:val="4CB60144"/>
    <w:rsid w:val="4CEF0512"/>
    <w:rsid w:val="4D274C3F"/>
    <w:rsid w:val="4D9679F4"/>
    <w:rsid w:val="4DFB6955"/>
    <w:rsid w:val="4F774489"/>
    <w:rsid w:val="4FBC58D3"/>
    <w:rsid w:val="50316E09"/>
    <w:rsid w:val="50854B05"/>
    <w:rsid w:val="520E2829"/>
    <w:rsid w:val="521E45EE"/>
    <w:rsid w:val="52BF2FBF"/>
    <w:rsid w:val="532D1832"/>
    <w:rsid w:val="53476482"/>
    <w:rsid w:val="53A92F5C"/>
    <w:rsid w:val="53B054A0"/>
    <w:rsid w:val="54AA54D4"/>
    <w:rsid w:val="55284396"/>
    <w:rsid w:val="55335D66"/>
    <w:rsid w:val="556505CB"/>
    <w:rsid w:val="558477DD"/>
    <w:rsid w:val="5670471D"/>
    <w:rsid w:val="569D39BF"/>
    <w:rsid w:val="56DD55B9"/>
    <w:rsid w:val="57453C4C"/>
    <w:rsid w:val="578D049F"/>
    <w:rsid w:val="57B91294"/>
    <w:rsid w:val="580B5F93"/>
    <w:rsid w:val="587A0A23"/>
    <w:rsid w:val="58F53B5B"/>
    <w:rsid w:val="59BE5686"/>
    <w:rsid w:val="59D97373"/>
    <w:rsid w:val="59F54BC0"/>
    <w:rsid w:val="5A5F6122"/>
    <w:rsid w:val="5A952651"/>
    <w:rsid w:val="5AB04DB2"/>
    <w:rsid w:val="5B007630"/>
    <w:rsid w:val="5BBC64BB"/>
    <w:rsid w:val="5BC052E6"/>
    <w:rsid w:val="5BEF34D6"/>
    <w:rsid w:val="5C146662"/>
    <w:rsid w:val="5C553C81"/>
    <w:rsid w:val="5C73268F"/>
    <w:rsid w:val="5CAC3B86"/>
    <w:rsid w:val="5CAE15E3"/>
    <w:rsid w:val="5D166434"/>
    <w:rsid w:val="5D5A3E03"/>
    <w:rsid w:val="5DA031C8"/>
    <w:rsid w:val="5DD0609E"/>
    <w:rsid w:val="5DD62B9F"/>
    <w:rsid w:val="5E234A0C"/>
    <w:rsid w:val="5E850121"/>
    <w:rsid w:val="5F3D7A5D"/>
    <w:rsid w:val="5F736EF9"/>
    <w:rsid w:val="5FBE2446"/>
    <w:rsid w:val="5FE1582B"/>
    <w:rsid w:val="60C7471D"/>
    <w:rsid w:val="61292E6A"/>
    <w:rsid w:val="613E3B9F"/>
    <w:rsid w:val="615564D1"/>
    <w:rsid w:val="61784242"/>
    <w:rsid w:val="617B5804"/>
    <w:rsid w:val="61F8635F"/>
    <w:rsid w:val="629B6165"/>
    <w:rsid w:val="62DA3B7F"/>
    <w:rsid w:val="62DB47B4"/>
    <w:rsid w:val="62EF7408"/>
    <w:rsid w:val="6379611B"/>
    <w:rsid w:val="64477FC6"/>
    <w:rsid w:val="645B4EC7"/>
    <w:rsid w:val="650C6290"/>
    <w:rsid w:val="662E13AF"/>
    <w:rsid w:val="66363DEA"/>
    <w:rsid w:val="6664667D"/>
    <w:rsid w:val="66B3770D"/>
    <w:rsid w:val="66B52BC7"/>
    <w:rsid w:val="66F93741"/>
    <w:rsid w:val="67256946"/>
    <w:rsid w:val="6784541A"/>
    <w:rsid w:val="680127A3"/>
    <w:rsid w:val="6809591F"/>
    <w:rsid w:val="688C463B"/>
    <w:rsid w:val="688C5948"/>
    <w:rsid w:val="68AB69D7"/>
    <w:rsid w:val="68B77FA3"/>
    <w:rsid w:val="692549DB"/>
    <w:rsid w:val="692F6664"/>
    <w:rsid w:val="693C24B3"/>
    <w:rsid w:val="6A242EE4"/>
    <w:rsid w:val="6B2115F2"/>
    <w:rsid w:val="6BBD3220"/>
    <w:rsid w:val="6E8A4208"/>
    <w:rsid w:val="6EDB5130"/>
    <w:rsid w:val="70D36062"/>
    <w:rsid w:val="71324139"/>
    <w:rsid w:val="71F94F63"/>
    <w:rsid w:val="721D0945"/>
    <w:rsid w:val="725A692F"/>
    <w:rsid w:val="72652E97"/>
    <w:rsid w:val="72B114A0"/>
    <w:rsid w:val="734177FF"/>
    <w:rsid w:val="7365282E"/>
    <w:rsid w:val="74100557"/>
    <w:rsid w:val="742640F9"/>
    <w:rsid w:val="7481388F"/>
    <w:rsid w:val="74870CC3"/>
    <w:rsid w:val="748E3885"/>
    <w:rsid w:val="749C193E"/>
    <w:rsid w:val="74C84EA7"/>
    <w:rsid w:val="759215C3"/>
    <w:rsid w:val="760F5360"/>
    <w:rsid w:val="763C3064"/>
    <w:rsid w:val="76611BED"/>
    <w:rsid w:val="76883BF0"/>
    <w:rsid w:val="76A30685"/>
    <w:rsid w:val="774B2A84"/>
    <w:rsid w:val="77A94A29"/>
    <w:rsid w:val="791D56CF"/>
    <w:rsid w:val="795338E4"/>
    <w:rsid w:val="79714D71"/>
    <w:rsid w:val="797D7F1B"/>
    <w:rsid w:val="79B421DE"/>
    <w:rsid w:val="7A3F3423"/>
    <w:rsid w:val="7AE169D0"/>
    <w:rsid w:val="7B28566F"/>
    <w:rsid w:val="7BEB762A"/>
    <w:rsid w:val="7BF546E1"/>
    <w:rsid w:val="7C29648D"/>
    <w:rsid w:val="7C661A55"/>
    <w:rsid w:val="7C78145A"/>
    <w:rsid w:val="7CE40D0A"/>
    <w:rsid w:val="7DB36601"/>
    <w:rsid w:val="7E27265F"/>
    <w:rsid w:val="7E31556E"/>
    <w:rsid w:val="7E720C22"/>
    <w:rsid w:val="7E941B29"/>
    <w:rsid w:val="7EDE145C"/>
    <w:rsid w:val="7EED4A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qFormat="1"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Cs/>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kern w:val="44"/>
      <w:sz w:val="44"/>
      <w:szCs w:val="4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qFormat/>
    <w:uiPriority w:val="0"/>
    <w:pPr>
      <w:ind w:left="2520" w:leftChars="1200"/>
    </w:pPr>
    <w:rPr>
      <w:rFonts w:ascii="等线" w:hAnsi="等线" w:eastAsia="等线"/>
      <w:bCs w:val="0"/>
      <w:szCs w:val="22"/>
    </w:rPr>
  </w:style>
  <w:style w:type="paragraph" w:styleId="4">
    <w:name w:val="Normal Indent"/>
    <w:basedOn w:val="1"/>
    <w:unhideWhenUsed/>
    <w:qFormat/>
    <w:uiPriority w:val="99"/>
    <w:pPr>
      <w:ind w:firstLine="420"/>
    </w:pPr>
  </w:style>
  <w:style w:type="paragraph" w:styleId="5">
    <w:name w:val="Document Map"/>
    <w:basedOn w:val="1"/>
    <w:semiHidden/>
    <w:qFormat/>
    <w:uiPriority w:val="0"/>
    <w:pPr>
      <w:shd w:val="clear" w:color="auto" w:fill="000080"/>
    </w:pPr>
  </w:style>
  <w:style w:type="paragraph" w:styleId="6">
    <w:name w:val="annotation text"/>
    <w:basedOn w:val="1"/>
    <w:link w:val="37"/>
    <w:semiHidden/>
    <w:unhideWhenUsed/>
    <w:qFormat/>
    <w:uiPriority w:val="99"/>
    <w:pPr>
      <w:jc w:val="left"/>
    </w:pPr>
  </w:style>
  <w:style w:type="paragraph" w:styleId="7">
    <w:name w:val="Body Text"/>
    <w:basedOn w:val="8"/>
    <w:next w:val="8"/>
    <w:qFormat/>
    <w:uiPriority w:val="0"/>
    <w:rPr>
      <w:sz w:val="25"/>
    </w:rPr>
  </w:style>
  <w:style w:type="paragraph" w:styleId="8">
    <w:name w:val="Title"/>
    <w:basedOn w:val="1"/>
    <w:next w:val="1"/>
    <w:link w:val="43"/>
    <w:qFormat/>
    <w:uiPriority w:val="0"/>
    <w:pPr>
      <w:spacing w:before="240" w:after="60"/>
      <w:jc w:val="center"/>
      <w:outlineLvl w:val="0"/>
    </w:pPr>
    <w:rPr>
      <w:rFonts w:ascii="Arial" w:hAnsi="Arial" w:cs="Arial"/>
      <w:b/>
      <w:sz w:val="32"/>
      <w:szCs w:val="32"/>
    </w:rPr>
  </w:style>
  <w:style w:type="paragraph" w:styleId="9">
    <w:name w:val="Body Text Indent"/>
    <w:basedOn w:val="1"/>
    <w:qFormat/>
    <w:uiPriority w:val="0"/>
    <w:pPr>
      <w:spacing w:line="500" w:lineRule="exact"/>
      <w:ind w:firstLine="570"/>
    </w:pPr>
    <w:rPr>
      <w:rFonts w:ascii="宋体" w:hAnsi="宋体"/>
    </w:rPr>
  </w:style>
  <w:style w:type="paragraph" w:styleId="10">
    <w:name w:val="Plain Text"/>
    <w:basedOn w:val="1"/>
    <w:link w:val="27"/>
    <w:qFormat/>
    <w:uiPriority w:val="0"/>
    <w:rPr>
      <w:rFonts w:ascii="宋体" w:hAnsi="Courier New"/>
      <w:bCs w:val="0"/>
      <w:szCs w:val="20"/>
      <w:lang w:val="zh-CN"/>
    </w:rPr>
  </w:style>
  <w:style w:type="paragraph" w:styleId="11">
    <w:name w:val="toc 8"/>
    <w:basedOn w:val="1"/>
    <w:next w:val="1"/>
    <w:semiHidden/>
    <w:unhideWhenUsed/>
    <w:qFormat/>
    <w:uiPriority w:val="39"/>
    <w:pPr>
      <w:ind w:left="2940" w:leftChars="1400"/>
    </w:pPr>
  </w:style>
  <w:style w:type="paragraph" w:styleId="12">
    <w:name w:val="Balloon Text"/>
    <w:basedOn w:val="1"/>
    <w:semiHidden/>
    <w:qFormat/>
    <w:uiPriority w:val="0"/>
    <w:rPr>
      <w:sz w:val="18"/>
      <w:szCs w:val="18"/>
    </w:rPr>
  </w:style>
  <w:style w:type="paragraph" w:styleId="13">
    <w:name w:val="footer"/>
    <w:basedOn w:val="1"/>
    <w:link w:val="28"/>
    <w:qFormat/>
    <w:uiPriority w:val="99"/>
    <w:pPr>
      <w:tabs>
        <w:tab w:val="center" w:pos="4153"/>
        <w:tab w:val="right" w:pos="8306"/>
      </w:tabs>
      <w:snapToGrid w:val="0"/>
      <w:jc w:val="left"/>
    </w:pPr>
    <w:rPr>
      <w:sz w:val="18"/>
      <w:szCs w:val="18"/>
      <w:lang w:val="zh-CN"/>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44"/>
    <w:qFormat/>
    <w:uiPriority w:val="11"/>
    <w:pPr>
      <w:spacing w:before="240" w:after="60" w:line="312" w:lineRule="auto"/>
      <w:jc w:val="center"/>
      <w:outlineLvl w:val="1"/>
    </w:pPr>
    <w:rPr>
      <w:rFonts w:ascii="Calibri Light" w:hAnsi="Calibri Light"/>
      <w:b/>
      <w:kern w:val="28"/>
      <w:sz w:val="32"/>
      <w:szCs w:val="32"/>
    </w:rPr>
  </w:style>
  <w:style w:type="paragraph" w:styleId="16">
    <w:name w:val="Body Text 2"/>
    <w:basedOn w:val="1"/>
    <w:qFormat/>
    <w:uiPriority w:val="0"/>
    <w:rPr>
      <w:sz w:val="28"/>
    </w:rPr>
  </w:style>
  <w:style w:type="paragraph" w:styleId="17">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8">
    <w:name w:val="annotation subject"/>
    <w:basedOn w:val="6"/>
    <w:next w:val="6"/>
    <w:link w:val="38"/>
    <w:semiHidden/>
    <w:unhideWhenUsed/>
    <w:qFormat/>
    <w:uiPriority w:val="99"/>
    <w:rPr>
      <w:b/>
    </w:rPr>
  </w:style>
  <w:style w:type="paragraph" w:styleId="19">
    <w:name w:val="Body Text First Indent"/>
    <w:basedOn w:val="7"/>
    <w:qFormat/>
    <w:uiPriority w:val="0"/>
    <w:pPr>
      <w:ind w:firstLine="420"/>
    </w:pPr>
    <w:rPr>
      <w:sz w:val="21"/>
    </w:rPr>
  </w:style>
  <w:style w:type="table" w:styleId="21">
    <w:name w:val="Table Grid"/>
    <w:basedOn w:val="20"/>
    <w:qFormat/>
    <w:uiPriority w:val="99"/>
    <w:rPr>
      <w:rFonts w:hAnsi="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qFormat/>
    <w:uiPriority w:val="0"/>
    <w:rPr>
      <w:rFonts w:eastAsia="宋体"/>
      <w:sz w:val="24"/>
      <w:szCs w:val="24"/>
    </w:rPr>
  </w:style>
  <w:style w:type="character" w:styleId="24">
    <w:name w:val="Emphasis"/>
    <w:qFormat/>
    <w:uiPriority w:val="20"/>
    <w:rPr>
      <w:i/>
      <w:sz w:val="24"/>
    </w:rPr>
  </w:style>
  <w:style w:type="character" w:styleId="25">
    <w:name w:val="Hyperlink"/>
    <w:qFormat/>
    <w:uiPriority w:val="0"/>
    <w:rPr>
      <w:color w:val="0000FF"/>
      <w:sz w:val="24"/>
      <w:u w:val="single"/>
    </w:rPr>
  </w:style>
  <w:style w:type="character" w:styleId="26">
    <w:name w:val="annotation reference"/>
    <w:basedOn w:val="22"/>
    <w:semiHidden/>
    <w:unhideWhenUsed/>
    <w:qFormat/>
    <w:uiPriority w:val="99"/>
    <w:rPr>
      <w:sz w:val="21"/>
      <w:szCs w:val="21"/>
    </w:rPr>
  </w:style>
  <w:style w:type="character" w:customStyle="1" w:styleId="27">
    <w:name w:val="纯文本 Char"/>
    <w:link w:val="10"/>
    <w:qFormat/>
    <w:uiPriority w:val="0"/>
    <w:rPr>
      <w:rFonts w:ascii="宋体" w:hAnsi="Courier New"/>
      <w:kern w:val="2"/>
      <w:sz w:val="21"/>
      <w:lang w:bidi="ar-SA"/>
    </w:rPr>
  </w:style>
  <w:style w:type="character" w:customStyle="1" w:styleId="28">
    <w:name w:val="页脚 Char"/>
    <w:link w:val="13"/>
    <w:qFormat/>
    <w:uiPriority w:val="99"/>
    <w:rPr>
      <w:bCs/>
      <w:kern w:val="2"/>
      <w:sz w:val="18"/>
      <w:szCs w:val="18"/>
    </w:rPr>
  </w:style>
  <w:style w:type="paragraph" w:customStyle="1" w:styleId="29">
    <w:name w:val="正文1"/>
    <w:basedOn w:val="1"/>
    <w:next w:val="7"/>
    <w:qFormat/>
    <w:uiPriority w:val="0"/>
    <w:rPr>
      <w:sz w:val="24"/>
    </w:rPr>
  </w:style>
  <w:style w:type="paragraph" w:customStyle="1" w:styleId="30">
    <w:name w:val="Char"/>
    <w:basedOn w:val="1"/>
    <w:qFormat/>
    <w:uiPriority w:val="0"/>
    <w:pPr>
      <w:tabs>
        <w:tab w:val="left" w:pos="960"/>
      </w:tabs>
      <w:ind w:left="960" w:hanging="420"/>
    </w:pPr>
    <w:rPr>
      <w:sz w:val="24"/>
    </w:rPr>
  </w:style>
  <w:style w:type="paragraph" w:customStyle="1" w:styleId="31">
    <w:name w:val="a"/>
    <w:basedOn w:val="1"/>
    <w:qFormat/>
    <w:uiPriority w:val="0"/>
    <w:pPr>
      <w:widowControl/>
      <w:jc w:val="left"/>
    </w:pPr>
    <w:rPr>
      <w:rFonts w:ascii="宋体" w:hAnsi="宋体" w:cs="宋体"/>
      <w:bCs w:val="0"/>
      <w:kern w:val="0"/>
      <w:sz w:val="24"/>
    </w:rPr>
  </w:style>
  <w:style w:type="paragraph" w:customStyle="1" w:styleId="32">
    <w:name w:val="Body text|1"/>
    <w:basedOn w:val="1"/>
    <w:qFormat/>
    <w:uiPriority w:val="0"/>
    <w:pPr>
      <w:spacing w:line="418" w:lineRule="auto"/>
      <w:ind w:firstLine="400"/>
    </w:pPr>
    <w:rPr>
      <w:rFonts w:ascii="宋体" w:hAnsi="宋体" w:cs="宋体"/>
      <w:sz w:val="19"/>
      <w:szCs w:val="19"/>
      <w:lang w:val="zh-TW" w:eastAsia="zh-TW" w:bidi="zh-TW"/>
    </w:rPr>
  </w:style>
  <w:style w:type="paragraph" w:customStyle="1" w:styleId="33">
    <w:name w:val="段"/>
    <w:qFormat/>
    <w:uiPriority w:val="0"/>
    <w:pPr>
      <w:jc w:val="center"/>
    </w:pPr>
    <w:rPr>
      <w:rFonts w:ascii="宋体" w:hAnsi="Times New Roman" w:eastAsia="仿宋_GB2312" w:cs="Times New Roman"/>
      <w:sz w:val="32"/>
      <w:lang w:val="en-US" w:eastAsia="zh-CN" w:bidi="ar-SA"/>
    </w:rPr>
  </w:style>
  <w:style w:type="character" w:customStyle="1" w:styleId="34">
    <w:name w:val="正文文本 3 字符1"/>
    <w:qFormat/>
    <w:uiPriority w:val="99"/>
    <w:rPr>
      <w:rFonts w:ascii="宋体"/>
      <w:kern w:val="2"/>
      <w:sz w:val="24"/>
    </w:rPr>
  </w:style>
  <w:style w:type="paragraph" w:customStyle="1" w:styleId="35">
    <w:name w:val="正文文本首行缩进1"/>
    <w:basedOn w:val="7"/>
    <w:next w:val="19"/>
    <w:qFormat/>
    <w:uiPriority w:val="0"/>
    <w:pPr>
      <w:widowControl/>
      <w:spacing w:before="0" w:after="120" w:line="259" w:lineRule="auto"/>
      <w:ind w:firstLine="420"/>
      <w:jc w:val="left"/>
      <w:outlineLvl w:val="9"/>
    </w:pPr>
    <w:rPr>
      <w:rFonts w:ascii="Calibri" w:hAnsi="Calibri" w:eastAsia="Times New Roman" w:cs="Times New Roman"/>
      <w:b w:val="0"/>
      <w:bCs w:val="0"/>
      <w:color w:val="000000"/>
      <w:kern w:val="0"/>
      <w:sz w:val="20"/>
      <w:szCs w:val="20"/>
    </w:rPr>
  </w:style>
  <w:style w:type="paragraph" w:styleId="36">
    <w:name w:val="List Paragraph"/>
    <w:basedOn w:val="1"/>
    <w:unhideWhenUsed/>
    <w:qFormat/>
    <w:uiPriority w:val="99"/>
    <w:pPr>
      <w:ind w:firstLine="420" w:firstLineChars="200"/>
    </w:pPr>
  </w:style>
  <w:style w:type="character" w:customStyle="1" w:styleId="37">
    <w:name w:val="批注文字 Char"/>
    <w:basedOn w:val="22"/>
    <w:link w:val="6"/>
    <w:semiHidden/>
    <w:qFormat/>
    <w:uiPriority w:val="99"/>
    <w:rPr>
      <w:bCs/>
      <w:kern w:val="2"/>
      <w:sz w:val="21"/>
      <w:szCs w:val="24"/>
    </w:rPr>
  </w:style>
  <w:style w:type="character" w:customStyle="1" w:styleId="38">
    <w:name w:val="批注主题 Char"/>
    <w:basedOn w:val="37"/>
    <w:link w:val="18"/>
    <w:semiHidden/>
    <w:qFormat/>
    <w:uiPriority w:val="99"/>
    <w:rPr>
      <w:b/>
      <w:kern w:val="2"/>
      <w:sz w:val="21"/>
      <w:szCs w:val="24"/>
    </w:rPr>
  </w:style>
  <w:style w:type="paragraph" w:customStyle="1" w:styleId="39">
    <w:name w:val="附录二级条标题 Char"/>
    <w:basedOn w:val="40"/>
    <w:next w:val="1"/>
    <w:qFormat/>
    <w:uiPriority w:val="0"/>
    <w:pPr>
      <w:numPr>
        <w:ilvl w:val="3"/>
      </w:numPr>
      <w:outlineLvl w:val="3"/>
    </w:pPr>
  </w:style>
  <w:style w:type="paragraph" w:customStyle="1" w:styleId="40">
    <w:name w:val="附录一级条标题 Char"/>
    <w:basedOn w:val="41"/>
    <w:next w:val="1"/>
    <w:qFormat/>
    <w:uiPriority w:val="0"/>
    <w:pPr>
      <w:numPr>
        <w:ilvl w:val="2"/>
      </w:numPr>
      <w:autoSpaceDN w:val="0"/>
      <w:spacing w:beforeLines="0" w:afterLines="0"/>
      <w:outlineLvl w:val="2"/>
    </w:pPr>
  </w:style>
  <w:style w:type="paragraph" w:customStyle="1" w:styleId="41">
    <w:name w:val="附录章标题 Char"/>
    <w:next w:val="1"/>
    <w:qFormat/>
    <w:uiPriority w:val="0"/>
    <w:pPr>
      <w:numPr>
        <w:ilvl w:val="1"/>
        <w:numId w:val="1"/>
      </w:numPr>
      <w:wordWrap w:val="0"/>
      <w:overflowPunct w:val="0"/>
      <w:autoSpaceDE w:val="0"/>
      <w:spacing w:beforeLines="50" w:afterLines="50"/>
      <w:jc w:val="both"/>
      <w:textAlignment w:val="baseline"/>
      <w:outlineLvl w:val="1"/>
    </w:pPr>
    <w:rPr>
      <w:rFonts w:ascii="黑体" w:hAnsi="Calibri" w:eastAsia="黑体" w:cs="Times New Roman"/>
      <w:kern w:val="21"/>
      <w:sz w:val="21"/>
      <w:szCs w:val="22"/>
      <w:lang w:val="en-US" w:eastAsia="zh-CN" w:bidi="ar-SA"/>
    </w:rPr>
  </w:style>
  <w:style w:type="paragraph" w:customStyle="1" w:styleId="42">
    <w:name w:val="p0"/>
    <w:basedOn w:val="1"/>
    <w:qFormat/>
    <w:uiPriority w:val="0"/>
    <w:rPr>
      <w:szCs w:val="21"/>
    </w:rPr>
  </w:style>
  <w:style w:type="character" w:customStyle="1" w:styleId="43">
    <w:name w:val="标题 Char"/>
    <w:link w:val="8"/>
    <w:qFormat/>
    <w:uiPriority w:val="10"/>
    <w:rPr>
      <w:rFonts w:ascii="Arial" w:hAnsi="Arial" w:cs="Arial"/>
      <w:b/>
      <w:sz w:val="32"/>
      <w:szCs w:val="32"/>
    </w:rPr>
  </w:style>
  <w:style w:type="character" w:customStyle="1" w:styleId="44">
    <w:name w:val="副标题 Char"/>
    <w:link w:val="15"/>
    <w:qFormat/>
    <w:uiPriority w:val="11"/>
    <w:rPr>
      <w:rFonts w:ascii="Calibri Light" w:hAnsi="Calibri Light" w:cs="Times New Roman"/>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6CE37D-6E02-4490-8EE0-9B11CD26682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22778</Words>
  <Characters>2831</Characters>
  <Lines>23</Lines>
  <Paragraphs>51</Paragraphs>
  <TotalTime>47</TotalTime>
  <ScaleCrop>false</ScaleCrop>
  <LinksUpToDate>false</LinksUpToDate>
  <CharactersWithSpaces>25558</CharactersWithSpaces>
  <Application>WPS Office_11.1.0.12155_F1E327BC-269C-435d-A152-05C5408002CA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2020-03-16T09:36:00Z</dcterms:created>
  <dc:creator>微软用户</dc:creator>
  <cp:lastModifiedBy>HP</cp:lastModifiedBy>
  <cp:lastPrinted>2020-03-30T02:49:00Z</cp:lastPrinted>
  <dcterms:modified xsi:type="dcterms:W3CDTF">2023-08-08T06:12:54Z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2052-11.1.0.12155</vt:lpwstr>
  </property>
  <property fmtid="{D5CDD505-2E9C-101B-9397-08002B2CF9AE}" pid="3" name="ICV">
    <vt:lpwstr>BC75C9143D684EEA86774E4FD82191B2</vt:lpwstr>
  </property>
</Properties>
</file>