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ind w:firstLine="0" w:firstLineChars="0"/>
        <w:jc w:val="center"/>
        <w:rPr>
          <w:rFonts w:hint="eastAsia" w:ascii="Times New Roman" w:hAnsi="Times New Roman" w:eastAsia="黑体" w:cs="Times New Roman"/>
          <w:color w:val="000000" w:themeColor="text1"/>
          <w:sz w:val="44"/>
          <w:szCs w:val="44"/>
          <w:highlight w:val="none"/>
          <w14:textFill>
            <w14:solidFill>
              <w14:schemeClr w14:val="tx1"/>
            </w14:solidFill>
          </w14:textFill>
        </w:rPr>
      </w:pPr>
    </w:p>
    <w:p>
      <w:pPr>
        <w:ind w:firstLine="0" w:firstLineChars="0"/>
        <w:jc w:val="center"/>
        <w:rPr>
          <w:rFonts w:ascii="Times New Roman" w:hAnsi="Times New Roman" w:eastAsia="黑体" w:cs="Times New Roman"/>
          <w:color w:val="000000" w:themeColor="text1"/>
          <w:sz w:val="44"/>
          <w:szCs w:val="44"/>
          <w:highlight w:val="none"/>
          <w14:textFill>
            <w14:solidFill>
              <w14:schemeClr w14:val="tx1"/>
            </w14:solidFill>
          </w14:textFill>
        </w:rPr>
      </w:pPr>
      <w:r>
        <w:rPr>
          <w:rFonts w:hint="eastAsia" w:ascii="Times New Roman" w:hAnsi="Times New Roman" w:eastAsia="黑体" w:cs="Times New Roman"/>
          <w:color w:val="000000" w:themeColor="text1"/>
          <w:sz w:val="44"/>
          <w:szCs w:val="44"/>
          <w:highlight w:val="none"/>
          <w14:textFill>
            <w14:solidFill>
              <w14:schemeClr w14:val="tx1"/>
            </w14:solidFill>
          </w14:textFill>
        </w:rPr>
        <w:t>南沙全民文化体育综合</w:t>
      </w:r>
      <w:r>
        <w:rPr>
          <w:rFonts w:hint="eastAsia" w:ascii="Times New Roman" w:hAnsi="Times New Roman" w:eastAsia="黑体" w:cs="Times New Roman"/>
          <w:color w:val="000000" w:themeColor="text1"/>
          <w:sz w:val="44"/>
          <w:szCs w:val="44"/>
          <w:highlight w:val="none"/>
          <w:lang w:val="en-US" w:eastAsia="zh-CN"/>
          <w14:textFill>
            <w14:solidFill>
              <w14:schemeClr w14:val="tx1"/>
            </w14:solidFill>
          </w14:textFill>
        </w:rPr>
        <w:t>体项目配套骨干道路</w:t>
      </w:r>
      <w:r>
        <w:rPr>
          <w:rFonts w:hint="eastAsia" w:ascii="Times New Roman" w:hAnsi="Times New Roman" w:eastAsia="黑体" w:cs="Times New Roman"/>
          <w:color w:val="000000" w:themeColor="text1"/>
          <w:sz w:val="44"/>
          <w:szCs w:val="44"/>
          <w:highlight w:val="none"/>
          <w14:textFill>
            <w14:solidFill>
              <w14:schemeClr w14:val="tx1"/>
            </w14:solidFill>
          </w14:textFill>
        </w:rPr>
        <w:t>勘察、方案和初步设计</w:t>
      </w:r>
    </w:p>
    <w:p>
      <w:pPr>
        <w:jc w:val="center"/>
        <w:rPr>
          <w:rFonts w:ascii="Times New Roman" w:hAnsi="Times New Roman" w:eastAsia="黑体" w:cs="Times New Roman"/>
          <w:color w:val="000000" w:themeColor="text1"/>
          <w:sz w:val="44"/>
          <w:szCs w:val="44"/>
          <w:highlight w:val="none"/>
          <w14:textFill>
            <w14:solidFill>
              <w14:schemeClr w14:val="tx1"/>
            </w14:solidFill>
          </w14:textFill>
        </w:rPr>
      </w:pPr>
    </w:p>
    <w:p>
      <w:pPr>
        <w:jc w:val="center"/>
        <w:rPr>
          <w:color w:val="000000" w:themeColor="text1"/>
          <w:highlight w:val="none"/>
          <w14:textFill>
            <w14:solidFill>
              <w14:schemeClr w14:val="tx1"/>
            </w14:solidFill>
          </w14:textFill>
        </w:rPr>
      </w:pPr>
    </w:p>
    <w:p>
      <w:pPr>
        <w:jc w:val="center"/>
        <w:rPr>
          <w:rFonts w:ascii="方正小标宋简体" w:hAnsi="Times New Roman" w:eastAsia="方正小标宋简体" w:cs="Times New Roman"/>
          <w:color w:val="000000" w:themeColor="text1"/>
          <w:sz w:val="84"/>
          <w:szCs w:val="84"/>
          <w:highlight w:val="none"/>
          <w14:textFill>
            <w14:solidFill>
              <w14:schemeClr w14:val="tx1"/>
            </w14:solidFill>
          </w14:textFill>
        </w:rPr>
      </w:pPr>
    </w:p>
    <w:p>
      <w:pPr>
        <w:jc w:val="center"/>
        <w:rPr>
          <w:rFonts w:ascii="方正小标宋简体" w:hAnsi="Times New Roman" w:eastAsia="方正小标宋简体" w:cs="Times New Roman"/>
          <w:color w:val="000000" w:themeColor="text1"/>
          <w:sz w:val="84"/>
          <w:szCs w:val="84"/>
          <w:highlight w:val="none"/>
          <w14:textFill>
            <w14:solidFill>
              <w14:schemeClr w14:val="tx1"/>
            </w14:solidFill>
          </w14:textFill>
        </w:rPr>
      </w:pPr>
    </w:p>
    <w:p>
      <w:pPr>
        <w:jc w:val="center"/>
        <w:rPr>
          <w:rFonts w:ascii="方正小标宋简体" w:hAnsi="Times New Roman" w:eastAsia="方正小标宋简体" w:cs="Times New Roman"/>
          <w:color w:val="000000" w:themeColor="text1"/>
          <w:sz w:val="84"/>
          <w:szCs w:val="84"/>
          <w:highlight w:val="none"/>
          <w14:textFill>
            <w14:solidFill>
              <w14:schemeClr w14:val="tx1"/>
            </w14:solidFill>
          </w14:textFill>
        </w:rPr>
      </w:pPr>
      <w:r>
        <w:rPr>
          <w:rFonts w:hint="eastAsia" w:ascii="方正小标宋简体" w:hAnsi="Times New Roman" w:eastAsia="方正小标宋简体" w:cs="Times New Roman"/>
          <w:color w:val="000000" w:themeColor="text1"/>
          <w:sz w:val="84"/>
          <w:szCs w:val="84"/>
          <w:highlight w:val="none"/>
          <w14:textFill>
            <w14:solidFill>
              <w14:schemeClr w14:val="tx1"/>
            </w14:solidFill>
          </w14:textFill>
        </w:rPr>
        <w:t>任务书</w:t>
      </w:r>
    </w:p>
    <w:p>
      <w:pPr>
        <w:ind w:firstLine="1120"/>
        <w:rPr>
          <w:rFonts w:ascii="Times New Roman" w:hAnsi="Times New Roman" w:eastAsia="黑体" w:cs="Times New Roman"/>
          <w:color w:val="000000" w:themeColor="text1"/>
          <w:sz w:val="56"/>
          <w:szCs w:val="56"/>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480"/>
        <w:rPr>
          <w:rFonts w:ascii="Times New Roman" w:hAnsi="Times New Roman" w:eastAsia="黑体" w:cs="Times New Roman"/>
          <w:color w:val="000000" w:themeColor="text1"/>
          <w:highlight w:val="none"/>
          <w14:textFill>
            <w14:solidFill>
              <w14:schemeClr w14:val="tx1"/>
            </w14:solidFill>
          </w14:textFill>
        </w:rPr>
      </w:pPr>
    </w:p>
    <w:p>
      <w:pPr>
        <w:ind w:firstLine="239" w:firstLineChars="66"/>
        <w:jc w:val="center"/>
        <w:rPr>
          <w:rFonts w:ascii="Times New Roman" w:hAnsi="Times New Roman" w:eastAsia="黑体" w:cs="Times New Roman"/>
          <w:b/>
          <w:color w:val="000000" w:themeColor="text1"/>
          <w:sz w:val="36"/>
          <w:szCs w:val="36"/>
          <w:highlight w:val="none"/>
          <w14:textFill>
            <w14:solidFill>
              <w14:schemeClr w14:val="tx1"/>
            </w14:solidFill>
          </w14:textFill>
        </w:rPr>
      </w:pPr>
      <w:r>
        <w:rPr>
          <w:rFonts w:hint="eastAsia" w:hAnsi="宋体"/>
          <w:b/>
          <w:color w:val="000000" w:themeColor="text1"/>
          <w:sz w:val="36"/>
          <w:szCs w:val="36"/>
          <w:highlight w:val="none"/>
          <w:shd w:val="clear" w:color="auto" w:fill="FFFFFF"/>
          <w14:textFill>
            <w14:solidFill>
              <w14:schemeClr w14:val="tx1"/>
            </w14:solidFill>
          </w14:textFill>
        </w:rPr>
        <w:t>广州南沙交通投资集团有限公司</w:t>
      </w:r>
    </w:p>
    <w:p>
      <w:pPr>
        <w:ind w:firstLine="239" w:firstLineChars="66"/>
        <w:jc w:val="center"/>
        <w:rPr>
          <w:rFonts w:hAnsi="宋体"/>
          <w:b/>
          <w:color w:val="000000" w:themeColor="text1"/>
          <w:sz w:val="36"/>
          <w:szCs w:val="36"/>
          <w:highlight w:val="none"/>
          <w:shd w:val="clear" w:color="auto" w:fill="FFFFFF"/>
          <w14:textFill>
            <w14:solidFill>
              <w14:schemeClr w14:val="tx1"/>
            </w14:solidFill>
          </w14:textFill>
        </w:rPr>
      </w:pPr>
      <w:r>
        <w:rPr>
          <w:rFonts w:hint="eastAsia" w:hAnsi="宋体"/>
          <w:b/>
          <w:color w:val="000000" w:themeColor="text1"/>
          <w:sz w:val="36"/>
          <w:szCs w:val="36"/>
          <w:highlight w:val="none"/>
          <w:shd w:val="clear" w:color="auto" w:fill="FFFFFF"/>
          <w14:textFill>
            <w14:solidFill>
              <w14:schemeClr w14:val="tx1"/>
            </w14:solidFill>
          </w14:textFill>
        </w:rPr>
        <w:t>2</w:t>
      </w:r>
      <w:r>
        <w:rPr>
          <w:rFonts w:hAnsi="宋体"/>
          <w:b/>
          <w:color w:val="000000" w:themeColor="text1"/>
          <w:sz w:val="36"/>
          <w:szCs w:val="36"/>
          <w:highlight w:val="none"/>
          <w:shd w:val="clear" w:color="auto" w:fill="FFFFFF"/>
          <w14:textFill>
            <w14:solidFill>
              <w14:schemeClr w14:val="tx1"/>
            </w14:solidFill>
          </w14:textFill>
        </w:rPr>
        <w:t>02</w:t>
      </w:r>
      <w:r>
        <w:rPr>
          <w:rFonts w:hint="eastAsia" w:hAnsi="宋体"/>
          <w:b/>
          <w:color w:val="000000" w:themeColor="text1"/>
          <w:sz w:val="36"/>
          <w:szCs w:val="36"/>
          <w:highlight w:val="none"/>
          <w:shd w:val="clear" w:color="auto" w:fill="FFFFFF"/>
          <w:lang w:val="en-US" w:eastAsia="zh-CN"/>
          <w14:textFill>
            <w14:solidFill>
              <w14:schemeClr w14:val="tx1"/>
            </w14:solidFill>
          </w14:textFill>
        </w:rPr>
        <w:t>3</w:t>
      </w:r>
      <w:r>
        <w:rPr>
          <w:rFonts w:hint="eastAsia" w:hAnsi="宋体"/>
          <w:b/>
          <w:color w:val="000000" w:themeColor="text1"/>
          <w:sz w:val="36"/>
          <w:szCs w:val="36"/>
          <w:highlight w:val="none"/>
          <w:shd w:val="clear" w:color="auto" w:fill="FFFFFF"/>
          <w14:textFill>
            <w14:solidFill>
              <w14:schemeClr w14:val="tx1"/>
            </w14:solidFill>
          </w14:textFill>
        </w:rPr>
        <w:t>年</w:t>
      </w:r>
      <w:r>
        <w:rPr>
          <w:rFonts w:hint="eastAsia" w:hAnsi="宋体"/>
          <w:b/>
          <w:color w:val="000000" w:themeColor="text1"/>
          <w:sz w:val="36"/>
          <w:szCs w:val="36"/>
          <w:highlight w:val="none"/>
          <w:shd w:val="clear" w:color="auto" w:fill="FFFFFF"/>
          <w:lang w:val="en-US" w:eastAsia="zh-CN"/>
          <w14:textFill>
            <w14:solidFill>
              <w14:schemeClr w14:val="tx1"/>
            </w14:solidFill>
          </w14:textFill>
        </w:rPr>
        <w:t>7</w:t>
      </w:r>
      <w:r>
        <w:rPr>
          <w:rFonts w:hint="eastAsia" w:hAnsi="宋体"/>
          <w:b/>
          <w:color w:val="000000" w:themeColor="text1"/>
          <w:sz w:val="36"/>
          <w:szCs w:val="36"/>
          <w:highlight w:val="none"/>
          <w:shd w:val="clear" w:color="auto" w:fill="FFFFFF"/>
          <w14:textFill>
            <w14:solidFill>
              <w14:schemeClr w14:val="tx1"/>
            </w14:solidFill>
          </w14:textFill>
        </w:rPr>
        <w:t>月</w:t>
      </w:r>
    </w:p>
    <w:p>
      <w:pPr>
        <w:ind w:firstLine="239" w:firstLineChars="66"/>
        <w:jc w:val="center"/>
        <w:rPr>
          <w:rFonts w:hAnsi="宋体"/>
          <w:b/>
          <w:color w:val="000000" w:themeColor="text1"/>
          <w:sz w:val="36"/>
          <w:szCs w:val="36"/>
          <w:highlight w:val="none"/>
          <w:shd w:val="clear" w:color="auto" w:fill="FFFFFF"/>
          <w14:textFill>
            <w14:solidFill>
              <w14:schemeClr w14:val="tx1"/>
            </w14:solidFill>
          </w14:textFill>
        </w:rPr>
      </w:pPr>
      <w:bookmarkStart w:id="81" w:name="_GoBack"/>
      <w:bookmarkEnd w:id="81"/>
    </w:p>
    <w:p>
      <w:pPr>
        <w:ind w:firstLine="239" w:firstLineChars="66"/>
        <w:jc w:val="center"/>
        <w:rPr>
          <w:rFonts w:hAnsi="宋体"/>
          <w:b/>
          <w:color w:val="000000" w:themeColor="text1"/>
          <w:sz w:val="36"/>
          <w:szCs w:val="36"/>
          <w:highlight w:val="none"/>
          <w:shd w:val="clear" w:color="auto" w:fill="FFFFFF"/>
          <w14:textFill>
            <w14:solidFill>
              <w14:schemeClr w14:val="tx1"/>
            </w14:solidFill>
          </w14:textFill>
        </w:rPr>
      </w:pPr>
    </w:p>
    <w:p>
      <w:pPr>
        <w:ind w:firstLine="239" w:firstLineChars="66"/>
        <w:jc w:val="center"/>
        <w:rPr>
          <w:rFonts w:hAnsi="宋体"/>
          <w:b/>
          <w:color w:val="000000" w:themeColor="text1"/>
          <w:sz w:val="36"/>
          <w:szCs w:val="36"/>
          <w:highlight w:val="none"/>
          <w:shd w:val="clear" w:color="auto" w:fill="FFFFFF"/>
          <w14:textFill>
            <w14:solidFill>
              <w14:schemeClr w14:val="tx1"/>
            </w14:solidFill>
          </w14:textFill>
        </w:rPr>
      </w:pPr>
    </w:p>
    <w:p>
      <w:pPr>
        <w:ind w:firstLine="640"/>
        <w:rPr>
          <w:rFonts w:ascii="Times New Roman" w:hAnsi="Times New Roman" w:cs="Times New Roman"/>
          <w:color w:val="000000" w:themeColor="text1"/>
          <w:kern w:val="0"/>
          <w:sz w:val="32"/>
          <w:szCs w:val="44"/>
          <w:highlight w:val="none"/>
          <w14:textFill>
            <w14:solidFill>
              <w14:schemeClr w14:val="tx1"/>
            </w14:solidFill>
          </w14:textFill>
        </w:rPr>
      </w:pPr>
    </w:p>
    <w:p>
      <w:pPr>
        <w:ind w:firstLine="640"/>
        <w:rPr>
          <w:rFonts w:ascii="Times New Roman" w:hAnsi="Times New Roman" w:cs="Times New Roman"/>
          <w:color w:val="000000" w:themeColor="text1"/>
          <w:kern w:val="0"/>
          <w:sz w:val="32"/>
          <w:szCs w:val="44"/>
          <w:highlight w:val="none"/>
          <w14:textFill>
            <w14:solidFill>
              <w14:schemeClr w14:val="tx1"/>
            </w14:solidFill>
          </w14:textFill>
        </w:rPr>
      </w:pPr>
    </w:p>
    <w:p>
      <w:pPr>
        <w:ind w:firstLine="643"/>
        <w:jc w:val="center"/>
        <w:rPr>
          <w:rFonts w:ascii="Times New Roman" w:hAnsi="Times New Roman" w:cs="Times New Roman"/>
          <w:b/>
          <w:color w:val="000000" w:themeColor="text1"/>
          <w:sz w:val="32"/>
          <w:szCs w:val="32"/>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jc w:val="center"/>
        <w:rPr>
          <w:rFonts w:ascii="Times New Roman" w:hAnsi="Times New Roman" w:cs="Times New Roman"/>
          <w:b/>
          <w:color w:val="000000" w:themeColor="text1"/>
          <w:sz w:val="32"/>
          <w:szCs w:val="32"/>
          <w:highlight w:val="none"/>
          <w14:textFill>
            <w14:solidFill>
              <w14:schemeClr w14:val="tx1"/>
            </w14:solidFill>
          </w14:textFill>
        </w:rPr>
      </w:pPr>
      <w:r>
        <w:rPr>
          <w:rFonts w:ascii="Times New Roman" w:hAnsi="Times New Roman" w:cs="Times New Roman"/>
          <w:b/>
          <w:color w:val="000000" w:themeColor="text1"/>
          <w:sz w:val="32"/>
          <w:szCs w:val="32"/>
          <w:highlight w:val="none"/>
          <w14:textFill>
            <w14:solidFill>
              <w14:schemeClr w14:val="tx1"/>
            </w14:solidFill>
          </w14:textFill>
        </w:rPr>
        <w:t>目 录</w:t>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fldChar w:fldCharType="begin"/>
      </w:r>
      <w:r>
        <w:rPr>
          <w:rFonts w:ascii="Times New Roman" w:hAnsi="Times New Roman" w:cs="Times New Roman"/>
          <w:color w:val="000000" w:themeColor="text1"/>
          <w:highlight w:val="none"/>
          <w14:textFill>
            <w14:solidFill>
              <w14:schemeClr w14:val="tx1"/>
            </w14:solidFill>
          </w14:textFill>
        </w:rPr>
        <w:instrText xml:space="preserve"> TOC \o "1-1" \h \z \t "标题 2,2"</w:instrText>
      </w:r>
      <w:r>
        <w:rPr>
          <w:rFonts w:ascii="Times New Roman" w:hAnsi="Times New Roman" w:cs="Times New Roman"/>
          <w:color w:val="000000" w:themeColor="text1"/>
          <w:highlight w:val="none"/>
          <w14:textFill>
            <w14:solidFill>
              <w14:schemeClr w14:val="tx1"/>
            </w14:solidFill>
          </w14:textFill>
        </w:rPr>
        <w:fldChar w:fldCharType="separate"/>
      </w: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_Toc4402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第一章 总则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_Toc4402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_Toc16443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t xml:space="preserve">1.1 </w:t>
      </w:r>
      <w:r>
        <w:rPr>
          <w:rFonts w:hint="eastAsia"/>
          <w:color w:val="000000" w:themeColor="text1"/>
          <w:highlight w:val="none"/>
          <w14:textFill>
            <w14:solidFill>
              <w14:schemeClr w14:val="tx1"/>
            </w14:solidFill>
          </w14:textFill>
        </w:rPr>
        <w:t>项目建设背景</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_Toc16443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_Toc1681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1.2 项目概况</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_Toc1681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_Toc21677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bCs w:val="0"/>
          <w:color w:val="000000" w:themeColor="text1"/>
          <w:highlight w:val="none"/>
          <w14:textFill>
            <w14:solidFill>
              <w14:schemeClr w14:val="tx1"/>
            </w14:solidFill>
          </w14:textFill>
        </w:rPr>
        <w:t>1.3 编制依据</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_Toc21677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_Toc29866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第二章 设计</w:t>
      </w:r>
      <w:r>
        <w:rPr>
          <w:rFonts w:hint="eastAsia"/>
          <w:color w:val="000000" w:themeColor="text1"/>
          <w:highlight w:val="none"/>
          <w14:textFill>
            <w14:solidFill>
              <w14:schemeClr w14:val="tx1"/>
            </w14:solidFill>
          </w14:textFill>
        </w:rPr>
        <w:t>目标与总体原则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_Toc29866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_Toc27825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2.1</w:t>
      </w:r>
      <w:r>
        <w:rPr>
          <w:rFonts w:hint="eastAsia"/>
          <w:color w:val="000000" w:themeColor="text1"/>
          <w:highlight w:val="none"/>
          <w14:textFill>
            <w14:solidFill>
              <w14:schemeClr w14:val="tx1"/>
            </w14:solidFill>
          </w14:textFill>
        </w:rPr>
        <w:t xml:space="preserve"> 设计目标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_Toc27825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_Toc22486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2.2 总体原则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_Toc19243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 xml:space="preserve">第三章 </w:t>
      </w:r>
      <w:r>
        <w:rPr>
          <w:rFonts w:hint="eastAsia"/>
          <w:color w:val="000000" w:themeColor="text1"/>
          <w:highlight w:val="none"/>
          <w14:textFill>
            <w14:solidFill>
              <w14:schemeClr w14:val="tx1"/>
            </w14:solidFill>
          </w14:textFill>
        </w:rPr>
        <w:t>工作</w:t>
      </w:r>
      <w:r>
        <w:rPr>
          <w:color w:val="000000" w:themeColor="text1"/>
          <w:highlight w:val="none"/>
          <w14:textFill>
            <w14:solidFill>
              <w14:schemeClr w14:val="tx1"/>
            </w14:solidFill>
          </w14:textFill>
        </w:rPr>
        <w:t>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_Toc19243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_Toc1934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1设计内容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_Toc1934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_Toc12597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勘察</w:t>
      </w:r>
      <w:r>
        <w:rPr>
          <w:rFonts w:hint="eastAsia"/>
          <w:color w:val="000000" w:themeColor="text1"/>
          <w:highlight w:val="none"/>
          <w14:textFill>
            <w14:solidFill>
              <w14:schemeClr w14:val="tx1"/>
            </w14:solidFill>
          </w14:textFill>
        </w:rPr>
        <w:t>设计要求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_Toc12597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_Toc29180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造价编制要求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_Toc29180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16</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_Toc10208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章 </w:t>
      </w:r>
      <w:r>
        <w:rPr>
          <w:rFonts w:hint="eastAsia"/>
          <w:color w:val="000000" w:themeColor="text1"/>
          <w:highlight w:val="none"/>
          <w14:textFill>
            <w14:solidFill>
              <w14:schemeClr w14:val="tx1"/>
            </w14:solidFill>
          </w14:textFill>
        </w:rPr>
        <w:t>主要技术标准与设计参数</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_Toc10208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_Toc18750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4.1 道路工程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_Toc18750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18</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_Toc22771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4.2 桥梁工程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_Toc22771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22</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_Toc22420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4.3 管线综合工程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_Toc22420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_Toc30437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4.4 排水工程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_Toc30437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_Toc6661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 xml:space="preserve">4.5 </w:t>
      </w:r>
      <w:r>
        <w:rPr>
          <w:rFonts w:hint="eastAsia"/>
          <w:color w:val="000000" w:themeColor="text1"/>
          <w:highlight w:val="none"/>
          <w:lang w:val="en-US" w:eastAsia="zh-CN"/>
          <w14:textFill>
            <w14:solidFill>
              <w14:schemeClr w14:val="tx1"/>
            </w14:solidFill>
          </w14:textFill>
        </w:rPr>
        <w:t>给水</w:t>
      </w:r>
      <w:r>
        <w:rPr>
          <w:rFonts w:hint="eastAsia"/>
          <w:color w:val="000000" w:themeColor="text1"/>
          <w:highlight w:val="none"/>
          <w14:textFill>
            <w14:solidFill>
              <w14:schemeClr w14:val="tx1"/>
            </w14:solidFill>
          </w14:textFill>
        </w:rPr>
        <w:t>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_Toc6661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_Toc30048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 xml:space="preserve"> 电力管沟工程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_Toc30048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_Toc32075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交通工程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_Toc32075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33</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_Toc7944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照明工程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_Toc7944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_Toc14084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道路绿化工程</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_Toc14084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37</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_Toc14949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五章</w:t>
      </w:r>
      <w:r>
        <w:rPr>
          <w:rFonts w:hint="eastAsia" w:ascii="宋体" w:hAnsi="宋体" w:eastAsia="宋体" w:cs="宋体"/>
          <w:color w:val="000000" w:themeColor="text1"/>
          <w:highlight w:val="none"/>
          <w14:textFill>
            <w14:solidFill>
              <w14:schemeClr w14:val="tx1"/>
            </w14:solidFill>
          </w14:textFill>
        </w:rPr>
        <w:t> </w:t>
      </w:r>
      <w:r>
        <w:rPr>
          <w:rFonts w:hint="eastAsia"/>
          <w:color w:val="000000" w:themeColor="text1"/>
          <w:highlight w:val="none"/>
          <w14:textFill>
            <w14:solidFill>
              <w14:schemeClr w14:val="tx1"/>
            </w14:solidFill>
          </w14:textFill>
        </w:rPr>
        <w:t>成果提交要求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_Toc14949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_Toc17783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5.1 时间进度要求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_Toc17783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_Toc16149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5.2 成果内容要求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_Toc16149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5"/>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_Toc12908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5.3 成果形式要求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_Toc12908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pStyle w:val="24"/>
        <w:tabs>
          <w:tab w:val="right" w:leader="dot" w:pos="8306"/>
        </w:tabs>
        <w:rPr>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begin"/>
      </w:r>
      <w:r>
        <w:rPr>
          <w:rFonts w:ascii="Times New Roman" w:hAnsi="Times New Roman" w:eastAsia="仿宋" w:cs="Times New Roman"/>
          <w:color w:val="000000" w:themeColor="text1"/>
          <w:szCs w:val="24"/>
          <w:highlight w:val="none"/>
          <w14:textFill>
            <w14:solidFill>
              <w14:schemeClr w14:val="tx1"/>
            </w14:solidFill>
          </w14:textFill>
        </w:rPr>
        <w:instrText xml:space="preserve"> HYPERLINK \l _Toc26047 </w:instrText>
      </w:r>
      <w:r>
        <w:rPr>
          <w:rFonts w:ascii="Times New Roman" w:hAnsi="Times New Roman" w:eastAsia="仿宋" w:cs="Times New Roman"/>
          <w:color w:val="000000" w:themeColor="text1"/>
          <w:szCs w:val="24"/>
          <w:highlight w:val="none"/>
          <w14:textFill>
            <w14:solidFill>
              <w14:schemeClr w14:val="tx1"/>
            </w14:solidFill>
          </w14:textFill>
        </w:rPr>
        <w:fldChar w:fldCharType="separate"/>
      </w:r>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章 附则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_Toc26047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41</w:t>
      </w:r>
      <w:r>
        <w:rPr>
          <w:color w:val="000000" w:themeColor="text1"/>
          <w:highlight w:val="none"/>
          <w14:textFill>
            <w14:solidFill>
              <w14:schemeClr w14:val="tx1"/>
            </w14:solidFill>
          </w14:textFill>
        </w:rPr>
        <w:fldChar w:fldCharType="end"/>
      </w: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rPr>
          <w:rFonts w:ascii="Times New Roman" w:hAnsi="Times New Roman" w:cs="Times New Roman"/>
          <w:color w:val="000000" w:themeColor="text1"/>
          <w:highlight w:val="none"/>
          <w14:textFill>
            <w14:solidFill>
              <w14:schemeClr w14:val="tx1"/>
            </w14:solidFill>
          </w14:textFill>
        </w:rPr>
      </w:pPr>
      <w:r>
        <w:rPr>
          <w:rFonts w:ascii="Times New Roman" w:hAnsi="Times New Roman" w:eastAsia="仿宋" w:cs="Times New Roman"/>
          <w:color w:val="000000" w:themeColor="text1"/>
          <w:szCs w:val="24"/>
          <w:highlight w:val="none"/>
          <w14:textFill>
            <w14:solidFill>
              <w14:schemeClr w14:val="tx1"/>
            </w14:solidFill>
          </w14:textFill>
        </w:rPr>
        <w:fldChar w:fldCharType="end"/>
      </w:r>
    </w:p>
    <w:p>
      <w:pPr>
        <w:rPr>
          <w:color w:val="000000" w:themeColor="text1"/>
          <w:highlight w:val="none"/>
          <w14:textFill>
            <w14:solidFill>
              <w14:schemeClr w14:val="tx1"/>
            </w14:solidFill>
          </w14:textFill>
        </w:rPr>
      </w:pPr>
    </w:p>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5"/>
        <w:numPr>
          <w:ilvl w:val="0"/>
          <w:numId w:val="1"/>
        </w:numPr>
        <w:spacing w:before="156" w:after="156"/>
        <w:rPr>
          <w:color w:val="000000" w:themeColor="text1"/>
          <w:highlight w:val="none"/>
          <w14:textFill>
            <w14:solidFill>
              <w14:schemeClr w14:val="tx1"/>
            </w14:solidFill>
          </w14:textFill>
        </w:rPr>
      </w:pPr>
      <w:bookmarkStart w:id="0" w:name="_Toc5461"/>
      <w:bookmarkStart w:id="1" w:name="_Toc4402"/>
      <w:r>
        <w:rPr>
          <w:rFonts w:hint="eastAsia"/>
          <w:color w:val="000000" w:themeColor="text1"/>
          <w:highlight w:val="none"/>
          <w14:textFill>
            <w14:solidFill>
              <w14:schemeClr w14:val="tx1"/>
            </w14:solidFill>
          </w14:textFill>
        </w:rPr>
        <w:t>总则</w:t>
      </w:r>
      <w:bookmarkEnd w:id="0"/>
      <w:bookmarkEnd w:id="1"/>
    </w:p>
    <w:p>
      <w:pPr>
        <w:pStyle w:val="6"/>
        <w:numPr>
          <w:ilvl w:val="1"/>
          <w:numId w:val="2"/>
        </w:numPr>
        <w:spacing w:before="312" w:after="312"/>
        <w:rPr>
          <w:color w:val="000000" w:themeColor="text1"/>
          <w:highlight w:val="none"/>
          <w14:textFill>
            <w14:solidFill>
              <w14:schemeClr w14:val="tx1"/>
            </w14:solidFill>
          </w14:textFill>
        </w:rPr>
      </w:pPr>
      <w:bookmarkStart w:id="2" w:name="_Toc16443"/>
      <w:bookmarkStart w:id="3" w:name="_Toc3865"/>
      <w:r>
        <w:rPr>
          <w:rFonts w:hint="eastAsia"/>
          <w:color w:val="000000" w:themeColor="text1"/>
          <w:highlight w:val="none"/>
          <w14:textFill>
            <w14:solidFill>
              <w14:schemeClr w14:val="tx1"/>
            </w14:solidFill>
          </w14:textFill>
        </w:rPr>
        <w:t>项目建设背景</w:t>
      </w:r>
      <w:bookmarkEnd w:id="2"/>
      <w:bookmarkEnd w:id="3"/>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项目位于深中通道万顷沙支线以东，龙穴南水道以西，十九涌以南，深中通道以北，区位优势显著。项目范围以水田为主，面积约3平方公里。为加快推动《广州南沙深化面向世界的粤港澳全面合作总体方案》落地落细落实，推进南沙开发开放和粤港澳大湾区建设，举全市之力将南沙加快建设成立足湾区、协同港澳、面向世界的重大战略性平台，打造全市高质量发展的增长极和动力源，加快建设集文化、旅游、体育、国防教育等功能为一体的大型城市综合体。</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p>
    <w:p>
      <w:pPr>
        <w:pStyle w:val="6"/>
        <w:spacing w:before="312" w:after="312"/>
        <w:rPr>
          <w:color w:val="000000" w:themeColor="text1"/>
          <w:highlight w:val="none"/>
          <w14:textFill>
            <w14:solidFill>
              <w14:schemeClr w14:val="tx1"/>
            </w14:solidFill>
          </w14:textFill>
        </w:rPr>
      </w:pPr>
      <w:bookmarkStart w:id="4" w:name="_Toc1681"/>
      <w:bookmarkStart w:id="5" w:name="_Toc18246"/>
      <w:r>
        <w:rPr>
          <w:rFonts w:hint="eastAsia"/>
          <w:color w:val="000000" w:themeColor="text1"/>
          <w:highlight w:val="none"/>
          <w14:textFill>
            <w14:solidFill>
              <w14:schemeClr w14:val="tx1"/>
            </w14:solidFill>
          </w14:textFill>
        </w:rPr>
        <w:t>1.2 项目概况</w:t>
      </w:r>
      <w:bookmarkEnd w:id="4"/>
      <w:bookmarkEnd w:id="5"/>
    </w:p>
    <w:p>
      <w:pPr>
        <w:pStyle w:val="7"/>
        <w:spacing w:before="156" w:after="156"/>
        <w:rPr>
          <w:color w:val="000000" w:themeColor="text1"/>
          <w:highlight w:val="none"/>
          <w14:textFill>
            <w14:solidFill>
              <w14:schemeClr w14:val="tx1"/>
            </w14:solidFill>
          </w14:textFill>
        </w:rPr>
      </w:pPr>
      <w:bookmarkStart w:id="6" w:name="_Toc531964807"/>
      <w:r>
        <w:rPr>
          <w:rFonts w:hint="eastAsia"/>
          <w:color w:val="000000" w:themeColor="text1"/>
          <w:highlight w:val="none"/>
          <w14:textFill>
            <w14:solidFill>
              <w14:schemeClr w14:val="tx1"/>
            </w14:solidFill>
          </w14:textFill>
        </w:rPr>
        <w:t>1.2.1</w:t>
      </w:r>
      <w:r>
        <w:rPr>
          <w:color w:val="000000" w:themeColor="text1"/>
          <w:highlight w:val="none"/>
          <w14:textFill>
            <w14:solidFill>
              <w14:schemeClr w14:val="tx1"/>
            </w14:solidFill>
          </w14:textFill>
        </w:rPr>
        <w:t xml:space="preserve"> 项目基本信息</w:t>
      </w:r>
      <w:bookmarkEnd w:id="6"/>
    </w:p>
    <w:p>
      <w:pPr>
        <w:spacing w:line="560" w:lineRule="exact"/>
        <w:ind w:firstLine="482"/>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b/>
          <w:bCs/>
          <w:color w:val="000000" w:themeColor="text1"/>
          <w:highlight w:val="none"/>
          <w14:textFill>
            <w14:solidFill>
              <w14:schemeClr w14:val="tx1"/>
            </w14:solidFill>
          </w14:textFill>
        </w:rPr>
        <w:t>建设内容与规模</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本项目为南沙全民文化体育综合体项目配套骨干道路，项目共包括七条道路</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规划纵一路(南段)</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道路等级为主干路，道路宽度40米。双向6车道。道路长度约1200米，建设起点为二十涌南路，终点为规划横二路。</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规划纵</w:t>
      </w:r>
      <w:r>
        <w:rPr>
          <w:rFonts w:hint="eastAsia" w:ascii="仿宋_GB2312" w:eastAsia="仿宋_GB2312"/>
          <w:color w:val="000000" w:themeColor="text1"/>
          <w:sz w:val="24"/>
          <w:szCs w:val="24"/>
          <w:highlight w:val="none"/>
          <w:lang w:val="en-US" w:eastAsia="zh-CN"/>
          <w14:textFill>
            <w14:solidFill>
              <w14:schemeClr w14:val="tx1"/>
            </w14:solidFill>
          </w14:textFill>
        </w:rPr>
        <w:t>三</w:t>
      </w:r>
      <w:r>
        <w:rPr>
          <w:rFonts w:hint="eastAsia" w:ascii="仿宋_GB2312" w:eastAsia="仿宋_GB2312"/>
          <w:color w:val="000000" w:themeColor="text1"/>
          <w:sz w:val="24"/>
          <w:szCs w:val="24"/>
          <w:highlight w:val="none"/>
          <w14:textFill>
            <w14:solidFill>
              <w14:schemeClr w14:val="tx1"/>
            </w14:solidFill>
          </w14:textFill>
        </w:rPr>
        <w:t>路(南段)</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道路等级为次干路，道路宽度34米，双向4车道。道路长度约1500米，建设起点为二十涌北路，终点为规划横二路。</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二十涌北路(东段)</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道路等级为主干路，道路宽度50米，双向6车道。道路长度约1700米，建设起点为万环西路，终点为灵新大道。</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二十涌南路</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道路等级为次干路，道路宽度40米，双向6车道。道路长度约2400米，建设起点为规划纵一路，终点为灵新大道。</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二十涌南二路</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道路等级为主干路，道路宽度50米，双向6车道。道路长度约2500米，建设起点为规划纵一路，终点为灵新大道。</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二十一涌北路</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道路等级为次干路，道路宽度30米，双向4车道。道路长度约2500米，建设起点为规划纵一路，终点为灵新大道。</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规划横二路</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道路等级为次干路，道路宽度30米，双向4车道，道路长度约1600米，建设起点为规划纵一路，终点为规划纵三路。</w:t>
      </w:r>
    </w:p>
    <w:p>
      <w:pPr>
        <w:spacing w:line="560" w:lineRule="exact"/>
        <w:ind w:firstLine="482"/>
        <w:rPr>
          <w:rFonts w:hint="eastAsia" w:eastAsiaTheme="minorEastAsia"/>
          <w:color w:val="000000" w:themeColor="text1"/>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配套骨干道路（不含场馆区）的场地吹填平整。</w:t>
      </w:r>
    </w:p>
    <w:p>
      <w:pPr>
        <w:ind w:firstLine="0" w:firstLineChars="0"/>
        <w:jc w:val="center"/>
        <w:rPr>
          <w:rFonts w:hint="eastAsia"/>
          <w:color w:val="000000" w:themeColor="text1"/>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drawing>
          <wp:inline distT="0" distB="0" distL="114300" distR="114300">
            <wp:extent cx="5273675" cy="4879975"/>
            <wp:effectExtent l="0" t="0" r="3175" b="15875"/>
            <wp:docPr id="1" name="图片 1" descr="168982061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9820613444"/>
                    <pic:cNvPicPr>
                      <a:picLocks noChangeAspect="1"/>
                    </pic:cNvPicPr>
                  </pic:nvPicPr>
                  <pic:blipFill>
                    <a:blip r:embed="rId11"/>
                    <a:stretch>
                      <a:fillRect/>
                    </a:stretch>
                  </pic:blipFill>
                  <pic:spPr>
                    <a:xfrm>
                      <a:off x="0" y="0"/>
                      <a:ext cx="5273675" cy="4879975"/>
                    </a:xfrm>
                    <a:prstGeom prst="rect">
                      <a:avLst/>
                    </a:prstGeom>
                  </pic:spPr>
                </pic:pic>
              </a:graphicData>
            </a:graphic>
          </wp:inline>
        </w:drawing>
      </w:r>
      <w:r>
        <w:rPr>
          <w:rFonts w:hint="eastAsia" w:ascii="黑体" w:hAnsi="黑体" w:eastAsia="黑体" w:cs="黑体"/>
          <w:color w:val="000000" w:themeColor="text1"/>
          <w:sz w:val="21"/>
          <w:szCs w:val="21"/>
          <w:highlight w:val="none"/>
          <w14:textFill>
            <w14:solidFill>
              <w14:schemeClr w14:val="tx1"/>
            </w14:solidFill>
          </w14:textFill>
        </w:rPr>
        <w:t>项目</w:t>
      </w:r>
      <w:r>
        <w:rPr>
          <w:rFonts w:hint="eastAsia" w:ascii="黑体" w:hAnsi="黑体" w:eastAsia="黑体" w:cs="黑体"/>
          <w:color w:val="000000" w:themeColor="text1"/>
          <w:sz w:val="21"/>
          <w:szCs w:val="21"/>
          <w:highlight w:val="none"/>
          <w:lang w:val="en-US" w:eastAsia="zh-CN"/>
          <w14:textFill>
            <w14:solidFill>
              <w14:schemeClr w14:val="tx1"/>
            </w14:solidFill>
          </w14:textFill>
        </w:rPr>
        <w:t>总</w:t>
      </w:r>
      <w:r>
        <w:rPr>
          <w:rFonts w:hint="eastAsia" w:ascii="黑体" w:hAnsi="黑体" w:eastAsia="黑体" w:cs="黑体"/>
          <w:color w:val="000000" w:themeColor="text1"/>
          <w:sz w:val="21"/>
          <w:szCs w:val="21"/>
          <w:highlight w:val="none"/>
          <w14:textFill>
            <w14:solidFill>
              <w14:schemeClr w14:val="tx1"/>
            </w14:solidFill>
          </w14:textFill>
        </w:rPr>
        <w:t>平面图</w:t>
      </w:r>
    </w:p>
    <w:p>
      <w:pPr>
        <w:rPr>
          <w:color w:val="000000" w:themeColor="text1"/>
          <w:highlight w:val="none"/>
          <w14:textFill>
            <w14:solidFill>
              <w14:schemeClr w14:val="tx1"/>
            </w14:solidFill>
          </w14:textFill>
        </w:rPr>
      </w:pPr>
    </w:p>
    <w:p>
      <w:pPr>
        <w:numPr>
          <w:ilvl w:val="0"/>
          <w:numId w:val="0"/>
        </w:numPr>
        <w:tabs>
          <w:tab w:val="left" w:pos="0"/>
        </w:tabs>
        <w:spacing w:line="560" w:lineRule="atLeast"/>
        <w:ind w:left="420" w:leftChars="0"/>
        <w:jc w:val="left"/>
        <w:rPr>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项目总投资和资金来源</w:t>
      </w:r>
      <w:r>
        <w:rPr>
          <w:rFonts w:hint="eastAsia"/>
          <w:color w:val="000000" w:themeColor="text1"/>
          <w:highlight w:val="none"/>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项目总投资</w:t>
      </w:r>
      <w:r>
        <w:rPr>
          <w:rFonts w:hint="eastAsia" w:ascii="仿宋_GB2312" w:eastAsia="仿宋_GB2312"/>
          <w:color w:val="000000" w:themeColor="text1"/>
          <w:sz w:val="24"/>
          <w:szCs w:val="24"/>
          <w:highlight w:val="none"/>
          <w:lang w:val="en-US" w:eastAsia="zh-CN"/>
          <w14:textFill>
            <w14:solidFill>
              <w14:schemeClr w14:val="tx1"/>
            </w14:solidFill>
          </w14:textFill>
        </w:rPr>
        <w:t>365042.00</w:t>
      </w:r>
      <w:r>
        <w:rPr>
          <w:rFonts w:hint="eastAsia" w:ascii="仿宋_GB2312" w:eastAsia="仿宋_GB2312"/>
          <w:color w:val="000000" w:themeColor="text1"/>
          <w:sz w:val="24"/>
          <w:szCs w:val="24"/>
          <w:highlight w:val="none"/>
          <w14:textFill>
            <w14:solidFill>
              <w14:schemeClr w14:val="tx1"/>
            </w14:solidFill>
          </w14:textFill>
        </w:rPr>
        <w:t>万元，资金来源为区财政资金</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具体项目以控规、批复文件、和相关政府部门审查确定的建设项目、建设规模、建设标准等为准。</w:t>
      </w:r>
    </w:p>
    <w:p>
      <w:pPr>
        <w:pStyle w:val="7"/>
        <w:spacing w:before="156" w:after="156" w:line="560" w:lineRule="exact"/>
        <w:rPr>
          <w:color w:val="000000" w:themeColor="text1"/>
          <w:highlight w:val="none"/>
          <w14:textFill>
            <w14:solidFill>
              <w14:schemeClr w14:val="tx1"/>
            </w14:solidFill>
          </w14:textFill>
        </w:rPr>
      </w:pPr>
      <w:bookmarkStart w:id="7" w:name="_Toc531964809"/>
      <w:r>
        <w:rPr>
          <w:rFonts w:hint="eastAsia"/>
          <w:color w:val="000000" w:themeColor="text1"/>
          <w:highlight w:val="none"/>
          <w14:textFill>
            <w14:solidFill>
              <w14:schemeClr w14:val="tx1"/>
            </w14:solidFill>
          </w14:textFill>
        </w:rPr>
        <w:t>1.2</w:t>
      </w:r>
      <w:r>
        <w:rPr>
          <w:color w:val="000000" w:themeColor="text1"/>
          <w:highlight w:val="none"/>
          <w14:textFill>
            <w14:solidFill>
              <w14:schemeClr w14:val="tx1"/>
            </w14:solidFill>
          </w14:textFill>
        </w:rPr>
        <w:t xml:space="preserve">.2 </w:t>
      </w:r>
      <w:bookmarkEnd w:id="7"/>
      <w:r>
        <w:rPr>
          <w:rFonts w:hint="eastAsia"/>
          <w:color w:val="000000" w:themeColor="text1"/>
          <w:highlight w:val="none"/>
          <w14:textFill>
            <w14:solidFill>
              <w14:schemeClr w14:val="tx1"/>
            </w14:solidFill>
          </w14:textFill>
        </w:rPr>
        <w:t>建设用地现状</w:t>
      </w:r>
    </w:p>
    <w:p>
      <w:pPr>
        <w:pStyle w:val="40"/>
        <w:numPr>
          <w:ilvl w:val="0"/>
          <w:numId w:val="3"/>
        </w:numPr>
        <w:spacing w:before="163" w:line="560" w:lineRule="exac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地形地貌</w:t>
      </w:r>
    </w:p>
    <w:p>
      <w:pPr>
        <w:autoSpaceDE w:val="0"/>
        <w:autoSpaceDN w:val="0"/>
        <w:adjustRightInd w:val="0"/>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万顷沙原始地貌单元属珠江三角洲冲海积平原地貌，地形较为平坦，存在较厚的软土，场地现状基本为河道、既有道路、水塘、施工场地，河道水深约1.0～5.0m。</w:t>
      </w:r>
    </w:p>
    <w:p>
      <w:pPr>
        <w:pStyle w:val="40"/>
        <w:numPr>
          <w:ilvl w:val="0"/>
          <w:numId w:val="3"/>
        </w:numPr>
        <w:spacing w:before="163" w:line="560" w:lineRule="atLeas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气候</w:t>
      </w:r>
      <w:r>
        <w:rPr>
          <w:rFonts w:hint="eastAsia"/>
          <w:color w:val="000000" w:themeColor="text1"/>
          <w:highlight w:val="none"/>
          <w:lang w:val="en-US" w:eastAsia="zh-CN"/>
          <w14:textFill>
            <w14:solidFill>
              <w14:schemeClr w14:val="tx1"/>
            </w14:solidFill>
          </w14:textFill>
        </w:rPr>
        <w:t>条件</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南沙地区属于南亚热带季风性海洋气候，地处北回归线以南，温暖、多雨、湿润，夏长冬短，夏季时段超过六个月。具有雨量充沛、光照充足、雨热同期的特点。南沙年平均气温 21.8 ℃。年平均雨量 1635 毫米。年平均相对湿度为 79%，年平均风速为 2.2 米/秒。夏半年盛吹偏东南风，冬半年多吹偏北风，全年大风日数少。夏秋季平均每年约有 3～4 个、最多有 6个热带气旋影响我区；冬季会受强冷空气影响，平均每年约有 1～2 次强冷空气影响，极端最低气温 0.7 ℃，年平均日照时数 1807.6 小时。</w:t>
      </w:r>
    </w:p>
    <w:p>
      <w:pPr>
        <w:pStyle w:val="40"/>
        <w:numPr>
          <w:ilvl w:val="0"/>
          <w:numId w:val="3"/>
        </w:numPr>
        <w:spacing w:before="163" w:line="5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地质</w:t>
      </w:r>
      <w:r>
        <w:rPr>
          <w:color w:val="000000" w:themeColor="text1"/>
          <w:highlight w:val="none"/>
          <w14:textFill>
            <w14:solidFill>
              <w14:schemeClr w14:val="tx1"/>
            </w14:solidFill>
          </w14:textFill>
        </w:rPr>
        <w:t>特征</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场区地貌主要属珠江三角洲冲积平原，是地表水和地下水的径流排泄区。场地地下水类型主要为上层滞水、孔隙承压水以及基岩孔隙裂隙水。</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（1）上层滞水：赋存于结构疏松的人工填土层中，含水量不大，其动态受季节性控制，主要接受大气降水和河涌水的渗入补给。</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（2）孔隙承压水：赋存于第四系冲积层之含水砂层中。孔隙水主要为承压水，局部地段为潜水，主要接受上覆含水层的越流补给和上游地下水迳流以及河涌水的侧向补给。</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（3）基岩孔隙裂隙承压水：基岩强、弱风化带孔隙裂隙发育，特别是断裂带及其附近岩石破碎，裂隙发育，含孔隙裂隙承压水。地下水主要靠上覆孔隙水的越流补给和上游地下水迳流的侧向补给。</w:t>
      </w:r>
    </w:p>
    <w:p>
      <w:pPr>
        <w:pStyle w:val="40"/>
        <w:numPr>
          <w:ilvl w:val="0"/>
          <w:numId w:val="3"/>
        </w:numPr>
        <w:spacing w:before="163"/>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水文与</w:t>
      </w:r>
      <w:r>
        <w:rPr>
          <w:color w:val="000000" w:themeColor="text1"/>
          <w:highlight w:val="none"/>
          <w14:textFill>
            <w14:solidFill>
              <w14:schemeClr w14:val="tx1"/>
            </w14:solidFill>
          </w14:textFill>
        </w:rPr>
        <w:t>工程地质条件</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南沙地区属于南亚热带季风性海洋气候，地处北回归线以南，温暖、多雨、湿润，夏长冬短，夏季时段超过六个月。具有雨量充沛、光照充足、雨热同期的特点。南沙年平均气温 21.8 ℃。年平均雨量 1635 毫米。年平均相对湿度为 79%，年平均风速为 2.2米/秒。夏半年盛吹偏东南风，冬半年多吹偏北风，全年大风日数少。夏秋季平均每年约有 3~4 个、最多有 6 个热带气旋影响我区；冬季会受强冷空气影响，平均每年约有 1~2 次强冷空气影响，极端最低气温 0.7 ℃，年平均日照时数 1807.6 小时。</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项目区域位于珠江三角洲平原区，地处河流下游河口地带，地表贯穿主要河流的细小涌流呈网脉状，河水流量小，水文条件简单，河水受潮水影响明显，具一日两涨两落、潮时潮差不等的特点。地下水的赋存状态为松散地层孔隙水和基岩裂隙水两大类，地下水与河流水水力联系密切，地下水位埋深随河水的涨退潮而有所变化，地下水以河流补给及大气降水为主要补给途径，以蒸发或侧向迳流为主要排泄方式。勘察期间陆地孔地下水位埋深约为 0.3~1.2m。项目地处区域，地形平坦，地势开阔，地面标高约 6.5~8.3m，河床标高约-10.30~1.20m。场地的地层按地质成因依次分为：第四系填土层(Qml)、第四系海陆交互相沉积层（Qmc）和基岩（燕山期花岗岩）风化岩带（E）。软土及饱和砂土液化是主要的不良工程地质问题</w:t>
      </w:r>
      <w:r>
        <w:rPr>
          <w:rFonts w:hint="eastAsia" w:ascii="仿宋_GB2312" w:eastAsia="仿宋_GB2312"/>
          <w:color w:val="000000" w:themeColor="text1"/>
          <w:sz w:val="24"/>
          <w:szCs w:val="24"/>
          <w:highlight w:val="none"/>
          <w:lang w:eastAsia="zh-CN"/>
          <w14:textFill>
            <w14:solidFill>
              <w14:schemeClr w14:val="tx1"/>
            </w14:solidFill>
          </w14:textFill>
        </w:rPr>
        <w:t>。</w:t>
      </w:r>
    </w:p>
    <w:p>
      <w:pPr>
        <w:pStyle w:val="40"/>
        <w:numPr>
          <w:ilvl w:val="0"/>
          <w:numId w:val="3"/>
        </w:numPr>
        <w:spacing w:line="560" w:lineRule="exac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地质构造与场地稳定性评价</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场地未见主要的区域性构造通过，尤其没有全新活动断裂经过，其构造稳定性良好；该区所处区域的新构造运动主要表现为断块的差异升降运动；场地地处低震级地震多发区，处于地震基本烈度Ⅶ度区，因此本场地的稳定性属基本稳定。</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场地未见岩溶、土洞、采空区、滑坡、崩塌、泥石流等地质灾害分布，但饱和粉细砂层（</w:t>
      </w:r>
      <w:r>
        <w:rPr>
          <w:rFonts w:ascii="仿宋_GB2312" w:eastAsia="仿宋_GB2312"/>
          <w:color w:val="000000" w:themeColor="text1"/>
          <w:sz w:val="24"/>
          <w:szCs w:val="24"/>
          <w:highlight w:val="none"/>
          <w14:textFill>
            <w14:solidFill>
              <w14:schemeClr w14:val="tx1"/>
            </w14:solidFill>
          </w14:textFill>
        </w:rPr>
        <w:t>2-2层）局部存在轻微液化问题，软土层（2-1和2-4层）具有震陷的可能，均不利于浅基础的稳定，但可以采用工程措施进行处理，因此综合评定本场地基本适宜于拟建工程的建设</w:t>
      </w:r>
      <w:r>
        <w:rPr>
          <w:rFonts w:hint="eastAsia" w:ascii="仿宋_GB2312" w:eastAsia="仿宋_GB2312"/>
          <w:color w:val="000000" w:themeColor="text1"/>
          <w:sz w:val="24"/>
          <w:szCs w:val="24"/>
          <w:highlight w:val="none"/>
          <w14:textFill>
            <w14:solidFill>
              <w14:schemeClr w14:val="tx1"/>
            </w14:solidFill>
          </w14:textFill>
        </w:rPr>
        <w:t>。</w:t>
      </w:r>
    </w:p>
    <w:p>
      <w:pPr>
        <w:pStyle w:val="7"/>
        <w:spacing w:before="156" w:after="156"/>
        <w:ind w:left="426" w:hanging="426" w:hangingChars="142"/>
        <w:rPr>
          <w:rStyle w:val="38"/>
          <w:b w:val="0"/>
          <w:bCs w:val="0"/>
          <w:color w:val="000000" w:themeColor="text1"/>
          <w:highlight w:val="none"/>
          <w14:textFill>
            <w14:solidFill>
              <w14:schemeClr w14:val="tx1"/>
            </w14:solidFill>
          </w14:textFill>
        </w:rPr>
      </w:pPr>
      <w:bookmarkStart w:id="8" w:name="_Toc21677"/>
      <w:bookmarkStart w:id="9" w:name="_Toc19775"/>
      <w:r>
        <w:rPr>
          <w:rStyle w:val="38"/>
          <w:rFonts w:hint="eastAsia"/>
          <w:b w:val="0"/>
          <w:bCs w:val="0"/>
          <w:color w:val="000000" w:themeColor="text1"/>
          <w:highlight w:val="none"/>
          <w14:textFill>
            <w14:solidFill>
              <w14:schemeClr w14:val="tx1"/>
            </w14:solidFill>
          </w14:textFill>
        </w:rPr>
        <w:t>1.3 编制依据</w:t>
      </w:r>
    </w:p>
    <w:bookmarkEnd w:id="8"/>
    <w:bookmarkEnd w:id="9"/>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1.3.1</w:t>
      </w:r>
      <w:r>
        <w:rPr>
          <w:color w:val="000000" w:themeColor="text1"/>
          <w:highlight w:val="none"/>
          <w14:textFill>
            <w14:solidFill>
              <w14:schemeClr w14:val="tx1"/>
            </w14:solidFill>
          </w14:textFill>
        </w:rPr>
        <w:t xml:space="preserve"> 现行法律法规、技术标准规范、行业标准</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国家和广东省、广州市关于工程建设强制性标准、抗震防灾要求，及有关土地管理、水土保持、文物保护、消防安全、人防、卫生防疫、节能环保措施、防雷等法律、法规和行业相关的最新规定等，包括但不限于：</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1.《中华人民共和国有关工程建设标准强制性条文》建标[2000]202号；</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2.《市政公用工程设计文件编制深度规定》建设部2004；</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3.《混凝土结构设计规范》</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2015年版</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（GB50010-20</w:t>
      </w:r>
      <w:r>
        <w:rPr>
          <w:rFonts w:hint="eastAsia" w:ascii="仿宋_GB2312" w:eastAsia="仿宋_GB2312"/>
          <w:color w:val="000000" w:themeColor="text1"/>
          <w:sz w:val="24"/>
          <w:szCs w:val="24"/>
          <w:highlight w:val="none"/>
          <w:lang w:val="en-US" w:eastAsia="zh-CN"/>
          <w14:textFill>
            <w14:solidFill>
              <w14:schemeClr w14:val="tx1"/>
            </w14:solidFill>
          </w14:textFill>
        </w:rPr>
        <w:t>10</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4.《公路工程技术标准》（JTG B01-20</w:t>
      </w:r>
      <w:r>
        <w:rPr>
          <w:rFonts w:hint="eastAsia" w:ascii="仿宋_GB2312" w:eastAsia="仿宋_GB2312"/>
          <w:color w:val="000000" w:themeColor="text1"/>
          <w:sz w:val="24"/>
          <w:szCs w:val="24"/>
          <w:highlight w:val="none"/>
          <w:lang w:val="en-US" w:eastAsia="zh-CN"/>
          <w14:textFill>
            <w14:solidFill>
              <w14:schemeClr w14:val="tx1"/>
            </w14:solidFill>
          </w14:textFill>
        </w:rPr>
        <w:t>14</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5.《城市道路工程设计规范》（CJJ 37-2012）；</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6</w:t>
      </w:r>
      <w:r>
        <w:rPr>
          <w:rFonts w:hint="eastAsia" w:ascii="仿宋_GB2312" w:eastAsia="仿宋_GB2312"/>
          <w:color w:val="000000" w:themeColor="text1"/>
          <w:sz w:val="24"/>
          <w:szCs w:val="24"/>
          <w:highlight w:val="none"/>
          <w14:textFill>
            <w14:solidFill>
              <w14:schemeClr w14:val="tx1"/>
            </w14:solidFill>
          </w14:textFill>
        </w:rPr>
        <w:t>.《城市道路交叉口设计规程》（CJJ 152-2010）；</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7</w:t>
      </w:r>
      <w:r>
        <w:rPr>
          <w:rFonts w:hint="eastAsia" w:ascii="仿宋_GB2312" w:eastAsia="仿宋_GB2312"/>
          <w:color w:val="000000" w:themeColor="text1"/>
          <w:sz w:val="24"/>
          <w:szCs w:val="24"/>
          <w:highlight w:val="none"/>
          <w14:textFill>
            <w14:solidFill>
              <w14:schemeClr w14:val="tx1"/>
            </w14:solidFill>
          </w14:textFill>
        </w:rPr>
        <w:t xml:space="preserve">.《公路路线设计规范》（JTG </w:t>
      </w:r>
      <w:r>
        <w:rPr>
          <w:rFonts w:hint="eastAsia" w:ascii="仿宋_GB2312" w:eastAsia="仿宋_GB2312"/>
          <w:color w:val="000000" w:themeColor="text1"/>
          <w:sz w:val="24"/>
          <w:szCs w:val="24"/>
          <w:highlight w:val="none"/>
          <w:lang w:val="en-US" w:eastAsia="zh-CN"/>
          <w14:textFill>
            <w14:solidFill>
              <w14:schemeClr w14:val="tx1"/>
            </w14:solidFill>
          </w14:textFill>
        </w:rPr>
        <w:t>D</w:t>
      </w:r>
      <w:r>
        <w:rPr>
          <w:rFonts w:hint="eastAsia" w:ascii="仿宋_GB2312" w:eastAsia="仿宋_GB2312"/>
          <w:color w:val="000000" w:themeColor="text1"/>
          <w:sz w:val="24"/>
          <w:szCs w:val="24"/>
          <w:highlight w:val="none"/>
          <w14:textFill>
            <w14:solidFill>
              <w14:schemeClr w14:val="tx1"/>
            </w14:solidFill>
          </w14:textFill>
        </w:rPr>
        <w:t>20-20</w:t>
      </w:r>
      <w:r>
        <w:rPr>
          <w:rFonts w:hint="eastAsia" w:ascii="仿宋_GB2312" w:eastAsia="仿宋_GB2312"/>
          <w:color w:val="000000" w:themeColor="text1"/>
          <w:sz w:val="24"/>
          <w:szCs w:val="24"/>
          <w:highlight w:val="none"/>
          <w:lang w:val="en-US" w:eastAsia="zh-CN"/>
          <w14:textFill>
            <w14:solidFill>
              <w14:schemeClr w14:val="tx1"/>
            </w14:solidFill>
          </w14:textFill>
        </w:rPr>
        <w:t>17</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8</w:t>
      </w:r>
      <w:r>
        <w:rPr>
          <w:rFonts w:hint="eastAsia" w:ascii="仿宋_GB2312" w:eastAsia="仿宋_GB2312"/>
          <w:color w:val="000000" w:themeColor="text1"/>
          <w:sz w:val="24"/>
          <w:szCs w:val="24"/>
          <w:highlight w:val="none"/>
          <w14:textFill>
            <w14:solidFill>
              <w14:schemeClr w14:val="tx1"/>
            </w14:solidFill>
          </w14:textFill>
        </w:rPr>
        <w:t>.《公路路基设计规范》（JTJD30-20</w:t>
      </w:r>
      <w:r>
        <w:rPr>
          <w:rFonts w:hint="eastAsia" w:ascii="仿宋_GB2312" w:eastAsia="仿宋_GB2312"/>
          <w:color w:val="000000" w:themeColor="text1"/>
          <w:sz w:val="24"/>
          <w:szCs w:val="24"/>
          <w:highlight w:val="none"/>
          <w:lang w:val="en-US" w:eastAsia="zh-CN"/>
          <w14:textFill>
            <w14:solidFill>
              <w14:schemeClr w14:val="tx1"/>
            </w14:solidFill>
          </w14:textFill>
        </w:rPr>
        <w:t>15</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9</w:t>
      </w:r>
      <w:r>
        <w:rPr>
          <w:rFonts w:hint="eastAsia" w:ascii="仿宋_GB2312" w:eastAsia="仿宋_GB2312"/>
          <w:color w:val="000000" w:themeColor="text1"/>
          <w:sz w:val="24"/>
          <w:szCs w:val="24"/>
          <w:highlight w:val="none"/>
          <w14:textFill>
            <w14:solidFill>
              <w14:schemeClr w14:val="tx1"/>
            </w14:solidFill>
          </w14:textFill>
        </w:rPr>
        <w:t>.《公路桥涵设计通用规范》（JTG D60-20</w:t>
      </w:r>
      <w:r>
        <w:rPr>
          <w:rFonts w:hint="eastAsia" w:ascii="仿宋_GB2312" w:eastAsia="仿宋_GB2312"/>
          <w:color w:val="000000" w:themeColor="text1"/>
          <w:sz w:val="24"/>
          <w:szCs w:val="24"/>
          <w:highlight w:val="none"/>
          <w:lang w:val="en-US" w:eastAsia="zh-CN"/>
          <w14:textFill>
            <w14:solidFill>
              <w14:schemeClr w14:val="tx1"/>
            </w14:solidFill>
          </w14:textFill>
        </w:rPr>
        <w:t>15</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0</w:t>
      </w:r>
      <w:r>
        <w:rPr>
          <w:rFonts w:hint="eastAsia" w:ascii="仿宋_GB2312" w:eastAsia="仿宋_GB2312"/>
          <w:color w:val="000000" w:themeColor="text1"/>
          <w:sz w:val="24"/>
          <w:szCs w:val="24"/>
          <w:highlight w:val="none"/>
          <w14:textFill>
            <w14:solidFill>
              <w14:schemeClr w14:val="tx1"/>
            </w14:solidFill>
          </w14:textFill>
        </w:rPr>
        <w:t xml:space="preserve">.《公路桥涵地基与基础设计规范》（JTG </w:t>
      </w:r>
      <w:r>
        <w:rPr>
          <w:rFonts w:hint="eastAsia" w:ascii="仿宋_GB2312" w:eastAsia="仿宋_GB2312"/>
          <w:color w:val="000000" w:themeColor="text1"/>
          <w:sz w:val="24"/>
          <w:szCs w:val="24"/>
          <w:highlight w:val="none"/>
          <w:lang w:val="en-US" w:eastAsia="zh-CN"/>
          <w14:textFill>
            <w14:solidFill>
              <w14:schemeClr w14:val="tx1"/>
            </w14:solidFill>
          </w14:textFill>
        </w:rPr>
        <w:t>33</w:t>
      </w:r>
      <w:r>
        <w:rPr>
          <w:rFonts w:hint="eastAsia" w:ascii="仿宋_GB2312" w:eastAsia="仿宋_GB2312"/>
          <w:color w:val="000000" w:themeColor="text1"/>
          <w:sz w:val="24"/>
          <w:szCs w:val="24"/>
          <w:highlight w:val="none"/>
          <w14:textFill>
            <w14:solidFill>
              <w14:schemeClr w14:val="tx1"/>
            </w14:solidFill>
          </w14:textFill>
        </w:rPr>
        <w:t>63-20</w:t>
      </w:r>
      <w:r>
        <w:rPr>
          <w:rFonts w:hint="eastAsia" w:ascii="仿宋_GB2312" w:eastAsia="仿宋_GB2312"/>
          <w:color w:val="000000" w:themeColor="text1"/>
          <w:sz w:val="24"/>
          <w:szCs w:val="24"/>
          <w:highlight w:val="none"/>
          <w:lang w:val="en-US" w:eastAsia="zh-CN"/>
          <w14:textFill>
            <w14:solidFill>
              <w14:schemeClr w14:val="tx1"/>
            </w14:solidFill>
          </w14:textFill>
        </w:rPr>
        <w:t>19</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1</w:t>
      </w:r>
      <w:r>
        <w:rPr>
          <w:rFonts w:hint="eastAsia" w:ascii="仿宋_GB2312" w:eastAsia="仿宋_GB2312"/>
          <w:color w:val="000000" w:themeColor="text1"/>
          <w:sz w:val="24"/>
          <w:szCs w:val="24"/>
          <w:highlight w:val="none"/>
          <w14:textFill>
            <w14:solidFill>
              <w14:schemeClr w14:val="tx1"/>
            </w14:solidFill>
          </w14:textFill>
        </w:rPr>
        <w:t>.《城市排水工程规划规范》（GB50318-200</w:t>
      </w:r>
      <w:r>
        <w:rPr>
          <w:rFonts w:hint="eastAsia" w:ascii="仿宋_GB2312" w:eastAsia="仿宋_GB2312"/>
          <w:color w:val="000000" w:themeColor="text1"/>
          <w:sz w:val="24"/>
          <w:szCs w:val="24"/>
          <w:highlight w:val="none"/>
          <w:lang w:val="en-US" w:eastAsia="zh-CN"/>
          <w14:textFill>
            <w14:solidFill>
              <w14:schemeClr w14:val="tx1"/>
            </w14:solidFill>
          </w14:textFill>
        </w:rPr>
        <w:t>17</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2</w:t>
      </w:r>
      <w:r>
        <w:rPr>
          <w:rFonts w:hint="eastAsia" w:ascii="仿宋_GB2312" w:eastAsia="仿宋_GB2312"/>
          <w:color w:val="000000" w:themeColor="text1"/>
          <w:sz w:val="24"/>
          <w:szCs w:val="24"/>
          <w:highlight w:val="none"/>
          <w14:textFill>
            <w14:solidFill>
              <w14:schemeClr w14:val="tx1"/>
            </w14:solidFill>
          </w14:textFill>
        </w:rPr>
        <w:t>.《给水排水工程管道结构设计规范》（GB50322-2002）；</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3</w:t>
      </w:r>
      <w:r>
        <w:rPr>
          <w:rFonts w:hint="eastAsia" w:ascii="仿宋_GB2312" w:eastAsia="仿宋_GB2312"/>
          <w:color w:val="000000" w:themeColor="text1"/>
          <w:sz w:val="24"/>
          <w:szCs w:val="24"/>
          <w:highlight w:val="none"/>
          <w14:textFill>
            <w14:solidFill>
              <w14:schemeClr w14:val="tx1"/>
            </w14:solidFill>
          </w14:textFill>
        </w:rPr>
        <w:t>.《城市给水工程规划规范》</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GB50282-</w:t>
      </w:r>
      <w:r>
        <w:rPr>
          <w:rFonts w:hint="eastAsia" w:ascii="仿宋_GB2312" w:eastAsia="仿宋_GB2312"/>
          <w:color w:val="000000" w:themeColor="text1"/>
          <w:sz w:val="24"/>
          <w:szCs w:val="24"/>
          <w:highlight w:val="none"/>
          <w:lang w:val="en-US" w:eastAsia="zh-CN"/>
          <w14:textFill>
            <w14:solidFill>
              <w14:schemeClr w14:val="tx1"/>
            </w14:solidFill>
          </w14:textFill>
        </w:rPr>
        <w:t>2016)</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4</w:t>
      </w:r>
      <w:r>
        <w:rPr>
          <w:rFonts w:hint="eastAsia" w:ascii="仿宋_GB2312" w:eastAsia="仿宋_GB2312"/>
          <w:color w:val="000000" w:themeColor="text1"/>
          <w:sz w:val="24"/>
          <w:szCs w:val="24"/>
          <w:highlight w:val="none"/>
          <w14:textFill>
            <w14:solidFill>
              <w14:schemeClr w14:val="tx1"/>
            </w14:solidFill>
          </w14:textFill>
        </w:rPr>
        <w:t>.《城市电力规划规范》</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GB/T50293-2014</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5</w:t>
      </w:r>
      <w:r>
        <w:rPr>
          <w:rFonts w:hint="eastAsia" w:ascii="仿宋_GB2312" w:eastAsia="仿宋_GB2312"/>
          <w:color w:val="000000" w:themeColor="text1"/>
          <w:sz w:val="24"/>
          <w:szCs w:val="24"/>
          <w:highlight w:val="none"/>
          <w14:textFill>
            <w14:solidFill>
              <w14:schemeClr w14:val="tx1"/>
            </w14:solidFill>
          </w14:textFill>
        </w:rPr>
        <w:t>.《城镇燃气设计规范》</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GB50028-2006</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16</w:t>
      </w:r>
      <w:r>
        <w:rPr>
          <w:rFonts w:hint="eastAsia" w:ascii="仿宋_GB2312" w:eastAsia="仿宋_GB2312"/>
          <w:color w:val="000000" w:themeColor="text1"/>
          <w:sz w:val="24"/>
          <w:szCs w:val="24"/>
          <w:highlight w:val="none"/>
          <w14:textFill>
            <w14:solidFill>
              <w14:schemeClr w14:val="tx1"/>
            </w14:solidFill>
          </w14:textFill>
        </w:rPr>
        <w:t>.《城市工程管线综合规划规范》（GB50289-2016）；</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17.</w:t>
      </w:r>
      <w:r>
        <w:rPr>
          <w:rFonts w:hint="eastAsia" w:ascii="仿宋_GB2312" w:eastAsia="仿宋_GB2312"/>
          <w:color w:val="000000" w:themeColor="text1"/>
          <w:sz w:val="24"/>
          <w:szCs w:val="24"/>
          <w:highlight w:val="none"/>
          <w14:textFill>
            <w14:solidFill>
              <w14:schemeClr w14:val="tx1"/>
            </w14:solidFill>
          </w14:textFill>
        </w:rPr>
        <w:t>《建筑结构荷载规范》（GB50009-2012）；</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18.</w:t>
      </w:r>
      <w:r>
        <w:rPr>
          <w:rFonts w:hint="eastAsia" w:ascii="仿宋_GB2312" w:eastAsia="仿宋_GB2312"/>
          <w:color w:val="000000" w:themeColor="text1"/>
          <w:sz w:val="24"/>
          <w:szCs w:val="24"/>
          <w:highlight w:val="none"/>
          <w14:textFill>
            <w14:solidFill>
              <w14:schemeClr w14:val="tx1"/>
            </w14:solidFill>
          </w14:textFill>
        </w:rPr>
        <w:t>《混凝土结构设计规范》(2015 年版)（GB50010-2010）；</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19.</w:t>
      </w:r>
      <w:r>
        <w:rPr>
          <w:rFonts w:hint="eastAsia" w:ascii="仿宋_GB2312" w:eastAsia="仿宋_GB2312"/>
          <w:color w:val="000000" w:themeColor="text1"/>
          <w:sz w:val="24"/>
          <w:szCs w:val="24"/>
          <w:highlight w:val="none"/>
          <w14:textFill>
            <w14:solidFill>
              <w14:schemeClr w14:val="tx1"/>
            </w14:solidFill>
          </w14:textFill>
        </w:rPr>
        <w:t>《建筑抗震设计规范》（2016 年版）（GB50011-2010）；</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20.</w:t>
      </w:r>
      <w:r>
        <w:rPr>
          <w:rFonts w:hint="eastAsia" w:ascii="仿宋_GB2312" w:eastAsia="仿宋_GB2312"/>
          <w:color w:val="000000" w:themeColor="text1"/>
          <w:sz w:val="24"/>
          <w:szCs w:val="24"/>
          <w:highlight w:val="none"/>
          <w14:textFill>
            <w14:solidFill>
              <w14:schemeClr w14:val="tx1"/>
            </w14:solidFill>
          </w14:textFill>
        </w:rPr>
        <w:t>《构筑物抗震设计规范》（GB50191-2012）；</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21.</w:t>
      </w:r>
      <w:r>
        <w:rPr>
          <w:rFonts w:hint="eastAsia" w:ascii="仿宋_GB2312" w:eastAsia="仿宋_GB2312"/>
          <w:color w:val="000000" w:themeColor="text1"/>
          <w:sz w:val="24"/>
          <w:szCs w:val="24"/>
          <w:highlight w:val="none"/>
          <w14:textFill>
            <w14:solidFill>
              <w14:schemeClr w14:val="tx1"/>
            </w14:solidFill>
          </w14:textFill>
        </w:rPr>
        <w:t>《建筑地基处理技术规范》（JGJ79-2012）；</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22.</w:t>
      </w:r>
      <w:r>
        <w:rPr>
          <w:rFonts w:hint="eastAsia" w:ascii="仿宋_GB2312" w:eastAsia="仿宋_GB2312"/>
          <w:color w:val="000000" w:themeColor="text1"/>
          <w:sz w:val="24"/>
          <w:szCs w:val="24"/>
          <w:highlight w:val="none"/>
          <w14:textFill>
            <w14:solidFill>
              <w14:schemeClr w14:val="tx1"/>
            </w14:solidFill>
          </w14:textFill>
        </w:rPr>
        <w:t>《既有建筑地基基础加固技术规范》（JGJ123-2012）；</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23.</w:t>
      </w:r>
      <w:r>
        <w:rPr>
          <w:rFonts w:hint="eastAsia" w:ascii="仿宋_GB2312" w:eastAsia="仿宋_GB2312"/>
          <w:color w:val="000000" w:themeColor="text1"/>
          <w:sz w:val="24"/>
          <w:szCs w:val="24"/>
          <w:highlight w:val="none"/>
          <w14:textFill>
            <w14:solidFill>
              <w14:schemeClr w14:val="tx1"/>
            </w14:solidFill>
          </w14:textFill>
        </w:rPr>
        <w:t>《建筑基坑支护技术规程》（JGJ120-2012）；</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24.</w:t>
      </w:r>
      <w:r>
        <w:rPr>
          <w:rFonts w:hint="eastAsia" w:ascii="仿宋_GB2312" w:eastAsia="仿宋_GB2312"/>
          <w:color w:val="000000" w:themeColor="text1"/>
          <w:sz w:val="24"/>
          <w:szCs w:val="24"/>
          <w:highlight w:val="none"/>
          <w14:textFill>
            <w14:solidFill>
              <w14:schemeClr w14:val="tx1"/>
            </w14:solidFill>
          </w14:textFill>
        </w:rPr>
        <w:t>《混凝土结构工程施工质量验收规范》</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GB50204-2015</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25.</w:t>
      </w:r>
      <w:r>
        <w:rPr>
          <w:rFonts w:hint="eastAsia" w:ascii="仿宋_GB2312" w:eastAsia="仿宋_GB2312"/>
          <w:color w:val="000000" w:themeColor="text1"/>
          <w:sz w:val="24"/>
          <w:szCs w:val="24"/>
          <w:highlight w:val="none"/>
          <w14:textFill>
            <w14:solidFill>
              <w14:schemeClr w14:val="tx1"/>
            </w14:solidFill>
          </w14:textFill>
        </w:rPr>
        <w:t>《建筑地基基础工程施工质量验收规范》</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GB50202-2002</w:t>
      </w:r>
      <w:r>
        <w:rPr>
          <w:rFonts w:hint="eastAsia" w:ascii="仿宋_GB2312" w:eastAsia="仿宋_GB2312"/>
          <w:color w:val="000000" w:themeColor="text1"/>
          <w:sz w:val="24"/>
          <w:szCs w:val="24"/>
          <w:highlight w:val="none"/>
          <w:lang w:eastAsia="zh-CN"/>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26.</w:t>
      </w:r>
      <w:r>
        <w:rPr>
          <w:rFonts w:hint="eastAsia"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室外排水设计标准</w:t>
      </w:r>
      <w:r>
        <w:rPr>
          <w:rFonts w:hint="eastAsia"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GB</w:t>
      </w:r>
      <w:r>
        <w:rPr>
          <w:rFonts w:hint="eastAsia" w:ascii="仿宋_GB2312" w:eastAsia="仿宋_GB2312"/>
          <w:color w:val="000000" w:themeColor="text1"/>
          <w:sz w:val="24"/>
          <w:szCs w:val="24"/>
          <w:highlight w:val="none"/>
          <w:lang w:val="en-US" w:eastAsia="zh-CN"/>
          <w14:textFill>
            <w14:solidFill>
              <w14:schemeClr w14:val="tx1"/>
            </w14:solidFill>
          </w14:textFill>
        </w:rPr>
        <w:t>50014</w:t>
      </w:r>
      <w:r>
        <w:rPr>
          <w:rFonts w:hint="eastAsia" w:ascii="仿宋_GB2312" w:eastAsia="仿宋_GB2312"/>
          <w:color w:val="000000" w:themeColor="text1"/>
          <w:sz w:val="24"/>
          <w:szCs w:val="24"/>
          <w:highlight w:val="none"/>
          <w14:textFill>
            <w14:solidFill>
              <w14:schemeClr w14:val="tx1"/>
            </w14:solidFill>
          </w14:textFill>
        </w:rPr>
        <w:t>-20</w:t>
      </w:r>
      <w:r>
        <w:rPr>
          <w:rFonts w:hint="eastAsia" w:ascii="仿宋_GB2312" w:eastAsia="仿宋_GB2312"/>
          <w:color w:val="000000" w:themeColor="text1"/>
          <w:sz w:val="24"/>
          <w:szCs w:val="24"/>
          <w:highlight w:val="none"/>
          <w:lang w:val="en-US" w:eastAsia="zh-CN"/>
          <w14:textFill>
            <w14:solidFill>
              <w14:schemeClr w14:val="tx1"/>
            </w14:solidFill>
          </w14:textFill>
        </w:rPr>
        <w:t>21</w:t>
      </w:r>
      <w:r>
        <w:rPr>
          <w:rFonts w:hint="eastAsia" w:ascii="仿宋_GB2312" w:eastAsia="仿宋_GB2312"/>
          <w:color w:val="000000" w:themeColor="text1"/>
          <w:sz w:val="24"/>
          <w:szCs w:val="24"/>
          <w:highlight w:val="none"/>
          <w:lang w:eastAsia="zh-CN"/>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27.《室外给水设计标准》（GB50014-2018）。</w:t>
      </w:r>
    </w:p>
    <w:p>
      <w:pPr>
        <w:pStyle w:val="7"/>
        <w:spacing w:before="156" w:after="156"/>
        <w:ind w:firstLine="241"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1.3.2 </w:t>
      </w:r>
      <w:r>
        <w:rPr>
          <w:color w:val="000000" w:themeColor="text1"/>
          <w:highlight w:val="none"/>
          <w14:textFill>
            <w14:solidFill>
              <w14:schemeClr w14:val="tx1"/>
            </w14:solidFill>
          </w14:textFill>
        </w:rPr>
        <w:t>规划、工可批复及相关要求</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1.《广州市城市总体规划（2017-2035）》；</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2.《广州南沙新区总体规划（2017-2035）》；</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3.广州及南沙新区相关指南、指引文件。</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br w:type="page"/>
      </w:r>
    </w:p>
    <w:p>
      <w:pPr>
        <w:pStyle w:val="5"/>
        <w:spacing w:before="156" w:after="156"/>
        <w:rPr>
          <w:color w:val="000000" w:themeColor="text1"/>
          <w:highlight w:val="none"/>
          <w14:textFill>
            <w14:solidFill>
              <w14:schemeClr w14:val="tx1"/>
            </w14:solidFill>
          </w14:textFill>
        </w:rPr>
      </w:pPr>
      <w:bookmarkStart w:id="10" w:name="_Toc531964814"/>
      <w:bookmarkStart w:id="11" w:name="_Toc29866"/>
      <w:bookmarkStart w:id="12" w:name="_Toc4870"/>
      <w:r>
        <w:rPr>
          <w:color w:val="000000" w:themeColor="text1"/>
          <w:highlight w:val="none"/>
          <w14:textFill>
            <w14:solidFill>
              <w14:schemeClr w14:val="tx1"/>
            </w14:solidFill>
          </w14:textFill>
        </w:rPr>
        <w:t>第二章 设计</w:t>
      </w:r>
      <w:bookmarkEnd w:id="10"/>
      <w:r>
        <w:rPr>
          <w:rFonts w:hint="eastAsia"/>
          <w:color w:val="000000" w:themeColor="text1"/>
          <w:highlight w:val="none"/>
          <w14:textFill>
            <w14:solidFill>
              <w14:schemeClr w14:val="tx1"/>
            </w14:solidFill>
          </w14:textFill>
        </w:rPr>
        <w:t>目标与总体原则</w:t>
      </w:r>
      <w:bookmarkEnd w:id="11"/>
      <w:bookmarkEnd w:id="12"/>
    </w:p>
    <w:p>
      <w:pPr>
        <w:pStyle w:val="6"/>
        <w:spacing w:before="312" w:after="312"/>
        <w:rPr>
          <w:color w:val="000000" w:themeColor="text1"/>
          <w:highlight w:val="none"/>
          <w14:textFill>
            <w14:solidFill>
              <w14:schemeClr w14:val="tx1"/>
            </w14:solidFill>
          </w14:textFill>
        </w:rPr>
      </w:pPr>
      <w:bookmarkStart w:id="13" w:name="_Toc531964815"/>
      <w:bookmarkStart w:id="14" w:name="_Toc20744"/>
      <w:bookmarkStart w:id="15" w:name="_Toc27825"/>
      <w:r>
        <w:rPr>
          <w:color w:val="000000" w:themeColor="text1"/>
          <w:highlight w:val="none"/>
          <w14:textFill>
            <w14:solidFill>
              <w14:schemeClr w14:val="tx1"/>
            </w14:solidFill>
          </w14:textFill>
        </w:rPr>
        <w:t>2.1</w:t>
      </w:r>
      <w:bookmarkEnd w:id="13"/>
      <w:r>
        <w:rPr>
          <w:rFonts w:hint="eastAsia"/>
          <w:color w:val="000000" w:themeColor="text1"/>
          <w:highlight w:val="none"/>
          <w14:textFill>
            <w14:solidFill>
              <w14:schemeClr w14:val="tx1"/>
            </w14:solidFill>
          </w14:textFill>
        </w:rPr>
        <w:t xml:space="preserve"> 设计目标</w:t>
      </w:r>
      <w:bookmarkEnd w:id="14"/>
      <w:bookmarkEnd w:id="15"/>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b/>
          <w:bCs/>
          <w:color w:val="000000" w:themeColor="text1"/>
          <w:highlight w:val="none"/>
          <w14:textFill>
            <w14:solidFill>
              <w14:schemeClr w14:val="tx1"/>
            </w14:solidFill>
          </w14:textFill>
        </w:rPr>
        <w:t>设计部分</w:t>
      </w:r>
      <w:r>
        <w:rPr>
          <w:rFonts w:hint="eastAsia"/>
          <w:color w:val="000000" w:themeColor="text1"/>
          <w:highlight w:val="none"/>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践行绿色生态及智慧科技建设理念，融合地方人文特色，推行“四新”技术应用，工程技术方案技术先进、经济合理。实行全要素品质化设计，建设高标准城市基础设施。</w:t>
      </w:r>
    </w:p>
    <w:p>
      <w:pPr>
        <w:spacing w:line="56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投资部分</w:t>
      </w:r>
      <w:r>
        <w:rPr>
          <w:rFonts w:hint="eastAsia"/>
          <w:color w:val="000000" w:themeColor="text1"/>
          <w:highlight w:val="none"/>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在保证项目质量、安全及进度等目标的前提下，本项目必须按照政府主管部门批复的投资额度和要求全过程控制工程造价，确保工程概、预算不突破投资控制目标。</w:t>
      </w:r>
    </w:p>
    <w:p>
      <w:pPr>
        <w:pStyle w:val="6"/>
        <w:spacing w:before="312" w:after="312"/>
        <w:rPr>
          <w:color w:val="000000" w:themeColor="text1"/>
          <w:highlight w:val="none"/>
          <w14:textFill>
            <w14:solidFill>
              <w14:schemeClr w14:val="tx1"/>
            </w14:solidFill>
          </w14:textFill>
        </w:rPr>
      </w:pPr>
      <w:bookmarkStart w:id="16" w:name="_Toc26029"/>
      <w:bookmarkStart w:id="17" w:name="_Toc22486"/>
      <w:r>
        <w:rPr>
          <w:rFonts w:hint="eastAsia"/>
          <w:color w:val="000000" w:themeColor="text1"/>
          <w:highlight w:val="none"/>
          <w14:textFill>
            <w14:solidFill>
              <w14:schemeClr w14:val="tx1"/>
            </w14:solidFill>
          </w14:textFill>
        </w:rPr>
        <w:t>2.2 总体原则</w:t>
      </w:r>
      <w:bookmarkEnd w:id="16"/>
      <w:bookmarkEnd w:id="17"/>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AnsiTheme="minorHAnsi" w:cstheme="minorBidi"/>
          <w:color w:val="000000" w:themeColor="text1"/>
          <w:highlight w:val="none"/>
          <w14:textFill>
            <w14:solidFill>
              <w14:schemeClr w14:val="tx1"/>
            </w14:solidFill>
          </w14:textFill>
        </w:rPr>
        <w:t>按照规划设计要点，结合现状周边环境，综合分析本工程与区域路网结构的关系，科学合理的设计道路通行能力，充分发挥路网的交通功能，使道路和城市路网建设有较好的衔接。</w:t>
      </w:r>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AnsiTheme="minorHAnsi" w:cstheme="minorBidi"/>
          <w:color w:val="000000" w:themeColor="text1"/>
          <w:highlight w:val="none"/>
          <w14:textFill>
            <w14:solidFill>
              <w14:schemeClr w14:val="tx1"/>
            </w14:solidFill>
          </w14:textFill>
        </w:rPr>
        <w:t>充分调查道路沿线的各种现状情况，充分结合原有地形地貌，同时道路设计还应充分考虑道路沿线、甚至是整个区域的远期规划目标，为城市发展提供充足的基础支持。</w:t>
      </w:r>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AnsiTheme="minorHAnsi" w:cstheme="minorBidi"/>
          <w:color w:val="000000" w:themeColor="text1"/>
          <w:highlight w:val="none"/>
          <w14:textFill>
            <w14:solidFill>
              <w14:schemeClr w14:val="tx1"/>
            </w14:solidFill>
          </w14:textFill>
        </w:rPr>
        <w:t>路线交叉工程应以路网规划为依据，合理选取各种设计参数，尽量减少拆迁和征地数量。</w:t>
      </w:r>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AnsiTheme="minorHAnsi" w:cstheme="minorBidi"/>
          <w:color w:val="000000" w:themeColor="text1"/>
          <w:highlight w:val="none"/>
          <w14:textFill>
            <w14:solidFill>
              <w14:schemeClr w14:val="tx1"/>
            </w14:solidFill>
          </w14:textFill>
        </w:rPr>
        <w:t>注重环境保护和景观效果，设计出高质量的人文景观和环境景观，反映出当地的经济发展水平，体现出现代气息。</w:t>
      </w:r>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AnsiTheme="minorHAnsi" w:cstheme="minorBidi"/>
          <w:color w:val="000000" w:themeColor="text1"/>
          <w:highlight w:val="none"/>
          <w14:textFill>
            <w14:solidFill>
              <w14:schemeClr w14:val="tx1"/>
            </w14:solidFill>
          </w14:textFill>
        </w:rPr>
        <w:t>道路雨水排放系统设计时，应充分调查道路沿线河涌情况，并结合河涌规划情况，减小管道起点至河涌的排水距离，降低施工难度，节约工程投资。</w:t>
      </w:r>
    </w:p>
    <w:p>
      <w:pPr>
        <w:pStyle w:val="42"/>
        <w:numPr>
          <w:ilvl w:val="0"/>
          <w:numId w:val="4"/>
        </w:numPr>
        <w:spacing w:line="560" w:lineRule="exact"/>
        <w:ind w:firstLine="482" w:firstLineChars="0"/>
        <w:rPr>
          <w:rFonts w:hAnsiTheme="minorHAnsi" w:cstheme="minorBidi"/>
          <w:color w:val="000000" w:themeColor="text1"/>
          <w:highlight w:val="none"/>
          <w14:textFill>
            <w14:solidFill>
              <w14:schemeClr w14:val="tx1"/>
            </w14:solidFill>
          </w14:textFill>
        </w:rPr>
      </w:pPr>
      <w:r>
        <w:rPr>
          <w:rFonts w:hint="eastAsia" w:hAnsiTheme="minorHAnsi" w:cstheme="minorBidi"/>
          <w:color w:val="000000" w:themeColor="text1"/>
          <w:highlight w:val="none"/>
          <w14:textFill>
            <w14:solidFill>
              <w14:schemeClr w14:val="tx1"/>
            </w14:solidFill>
          </w14:textFill>
        </w:rPr>
        <w:t>推行新材料、新工艺、新结构、新技术应用，坚持多方案综合比较、优中选优的原则，与同类工程项目相比具有技术先进性。</w:t>
      </w:r>
    </w:p>
    <w:p>
      <w:pPr>
        <w:pStyle w:val="42"/>
        <w:ind w:firstLine="0" w:firstLineChars="0"/>
        <w:rPr>
          <w:color w:val="000000" w:themeColor="text1"/>
          <w:highlight w:val="none"/>
          <w14:textFill>
            <w14:solidFill>
              <w14:schemeClr w14:val="tx1"/>
            </w14:solidFill>
          </w14:textFill>
        </w:rPr>
      </w:pPr>
    </w:p>
    <w:p>
      <w:pPr>
        <w:pStyle w:val="5"/>
        <w:spacing w:before="156" w:after="156"/>
        <w:rPr>
          <w:color w:val="000000" w:themeColor="text1"/>
          <w:highlight w:val="none"/>
          <w14:textFill>
            <w14:solidFill>
              <w14:schemeClr w14:val="tx1"/>
            </w14:solidFill>
          </w14:textFill>
        </w:rPr>
      </w:pPr>
      <w:r>
        <w:rPr>
          <w:rFonts w:hAnsiTheme="minorHAnsi" w:cstheme="minorBidi"/>
          <w:b w:val="0"/>
          <w:bCs w:val="0"/>
          <w:color w:val="000000" w:themeColor="text1"/>
          <w:kern w:val="2"/>
          <w:sz w:val="24"/>
          <w:szCs w:val="24"/>
          <w:highlight w:val="none"/>
          <w14:textFill>
            <w14:solidFill>
              <w14:schemeClr w14:val="tx1"/>
            </w14:solidFill>
          </w14:textFill>
        </w:rPr>
        <w:br w:type="page"/>
      </w:r>
      <w:bookmarkStart w:id="18" w:name="_Toc531964821"/>
      <w:bookmarkStart w:id="19" w:name="_Toc19243"/>
      <w:bookmarkStart w:id="20" w:name="_Toc1458"/>
      <w:r>
        <w:rPr>
          <w:color w:val="000000" w:themeColor="text1"/>
          <w:highlight w:val="none"/>
          <w14:textFill>
            <w14:solidFill>
              <w14:schemeClr w14:val="tx1"/>
            </w14:solidFill>
          </w14:textFill>
        </w:rPr>
        <w:t xml:space="preserve">第三章 </w:t>
      </w:r>
      <w:r>
        <w:rPr>
          <w:rFonts w:hint="eastAsia"/>
          <w:color w:val="000000" w:themeColor="text1"/>
          <w:highlight w:val="none"/>
          <w14:textFill>
            <w14:solidFill>
              <w14:schemeClr w14:val="tx1"/>
            </w14:solidFill>
          </w14:textFill>
        </w:rPr>
        <w:t>工作</w:t>
      </w:r>
      <w:r>
        <w:rPr>
          <w:color w:val="000000" w:themeColor="text1"/>
          <w:highlight w:val="none"/>
          <w14:textFill>
            <w14:solidFill>
              <w14:schemeClr w14:val="tx1"/>
            </w14:solidFill>
          </w14:textFill>
        </w:rPr>
        <w:t>要求</w:t>
      </w:r>
      <w:bookmarkEnd w:id="18"/>
      <w:bookmarkEnd w:id="19"/>
      <w:bookmarkEnd w:id="20"/>
    </w:p>
    <w:p>
      <w:pPr>
        <w:pStyle w:val="6"/>
        <w:spacing w:before="312" w:after="312"/>
        <w:rPr>
          <w:color w:val="000000" w:themeColor="text1"/>
          <w:highlight w:val="none"/>
          <w14:textFill>
            <w14:solidFill>
              <w14:schemeClr w14:val="tx1"/>
            </w14:solidFill>
          </w14:textFill>
        </w:rPr>
      </w:pPr>
      <w:bookmarkStart w:id="21" w:name="_Toc28153"/>
      <w:bookmarkStart w:id="22" w:name="_Toc1934"/>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1设计内容</w:t>
      </w:r>
      <w:bookmarkEnd w:id="21"/>
      <w:bookmarkEnd w:id="22"/>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bookmarkStart w:id="23" w:name="_Toc20060584"/>
      <w:bookmarkStart w:id="24" w:name="_Toc531964818"/>
      <w:r>
        <w:rPr>
          <w:rFonts w:hint="eastAsia" w:ascii="仿宋_GB2312" w:eastAsia="仿宋_GB2312"/>
          <w:color w:val="000000" w:themeColor="text1"/>
          <w:sz w:val="24"/>
          <w:szCs w:val="24"/>
          <w:highlight w:val="none"/>
          <w:lang w:eastAsia="zh-CN"/>
          <w14:textFill>
            <w14:solidFill>
              <w14:schemeClr w14:val="tx1"/>
            </w14:solidFill>
          </w14:textFill>
        </w:rPr>
        <w:t>本项目设计内容为市政道路及配套设施，包含的专业有</w:t>
      </w:r>
      <w:r>
        <w:rPr>
          <w:rFonts w:hint="eastAsia" w:ascii="仿宋_GB2312" w:eastAsia="仿宋_GB2312"/>
          <w:color w:val="000000" w:themeColor="text1"/>
          <w:sz w:val="24"/>
          <w:szCs w:val="24"/>
          <w:highlight w:val="none"/>
          <w14:textFill>
            <w14:solidFill>
              <w14:schemeClr w14:val="tx1"/>
            </w14:solidFill>
          </w14:textFill>
        </w:rPr>
        <w:t>道路、</w:t>
      </w:r>
      <w:r>
        <w:rPr>
          <w:rFonts w:hint="eastAsia" w:ascii="仿宋_GB2312" w:eastAsia="仿宋_GB2312"/>
          <w:color w:val="000000" w:themeColor="text1"/>
          <w:sz w:val="24"/>
          <w:szCs w:val="24"/>
          <w:highlight w:val="none"/>
          <w:lang w:val="en-US" w:eastAsia="zh-CN"/>
          <w14:textFill>
            <w14:solidFill>
              <w14:schemeClr w14:val="tx1"/>
            </w14:solidFill>
          </w14:textFill>
        </w:rPr>
        <w:t>桥梁、</w:t>
      </w:r>
      <w:r>
        <w:rPr>
          <w:rFonts w:hint="eastAsia" w:ascii="仿宋_GB2312" w:eastAsia="仿宋_GB2312"/>
          <w:color w:val="000000" w:themeColor="text1"/>
          <w:sz w:val="24"/>
          <w:szCs w:val="24"/>
          <w:highlight w:val="none"/>
          <w14:textFill>
            <w14:solidFill>
              <w14:schemeClr w14:val="tx1"/>
            </w14:solidFill>
          </w14:textFill>
        </w:rPr>
        <w:t>交通、排水、照明、电力管沟、通信管沟、</w:t>
      </w:r>
      <w:r>
        <w:rPr>
          <w:rFonts w:hint="eastAsia" w:ascii="仿宋_GB2312" w:eastAsia="仿宋_GB2312"/>
          <w:color w:val="000000" w:themeColor="text1"/>
          <w:sz w:val="24"/>
          <w:szCs w:val="24"/>
          <w:highlight w:val="none"/>
          <w:lang w:eastAsia="zh-CN"/>
          <w14:textFill>
            <w14:solidFill>
              <w14:schemeClr w14:val="tx1"/>
            </w14:solidFill>
          </w14:textFill>
        </w:rPr>
        <w:t>市政道路</w:t>
      </w:r>
      <w:r>
        <w:rPr>
          <w:rFonts w:hint="eastAsia" w:ascii="仿宋_GB2312" w:eastAsia="仿宋_GB2312"/>
          <w:color w:val="000000" w:themeColor="text1"/>
          <w:sz w:val="24"/>
          <w:szCs w:val="24"/>
          <w:highlight w:val="none"/>
          <w14:textFill>
            <w14:solidFill>
              <w14:schemeClr w14:val="tx1"/>
            </w14:solidFill>
          </w14:textFill>
        </w:rPr>
        <w:t>绿化</w:t>
      </w:r>
      <w:r>
        <w:rPr>
          <w:rFonts w:hint="eastAsia" w:ascii="仿宋_GB2312" w:eastAsia="仿宋_GB2312"/>
          <w:color w:val="000000" w:themeColor="text1"/>
          <w:sz w:val="24"/>
          <w:szCs w:val="24"/>
          <w:highlight w:val="none"/>
          <w:lang w:val="en-US" w:eastAsia="zh-CN"/>
          <w14:textFill>
            <w14:solidFill>
              <w14:schemeClr w14:val="tx1"/>
            </w14:solidFill>
          </w14:textFill>
        </w:rPr>
        <w:t>工程等</w:t>
      </w:r>
      <w:r>
        <w:rPr>
          <w:rFonts w:hint="eastAsia" w:ascii="仿宋_GB2312" w:eastAsia="仿宋_GB2312"/>
          <w:color w:val="000000" w:themeColor="text1"/>
          <w:sz w:val="24"/>
          <w:szCs w:val="24"/>
          <w:highlight w:val="none"/>
          <w:lang w:eastAsia="zh-CN"/>
          <w14:textFill>
            <w14:solidFill>
              <w14:schemeClr w14:val="tx1"/>
            </w14:solidFill>
          </w14:textFill>
        </w:rPr>
        <w:t>。</w:t>
      </w:r>
    </w:p>
    <w:bookmarkEnd w:id="23"/>
    <w:p>
      <w:pPr>
        <w:pStyle w:val="6"/>
        <w:spacing w:before="312" w:after="312"/>
        <w:rPr>
          <w:rFonts w:hint="eastAsia"/>
          <w:color w:val="000000" w:themeColor="text1"/>
          <w:highlight w:val="none"/>
          <w14:textFill>
            <w14:solidFill>
              <w14:schemeClr w14:val="tx1"/>
            </w14:solidFill>
          </w14:textFill>
        </w:rPr>
      </w:pPr>
      <w:bookmarkStart w:id="25" w:name="_Toc30094"/>
      <w:bookmarkStart w:id="26" w:name="_Toc12597"/>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bookmarkEnd w:id="24"/>
      <w:r>
        <w:rPr>
          <w:rFonts w:hint="eastAsia"/>
          <w:color w:val="000000" w:themeColor="text1"/>
          <w:highlight w:val="none"/>
          <w:lang w:val="en-US" w:eastAsia="zh-CN"/>
          <w14:textFill>
            <w14:solidFill>
              <w14:schemeClr w14:val="tx1"/>
            </w14:solidFill>
          </w14:textFill>
        </w:rPr>
        <w:t>勘察</w:t>
      </w:r>
      <w:r>
        <w:rPr>
          <w:rFonts w:hint="eastAsia"/>
          <w:color w:val="000000" w:themeColor="text1"/>
          <w:highlight w:val="none"/>
          <w14:textFill>
            <w14:solidFill>
              <w14:schemeClr w14:val="tx1"/>
            </w14:solidFill>
          </w14:textFill>
        </w:rPr>
        <w:t>设计要求</w:t>
      </w:r>
      <w:bookmarkEnd w:id="25"/>
      <w:bookmarkEnd w:id="26"/>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各阶段的勘察设计工作除遵照勘察设计合同、项目建议书、可行性研究报告、业主需求书、现行法律法规和规范标准、政府有关部门的规定和审批意见、项目建设管理单位的有关规定等外，还需要做到下列要求。</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3.2.1 </w:t>
      </w:r>
      <w:r>
        <w:rPr>
          <w:rFonts w:hint="eastAsia"/>
          <w:color w:val="000000" w:themeColor="text1"/>
          <w:highlight w:val="none"/>
          <w:lang w:val="en-US" w:eastAsia="zh-CN"/>
          <w14:textFill>
            <w14:solidFill>
              <w14:schemeClr w14:val="tx1"/>
            </w14:solidFill>
          </w14:textFill>
        </w:rPr>
        <w:t>工程</w:t>
      </w:r>
      <w:r>
        <w:rPr>
          <w:rFonts w:hint="eastAsia"/>
          <w:color w:val="000000" w:themeColor="text1"/>
          <w:highlight w:val="none"/>
          <w14:textFill>
            <w14:solidFill>
              <w14:schemeClr w14:val="tx1"/>
            </w14:solidFill>
          </w14:textFill>
        </w:rPr>
        <w:t>勘察要求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工程勘察的深度必须满足设计、施工需要，按照市政工程有关规范、标准等执行。</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1.岩土勘察技术要求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本项目勘察按照详勘要求进行，满足相关专业施工图设计要求。详勘应详细查明沿线工程地质、水文地质条件，并作出定性或定量评价，对不良地质条件等提出治理措施，为施工图设计提供充分设计依据。主要技术要求为：</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（1）详细查明场地的地形、地貌，并对场地的稳定性和适宜性进行评价；</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（2）详细查明拟建场地地层构成与特征；</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（3）查明沿线不良地质条件，并分析其成因、分布范围和对工程可能产生的不利影响；</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（4）应查明地下水及地表水分布特征、水质、埋藏条件，相关土层的渗透性、不均匀系数等，为基槽开挖的降水设计提供所需的水文参数，并判定地下水及地表水对建筑物材料的腐蚀性；</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（5）根据既有资料并结合拟建道路的特征，提出设计所需的各种物理力学指标及其它技术参数，提出适宜的技术措施及合理建议，满足设计要求；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6）根据规范要求，提供场地抗震设计参数，判定沿线场地类别，当遇到浅层（地表下深度20m范围内）粉性土或砂土时，按7度设防，综合静力触探或标准贯入成果对其液化可能性进行判别，如判为液化则提供场地液化等级与液化强度比等，为设计采取必要的抗液化措施提供依据和参数；</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（7）对地面道路，应提出路基持力层及地基处理建议方案，评价道路的地基变形特征。</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（8）建议相应管道开槽埋设围护及降水方案，提供基槽开挖设计施工所需的有关参数（如直剪固快C、φ峰值、渗透系数等），对围护、降排水施工中应注意的问题提出合理建议。</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2.测量技术要求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由于项目缺乏沿线道路的准确的地形及相关外业资料，因此必须对路段进行实地地形测量以及全线道路平、纵、横进行测量。测量成果须按如下技术要求进行测量及测量后提供所需要的数据。</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1）全面反映测量范围内的地形地物特征，修测地形图。</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2）测量范围由道路中心线左右各延伸50m。沿线道路相交叉，交叉口切点范围以外各50m范围。精度按照1:500进行测量。</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3）测量沿线地形地貌。需示出沿线路灯、标志牌、信号灯的具体位置，项目红线范围以内河浜断面标高，并在测量地形图上有明确、明显的标示。</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4）道路中桩放样测量：按测量基准线量测中线，桩距20米，交叉口等地形变化处加桩。</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5）纵断面测量：中桩标高测量（按道路平面图拟合中心线布点，每隔20m一个点，近路口10m一点）。</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6）道路横断面测量：每隔20m一个断面，成果数据文件格式采用设计规定的数据格式，横断面宽度为沿设计道路中心左右各25m。</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7）与现状道路交叉口方格网标高测量，按10m×10m间隔。</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8）须明确测量地形、高程控制所采用的坐标系统和高程系统。</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3.物探要求</w:t>
      </w:r>
    </w:p>
    <w:p>
      <w:pPr>
        <w:spacing w:line="560" w:lineRule="exact"/>
        <w:ind w:firstLine="482"/>
        <w:rPr>
          <w:rFonts w:hint="eastAsia" w:ascii="仿宋_GB2312" w:eastAsia="仿宋_GB2312"/>
          <w:color w:val="000000" w:themeColor="text1"/>
          <w:sz w:val="24"/>
          <w:szCs w:val="24"/>
          <w:highlight w:val="none"/>
          <w:lang w:val="zh-TW" w:eastAsia="zh-TW"/>
          <w14:textFill>
            <w14:solidFill>
              <w14:schemeClr w14:val="tx1"/>
            </w14:solidFill>
          </w14:textFill>
        </w:rPr>
      </w:pPr>
      <w:r>
        <w:rPr>
          <w:rFonts w:hint="eastAsia" w:ascii="仿宋_GB2312" w:eastAsia="仿宋_GB2312"/>
          <w:color w:val="000000" w:themeColor="text1"/>
          <w:sz w:val="24"/>
          <w:szCs w:val="24"/>
          <w:highlight w:val="none"/>
          <w:lang w:val="en-US" w:eastAsia="zh-TW"/>
          <w14:textFill>
            <w14:solidFill>
              <w14:schemeClr w14:val="tx1"/>
            </w14:solidFill>
          </w14:textFill>
        </w:rPr>
        <w:t>地下管线探查工作应符合现行相关规范、规程的要求。</w:t>
      </w:r>
      <w:r>
        <w:rPr>
          <w:rFonts w:hint="eastAsia" w:ascii="仿宋_GB2312" w:eastAsia="仿宋_GB2312"/>
          <w:color w:val="000000" w:themeColor="text1"/>
          <w:sz w:val="24"/>
          <w:szCs w:val="24"/>
          <w:highlight w:val="none"/>
          <w:lang w:val="en-US" w:eastAsia="zh-CN"/>
          <w14:textFill>
            <w14:solidFill>
              <w14:schemeClr w14:val="tx1"/>
            </w14:solidFill>
          </w14:textFill>
        </w:rPr>
        <w:t>主要技术要求为：</w:t>
      </w:r>
    </w:p>
    <w:p>
      <w:pPr>
        <w:spacing w:line="560" w:lineRule="exact"/>
        <w:ind w:firstLine="482"/>
        <w:rPr>
          <w:rFonts w:hint="eastAsia" w:ascii="仿宋_GB2312" w:eastAsia="仿宋_GB2312"/>
          <w:color w:val="000000" w:themeColor="text1"/>
          <w:sz w:val="24"/>
          <w:szCs w:val="24"/>
          <w:highlight w:val="none"/>
          <w:lang w:val="zh-TW" w:eastAsia="zh-TW"/>
          <w14:textFill>
            <w14:solidFill>
              <w14:schemeClr w14:val="tx1"/>
            </w14:solidFill>
          </w14:textFill>
        </w:rPr>
      </w:pP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1</w:t>
      </w: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zh-TW" w:eastAsia="zh-TW"/>
          <w14:textFill>
            <w14:solidFill>
              <w14:schemeClr w14:val="tx1"/>
            </w14:solidFill>
          </w14:textFill>
        </w:rPr>
        <w:t>查明地下管线的具体分布情况，包括给水、排水、燃气、电力、电信、热力、工业管道等市政和公用管线及民航、军用、铁路等其他专用管线。</w:t>
      </w:r>
    </w:p>
    <w:p>
      <w:pPr>
        <w:spacing w:line="560" w:lineRule="exact"/>
        <w:ind w:firstLine="482"/>
        <w:rPr>
          <w:rFonts w:hint="eastAsia" w:ascii="仿宋_GB2312" w:eastAsia="仿宋_GB2312"/>
          <w:color w:val="000000" w:themeColor="text1"/>
          <w:sz w:val="24"/>
          <w:szCs w:val="24"/>
          <w:highlight w:val="none"/>
          <w:lang w:val="zh-TW" w:eastAsia="zh-TW"/>
          <w14:textFill>
            <w14:solidFill>
              <w14:schemeClr w14:val="tx1"/>
            </w14:solidFill>
          </w14:textFill>
        </w:rPr>
      </w:pP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2</w:t>
      </w: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zh-TW" w:eastAsia="zh-TW"/>
          <w14:textFill>
            <w14:solidFill>
              <w14:schemeClr w14:val="tx1"/>
            </w14:solidFill>
          </w14:textFill>
        </w:rPr>
        <w:t>查明地下管线的种类、平面位置、埋深、管径或根数、材质，并编绘地下综合管线图。</w:t>
      </w:r>
    </w:p>
    <w:p>
      <w:pPr>
        <w:spacing w:line="560" w:lineRule="exact"/>
        <w:ind w:firstLine="482"/>
        <w:rPr>
          <w:rFonts w:hint="eastAsia" w:ascii="仿宋_GB2312" w:eastAsia="仿宋_GB2312"/>
          <w:color w:val="000000" w:themeColor="text1"/>
          <w:sz w:val="24"/>
          <w:szCs w:val="24"/>
          <w:highlight w:val="none"/>
          <w:lang w:val="zh-TW" w:eastAsia="zh-TW"/>
          <w14:textFill>
            <w14:solidFill>
              <w14:schemeClr w14:val="tx1"/>
            </w14:solidFill>
          </w14:textFill>
        </w:rPr>
      </w:pP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3</w:t>
      </w:r>
      <w:r>
        <w:rPr>
          <w:rFonts w:hint="eastAsia" w:ascii="仿宋_GB2312" w:eastAsia="仿宋_GB2312"/>
          <w:color w:val="000000" w:themeColor="text1"/>
          <w:sz w:val="24"/>
          <w:szCs w:val="24"/>
          <w:highlight w:val="none"/>
          <w:lang w:val="zh-TW" w:eastAsia="zh-CN"/>
          <w14:textFill>
            <w14:solidFill>
              <w14:schemeClr w14:val="tx1"/>
            </w14:solidFill>
          </w14:textFill>
        </w:rPr>
        <w:t>）将探测成果编绘成数字化成果图，最终提供彩色成果图和电子文档。</w:t>
      </w:r>
    </w:p>
    <w:p>
      <w:pPr>
        <w:spacing w:line="560" w:lineRule="exact"/>
        <w:ind w:firstLine="482"/>
        <w:rPr>
          <w:rFonts w:hint="eastAsia" w:ascii="仿宋_GB2312" w:eastAsia="仿宋_GB2312"/>
          <w:color w:val="000000" w:themeColor="text1"/>
          <w:sz w:val="24"/>
          <w:szCs w:val="24"/>
          <w:highlight w:val="none"/>
          <w:lang w:val="zh-TW" w:eastAsia="zh-TW"/>
          <w14:textFill>
            <w14:solidFill>
              <w14:schemeClr w14:val="tx1"/>
            </w14:solidFill>
          </w14:textFill>
        </w:rPr>
      </w:pP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4</w:t>
      </w:r>
      <w:r>
        <w:rPr>
          <w:rFonts w:hint="eastAsia" w:ascii="仿宋_GB2312" w:eastAsia="仿宋_GB2312"/>
          <w:color w:val="000000" w:themeColor="text1"/>
          <w:sz w:val="24"/>
          <w:szCs w:val="24"/>
          <w:highlight w:val="none"/>
          <w:lang w:val="zh-TW" w:eastAsia="zh-CN"/>
          <w14:textFill>
            <w14:solidFill>
              <w14:schemeClr w14:val="tx1"/>
            </w14:solidFill>
          </w14:textFill>
        </w:rPr>
        <w:t>）</w:t>
      </w:r>
      <w:r>
        <w:rPr>
          <w:rFonts w:hint="eastAsia" w:ascii="仿宋_GB2312" w:eastAsia="仿宋_GB2312"/>
          <w:color w:val="000000" w:themeColor="text1"/>
          <w:sz w:val="24"/>
          <w:szCs w:val="24"/>
          <w:highlight w:val="none"/>
          <w:lang w:val="zh-TW" w:eastAsia="zh-TW"/>
          <w14:textFill>
            <w14:solidFill>
              <w14:schemeClr w14:val="tx1"/>
            </w14:solidFill>
          </w14:textFill>
        </w:rPr>
        <w:t>精度要求：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a）地下管线探测满足《城市地下管线探测技术规程》的Ⅱ级探测精度要求：</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地下管线水平位置限差δts≤0.10h；</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地下管线中心埋深限差δth≤0.15h；</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b）地下管线点的测量精度：</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平面位置测量中误差不大于±5cm（相对于邻近控制点）。</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高程测量中误差不大于±3cm（相对于邻近控制点）。</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3.2.2 道路工程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1.道路及交叉口设计各项技术指标满足国家、省市的相关标准、规范要求。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2.平面线形美观、流畅、视觉自然、视野开阔，保证行车安全、舒适；合理布置直线、曲线、超高以及相互之间的衔接关系。</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横断面设计应在规划的红线宽度范围内进行。断面布局应结合道路等级、要求的行车道数、设计行车速度、地形、规划用地性质等相关因素综合考虑。合理安排机动车辆、非机动车辆、行人的通行，能最大限度地提高道路交通的通行能力。</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纵断面设计应参照广州市防洪排涝规划要求及地形条件进行设计，以满足50年一遇的防洪排涝标准进行道路标高设计，此外还应当考虑增强规划横一路的亲水性和满足改善城市滨水路景观路面设计标高要求。同时处理好与沿线地形、建筑物、地下管线、地质、相关路口标高之间的关系；保证行车安全、舒适，线形缓顺。</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5.按规范要求在人行道须进行无障碍设计，保持连续并按规范设置连续性的导盲带和无障碍设施。</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6.采用成熟的新技术进行设计路面结构，使得道路表面及桥面铺装面层在降雨天气下不出现积水、抗滑性能好，可减少交通事故、夜间减少路面反光、交通降噪性能显著，从而提供良好的使用品质。</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7.采用技术成熟、成本合理且能满足工期的方法进行软基处理设计。</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桥梁</w:t>
      </w:r>
      <w:r>
        <w:rPr>
          <w:rFonts w:hint="eastAsia"/>
          <w:color w:val="000000" w:themeColor="text1"/>
          <w:highlight w:val="none"/>
          <w14:textFill>
            <w14:solidFill>
              <w14:schemeClr w14:val="tx1"/>
            </w14:solidFill>
          </w14:textFill>
        </w:rPr>
        <w:t>工程</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桥型方案本着安全、适用、经济、美观的原则综合考虑，桥型结构在力求形式统一，求融合胜于求新颖。</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2.针对珠三角经济发达区桥梁的特点，精心布跨，深入比选。同时结合本项目特点，跨越景观河涌的桥梁基于防洪和桥下景观等要求，应适当增加跨径以减少桥墩个数，采用的桥梁跨径</w:t>
      </w:r>
      <w:r>
        <w:rPr>
          <w:rFonts w:hint="eastAsia" w:ascii="仿宋_GB2312" w:eastAsia="仿宋_GB2312"/>
          <w:color w:val="000000" w:themeColor="text1"/>
          <w:sz w:val="24"/>
          <w:szCs w:val="24"/>
          <w:highlight w:val="none"/>
          <w:lang w:val="en-US" w:eastAsia="zh-CN"/>
          <w14:textFill>
            <w14:solidFill>
              <w14:schemeClr w14:val="tx1"/>
            </w14:solidFill>
          </w14:textFill>
        </w:rPr>
        <w:t>为20m、</w:t>
      </w:r>
      <w:r>
        <w:rPr>
          <w:rFonts w:hint="eastAsia" w:ascii="仿宋_GB2312" w:eastAsia="仿宋_GB2312"/>
          <w:color w:val="000000" w:themeColor="text1"/>
          <w:sz w:val="24"/>
          <w:szCs w:val="24"/>
          <w:highlight w:val="none"/>
          <w14:textFill>
            <w14:solidFill>
              <w14:schemeClr w14:val="tx1"/>
            </w14:solidFill>
          </w14:textFill>
        </w:rPr>
        <w:t>30m</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40m及以上</w:t>
      </w:r>
      <w:r>
        <w:rPr>
          <w:rFonts w:hint="eastAsia" w:ascii="仿宋_GB2312" w:eastAsia="仿宋_GB2312"/>
          <w:color w:val="000000" w:themeColor="text1"/>
          <w:sz w:val="24"/>
          <w:szCs w:val="24"/>
          <w:highlight w:val="none"/>
          <w:lang w:eastAsia="zh-CN"/>
          <w14:textFill>
            <w14:solidFill>
              <w14:schemeClr w14:val="tx1"/>
            </w14:solidFill>
          </w14:textFill>
        </w:rPr>
        <w:t>。</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合理选择桥位，确保方案比选深度，控制工程规模，不遗漏可行方案。</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结构型式兼顾利于就地取材、采用成熟工艺、便于施工和养护。</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w:t>
      </w:r>
      <w:r>
        <w:rPr>
          <w:rFonts w:hint="eastAsia" w:ascii="仿宋_GB2312" w:eastAsia="仿宋_GB2312"/>
          <w:color w:val="000000" w:themeColor="text1"/>
          <w:sz w:val="24"/>
          <w:szCs w:val="24"/>
          <w:highlight w:val="none"/>
          <w:lang w:val="en-US"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桥梁跨越</w:t>
      </w:r>
      <w:r>
        <w:rPr>
          <w:rFonts w:hint="eastAsia" w:ascii="仿宋_GB2312" w:eastAsia="仿宋_GB2312"/>
          <w:color w:val="000000" w:themeColor="text1"/>
          <w:sz w:val="24"/>
          <w:szCs w:val="24"/>
          <w:highlight w:val="none"/>
          <w:lang w:eastAsia="zh-CN"/>
          <w14:textFill>
            <w14:solidFill>
              <w14:schemeClr w14:val="tx1"/>
            </w14:solidFill>
          </w14:textFill>
        </w:rPr>
        <w:t>道路</w:t>
      </w:r>
      <w:r>
        <w:rPr>
          <w:rFonts w:hint="eastAsia" w:ascii="仿宋_GB2312" w:eastAsia="仿宋_GB2312"/>
          <w:color w:val="000000" w:themeColor="text1"/>
          <w:sz w:val="24"/>
          <w:szCs w:val="24"/>
          <w:highlight w:val="none"/>
          <w14:textFill>
            <w14:solidFill>
              <w14:schemeClr w14:val="tx1"/>
            </w14:solidFill>
          </w14:textFill>
        </w:rPr>
        <w:t>及管线时，应满足相关部门的要求。</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lang w:eastAsia="zh-CN"/>
          <w14:textFill>
            <w14:solidFill>
              <w14:schemeClr w14:val="tx1"/>
            </w14:solidFill>
          </w14:textFill>
        </w:rPr>
        <w:t>交通</w:t>
      </w:r>
      <w:r>
        <w:rPr>
          <w:rFonts w:hint="eastAsia"/>
          <w:color w:val="000000" w:themeColor="text1"/>
          <w:highlight w:val="none"/>
          <w14:textFill>
            <w14:solidFill>
              <w14:schemeClr w14:val="tx1"/>
            </w14:solidFill>
          </w14:textFill>
        </w:rPr>
        <w:t>工程</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w:t>
      </w:r>
      <w:r>
        <w:rPr>
          <w:rFonts w:hint="eastAsia" w:ascii="仿宋_GB2312" w:eastAsia="仿宋_GB2312"/>
          <w:color w:val="000000" w:themeColor="text1"/>
          <w:sz w:val="24"/>
          <w:szCs w:val="24"/>
          <w:highlight w:val="none"/>
          <w14:textFill>
            <w14:solidFill>
              <w14:schemeClr w14:val="tx1"/>
            </w14:solidFill>
          </w14:textFill>
        </w:rPr>
        <w:t>交通标志以颜色、形状、字符、图形等向道路使用者传递信息用于管理交通的设施；交通标线是施划或安装于道路上的各种线条、箭头、文字、图案及立面标记、实体标记、突起路标和轮廓标等交通设施，向道路使用者传递有关道路交通的规则、警告、指引等信息。</w:t>
      </w:r>
    </w:p>
    <w:p>
      <w:pPr>
        <w:spacing w:line="560" w:lineRule="exact"/>
        <w:ind w:firstLine="480" w:firstLineChars="200"/>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w:t>
      </w:r>
      <w:r>
        <w:rPr>
          <w:rFonts w:hint="eastAsia" w:ascii="仿宋_GB2312" w:eastAsia="仿宋_GB2312"/>
          <w:color w:val="000000" w:themeColor="text1"/>
          <w:sz w:val="24"/>
          <w:szCs w:val="24"/>
          <w:highlight w:val="none"/>
          <w14:textFill>
            <w14:solidFill>
              <w14:schemeClr w14:val="tx1"/>
            </w14:solidFill>
          </w14:textFill>
        </w:rPr>
        <w:t>根据道路线形、交通设施、交通状况、周边路网、社会环境、自然环境等确定道路的交通组织方案。</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3、</w:t>
      </w:r>
      <w:r>
        <w:rPr>
          <w:rFonts w:hint="eastAsia" w:ascii="仿宋_GB2312" w:eastAsia="仿宋_GB2312"/>
          <w:color w:val="000000" w:themeColor="text1"/>
          <w:sz w:val="24"/>
          <w:szCs w:val="24"/>
          <w:highlight w:val="none"/>
          <w14:textFill>
            <w14:solidFill>
              <w14:schemeClr w14:val="tx1"/>
            </w14:solidFill>
          </w14:textFill>
        </w:rPr>
        <w:t>根据交通组织方案，结合道路及交通情况，综合考虑、合理布局、信息连续等原则设计交通标志，确保与其它设施相协调，为道路使用者提供准确、清晰、简洁、及时的信息和具有足够的发现、认读和反应时间，引导道路使用者顺利快捷地抵达目的地，促进交通畅通和行车安全。</w:t>
      </w:r>
    </w:p>
    <w:p>
      <w:pPr>
        <w:spacing w:line="560" w:lineRule="exact"/>
        <w:ind w:firstLine="480" w:firstLineChars="200"/>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4、</w:t>
      </w:r>
      <w:r>
        <w:rPr>
          <w:rFonts w:hint="eastAsia" w:ascii="仿宋_GB2312" w:eastAsia="仿宋_GB2312"/>
          <w:color w:val="000000" w:themeColor="text1"/>
          <w:sz w:val="24"/>
          <w:szCs w:val="24"/>
          <w:highlight w:val="none"/>
          <w14:textFill>
            <w14:solidFill>
              <w14:schemeClr w14:val="tx1"/>
            </w14:solidFill>
          </w14:textFill>
        </w:rPr>
        <w:t>充分考虑道路使用者是在移动状态下获取信息的特殊性，以及道路使用者构成的多样性和其对标志、标线理解、依赖程度的差异性，所传递信息应当给予道路使用者在动态条件下发现、判读信息及采取行动的时间和前置距离，对于重要的信息应当按一定规律重复出现，应确保信息量不过载、不缺失。</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5给</w:t>
      </w:r>
      <w:r>
        <w:rPr>
          <w:rFonts w:hint="eastAsia"/>
          <w:color w:val="000000" w:themeColor="text1"/>
          <w:highlight w:val="none"/>
          <w14:textFill>
            <w14:solidFill>
              <w14:schemeClr w14:val="tx1"/>
            </w14:solidFill>
          </w14:textFill>
        </w:rPr>
        <w:t>排水工程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1.各项技术指标满足国家、省市的相关标准、规范要求。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2.建立环保、节能和可持续发展的城市排水方式，雨水系统遵循“二级排水、蓄排结合、分散出口、就近排放”的原则。</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3.排水设计应体现先进性、科学性、经济性、合理性、可行性，应采用雨、污分流排水体制。</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4.合理确定设计标准、综合考虑景观湖泊、河涌的调蓄作用，尽量减少泵排数量。</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5.充分考虑取消化粪池后污水管道的设计坡度。</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6.排水检查（沉砂）井砌体均采用马路甲式检查井。</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7.根据不同道路等级，确定雨水口的类型见下表。</w:t>
      </w:r>
    </w:p>
    <w:p>
      <w:pPr>
        <w:pStyle w:val="2"/>
        <w:rPr>
          <w:rFonts w:hint="eastAsia"/>
          <w:color w:val="000000" w:themeColor="text1"/>
          <w:highlight w:val="none"/>
          <w14:textFill>
            <w14:solidFill>
              <w14:schemeClr w14:val="tx1"/>
            </w14:solidFill>
          </w14:textFill>
        </w:rPr>
      </w:pPr>
    </w:p>
    <w:p>
      <w:pPr>
        <w:pStyle w:val="43"/>
        <w:numPr>
          <w:ilvl w:val="0"/>
          <w:numId w:val="5"/>
        </w:num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各等级道路采用雨水口类型</w:t>
      </w:r>
    </w:p>
    <w:tbl>
      <w:tblPr>
        <w:tblStyle w:val="29"/>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476"/>
        <w:gridCol w:w="1476"/>
        <w:gridCol w:w="1476"/>
        <w:gridCol w:w="1476"/>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exact"/>
          <w:jc w:val="center"/>
        </w:trPr>
        <w:tc>
          <w:tcPr>
            <w:tcW w:w="126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道路等级</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城市快速路</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城市主干道</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城市次干道</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城市支路</w:t>
            </w:r>
          </w:p>
        </w:tc>
        <w:tc>
          <w:tcPr>
            <w:tcW w:w="84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exact"/>
          <w:jc w:val="center"/>
        </w:trPr>
        <w:tc>
          <w:tcPr>
            <w:tcW w:w="126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雨水口类型</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三箅式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侧入式进水井</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三箅式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侧入式进水井</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双箅式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侧入式进水井</w:t>
            </w:r>
          </w:p>
        </w:tc>
        <w:tc>
          <w:tcPr>
            <w:tcW w:w="147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单箅式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平入式进水井</w:t>
            </w:r>
          </w:p>
        </w:tc>
        <w:tc>
          <w:tcPr>
            <w:tcW w:w="84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横截式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收水沟</w:t>
            </w:r>
          </w:p>
        </w:tc>
      </w:tr>
    </w:tbl>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注：部分排水量较大的位置（如道路纵坡最低处、道路交叉口等）可考虑采用三箅式或平、侧结合式进水井。</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雨水口的设置的数量和位置应根据具体情况和计算确定。在道路坡段较短的情况下，应在最低点处集中布置，雨水口数量应适当增加；高架（匝道）接地点、交叉口汇水点等处必须布置雨水口。</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 xml:space="preserve">6 </w:t>
      </w:r>
      <w:r>
        <w:rPr>
          <w:rFonts w:hint="eastAsia"/>
          <w:color w:val="000000" w:themeColor="text1"/>
          <w:highlight w:val="none"/>
          <w14:textFill>
            <w14:solidFill>
              <w14:schemeClr w14:val="tx1"/>
            </w14:solidFill>
          </w14:textFill>
        </w:rPr>
        <w:t>管线综合</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1.合理布置市政道路上各专业管道、管沟的平面位置、竖向高程。合理协调管线、管沟与道路、箱涵、河涌、隧道交叉时的空间关系。</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2.合理布置道路交叉口各专业管线的平面及空间位置，避免管线冲突，管线间距需符合《城市工程管线综合规划规范》（GB 50289—2016）要求，工程管线之间及其与建（构）筑物之间的最小水平净距要求。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管线布置应与场地总体布置同步进行：管线布置须与场地总平面的建筑、道路、绿化、竖向布置的标高相结合，根据各管网系统的管线组成，合理安排好市政与开发用地的管线衔接，以及各专业管线之间避让问题。</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管线走向和附属构筑物布置合理：合理选择管线的走向，力求短捷、顺直、适当集中，并与道路、建筑物轴线和相邻管线相平行。干管宜布置在靠近主要用户及支管较多的一侧；尽量减少管线的交叉，当必须交叉处理时一般宜为直角交叉，仅在场地条件困难时，可采用不小于45°的交角；管线附属构筑物应交错布置、避免冲突。</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处理好管线综合的各种矛盾，在管线综合布置过程中，当管线在平面或竖向发生矛盾时，一般应按下列原则处理：压力管线让重力自流管线；可弯曲管线让难弯曲或不易弯曲管线；分支管线让主干管线；小管径管线让大管径管线；临时性的让永久性的；施工工程量小的让工程量大的；新建的让原有的；检修次数少的、施工方便的，让检修次数多的、施工不方便的。此外，电力与通信管线宜远离布置，可按照电力电缆在道路东、南侧，通信电缆在道路西、北侧的原则布置。</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6.有特殊要求的管线布置应优先考虑，并有相应措施。</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7.场地管线综合竖向布置原则：根据各专业管线的不同性质、不同维护方式和不同使用要求进行分层布置，同时尽量减小地下管线的埋深；采取必要措施防止地下管线的机械损伤。</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照明工程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ascii="仿宋_GB2312" w:eastAsia="仿宋_GB2312"/>
          <w:color w:val="000000" w:themeColor="text1"/>
          <w:sz w:val="24"/>
          <w:szCs w:val="24"/>
          <w:highlight w:val="none"/>
          <w14:textFill>
            <w14:solidFill>
              <w14:schemeClr w14:val="tx1"/>
            </w14:solidFill>
          </w14:textFill>
        </w:rPr>
        <w:t>照明系统总体规划按《南沙新区市政基础设施技术指引》进行实施,对路灯灯杆型式要进行比选，兼顾景观及悬挂外饰等功能</w:t>
      </w:r>
      <w:r>
        <w:rPr>
          <w:rFonts w:hint="eastAsia" w:ascii="仿宋_GB2312" w:eastAsia="仿宋_GB2312"/>
          <w:color w:val="000000" w:themeColor="text1"/>
          <w:sz w:val="24"/>
          <w:szCs w:val="24"/>
          <w:highlight w:val="none"/>
          <w14:textFill>
            <w14:solidFill>
              <w14:schemeClr w14:val="tx1"/>
            </w14:solidFill>
          </w14:textFill>
        </w:rPr>
        <w:t>，</w:t>
      </w:r>
      <w:r>
        <w:rPr>
          <w:rFonts w:ascii="仿宋_GB2312" w:eastAsia="仿宋_GB2312"/>
          <w:color w:val="000000" w:themeColor="text1"/>
          <w:sz w:val="24"/>
          <w:szCs w:val="24"/>
          <w:highlight w:val="none"/>
          <w14:textFill>
            <w14:solidFill>
              <w14:schemeClr w14:val="tx1"/>
            </w14:solidFill>
          </w14:textFill>
        </w:rPr>
        <w:t>并同时考虑防腐蚀性及抗震防风设计。</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2.充分吸纳多杆合一、智慧灯杆研究成果并结合功能需求进行应用。</w:t>
      </w:r>
    </w:p>
    <w:p>
      <w:pPr>
        <w:pStyle w:val="7"/>
        <w:spacing w:before="156" w:after="156"/>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3.2.8</w:t>
      </w:r>
      <w:r>
        <w:rPr>
          <w:rFonts w:hint="eastAsia"/>
          <w:color w:val="000000" w:themeColor="text1"/>
          <w:highlight w:val="none"/>
          <w:lang w:eastAsia="zh-CN"/>
          <w14:textFill>
            <w14:solidFill>
              <w14:schemeClr w14:val="tx1"/>
            </w14:solidFill>
          </w14:textFill>
        </w:rPr>
        <w:t>电力工程</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w:t>
      </w:r>
      <w:r>
        <w:rPr>
          <w:rFonts w:hint="eastAsia" w:ascii="仿宋_GB2312" w:eastAsia="仿宋_GB2312"/>
          <w:color w:val="000000" w:themeColor="text1"/>
          <w:sz w:val="24"/>
          <w:szCs w:val="24"/>
          <w:highlight w:val="none"/>
          <w:lang w:eastAsia="zh-CN"/>
          <w14:textFill>
            <w14:solidFill>
              <w14:schemeClr w14:val="tx1"/>
            </w14:solidFill>
          </w14:textFill>
        </w:rPr>
        <w:t>按规范和规划要求，并根据道路两侧规划、实际用地情况，确定电力管沟的路由和规格，使本工程的设计经济合理。</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w:t>
      </w:r>
      <w:r>
        <w:rPr>
          <w:rFonts w:hint="eastAsia" w:ascii="仿宋_GB2312" w:eastAsia="仿宋_GB2312"/>
          <w:color w:val="000000" w:themeColor="text1"/>
          <w:sz w:val="24"/>
          <w:szCs w:val="24"/>
          <w:highlight w:val="none"/>
          <w:lang w:eastAsia="zh-CN"/>
          <w14:textFill>
            <w14:solidFill>
              <w14:schemeClr w14:val="tx1"/>
            </w14:solidFill>
          </w14:textFill>
        </w:rPr>
        <w:t>电力管沟的布置应综合考虑系统容量、路径长度、施工方式、后期运行和维修便利等因素，做到统筹兼顾、经济合理、安全适用。</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3、</w:t>
      </w:r>
      <w:r>
        <w:rPr>
          <w:rFonts w:hint="eastAsia" w:ascii="仿宋_GB2312" w:eastAsia="仿宋_GB2312"/>
          <w:color w:val="000000" w:themeColor="text1"/>
          <w:sz w:val="24"/>
          <w:szCs w:val="24"/>
          <w:highlight w:val="none"/>
          <w:lang w:eastAsia="zh-CN"/>
          <w14:textFill>
            <w14:solidFill>
              <w14:schemeClr w14:val="tx1"/>
            </w14:solidFill>
          </w14:textFill>
        </w:rPr>
        <w:t>电力管沟的布置应符合城市规划的总体要求，宜布置在市政道路红线范围内的东南侧或道路中心绿化带下，在有条件的情况下应布置在人行道或绿化带下。</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4、</w:t>
      </w:r>
      <w:r>
        <w:rPr>
          <w:rFonts w:hint="eastAsia" w:ascii="仿宋_GB2312" w:eastAsia="仿宋_GB2312"/>
          <w:color w:val="000000" w:themeColor="text1"/>
          <w:sz w:val="24"/>
          <w:szCs w:val="24"/>
          <w:highlight w:val="none"/>
          <w:lang w:eastAsia="zh-CN"/>
          <w14:textFill>
            <w14:solidFill>
              <w14:schemeClr w14:val="tx1"/>
            </w14:solidFill>
          </w14:textFill>
        </w:rPr>
        <w:t>电力管沟不应平行设于其他管线的正上方或正下方。埋管路段遇横跨车道时两端应设电缆工作井，遇转弯时转角处应设电缆工作井。</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5、</w:t>
      </w:r>
      <w:r>
        <w:rPr>
          <w:rFonts w:hint="eastAsia" w:ascii="仿宋_GB2312" w:eastAsia="仿宋_GB2312"/>
          <w:color w:val="000000" w:themeColor="text1"/>
          <w:sz w:val="24"/>
          <w:szCs w:val="24"/>
          <w:highlight w:val="none"/>
          <w:lang w:eastAsia="zh-CN"/>
          <w14:textFill>
            <w14:solidFill>
              <w14:schemeClr w14:val="tx1"/>
            </w14:solidFill>
          </w14:textFill>
        </w:rPr>
        <w:t>工程管线之间及其与建(构)筑物之间的最小水平净距应符合下表的要求。当受道路宽度、断面以及现状工程管线位置等因素限制难以满足要求时，应根据实际情况采取安全措施后减少其最小水平净距。</w:t>
      </w:r>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景观绿化工程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1.景观工程建设要运用海绵城市建设原则，落实水质净化、雨水利用、生态保持等生态措施。</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2.景观小品以人性化为基本要求，景观休息空间综合考虑南沙雨天多、阳光猛烈和受台风影响的气候特征。</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3.植物配置要强调对景观风貌塑造的配合、融合。按国际视野、现代风格要求，选择适合南沙地区生长的优势树种。</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4.照明工程充分展示城市形态，丰富城市景观环境。</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5.积极探索新型、稳定、优质的材料及采用新工艺。</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6.景观与周边的市政道路、桥梁、水利、建筑等专业要充分结合，针对后期</w:t>
      </w:r>
      <w:r>
        <w:rPr>
          <w:rFonts w:hint="eastAsia" w:ascii="仿宋_GB2312" w:eastAsia="仿宋_GB2312"/>
          <w:color w:val="000000" w:themeColor="text1"/>
          <w:sz w:val="24"/>
          <w:szCs w:val="24"/>
          <w:highlight w:val="none"/>
          <w14:textFill>
            <w14:solidFill>
              <w14:schemeClr w14:val="tx1"/>
            </w14:solidFill>
          </w14:textFill>
        </w:rPr>
        <w:t>建设与周边工程之间的施工时序及方案提出合理化建议。</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7.在各设计阶段按相关管理条例办法，落实树木保护要求。</w:t>
      </w:r>
    </w:p>
    <w:p>
      <w:pPr>
        <w:pStyle w:val="6"/>
        <w:spacing w:before="312" w:after="312"/>
        <w:rPr>
          <w:color w:val="000000" w:themeColor="text1"/>
          <w:highlight w:val="none"/>
          <w14:textFill>
            <w14:solidFill>
              <w14:schemeClr w14:val="tx1"/>
            </w14:solidFill>
          </w14:textFill>
        </w:rPr>
      </w:pPr>
      <w:bookmarkStart w:id="27" w:name="_Toc29180"/>
      <w:bookmarkStart w:id="28" w:name="_Toc4420"/>
      <w:r>
        <w:rPr>
          <w:color w:val="000000" w:themeColor="text1"/>
          <w:highlight w:val="none"/>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造价编制要求</w:t>
      </w:r>
      <w:bookmarkEnd w:id="27"/>
      <w:bookmarkEnd w:id="28"/>
    </w:p>
    <w:p>
      <w:pPr>
        <w:pStyle w:val="7"/>
        <w:spacing w:before="156" w:after="156"/>
        <w:rPr>
          <w:color w:val="000000" w:themeColor="text1"/>
          <w:highlight w:val="none"/>
          <w14:textFill>
            <w14:solidFill>
              <w14:schemeClr w14:val="tx1"/>
            </w14:solidFill>
          </w14:textFill>
        </w:rPr>
      </w:pPr>
      <w:bookmarkStart w:id="29" w:name="_Toc498952540"/>
      <w:bookmarkStart w:id="30" w:name="_Toc531964826"/>
      <w:bookmarkStart w:id="31" w:name="_Toc452973738"/>
      <w:r>
        <w:rPr>
          <w:color w:val="000000" w:themeColor="text1"/>
          <w:highlight w:val="none"/>
          <w14:textFill>
            <w14:solidFill>
              <w14:schemeClr w14:val="tx1"/>
            </w14:solidFill>
          </w14:textFill>
        </w:rPr>
        <w:t>3.4.1 造价文件编制及报审工作</w:t>
      </w:r>
      <w:bookmarkEnd w:id="29"/>
      <w:bookmarkEnd w:id="30"/>
      <w:bookmarkEnd w:id="31"/>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ascii="仿宋_GB2312" w:eastAsia="仿宋_GB2312"/>
          <w:color w:val="000000" w:themeColor="text1"/>
          <w:sz w:val="24"/>
          <w:szCs w:val="24"/>
          <w:highlight w:val="none"/>
          <w14:textFill>
            <w14:solidFill>
              <w14:schemeClr w14:val="tx1"/>
            </w14:solidFill>
          </w14:textFill>
        </w:rPr>
        <w:t>编制合同设计范围内方案估算（按分部分项进行限额控制）、初步设计概算。</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w:t>
      </w:r>
      <w:r>
        <w:rPr>
          <w:rFonts w:ascii="仿宋_GB2312" w:eastAsia="仿宋_GB2312"/>
          <w:color w:val="000000" w:themeColor="text1"/>
          <w:sz w:val="24"/>
          <w:szCs w:val="24"/>
          <w:highlight w:val="none"/>
          <w14:textFill>
            <w14:solidFill>
              <w14:schemeClr w14:val="tx1"/>
            </w14:solidFill>
          </w14:textFill>
        </w:rPr>
        <w:t>负责初步设计概算送报审工作。</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w:t>
      </w:r>
      <w:r>
        <w:rPr>
          <w:rFonts w:ascii="仿宋_GB2312" w:eastAsia="仿宋_GB2312"/>
          <w:color w:val="000000" w:themeColor="text1"/>
          <w:sz w:val="24"/>
          <w:szCs w:val="24"/>
          <w:highlight w:val="none"/>
          <w14:textFill>
            <w14:solidFill>
              <w14:schemeClr w14:val="tx1"/>
            </w14:solidFill>
          </w14:textFill>
        </w:rPr>
        <w:t>各设计阶段进行各类方案比选时应编制造价分析材料，给出造价分析结论；施工阶段应编制设计变更预算及相应造价增减说明。</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w:t>
      </w:r>
      <w:r>
        <w:rPr>
          <w:rFonts w:ascii="仿宋_GB2312" w:eastAsia="仿宋_GB2312"/>
          <w:color w:val="000000" w:themeColor="text1"/>
          <w:sz w:val="24"/>
          <w:szCs w:val="24"/>
          <w:highlight w:val="none"/>
          <w14:textFill>
            <w14:solidFill>
              <w14:schemeClr w14:val="tx1"/>
            </w14:solidFill>
          </w14:textFill>
        </w:rPr>
        <w:t>严格按照南沙区财政部门的相关要求进行编制。</w:t>
      </w:r>
    </w:p>
    <w:p>
      <w:pPr>
        <w:pStyle w:val="7"/>
        <w:spacing w:before="156" w:after="156"/>
        <w:rPr>
          <w:color w:val="000000" w:themeColor="text1"/>
          <w:highlight w:val="none"/>
          <w14:textFill>
            <w14:solidFill>
              <w14:schemeClr w14:val="tx1"/>
            </w14:solidFill>
          </w14:textFill>
        </w:rPr>
      </w:pPr>
      <w:bookmarkStart w:id="32" w:name="_Toc452973739"/>
      <w:bookmarkStart w:id="33" w:name="_Toc531964827"/>
      <w:bookmarkStart w:id="34" w:name="_Toc498952541"/>
      <w:r>
        <w:rPr>
          <w:color w:val="000000" w:themeColor="text1"/>
          <w:highlight w:val="none"/>
          <w14:textFill>
            <w14:solidFill>
              <w14:schemeClr w14:val="tx1"/>
            </w14:solidFill>
          </w14:textFill>
        </w:rPr>
        <w:t>3.4.2 造价控制要求及工作要求</w:t>
      </w:r>
      <w:bookmarkEnd w:id="32"/>
      <w:bookmarkEnd w:id="33"/>
      <w:bookmarkEnd w:id="34"/>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工程投资控制应做到以下要求：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w:t>
      </w:r>
      <w:r>
        <w:rPr>
          <w:rFonts w:ascii="仿宋_GB2312" w:eastAsia="仿宋_GB2312"/>
          <w:color w:val="000000" w:themeColor="text1"/>
          <w:sz w:val="24"/>
          <w:szCs w:val="24"/>
          <w:highlight w:val="none"/>
          <w14:textFill>
            <w14:solidFill>
              <w14:schemeClr w14:val="tx1"/>
            </w14:solidFill>
          </w14:textFill>
        </w:rPr>
        <w:t>各阶段的造价文件须满足对应阶段造价文件的深度要求；各阶段造价成果文件误差控制在±10%以内。</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w:t>
      </w:r>
      <w:r>
        <w:rPr>
          <w:rFonts w:ascii="仿宋_GB2312" w:eastAsia="仿宋_GB2312"/>
          <w:color w:val="000000" w:themeColor="text1"/>
          <w:sz w:val="24"/>
          <w:szCs w:val="24"/>
          <w:highlight w:val="none"/>
          <w14:textFill>
            <w14:solidFill>
              <w14:schemeClr w14:val="tx1"/>
            </w14:solidFill>
          </w14:textFill>
        </w:rPr>
        <w:t>须根据</w:t>
      </w:r>
      <w:r>
        <w:rPr>
          <w:rFonts w:hint="eastAsia" w:ascii="仿宋_GB2312" w:eastAsia="仿宋_GB2312"/>
          <w:color w:val="000000" w:themeColor="text1"/>
          <w:sz w:val="24"/>
          <w:szCs w:val="24"/>
          <w:highlight w:val="none"/>
          <w14:textFill>
            <w14:solidFill>
              <w14:schemeClr w14:val="tx1"/>
            </w14:solidFill>
          </w14:textFill>
        </w:rPr>
        <w:t>建设单位</w:t>
      </w:r>
      <w:r>
        <w:rPr>
          <w:rFonts w:ascii="仿宋_GB2312" w:eastAsia="仿宋_GB2312"/>
          <w:color w:val="000000" w:themeColor="text1"/>
          <w:sz w:val="24"/>
          <w:szCs w:val="24"/>
          <w:highlight w:val="none"/>
          <w14:textFill>
            <w14:solidFill>
              <w14:schemeClr w14:val="tx1"/>
            </w14:solidFill>
          </w14:textFill>
        </w:rPr>
        <w:t>的相关规定和要求进行工程设计概算的编制。概算文件中的开项须齐全、完整，造价指标须准确。概算须满足工程投资控制的要求，同时应满足</w:t>
      </w:r>
      <w:r>
        <w:rPr>
          <w:rFonts w:hint="eastAsia" w:ascii="仿宋_GB2312" w:eastAsia="仿宋_GB2312"/>
          <w:color w:val="000000" w:themeColor="text1"/>
          <w:sz w:val="24"/>
          <w:szCs w:val="24"/>
          <w:highlight w:val="none"/>
          <w14:textFill>
            <w14:solidFill>
              <w14:schemeClr w14:val="tx1"/>
            </w14:solidFill>
          </w14:textFill>
        </w:rPr>
        <w:t>建设单位</w:t>
      </w:r>
      <w:r>
        <w:rPr>
          <w:rFonts w:ascii="仿宋_GB2312" w:eastAsia="仿宋_GB2312"/>
          <w:color w:val="000000" w:themeColor="text1"/>
          <w:sz w:val="24"/>
          <w:szCs w:val="24"/>
          <w:highlight w:val="none"/>
          <w14:textFill>
            <w14:solidFill>
              <w14:schemeClr w14:val="tx1"/>
            </w14:solidFill>
          </w14:textFill>
        </w:rPr>
        <w:t>信息化管理的相关要求。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w:t>
      </w:r>
      <w:r>
        <w:rPr>
          <w:rFonts w:ascii="仿宋_GB2312" w:eastAsia="仿宋_GB2312"/>
          <w:color w:val="000000" w:themeColor="text1"/>
          <w:sz w:val="24"/>
          <w:szCs w:val="24"/>
          <w:highlight w:val="none"/>
          <w14:textFill>
            <w14:solidFill>
              <w14:schemeClr w14:val="tx1"/>
            </w14:solidFill>
          </w14:textFill>
        </w:rPr>
        <w:t>如果概算、预算编制质量和进度不能满足本合同约定或</w:t>
      </w:r>
      <w:r>
        <w:rPr>
          <w:rFonts w:hint="eastAsia" w:ascii="仿宋_GB2312" w:eastAsia="仿宋_GB2312"/>
          <w:color w:val="000000" w:themeColor="text1"/>
          <w:sz w:val="24"/>
          <w:szCs w:val="24"/>
          <w:highlight w:val="none"/>
          <w14:textFill>
            <w14:solidFill>
              <w14:schemeClr w14:val="tx1"/>
            </w14:solidFill>
          </w14:textFill>
        </w:rPr>
        <w:t>建设单位</w:t>
      </w:r>
      <w:r>
        <w:rPr>
          <w:rFonts w:ascii="仿宋_GB2312" w:eastAsia="仿宋_GB2312"/>
          <w:color w:val="000000" w:themeColor="text1"/>
          <w:sz w:val="24"/>
          <w:szCs w:val="24"/>
          <w:highlight w:val="none"/>
          <w14:textFill>
            <w14:solidFill>
              <w14:schemeClr w14:val="tx1"/>
            </w14:solidFill>
          </w14:textFill>
        </w:rPr>
        <w:t>要求，则</w:t>
      </w:r>
      <w:r>
        <w:rPr>
          <w:rFonts w:hint="eastAsia" w:ascii="仿宋_GB2312" w:eastAsia="仿宋_GB2312"/>
          <w:color w:val="000000" w:themeColor="text1"/>
          <w:sz w:val="24"/>
          <w:szCs w:val="24"/>
          <w:highlight w:val="none"/>
          <w14:textFill>
            <w14:solidFill>
              <w14:schemeClr w14:val="tx1"/>
            </w14:solidFill>
          </w14:textFill>
        </w:rPr>
        <w:t>建设单位</w:t>
      </w:r>
      <w:r>
        <w:rPr>
          <w:rFonts w:ascii="仿宋_GB2312" w:eastAsia="仿宋_GB2312"/>
          <w:color w:val="000000" w:themeColor="text1"/>
          <w:sz w:val="24"/>
          <w:szCs w:val="24"/>
          <w:highlight w:val="none"/>
          <w14:textFill>
            <w14:solidFill>
              <w14:schemeClr w14:val="tx1"/>
            </w14:solidFill>
          </w14:textFill>
        </w:rPr>
        <w:t>可从</w:t>
      </w:r>
      <w:r>
        <w:rPr>
          <w:rFonts w:hint="eastAsia" w:ascii="仿宋_GB2312" w:eastAsia="仿宋_GB2312"/>
          <w:color w:val="000000" w:themeColor="text1"/>
          <w:sz w:val="24"/>
          <w:szCs w:val="24"/>
          <w:highlight w:val="none"/>
          <w14:textFill>
            <w14:solidFill>
              <w14:schemeClr w14:val="tx1"/>
            </w14:solidFill>
          </w14:textFill>
        </w:rPr>
        <w:t>建设单位</w:t>
      </w:r>
      <w:r>
        <w:rPr>
          <w:rFonts w:ascii="仿宋_GB2312" w:eastAsia="仿宋_GB2312"/>
          <w:color w:val="000000" w:themeColor="text1"/>
          <w:sz w:val="24"/>
          <w:szCs w:val="24"/>
          <w:highlight w:val="none"/>
          <w14:textFill>
            <w14:solidFill>
              <w14:schemeClr w14:val="tx1"/>
            </w14:solidFill>
          </w14:textFill>
        </w:rPr>
        <w:t>公开征集的造价咨询单位库中另行委托专业造价咨询单位实施设计概算、预算编制工作，所发生的费用根据《关于调整我省建设工程造价咨询服务收费的复函》（粤价函[2011]742号）规定并结合专业造价咨询单位实际工作比例计取，由乙方负责支付。</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p>
    <w:p>
      <w:pPr>
        <w:widowControl/>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5"/>
        <w:spacing w:before="156" w:after="156"/>
        <w:rPr>
          <w:color w:val="000000" w:themeColor="text1"/>
          <w:highlight w:val="none"/>
          <w14:textFill>
            <w14:solidFill>
              <w14:schemeClr w14:val="tx1"/>
            </w14:solidFill>
          </w14:textFill>
        </w:rPr>
      </w:pPr>
      <w:bookmarkStart w:id="35" w:name="_Toc10208"/>
      <w:bookmarkStart w:id="36" w:name="_Toc2996"/>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四</w:t>
      </w:r>
      <w:r>
        <w:rPr>
          <w:color w:val="000000" w:themeColor="text1"/>
          <w:highlight w:val="none"/>
          <w14:textFill>
            <w14:solidFill>
              <w14:schemeClr w14:val="tx1"/>
            </w14:solidFill>
          </w14:textFill>
        </w:rPr>
        <w:t xml:space="preserve">章 </w:t>
      </w:r>
      <w:r>
        <w:rPr>
          <w:rFonts w:hint="eastAsia"/>
          <w:color w:val="000000" w:themeColor="text1"/>
          <w:highlight w:val="none"/>
          <w14:textFill>
            <w14:solidFill>
              <w14:schemeClr w14:val="tx1"/>
            </w14:solidFill>
          </w14:textFill>
        </w:rPr>
        <w:t>主要技术标准与设计参数</w:t>
      </w:r>
      <w:bookmarkEnd w:id="35"/>
      <w:bookmarkEnd w:id="36"/>
    </w:p>
    <w:p>
      <w:pPr>
        <w:pStyle w:val="6"/>
        <w:spacing w:before="312" w:after="312"/>
        <w:rPr>
          <w:color w:val="000000" w:themeColor="text1"/>
          <w:highlight w:val="none"/>
          <w14:textFill>
            <w14:solidFill>
              <w14:schemeClr w14:val="tx1"/>
            </w14:solidFill>
          </w14:textFill>
        </w:rPr>
      </w:pPr>
      <w:bookmarkStart w:id="37" w:name="_Toc18750"/>
      <w:bookmarkStart w:id="38" w:name="_Toc57110158"/>
      <w:bookmarkStart w:id="39" w:name="_Toc20060585"/>
      <w:bookmarkStart w:id="40" w:name="_Toc17629"/>
      <w:bookmarkStart w:id="41" w:name="_Toc25775487"/>
      <w:r>
        <w:rPr>
          <w:rFonts w:hint="eastAsia"/>
          <w:color w:val="000000" w:themeColor="text1"/>
          <w:highlight w:val="none"/>
          <w14:textFill>
            <w14:solidFill>
              <w14:schemeClr w14:val="tx1"/>
            </w14:solidFill>
          </w14:textFill>
        </w:rPr>
        <w:t>4.1 道路工程</w:t>
      </w:r>
      <w:bookmarkEnd w:id="37"/>
      <w:bookmarkEnd w:id="38"/>
      <w:bookmarkEnd w:id="39"/>
      <w:bookmarkEnd w:id="40"/>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4.1.1设计</w:t>
      </w:r>
      <w:r>
        <w:rPr>
          <w:color w:val="000000" w:themeColor="text1"/>
          <w:highlight w:val="none"/>
          <w14:textFill>
            <w14:solidFill>
              <w14:schemeClr w14:val="tx1"/>
            </w14:solidFill>
          </w14:textFill>
        </w:rPr>
        <w:t>规范</w:t>
      </w:r>
      <w:r>
        <w:rPr>
          <w:rFonts w:hint="eastAsia"/>
          <w:color w:val="000000" w:themeColor="text1"/>
          <w:highlight w:val="none"/>
          <w14:textFill>
            <w14:solidFill>
              <w14:schemeClr w14:val="tx1"/>
            </w14:solidFill>
          </w14:textFill>
        </w:rPr>
        <w:t>及依据</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《城市道路工程设计规范》CJJ37-2012（2016年版）</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《城市道路路线设计规范》CJJ193-2012</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《城市道路交叉口设计规程》CJJ152-2010</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《公路工程技术标准》JTGB01-2014</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《公路路基设计规范》JTGD30-2015</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《公路沥青路面设计规范》JTGD50-2017</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《城镇道路路面设计规范》CJJ169-2012</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《城市道路路基设计规范》CJJ194-2013</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《公路工程抗震设计规范》JTGB02-2013</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《建筑边坡工程技术规范》GB/T50330-2013</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《公路路线设计规范》JTGD20-2017</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《无障碍设计规范》GB50763-2012</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《公路路基施工技术规范》JTGF10-2006</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工程建设标准强制性条文（城镇建设部分2013年版）</w:t>
      </w:r>
    </w:p>
    <w:p>
      <w:pPr>
        <w:pStyle w:val="42"/>
        <w:numPr>
          <w:ilvl w:val="0"/>
          <w:numId w:val="6"/>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其它相关设计规范</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4.1.2</w:t>
      </w:r>
      <w:r>
        <w:rPr>
          <w:color w:val="000000" w:themeColor="text1"/>
          <w:highlight w:val="none"/>
          <w14:textFill>
            <w14:solidFill>
              <w14:schemeClr w14:val="tx1"/>
            </w14:solidFill>
          </w14:textFill>
        </w:rPr>
        <w:t>道路设计技术指标</w:t>
      </w:r>
    </w:p>
    <w:p>
      <w:pPr>
        <w:pStyle w:val="71"/>
        <w:widowControl w:val="0"/>
        <w:adjustRightInd/>
        <w:snapToGrid/>
        <w:spacing w:after="0" w:line="560" w:lineRule="exact"/>
        <w:ind w:firstLineChars="0"/>
        <w:rPr>
          <w:rFonts w:ascii="仿宋_GB2312" w:hAnsi="仿宋_GB2312" w:eastAsia="仿宋_GB2312" w:cs="仿宋_GB2312"/>
          <w:color w:val="000000" w:themeColor="text1"/>
          <w:kern w:val="2"/>
          <w:sz w:val="24"/>
          <w:szCs w:val="24"/>
          <w:highlight w:val="none"/>
          <w14:textFill>
            <w14:solidFill>
              <w14:schemeClr w14:val="tx1"/>
            </w14:solidFill>
          </w14:textFill>
        </w:rPr>
      </w:pPr>
      <w:r>
        <w:rPr>
          <w:rFonts w:ascii="仿宋_GB2312" w:hAnsi="仿宋_GB2312" w:eastAsia="仿宋_GB2312" w:cs="仿宋_GB2312"/>
          <w:color w:val="000000" w:themeColor="text1"/>
          <w:kern w:val="2"/>
          <w:sz w:val="24"/>
          <w:szCs w:val="24"/>
          <w:highlight w:val="none"/>
          <w14:textFill>
            <w14:solidFill>
              <w14:schemeClr w14:val="tx1"/>
            </w14:solidFill>
          </w14:textFill>
        </w:rPr>
        <w:t>结合现行《城市道路工程设计规范》和规划路网结构，本次设计道路所采用的主要技术标准详见下表。</w:t>
      </w:r>
    </w:p>
    <w:p>
      <w:pPr>
        <w:ind w:firstLine="0" w:firstLineChars="0"/>
        <w:jc w:val="center"/>
        <w:rPr>
          <w:rFonts w:hint="eastAsia" w:ascii="黑体" w:hAnsi="黑体" w:eastAsia="黑体" w:cs="Times New Roman"/>
          <w:color w:val="000000" w:themeColor="text1"/>
          <w:sz w:val="21"/>
          <w:szCs w:val="21"/>
          <w:highlight w:val="none"/>
          <w14:textFill>
            <w14:solidFill>
              <w14:schemeClr w14:val="tx1"/>
            </w14:solidFill>
          </w14:textFill>
        </w:rPr>
      </w:pPr>
      <w:r>
        <w:rPr>
          <w:rFonts w:hint="eastAsia" w:ascii="黑体" w:hAnsi="黑体" w:eastAsia="黑体" w:cs="Times New Roman"/>
          <w:color w:val="000000" w:themeColor="text1"/>
          <w:sz w:val="21"/>
          <w:szCs w:val="21"/>
          <w:highlight w:val="none"/>
          <w14:textFill>
            <w14:solidFill>
              <w14:schemeClr w14:val="tx1"/>
            </w14:solidFill>
          </w14:textFill>
        </w:rPr>
        <w:t>表4-1 主干路主要技术标准一览表</w:t>
      </w:r>
    </w:p>
    <w:tbl>
      <w:tblPr>
        <w:tblStyle w:val="29"/>
        <w:tblW w:w="0" w:type="auto"/>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437"/>
        <w:gridCol w:w="1070"/>
        <w:gridCol w:w="2481"/>
        <w:gridCol w:w="241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序号</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指标名称</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单位</w:t>
            </w:r>
          </w:p>
        </w:tc>
        <w:tc>
          <w:tcPr>
            <w:tcW w:w="4896" w:type="dxa"/>
            <w:gridSpan w:val="2"/>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城市主干路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规范值</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采用值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设计速度</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km/h</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60/50/40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60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2</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最大路幅宽度</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3</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行车道数</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车道</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双6</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4</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行车道宽度</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3.25（小客车专用）、3.5（混行车道）</w:t>
            </w:r>
          </w:p>
        </w:tc>
        <w:tc>
          <w:tcPr>
            <w:tcW w:w="2415" w:type="dxa"/>
            <w:noWrap w:val="0"/>
            <w:vAlign w:val="center"/>
          </w:tcPr>
          <w:p>
            <w:pPr>
              <w:adjustRightInd w:val="0"/>
              <w:spacing w:line="240" w:lineRule="auto"/>
              <w:ind w:firstLine="0" w:firstLineChars="0"/>
              <w:jc w:val="center"/>
              <w:rPr>
                <w:rFonts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3.5/3.75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5</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圆曲线一般/极限最小半径</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300/150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6</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缓和曲线最小长度</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50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7</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最大纵坡</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6</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8</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最小坡长</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150</w:t>
            </w:r>
          </w:p>
        </w:tc>
        <w:tc>
          <w:tcPr>
            <w:tcW w:w="2415" w:type="dxa"/>
            <w:noWrap w:val="0"/>
            <w:vAlign w:val="center"/>
          </w:tcPr>
          <w:p>
            <w:pPr>
              <w:adjustRightInd w:val="0"/>
              <w:spacing w:line="240" w:lineRule="auto"/>
              <w:ind w:firstLine="0" w:firstLineChars="0"/>
              <w:jc w:val="center"/>
              <w:rPr>
                <w:rFonts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9</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最小竖曲线半径</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(1)凸形</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1800/1200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(2)凹形</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m</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1500/1000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10</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路面面层类型</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沥青/水泥混凝土</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沥青混凝土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11</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路面横坡</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w:t>
            </w: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1.5-2.0</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12</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地震峰值加速度</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0.1g</w:t>
            </w: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0.1g</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13</w:t>
            </w:r>
          </w:p>
        </w:tc>
        <w:tc>
          <w:tcPr>
            <w:tcW w:w="2437"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暴雨重现期</w:t>
            </w:r>
          </w:p>
        </w:tc>
        <w:tc>
          <w:tcPr>
            <w:tcW w:w="1070"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81"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p>
        </w:tc>
        <w:tc>
          <w:tcPr>
            <w:tcW w:w="2415" w:type="dxa"/>
            <w:noWrap w:val="0"/>
            <w:vAlign w:val="center"/>
          </w:tcPr>
          <w:p>
            <w:pPr>
              <w:adjustRightInd w:val="0"/>
              <w:spacing w:line="240" w:lineRule="auto"/>
              <w:ind w:firstLine="0" w:firstLineChars="0"/>
              <w:jc w:val="center"/>
              <w:rPr>
                <w:rFonts w:hint="eastAsia" w:ascii="黑体" w:hAnsi="黑体" w:eastAsia="黑体" w:cs="黑体"/>
                <w:snapToGrid w:val="0"/>
                <w:color w:val="000000" w:themeColor="text1"/>
                <w:sz w:val="21"/>
                <w:szCs w:val="21"/>
                <w:highlight w:val="none"/>
                <w14:textFill>
                  <w14:solidFill>
                    <w14:schemeClr w14:val="tx1"/>
                  </w14:solidFill>
                </w14:textFill>
              </w:rPr>
            </w:pPr>
            <w:r>
              <w:rPr>
                <w:rFonts w:hint="eastAsia" w:ascii="黑体" w:hAnsi="黑体" w:eastAsia="黑体" w:cs="黑体"/>
                <w:snapToGrid w:val="0"/>
                <w:color w:val="000000" w:themeColor="text1"/>
                <w:sz w:val="21"/>
                <w:szCs w:val="21"/>
                <w:highlight w:val="none"/>
                <w14:textFill>
                  <w14:solidFill>
                    <w14:schemeClr w14:val="tx1"/>
                  </w14:solidFill>
                </w14:textFill>
              </w:rPr>
              <w:t>5年</w:t>
            </w:r>
          </w:p>
        </w:tc>
      </w:tr>
    </w:tbl>
    <w:p>
      <w:pPr>
        <w:jc w:val="center"/>
        <w:rPr>
          <w:rFonts w:ascii="黑体" w:hAnsi="黑体" w:eastAsia="黑体" w:cs="Times New Roman"/>
          <w:color w:val="000000" w:themeColor="text1"/>
          <w:szCs w:val="21"/>
          <w:highlight w:val="none"/>
          <w14:textFill>
            <w14:solidFill>
              <w14:schemeClr w14:val="tx1"/>
            </w14:solidFill>
          </w14:textFill>
        </w:rPr>
      </w:pPr>
      <w:r>
        <w:rPr>
          <w:rFonts w:hint="eastAsia" w:ascii="黑体" w:hAnsi="黑体" w:eastAsia="黑体" w:cs="Times New Roman"/>
          <w:color w:val="000000" w:themeColor="text1"/>
          <w:szCs w:val="21"/>
          <w:highlight w:val="none"/>
          <w14:textFill>
            <w14:solidFill>
              <w14:schemeClr w14:val="tx1"/>
            </w14:solidFill>
          </w14:textFill>
        </w:rPr>
        <w:t>表4-</w:t>
      </w:r>
      <w:r>
        <w:rPr>
          <w:rFonts w:hint="eastAsia" w:ascii="黑体" w:hAnsi="黑体" w:eastAsia="黑体" w:cs="Times New Roman"/>
          <w:color w:val="000000" w:themeColor="text1"/>
          <w:szCs w:val="21"/>
          <w:highlight w:val="none"/>
          <w:lang w:val="en-US" w:eastAsia="zh-CN"/>
          <w14:textFill>
            <w14:solidFill>
              <w14:schemeClr w14:val="tx1"/>
            </w14:solidFill>
          </w14:textFill>
        </w:rPr>
        <w:t>2</w:t>
      </w:r>
      <w:r>
        <w:rPr>
          <w:rFonts w:hint="eastAsia" w:ascii="黑体" w:hAnsi="黑体" w:eastAsia="黑体" w:cs="Times New Roman"/>
          <w:color w:val="000000" w:themeColor="text1"/>
          <w:szCs w:val="21"/>
          <w:highlight w:val="none"/>
          <w14:textFill>
            <w14:solidFill>
              <w14:schemeClr w14:val="tx1"/>
            </w14:solidFill>
          </w14:textFill>
        </w:rPr>
        <w:t xml:space="preserve"> 次干路主要技术标准一览表</w:t>
      </w:r>
    </w:p>
    <w:tbl>
      <w:tblPr>
        <w:tblStyle w:val="29"/>
        <w:tblW w:w="907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437"/>
        <w:gridCol w:w="1070"/>
        <w:gridCol w:w="2481"/>
        <w:gridCol w:w="241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序号</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指标名称</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单位</w:t>
            </w:r>
          </w:p>
        </w:tc>
        <w:tc>
          <w:tcPr>
            <w:tcW w:w="4896" w:type="dxa"/>
            <w:gridSpan w:val="2"/>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w:t>
            </w:r>
            <w:r>
              <w:rPr>
                <w:rFonts w:hint="eastAsia" w:ascii="黑体" w:hAnsi="黑体" w:eastAsia="黑体" w:cs="黑体"/>
                <w:snapToGrid w:val="0"/>
                <w:color w:val="000000" w:themeColor="text1"/>
                <w:szCs w:val="21"/>
                <w:highlight w:val="none"/>
                <w:lang w:val="en-US" w:eastAsia="zh-CN"/>
                <w14:textFill>
                  <w14:solidFill>
                    <w14:schemeClr w14:val="tx1"/>
                  </w14:solidFill>
                </w14:textFill>
              </w:rPr>
              <w:t>次</w:t>
            </w:r>
            <w:r>
              <w:rPr>
                <w:rFonts w:hint="eastAsia" w:ascii="黑体" w:hAnsi="黑体" w:eastAsia="黑体" w:cs="黑体"/>
                <w:snapToGrid w:val="0"/>
                <w:color w:val="000000" w:themeColor="text1"/>
                <w:szCs w:val="21"/>
                <w:highlight w:val="none"/>
                <w14:textFill>
                  <w14:solidFill>
                    <w14:schemeClr w14:val="tx1"/>
                  </w14:solidFill>
                </w14:textFill>
              </w:rPr>
              <w:t>干路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规范值</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采用值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设计速度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km/h</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50/40/30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最大路幅宽度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行车道数</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车道</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双4</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行车道宽度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3.25（小客车专用）、3.5（混行车道）</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3.5/3.75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圆曲线一般/极限最小半径</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300/150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6</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缓和曲线最小长度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7</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最大纵坡</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6</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8</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最小坡长</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9</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最小竖曲线半径</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(1)凸形</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1800/1200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(2)凹形</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1500/1000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路面面层类型</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沥青/水泥混凝土</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沥青混凝土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11</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路面横坡</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1.5-2.0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12</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地震峰值加速度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0.1g</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0.1g</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13</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暴雨重现期</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5年</w:t>
            </w:r>
          </w:p>
        </w:tc>
      </w:tr>
    </w:tbl>
    <w:p>
      <w:pPr>
        <w:jc w:val="center"/>
        <w:rPr>
          <w:rFonts w:ascii="黑体" w:hAnsi="黑体" w:eastAsia="黑体" w:cs="Times New Roman"/>
          <w:color w:val="000000" w:themeColor="text1"/>
          <w:szCs w:val="21"/>
          <w:highlight w:val="none"/>
          <w14:textFill>
            <w14:solidFill>
              <w14:schemeClr w14:val="tx1"/>
            </w14:solidFill>
          </w14:textFill>
        </w:rPr>
      </w:pPr>
      <w:r>
        <w:rPr>
          <w:rFonts w:hint="eastAsia" w:ascii="黑体" w:hAnsi="黑体" w:eastAsia="黑体" w:cs="Times New Roman"/>
          <w:color w:val="000000" w:themeColor="text1"/>
          <w:szCs w:val="21"/>
          <w:highlight w:val="none"/>
          <w14:textFill>
            <w14:solidFill>
              <w14:schemeClr w14:val="tx1"/>
            </w14:solidFill>
          </w14:textFill>
        </w:rPr>
        <w:t>表4-3 支路主要技术标准一览表</w:t>
      </w:r>
    </w:p>
    <w:tbl>
      <w:tblPr>
        <w:tblStyle w:val="29"/>
        <w:tblW w:w="9071"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2437"/>
        <w:gridCol w:w="1070"/>
        <w:gridCol w:w="2481"/>
        <w:gridCol w:w="241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序号</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指标名称</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单位</w:t>
            </w:r>
          </w:p>
        </w:tc>
        <w:tc>
          <w:tcPr>
            <w:tcW w:w="4896" w:type="dxa"/>
            <w:gridSpan w:val="2"/>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w:t>
            </w:r>
            <w:r>
              <w:rPr>
                <w:rFonts w:hint="eastAsia" w:ascii="黑体" w:hAnsi="黑体" w:eastAsia="黑体" w:cs="黑体"/>
                <w:snapToGrid w:val="0"/>
                <w:color w:val="000000" w:themeColor="text1"/>
                <w:szCs w:val="21"/>
                <w:highlight w:val="none"/>
                <w:lang w:val="en-US" w:eastAsia="zh-CN"/>
                <w14:textFill>
                  <w14:solidFill>
                    <w14:schemeClr w14:val="tx1"/>
                  </w14:solidFill>
                </w14:textFill>
              </w:rPr>
              <w:t>支</w:t>
            </w:r>
            <w:r>
              <w:rPr>
                <w:rFonts w:hint="eastAsia" w:ascii="黑体" w:hAnsi="黑体" w:eastAsia="黑体" w:cs="黑体"/>
                <w:snapToGrid w:val="0"/>
                <w:color w:val="000000" w:themeColor="text1"/>
                <w:szCs w:val="21"/>
                <w:highlight w:val="none"/>
                <w14:textFill>
                  <w14:solidFill>
                    <w14:schemeClr w14:val="tx1"/>
                  </w14:solidFill>
                </w14:textFill>
              </w:rPr>
              <w:t>路</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规范值</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采用值</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设计速度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km/h</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40/30/20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最大路幅宽度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行车道数</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车道</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双2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行车道宽度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3.25（小客车专用）、3.5（混行车道）</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圆曲线一般/极限最小半径</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85/40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6</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缓和曲线最小长度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25</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7</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最大纵坡</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8</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8</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最小坡长</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85</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9</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最小竖曲线半径</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(1)凸形</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400/250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(2)凹形</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m</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400/250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路面面层类型</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沥青/水泥混凝土</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沥青混凝土</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11</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路面横坡</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1.5-2.0</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12</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地震峰值加速度</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0.1g</w:t>
            </w: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0.1g</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6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13</w:t>
            </w:r>
          </w:p>
        </w:tc>
        <w:tc>
          <w:tcPr>
            <w:tcW w:w="2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暴雨重现期</w:t>
            </w:r>
          </w:p>
        </w:tc>
        <w:tc>
          <w:tcPr>
            <w:tcW w:w="10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241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5年</w:t>
            </w:r>
          </w:p>
        </w:tc>
      </w:tr>
    </w:tbl>
    <w:p>
      <w:pPr>
        <w:jc w:val="center"/>
        <w:rPr>
          <w:rFonts w:ascii="黑体" w:hAnsi="黑体" w:eastAsia="黑体" w:cs="Times New Roman"/>
          <w:color w:val="000000" w:themeColor="text1"/>
          <w:szCs w:val="21"/>
          <w:highlight w:val="none"/>
          <w14:textFill>
            <w14:solidFill>
              <w14:schemeClr w14:val="tx1"/>
            </w14:solidFill>
          </w14:textFill>
        </w:rPr>
      </w:pP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4.1.3</w:t>
      </w:r>
      <w:r>
        <w:rPr>
          <w:color w:val="000000" w:themeColor="text1"/>
          <w:highlight w:val="none"/>
          <w14:textFill>
            <w14:solidFill>
              <w14:schemeClr w14:val="tx1"/>
            </w14:solidFill>
          </w14:textFill>
        </w:rPr>
        <w:t>软基处理设计</w:t>
      </w:r>
    </w:p>
    <w:p>
      <w:pPr>
        <w:pStyle w:val="71"/>
        <w:widowControl w:val="0"/>
        <w:adjustRightInd/>
        <w:snapToGrid/>
        <w:spacing w:after="0" w:line="560" w:lineRule="exact"/>
        <w:ind w:firstLineChars="0"/>
        <w:rPr>
          <w:rFonts w:ascii="仿宋_GB2312" w:hAnsi="仿宋_GB2312" w:eastAsia="仿宋_GB2312" w:cs="仿宋_GB2312"/>
          <w:color w:val="000000" w:themeColor="text1"/>
          <w:kern w:val="2"/>
          <w:sz w:val="24"/>
          <w:szCs w:val="24"/>
          <w:highlight w:val="none"/>
          <w14:textFill>
            <w14:solidFill>
              <w14:schemeClr w14:val="tx1"/>
            </w14:solidFill>
          </w14:textFill>
        </w:rPr>
      </w:pPr>
      <w:r>
        <w:rPr>
          <w:rFonts w:ascii="仿宋_GB2312" w:hAnsi="仿宋_GB2312" w:eastAsia="仿宋_GB2312" w:cs="仿宋_GB2312"/>
          <w:color w:val="000000" w:themeColor="text1"/>
          <w:kern w:val="2"/>
          <w:sz w:val="24"/>
          <w:szCs w:val="24"/>
          <w:highlight w:val="none"/>
          <w14:textFill>
            <w14:solidFill>
              <w14:schemeClr w14:val="tx1"/>
            </w14:solidFill>
          </w14:textFill>
        </w:rPr>
        <w:t>软基处理工后沉降按下表要求进行控制：</w:t>
      </w:r>
    </w:p>
    <w:p>
      <w:pPr>
        <w:pStyle w:val="6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软基处理工后沉降要求</w:t>
      </w:r>
    </w:p>
    <w:tbl>
      <w:tblPr>
        <w:tblStyle w:val="29"/>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5"/>
        <w:gridCol w:w="2295"/>
        <w:gridCol w:w="2074"/>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2295" w:type="dxa"/>
            <w:vAlign w:val="center"/>
          </w:tcPr>
          <w:p>
            <w:pPr>
              <w:pStyle w:val="68"/>
              <w:rPr>
                <w:color w:val="000000" w:themeColor="text1"/>
                <w:kern w:val="2"/>
                <w:szCs w:val="22"/>
                <w:highlight w:val="none"/>
                <w14:textFill>
                  <w14:solidFill>
                    <w14:schemeClr w14:val="tx1"/>
                  </w14:solidFill>
                </w14:textFill>
              </w:rPr>
            </w:pPr>
            <w:r>
              <w:rPr>
                <w:rFonts w:hint="eastAsia"/>
                <w:color w:val="000000" w:themeColor="text1"/>
                <w:kern w:val="2"/>
                <w:szCs w:val="22"/>
                <w:highlight w:val="none"/>
                <w14:textFill>
                  <w14:solidFill>
                    <w14:schemeClr w14:val="tx1"/>
                  </w14:solidFill>
                </w14:textFill>
              </w:rPr>
              <w:t>道路</w:t>
            </w:r>
          </w:p>
        </w:tc>
        <w:tc>
          <w:tcPr>
            <w:tcW w:w="229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桥台与路堤相邻处</w:t>
            </w:r>
          </w:p>
        </w:tc>
        <w:tc>
          <w:tcPr>
            <w:tcW w:w="2074"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涵洞处</w:t>
            </w:r>
          </w:p>
        </w:tc>
        <w:tc>
          <w:tcPr>
            <w:tcW w:w="185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一般路段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95" w:type="dxa"/>
            <w:vAlign w:val="center"/>
          </w:tcPr>
          <w:p>
            <w:pPr>
              <w:pStyle w:val="68"/>
              <w:rPr>
                <w:color w:val="000000" w:themeColor="text1"/>
                <w:kern w:val="2"/>
                <w:szCs w:val="22"/>
                <w:highlight w:val="none"/>
                <w14:textFill>
                  <w14:solidFill>
                    <w14:schemeClr w14:val="tx1"/>
                  </w14:solidFill>
                </w14:textFill>
              </w:rPr>
            </w:pPr>
            <w:r>
              <w:rPr>
                <w:rFonts w:hint="eastAsia"/>
                <w:color w:val="000000" w:themeColor="text1"/>
                <w:kern w:val="2"/>
                <w:szCs w:val="22"/>
                <w:highlight w:val="none"/>
                <w:lang w:val="en-US" w:eastAsia="zh-CN"/>
                <w14:textFill>
                  <w14:solidFill>
                    <w14:schemeClr w14:val="tx1"/>
                  </w14:solidFill>
                </w14:textFill>
              </w:rPr>
              <w:t>主/</w:t>
            </w:r>
            <w:r>
              <w:rPr>
                <w:rFonts w:hint="eastAsia"/>
                <w:color w:val="000000" w:themeColor="text1"/>
                <w:kern w:val="2"/>
                <w:szCs w:val="22"/>
                <w:highlight w:val="none"/>
                <w14:textFill>
                  <w14:solidFill>
                    <w14:schemeClr w14:val="tx1"/>
                  </w14:solidFill>
                </w14:textFill>
              </w:rPr>
              <w:t>次干路</w:t>
            </w:r>
          </w:p>
        </w:tc>
        <w:tc>
          <w:tcPr>
            <w:tcW w:w="229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≤10cm</w:t>
            </w:r>
          </w:p>
        </w:tc>
        <w:tc>
          <w:tcPr>
            <w:tcW w:w="2074"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≤20cm</w:t>
            </w:r>
          </w:p>
        </w:tc>
        <w:tc>
          <w:tcPr>
            <w:tcW w:w="185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95" w:type="dxa"/>
            <w:vAlign w:val="center"/>
          </w:tcPr>
          <w:p>
            <w:pPr>
              <w:pStyle w:val="68"/>
              <w:rPr>
                <w:color w:val="000000" w:themeColor="text1"/>
                <w:kern w:val="2"/>
                <w:szCs w:val="22"/>
                <w:highlight w:val="none"/>
                <w14:textFill>
                  <w14:solidFill>
                    <w14:schemeClr w14:val="tx1"/>
                  </w14:solidFill>
                </w14:textFill>
              </w:rPr>
            </w:pPr>
            <w:r>
              <w:rPr>
                <w:rFonts w:hint="eastAsia"/>
                <w:color w:val="000000" w:themeColor="text1"/>
                <w:kern w:val="2"/>
                <w:szCs w:val="22"/>
                <w:highlight w:val="none"/>
                <w14:textFill>
                  <w14:solidFill>
                    <w14:schemeClr w14:val="tx1"/>
                  </w14:solidFill>
                </w14:textFill>
              </w:rPr>
              <w:t>支路</w:t>
            </w:r>
          </w:p>
        </w:tc>
        <w:tc>
          <w:tcPr>
            <w:tcW w:w="229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≤20cm</w:t>
            </w:r>
          </w:p>
        </w:tc>
        <w:tc>
          <w:tcPr>
            <w:tcW w:w="2074"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≤30cm</w:t>
            </w:r>
          </w:p>
        </w:tc>
        <w:tc>
          <w:tcPr>
            <w:tcW w:w="1855" w:type="dxa"/>
            <w:vAlign w:val="center"/>
          </w:tcPr>
          <w:p>
            <w:pPr>
              <w:pStyle w:val="68"/>
              <w:rPr>
                <w:color w:val="000000" w:themeColor="text1"/>
                <w:kern w:val="2"/>
                <w:szCs w:val="22"/>
                <w:highlight w:val="none"/>
                <w14:textFill>
                  <w14:solidFill>
                    <w14:schemeClr w14:val="tx1"/>
                  </w14:solidFill>
                </w14:textFill>
              </w:rPr>
            </w:pPr>
            <w:r>
              <w:rPr>
                <w:color w:val="000000" w:themeColor="text1"/>
                <w:kern w:val="2"/>
                <w:szCs w:val="22"/>
                <w:highlight w:val="none"/>
                <w14:textFill>
                  <w14:solidFill>
                    <w14:schemeClr w14:val="tx1"/>
                  </w14:solidFill>
                </w14:textFill>
              </w:rPr>
              <w:t>≤</w:t>
            </w:r>
            <w:r>
              <w:rPr>
                <w:rFonts w:hint="eastAsia"/>
                <w:color w:val="000000" w:themeColor="text1"/>
                <w:kern w:val="2"/>
                <w:szCs w:val="22"/>
                <w:highlight w:val="none"/>
                <w14:textFill>
                  <w14:solidFill>
                    <w14:schemeClr w14:val="tx1"/>
                  </w14:solidFill>
                </w14:textFill>
              </w:rPr>
              <w:t>5</w:t>
            </w:r>
            <w:r>
              <w:rPr>
                <w:color w:val="000000" w:themeColor="text1"/>
                <w:kern w:val="2"/>
                <w:szCs w:val="22"/>
                <w:highlight w:val="none"/>
                <w14:textFill>
                  <w14:solidFill>
                    <w14:schemeClr w14:val="tx1"/>
                  </w14:solidFill>
                </w14:textFill>
              </w:rPr>
              <w:t>0cm</w:t>
            </w:r>
          </w:p>
        </w:tc>
      </w:tr>
    </w:tbl>
    <w:p>
      <w:pPr>
        <w:pStyle w:val="40"/>
        <w:keepNext w:val="0"/>
        <w:keepLines w:val="0"/>
        <w:pageBreakBefore w:val="0"/>
        <w:widowControl w:val="0"/>
        <w:kinsoku/>
        <w:wordWrap/>
        <w:overflowPunct/>
        <w:topLinePunct w:val="0"/>
        <w:autoSpaceDE/>
        <w:autoSpaceDN/>
        <w:bidi w:val="0"/>
        <w:adjustRightInd/>
        <w:snapToGrid/>
        <w:spacing w:before="313" w:beforeLines="100"/>
        <w:ind w:left="482" w:firstLine="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4.1.4参考路面结构</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（1）主干路机动车道路面结构方案</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上面层：4cm</w:t>
      </w:r>
      <w:r>
        <w:rPr>
          <w:rFonts w:hint="eastAsia" w:ascii="仿宋_GB2312" w:hAnsi="仿宋_GB2312" w:eastAsia="仿宋_GB2312" w:cs="仿宋_GB2312"/>
          <w:color w:val="000000" w:themeColor="text1"/>
          <w:sz w:val="24"/>
          <w:szCs w:val="24"/>
          <w:highlight w:val="none"/>
          <w14:textFill>
            <w14:solidFill>
              <w14:schemeClr w14:val="tx1"/>
            </w14:solidFill>
          </w14:textFill>
        </w:rPr>
        <w:t>细粒式</w:t>
      </w:r>
      <w:r>
        <w:rPr>
          <w:rFonts w:ascii="仿宋_GB2312" w:hAnsi="仿宋_GB2312" w:eastAsia="仿宋_GB2312" w:cs="仿宋_GB2312"/>
          <w:color w:val="000000" w:themeColor="text1"/>
          <w:sz w:val="24"/>
          <w:szCs w:val="24"/>
          <w:highlight w:val="none"/>
          <w14:textFill>
            <w14:solidFill>
              <w14:schemeClr w14:val="tx1"/>
            </w14:solidFill>
          </w14:textFill>
        </w:rPr>
        <w:t>改性沥青混凝土AC-13</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中面层：6</w:t>
      </w:r>
      <w:r>
        <w:rPr>
          <w:rFonts w:ascii="仿宋_GB2312" w:hAnsi="仿宋_GB2312" w:eastAsia="仿宋_GB2312" w:cs="仿宋_GB2312"/>
          <w:color w:val="000000" w:themeColor="text1"/>
          <w:sz w:val="24"/>
          <w:szCs w:val="24"/>
          <w:highlight w:val="none"/>
          <w14:textFill>
            <w14:solidFill>
              <w14:schemeClr w14:val="tx1"/>
            </w14:solidFill>
          </w14:textFill>
        </w:rPr>
        <w:t>cm</w:t>
      </w:r>
      <w:r>
        <w:rPr>
          <w:rFonts w:hint="eastAsia" w:ascii="仿宋_GB2312" w:hAnsi="仿宋_GB2312" w:eastAsia="仿宋_GB2312" w:cs="仿宋_GB2312"/>
          <w:color w:val="000000" w:themeColor="text1"/>
          <w:sz w:val="24"/>
          <w:szCs w:val="24"/>
          <w:highlight w:val="none"/>
          <w14:textFill>
            <w14:solidFill>
              <w14:schemeClr w14:val="tx1"/>
            </w14:solidFill>
          </w14:textFill>
        </w:rPr>
        <w:t>中粒式改性沥青混凝土AC</w:t>
      </w:r>
      <w:r>
        <w:rPr>
          <w:rFonts w:ascii="仿宋_GB2312" w:hAnsi="仿宋_GB2312" w:eastAsia="仿宋_GB2312" w:cs="仿宋_GB2312"/>
          <w:color w:val="000000" w:themeColor="text1"/>
          <w:sz w:val="24"/>
          <w:szCs w:val="24"/>
          <w:highlight w:val="none"/>
          <w14:textFill>
            <w14:solidFill>
              <w14:schemeClr w14:val="tx1"/>
            </w14:solidFill>
          </w14:textFill>
        </w:rPr>
        <w:t>-20</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下面层：8cm粗粒式</w:t>
      </w:r>
      <w:r>
        <w:rPr>
          <w:rFonts w:hint="eastAsia" w:ascii="仿宋_GB2312" w:hAnsi="仿宋_GB2312" w:eastAsia="仿宋_GB2312" w:cs="仿宋_GB2312"/>
          <w:color w:val="000000" w:themeColor="text1"/>
          <w:sz w:val="24"/>
          <w:szCs w:val="24"/>
          <w:highlight w:val="none"/>
          <w14:textFill>
            <w14:solidFill>
              <w14:schemeClr w14:val="tx1"/>
            </w14:solidFill>
          </w14:textFill>
        </w:rPr>
        <w:t>改性沥青</w:t>
      </w:r>
      <w:r>
        <w:rPr>
          <w:rFonts w:ascii="仿宋_GB2312" w:hAnsi="仿宋_GB2312" w:eastAsia="仿宋_GB2312" w:cs="仿宋_GB2312"/>
          <w:color w:val="000000" w:themeColor="text1"/>
          <w:sz w:val="24"/>
          <w:szCs w:val="24"/>
          <w:highlight w:val="none"/>
          <w14:textFill>
            <w14:solidFill>
              <w14:schemeClr w14:val="tx1"/>
            </w14:solidFill>
          </w14:textFill>
        </w:rPr>
        <w:t>混凝土AC-25</w:t>
      </w:r>
    </w:p>
    <w:p>
      <w:pPr>
        <w:spacing w:line="560" w:lineRule="exact"/>
        <w:ind w:firstLine="482"/>
        <w:rPr>
          <w:rFonts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ascii="仿宋_GB2312" w:hAnsi="仿宋_GB2312" w:eastAsia="仿宋_GB2312" w:cs="仿宋_GB2312"/>
          <w:b w:val="0"/>
          <w:bCs w:val="0"/>
          <w:color w:val="000000" w:themeColor="text1"/>
          <w:sz w:val="24"/>
          <w:szCs w:val="24"/>
          <w:highlight w:val="none"/>
          <w14:textFill>
            <w14:solidFill>
              <w14:schemeClr w14:val="tx1"/>
            </w14:solidFill>
          </w14:textFill>
        </w:rPr>
        <w:t>下封层：SBS</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改性热</w:t>
      </w:r>
      <w:r>
        <w:rPr>
          <w:rFonts w:ascii="仿宋_GB2312" w:hAnsi="仿宋_GB2312" w:eastAsia="仿宋_GB2312" w:cs="仿宋_GB2312"/>
          <w:b w:val="0"/>
          <w:bCs w:val="0"/>
          <w:color w:val="000000" w:themeColor="text1"/>
          <w:sz w:val="24"/>
          <w:szCs w:val="24"/>
          <w:highlight w:val="none"/>
          <w14:textFill>
            <w14:solidFill>
              <w14:schemeClr w14:val="tx1"/>
            </w14:solidFill>
          </w14:textFill>
        </w:rPr>
        <w:t>沥青+撒布瓜米石</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基层：36cm5%水泥稳定级配碎石基层</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底基层：18cm4%水泥稳定碎石底基层</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垫层：15cm</w:t>
      </w:r>
      <w:r>
        <w:rPr>
          <w:rFonts w:hint="eastAsia" w:ascii="仿宋_GB2312" w:hAnsi="仿宋_GB2312" w:eastAsia="仿宋_GB2312" w:cs="仿宋_GB2312"/>
          <w:color w:val="000000" w:themeColor="text1"/>
          <w:sz w:val="24"/>
          <w:szCs w:val="24"/>
          <w:highlight w:val="none"/>
          <w14:textFill>
            <w14:solidFill>
              <w14:schemeClr w14:val="tx1"/>
            </w14:solidFill>
          </w14:textFill>
        </w:rPr>
        <w:t>级配碎石</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土基弹性模量E0（MPa）≥</w:t>
      </w:r>
      <w:r>
        <w:rPr>
          <w:rFonts w:hint="eastAsia" w:ascii="仿宋_GB2312" w:hAnsi="仿宋_GB2312" w:eastAsia="仿宋_GB2312" w:cs="仿宋_GB2312"/>
          <w:color w:val="000000" w:themeColor="text1"/>
          <w:sz w:val="24"/>
          <w:szCs w:val="24"/>
          <w:highlight w:val="none"/>
          <w14:textFill>
            <w14:solidFill>
              <w14:schemeClr w14:val="tx1"/>
            </w14:solidFill>
          </w14:textFill>
        </w:rPr>
        <w:t>35</w:t>
      </w:r>
      <w:r>
        <w:rPr>
          <w:rFonts w:ascii="仿宋_GB2312" w:hAnsi="仿宋_GB2312" w:eastAsia="仿宋_GB2312" w:cs="仿宋_GB2312"/>
          <w:color w:val="000000" w:themeColor="text1"/>
          <w:sz w:val="24"/>
          <w:szCs w:val="24"/>
          <w:highlight w:val="none"/>
          <w14:textFill>
            <w14:solidFill>
              <w14:schemeClr w14:val="tx1"/>
            </w14:solidFill>
          </w14:textFill>
        </w:rPr>
        <w:t>MPa</w:t>
      </w:r>
    </w:p>
    <w:p>
      <w:pPr>
        <w:numPr>
          <w:ilvl w:val="0"/>
          <w:numId w:val="7"/>
        </w:numPr>
        <w:spacing w:line="560" w:lineRule="exact"/>
        <w:ind w:firstLine="482"/>
        <w:rPr>
          <w:rFonts w:hint="eastAsia"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lang w:eastAsia="zh-CN"/>
          <w14:textFill>
            <w14:solidFill>
              <w14:schemeClr w14:val="tx1"/>
            </w14:solidFill>
          </w14:textFill>
        </w:rPr>
        <w:t>次干路</w:t>
      </w:r>
      <w:r>
        <w:rPr>
          <w:rFonts w:hint="eastAsia" w:ascii="仿宋_GB2312" w:hAnsi="仿宋_GB2312" w:eastAsia="仿宋_GB2312" w:cs="仿宋_GB2312"/>
          <w:color w:val="000000" w:themeColor="text1"/>
          <w:sz w:val="24"/>
          <w:szCs w:val="24"/>
          <w:highlight w:val="none"/>
          <w14:textFill>
            <w14:solidFill>
              <w14:schemeClr w14:val="tx1"/>
            </w14:solidFill>
          </w14:textFill>
        </w:rPr>
        <w:t>机动车道路面结构方案</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上面层：4cm</w:t>
      </w:r>
      <w:r>
        <w:rPr>
          <w:rFonts w:hint="eastAsia" w:ascii="仿宋_GB2312" w:hAnsi="仿宋_GB2312" w:eastAsia="仿宋_GB2312" w:cs="仿宋_GB2312"/>
          <w:color w:val="000000" w:themeColor="text1"/>
          <w:sz w:val="24"/>
          <w:szCs w:val="24"/>
          <w:highlight w:val="none"/>
          <w14:textFill>
            <w14:solidFill>
              <w14:schemeClr w14:val="tx1"/>
            </w14:solidFill>
          </w14:textFill>
        </w:rPr>
        <w:t>细粒式</w:t>
      </w:r>
      <w:r>
        <w:rPr>
          <w:rFonts w:ascii="仿宋_GB2312" w:hAnsi="仿宋_GB2312" w:eastAsia="仿宋_GB2312" w:cs="仿宋_GB2312"/>
          <w:color w:val="000000" w:themeColor="text1"/>
          <w:sz w:val="24"/>
          <w:szCs w:val="24"/>
          <w:highlight w:val="none"/>
          <w14:textFill>
            <w14:solidFill>
              <w14:schemeClr w14:val="tx1"/>
            </w14:solidFill>
          </w14:textFill>
        </w:rPr>
        <w:t>改性沥青混凝土AC-13</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中面层：6</w:t>
      </w:r>
      <w:r>
        <w:rPr>
          <w:rFonts w:ascii="仿宋_GB2312" w:hAnsi="仿宋_GB2312" w:eastAsia="仿宋_GB2312" w:cs="仿宋_GB2312"/>
          <w:color w:val="000000" w:themeColor="text1"/>
          <w:sz w:val="24"/>
          <w:szCs w:val="24"/>
          <w:highlight w:val="none"/>
          <w14:textFill>
            <w14:solidFill>
              <w14:schemeClr w14:val="tx1"/>
            </w14:solidFill>
          </w14:textFill>
        </w:rPr>
        <w:t>cm</w:t>
      </w:r>
      <w:r>
        <w:rPr>
          <w:rFonts w:hint="eastAsia" w:ascii="仿宋_GB2312" w:hAnsi="仿宋_GB2312" w:eastAsia="仿宋_GB2312" w:cs="仿宋_GB2312"/>
          <w:color w:val="000000" w:themeColor="text1"/>
          <w:sz w:val="24"/>
          <w:szCs w:val="24"/>
          <w:highlight w:val="none"/>
          <w14:textFill>
            <w14:solidFill>
              <w14:schemeClr w14:val="tx1"/>
            </w14:solidFill>
          </w14:textFill>
        </w:rPr>
        <w:t>中粒式改性沥青混凝土AC</w:t>
      </w:r>
      <w:r>
        <w:rPr>
          <w:rFonts w:ascii="仿宋_GB2312" w:hAnsi="仿宋_GB2312" w:eastAsia="仿宋_GB2312" w:cs="仿宋_GB2312"/>
          <w:color w:val="000000" w:themeColor="text1"/>
          <w:sz w:val="24"/>
          <w:szCs w:val="24"/>
          <w:highlight w:val="none"/>
          <w14:textFill>
            <w14:solidFill>
              <w14:schemeClr w14:val="tx1"/>
            </w14:solidFill>
          </w14:textFill>
        </w:rPr>
        <w:t>-20</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下面层：8cm粗粒式</w:t>
      </w:r>
      <w:r>
        <w:rPr>
          <w:rFonts w:hint="eastAsia" w:ascii="仿宋_GB2312" w:hAnsi="仿宋_GB2312" w:eastAsia="仿宋_GB2312" w:cs="仿宋_GB2312"/>
          <w:color w:val="000000" w:themeColor="text1"/>
          <w:sz w:val="24"/>
          <w:szCs w:val="24"/>
          <w:highlight w:val="none"/>
          <w14:textFill>
            <w14:solidFill>
              <w14:schemeClr w14:val="tx1"/>
            </w14:solidFill>
          </w14:textFill>
        </w:rPr>
        <w:t>改性沥青</w:t>
      </w:r>
      <w:r>
        <w:rPr>
          <w:rFonts w:ascii="仿宋_GB2312" w:hAnsi="仿宋_GB2312" w:eastAsia="仿宋_GB2312" w:cs="仿宋_GB2312"/>
          <w:color w:val="000000" w:themeColor="text1"/>
          <w:sz w:val="24"/>
          <w:szCs w:val="24"/>
          <w:highlight w:val="none"/>
          <w14:textFill>
            <w14:solidFill>
              <w14:schemeClr w14:val="tx1"/>
            </w14:solidFill>
          </w14:textFill>
        </w:rPr>
        <w:t>混凝土AC-25</w:t>
      </w:r>
    </w:p>
    <w:p>
      <w:pPr>
        <w:spacing w:line="560" w:lineRule="exact"/>
        <w:ind w:firstLine="482"/>
        <w:rPr>
          <w:rFonts w:ascii="仿宋_GB2312" w:hAnsi="仿宋_GB2312" w:eastAsia="仿宋_GB2312" w:cs="仿宋_GB2312"/>
          <w:b w:val="0"/>
          <w:bCs w:val="0"/>
          <w:color w:val="000000" w:themeColor="text1"/>
          <w:sz w:val="24"/>
          <w:szCs w:val="24"/>
          <w:highlight w:val="none"/>
          <w14:textFill>
            <w14:solidFill>
              <w14:schemeClr w14:val="tx1"/>
            </w14:solidFill>
          </w14:textFill>
        </w:rPr>
      </w:pPr>
      <w:r>
        <w:rPr>
          <w:rFonts w:ascii="仿宋_GB2312" w:hAnsi="仿宋_GB2312" w:eastAsia="仿宋_GB2312" w:cs="仿宋_GB2312"/>
          <w:b w:val="0"/>
          <w:bCs w:val="0"/>
          <w:color w:val="000000" w:themeColor="text1"/>
          <w:sz w:val="24"/>
          <w:szCs w:val="24"/>
          <w:highlight w:val="none"/>
          <w14:textFill>
            <w14:solidFill>
              <w14:schemeClr w14:val="tx1"/>
            </w14:solidFill>
          </w14:textFill>
        </w:rPr>
        <w:t>下封层：SBS</w:t>
      </w:r>
      <w:r>
        <w:rPr>
          <w:rFonts w:hint="eastAsia" w:ascii="仿宋_GB2312" w:hAnsi="仿宋_GB2312" w:eastAsia="仿宋_GB2312" w:cs="仿宋_GB2312"/>
          <w:b w:val="0"/>
          <w:bCs w:val="0"/>
          <w:color w:val="000000" w:themeColor="text1"/>
          <w:sz w:val="24"/>
          <w:szCs w:val="24"/>
          <w:highlight w:val="none"/>
          <w14:textFill>
            <w14:solidFill>
              <w14:schemeClr w14:val="tx1"/>
            </w14:solidFill>
          </w14:textFill>
        </w:rPr>
        <w:t>改性热</w:t>
      </w:r>
      <w:r>
        <w:rPr>
          <w:rFonts w:ascii="仿宋_GB2312" w:hAnsi="仿宋_GB2312" w:eastAsia="仿宋_GB2312" w:cs="仿宋_GB2312"/>
          <w:b w:val="0"/>
          <w:bCs w:val="0"/>
          <w:color w:val="000000" w:themeColor="text1"/>
          <w:sz w:val="24"/>
          <w:szCs w:val="24"/>
          <w:highlight w:val="none"/>
          <w14:textFill>
            <w14:solidFill>
              <w14:schemeClr w14:val="tx1"/>
            </w14:solidFill>
          </w14:textFill>
        </w:rPr>
        <w:t>沥青+撒布瓜米石</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基层：</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30</w:t>
      </w:r>
      <w:r>
        <w:rPr>
          <w:rFonts w:ascii="仿宋_GB2312" w:hAnsi="仿宋_GB2312" w:eastAsia="仿宋_GB2312" w:cs="仿宋_GB2312"/>
          <w:color w:val="000000" w:themeColor="text1"/>
          <w:sz w:val="24"/>
          <w:szCs w:val="24"/>
          <w:highlight w:val="none"/>
          <w14:textFill>
            <w14:solidFill>
              <w14:schemeClr w14:val="tx1"/>
            </w14:solidFill>
          </w14:textFill>
        </w:rPr>
        <w:t>cm5%水泥稳定级配碎石基层</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底基层：18cm4%水泥稳定碎石底基层</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垫层：15cm</w:t>
      </w:r>
      <w:r>
        <w:rPr>
          <w:rFonts w:hint="eastAsia" w:ascii="仿宋_GB2312" w:hAnsi="仿宋_GB2312" w:eastAsia="仿宋_GB2312" w:cs="仿宋_GB2312"/>
          <w:color w:val="000000" w:themeColor="text1"/>
          <w:sz w:val="24"/>
          <w:szCs w:val="24"/>
          <w:highlight w:val="none"/>
          <w14:textFill>
            <w14:solidFill>
              <w14:schemeClr w14:val="tx1"/>
            </w14:solidFill>
          </w14:textFill>
        </w:rPr>
        <w:t>级配碎石</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土基弹性模量E0（MPa）≥</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30</w:t>
      </w:r>
      <w:r>
        <w:rPr>
          <w:rFonts w:ascii="仿宋_GB2312" w:hAnsi="仿宋_GB2312" w:eastAsia="仿宋_GB2312" w:cs="仿宋_GB2312"/>
          <w:color w:val="000000" w:themeColor="text1"/>
          <w:sz w:val="24"/>
          <w:szCs w:val="24"/>
          <w:highlight w:val="none"/>
          <w14:textFill>
            <w14:solidFill>
              <w14:schemeClr w14:val="tx1"/>
            </w14:solidFill>
          </w14:textFill>
        </w:rPr>
        <w:t>MPa</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4"/>
          <w:szCs w:val="24"/>
          <w:highlight w:val="none"/>
          <w14:textFill>
            <w14:solidFill>
              <w14:schemeClr w14:val="tx1"/>
            </w14:solidFill>
          </w14:textFill>
        </w:rPr>
        <w:t>）支路机动车道路面结构方案</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上面层：4cm细粒式改性沥青混凝土（AC-13C)</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下面层：8cm中粒式沥青砼(AC-20C)</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封层：1cm改性沥青同步碎石封层</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基层：30cm5%水泥稳定碎石（分两层摊铺）</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底基层：15cm4%水泥稳定石屑</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土基弹性模量E0（MPa）≥</w:t>
      </w:r>
      <w:r>
        <w:rPr>
          <w:rFonts w:hint="eastAsia" w:ascii="仿宋_GB2312" w:hAnsi="仿宋_GB2312" w:eastAsia="仿宋_GB2312" w:cs="仿宋_GB2312"/>
          <w:color w:val="000000" w:themeColor="text1"/>
          <w:sz w:val="24"/>
          <w:szCs w:val="24"/>
          <w:highlight w:val="none"/>
          <w14:textFill>
            <w14:solidFill>
              <w14:schemeClr w14:val="tx1"/>
            </w14:solidFill>
          </w14:textFill>
        </w:rPr>
        <w:t>30</w:t>
      </w:r>
      <w:r>
        <w:rPr>
          <w:rFonts w:ascii="仿宋_GB2312" w:hAnsi="仿宋_GB2312" w:eastAsia="仿宋_GB2312" w:cs="仿宋_GB2312"/>
          <w:color w:val="000000" w:themeColor="text1"/>
          <w:sz w:val="24"/>
          <w:szCs w:val="24"/>
          <w:highlight w:val="none"/>
          <w14:textFill>
            <w14:solidFill>
              <w14:schemeClr w14:val="tx1"/>
            </w14:solidFill>
          </w14:textFill>
        </w:rPr>
        <w:t>MPa</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4"/>
          <w:szCs w:val="24"/>
          <w:highlight w:val="none"/>
          <w14:textFill>
            <w14:solidFill>
              <w14:schemeClr w14:val="tx1"/>
            </w14:solidFill>
          </w14:textFill>
        </w:rPr>
        <w:t>）非机动车道路面结构方案</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上面层：</w:t>
      </w:r>
      <w:r>
        <w:rPr>
          <w:rFonts w:hint="eastAsia" w:ascii="仿宋_GB2312" w:hAnsi="仿宋_GB2312" w:eastAsia="仿宋_GB2312" w:cs="仿宋_GB2312"/>
          <w:color w:val="000000" w:themeColor="text1"/>
          <w:sz w:val="24"/>
          <w:szCs w:val="24"/>
          <w:highlight w:val="none"/>
          <w14:textFill>
            <w14:solidFill>
              <w14:schemeClr w14:val="tx1"/>
            </w14:solidFill>
          </w14:textFill>
        </w:rPr>
        <w:t>4cm细粒式桔红色沥青混凝土</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 xml:space="preserve">下面层：6cm </w:t>
      </w:r>
      <w:r>
        <w:rPr>
          <w:rFonts w:hint="eastAsia" w:ascii="仿宋_GB2312" w:hAnsi="仿宋_GB2312" w:eastAsia="仿宋_GB2312" w:cs="仿宋_GB2312"/>
          <w:color w:val="000000" w:themeColor="text1"/>
          <w:sz w:val="24"/>
          <w:szCs w:val="24"/>
          <w:highlight w:val="none"/>
          <w14:textFill>
            <w14:solidFill>
              <w14:schemeClr w14:val="tx1"/>
            </w14:solidFill>
          </w14:textFill>
        </w:rPr>
        <w:t>中粒式沥青混凝土</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基层：15cm C20透水水泥混凝土</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hint="eastAsia" w:ascii="仿宋_GB2312" w:hAnsi="仿宋_GB2312" w:eastAsia="仿宋_GB2312" w:cs="仿宋_GB2312"/>
          <w:color w:val="000000" w:themeColor="text1"/>
          <w:sz w:val="24"/>
          <w:szCs w:val="24"/>
          <w:highlight w:val="none"/>
          <w14:textFill>
            <w14:solidFill>
              <w14:schemeClr w14:val="tx1"/>
            </w14:solidFill>
          </w14:textFill>
        </w:rPr>
        <w:t>（</w:t>
      </w:r>
      <w:r>
        <w:rPr>
          <w:rFonts w:hint="eastAsia" w:ascii="仿宋_GB2312" w:hAnsi="仿宋_GB2312" w:eastAsia="仿宋_GB2312" w:cs="仿宋_GB2312"/>
          <w:color w:val="000000" w:themeColor="text1"/>
          <w:sz w:val="24"/>
          <w:szCs w:val="24"/>
          <w:highlight w:val="none"/>
          <w:lang w:val="en-US" w:eastAsia="zh-CN"/>
          <w14:textFill>
            <w14:solidFill>
              <w14:schemeClr w14:val="tx1"/>
            </w14:solidFill>
          </w14:textFill>
        </w:rPr>
        <w:t>5</w:t>
      </w:r>
      <w:r>
        <w:rPr>
          <w:rFonts w:hint="eastAsia" w:ascii="仿宋_GB2312" w:hAnsi="仿宋_GB2312" w:eastAsia="仿宋_GB2312" w:cs="仿宋_GB2312"/>
          <w:color w:val="000000" w:themeColor="text1"/>
          <w:sz w:val="24"/>
          <w:szCs w:val="24"/>
          <w:highlight w:val="none"/>
          <w14:textFill>
            <w14:solidFill>
              <w14:schemeClr w14:val="tx1"/>
            </w14:solidFill>
          </w14:textFill>
        </w:rPr>
        <w:t>）人行道路面结构方案</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铺装层：5</w:t>
      </w:r>
      <w:r>
        <w:rPr>
          <w:rFonts w:hint="eastAsia" w:ascii="仿宋_GB2312" w:hAnsi="仿宋_GB2312" w:eastAsia="仿宋_GB2312" w:cs="仿宋_GB2312"/>
          <w:color w:val="000000" w:themeColor="text1"/>
          <w:sz w:val="24"/>
          <w:szCs w:val="24"/>
          <w:highlight w:val="none"/>
          <w14:textFill>
            <w14:solidFill>
              <w14:schemeClr w14:val="tx1"/>
            </w14:solidFill>
          </w14:textFill>
        </w:rPr>
        <w:t>cm高强砂基透水砖</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粘结层：2cm</w:t>
      </w:r>
      <w:r>
        <w:rPr>
          <w:rFonts w:hint="eastAsia" w:ascii="仿宋_GB2312" w:hAnsi="仿宋_GB2312" w:eastAsia="仿宋_GB2312" w:cs="仿宋_GB2312"/>
          <w:color w:val="000000" w:themeColor="text1"/>
          <w:sz w:val="24"/>
          <w:szCs w:val="24"/>
          <w:highlight w:val="none"/>
          <w14:textFill>
            <w14:solidFill>
              <w14:schemeClr w14:val="tx1"/>
            </w14:solidFill>
          </w14:textFill>
        </w:rPr>
        <w:t>干硬性透水水泥砂浆</w:t>
      </w:r>
    </w:p>
    <w:p>
      <w:pPr>
        <w:spacing w:line="560" w:lineRule="exact"/>
        <w:ind w:firstLine="482"/>
        <w:rPr>
          <w:rFonts w:ascii="仿宋_GB2312" w:hAnsi="仿宋_GB2312" w:eastAsia="仿宋_GB2312" w:cs="仿宋_GB2312"/>
          <w:color w:val="000000" w:themeColor="text1"/>
          <w:sz w:val="24"/>
          <w:szCs w:val="24"/>
          <w:highlight w:val="none"/>
          <w14:textFill>
            <w14:solidFill>
              <w14:schemeClr w14:val="tx1"/>
            </w14:solidFill>
          </w14:textFill>
        </w:rPr>
      </w:pPr>
      <w:r>
        <w:rPr>
          <w:rFonts w:ascii="仿宋_GB2312" w:hAnsi="仿宋_GB2312" w:eastAsia="仿宋_GB2312" w:cs="仿宋_GB2312"/>
          <w:color w:val="000000" w:themeColor="text1"/>
          <w:sz w:val="24"/>
          <w:szCs w:val="24"/>
          <w:highlight w:val="none"/>
          <w14:textFill>
            <w14:solidFill>
              <w14:schemeClr w14:val="tx1"/>
            </w14:solidFill>
          </w14:textFill>
        </w:rPr>
        <w:t xml:space="preserve">基层：18cm </w:t>
      </w:r>
      <w:r>
        <w:rPr>
          <w:rFonts w:hint="eastAsia" w:ascii="仿宋_GB2312" w:hAnsi="仿宋_GB2312" w:eastAsia="仿宋_GB2312" w:cs="仿宋_GB2312"/>
          <w:color w:val="000000" w:themeColor="text1"/>
          <w:sz w:val="24"/>
          <w:szCs w:val="24"/>
          <w:highlight w:val="none"/>
          <w14:textFill>
            <w14:solidFill>
              <w14:schemeClr w14:val="tx1"/>
            </w14:solidFill>
          </w14:textFill>
        </w:rPr>
        <w:t>C20透水水泥混凝土</w:t>
      </w:r>
    </w:p>
    <w:p>
      <w:pPr>
        <w:pStyle w:val="6"/>
        <w:spacing w:before="312" w:after="312"/>
        <w:rPr>
          <w:color w:val="000000" w:themeColor="text1"/>
          <w:highlight w:val="none"/>
          <w14:textFill>
            <w14:solidFill>
              <w14:schemeClr w14:val="tx1"/>
            </w14:solidFill>
          </w14:textFill>
        </w:rPr>
      </w:pPr>
      <w:bookmarkStart w:id="42" w:name="_Toc57110159"/>
      <w:bookmarkStart w:id="43" w:name="_Toc11368"/>
      <w:bookmarkStart w:id="44" w:name="_Toc22771"/>
      <w:bookmarkStart w:id="45" w:name="_Toc20060586"/>
      <w:r>
        <w:rPr>
          <w:rFonts w:hint="eastAsia"/>
          <w:color w:val="000000" w:themeColor="text1"/>
          <w:highlight w:val="none"/>
          <w14:textFill>
            <w14:solidFill>
              <w14:schemeClr w14:val="tx1"/>
            </w14:solidFill>
          </w14:textFill>
        </w:rPr>
        <w:t>4.2 桥梁工程</w:t>
      </w:r>
      <w:bookmarkEnd w:id="42"/>
      <w:bookmarkEnd w:id="43"/>
      <w:bookmarkEnd w:id="44"/>
      <w:bookmarkEnd w:id="45"/>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采用的规范</w:t>
      </w:r>
      <w:r>
        <w:rPr>
          <w:rFonts w:hint="eastAsia"/>
          <w:color w:val="000000" w:themeColor="text1"/>
          <w:highlight w:val="none"/>
          <w14:textFill>
            <w14:solidFill>
              <w14:schemeClr w14:val="tx1"/>
            </w14:solidFill>
          </w14:textFill>
        </w:rPr>
        <w:t>及依据</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《城市桥梁设计规范（2019版）》CJJ11-2011</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《城市桥梁抗震设计规范》CJJ166-2011</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《城市桥梁工程施工与质量验收规范》CJJ2-2008</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《公路工程技术标准》JTGB01-2014</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《公路桥涵设计通用规范》JTGD60-2015</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《公路圬工桥涵设计规范》JTGD61-2005</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《公路钢筋混凝土及预应力混凝土桥涵设计规范》JTG3362-2018</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《公路桥涵地基与基础设计规范》JTG3363-2019</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《公路工程抗震规范》JTGB02-2013</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《公路桥梁抗震设计规范》JTG/T2231-01-2020</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《公路工程混凝土结构耐久性设计规范》JTG/T3310-2019</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《公路桥涵施工技术规范》JTG/T3650-2020</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《中国地震动参数区划图》GB18306-2015</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《建筑抗震设计规范》（2016年版）GB50011-2010</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《混凝土结构耐久性设计标准》GB/T50476-2019</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《桥梁用结构钢》GB/T714-2015</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《预应力混凝土用钢绞线》GB/T5224-2014</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《预应力筋用锚具、夹具和连接器》GB/T14370-2015</w:t>
      </w:r>
    </w:p>
    <w:p>
      <w:pPr>
        <w:numPr>
          <w:ilvl w:val="0"/>
          <w:numId w:val="8"/>
        </w:numPr>
        <w:spacing w:line="560" w:lineRule="exact"/>
        <w:ind w:left="-482" w:firstLine="482"/>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其它相关的设计规范、规程。</w:t>
      </w:r>
    </w:p>
    <w:p>
      <w:pPr>
        <w:pStyle w:val="40"/>
        <w:keepNext w:val="0"/>
        <w:keepLines w:val="0"/>
        <w:pageBreakBefore w:val="0"/>
        <w:widowControl w:val="0"/>
        <w:kinsoku/>
        <w:wordWrap/>
        <w:overflowPunct/>
        <w:topLinePunct w:val="0"/>
        <w:autoSpaceDE/>
        <w:autoSpaceDN/>
        <w:bidi w:val="0"/>
        <w:adjustRightInd/>
        <w:snapToGrid/>
        <w:spacing w:before="313" w:beforeLines="100"/>
        <w:ind w:left="482" w:firstLine="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技术标准</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1</w:t>
      </w:r>
      <w:r>
        <w:rPr>
          <w:rFonts w:hint="eastAsia" w:ascii="仿宋_GB2312" w:eastAsia="仿宋_GB2312"/>
          <w:color w:val="000000" w:themeColor="text1"/>
          <w:kern w:val="0"/>
          <w:sz w:val="24"/>
          <w:szCs w:val="24"/>
          <w:highlight w:val="none"/>
          <w:lang w:bidi="en-US"/>
          <w14:textFill>
            <w14:solidFill>
              <w14:schemeClr w14:val="tx1"/>
            </w14:solidFill>
          </w14:textFill>
        </w:rPr>
        <w:t>、桥面坡度</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横坡：机动车道双向2.0%，人行道+非机动车道1.0%反坡。</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2</w:t>
      </w:r>
      <w:r>
        <w:rPr>
          <w:rFonts w:hint="eastAsia" w:ascii="仿宋_GB2312" w:eastAsia="仿宋_GB2312"/>
          <w:color w:val="000000" w:themeColor="text1"/>
          <w:kern w:val="0"/>
          <w:sz w:val="24"/>
          <w:szCs w:val="24"/>
          <w:highlight w:val="none"/>
          <w:lang w:bidi="en-US"/>
          <w14:textFill>
            <w14:solidFill>
              <w14:schemeClr w14:val="tx1"/>
            </w14:solidFill>
          </w14:textFill>
        </w:rPr>
        <w:t>、通行净空、航道等级</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现状河涌无通航要求。</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3</w:t>
      </w:r>
      <w:r>
        <w:rPr>
          <w:rFonts w:hint="eastAsia" w:ascii="仿宋_GB2312" w:eastAsia="仿宋_GB2312"/>
          <w:color w:val="000000" w:themeColor="text1"/>
          <w:kern w:val="0"/>
          <w:sz w:val="24"/>
          <w:szCs w:val="24"/>
          <w:highlight w:val="none"/>
          <w:lang w:bidi="en-US"/>
          <w14:textFill>
            <w14:solidFill>
              <w14:schemeClr w14:val="tx1"/>
            </w14:solidFill>
          </w14:textFill>
        </w:rPr>
        <w:t>、荷载等级、设计基准期、结构安全等级等</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汽车荷载等级：城市-A级</w:t>
      </w:r>
      <w:r>
        <w:rPr>
          <w:rFonts w:hint="eastAsia" w:ascii="仿宋_GB2312" w:eastAsia="仿宋_GB2312"/>
          <w:color w:val="000000" w:themeColor="text1"/>
          <w:kern w:val="0"/>
          <w:sz w:val="24"/>
          <w:szCs w:val="24"/>
          <w:highlight w:val="none"/>
          <w:lang w:eastAsia="zh-CN" w:bidi="en-US"/>
          <w14:textFill>
            <w14:solidFill>
              <w14:schemeClr w14:val="tx1"/>
            </w14:solidFill>
          </w14:textFill>
        </w:rPr>
        <w:t>、</w:t>
      </w:r>
      <w:r>
        <w:rPr>
          <w:rFonts w:hint="eastAsia" w:ascii="仿宋_GB2312" w:eastAsia="仿宋_GB2312"/>
          <w:color w:val="000000" w:themeColor="text1"/>
          <w:kern w:val="0"/>
          <w:sz w:val="24"/>
          <w:szCs w:val="24"/>
          <w:highlight w:val="none"/>
          <w:lang w:bidi="en-US"/>
          <w14:textFill>
            <w14:solidFill>
              <w14:schemeClr w14:val="tx1"/>
            </w14:solidFill>
          </w14:textFill>
        </w:rPr>
        <w:t>城市-</w:t>
      </w: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B</w:t>
      </w:r>
      <w:r>
        <w:rPr>
          <w:rFonts w:hint="eastAsia" w:ascii="仿宋_GB2312" w:eastAsia="仿宋_GB2312"/>
          <w:color w:val="000000" w:themeColor="text1"/>
          <w:kern w:val="0"/>
          <w:sz w:val="24"/>
          <w:szCs w:val="24"/>
          <w:highlight w:val="none"/>
          <w:lang w:bidi="en-US"/>
          <w14:textFill>
            <w14:solidFill>
              <w14:schemeClr w14:val="tx1"/>
            </w14:solidFill>
          </w14:textFill>
        </w:rPr>
        <w:t>级。</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人群荷载标准：4.5kN/m</w:t>
      </w:r>
      <w:r>
        <w:rPr>
          <w:rFonts w:hint="eastAsia" w:ascii="仿宋_GB2312" w:eastAsia="仿宋_GB2312"/>
          <w:color w:val="000000" w:themeColor="text1"/>
          <w:kern w:val="0"/>
          <w:sz w:val="24"/>
          <w:szCs w:val="24"/>
          <w:highlight w:val="none"/>
          <w:vertAlign w:val="superscript"/>
          <w:lang w:bidi="en-US"/>
          <w14:textFill>
            <w14:solidFill>
              <w14:schemeClr w14:val="tx1"/>
            </w14:solidFill>
          </w14:textFill>
        </w:rPr>
        <w:t>2</w:t>
      </w:r>
      <w:r>
        <w:rPr>
          <w:rFonts w:hint="eastAsia" w:ascii="仿宋_GB2312" w:eastAsia="仿宋_GB2312"/>
          <w:color w:val="000000" w:themeColor="text1"/>
          <w:kern w:val="0"/>
          <w:sz w:val="24"/>
          <w:szCs w:val="24"/>
          <w:highlight w:val="none"/>
          <w:lang w:bidi="en-US"/>
          <w14:textFill>
            <w14:solidFill>
              <w14:schemeClr w14:val="tx1"/>
            </w14:solidFill>
          </w14:textFill>
        </w:rPr>
        <w:t>，并根据规范（CJJ11-2011）进行折减。</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设计基准期：100年。</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设计使用年限：</w:t>
      </w:r>
      <w:r>
        <w:rPr>
          <w:rFonts w:hint="eastAsia" w:ascii="仿宋_GB2312" w:eastAsia="仿宋_GB2312"/>
          <w:color w:val="000000" w:themeColor="text1"/>
          <w:kern w:val="0"/>
          <w:sz w:val="24"/>
          <w:szCs w:val="24"/>
          <w:highlight w:val="none"/>
          <w:lang w:eastAsia="zh-CN" w:bidi="en-US"/>
          <w14:textFill>
            <w14:solidFill>
              <w14:schemeClr w14:val="tx1"/>
            </w14:solidFill>
          </w14:textFill>
        </w:rPr>
        <w:t>小桥</w:t>
      </w: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30年，中桥、重要小桥50年</w:t>
      </w:r>
      <w:r>
        <w:rPr>
          <w:rFonts w:hint="eastAsia" w:ascii="仿宋_GB2312" w:eastAsia="仿宋_GB2312"/>
          <w:color w:val="000000" w:themeColor="text1"/>
          <w:kern w:val="0"/>
          <w:sz w:val="24"/>
          <w:szCs w:val="24"/>
          <w:highlight w:val="none"/>
          <w:lang w:bidi="en-US"/>
          <w14:textFill>
            <w14:solidFill>
              <w14:schemeClr w14:val="tx1"/>
            </w14:solidFill>
          </w14:textFill>
        </w:rPr>
        <w:t>。</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设计安全等级：一级。</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4</w:t>
      </w:r>
      <w:r>
        <w:rPr>
          <w:rFonts w:hint="eastAsia" w:ascii="仿宋_GB2312" w:eastAsia="仿宋_GB2312"/>
          <w:color w:val="000000" w:themeColor="text1"/>
          <w:kern w:val="0"/>
          <w:sz w:val="24"/>
          <w:szCs w:val="24"/>
          <w:highlight w:val="none"/>
          <w:lang w:bidi="en-US"/>
          <w14:textFill>
            <w14:solidFill>
              <w14:schemeClr w14:val="tx1"/>
            </w14:solidFill>
          </w14:textFill>
        </w:rPr>
        <w:t>、抗震标准</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桥涵抗震等级7度，地震动峰值加速度为0.1g。</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5</w:t>
      </w:r>
      <w:r>
        <w:rPr>
          <w:rFonts w:hint="eastAsia" w:ascii="仿宋_GB2312" w:eastAsia="仿宋_GB2312"/>
          <w:color w:val="000000" w:themeColor="text1"/>
          <w:kern w:val="0"/>
          <w:sz w:val="24"/>
          <w:szCs w:val="24"/>
          <w:highlight w:val="none"/>
          <w:lang w:bidi="en-US"/>
          <w14:textFill>
            <w14:solidFill>
              <w14:schemeClr w14:val="tx1"/>
            </w14:solidFill>
          </w14:textFill>
        </w:rPr>
        <w:t>、环境类别及等级</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环境类别为Ⅰ类环境，环境作用等级Ⅰ-B类（水中按Ⅰ-C类）；</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6</w:t>
      </w:r>
      <w:r>
        <w:rPr>
          <w:rFonts w:hint="eastAsia" w:ascii="仿宋_GB2312" w:eastAsia="仿宋_GB2312"/>
          <w:color w:val="000000" w:themeColor="text1"/>
          <w:kern w:val="0"/>
          <w:sz w:val="24"/>
          <w:szCs w:val="24"/>
          <w:highlight w:val="none"/>
          <w:lang w:bidi="en-US"/>
          <w14:textFill>
            <w14:solidFill>
              <w14:schemeClr w14:val="tx1"/>
            </w14:solidFill>
          </w14:textFill>
        </w:rPr>
        <w:t>、平面坐标系统及高程系统</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高程系统：广州城建高程系统；</w:t>
      </w:r>
    </w:p>
    <w:p>
      <w:pPr>
        <w:spacing w:line="560" w:lineRule="exact"/>
        <w:ind w:firstLine="482"/>
        <w:rPr>
          <w:rFonts w:ascii="仿宋_GB2312" w:eastAsia="仿宋_GB2312"/>
          <w:color w:val="000000" w:themeColor="text1"/>
          <w:kern w:val="0"/>
          <w:sz w:val="24"/>
          <w:szCs w:val="24"/>
          <w:highlight w:val="none"/>
          <w:lang w:bidi="en-US"/>
          <w14:textFill>
            <w14:solidFill>
              <w14:schemeClr w14:val="tx1"/>
            </w14:solidFill>
          </w14:textFill>
        </w:rPr>
      </w:pPr>
      <w:r>
        <w:rPr>
          <w:rFonts w:hint="eastAsia" w:ascii="仿宋_GB2312" w:eastAsia="仿宋_GB2312"/>
          <w:color w:val="000000" w:themeColor="text1"/>
          <w:kern w:val="0"/>
          <w:sz w:val="24"/>
          <w:szCs w:val="24"/>
          <w:highlight w:val="none"/>
          <w:lang w:bidi="en-US"/>
          <w14:textFill>
            <w14:solidFill>
              <w14:schemeClr w14:val="tx1"/>
            </w14:solidFill>
          </w14:textFill>
        </w:rPr>
        <w:t>坐标系统：广州</w:t>
      </w:r>
      <w:r>
        <w:rPr>
          <w:rFonts w:hint="eastAsia" w:ascii="仿宋_GB2312" w:eastAsia="仿宋_GB2312"/>
          <w:color w:val="000000" w:themeColor="text1"/>
          <w:kern w:val="0"/>
          <w:sz w:val="24"/>
          <w:szCs w:val="24"/>
          <w:highlight w:val="none"/>
          <w:lang w:val="en-US" w:eastAsia="zh-CN" w:bidi="en-US"/>
          <w14:textFill>
            <w14:solidFill>
              <w14:schemeClr w14:val="tx1"/>
            </w14:solidFill>
          </w14:textFill>
        </w:rPr>
        <w:t>2000</w:t>
      </w:r>
      <w:r>
        <w:rPr>
          <w:rFonts w:hint="eastAsia" w:ascii="仿宋_GB2312" w:eastAsia="仿宋_GB2312"/>
          <w:color w:val="000000" w:themeColor="text1"/>
          <w:kern w:val="0"/>
          <w:sz w:val="24"/>
          <w:szCs w:val="24"/>
          <w:highlight w:val="none"/>
          <w:lang w:bidi="en-US"/>
          <w14:textFill>
            <w14:solidFill>
              <w14:schemeClr w14:val="tx1"/>
            </w14:solidFill>
          </w14:textFill>
        </w:rPr>
        <w:t>坐标系统。</w:t>
      </w:r>
    </w:p>
    <w:p>
      <w:pPr>
        <w:pStyle w:val="6"/>
        <w:spacing w:before="312" w:after="312"/>
        <w:rPr>
          <w:color w:val="000000" w:themeColor="text1"/>
          <w:highlight w:val="none"/>
          <w14:textFill>
            <w14:solidFill>
              <w14:schemeClr w14:val="tx1"/>
            </w14:solidFill>
          </w14:textFill>
        </w:rPr>
      </w:pPr>
      <w:bookmarkStart w:id="46" w:name="_Toc57110160"/>
      <w:bookmarkStart w:id="47" w:name="_Toc22420"/>
      <w:bookmarkStart w:id="48" w:name="_Toc22371"/>
      <w:r>
        <w:rPr>
          <w:rFonts w:hint="eastAsia"/>
          <w:color w:val="000000" w:themeColor="text1"/>
          <w:highlight w:val="none"/>
          <w14:textFill>
            <w14:solidFill>
              <w14:schemeClr w14:val="tx1"/>
            </w14:solidFill>
          </w14:textFill>
        </w:rPr>
        <w:t>4.3 管线综合工程</w:t>
      </w:r>
      <w:bookmarkEnd w:id="46"/>
      <w:bookmarkEnd w:id="47"/>
      <w:bookmarkEnd w:id="48"/>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4.3.1</w:t>
      </w:r>
      <w:r>
        <w:rPr>
          <w:color w:val="000000" w:themeColor="text1"/>
          <w:highlight w:val="none"/>
          <w14:textFill>
            <w14:solidFill>
              <w14:schemeClr w14:val="tx1"/>
            </w14:solidFill>
          </w14:textFill>
        </w:rPr>
        <w:t>设计规范及依据</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1）《城市工程管线综合规划规范》GB50289-2016</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2）《室外排水设计标准》GB50014-2021</w:t>
      </w:r>
    </w:p>
    <w:p>
      <w:pPr>
        <w:spacing w:line="560" w:lineRule="exact"/>
        <w:ind w:firstLine="482"/>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3）《室外给水设计</w:t>
      </w:r>
      <w:r>
        <w:rPr>
          <w:rFonts w:hint="eastAsia" w:ascii="仿宋_GB2312" w:eastAsia="仿宋_GB2312"/>
          <w:color w:val="000000" w:themeColor="text1"/>
          <w:sz w:val="24"/>
          <w:szCs w:val="24"/>
          <w:highlight w:val="none"/>
          <w:lang w:val="en-US" w:eastAsia="zh-CN"/>
          <w14:textFill>
            <w14:solidFill>
              <w14:schemeClr w14:val="tx1"/>
            </w14:solidFill>
          </w14:textFill>
        </w:rPr>
        <w:t>标准</w:t>
      </w:r>
      <w:r>
        <w:rPr>
          <w:rFonts w:hint="eastAsia" w:ascii="仿宋_GB2312" w:eastAsia="仿宋_GB2312"/>
          <w:color w:val="000000" w:themeColor="text1"/>
          <w:sz w:val="24"/>
          <w:szCs w:val="24"/>
          <w:highlight w:val="none"/>
          <w14:textFill>
            <w14:solidFill>
              <w14:schemeClr w14:val="tx1"/>
            </w14:solidFill>
          </w14:textFill>
        </w:rPr>
        <w:t>》GB50013-</w:t>
      </w:r>
      <w:r>
        <w:rPr>
          <w:rFonts w:hint="eastAsia" w:ascii="仿宋_GB2312" w:eastAsia="仿宋_GB2312"/>
          <w:color w:val="000000" w:themeColor="text1"/>
          <w:sz w:val="24"/>
          <w:szCs w:val="24"/>
          <w:highlight w:val="none"/>
          <w:lang w:val="en-US" w:eastAsia="zh-CN"/>
          <w14:textFill>
            <w14:solidFill>
              <w14:schemeClr w14:val="tx1"/>
            </w14:solidFill>
          </w14:textFill>
        </w:rPr>
        <w:t>2018</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4）《城市排水工程规划规范》GB50318-2017</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5）《城市给水工程规划规范》GB50282-2016</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6）《城市电力规划规范》GB/T50293-2014</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7）《城镇燃气设计规范》GB50028-2006</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8）《通信管道与通道工程设计规范》GB50373-2019</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9）其它相关设计规范</w:t>
      </w:r>
    </w:p>
    <w:p>
      <w:pPr>
        <w:pStyle w:val="40"/>
        <w:keepNext w:val="0"/>
        <w:keepLines w:val="0"/>
        <w:pageBreakBefore w:val="0"/>
        <w:widowControl w:val="0"/>
        <w:kinsoku/>
        <w:wordWrap/>
        <w:overflowPunct/>
        <w:topLinePunct w:val="0"/>
        <w:autoSpaceDE/>
        <w:autoSpaceDN/>
        <w:bidi w:val="0"/>
        <w:adjustRightInd/>
        <w:snapToGrid/>
        <w:spacing w:before="313" w:beforeLines="100"/>
        <w:ind w:left="482" w:firstLine="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4.3.2</w:t>
      </w:r>
      <w:r>
        <w:rPr>
          <w:color w:val="000000" w:themeColor="text1"/>
          <w:highlight w:val="none"/>
          <w14:textFill>
            <w14:solidFill>
              <w14:schemeClr w14:val="tx1"/>
            </w14:solidFill>
          </w14:textFill>
        </w:rPr>
        <w:t>总体目标</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城市工程管线种类很多，其功能和施工时间也不统一，在城市道路有限断面上需要综合安排、统筹规划，避免各种工程管线在平面和竖向空间位置上的互相冲突和干扰，保证城市功能的正常运转。</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工程管线综合规划与城市道路、城市环境、给水工程、排水工程、电力工程、燃气工程、电信工程、防洪工程、人防工程等专业规划相协调。满足各专业容量功能方面的要求和城市地下空间综合布置的要求，使工程管线正常运行。</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工程管线综合规划要综合安排，发现并解决各项工程管线在规划设计中存在的矛盾，使之在用地空间上占有合理位置，以指导下阶段单项工程设计，并为工程管线施工及规划管理工作创造有利条件。使得规划更趋科学、合理。</w:t>
      </w:r>
    </w:p>
    <w:p>
      <w:pPr>
        <w:pStyle w:val="40"/>
        <w:keepNext w:val="0"/>
        <w:keepLines w:val="0"/>
        <w:pageBreakBefore w:val="0"/>
        <w:widowControl w:val="0"/>
        <w:kinsoku/>
        <w:wordWrap/>
        <w:overflowPunct/>
        <w:topLinePunct w:val="0"/>
        <w:autoSpaceDE/>
        <w:autoSpaceDN/>
        <w:bidi w:val="0"/>
        <w:adjustRightInd/>
        <w:snapToGrid/>
        <w:spacing w:before="313" w:beforeLines="100"/>
        <w:ind w:left="482" w:firstLine="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4.3.3规划设计原则</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1）充分利用现有工程管线，在满足现行规范和不影响施工的前提下，尽可能保护现有工程管线不作迁移以节约工程投资。当现状管线不能满足需要时，经综合技术、经济比较后，可废弃或抽换。</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2）合理利用地下空间，规划与迁移的工程管线尽可能安排在道路的人行道和绿化带中，工程管线尽可能避免敷设道路的快车道中；只有当人行道和绿化带宽度不足的情况下，将排水管线布置在机动车道内。</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3）工程管线的布置应与城市现状及规划的地下铁道、地下通道、人防工程等地下隐蔽性工程协调配合。</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4）结合远、近期规划和建设情况，为近期实施道路提供建设条件，为远期建设的工程管线预留走廊的位置。</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5）综合考虑给水、排水、电力、电信、燃气等单项工程设计、布置要求，进行管线综合平衡，协调、安排各种管线的建设，以利今后的施工和管理。</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6）对于基建施工所需临时管线，在条件许可时应与永久性管线结合考虑。</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7）应结合城市道路网规划，在不妨碍工程管线正常运行、检修和合理占用土地的情况下，使线路短捷。</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8）地下管线的走向，宜沿道路或与主体建筑平行布置，并力求线型顺直、短捷和适当集中，尽量减少转弯，并应使管线之间及管线与道路之间尽量减少交叉。</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9）当管线交叉时，应符合下列原则：压力管线让重力自流管线；可弯曲管线让不易弯曲管线；分支管线让主干管线；小管径管线让大管径管线。</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10）雨、污水管道与生活给水管道相交时，应敷设在生活给水管道的下面。</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11）再生水（杂用水）管道与生活给水管道、合流管道和污水管道相交时，应敷设在生活给水管道下面，宜敷设在合流管道和污水管道的上面。</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12）电力电缆与电信管缆宜远离，并按照电力电缆在道路东侧或南侧、电信管缆在道路西侧或北侧的原则布置。</w:t>
      </w:r>
    </w:p>
    <w:p>
      <w:pPr>
        <w:pStyle w:val="40"/>
        <w:keepNext w:val="0"/>
        <w:keepLines w:val="0"/>
        <w:pageBreakBefore w:val="0"/>
        <w:widowControl w:val="0"/>
        <w:kinsoku/>
        <w:wordWrap/>
        <w:overflowPunct/>
        <w:topLinePunct w:val="0"/>
        <w:autoSpaceDE/>
        <w:autoSpaceDN/>
        <w:bidi w:val="0"/>
        <w:adjustRightInd/>
        <w:snapToGrid/>
        <w:spacing w:before="313" w:beforeLines="100"/>
        <w:ind w:left="482" w:firstLine="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4.3.4直埋管线设计要求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1、各工程管线直埋敷设的水平净距的要求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应根据各类管线的不同物性和设计要求综合布置各类管线，工程管线相互间水平距离应符合下表的要求。</w:t>
      </w: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2"/>
        <w:rPr>
          <w:rFonts w:ascii="仿宋_GB2312" w:eastAsia="仿宋_GB2312"/>
          <w:color w:val="000000" w:themeColor="text1"/>
          <w:sz w:val="24"/>
          <w:szCs w:val="24"/>
          <w:highlight w:val="none"/>
          <w14:textFill>
            <w14:solidFill>
              <w14:schemeClr w14:val="tx1"/>
            </w14:solidFill>
          </w14:textFill>
        </w:rPr>
      </w:pPr>
    </w:p>
    <w:p>
      <w:pPr>
        <w:pStyle w:val="64"/>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工程管线之间的最小水平净距（m）</w:t>
      </w:r>
    </w:p>
    <w:p>
      <w:pPr>
        <w:ind w:firstLine="260"/>
        <w:jc w:val="center"/>
        <w:rPr>
          <w:color w:val="000000" w:themeColor="text1"/>
          <w:sz w:val="13"/>
          <w:szCs w:val="13"/>
          <w:highlight w:val="none"/>
          <w14:textFill>
            <w14:solidFill>
              <w14:schemeClr w14:val="tx1"/>
            </w14:solidFill>
          </w14:textFill>
        </w:rPr>
      </w:pPr>
      <w:r>
        <w:rPr>
          <w:color w:val="000000" w:themeColor="text1"/>
          <w:sz w:val="13"/>
          <w:szCs w:val="13"/>
          <w:highlight w:val="none"/>
          <w14:textFill>
            <w14:solidFill>
              <w14:schemeClr w14:val="tx1"/>
            </w14:solidFill>
          </w14:textFill>
        </w:rPr>
        <w:drawing>
          <wp:inline distT="0" distB="0" distL="0" distR="0">
            <wp:extent cx="4191000" cy="4474210"/>
            <wp:effectExtent l="19050" t="0" r="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noChangeArrowheads="1"/>
                    </pic:cNvPicPr>
                  </pic:nvPicPr>
                  <pic:blipFill>
                    <a:blip r:embed="rId12"/>
                    <a:srcRect/>
                    <a:stretch>
                      <a:fillRect/>
                    </a:stretch>
                  </pic:blipFill>
                  <pic:spPr>
                    <a:xfrm>
                      <a:off x="0" y="0"/>
                      <a:ext cx="4191000" cy="4474210"/>
                    </a:xfrm>
                    <a:prstGeom prst="rect">
                      <a:avLst/>
                    </a:prstGeom>
                    <a:noFill/>
                    <a:ln w="9525" cmpd="sng">
                      <a:noFill/>
                      <a:miter lim="800000"/>
                      <a:headEnd/>
                      <a:tailEnd/>
                    </a:ln>
                    <a:effectLst/>
                  </pic:spPr>
                </pic:pic>
              </a:graphicData>
            </a:graphic>
          </wp:inline>
        </w:drawing>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注：1.燃气管线采用聚乙烯管材时，燃气管线与热力管线的最小水平净距应按现行行业标准《聚乙烯燃气管道工程技术规程》CJJ63执行。</w:t>
      </w:r>
    </w:p>
    <w:p>
      <w:pPr>
        <w:spacing w:line="560" w:lineRule="exact"/>
        <w:ind w:firstLine="480" w:firstLineChars="200"/>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ascii="仿宋_GB2312" w:eastAsia="仿宋_GB2312"/>
          <w:color w:val="000000" w:themeColor="text1"/>
          <w:sz w:val="24"/>
          <w:szCs w:val="24"/>
          <w:highlight w:val="none"/>
          <w14:textFill>
            <w14:solidFill>
              <w14:schemeClr w14:val="tx1"/>
            </w14:solidFill>
          </w14:textFill>
        </w:rPr>
        <w:t>各工程管线交叉敷设时最小垂直净距的要求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当工程管线交叉敷设时，自地表面向下的排列顺序宜为：电力管线、热力管线、燃气管线、给水管线、雨水排水管线、污水排水管线。工程管线交叉时的最小垂直净距，应符合下表的规定。</w:t>
      </w:r>
    </w:p>
    <w:p>
      <w:pPr>
        <w:pStyle w:val="64"/>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工程管线交叉时的最小垂直净距（m）</w:t>
      </w:r>
    </w:p>
    <w:tbl>
      <w:tblPr>
        <w:tblStyle w:val="29"/>
        <w:tblW w:w="9733" w:type="dxa"/>
        <w:tblInd w:w="-6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2"/>
        <w:gridCol w:w="978"/>
        <w:gridCol w:w="1051"/>
        <w:gridCol w:w="787"/>
        <w:gridCol w:w="788"/>
        <w:gridCol w:w="787"/>
        <w:gridCol w:w="788"/>
        <w:gridCol w:w="787"/>
        <w:gridCol w:w="920"/>
        <w:gridCol w:w="788"/>
        <w:gridCol w:w="789"/>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82"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序号</w:t>
            </w:r>
          </w:p>
        </w:tc>
        <w:tc>
          <w:tcPr>
            <w:tcW w:w="2029" w:type="dxa"/>
            <w:gridSpan w:val="2"/>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管线名称</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1707"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c>
          <w:tcPr>
            <w:tcW w:w="1577"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82" w:type="dxa"/>
            <w:vMerge w:val="continue"/>
            <w:vAlign w:val="center"/>
          </w:tcPr>
          <w:p>
            <w:pPr>
              <w:widowControl/>
              <w:rPr>
                <w:color w:val="000000" w:themeColor="text1"/>
                <w:szCs w:val="21"/>
                <w:highlight w:val="none"/>
                <w14:textFill>
                  <w14:solidFill>
                    <w14:schemeClr w14:val="tx1"/>
                  </w14:solidFill>
                </w14:textFill>
              </w:rPr>
            </w:pPr>
          </w:p>
        </w:tc>
        <w:tc>
          <w:tcPr>
            <w:tcW w:w="2029" w:type="dxa"/>
            <w:gridSpan w:val="2"/>
            <w:vMerge w:val="continue"/>
            <w:vAlign w:val="center"/>
          </w:tcPr>
          <w:p>
            <w:pPr>
              <w:widowControl/>
              <w:rPr>
                <w:color w:val="000000" w:themeColor="text1"/>
                <w:szCs w:val="21"/>
                <w:highlight w:val="none"/>
                <w14:textFill>
                  <w14:solidFill>
                    <w14:schemeClr w14:val="tx1"/>
                  </w14:solidFill>
                </w14:textFill>
              </w:rPr>
            </w:pPr>
          </w:p>
        </w:tc>
        <w:tc>
          <w:tcPr>
            <w:tcW w:w="787"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给水管线</w:t>
            </w:r>
          </w:p>
        </w:tc>
        <w:tc>
          <w:tcPr>
            <w:tcW w:w="788"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污水、雨水管线</w:t>
            </w:r>
          </w:p>
        </w:tc>
        <w:tc>
          <w:tcPr>
            <w:tcW w:w="787"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热力管线</w:t>
            </w:r>
          </w:p>
        </w:tc>
        <w:tc>
          <w:tcPr>
            <w:tcW w:w="788"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燃气管线</w:t>
            </w:r>
          </w:p>
        </w:tc>
        <w:tc>
          <w:tcPr>
            <w:tcW w:w="1707"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通信管线</w:t>
            </w:r>
          </w:p>
        </w:tc>
        <w:tc>
          <w:tcPr>
            <w:tcW w:w="1577"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电力管线</w:t>
            </w:r>
          </w:p>
        </w:tc>
        <w:tc>
          <w:tcPr>
            <w:tcW w:w="788"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再生水管线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82" w:type="dxa"/>
            <w:vMerge w:val="continue"/>
            <w:vAlign w:val="center"/>
          </w:tcPr>
          <w:p>
            <w:pPr>
              <w:widowControl/>
              <w:rPr>
                <w:color w:val="000000" w:themeColor="text1"/>
                <w:szCs w:val="21"/>
                <w:highlight w:val="none"/>
                <w14:textFill>
                  <w14:solidFill>
                    <w14:schemeClr w14:val="tx1"/>
                  </w14:solidFill>
                </w14:textFill>
              </w:rPr>
            </w:pPr>
          </w:p>
        </w:tc>
        <w:tc>
          <w:tcPr>
            <w:tcW w:w="2029" w:type="dxa"/>
            <w:gridSpan w:val="2"/>
            <w:vMerge w:val="continue"/>
            <w:vAlign w:val="center"/>
          </w:tcPr>
          <w:p>
            <w:pPr>
              <w:widowControl/>
              <w:rPr>
                <w:color w:val="000000" w:themeColor="text1"/>
                <w:szCs w:val="21"/>
                <w:highlight w:val="none"/>
                <w14:textFill>
                  <w14:solidFill>
                    <w14:schemeClr w14:val="tx1"/>
                  </w14:solidFill>
                </w14:textFill>
              </w:rPr>
            </w:pPr>
          </w:p>
        </w:tc>
        <w:tc>
          <w:tcPr>
            <w:tcW w:w="787" w:type="dxa"/>
            <w:vMerge w:val="continue"/>
            <w:vAlign w:val="center"/>
          </w:tcPr>
          <w:p>
            <w:pPr>
              <w:widowControl/>
              <w:rPr>
                <w:color w:val="000000" w:themeColor="text1"/>
                <w:szCs w:val="21"/>
                <w:highlight w:val="none"/>
                <w14:textFill>
                  <w14:solidFill>
                    <w14:schemeClr w14:val="tx1"/>
                  </w14:solidFill>
                </w14:textFill>
              </w:rPr>
            </w:pPr>
          </w:p>
        </w:tc>
        <w:tc>
          <w:tcPr>
            <w:tcW w:w="788" w:type="dxa"/>
            <w:vMerge w:val="continue"/>
            <w:vAlign w:val="center"/>
          </w:tcPr>
          <w:p>
            <w:pPr>
              <w:widowControl/>
              <w:rPr>
                <w:color w:val="000000" w:themeColor="text1"/>
                <w:szCs w:val="21"/>
                <w:highlight w:val="none"/>
                <w14:textFill>
                  <w14:solidFill>
                    <w14:schemeClr w14:val="tx1"/>
                  </w14:solidFill>
                </w14:textFill>
              </w:rPr>
            </w:pPr>
          </w:p>
        </w:tc>
        <w:tc>
          <w:tcPr>
            <w:tcW w:w="787" w:type="dxa"/>
            <w:vMerge w:val="continue"/>
            <w:vAlign w:val="center"/>
          </w:tcPr>
          <w:p>
            <w:pPr>
              <w:widowControl/>
              <w:rPr>
                <w:color w:val="000000" w:themeColor="text1"/>
                <w:szCs w:val="21"/>
                <w:highlight w:val="none"/>
                <w14:textFill>
                  <w14:solidFill>
                    <w14:schemeClr w14:val="tx1"/>
                  </w14:solidFill>
                </w14:textFill>
              </w:rPr>
            </w:pPr>
          </w:p>
        </w:tc>
        <w:tc>
          <w:tcPr>
            <w:tcW w:w="788" w:type="dxa"/>
            <w:vMerge w:val="continue"/>
            <w:vAlign w:val="center"/>
          </w:tcPr>
          <w:p>
            <w:pPr>
              <w:widowControl/>
              <w:rPr>
                <w:color w:val="000000" w:themeColor="text1"/>
                <w:szCs w:val="21"/>
                <w:highlight w:val="none"/>
                <w14:textFill>
                  <w14:solidFill>
                    <w14:schemeClr w14:val="tx1"/>
                  </w14:solidFill>
                </w14:textFill>
              </w:rPr>
            </w:pP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保护管及通道</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保护管</w:t>
            </w:r>
          </w:p>
        </w:tc>
        <w:tc>
          <w:tcPr>
            <w:tcW w:w="788" w:type="dxa"/>
            <w:vMerge w:val="continue"/>
            <w:vAlign w:val="center"/>
          </w:tcPr>
          <w:p>
            <w:pPr>
              <w:widowControl/>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给水管线</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污水、雨水管线</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0.40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热力管线</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4</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燃气管线</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w:t>
            </w:r>
          </w:p>
        </w:tc>
        <w:tc>
          <w:tcPr>
            <w:tcW w:w="978"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通信管线</w:t>
            </w:r>
          </w:p>
        </w:tc>
        <w:tc>
          <w:tcPr>
            <w:tcW w:w="1051"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82" w:type="dxa"/>
            <w:vMerge w:val="continue"/>
            <w:vAlign w:val="center"/>
          </w:tcPr>
          <w:p>
            <w:pPr>
              <w:widowControl/>
              <w:rPr>
                <w:color w:val="000000" w:themeColor="text1"/>
                <w:szCs w:val="21"/>
                <w:highlight w:val="none"/>
                <w14:textFill>
                  <w14:solidFill>
                    <w14:schemeClr w14:val="tx1"/>
                  </w14:solidFill>
                </w14:textFill>
              </w:rPr>
            </w:pPr>
          </w:p>
        </w:tc>
        <w:tc>
          <w:tcPr>
            <w:tcW w:w="978" w:type="dxa"/>
            <w:vMerge w:val="continue"/>
            <w:vAlign w:val="center"/>
          </w:tcPr>
          <w:p>
            <w:pPr>
              <w:widowControl/>
              <w:rPr>
                <w:color w:val="000000" w:themeColor="text1"/>
                <w:szCs w:val="21"/>
                <w:highlight w:val="none"/>
                <w14:textFill>
                  <w14:solidFill>
                    <w14:schemeClr w14:val="tx1"/>
                  </w14:solidFill>
                </w14:textFill>
              </w:rPr>
            </w:pPr>
          </w:p>
        </w:tc>
        <w:tc>
          <w:tcPr>
            <w:tcW w:w="1051"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保护管及通道</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6</w:t>
            </w:r>
          </w:p>
        </w:tc>
        <w:tc>
          <w:tcPr>
            <w:tcW w:w="978" w:type="dxa"/>
            <w:vMerge w:val="restart"/>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电力管线</w:t>
            </w:r>
          </w:p>
        </w:tc>
        <w:tc>
          <w:tcPr>
            <w:tcW w:w="1051"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Merge w:val="continue"/>
            <w:vAlign w:val="center"/>
          </w:tcPr>
          <w:p>
            <w:pPr>
              <w:widowControl/>
              <w:rPr>
                <w:color w:val="000000" w:themeColor="text1"/>
                <w:szCs w:val="21"/>
                <w:highlight w:val="none"/>
                <w14:textFill>
                  <w14:solidFill>
                    <w14:schemeClr w14:val="tx1"/>
                  </w14:solidFill>
                </w14:textFill>
              </w:rPr>
            </w:pPr>
          </w:p>
        </w:tc>
        <w:tc>
          <w:tcPr>
            <w:tcW w:w="978" w:type="dxa"/>
            <w:vMerge w:val="continue"/>
            <w:vAlign w:val="center"/>
          </w:tcPr>
          <w:p>
            <w:pPr>
              <w:widowControl/>
              <w:rPr>
                <w:color w:val="000000" w:themeColor="text1"/>
                <w:szCs w:val="21"/>
                <w:highlight w:val="none"/>
                <w14:textFill>
                  <w14:solidFill>
                    <w14:schemeClr w14:val="tx1"/>
                  </w14:solidFill>
                </w14:textFill>
              </w:rPr>
            </w:pPr>
          </w:p>
        </w:tc>
        <w:tc>
          <w:tcPr>
            <w:tcW w:w="1051"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保护管</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7</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再生水管线</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0.40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8</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管沟</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9</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涵洞（基底）</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0.25</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电车（轨底）</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82"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11</w:t>
            </w:r>
          </w:p>
        </w:tc>
        <w:tc>
          <w:tcPr>
            <w:tcW w:w="2029" w:type="dxa"/>
            <w:gridSpan w:val="2"/>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铁路（轨底）</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1.20</w:t>
            </w:r>
          </w:p>
        </w:tc>
        <w:tc>
          <w:tcPr>
            <w:tcW w:w="787"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1.50</w:t>
            </w:r>
          </w:p>
        </w:tc>
        <w:tc>
          <w:tcPr>
            <w:tcW w:w="920"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9"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c>
          <w:tcPr>
            <w:tcW w:w="788" w:type="dxa"/>
            <w:vAlign w:val="center"/>
          </w:tcPr>
          <w:p>
            <w:pPr>
              <w:widowControl/>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w:t>
            </w:r>
          </w:p>
        </w:tc>
      </w:tr>
    </w:tbl>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注：1.用隔板分隔时不得小于0.25m；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2.燃气管线采用聚乙烯管材时，燃气管线与热力管线的最小垂直净距应按现行行业标准《聚乙烯燃气管道工程技术规程》CJJ63执行；</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3.铁路为时速大于等于200km/h客运专线时，铁路（轨底）与其他管线最小垂直净距为1.5m。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3、工程管线与建（构）筑物之间净距要求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应考虑不影响建筑物安全和防止管线受腐蚀、沉陷、震动及重压。各种工程管线与建筑物和构筑物之间的最小水平间距，应符合下表规定：</w:t>
      </w:r>
    </w:p>
    <w:p>
      <w:pPr>
        <w:pStyle w:val="64"/>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工程管线与建、构物之间的最小水平间距（m）</w:t>
      </w:r>
    </w:p>
    <w:tbl>
      <w:tblPr>
        <w:tblStyle w:val="29"/>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257"/>
        <w:gridCol w:w="1076"/>
        <w:gridCol w:w="1104"/>
        <w:gridCol w:w="1059"/>
        <w:gridCol w:w="967"/>
        <w:gridCol w:w="1012"/>
        <w:gridCol w:w="965"/>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管线名称</w:t>
            </w:r>
          </w:p>
        </w:tc>
        <w:tc>
          <w:tcPr>
            <w:tcW w:w="1076"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建（构）筑物</w:t>
            </w:r>
          </w:p>
        </w:tc>
        <w:tc>
          <w:tcPr>
            <w:tcW w:w="3130" w:type="dxa"/>
            <w:gridSpan w:val="3"/>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地上杆柱（中心）</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道路侧石边缘</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有轨电车钢轨</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铁路钢轨（或坡脚）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76"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104"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通信照明及&lt;10KV</w:t>
            </w:r>
          </w:p>
        </w:tc>
        <w:tc>
          <w:tcPr>
            <w:tcW w:w="2026"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高压铁塔基础边</w:t>
            </w: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76"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59"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≤35KV</w:t>
            </w:r>
          </w:p>
        </w:tc>
        <w:tc>
          <w:tcPr>
            <w:tcW w:w="967"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&gt;35KV</w:t>
            </w: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给水管线</w:t>
            </w: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d≤200mm</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1104"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2026" w:type="dxa"/>
            <w:gridSpan w:val="2"/>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d&gt;200mm</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2026" w:type="dxa"/>
            <w:gridSpan w:val="2"/>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污水、雨水管线</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2.5</w:t>
            </w:r>
          </w:p>
        </w:tc>
        <w:tc>
          <w:tcPr>
            <w:tcW w:w="1104"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2026"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1012"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再生水管线</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1104"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2026"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1012"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燃气管线</w:t>
            </w: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低压</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0.7</w:t>
            </w:r>
          </w:p>
        </w:tc>
        <w:tc>
          <w:tcPr>
            <w:tcW w:w="1104"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1059"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967"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中压B</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59"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7"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中压A</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59"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7"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次高压B</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59"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7"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2.5</w:t>
            </w: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次高压A</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13.5</w:t>
            </w: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59"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7"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直埋热力管线</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1104"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026"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3.0（&gt;330kV5.0）</w:t>
            </w:r>
          </w:p>
        </w:tc>
        <w:tc>
          <w:tcPr>
            <w:tcW w:w="1012"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电力管线</w:t>
            </w: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1076"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0.6</w:t>
            </w:r>
          </w:p>
        </w:tc>
        <w:tc>
          <w:tcPr>
            <w:tcW w:w="1104"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026" w:type="dxa"/>
            <w:gridSpan w:val="2"/>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10.0（非电气化3.0）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保护管</w:t>
            </w:r>
          </w:p>
        </w:tc>
        <w:tc>
          <w:tcPr>
            <w:tcW w:w="1076"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104"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2026" w:type="dxa"/>
            <w:gridSpan w:val="2"/>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通信管线</w:t>
            </w:r>
          </w:p>
        </w:tc>
        <w:tc>
          <w:tcPr>
            <w:tcW w:w="1257" w:type="dxa"/>
          </w:tcPr>
          <w:p>
            <w:pPr>
              <w:spacing w:beforeLines="30" w:afterLines="30"/>
              <w:ind w:firstLine="315" w:firstLineChars="15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直埋</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1104"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1059"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967"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2.5</w:t>
            </w:r>
          </w:p>
        </w:tc>
        <w:tc>
          <w:tcPr>
            <w:tcW w:w="1012"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Merge w:val="restart"/>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50" w:type="dxa"/>
            <w:vMerge w:val="continue"/>
            <w:vAlign w:val="center"/>
          </w:tcPr>
          <w:p>
            <w:pPr>
              <w:spacing w:beforeLines="30" w:afterLines="30"/>
              <w:jc w:val="center"/>
              <w:rPr>
                <w:color w:val="000000" w:themeColor="text1"/>
                <w:szCs w:val="21"/>
                <w:highlight w:val="none"/>
                <w14:textFill>
                  <w14:solidFill>
                    <w14:schemeClr w14:val="tx1"/>
                  </w14:solidFill>
                </w14:textFill>
              </w:rPr>
            </w:pPr>
          </w:p>
        </w:tc>
        <w:tc>
          <w:tcPr>
            <w:tcW w:w="1257" w:type="dxa"/>
          </w:tcPr>
          <w:p>
            <w:pPr>
              <w:spacing w:beforeLines="30" w:afterLines="30"/>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管道、通道</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1104" w:type="dxa"/>
            <w:vMerge w:val="continue"/>
            <w:vAlign w:val="center"/>
          </w:tcPr>
          <w:p>
            <w:pPr>
              <w:spacing w:beforeLines="30" w:afterLines="30"/>
              <w:ind w:firstLine="420"/>
              <w:jc w:val="center"/>
              <w:rPr>
                <w:color w:val="000000" w:themeColor="text1"/>
                <w:szCs w:val="21"/>
                <w:highlight w:val="none"/>
                <w14:textFill>
                  <w14:solidFill>
                    <w14:schemeClr w14:val="tx1"/>
                  </w14:solidFill>
                </w14:textFill>
              </w:rPr>
            </w:pPr>
          </w:p>
        </w:tc>
        <w:tc>
          <w:tcPr>
            <w:tcW w:w="1059" w:type="dxa"/>
            <w:vMerge w:val="continue"/>
            <w:vAlign w:val="center"/>
          </w:tcPr>
          <w:p>
            <w:pPr>
              <w:spacing w:beforeLines="30" w:afterLines="30"/>
              <w:ind w:firstLine="315" w:firstLineChars="150"/>
              <w:jc w:val="center"/>
              <w:rPr>
                <w:color w:val="000000" w:themeColor="text1"/>
                <w:szCs w:val="21"/>
                <w:highlight w:val="none"/>
                <w14:textFill>
                  <w14:solidFill>
                    <w14:schemeClr w14:val="tx1"/>
                  </w14:solidFill>
                </w14:textFill>
              </w:rPr>
            </w:pPr>
          </w:p>
        </w:tc>
        <w:tc>
          <w:tcPr>
            <w:tcW w:w="967" w:type="dxa"/>
            <w:vMerge w:val="continue"/>
            <w:vAlign w:val="center"/>
          </w:tcPr>
          <w:p>
            <w:pPr>
              <w:spacing w:beforeLines="30" w:afterLines="30"/>
              <w:ind w:firstLine="315" w:firstLineChars="150"/>
              <w:jc w:val="center"/>
              <w:rPr>
                <w:color w:val="000000" w:themeColor="text1"/>
                <w:szCs w:val="21"/>
                <w:highlight w:val="none"/>
                <w14:textFill>
                  <w14:solidFill>
                    <w14:schemeClr w14:val="tx1"/>
                  </w14:solidFill>
                </w14:textFill>
              </w:rPr>
            </w:pPr>
          </w:p>
        </w:tc>
        <w:tc>
          <w:tcPr>
            <w:tcW w:w="1012" w:type="dxa"/>
            <w:vMerge w:val="continue"/>
            <w:vAlign w:val="center"/>
          </w:tcPr>
          <w:p>
            <w:pPr>
              <w:spacing w:beforeLines="30" w:afterLines="30"/>
              <w:ind w:firstLine="315" w:firstLineChars="15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ind w:firstLine="420"/>
              <w:jc w:val="center"/>
              <w:rPr>
                <w:color w:val="000000" w:themeColor="text1"/>
                <w:szCs w:val="21"/>
                <w:highlight w:val="none"/>
                <w14:textFill>
                  <w14:solidFill>
                    <w14:schemeClr w14:val="tx1"/>
                  </w14:solidFill>
                </w14:textFill>
              </w:rPr>
            </w:pPr>
          </w:p>
        </w:tc>
        <w:tc>
          <w:tcPr>
            <w:tcW w:w="965" w:type="dxa"/>
            <w:vMerge w:val="continue"/>
            <w:vAlign w:val="center"/>
          </w:tcPr>
          <w:p>
            <w:pPr>
              <w:spacing w:beforeLines="30" w:afterLines="30"/>
              <w:ind w:firstLine="420"/>
              <w:jc w:val="center"/>
              <w:rPr>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407"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管沟</w:t>
            </w:r>
          </w:p>
        </w:tc>
        <w:tc>
          <w:tcPr>
            <w:tcW w:w="1076"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0.5</w:t>
            </w:r>
          </w:p>
        </w:tc>
        <w:tc>
          <w:tcPr>
            <w:tcW w:w="1104"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1.0</w:t>
            </w:r>
          </w:p>
        </w:tc>
        <w:tc>
          <w:tcPr>
            <w:tcW w:w="2026" w:type="dxa"/>
            <w:gridSpan w:val="2"/>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3.0</w:t>
            </w:r>
          </w:p>
        </w:tc>
        <w:tc>
          <w:tcPr>
            <w:tcW w:w="1012"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1.5</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2.0</w:t>
            </w:r>
          </w:p>
        </w:tc>
        <w:tc>
          <w:tcPr>
            <w:tcW w:w="965" w:type="dxa"/>
            <w:vAlign w:val="center"/>
          </w:tcPr>
          <w:p>
            <w:pPr>
              <w:spacing w:beforeLines="30" w:afterLines="3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5.0</w:t>
            </w:r>
          </w:p>
        </w:tc>
      </w:tr>
    </w:tbl>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注：1.地上杆柱与建（构）筑物最小水平净距应符合《城市工程管线综合规划规范》表5.0.8的规定；</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2.管线距建筑物距离，除次高压燃气管道为其至外墙面外均为其至建筑物基础，当次高压燃气管道采取有效的安全防护措施或增加管壁厚度时，管道距建筑物外墙面不应小于3.0m。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3.地下燃气管线与铁塔基础边的水平净距，还应符合现行国家标准《城市燃气设计规范》GB50028地下燃气管线和交流电力线接地体净距的规定。</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4、工程管线与绿化树种间最小水平净距要求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地下管线不宜横穿公共绿地和庭院绿地，与绿化树种间的最小水平净距，宜符合下表中的规定。</w:t>
      </w:r>
    </w:p>
    <w:p>
      <w:pPr>
        <w:pStyle w:val="64"/>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工程管线与绿化树种间的最小水平净距（m）</w:t>
      </w:r>
    </w:p>
    <w:tbl>
      <w:tblPr>
        <w:tblStyle w:val="29"/>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8"/>
        <w:gridCol w:w="2080"/>
        <w:gridCol w:w="2296"/>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管线名称</w:t>
            </w:r>
          </w:p>
        </w:tc>
        <w:tc>
          <w:tcPr>
            <w:tcW w:w="4375"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最小水平净距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Merge w:val="continue"/>
            <w:vAlign w:val="center"/>
          </w:tcPr>
          <w:p>
            <w:pPr>
              <w:pStyle w:val="68"/>
              <w:rPr>
                <w:color w:val="000000" w:themeColor="text1"/>
                <w:highlight w:val="none"/>
                <w14:textFill>
                  <w14:solidFill>
                    <w14:schemeClr w14:val="tx1"/>
                  </w14:solidFill>
                </w14:textFill>
              </w:rPr>
            </w:pP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乔木（至中心）</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灌木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给水管线</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污水、雨水管线</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再生水管线</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燃气管线</w:t>
            </w: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低压/中压</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0.75</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continue"/>
            <w:vAlign w:val="center"/>
          </w:tcPr>
          <w:p>
            <w:pPr>
              <w:pStyle w:val="68"/>
              <w:rPr>
                <w:color w:val="000000" w:themeColor="text1"/>
                <w:highlight w:val="none"/>
                <w14:textFill>
                  <w14:solidFill>
                    <w14:schemeClr w14:val="tx1"/>
                  </w14:solidFill>
                </w14:textFill>
              </w:rPr>
            </w:pP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次高压</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直埋热力管线</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电力管线</w:t>
            </w: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continue"/>
            <w:vAlign w:val="center"/>
          </w:tcPr>
          <w:p>
            <w:pPr>
              <w:pStyle w:val="68"/>
              <w:rPr>
                <w:color w:val="000000" w:themeColor="text1"/>
                <w:highlight w:val="none"/>
                <w14:textFill>
                  <w14:solidFill>
                    <w14:schemeClr w14:val="tx1"/>
                  </w14:solidFill>
                </w14:textFill>
              </w:rPr>
            </w:pP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保护管</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通信管线</w:t>
            </w: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w:t>
            </w:r>
          </w:p>
        </w:tc>
        <w:tc>
          <w:tcPr>
            <w:tcW w:w="2296" w:type="dxa"/>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079" w:type="dxa"/>
            <w:vMerge w:val="restart"/>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2068" w:type="dxa"/>
            <w:vMerge w:val="continue"/>
            <w:vAlign w:val="center"/>
          </w:tcPr>
          <w:p>
            <w:pPr>
              <w:pStyle w:val="68"/>
              <w:rPr>
                <w:color w:val="000000" w:themeColor="text1"/>
                <w:highlight w:val="none"/>
                <w14:textFill>
                  <w14:solidFill>
                    <w14:schemeClr w14:val="tx1"/>
                  </w14:solidFill>
                </w14:textFill>
              </w:rPr>
            </w:pPr>
          </w:p>
        </w:tc>
        <w:tc>
          <w:tcPr>
            <w:tcW w:w="2080"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管道、通道</w:t>
            </w:r>
          </w:p>
        </w:tc>
        <w:tc>
          <w:tcPr>
            <w:tcW w:w="2296" w:type="dxa"/>
            <w:vMerge w:val="continue"/>
            <w:vAlign w:val="center"/>
          </w:tcPr>
          <w:p>
            <w:pPr>
              <w:pStyle w:val="68"/>
              <w:rPr>
                <w:color w:val="000000" w:themeColor="text1"/>
                <w:highlight w:val="none"/>
                <w14:textFill>
                  <w14:solidFill>
                    <w14:schemeClr w14:val="tx1"/>
                  </w14:solidFill>
                </w14:textFill>
              </w:rPr>
            </w:pPr>
          </w:p>
        </w:tc>
        <w:tc>
          <w:tcPr>
            <w:tcW w:w="2079" w:type="dxa"/>
            <w:vMerge w:val="continue"/>
            <w:vAlign w:val="center"/>
          </w:tcPr>
          <w:p>
            <w:pPr>
              <w:pStyle w:val="68"/>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4148" w:type="dxa"/>
            <w:gridSpan w:val="2"/>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管沟</w:t>
            </w:r>
          </w:p>
        </w:tc>
        <w:tc>
          <w:tcPr>
            <w:tcW w:w="2296"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1.5</w:t>
            </w:r>
          </w:p>
        </w:tc>
        <w:tc>
          <w:tcPr>
            <w:tcW w:w="2079" w:type="dxa"/>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w:t>
            </w:r>
          </w:p>
        </w:tc>
      </w:tr>
    </w:tbl>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注：.直埋蒸汽管道与乔木最小水平间距为2.0m。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5、工程管线的最小覆土深度</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地下管线应具备一定的覆土厚度，以扩散路面交通荷载的作用，保证使用安全，各类地下管线最小覆土深度应满足下表的规定。当受条件限制不能满足要求时，可采取安全措施减少其最小覆土深度。</w:t>
      </w:r>
    </w:p>
    <w:p>
      <w:pPr>
        <w:pStyle w:val="64"/>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工程管线的最小覆土深度（m）</w:t>
      </w:r>
    </w:p>
    <w:tbl>
      <w:tblPr>
        <w:tblStyle w:val="29"/>
        <w:tblW w:w="9836" w:type="dxa"/>
        <w:tblInd w:w="-506" w:type="dxa"/>
        <w:tblLayout w:type="fixed"/>
        <w:tblCellMar>
          <w:top w:w="0" w:type="dxa"/>
          <w:left w:w="108" w:type="dxa"/>
          <w:bottom w:w="0" w:type="dxa"/>
          <w:right w:w="108" w:type="dxa"/>
        </w:tblCellMar>
      </w:tblPr>
      <w:tblGrid>
        <w:gridCol w:w="1144"/>
        <w:gridCol w:w="1321"/>
        <w:gridCol w:w="696"/>
        <w:gridCol w:w="696"/>
        <w:gridCol w:w="696"/>
        <w:gridCol w:w="696"/>
        <w:gridCol w:w="960"/>
        <w:gridCol w:w="843"/>
        <w:gridCol w:w="696"/>
        <w:gridCol w:w="696"/>
        <w:gridCol w:w="696"/>
        <w:gridCol w:w="696"/>
      </w:tblGrid>
      <w:tr>
        <w:tblPrEx>
          <w:tblCellMar>
            <w:top w:w="0" w:type="dxa"/>
            <w:left w:w="108" w:type="dxa"/>
            <w:bottom w:w="0" w:type="dxa"/>
            <w:right w:w="108" w:type="dxa"/>
          </w:tblCellMar>
        </w:tblPrEx>
        <w:trPr>
          <w:trHeight w:val="382" w:hRule="atLeast"/>
        </w:trPr>
        <w:tc>
          <w:tcPr>
            <w:tcW w:w="2465" w:type="dxa"/>
            <w:gridSpan w:val="2"/>
            <w:tcBorders>
              <w:top w:val="single" w:color="auto" w:sz="8" w:space="0"/>
              <w:left w:val="single" w:color="auto" w:sz="8"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696" w:type="dxa"/>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696" w:type="dxa"/>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696" w:type="dxa"/>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656" w:type="dxa"/>
            <w:gridSpan w:val="2"/>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p>
        </w:tc>
        <w:tc>
          <w:tcPr>
            <w:tcW w:w="1539" w:type="dxa"/>
            <w:gridSpan w:val="2"/>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w:t>
            </w:r>
          </w:p>
        </w:tc>
        <w:tc>
          <w:tcPr>
            <w:tcW w:w="696" w:type="dxa"/>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w:t>
            </w:r>
          </w:p>
        </w:tc>
        <w:tc>
          <w:tcPr>
            <w:tcW w:w="696" w:type="dxa"/>
            <w:tcBorders>
              <w:top w:val="single" w:color="auto" w:sz="8"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w:t>
            </w:r>
          </w:p>
        </w:tc>
        <w:tc>
          <w:tcPr>
            <w:tcW w:w="696" w:type="dxa"/>
            <w:tcBorders>
              <w:top w:val="single" w:color="auto" w:sz="8" w:space="0"/>
              <w:left w:val="nil"/>
              <w:bottom w:val="single" w:color="auto" w:sz="4" w:space="0"/>
              <w:right w:val="single" w:color="auto" w:sz="8"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p>
        </w:tc>
      </w:tr>
      <w:tr>
        <w:tblPrEx>
          <w:tblCellMar>
            <w:top w:w="0" w:type="dxa"/>
            <w:left w:w="108" w:type="dxa"/>
            <w:bottom w:w="0" w:type="dxa"/>
            <w:right w:w="108" w:type="dxa"/>
          </w:tblCellMar>
        </w:tblPrEx>
        <w:trPr>
          <w:trHeight w:val="310" w:hRule="atLeast"/>
        </w:trPr>
        <w:tc>
          <w:tcPr>
            <w:tcW w:w="2465" w:type="dxa"/>
            <w:gridSpan w:val="2"/>
            <w:vMerge w:val="restart"/>
            <w:tcBorders>
              <w:top w:val="single" w:color="auto" w:sz="4" w:space="0"/>
              <w:left w:val="single" w:color="auto" w:sz="8"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管线名称</w:t>
            </w:r>
          </w:p>
        </w:tc>
        <w:tc>
          <w:tcPr>
            <w:tcW w:w="696" w:type="dxa"/>
            <w:vMerge w:val="restart"/>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给水管线</w:t>
            </w:r>
          </w:p>
        </w:tc>
        <w:tc>
          <w:tcPr>
            <w:tcW w:w="696" w:type="dxa"/>
            <w:vMerge w:val="restart"/>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排水管线</w:t>
            </w:r>
          </w:p>
        </w:tc>
        <w:tc>
          <w:tcPr>
            <w:tcW w:w="696" w:type="dxa"/>
            <w:vMerge w:val="restart"/>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再生水管线</w:t>
            </w:r>
          </w:p>
        </w:tc>
        <w:tc>
          <w:tcPr>
            <w:tcW w:w="1656" w:type="dxa"/>
            <w:gridSpan w:val="2"/>
            <w:tcBorders>
              <w:top w:val="single" w:color="auto" w:sz="4"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电力管线</w:t>
            </w:r>
          </w:p>
        </w:tc>
        <w:tc>
          <w:tcPr>
            <w:tcW w:w="1539" w:type="dxa"/>
            <w:gridSpan w:val="2"/>
            <w:tcBorders>
              <w:top w:val="single" w:color="auto" w:sz="4" w:space="0"/>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通信管线</w:t>
            </w:r>
          </w:p>
        </w:tc>
        <w:tc>
          <w:tcPr>
            <w:tcW w:w="696" w:type="dxa"/>
            <w:vMerge w:val="restart"/>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直埋热力管线</w:t>
            </w:r>
          </w:p>
        </w:tc>
        <w:tc>
          <w:tcPr>
            <w:tcW w:w="696" w:type="dxa"/>
            <w:vMerge w:val="restart"/>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燃气管线</w:t>
            </w:r>
          </w:p>
        </w:tc>
        <w:tc>
          <w:tcPr>
            <w:tcW w:w="696" w:type="dxa"/>
            <w:vMerge w:val="restart"/>
            <w:tcBorders>
              <w:top w:val="nil"/>
              <w:left w:val="single" w:color="auto" w:sz="4" w:space="0"/>
              <w:bottom w:val="single" w:color="auto" w:sz="4" w:space="0"/>
              <w:right w:val="single" w:color="auto" w:sz="8"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管沟</w:t>
            </w:r>
          </w:p>
        </w:tc>
      </w:tr>
      <w:tr>
        <w:tblPrEx>
          <w:tblCellMar>
            <w:top w:w="0" w:type="dxa"/>
            <w:left w:w="108" w:type="dxa"/>
            <w:bottom w:w="0" w:type="dxa"/>
            <w:right w:w="108" w:type="dxa"/>
          </w:tblCellMar>
        </w:tblPrEx>
        <w:trPr>
          <w:trHeight w:val="967" w:hRule="atLeast"/>
        </w:trPr>
        <w:tc>
          <w:tcPr>
            <w:tcW w:w="2465" w:type="dxa"/>
            <w:gridSpan w:val="2"/>
            <w:vMerge w:val="continue"/>
            <w:tcBorders>
              <w:top w:val="single" w:color="auto" w:sz="4" w:space="0"/>
              <w:left w:val="single" w:color="auto" w:sz="8"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vMerge w:val="continue"/>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vMerge w:val="continue"/>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vMerge w:val="continue"/>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w:t>
            </w:r>
          </w:p>
        </w:tc>
        <w:tc>
          <w:tcPr>
            <w:tcW w:w="960"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保护管</w:t>
            </w:r>
          </w:p>
        </w:tc>
        <w:tc>
          <w:tcPr>
            <w:tcW w:w="843"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直埋及塑料、混凝土保护管</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钢保护管</w:t>
            </w:r>
          </w:p>
        </w:tc>
        <w:tc>
          <w:tcPr>
            <w:tcW w:w="696" w:type="dxa"/>
            <w:vMerge w:val="continue"/>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vMerge w:val="continue"/>
            <w:tcBorders>
              <w:top w:val="nil"/>
              <w:left w:val="single" w:color="auto" w:sz="4" w:space="0"/>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p>
        </w:tc>
        <w:tc>
          <w:tcPr>
            <w:tcW w:w="696" w:type="dxa"/>
            <w:vMerge w:val="continue"/>
            <w:tcBorders>
              <w:top w:val="nil"/>
              <w:left w:val="single" w:color="auto" w:sz="4" w:space="0"/>
              <w:bottom w:val="single" w:color="auto" w:sz="4" w:space="0"/>
              <w:right w:val="single" w:color="auto" w:sz="8" w:space="0"/>
            </w:tcBorders>
            <w:vAlign w:val="center"/>
          </w:tcPr>
          <w:p>
            <w:pPr>
              <w:pStyle w:val="68"/>
              <w:rPr>
                <w:color w:val="000000" w:themeColor="text1"/>
                <w:highlight w:val="none"/>
                <w14:textFill>
                  <w14:solidFill>
                    <w14:schemeClr w14:val="tx1"/>
                  </w14:solidFill>
                </w14:textFill>
              </w:rPr>
            </w:pPr>
          </w:p>
        </w:tc>
      </w:tr>
      <w:tr>
        <w:tblPrEx>
          <w:tblCellMar>
            <w:top w:w="0" w:type="dxa"/>
            <w:left w:w="108" w:type="dxa"/>
            <w:bottom w:w="0" w:type="dxa"/>
            <w:right w:w="108" w:type="dxa"/>
          </w:tblCellMar>
        </w:tblPrEx>
        <w:trPr>
          <w:trHeight w:val="572" w:hRule="atLeast"/>
        </w:trPr>
        <w:tc>
          <w:tcPr>
            <w:tcW w:w="1144" w:type="dxa"/>
            <w:vMerge w:val="restart"/>
            <w:tcBorders>
              <w:top w:val="nil"/>
              <w:left w:val="single" w:color="auto" w:sz="8" w:space="0"/>
              <w:bottom w:val="single" w:color="000000"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最小覆土深度（m）</w:t>
            </w:r>
          </w:p>
        </w:tc>
        <w:tc>
          <w:tcPr>
            <w:tcW w:w="1321"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非机动车道（含人行道）</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0.70</w:t>
            </w:r>
          </w:p>
        </w:tc>
        <w:tc>
          <w:tcPr>
            <w:tcW w:w="960"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0.50</w:t>
            </w:r>
          </w:p>
        </w:tc>
        <w:tc>
          <w:tcPr>
            <w:tcW w:w="843"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0.70</w:t>
            </w:r>
          </w:p>
        </w:tc>
        <w:tc>
          <w:tcPr>
            <w:tcW w:w="696" w:type="dxa"/>
            <w:tcBorders>
              <w:top w:val="nil"/>
              <w:left w:val="nil"/>
              <w:bottom w:val="single" w:color="auto" w:sz="4"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4" w:space="0"/>
              <w:right w:val="single" w:color="auto" w:sz="8"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p>
        </w:tc>
      </w:tr>
      <w:tr>
        <w:tblPrEx>
          <w:tblCellMar>
            <w:top w:w="0" w:type="dxa"/>
            <w:left w:w="108" w:type="dxa"/>
            <w:bottom w:w="0" w:type="dxa"/>
            <w:right w:w="108" w:type="dxa"/>
          </w:tblCellMar>
        </w:tblPrEx>
        <w:trPr>
          <w:trHeight w:val="420" w:hRule="atLeast"/>
        </w:trPr>
        <w:tc>
          <w:tcPr>
            <w:tcW w:w="1144" w:type="dxa"/>
            <w:vMerge w:val="continue"/>
            <w:tcBorders>
              <w:top w:val="nil"/>
              <w:left w:val="single" w:color="auto" w:sz="8" w:space="0"/>
              <w:bottom w:val="single" w:color="000000" w:sz="8" w:space="0"/>
              <w:right w:val="single" w:color="auto" w:sz="4" w:space="0"/>
            </w:tcBorders>
            <w:vAlign w:val="center"/>
          </w:tcPr>
          <w:p>
            <w:pPr>
              <w:pStyle w:val="68"/>
              <w:rPr>
                <w:color w:val="000000" w:themeColor="text1"/>
                <w:highlight w:val="none"/>
                <w14:textFill>
                  <w14:solidFill>
                    <w14:schemeClr w14:val="tx1"/>
                  </w14:solidFill>
                </w14:textFill>
              </w:rPr>
            </w:pPr>
          </w:p>
        </w:tc>
        <w:tc>
          <w:tcPr>
            <w:tcW w:w="1321"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机动车道</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0.70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p>
        </w:tc>
        <w:tc>
          <w:tcPr>
            <w:tcW w:w="960"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0.50</w:t>
            </w:r>
          </w:p>
        </w:tc>
        <w:tc>
          <w:tcPr>
            <w:tcW w:w="843"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0.90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0.60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w:t>
            </w:r>
          </w:p>
        </w:tc>
        <w:tc>
          <w:tcPr>
            <w:tcW w:w="696" w:type="dxa"/>
            <w:tcBorders>
              <w:top w:val="nil"/>
              <w:left w:val="nil"/>
              <w:bottom w:val="single" w:color="auto" w:sz="8" w:space="0"/>
              <w:right w:val="single" w:color="auto" w:sz="4"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0.90</w:t>
            </w:r>
          </w:p>
        </w:tc>
        <w:tc>
          <w:tcPr>
            <w:tcW w:w="696" w:type="dxa"/>
            <w:tcBorders>
              <w:top w:val="nil"/>
              <w:left w:val="nil"/>
              <w:bottom w:val="single" w:color="auto" w:sz="8" w:space="0"/>
              <w:right w:val="single" w:color="auto" w:sz="8" w:space="0"/>
            </w:tcBorders>
            <w:vAlign w:val="center"/>
          </w:tcPr>
          <w:p>
            <w:pPr>
              <w:pStyle w:val="68"/>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0.50</w:t>
            </w:r>
          </w:p>
        </w:tc>
      </w:tr>
    </w:tbl>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注：聚乙烯给水管线机动车道下的覆土深度不宜小于1.0m。</w:t>
      </w:r>
    </w:p>
    <w:p>
      <w:pPr>
        <w:pStyle w:val="6"/>
        <w:spacing w:before="312" w:after="312"/>
        <w:rPr>
          <w:rFonts w:hint="eastAsia"/>
          <w:color w:val="000000" w:themeColor="text1"/>
          <w:highlight w:val="none"/>
          <w14:textFill>
            <w14:solidFill>
              <w14:schemeClr w14:val="tx1"/>
            </w14:solidFill>
          </w14:textFill>
        </w:rPr>
      </w:pPr>
      <w:bookmarkStart w:id="49" w:name="_Toc57110161"/>
      <w:bookmarkStart w:id="50" w:name="_Toc30437"/>
      <w:bookmarkStart w:id="51" w:name="_Toc8593"/>
      <w:bookmarkStart w:id="52" w:name="_Toc57110162"/>
      <w:r>
        <w:rPr>
          <w:rFonts w:hint="eastAsia"/>
          <w:color w:val="000000" w:themeColor="text1"/>
          <w:highlight w:val="none"/>
          <w14:textFill>
            <w14:solidFill>
              <w14:schemeClr w14:val="tx1"/>
            </w14:solidFill>
          </w14:textFill>
        </w:rPr>
        <w:t>4.4 排水工程</w:t>
      </w:r>
      <w:bookmarkEnd w:id="49"/>
      <w:bookmarkEnd w:id="50"/>
      <w:bookmarkEnd w:id="51"/>
    </w:p>
    <w:p>
      <w:pPr>
        <w:pStyle w:val="7"/>
        <w:spacing w:before="156" w:after="15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.1 雨水工程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bookmarkStart w:id="53" w:name="3.4.4工程实施效果图"/>
      <w:bookmarkEnd w:id="53"/>
      <w:r>
        <w:rPr>
          <w:rFonts w:hint="eastAsia" w:ascii="仿宋_GB2312" w:eastAsia="仿宋_GB2312"/>
          <w:color w:val="000000" w:themeColor="text1"/>
          <w:sz w:val="24"/>
          <w:szCs w:val="24"/>
          <w:highlight w:val="none"/>
          <w14:textFill>
            <w14:solidFill>
              <w14:schemeClr w14:val="tx1"/>
            </w14:solidFill>
          </w14:textFill>
        </w:rPr>
        <w:t>1.设计标准与参数</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1）雨水量计算</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a.暴雨强度公式</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根据《关于加强我市市政和房建工程排水设计工作的通知》（穗水排水[2011]77号，广州市水利局、广州市城乡建设委员会）要求，新建项目、新建区域和成片改造区域排水设施重现期一般不小于5年，重要地区（含立交桥）重现期不小于10年。本工程重现期采用5年。</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暴雨强度计算采用《广州市暴雨强度公式编制与设计暴雨雨型研究技术报告》(广东省气候中心，</w:t>
      </w:r>
      <w:r>
        <w:rPr>
          <w:rFonts w:hint="eastAsia" w:ascii="仿宋_GB2312" w:eastAsia="仿宋_GB2312"/>
          <w:color w:val="000000" w:themeColor="text1"/>
          <w:sz w:val="24"/>
          <w:szCs w:val="24"/>
          <w:highlight w:val="none"/>
          <w:lang w:val="en-US" w:eastAsia="zh-CN"/>
          <w14:textFill>
            <w14:solidFill>
              <w14:schemeClr w14:val="tx1"/>
            </w14:solidFill>
          </w14:textFill>
        </w:rPr>
        <w:t>2022</w:t>
      </w:r>
      <w:r>
        <w:rPr>
          <w:rFonts w:hint="eastAsia" w:ascii="仿宋_GB2312" w:eastAsia="仿宋_GB2312"/>
          <w:color w:val="000000" w:themeColor="text1"/>
          <w:sz w:val="24"/>
          <w:szCs w:val="24"/>
          <w:highlight w:val="none"/>
          <w14:textFill>
            <w14:solidFill>
              <w14:schemeClr w14:val="tx1"/>
            </w14:solidFill>
          </w14:textFill>
        </w:rPr>
        <w:t>年</w:t>
      </w:r>
      <w:r>
        <w:rPr>
          <w:rFonts w:hint="eastAsia" w:ascii="仿宋_GB2312" w:eastAsia="仿宋_GB2312"/>
          <w:color w:val="000000" w:themeColor="text1"/>
          <w:sz w:val="24"/>
          <w:szCs w:val="24"/>
          <w:highlight w:val="none"/>
          <w:lang w:val="en-US" w:eastAsia="zh-CN"/>
          <w14:textFill>
            <w14:solidFill>
              <w14:schemeClr w14:val="tx1"/>
            </w14:solidFill>
          </w14:textFill>
        </w:rPr>
        <w:t>12</w:t>
      </w:r>
      <w:r>
        <w:rPr>
          <w:rFonts w:hint="eastAsia" w:ascii="仿宋_GB2312" w:eastAsia="仿宋_GB2312"/>
          <w:color w:val="000000" w:themeColor="text1"/>
          <w:sz w:val="24"/>
          <w:szCs w:val="24"/>
          <w:highlight w:val="none"/>
          <w14:textFill>
            <w14:solidFill>
              <w14:schemeClr w14:val="tx1"/>
            </w14:solidFill>
          </w14:textFill>
        </w:rPr>
        <w:t>月)：</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P=5年份公式： q= 6364.871/（t+19.984）0.801</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其中：q—设计暴雨强度（L/s*ha）；</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t—降雨历时（min），t = t1+t2，t1为地面集水时间（min），t2为管内雨水流行时间（min）。</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b.雨水量计算公式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雨量计算式：Q=q×F×Φ</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式中：Q:雨水量（l/s）；</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Φ:径流系数，街坊内取0.6～0.7，道路路面取0.9，本工程综合取0.65；</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F:汇水面积（公顷）。</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2.设计参数</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雨水管道主要收集周边区域地块雨水，就近排放入附近雨水主干管或河涌。雨水管道设计重现期采用5年，管道流行起点汇水时间t1=10min，径流系数采用0.65。</w:t>
      </w:r>
    </w:p>
    <w:p>
      <w:pPr>
        <w:pStyle w:val="7"/>
        <w:spacing w:before="156" w:after="156"/>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.2 污水工程</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1.设计标准与参数</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污水量依据用地性质不同分别进行统计，再根据不同用地性质的用水量指标进行计算污水量。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（1）污水设计流量计算</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每一设计管段的污水设计流量包括以下几种流量：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本段流量q1—是从管段沿线流来的污水量；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转输流量q2—是从上游管段和旁侧管段流来的污水量；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集中流量q3—是从大型公共建筑物流来的污水量。</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本段流量采用下式计算：</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Q=K×q×F</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式中：Q-污水设计流量（L/s）；</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 xml:space="preserve">      K-污水总变化系数；</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 xml:space="preserve">      q-污水面积比流量（L/s*ha）；</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 xml:space="preserve">      F-汇水面积（ha）。</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（2）设计充满度污水管道设计充满度按</w:t>
      </w:r>
      <w:r>
        <w:rPr>
          <w:rFonts w:hint="eastAsia" w:ascii="仿宋_GB2312" w:eastAsia="仿宋_GB2312"/>
          <w:color w:val="000000" w:themeColor="text1"/>
          <w:sz w:val="24"/>
          <w:szCs w:val="24"/>
          <w:highlight w:val="none"/>
          <w14:textFill>
            <w14:solidFill>
              <w14:schemeClr w14:val="tx1"/>
            </w14:solidFill>
          </w14:textFill>
        </w:rPr>
        <w:t>《室外排水设计</w:t>
      </w:r>
      <w:r>
        <w:rPr>
          <w:rFonts w:hint="eastAsia" w:ascii="仿宋_GB2312" w:eastAsia="仿宋_GB2312"/>
          <w:color w:val="000000" w:themeColor="text1"/>
          <w:sz w:val="24"/>
          <w:szCs w:val="24"/>
          <w:highlight w:val="none"/>
          <w:lang w:val="en-US" w:eastAsia="zh-CN"/>
          <w14:textFill>
            <w14:solidFill>
              <w14:schemeClr w14:val="tx1"/>
            </w14:solidFill>
          </w14:textFill>
        </w:rPr>
        <w:t>标准</w:t>
      </w:r>
      <w:r>
        <w:rPr>
          <w:rFonts w:hint="eastAsia" w:ascii="仿宋_GB2312" w:eastAsia="仿宋_GB2312"/>
          <w:color w:val="000000" w:themeColor="text1"/>
          <w:sz w:val="24"/>
          <w:szCs w:val="24"/>
          <w:highlight w:val="none"/>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GB50014-2021</w:t>
      </w:r>
      <w:r>
        <w:rPr>
          <w:rFonts w:hint="eastAsia" w:ascii="仿宋_GB2312" w:eastAsia="仿宋_GB2312"/>
          <w:color w:val="000000" w:themeColor="text1"/>
          <w:sz w:val="24"/>
          <w:szCs w:val="24"/>
          <w:highlight w:val="none"/>
          <w14:textFill>
            <w14:solidFill>
              <w14:schemeClr w14:val="tx1"/>
            </w14:solidFill>
          </w14:textFill>
        </w:rPr>
        <w:t>的规定设计，按不同管径分别采用0.55~0.75。</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（3）设计流速</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污水管最小流速在设计充满度下不小于0.6m/s。</w:t>
      </w:r>
    </w:p>
    <w:p>
      <w:pPr>
        <w:pStyle w:val="7"/>
        <w:spacing w:before="156" w:after="15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4.4.3排水管径及管材选择</w:t>
      </w:r>
    </w:p>
    <w:p>
      <w:pPr>
        <w:spacing w:line="560" w:lineRule="exact"/>
        <w:ind w:firstLine="482"/>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（1）排水管径</w:t>
      </w:r>
    </w:p>
    <w:p>
      <w:pPr>
        <w:spacing w:line="560" w:lineRule="exact"/>
        <w:ind w:firstLine="482"/>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雨水：</w:t>
      </w:r>
      <w:r>
        <w:rPr>
          <w:rFonts w:hint="default" w:ascii="仿宋_GB2312" w:eastAsia="仿宋_GB2312"/>
          <w:color w:val="000000" w:themeColor="text1"/>
          <w:sz w:val="24"/>
          <w:szCs w:val="24"/>
          <w:highlight w:val="none"/>
          <w:lang w:val="en-US" w:eastAsia="zh-CN"/>
          <w14:textFill>
            <w14:solidFill>
              <w14:schemeClr w14:val="tx1"/>
            </w14:solidFill>
          </w14:textFill>
        </w:rPr>
        <w:t>公共雨水管的最小设计管径</w:t>
      </w:r>
      <w:r>
        <w:rPr>
          <w:rFonts w:hint="eastAsia" w:ascii="仿宋_GB2312" w:eastAsia="仿宋_GB2312"/>
          <w:color w:val="000000" w:themeColor="text1"/>
          <w:sz w:val="24"/>
          <w:szCs w:val="24"/>
          <w:highlight w:val="none"/>
          <w:lang w:val="en-US" w:eastAsia="zh-CN"/>
          <w14:textFill>
            <w14:solidFill>
              <w14:schemeClr w14:val="tx1"/>
            </w14:solidFill>
          </w14:textFill>
        </w:rPr>
        <w:t>不小于</w:t>
      </w:r>
      <w:r>
        <w:rPr>
          <w:rFonts w:hint="default" w:ascii="仿宋_GB2312" w:eastAsia="仿宋_GB2312"/>
          <w:color w:val="000000" w:themeColor="text1"/>
          <w:sz w:val="24"/>
          <w:szCs w:val="24"/>
          <w:highlight w:val="none"/>
          <w:lang w:val="en-US" w:eastAsia="zh-CN"/>
          <w14:textFill>
            <w14:solidFill>
              <w14:schemeClr w14:val="tx1"/>
            </w14:solidFill>
          </w14:textFill>
        </w:rPr>
        <w:t>500mm，雨水口连接管管径宜采用 300mm</w:t>
      </w:r>
      <w:r>
        <w:rPr>
          <w:rFonts w:hint="eastAsia" w:ascii="仿宋_GB2312" w:eastAsia="仿宋_GB2312"/>
          <w:color w:val="000000" w:themeColor="text1"/>
          <w:sz w:val="24"/>
          <w:szCs w:val="24"/>
          <w:highlight w:val="none"/>
          <w:lang w:val="en-US" w:eastAsia="zh-CN"/>
          <w14:textFill>
            <w14:solidFill>
              <w14:schemeClr w14:val="tx1"/>
            </w14:solidFill>
          </w14:textFill>
        </w:rPr>
        <w:t>；本项目的道路配套雨水主管管径DN600～DN2400，道路红线宽度40米以上（含 40 米）考虑在道路两侧布置雨水管。</w:t>
      </w:r>
    </w:p>
    <w:p>
      <w:pPr>
        <w:spacing w:line="560" w:lineRule="exact"/>
        <w:ind w:firstLine="482"/>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污水：</w:t>
      </w:r>
      <w:r>
        <w:rPr>
          <w:rFonts w:hint="default" w:ascii="仿宋_GB2312" w:eastAsia="仿宋_GB2312"/>
          <w:color w:val="000000" w:themeColor="text1"/>
          <w:sz w:val="24"/>
          <w:szCs w:val="24"/>
          <w:highlight w:val="none"/>
          <w:lang w:val="en-US" w:eastAsia="zh-CN"/>
          <w14:textFill>
            <w14:solidFill>
              <w14:schemeClr w14:val="tx1"/>
            </w14:solidFill>
          </w14:textFill>
        </w:rPr>
        <w:t>公共污水管（截污限流管除外）最小设计管径为500mm。</w:t>
      </w:r>
      <w:r>
        <w:rPr>
          <w:rFonts w:hint="eastAsia" w:ascii="仿宋_GB2312" w:eastAsia="仿宋_GB2312"/>
          <w:color w:val="000000" w:themeColor="text1"/>
          <w:sz w:val="24"/>
          <w:szCs w:val="24"/>
          <w:highlight w:val="none"/>
          <w:lang w:val="en-US" w:eastAsia="zh-CN"/>
          <w14:textFill>
            <w14:solidFill>
              <w14:schemeClr w14:val="tx1"/>
            </w14:solidFill>
          </w14:textFill>
        </w:rPr>
        <w:t>本项目的道路配套污水主管管径DN500～DN600，道路红线宽度40米以上（含 40 米）考虑在道路两侧布置污水管。</w:t>
      </w:r>
    </w:p>
    <w:p>
      <w:pPr>
        <w:spacing w:line="560" w:lineRule="exact"/>
        <w:ind w:firstLine="482"/>
        <w:rPr>
          <w:rFonts w:hint="default"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（2）排水管材选择</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雨水管道：采用II级钢筋混凝土</w:t>
      </w:r>
      <w:r>
        <w:rPr>
          <w:rFonts w:hint="eastAsia" w:ascii="仿宋_GB2312" w:eastAsia="仿宋_GB2312"/>
          <w:color w:val="000000" w:themeColor="text1"/>
          <w:sz w:val="24"/>
          <w:szCs w:val="24"/>
          <w:highlight w:val="none"/>
          <w:lang w:val="en-US" w:eastAsia="zh-CN"/>
          <w14:textFill>
            <w14:solidFill>
              <w14:schemeClr w14:val="tx1"/>
            </w14:solidFill>
          </w14:textFill>
        </w:rPr>
        <w:t>承插</w:t>
      </w:r>
      <w:r>
        <w:rPr>
          <w:rFonts w:hint="eastAsia" w:ascii="仿宋_GB2312" w:eastAsia="仿宋_GB2312"/>
          <w:color w:val="000000" w:themeColor="text1"/>
          <w:sz w:val="24"/>
          <w:szCs w:val="24"/>
          <w:highlight w:val="none"/>
          <w14:textFill>
            <w14:solidFill>
              <w14:schemeClr w14:val="tx1"/>
            </w14:solidFill>
          </w14:textFill>
        </w:rPr>
        <w:t>圆管；</w:t>
      </w:r>
    </w:p>
    <w:p>
      <w:pPr>
        <w:spacing w:line="560" w:lineRule="exact"/>
        <w:ind w:firstLine="482"/>
        <w:rPr>
          <w:rFonts w:hint="eastAsia" w:ascii="仿宋_GB2312" w:eastAsia="仿宋_GB2312"/>
          <w:color w:val="000000" w:themeColor="text1"/>
          <w:sz w:val="24"/>
          <w:szCs w:val="24"/>
          <w:highlight w:val="none"/>
          <w:lang w:eastAsia="zh-CN"/>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污水管道：采用球墨铸铁管</w:t>
      </w:r>
      <w:r>
        <w:rPr>
          <w:rFonts w:hint="eastAsia" w:ascii="仿宋_GB2312" w:eastAsia="仿宋_GB2312"/>
          <w:color w:val="000000" w:themeColor="text1"/>
          <w:sz w:val="24"/>
          <w:szCs w:val="24"/>
          <w:highlight w:val="none"/>
          <w:lang w:eastAsia="zh-CN"/>
          <w14:textFill>
            <w14:solidFill>
              <w14:schemeClr w14:val="tx1"/>
            </w14:solidFill>
          </w14:textFill>
        </w:rPr>
        <w:t>。</w:t>
      </w:r>
    </w:p>
    <w:p>
      <w:pPr>
        <w:pStyle w:val="7"/>
        <w:spacing w:before="156" w:after="156"/>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4.4.4接口及管道基础</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（1）接口</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 w:firstLineChars="200"/>
        <w:textAlignment w:val="auto"/>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d≤1200采用承插式接头，d≥1350采用企口式接头，II级钢筋混凝土承插圆管采用O型橡胶圈承插连接。</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（2）沟槽回填</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从基底基础部位到管顶以上0.5m范围内对称回填，回填土压实度要求详见《给水排水管道工程施工及验收规范》（GB50268-2008）</w:t>
      </w:r>
      <w:r>
        <w:rPr>
          <w:rFonts w:hint="eastAsia" w:ascii="仿宋_GB2312" w:eastAsia="仿宋_GB2312"/>
          <w:color w:val="000000" w:themeColor="text1"/>
          <w:sz w:val="24"/>
          <w:szCs w:val="24"/>
          <w:highlight w:val="none"/>
          <w:lang w:eastAsia="zh-CN"/>
          <w14:textFill>
            <w14:solidFill>
              <w14:schemeClr w14:val="tx1"/>
            </w14:solidFill>
          </w14:textFill>
        </w:rPr>
        <w:t>。</w:t>
      </w:r>
    </w:p>
    <w:p>
      <w:pPr>
        <w:pStyle w:val="6"/>
        <w:spacing w:before="312" w:after="312"/>
        <w:rPr>
          <w:rFonts w:hint="eastAsia"/>
          <w:color w:val="000000" w:themeColor="text1"/>
          <w:highlight w:val="none"/>
          <w14:textFill>
            <w14:solidFill>
              <w14:schemeClr w14:val="tx1"/>
            </w14:solidFill>
          </w14:textFill>
        </w:rPr>
      </w:pPr>
      <w:bookmarkStart w:id="54" w:name="_Toc6661"/>
      <w:r>
        <w:rPr>
          <w:rFonts w:hint="eastAsia"/>
          <w:color w:val="000000" w:themeColor="text1"/>
          <w:highlight w:val="none"/>
          <w14:textFill>
            <w14:solidFill>
              <w14:schemeClr w14:val="tx1"/>
            </w14:solidFill>
          </w14:textFill>
        </w:rPr>
        <w:t xml:space="preserve">4.5 </w:t>
      </w:r>
      <w:r>
        <w:rPr>
          <w:rFonts w:hint="eastAsia"/>
          <w:color w:val="000000" w:themeColor="text1"/>
          <w:highlight w:val="none"/>
          <w:lang w:val="en-US" w:eastAsia="zh-CN"/>
          <w14:textFill>
            <w14:solidFill>
              <w14:schemeClr w14:val="tx1"/>
            </w14:solidFill>
          </w14:textFill>
        </w:rPr>
        <w:t>给水</w:t>
      </w:r>
      <w:r>
        <w:rPr>
          <w:rFonts w:hint="eastAsia"/>
          <w:color w:val="000000" w:themeColor="text1"/>
          <w:highlight w:val="none"/>
          <w14:textFill>
            <w14:solidFill>
              <w14:schemeClr w14:val="tx1"/>
            </w14:solidFill>
          </w14:textFill>
        </w:rPr>
        <w:t>工程</w:t>
      </w:r>
      <w:bookmarkEnd w:id="54"/>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4.5.1</w:t>
      </w:r>
      <w:r>
        <w:rPr>
          <w:color w:val="000000" w:themeColor="text1"/>
          <w:highlight w:val="none"/>
          <w14:textFill>
            <w14:solidFill>
              <w14:schemeClr w14:val="tx1"/>
            </w14:solidFill>
          </w14:textFill>
        </w:rPr>
        <w:t>设计规范及依据</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《城市给水工程规划规范》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GB50282-2016</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《室外给水设计标准》（GB50014-2018）</w:t>
      </w:r>
      <w:r>
        <w:rPr>
          <w:color w:val="000000" w:themeColor="text1"/>
          <w:highlight w:val="none"/>
          <w14:textFill>
            <w14:solidFill>
              <w14:schemeClr w14:val="tx1"/>
            </w14:solidFill>
          </w14:textFill>
        </w:rPr>
        <w:t>；</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《城镇供水长距离输水管(渠)道工程技术规程》（CECS193：2005）</w:t>
      </w:r>
      <w:r>
        <w:rPr>
          <w:color w:val="000000" w:themeColor="text1"/>
          <w:highlight w:val="none"/>
          <w14:textFill>
            <w14:solidFill>
              <w14:schemeClr w14:val="tx1"/>
            </w14:solidFill>
          </w14:textFill>
        </w:rPr>
        <w:t>；</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《城市综合管廊工程技术规范》（GB50838-2015）</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《给水排水管道工程施工及验收规范》（GB50268-2008）</w:t>
      </w:r>
      <w:r>
        <w:rPr>
          <w:color w:val="000000" w:themeColor="text1"/>
          <w:highlight w:val="none"/>
          <w14:textFill>
            <w14:solidFill>
              <w14:schemeClr w14:val="tx1"/>
            </w14:solidFill>
          </w14:textFill>
        </w:rPr>
        <w:t>；</w:t>
      </w:r>
    </w:p>
    <w:p>
      <w:pPr>
        <w:pStyle w:val="40"/>
        <w:ind w:left="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4.5.2</w:t>
      </w:r>
      <w:r>
        <w:rPr>
          <w:rFonts w:hint="eastAsia"/>
          <w:color w:val="000000" w:themeColor="text1"/>
          <w:highlight w:val="none"/>
          <w:lang w:val="en-US" w:eastAsia="zh-CN"/>
          <w14:textFill>
            <w14:solidFill>
              <w14:schemeClr w14:val="tx1"/>
            </w14:solidFill>
          </w14:textFill>
        </w:rPr>
        <w:t>给水管</w:t>
      </w:r>
      <w:r>
        <w:rPr>
          <w:rFonts w:hint="eastAsia"/>
          <w:color w:val="000000" w:themeColor="text1"/>
          <w:highlight w:val="none"/>
          <w14:textFill>
            <w14:solidFill>
              <w14:schemeClr w14:val="tx1"/>
            </w14:solidFill>
          </w14:textFill>
        </w:rPr>
        <w:t>设置</w:t>
      </w:r>
    </w:p>
    <w:p>
      <w:pPr>
        <w:spacing w:line="560" w:lineRule="exact"/>
        <w:ind w:firstLine="482"/>
        <w:rPr>
          <w:rFonts w:hint="default"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应考虑近、远期的衔接关系，并为远景发展留有适当的余地。</w:t>
      </w:r>
    </w:p>
    <w:p>
      <w:pPr>
        <w:pStyle w:val="2"/>
        <w:numPr>
          <w:ilvl w:val="0"/>
          <w:numId w:val="10"/>
        </w:numPr>
        <w:ind w:firstLine="480" w:firstLineChars="200"/>
        <w:rPr>
          <w:rFonts w:hint="eastAsia" w:ascii="仿宋_GB2312" w:eastAsia="仿宋_GB2312" w:hAnsiTheme="minorHAnsi"/>
          <w:color w:val="000000" w:themeColor="text1"/>
          <w:sz w:val="24"/>
          <w:szCs w:val="24"/>
          <w:highlight w:val="none"/>
          <w:lang w:val="en-US" w:eastAsia="zh-CN"/>
          <w14:textFill>
            <w14:solidFill>
              <w14:schemeClr w14:val="tx1"/>
            </w14:solidFill>
          </w14:textFill>
        </w:rPr>
      </w:pPr>
      <w:r>
        <w:rPr>
          <w:rFonts w:hint="eastAsia" w:ascii="仿宋_GB2312" w:eastAsia="仿宋_GB2312" w:hAnsiTheme="minorHAnsi"/>
          <w:color w:val="000000" w:themeColor="text1"/>
          <w:sz w:val="24"/>
          <w:szCs w:val="24"/>
          <w:highlight w:val="none"/>
          <w:lang w:val="en-US" w:eastAsia="zh-CN"/>
          <w14:textFill>
            <w14:solidFill>
              <w14:schemeClr w14:val="tx1"/>
            </w14:solidFill>
          </w14:textFill>
        </w:rPr>
        <w:t>管径</w:t>
      </w:r>
    </w:p>
    <w:p>
      <w:pPr>
        <w:spacing w:line="560" w:lineRule="exact"/>
        <w:ind w:firstLine="482"/>
        <w:rPr>
          <w:rFonts w:hint="eastAsia" w:ascii="仿宋_GB2312" w:eastAsia="仿宋_GB2312" w:hAnsiTheme="minorHAnsi"/>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本项目的道路配套给水主管管径DN200～DN400，</w:t>
      </w:r>
      <w:r>
        <w:rPr>
          <w:rFonts w:hint="eastAsia" w:ascii="仿宋_GB2312" w:eastAsia="仿宋_GB2312"/>
          <w:color w:val="000000" w:themeColor="text1"/>
          <w:sz w:val="24"/>
          <w:szCs w:val="24"/>
          <w:highlight w:val="none"/>
          <w14:textFill>
            <w14:solidFill>
              <w14:schemeClr w14:val="tx1"/>
            </w14:solidFill>
          </w14:textFill>
        </w:rPr>
        <w:t>红线宽度40米以上（含 40 米）道路</w:t>
      </w:r>
      <w:r>
        <w:rPr>
          <w:rFonts w:hint="eastAsia" w:ascii="仿宋_GB2312" w:eastAsia="仿宋_GB2312"/>
          <w:color w:val="000000" w:themeColor="text1"/>
          <w:sz w:val="24"/>
          <w:szCs w:val="24"/>
          <w:highlight w:val="none"/>
          <w:lang w:val="en-US" w:eastAsia="zh-CN"/>
          <w14:textFill>
            <w14:solidFill>
              <w14:schemeClr w14:val="tx1"/>
            </w14:solidFill>
          </w14:textFill>
        </w:rPr>
        <w:t>考虑在</w:t>
      </w:r>
      <w:r>
        <w:rPr>
          <w:rFonts w:hint="eastAsia" w:ascii="仿宋_GB2312" w:eastAsia="仿宋_GB2312"/>
          <w:color w:val="000000" w:themeColor="text1"/>
          <w:sz w:val="24"/>
          <w:szCs w:val="24"/>
          <w:highlight w:val="none"/>
          <w14:textFill>
            <w14:solidFill>
              <w14:schemeClr w14:val="tx1"/>
            </w14:solidFill>
          </w14:textFill>
        </w:rPr>
        <w:t>两侧布置</w:t>
      </w:r>
      <w:r>
        <w:rPr>
          <w:rFonts w:hint="eastAsia" w:ascii="仿宋_GB2312" w:eastAsia="仿宋_GB2312"/>
          <w:color w:val="000000" w:themeColor="text1"/>
          <w:sz w:val="24"/>
          <w:szCs w:val="24"/>
          <w:highlight w:val="none"/>
          <w:lang w:val="en-US" w:eastAsia="zh-CN"/>
          <w14:textFill>
            <w14:solidFill>
              <w14:schemeClr w14:val="tx1"/>
            </w14:solidFill>
          </w14:textFill>
        </w:rPr>
        <w:t>给</w:t>
      </w:r>
      <w:r>
        <w:rPr>
          <w:rFonts w:hint="eastAsia" w:ascii="仿宋_GB2312" w:eastAsia="仿宋_GB2312"/>
          <w:color w:val="000000" w:themeColor="text1"/>
          <w:sz w:val="24"/>
          <w:szCs w:val="24"/>
          <w:highlight w:val="none"/>
          <w14:textFill>
            <w14:solidFill>
              <w14:schemeClr w14:val="tx1"/>
            </w14:solidFill>
          </w14:textFill>
        </w:rPr>
        <w:t>水管线</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且尽量</w:t>
      </w:r>
      <w:r>
        <w:rPr>
          <w:rFonts w:hint="eastAsia" w:ascii="仿宋_GB2312" w:eastAsia="仿宋_GB2312"/>
          <w:color w:val="000000" w:themeColor="text1"/>
          <w:sz w:val="24"/>
          <w:szCs w:val="24"/>
          <w:highlight w:val="none"/>
          <w14:textFill>
            <w14:solidFill>
              <w14:schemeClr w14:val="tx1"/>
            </w14:solidFill>
          </w14:textFill>
        </w:rPr>
        <w:t>敷设在道路东南侧。</w:t>
      </w:r>
    </w:p>
    <w:p>
      <w:pPr>
        <w:pStyle w:val="2"/>
        <w:numPr>
          <w:ilvl w:val="0"/>
          <w:numId w:val="10"/>
        </w:numPr>
        <w:ind w:firstLine="480" w:firstLineChars="200"/>
        <w:rPr>
          <w:rFonts w:hint="eastAsia" w:ascii="仿宋_GB2312" w:eastAsia="仿宋_GB2312" w:hAnsiTheme="minorHAnsi"/>
          <w:color w:val="000000" w:themeColor="text1"/>
          <w:sz w:val="24"/>
          <w:szCs w:val="24"/>
          <w:highlight w:val="none"/>
          <w:lang w:val="en-US" w:eastAsia="zh-CN"/>
          <w14:textFill>
            <w14:solidFill>
              <w14:schemeClr w14:val="tx1"/>
            </w14:solidFill>
          </w14:textFill>
        </w:rPr>
      </w:pPr>
      <w:r>
        <w:rPr>
          <w:rFonts w:hint="eastAsia" w:ascii="仿宋_GB2312" w:eastAsia="仿宋_GB2312" w:hAnsiTheme="minorHAnsi"/>
          <w:color w:val="000000" w:themeColor="text1"/>
          <w:sz w:val="24"/>
          <w:szCs w:val="24"/>
          <w:highlight w:val="none"/>
          <w:lang w:val="en-US" w:eastAsia="zh-CN"/>
          <w14:textFill>
            <w14:solidFill>
              <w14:schemeClr w14:val="tx1"/>
            </w14:solidFill>
          </w14:textFill>
        </w:rPr>
        <w:t>给水管材及接口</w:t>
      </w:r>
    </w:p>
    <w:p>
      <w:pPr>
        <w:spacing w:line="560" w:lineRule="exact"/>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优先采用</w:t>
      </w:r>
      <w:r>
        <w:rPr>
          <w:rFonts w:hint="eastAsia" w:ascii="仿宋_GB2312" w:eastAsia="仿宋_GB2312"/>
          <w:color w:val="000000" w:themeColor="text1"/>
          <w:sz w:val="24"/>
          <w:szCs w:val="24"/>
          <w:highlight w:val="none"/>
          <w14:textFill>
            <w14:solidFill>
              <w14:schemeClr w14:val="tx1"/>
            </w14:solidFill>
          </w14:textFill>
        </w:rPr>
        <w:t>K9级球墨铸铁管，内衬水泥砂浆，管道连接采用 T 型滑入式橡胶圈接口</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lang w:val="en-US" w:eastAsia="zh-CN"/>
          <w14:textFill>
            <w14:solidFill>
              <w14:schemeClr w14:val="tx1"/>
            </w14:solidFill>
          </w14:textFill>
        </w:rPr>
        <w:t>若采用钢管</w:t>
      </w:r>
      <w:r>
        <w:rPr>
          <w:rFonts w:hint="eastAsia" w:ascii="仿宋_GB2312" w:eastAsia="仿宋_GB2312"/>
          <w:color w:val="000000" w:themeColor="text1"/>
          <w:sz w:val="24"/>
          <w:szCs w:val="24"/>
          <w:highlight w:val="none"/>
          <w14:textFill>
            <w14:solidFill>
              <w14:schemeClr w14:val="tx1"/>
            </w14:solidFill>
          </w14:textFill>
        </w:rPr>
        <w:t>，应做好除锈及防腐工作</w:t>
      </w:r>
      <w:r>
        <w:rPr>
          <w:rFonts w:hint="eastAsia" w:ascii="仿宋_GB2312" w:eastAsia="仿宋_GB2312"/>
          <w:color w:val="000000" w:themeColor="text1"/>
          <w:sz w:val="24"/>
          <w:szCs w:val="24"/>
          <w:highlight w:val="none"/>
          <w:lang w:eastAsia="zh-CN"/>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钢管与球墨铸铁管连接处采用法兰连接。</w:t>
      </w:r>
    </w:p>
    <w:p>
      <w:pPr>
        <w:spacing w:line="560" w:lineRule="exact"/>
        <w:ind w:firstLine="482"/>
        <w:rPr>
          <w:rFonts w:hint="eastAsia" w:ascii="仿宋_GB2312" w:eastAsia="仿宋_GB2312"/>
          <w:color w:val="000000" w:themeColor="text1"/>
          <w:sz w:val="24"/>
          <w:szCs w:val="24"/>
          <w:highlight w:val="none"/>
          <w:lang w:val="en-US" w:eastAsia="zh-CN"/>
          <w14:textFill>
            <w14:solidFill>
              <w14:schemeClr w14:val="tx1"/>
            </w14:solidFill>
          </w14:textFill>
        </w:rPr>
      </w:pPr>
      <w:r>
        <w:rPr>
          <w:rFonts w:hint="eastAsia" w:ascii="仿宋_GB2312" w:eastAsia="仿宋_GB2312"/>
          <w:color w:val="000000" w:themeColor="text1"/>
          <w:sz w:val="24"/>
          <w:szCs w:val="24"/>
          <w:highlight w:val="none"/>
          <w:lang w:val="en-US" w:eastAsia="zh-CN"/>
          <w14:textFill>
            <w14:solidFill>
              <w14:schemeClr w14:val="tx1"/>
            </w14:solidFill>
          </w14:textFill>
        </w:rPr>
        <w:t>（2）沟槽回填</w:t>
      </w:r>
    </w:p>
    <w:p>
      <w:pPr>
        <w:spacing w:line="560" w:lineRule="exact"/>
        <w:ind w:firstLine="482"/>
        <w:rPr>
          <w:rFonts w:hint="eastAsia" w:ascii="仿宋_GB2312" w:eastAsia="仿宋_GB2312"/>
          <w:b w:val="0"/>
          <w:bCs w:val="0"/>
          <w:color w:val="000000" w:themeColor="text1"/>
          <w:sz w:val="24"/>
          <w:szCs w:val="24"/>
          <w:highlight w:val="none"/>
          <w14:textFill>
            <w14:solidFill>
              <w14:schemeClr w14:val="tx1"/>
            </w14:solidFill>
          </w14:textFill>
        </w:rPr>
      </w:pPr>
      <w:r>
        <w:rPr>
          <w:rFonts w:hint="eastAsia" w:ascii="仿宋_GB2312" w:eastAsia="仿宋_GB2312"/>
          <w:b w:val="0"/>
          <w:bCs w:val="0"/>
          <w:color w:val="000000" w:themeColor="text1"/>
          <w:sz w:val="24"/>
          <w:szCs w:val="24"/>
          <w:highlight w:val="none"/>
          <w14:textFill>
            <w14:solidFill>
              <w14:schemeClr w14:val="tx1"/>
            </w14:solidFill>
          </w14:textFill>
        </w:rPr>
        <w:t>从基底基础部位到管顶以上0.5m范围内对称回填，回填土压实度要求详见《给水排水管道工程施工及验收规范》（GB50268-2008）</w:t>
      </w:r>
      <w:r>
        <w:rPr>
          <w:rFonts w:hint="eastAsia" w:ascii="仿宋_GB2312" w:eastAsia="仿宋_GB2312"/>
          <w:b w:val="0"/>
          <w:bCs w:val="0"/>
          <w:color w:val="000000" w:themeColor="text1"/>
          <w:sz w:val="24"/>
          <w:szCs w:val="24"/>
          <w:highlight w:val="none"/>
          <w:lang w:eastAsia="zh-CN"/>
          <w14:textFill>
            <w14:solidFill>
              <w14:schemeClr w14:val="tx1"/>
            </w14:solidFill>
          </w14:textFill>
        </w:rPr>
        <w:t>。</w:t>
      </w:r>
    </w:p>
    <w:p>
      <w:pPr>
        <w:pStyle w:val="6"/>
        <w:spacing w:before="312" w:after="312"/>
        <w:rPr>
          <w:color w:val="000000" w:themeColor="text1"/>
          <w:highlight w:val="none"/>
          <w14:textFill>
            <w14:solidFill>
              <w14:schemeClr w14:val="tx1"/>
            </w14:solidFill>
          </w14:textFill>
        </w:rPr>
      </w:pPr>
      <w:bookmarkStart w:id="55" w:name="_Toc20956"/>
      <w:bookmarkStart w:id="56" w:name="_Toc30048"/>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 xml:space="preserve"> 电力管沟工程</w:t>
      </w:r>
      <w:bookmarkEnd w:id="52"/>
      <w:bookmarkEnd w:id="55"/>
      <w:bookmarkEnd w:id="56"/>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设计规范及依据</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《广州南沙新区庆盛枢纽区块控规深化及城市设计》</w:t>
      </w:r>
      <w:r>
        <w:rPr>
          <w:color w:val="000000" w:themeColor="text1"/>
          <w:highlight w:val="none"/>
          <w14:textFill>
            <w14:solidFill>
              <w14:schemeClr w14:val="tx1"/>
            </w14:solidFill>
          </w14:textFill>
        </w:rPr>
        <w:t>；</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《城市电力规划规范》（GBT50293-2014）；</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《城市工程管线综合规划规范》（GB50289-2016）；</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《城市综合管廊工程技术规范》（GB50838-2015）</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《供配电系统设计规范》（GB50052-2009）；</w:t>
      </w:r>
    </w:p>
    <w:p>
      <w:pPr>
        <w:pStyle w:val="42"/>
        <w:numPr>
          <w:ilvl w:val="0"/>
          <w:numId w:val="9"/>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《电力工程电缆设计标准》（GB50217-2018）；</w:t>
      </w:r>
    </w:p>
    <w:p>
      <w:pPr>
        <w:pStyle w:val="40"/>
        <w:ind w:left="482" w:firstLine="0"/>
        <w:rPr>
          <w:rFonts w:hint="eastAsia"/>
          <w:b/>
          <w:bCs w:val="0"/>
          <w:color w:val="000000" w:themeColor="text1"/>
          <w:highlight w:val="none"/>
          <w14:textFill>
            <w14:solidFill>
              <w14:schemeClr w14:val="tx1"/>
            </w14:solidFill>
          </w14:textFill>
        </w:rPr>
      </w:pPr>
      <w:r>
        <w:rPr>
          <w:rFonts w:hint="eastAsia"/>
          <w:b/>
          <w:color w:val="000000" w:themeColor="text1"/>
          <w:highlight w:val="none"/>
          <w14:textFill>
            <w14:solidFill>
              <w14:schemeClr w14:val="tx1"/>
            </w14:solidFill>
          </w14:textFill>
        </w:rPr>
        <w:t>4.</w:t>
      </w:r>
      <w:r>
        <w:rPr>
          <w:rFonts w:hint="eastAsia"/>
          <w:b/>
          <w:color w:val="000000" w:themeColor="text1"/>
          <w:highlight w:val="none"/>
          <w:lang w:eastAsia="zh-CN"/>
          <w14:textFill>
            <w14:solidFill>
              <w14:schemeClr w14:val="tx1"/>
            </w14:solidFill>
          </w14:textFill>
        </w:rPr>
        <w:t>6</w:t>
      </w:r>
      <w:r>
        <w:rPr>
          <w:rFonts w:hint="eastAsia"/>
          <w:b/>
          <w:color w:val="000000" w:themeColor="text1"/>
          <w:highlight w:val="none"/>
          <w14:textFill>
            <w14:solidFill>
              <w14:schemeClr w14:val="tx1"/>
            </w14:solidFill>
          </w14:textFill>
        </w:rPr>
        <w:t>.2</w:t>
      </w:r>
      <w:r>
        <w:rPr>
          <w:rFonts w:hint="eastAsia"/>
          <w:b/>
          <w:bCs w:val="0"/>
          <w:color w:val="000000" w:themeColor="text1"/>
          <w:highlight w:val="none"/>
          <w14:textFill>
            <w14:solidFill>
              <w14:schemeClr w14:val="tx1"/>
            </w14:solidFill>
          </w14:textFill>
        </w:rPr>
        <w:t>电力管沟的设置</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电力管沟工程及其他地下管线统一安排，通道的宽度、深度应考虑远期发展的要求，与市政建设协调建设综合通道，一次性完成电力管沟工程，电力电缆分期敷设。电力管沟的建设须满足方便施工，运行维护的需要，并避免道路多次重复开挖。</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（2）根据当地供电部门要求，电力管沟采用沉底电缆坑形式，统一敷设在道路东南侧。</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（3）电缆与电缆或管道、道路、构造物等相互间容许最小距离应符合规范《城市工程管线综合规划规范》GB 50289-2016 中表 4.1.9 的规定。</w:t>
      </w:r>
    </w:p>
    <w:p>
      <w:pPr>
        <w:pStyle w:val="6"/>
        <w:spacing w:before="312" w:after="312"/>
        <w:rPr>
          <w:color w:val="000000" w:themeColor="text1"/>
          <w:highlight w:val="none"/>
          <w14:textFill>
            <w14:solidFill>
              <w14:schemeClr w14:val="tx1"/>
            </w14:solidFill>
          </w14:textFill>
        </w:rPr>
      </w:pPr>
      <w:bookmarkStart w:id="57" w:name="_Toc32075"/>
      <w:bookmarkStart w:id="58" w:name="_Toc1004"/>
      <w:bookmarkStart w:id="59" w:name="_Toc57110163"/>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交通工程</w:t>
      </w:r>
      <w:bookmarkEnd w:id="57"/>
      <w:bookmarkEnd w:id="58"/>
      <w:bookmarkEnd w:id="59"/>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.1设计规范及依据</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《道路交通标志和标线》（GB5768-2009）</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《城市道路交通设施设计规范》（GB50688-2011）</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《道路交通标志板及支撑件》（GB/T23827-2009）</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《路面标线涂料》（JT/T280-2004）</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《道路交通信号灯》（GB14887-2011）</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《公路交通标志反光膜》（GB/T18833-2012）</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《城市道路交叉口设计规程》（CJJ152-2010）</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《无障碍设计规范》（GB50763-2012）</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《中华人民共和国道路交通安全法》</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《电力工程电缆设计规范》（GB50217-2007）</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《闯红灯自动记录系统通用技术条件》（GA/T496-2009）</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《公路车辆智能监测记录系统通用技术条件》（GA/T497-2009）</w:t>
      </w:r>
    </w:p>
    <w:p>
      <w:pPr>
        <w:numPr>
          <w:ilvl w:val="0"/>
          <w:numId w:val="11"/>
        </w:numPr>
        <w:spacing w:line="560" w:lineRule="exact"/>
        <w:ind w:firstLine="480" w:firstLineChars="200"/>
        <w:jc w:val="left"/>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《道路交通诱导可变标志》（GAT484-2004LED）</w:t>
      </w:r>
    </w:p>
    <w:p>
      <w:pPr>
        <w:spacing w:line="560" w:lineRule="exact"/>
        <w:ind w:firstLine="480"/>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14）其它相关设计规范</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交通标线设计</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交通标线是交通管理设施，起引导交通和保障交通安全的作用，具有强制性、服务性和诱导性。交通标线是由施划或安装于道路上的各种线条、导向箭头、文字、图案及立面标记、实体标记、凸起路标和轮廓标等所构成的交通设施。</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1）同向车行道分界线：</w:t>
      </w:r>
      <w:r>
        <w:rPr>
          <w:rFonts w:hint="eastAsia" w:ascii="仿宋_GB2312" w:eastAsia="仿宋_GB2312"/>
          <w:color w:val="000000" w:themeColor="text1"/>
          <w:sz w:val="24"/>
          <w:szCs w:val="24"/>
          <w:highlight w:val="none"/>
          <w14:textFill>
            <w14:solidFill>
              <w14:schemeClr w14:val="tx1"/>
            </w14:solidFill>
          </w14:textFill>
        </w:rPr>
        <w:t>主</w:t>
      </w:r>
      <w:r>
        <w:rPr>
          <w:rFonts w:ascii="仿宋_GB2312" w:eastAsia="仿宋_GB2312"/>
          <w:color w:val="000000" w:themeColor="text1"/>
          <w:sz w:val="24"/>
          <w:szCs w:val="24"/>
          <w:highlight w:val="none"/>
          <w14:textFill>
            <w14:solidFill>
              <w14:schemeClr w14:val="tx1"/>
            </w14:solidFill>
          </w14:textFill>
        </w:rPr>
        <w:t>干道分车道线采用2×4虚线，线宽1</w:t>
      </w:r>
      <w:r>
        <w:rPr>
          <w:rFonts w:hint="eastAsia" w:ascii="仿宋_GB2312" w:eastAsia="仿宋_GB2312"/>
          <w:color w:val="000000" w:themeColor="text1"/>
          <w:sz w:val="24"/>
          <w:szCs w:val="24"/>
          <w:highlight w:val="none"/>
          <w14:textFill>
            <w14:solidFill>
              <w14:schemeClr w14:val="tx1"/>
            </w14:solidFill>
          </w14:textFill>
        </w:rPr>
        <w:t>0</w:t>
      </w:r>
      <w:r>
        <w:rPr>
          <w:rFonts w:ascii="仿宋_GB2312" w:eastAsia="仿宋_GB2312"/>
          <w:color w:val="000000" w:themeColor="text1"/>
          <w:sz w:val="24"/>
          <w:szCs w:val="24"/>
          <w:highlight w:val="none"/>
          <w14:textFill>
            <w14:solidFill>
              <w14:schemeClr w14:val="tx1"/>
            </w14:solidFill>
          </w14:textFill>
        </w:rPr>
        <w:t>cm；交通标线的虚线间隔长度：交通标线中的实线段与间隔长度的比例同车速有直接关系，为了达到最佳效果，即闪现率达到2.5～3次/秒。</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2）路侧禁止停车线：黄色实线，线宽1</w:t>
      </w:r>
      <w:r>
        <w:rPr>
          <w:rFonts w:hint="eastAsia" w:ascii="仿宋_GB2312" w:eastAsia="仿宋_GB2312"/>
          <w:color w:val="000000" w:themeColor="text1"/>
          <w:sz w:val="24"/>
          <w:szCs w:val="24"/>
          <w:highlight w:val="none"/>
          <w14:textFill>
            <w14:solidFill>
              <w14:schemeClr w14:val="tx1"/>
            </w14:solidFill>
          </w14:textFill>
        </w:rPr>
        <w:t>0</w:t>
      </w:r>
      <w:r>
        <w:rPr>
          <w:rFonts w:ascii="仿宋_GB2312" w:eastAsia="仿宋_GB2312"/>
          <w:color w:val="000000" w:themeColor="text1"/>
          <w:sz w:val="24"/>
          <w:szCs w:val="24"/>
          <w:highlight w:val="none"/>
          <w14:textFill>
            <w14:solidFill>
              <w14:schemeClr w14:val="tx1"/>
            </w14:solidFill>
          </w14:textFill>
        </w:rPr>
        <w:t>cm；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3）车行道边缘线：</w:t>
      </w:r>
      <w:r>
        <w:rPr>
          <w:rFonts w:hint="eastAsia" w:ascii="仿宋_GB2312" w:eastAsia="仿宋_GB2312"/>
          <w:color w:val="000000" w:themeColor="text1"/>
          <w:sz w:val="24"/>
          <w:szCs w:val="24"/>
          <w:highlight w:val="none"/>
          <w14:textFill>
            <w14:solidFill>
              <w14:schemeClr w14:val="tx1"/>
            </w14:solidFill>
          </w14:textFill>
        </w:rPr>
        <w:t>黄</w:t>
      </w:r>
      <w:r>
        <w:rPr>
          <w:rFonts w:ascii="仿宋_GB2312" w:eastAsia="仿宋_GB2312"/>
          <w:color w:val="000000" w:themeColor="text1"/>
          <w:sz w:val="24"/>
          <w:szCs w:val="24"/>
          <w:highlight w:val="none"/>
          <w14:textFill>
            <w14:solidFill>
              <w14:schemeClr w14:val="tx1"/>
            </w14:solidFill>
          </w14:textFill>
        </w:rPr>
        <w:t>色实线，线宽1</w:t>
      </w:r>
      <w:r>
        <w:rPr>
          <w:rFonts w:hint="eastAsia" w:ascii="仿宋_GB2312" w:eastAsia="仿宋_GB2312"/>
          <w:color w:val="000000" w:themeColor="text1"/>
          <w:sz w:val="24"/>
          <w:szCs w:val="24"/>
          <w:highlight w:val="none"/>
          <w14:textFill>
            <w14:solidFill>
              <w14:schemeClr w14:val="tx1"/>
            </w14:solidFill>
          </w14:textFill>
        </w:rPr>
        <w:t>0</w:t>
      </w:r>
      <w:r>
        <w:rPr>
          <w:rFonts w:ascii="仿宋_GB2312" w:eastAsia="仿宋_GB2312"/>
          <w:color w:val="000000" w:themeColor="text1"/>
          <w:sz w:val="24"/>
          <w:szCs w:val="24"/>
          <w:highlight w:val="none"/>
          <w14:textFill>
            <w14:solidFill>
              <w14:schemeClr w14:val="tx1"/>
            </w14:solidFill>
          </w14:textFill>
        </w:rPr>
        <w:t>cm；</w:t>
      </w:r>
      <w:r>
        <w:rPr>
          <w:rFonts w:ascii="仿宋_GB2312" w:eastAsia="仿宋_GB2312"/>
          <w:color w:val="000000" w:themeColor="text1"/>
          <w:sz w:val="24"/>
          <w:szCs w:val="24"/>
          <w:highlight w:val="none"/>
          <w14:textFill>
            <w14:solidFill>
              <w14:schemeClr w14:val="tx1"/>
            </w14:solidFill>
          </w14:textFill>
        </w:rPr>
        <w:tab/>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4）停止线、人行横道线：白色实线，线宽40cm；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5）路口导向线：黄色2×2虚线，线宽1</w:t>
      </w:r>
      <w:r>
        <w:rPr>
          <w:rFonts w:hint="eastAsia" w:ascii="仿宋_GB2312" w:eastAsia="仿宋_GB2312"/>
          <w:color w:val="000000" w:themeColor="text1"/>
          <w:sz w:val="24"/>
          <w:szCs w:val="24"/>
          <w:highlight w:val="none"/>
          <w14:textFill>
            <w14:solidFill>
              <w14:schemeClr w14:val="tx1"/>
            </w14:solidFill>
          </w14:textFill>
        </w:rPr>
        <w:t>0</w:t>
      </w:r>
      <w:r>
        <w:rPr>
          <w:rFonts w:ascii="仿宋_GB2312" w:eastAsia="仿宋_GB2312"/>
          <w:color w:val="000000" w:themeColor="text1"/>
          <w:sz w:val="24"/>
          <w:szCs w:val="24"/>
          <w:highlight w:val="none"/>
          <w14:textFill>
            <w14:solidFill>
              <w14:schemeClr w14:val="tx1"/>
            </w14:solidFill>
          </w14:textFill>
        </w:rPr>
        <w:t>cm；</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6）导向箭头：白色，高</w:t>
      </w:r>
      <w:r>
        <w:rPr>
          <w:rFonts w:hint="eastAsia" w:ascii="仿宋_GB2312" w:eastAsia="仿宋_GB2312"/>
          <w:color w:val="000000" w:themeColor="text1"/>
          <w:sz w:val="24"/>
          <w:szCs w:val="24"/>
          <w:highlight w:val="none"/>
          <w14:textFill>
            <w14:solidFill>
              <w14:schemeClr w14:val="tx1"/>
            </w14:solidFill>
          </w14:textFill>
        </w:rPr>
        <w:t>3</w:t>
      </w:r>
      <w:r>
        <w:rPr>
          <w:rFonts w:ascii="仿宋_GB2312" w:eastAsia="仿宋_GB2312"/>
          <w:color w:val="000000" w:themeColor="text1"/>
          <w:sz w:val="24"/>
          <w:szCs w:val="24"/>
          <w:highlight w:val="none"/>
          <w14:textFill>
            <w14:solidFill>
              <w14:schemeClr w14:val="tx1"/>
            </w14:solidFill>
          </w14:textFill>
        </w:rPr>
        <w:t>m；</w:t>
      </w:r>
    </w:p>
    <w:p>
      <w:pPr>
        <w:pStyle w:val="6"/>
        <w:spacing w:before="312" w:after="312"/>
        <w:rPr>
          <w:color w:val="000000" w:themeColor="text1"/>
          <w:highlight w:val="none"/>
          <w14:textFill>
            <w14:solidFill>
              <w14:schemeClr w14:val="tx1"/>
            </w14:solidFill>
          </w14:textFill>
        </w:rPr>
      </w:pPr>
      <w:bookmarkStart w:id="60" w:name="_Toc7944"/>
      <w:bookmarkStart w:id="61" w:name="_Toc57110164"/>
      <w:bookmarkStart w:id="62" w:name="_Toc20060590"/>
      <w:bookmarkStart w:id="63" w:name="_Toc5785"/>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照明工程</w:t>
      </w:r>
      <w:bookmarkEnd w:id="60"/>
      <w:bookmarkEnd w:id="61"/>
      <w:bookmarkEnd w:id="62"/>
      <w:bookmarkEnd w:id="63"/>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.1设计原则</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ascii="仿宋_GB2312" w:eastAsia="仿宋_GB2312"/>
          <w:color w:val="000000" w:themeColor="text1"/>
          <w:sz w:val="24"/>
          <w:szCs w:val="24"/>
          <w:highlight w:val="none"/>
          <w14:textFill>
            <w14:solidFill>
              <w14:schemeClr w14:val="tx1"/>
            </w14:solidFill>
          </w14:textFill>
        </w:rPr>
        <w:t>1）照明达到城市道路的照度标准，满足车辆夜间行驶的要求；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（2）在满足道路照明亮度的基础上，符合照明均匀度要求，为驾驶人员提供舒适的视觉环境；</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（3）道路沿线相交路口处适当提高照度标准，以保证车辆行驶的安全和通行能力；</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（4）提倡绿色照明，选择高效光源及灯具，光源选用LED灯，灯具效率不低于0.9，防护等级不低于IP65，灯具、灯杆造型美观、耐用、经济、环保；</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（5）道路照明要求节能，便于维护，易于管理检修，减少维护费用；</w:t>
      </w:r>
    </w:p>
    <w:p>
      <w:pPr>
        <w:spacing w:line="560" w:lineRule="exact"/>
        <w:ind w:firstLine="482"/>
        <w:rPr>
          <w:color w:val="000000" w:themeColor="text1"/>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（6）合理选用灯具及布置型式，注重灯光环境与人文的结合,与城市功能区相协调，与自然环境相融合。</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.2设计规范及依据</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《城市道路工程设计规范》（CJJ37-2012）；</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《城市道路照明设计标准》（CJJ45-2015）；</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《低压配电设计规范》（GB50054-2011）；</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《供配电系统设计规范》（GB50052-2009）；</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《建筑物防雷设计规范》（GB50057-2010）；</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《电力工程电缆设计标准》（GB50217-2018）；</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《道路照明用LED灯性能要求》（GB/T24907-2010）；</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《印发广东省推广使用LED照明产品实施方案的通知》（粤府函[2012]113号）；</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《城市道路照明工程施工及验收规程》（CJJ89-2012）；</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《普通照明用LED模块安全要求》（GB24819-2009）；</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《普通照明用LED模块性能要求》（GB24823-2009）；</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《LED城市道路照明应用技术要求》（GB/T31832-2015）；</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《剩余电流动作保护装置安装和运行》（GB13955-2017）；</w:t>
      </w:r>
    </w:p>
    <w:p>
      <w:pPr>
        <w:pStyle w:val="41"/>
        <w:numPr>
          <w:ilvl w:val="0"/>
          <w:numId w:val="12"/>
        </w:numPr>
        <w:spacing w:line="560" w:lineRule="exact"/>
        <w:ind w:firstLine="482" w:firstLineChars="0"/>
        <w:rPr>
          <w:color w:val="000000" w:themeColor="text1"/>
          <w:szCs w:val="24"/>
          <w:highlight w:val="none"/>
          <w14:textFill>
            <w14:solidFill>
              <w14:schemeClr w14:val="tx1"/>
            </w14:solidFill>
          </w14:textFill>
        </w:rPr>
      </w:pPr>
      <w:r>
        <w:rPr>
          <w:rFonts w:hint="eastAsia"/>
          <w:color w:val="000000" w:themeColor="text1"/>
          <w:szCs w:val="24"/>
          <w:highlight w:val="none"/>
          <w14:textFill>
            <w14:solidFill>
              <w14:schemeClr w14:val="tx1"/>
            </w14:solidFill>
          </w14:textFill>
        </w:rPr>
        <w:t>《电气装置安装工程接地装置施工及验收规范》（GB50169-2016）；</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15）其它相关设计规范</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照明标准</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确定道路照明标准时，应充分考虑道路的使用性能、通行能力、通行速度，以及路面使用材料的反射特性等方面的因素。</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（1）本工程的路面结构初步确定采用沥青路面，沥青路面反射率较低，属于暗路面。根据城市道路照明设计标准，确定本工程道路照明的设计标准如下：</w:t>
      </w:r>
    </w:p>
    <w:p>
      <w:pPr>
        <w:ind w:firstLine="482"/>
        <w:rPr>
          <w:b/>
          <w:bCs/>
          <w:color w:val="000000" w:themeColor="text1"/>
          <w:highlight w:val="none"/>
          <w14:textFill>
            <w14:solidFill>
              <w14:schemeClr w14:val="tx1"/>
            </w14:solidFill>
          </w14:textFill>
        </w:rPr>
      </w:pPr>
      <w:bookmarkStart w:id="64" w:name="_Toc57110165"/>
      <w:bookmarkStart w:id="65" w:name="_Toc20060592"/>
      <w:r>
        <w:rPr>
          <w:rFonts w:hint="eastAsia"/>
          <w:b/>
          <w:bCs/>
          <w:color w:val="000000" w:themeColor="text1"/>
          <w:highlight w:val="none"/>
          <w14:textFill>
            <w14:solidFill>
              <w14:schemeClr w14:val="tx1"/>
            </w14:solidFill>
          </w14:textFill>
        </w:rPr>
        <w:t>1.照明标准值</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（1）机动车道路照明标准值</w:t>
      </w:r>
    </w:p>
    <w:tbl>
      <w:tblPr>
        <w:tblStyle w:val="29"/>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1275"/>
        <w:gridCol w:w="1418"/>
        <w:gridCol w:w="1209"/>
        <w:gridCol w:w="1830"/>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453" w:type="dxa"/>
            <w:vMerge w:val="restart"/>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道路分类</w:t>
            </w:r>
          </w:p>
        </w:tc>
        <w:tc>
          <w:tcPr>
            <w:tcW w:w="7168" w:type="dxa"/>
            <w:gridSpan w:val="5"/>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照明标准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453" w:type="dxa"/>
            <w:vMerge w:val="continue"/>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127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平均照度Eav(lx)</w:t>
            </w:r>
          </w:p>
        </w:tc>
        <w:tc>
          <w:tcPr>
            <w:tcW w:w="141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平均亮度</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Lav(cd/m2)</w:t>
            </w:r>
          </w:p>
        </w:tc>
        <w:tc>
          <w:tcPr>
            <w:tcW w:w="120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照度</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均匀度UE</w:t>
            </w:r>
          </w:p>
        </w:tc>
        <w:tc>
          <w:tcPr>
            <w:tcW w:w="183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眩光限制</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阀值增量TI(%)</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最大初始值</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环境比</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SR</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53"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城市主干路</w:t>
            </w:r>
          </w:p>
        </w:tc>
        <w:tc>
          <w:tcPr>
            <w:tcW w:w="127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30</w:t>
            </w:r>
          </w:p>
        </w:tc>
        <w:tc>
          <w:tcPr>
            <w:tcW w:w="141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2.00</w:t>
            </w:r>
          </w:p>
        </w:tc>
        <w:tc>
          <w:tcPr>
            <w:tcW w:w="120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0.4</w:t>
            </w:r>
          </w:p>
        </w:tc>
        <w:tc>
          <w:tcPr>
            <w:tcW w:w="183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53"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城市次干路</w:t>
            </w:r>
          </w:p>
        </w:tc>
        <w:tc>
          <w:tcPr>
            <w:tcW w:w="127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20</w:t>
            </w:r>
          </w:p>
        </w:tc>
        <w:tc>
          <w:tcPr>
            <w:tcW w:w="141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w:t>
            </w:r>
          </w:p>
        </w:tc>
        <w:tc>
          <w:tcPr>
            <w:tcW w:w="120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0.4</w:t>
            </w:r>
          </w:p>
        </w:tc>
        <w:tc>
          <w:tcPr>
            <w:tcW w:w="183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453"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城市支路</w:t>
            </w:r>
          </w:p>
        </w:tc>
        <w:tc>
          <w:tcPr>
            <w:tcW w:w="127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1418"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0.75</w:t>
            </w:r>
          </w:p>
        </w:tc>
        <w:tc>
          <w:tcPr>
            <w:tcW w:w="120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0.3</w:t>
            </w:r>
          </w:p>
        </w:tc>
        <w:tc>
          <w:tcPr>
            <w:tcW w:w="183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15</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w:t>
            </w:r>
          </w:p>
        </w:tc>
      </w:tr>
    </w:tbl>
    <w:p>
      <w:pPr>
        <w:ind w:firstLine="480"/>
        <w:rPr>
          <w:color w:val="000000" w:themeColor="text1"/>
          <w:highlight w:val="none"/>
          <w14:textFill>
            <w14:solidFill>
              <w14:schemeClr w14:val="tx1"/>
            </w14:solidFill>
          </w14:textFill>
        </w:rPr>
      </w:pP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（2）机动车交通道路的照明功率密度值</w:t>
      </w:r>
    </w:p>
    <w:tbl>
      <w:tblPr>
        <w:tblStyle w:val="29"/>
        <w:tblW w:w="8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785"/>
        <w:gridCol w:w="295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4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道路级别</w:t>
            </w:r>
          </w:p>
        </w:tc>
        <w:tc>
          <w:tcPr>
            <w:tcW w:w="178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车道数(条)</w:t>
            </w:r>
          </w:p>
        </w:tc>
        <w:tc>
          <w:tcPr>
            <w:tcW w:w="295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照明功率密值(LPD)(W/m2)</w:t>
            </w:r>
          </w:p>
        </w:tc>
        <w:tc>
          <w:tcPr>
            <w:tcW w:w="241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对应照度值(lx)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城市主干路</w:t>
            </w:r>
          </w:p>
        </w:tc>
        <w:tc>
          <w:tcPr>
            <w:tcW w:w="178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≥6</w:t>
            </w:r>
          </w:p>
        </w:tc>
        <w:tc>
          <w:tcPr>
            <w:tcW w:w="295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≤1.00</w:t>
            </w:r>
          </w:p>
        </w:tc>
        <w:tc>
          <w:tcPr>
            <w:tcW w:w="241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城市次干路</w:t>
            </w:r>
          </w:p>
        </w:tc>
        <w:tc>
          <w:tcPr>
            <w:tcW w:w="178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≥4</w:t>
            </w:r>
          </w:p>
        </w:tc>
        <w:tc>
          <w:tcPr>
            <w:tcW w:w="295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≤0.80</w:t>
            </w:r>
          </w:p>
        </w:tc>
        <w:tc>
          <w:tcPr>
            <w:tcW w:w="241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47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城市支路</w:t>
            </w:r>
          </w:p>
        </w:tc>
        <w:tc>
          <w:tcPr>
            <w:tcW w:w="1785"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c>
          <w:tcPr>
            <w:tcW w:w="295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≤0.50</w:t>
            </w:r>
          </w:p>
        </w:tc>
        <w:tc>
          <w:tcPr>
            <w:tcW w:w="241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r>
    </w:tbl>
    <w:p>
      <w:pPr>
        <w:ind w:firstLine="480"/>
        <w:rPr>
          <w:color w:val="000000" w:themeColor="text1"/>
          <w:highlight w:val="none"/>
          <w14:textFill>
            <w14:solidFill>
              <w14:schemeClr w14:val="tx1"/>
            </w14:solidFill>
          </w14:textFill>
        </w:rPr>
      </w:pP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（3）人行道与非机动车道照明标准值</w:t>
      </w:r>
    </w:p>
    <w:tbl>
      <w:tblPr>
        <w:tblStyle w:val="29"/>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733"/>
        <w:gridCol w:w="1199"/>
        <w:gridCol w:w="1334"/>
        <w:gridCol w:w="1436"/>
        <w:gridCol w:w="2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1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道路类型</w:t>
            </w:r>
          </w:p>
        </w:tc>
        <w:tc>
          <w:tcPr>
            <w:tcW w:w="733"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区域</w:t>
            </w:r>
          </w:p>
        </w:tc>
        <w:tc>
          <w:tcPr>
            <w:tcW w:w="119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路面平均</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照度Eav(lx)</w:t>
            </w:r>
          </w:p>
        </w:tc>
        <w:tc>
          <w:tcPr>
            <w:tcW w:w="1334"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路面最小</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照度Emin(lx)</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最小垂直</w:t>
            </w: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照度Evmin(lx)</w:t>
            </w:r>
          </w:p>
        </w:tc>
        <w:tc>
          <w:tcPr>
            <w:tcW w:w="238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最小半柱面照度Escmin(lx)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437"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流量较高的道路</w:t>
            </w:r>
          </w:p>
        </w:tc>
        <w:tc>
          <w:tcPr>
            <w:tcW w:w="733"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居住区</w:t>
            </w:r>
          </w:p>
        </w:tc>
        <w:tc>
          <w:tcPr>
            <w:tcW w:w="119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10</w:t>
            </w:r>
          </w:p>
        </w:tc>
        <w:tc>
          <w:tcPr>
            <w:tcW w:w="1334"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c>
          <w:tcPr>
            <w:tcW w:w="143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w:t>
            </w:r>
          </w:p>
        </w:tc>
        <w:tc>
          <w:tcPr>
            <w:tcW w:w="2380"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2</w:t>
            </w:r>
          </w:p>
        </w:tc>
      </w:tr>
    </w:tbl>
    <w:p>
      <w:pPr>
        <w:ind w:firstLine="480"/>
        <w:rPr>
          <w:color w:val="000000" w:themeColor="text1"/>
          <w:highlight w:val="none"/>
          <w14:textFill>
            <w14:solidFill>
              <w14:schemeClr w14:val="tx1"/>
            </w14:solidFill>
          </w14:textFill>
        </w:rPr>
      </w:pP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（4）交汇区照明标准值</w:t>
      </w:r>
    </w:p>
    <w:tbl>
      <w:tblPr>
        <w:tblStyle w:val="29"/>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1656"/>
        <w:gridCol w:w="1659"/>
        <w:gridCol w:w="2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交会区类型</w:t>
            </w:r>
          </w:p>
        </w:tc>
        <w:tc>
          <w:tcPr>
            <w:tcW w:w="1656"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路面平均照度Eav(lx),维持值</w:t>
            </w:r>
          </w:p>
        </w:tc>
        <w:tc>
          <w:tcPr>
            <w:tcW w:w="1659"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照度均匀度UE</w:t>
            </w:r>
          </w:p>
        </w:tc>
        <w:tc>
          <w:tcPr>
            <w:tcW w:w="275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眩光限制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主干路与主干路交会</w:t>
            </w:r>
          </w:p>
        </w:tc>
        <w:tc>
          <w:tcPr>
            <w:tcW w:w="1656" w:type="dxa"/>
            <w:vMerge w:val="restart"/>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50</w:t>
            </w:r>
          </w:p>
        </w:tc>
        <w:tc>
          <w:tcPr>
            <w:tcW w:w="1659" w:type="dxa"/>
            <w:vMerge w:val="restart"/>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0.4</w:t>
            </w:r>
          </w:p>
        </w:tc>
        <w:tc>
          <w:tcPr>
            <w:tcW w:w="2751" w:type="dxa"/>
            <w:vMerge w:val="restart"/>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在驾驶员观看灯具的方位角上,灯具在80°和90°高度角方向上的光强分别不超过30cd/1000lm和10cd/1000lm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主干路与次干路交会</w:t>
            </w:r>
          </w:p>
        </w:tc>
        <w:tc>
          <w:tcPr>
            <w:tcW w:w="1656" w:type="dxa"/>
            <w:vMerge w:val="continue"/>
            <w:vAlign w:val="center"/>
          </w:tcPr>
          <w:p>
            <w:pPr>
              <w:ind w:firstLine="480"/>
              <w:rPr>
                <w:color w:val="000000" w:themeColor="text1"/>
                <w:highlight w:val="none"/>
                <w14:textFill>
                  <w14:solidFill>
                    <w14:schemeClr w14:val="tx1"/>
                  </w14:solidFill>
                </w14:textFill>
              </w:rPr>
            </w:pPr>
          </w:p>
        </w:tc>
        <w:tc>
          <w:tcPr>
            <w:tcW w:w="1659" w:type="dxa"/>
            <w:vMerge w:val="continue"/>
            <w:vAlign w:val="center"/>
          </w:tcPr>
          <w:p>
            <w:pPr>
              <w:ind w:firstLine="480"/>
              <w:rPr>
                <w:color w:val="000000" w:themeColor="text1"/>
                <w:highlight w:val="none"/>
                <w14:textFill>
                  <w14:solidFill>
                    <w14:schemeClr w14:val="tx1"/>
                  </w14:solidFill>
                </w14:textFill>
              </w:rPr>
            </w:pPr>
          </w:p>
        </w:tc>
        <w:tc>
          <w:tcPr>
            <w:tcW w:w="2751" w:type="dxa"/>
            <w:vMerge w:val="continue"/>
            <w:vAlign w:val="center"/>
          </w:tcPr>
          <w:p>
            <w:pPr>
              <w:ind w:firstLine="480"/>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主干路与支路交会</w:t>
            </w:r>
          </w:p>
        </w:tc>
        <w:tc>
          <w:tcPr>
            <w:tcW w:w="1656" w:type="dxa"/>
            <w:vMerge w:val="continue"/>
            <w:vAlign w:val="center"/>
          </w:tcPr>
          <w:p>
            <w:pPr>
              <w:ind w:firstLine="480"/>
              <w:rPr>
                <w:color w:val="000000" w:themeColor="text1"/>
                <w:highlight w:val="none"/>
                <w14:textFill>
                  <w14:solidFill>
                    <w14:schemeClr w14:val="tx1"/>
                  </w14:solidFill>
                </w14:textFill>
              </w:rPr>
            </w:pPr>
          </w:p>
        </w:tc>
        <w:tc>
          <w:tcPr>
            <w:tcW w:w="1659" w:type="dxa"/>
            <w:vMerge w:val="continue"/>
            <w:vAlign w:val="center"/>
          </w:tcPr>
          <w:p>
            <w:pPr>
              <w:ind w:firstLine="480"/>
              <w:rPr>
                <w:color w:val="000000" w:themeColor="text1"/>
                <w:highlight w:val="none"/>
                <w14:textFill>
                  <w14:solidFill>
                    <w14:schemeClr w14:val="tx1"/>
                  </w14:solidFill>
                </w14:textFill>
              </w:rPr>
            </w:pPr>
          </w:p>
        </w:tc>
        <w:tc>
          <w:tcPr>
            <w:tcW w:w="2751" w:type="dxa"/>
            <w:vMerge w:val="continue"/>
            <w:vAlign w:val="center"/>
          </w:tcPr>
          <w:p>
            <w:pPr>
              <w:ind w:firstLine="480"/>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次干路与次干路</w:t>
            </w:r>
          </w:p>
        </w:tc>
        <w:tc>
          <w:tcPr>
            <w:tcW w:w="1656" w:type="dxa"/>
            <w:vMerge w:val="restart"/>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30</w:t>
            </w:r>
          </w:p>
        </w:tc>
        <w:tc>
          <w:tcPr>
            <w:tcW w:w="1659" w:type="dxa"/>
            <w:vMerge w:val="continue"/>
            <w:vAlign w:val="center"/>
          </w:tcPr>
          <w:p>
            <w:pPr>
              <w:ind w:firstLine="480"/>
              <w:rPr>
                <w:color w:val="000000" w:themeColor="text1"/>
                <w:highlight w:val="none"/>
                <w14:textFill>
                  <w14:solidFill>
                    <w14:schemeClr w14:val="tx1"/>
                  </w14:solidFill>
                </w14:textFill>
              </w:rPr>
            </w:pPr>
          </w:p>
        </w:tc>
        <w:tc>
          <w:tcPr>
            <w:tcW w:w="2751" w:type="dxa"/>
            <w:vMerge w:val="continue"/>
            <w:vAlign w:val="center"/>
          </w:tcPr>
          <w:p>
            <w:pPr>
              <w:ind w:firstLine="480"/>
              <w:rPr>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2581" w:type="dxa"/>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r>
              <w:rPr>
                <w:rFonts w:hint="eastAsia" w:ascii="黑体" w:hAnsi="黑体" w:eastAsia="黑体" w:cs="黑体"/>
                <w:snapToGrid w:val="0"/>
                <w:color w:val="000000" w:themeColor="text1"/>
                <w:szCs w:val="21"/>
                <w:highlight w:val="none"/>
                <w14:textFill>
                  <w14:solidFill>
                    <w14:schemeClr w14:val="tx1"/>
                  </w14:solidFill>
                </w14:textFill>
              </w:rPr>
              <w:t>次干路与支路</w:t>
            </w:r>
          </w:p>
        </w:tc>
        <w:tc>
          <w:tcPr>
            <w:tcW w:w="1656" w:type="dxa"/>
            <w:vMerge w:val="continue"/>
            <w:vAlign w:val="center"/>
          </w:tcPr>
          <w:p>
            <w:pPr>
              <w:adjustRightInd w:val="0"/>
              <w:jc w:val="center"/>
              <w:rPr>
                <w:rFonts w:ascii="黑体" w:hAnsi="黑体" w:eastAsia="黑体" w:cs="黑体"/>
                <w:snapToGrid w:val="0"/>
                <w:color w:val="000000" w:themeColor="text1"/>
                <w:szCs w:val="21"/>
                <w:highlight w:val="none"/>
                <w14:textFill>
                  <w14:solidFill>
                    <w14:schemeClr w14:val="tx1"/>
                  </w14:solidFill>
                </w14:textFill>
              </w:rPr>
            </w:pPr>
          </w:p>
        </w:tc>
        <w:tc>
          <w:tcPr>
            <w:tcW w:w="1659" w:type="dxa"/>
            <w:vMerge w:val="continue"/>
            <w:vAlign w:val="center"/>
          </w:tcPr>
          <w:p>
            <w:pPr>
              <w:ind w:firstLine="480"/>
              <w:rPr>
                <w:color w:val="000000" w:themeColor="text1"/>
                <w:highlight w:val="none"/>
                <w14:textFill>
                  <w14:solidFill>
                    <w14:schemeClr w14:val="tx1"/>
                  </w14:solidFill>
                </w14:textFill>
              </w:rPr>
            </w:pPr>
          </w:p>
        </w:tc>
        <w:tc>
          <w:tcPr>
            <w:tcW w:w="2751" w:type="dxa"/>
            <w:vMerge w:val="continue"/>
            <w:vAlign w:val="center"/>
          </w:tcPr>
          <w:p>
            <w:pPr>
              <w:ind w:firstLine="480"/>
              <w:rPr>
                <w:color w:val="000000" w:themeColor="text1"/>
                <w:highlight w:val="none"/>
                <w14:textFill>
                  <w14:solidFill>
                    <w14:schemeClr w14:val="tx1"/>
                  </w14:solidFill>
                </w14:textFill>
              </w:rPr>
            </w:pPr>
          </w:p>
        </w:tc>
      </w:tr>
    </w:tbl>
    <w:p>
      <w:pPr>
        <w:ind w:firstLine="480"/>
        <w:rPr>
          <w:color w:val="000000" w:themeColor="text1"/>
          <w:highlight w:val="none"/>
          <w14:textFill>
            <w14:solidFill>
              <w14:schemeClr w14:val="tx1"/>
            </w14:solidFill>
          </w14:textFill>
        </w:rPr>
      </w:pPr>
    </w:p>
    <w:p>
      <w:pPr>
        <w:pStyle w:val="6"/>
        <w:spacing w:before="312" w:after="312"/>
        <w:rPr>
          <w:color w:val="000000" w:themeColor="text1"/>
          <w:highlight w:val="none"/>
          <w14:textFill>
            <w14:solidFill>
              <w14:schemeClr w14:val="tx1"/>
            </w14:solidFill>
          </w14:textFill>
        </w:rPr>
      </w:pPr>
      <w:bookmarkStart w:id="66" w:name="_Toc14084"/>
      <w:bookmarkStart w:id="67" w:name="_Toc20200"/>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道路绿化工程</w:t>
      </w:r>
      <w:bookmarkEnd w:id="64"/>
      <w:bookmarkEnd w:id="65"/>
      <w:bookmarkEnd w:id="66"/>
      <w:bookmarkEnd w:id="67"/>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本工程绿化设计范围为道路红线内的绿化（中央绿化带、行道侧绿化带、渠化岛）。</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设计原则</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以“安全、实用、美观”为宗旨，以管理方便为原则。</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经济、生态、美观及社会效益相统一。</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道路景观设计满足交通要求，保证行车畅通、安全，使司机视线开阔，具有足够的安全视距。</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贯彻从区域范围及整体环境着手的原则，以整体环境组团空间为重点来体现其整体性和连续性，体现出“生态城市”的设计构思。</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充分利用现有自然特色景观，将自然景观有机引入人工环境，创造与自然协调发展的生态型社区环境。</w:t>
      </w:r>
    </w:p>
    <w:p>
      <w:pPr>
        <w:pStyle w:val="42"/>
        <w:numPr>
          <w:ilvl w:val="0"/>
          <w:numId w:val="13"/>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道路景观必须体现环境生态功能，充分结合道路两侧</w:t>
      </w:r>
      <w:r>
        <w:rPr>
          <w:rFonts w:hint="eastAsia"/>
          <w:color w:val="000000" w:themeColor="text1"/>
          <w:highlight w:val="none"/>
          <w14:textFill>
            <w14:solidFill>
              <w14:schemeClr w14:val="tx1"/>
            </w14:solidFill>
          </w14:textFill>
        </w:rPr>
        <w:t>地块</w:t>
      </w:r>
      <w:r>
        <w:rPr>
          <w:color w:val="000000" w:themeColor="text1"/>
          <w:highlight w:val="none"/>
          <w14:textFill>
            <w14:solidFill>
              <w14:schemeClr w14:val="tx1"/>
            </w14:solidFill>
          </w14:textFill>
        </w:rPr>
        <w:t>及其周边地带的环境绿化、自然生态条件及水土保持来发挥道路的环境生态作用。</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.2设计规范及依据</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《园林绿化工程施工及验收规范》CJJ82-2012</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《公园设计规范》GB51192-2016 </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《风景园林制图标准》CJJ 67 -2015 </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《城市绿地设计规范》GB50420-2007 （2016年版）</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《城市道路绿化规划与设计规范》</w:t>
      </w:r>
      <w:r>
        <w:rPr>
          <w:color w:val="000000" w:themeColor="text1"/>
          <w:highlight w:val="none"/>
          <w14:textFill>
            <w14:solidFill>
              <w14:schemeClr w14:val="tx1"/>
            </w14:solidFill>
          </w14:textFill>
        </w:rPr>
        <w:t>CJJ 75-1997</w:t>
      </w:r>
    </w:p>
    <w:p>
      <w:pPr>
        <w:pStyle w:val="42"/>
        <w:numPr>
          <w:ilvl w:val="0"/>
          <w:numId w:val="14"/>
        </w:numPr>
        <w:spacing w:line="560" w:lineRule="exact"/>
        <w:ind w:left="902"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《园林种植土》（DB440100/T106-2006）</w:t>
      </w:r>
    </w:p>
    <w:p>
      <w:pPr>
        <w:pStyle w:val="42"/>
        <w:numPr>
          <w:ilvl w:val="0"/>
          <w:numId w:val="14"/>
        </w:numPr>
        <w:ind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其它相关设计规范</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设计要求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根据城市道路规划的要求，并结合所经区域的环境特点及地方特色，以及道路所穿越的地理位置，本设计道路</w:t>
      </w:r>
      <w:r>
        <w:rPr>
          <w:rFonts w:hint="eastAsia" w:ascii="仿宋_GB2312" w:eastAsia="仿宋_GB2312"/>
          <w:color w:val="000000" w:themeColor="text1"/>
          <w:sz w:val="24"/>
          <w:szCs w:val="24"/>
          <w:highlight w:val="none"/>
          <w14:textFill>
            <w14:solidFill>
              <w14:schemeClr w14:val="tx1"/>
            </w14:solidFill>
          </w14:textFill>
        </w:rPr>
        <w:t>北侧主要为滨水公园，南侧为民居及工厂用地</w:t>
      </w:r>
      <w:r>
        <w:rPr>
          <w:rFonts w:ascii="仿宋_GB2312" w:eastAsia="仿宋_GB2312"/>
          <w:color w:val="000000" w:themeColor="text1"/>
          <w:sz w:val="24"/>
          <w:szCs w:val="24"/>
          <w:highlight w:val="none"/>
          <w14:textFill>
            <w14:solidFill>
              <w14:schemeClr w14:val="tx1"/>
            </w14:solidFill>
          </w14:textFill>
        </w:rPr>
        <w:t>，为了能有效体现道路所在位置的景观特征及区域特点，突出各路段的景观特色，设计中路段绿化景观</w:t>
      </w:r>
      <w:r>
        <w:rPr>
          <w:rFonts w:hint="eastAsia" w:ascii="仿宋_GB2312" w:eastAsia="仿宋_GB2312"/>
          <w:color w:val="000000" w:themeColor="text1"/>
          <w:sz w:val="24"/>
          <w:szCs w:val="24"/>
          <w:highlight w:val="none"/>
          <w14:textFill>
            <w14:solidFill>
              <w14:schemeClr w14:val="tx1"/>
            </w14:solidFill>
          </w14:textFill>
        </w:rPr>
        <w:t>应与周边景观相协调</w:t>
      </w:r>
      <w:r>
        <w:rPr>
          <w:rFonts w:ascii="仿宋_GB2312" w:eastAsia="仿宋_GB2312"/>
          <w:color w:val="000000" w:themeColor="text1"/>
          <w:sz w:val="24"/>
          <w:szCs w:val="24"/>
          <w:highlight w:val="none"/>
          <w14:textFill>
            <w14:solidFill>
              <w14:schemeClr w14:val="tx1"/>
            </w14:solidFill>
          </w14:textFill>
        </w:rPr>
        <w:t>。</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外观设计必须体现生态节能的设计理念，做到美观、大方、整洁且符合大众审美观，设计风格的整体风格应谐统一，并具有地方特色。</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园林绿化设计应突出自然景观，在打造精品园林的同时重点使用合适的乡土树种和花草，并利用现代生态理论和方法，积极塑造特色园林。</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园林绿化可考虑立体化、垂直绿化的思路。</w:t>
      </w:r>
    </w:p>
    <w:p>
      <w:pPr>
        <w:pStyle w:val="40"/>
        <w:ind w:left="482" w:firstLine="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铺装设计要求</w:t>
      </w:r>
    </w:p>
    <w:p>
      <w:pPr>
        <w:spacing w:line="560" w:lineRule="exact"/>
        <w:ind w:firstLine="482"/>
        <w:rPr>
          <w:rFonts w:ascii="仿宋_GB2312" w:eastAsia="仿宋_GB2312"/>
          <w:color w:val="000000" w:themeColor="text1"/>
          <w:sz w:val="24"/>
          <w:szCs w:val="24"/>
          <w:highlight w:val="none"/>
          <w14:textFill>
            <w14:solidFill>
              <w14:schemeClr w14:val="tx1"/>
            </w14:solidFill>
          </w14:textFill>
        </w:rPr>
      </w:pPr>
      <w:r>
        <w:rPr>
          <w:rFonts w:ascii="仿宋_GB2312" w:eastAsia="仿宋_GB2312"/>
          <w:color w:val="000000" w:themeColor="text1"/>
          <w:sz w:val="24"/>
          <w:szCs w:val="24"/>
          <w:highlight w:val="none"/>
          <w14:textFill>
            <w14:solidFill>
              <w14:schemeClr w14:val="tx1"/>
            </w14:solidFill>
          </w14:textFill>
        </w:rPr>
        <w:t>根据城市道路规划的要求，并结合各路与两侧环境的关系，以及道路所在的位置，本设计所包含的道路分别穿越于各种类型的地理区域，为了能有效体现道路所在位置的景观特征及功能特点，突出道路的景观特色，同时应注意：</w:t>
      </w:r>
    </w:p>
    <w:p>
      <w:pPr>
        <w:pStyle w:val="42"/>
        <w:numPr>
          <w:ilvl w:val="0"/>
          <w:numId w:val="15"/>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强调饰面材料之实用性与耐久性，注意防滑处理。</w:t>
      </w:r>
    </w:p>
    <w:p>
      <w:pPr>
        <w:pStyle w:val="42"/>
        <w:numPr>
          <w:ilvl w:val="0"/>
          <w:numId w:val="15"/>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色彩图案简洁大方，突出区域重点，并具有暗示提醒作用。</w:t>
      </w:r>
    </w:p>
    <w:p>
      <w:pPr>
        <w:pStyle w:val="42"/>
        <w:numPr>
          <w:ilvl w:val="0"/>
          <w:numId w:val="15"/>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设置导盲线，体现设计以人为本的原则。</w:t>
      </w:r>
    </w:p>
    <w:p>
      <w:pPr>
        <w:pStyle w:val="42"/>
        <w:numPr>
          <w:ilvl w:val="0"/>
          <w:numId w:val="15"/>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整体铺装风格力求统一中求变化。</w:t>
      </w:r>
    </w:p>
    <w:p>
      <w:pPr>
        <w:pStyle w:val="42"/>
        <w:numPr>
          <w:ilvl w:val="0"/>
          <w:numId w:val="15"/>
        </w:numPr>
        <w:spacing w:line="560" w:lineRule="exact"/>
        <w:ind w:firstLine="482"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注意人行道、机动车道间的排水处理。</w:t>
      </w:r>
    </w:p>
    <w:bookmarkEnd w:id="41"/>
    <w:p>
      <w:pPr>
        <w:pStyle w:val="5"/>
        <w:spacing w:before="156" w:after="156"/>
        <w:rPr>
          <w:rFonts w:ascii="-webkit-standard" w:eastAsia="-webkit-standard" w:cs="-webkit-standard"/>
          <w:color w:val="000000" w:themeColor="text1"/>
          <w:highlight w:val="none"/>
          <w14:textFill>
            <w14:solidFill>
              <w14:schemeClr w14:val="tx1"/>
            </w14:solidFill>
          </w14:textFill>
        </w:rPr>
      </w:pPr>
      <w:bookmarkStart w:id="68" w:name="_Toc14949"/>
      <w:bookmarkStart w:id="69" w:name="_Toc31818"/>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五章</w:t>
      </w:r>
      <w:r>
        <w:rPr>
          <w:rFonts w:hint="eastAsia" w:ascii="宋体" w:hAnsi="宋体" w:eastAsia="宋体" w:cs="宋体"/>
          <w:color w:val="000000" w:themeColor="text1"/>
          <w:highlight w:val="none"/>
          <w14:textFill>
            <w14:solidFill>
              <w14:schemeClr w14:val="tx1"/>
            </w14:solidFill>
          </w14:textFill>
        </w:rPr>
        <w:t> </w:t>
      </w:r>
      <w:r>
        <w:rPr>
          <w:rFonts w:hint="eastAsia"/>
          <w:color w:val="000000" w:themeColor="text1"/>
          <w:highlight w:val="none"/>
          <w14:textFill>
            <w14:solidFill>
              <w14:schemeClr w14:val="tx1"/>
            </w14:solidFill>
          </w14:textFill>
        </w:rPr>
        <w:t>成果提交要求</w:t>
      </w:r>
      <w:bookmarkEnd w:id="68"/>
      <w:bookmarkEnd w:id="69"/>
    </w:p>
    <w:p>
      <w:pPr>
        <w:pStyle w:val="6"/>
        <w:spacing w:before="312" w:after="312"/>
        <w:rPr>
          <w:rFonts w:ascii="-webkit-standard" w:hAnsi="-webkit-standard" w:eastAsia="-webkit-standard" w:cs="-webkit-standard"/>
          <w:color w:val="000000" w:themeColor="text1"/>
          <w:sz w:val="27"/>
          <w:szCs w:val="27"/>
          <w:highlight w:val="none"/>
          <w14:textFill>
            <w14:solidFill>
              <w14:schemeClr w14:val="tx1"/>
            </w14:solidFill>
          </w14:textFill>
        </w:rPr>
      </w:pPr>
      <w:bookmarkStart w:id="70" w:name="_Toc17783"/>
      <w:bookmarkStart w:id="71" w:name="_Toc21734"/>
      <w:r>
        <w:rPr>
          <w:color w:val="000000" w:themeColor="text1"/>
          <w:highlight w:val="none"/>
          <w14:textFill>
            <w14:solidFill>
              <w14:schemeClr w14:val="tx1"/>
            </w14:solidFill>
          </w14:textFill>
        </w:rPr>
        <w:t>5.1 时间进度要求</w:t>
      </w:r>
      <w:bookmarkEnd w:id="70"/>
      <w:bookmarkEnd w:id="71"/>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设计单位设计成果文件的提交时间以符合合同约定质量的设计成果文件的提交时间为准。设计成果文件提交的时间及份数如下: </w:t>
      </w:r>
    </w:p>
    <w:tbl>
      <w:tblPr>
        <w:tblStyle w:val="29"/>
        <w:tblW w:w="8333" w:type="dxa"/>
        <w:tblInd w:w="0" w:type="dxa"/>
        <w:tblBorders>
          <w:top w:val="none" w:color="000000" w:sz="0" w:space="0"/>
          <w:left w:val="none" w:color="000000" w:sz="0" w:space="0"/>
          <w:bottom w:val="none" w:color="000000" w:sz="0" w:space="0"/>
          <w:right w:val="none" w:color="000000" w:sz="0" w:space="0"/>
          <w:insideH w:val="none" w:color="auto" w:sz="0" w:space="0"/>
          <w:insideV w:val="none" w:color="auto" w:sz="0" w:space="0"/>
        </w:tblBorders>
        <w:tblLayout w:type="fixed"/>
        <w:tblCellMar>
          <w:top w:w="15" w:type="dxa"/>
          <w:left w:w="15" w:type="dxa"/>
          <w:bottom w:w="15" w:type="dxa"/>
          <w:right w:w="15" w:type="dxa"/>
        </w:tblCellMar>
      </w:tblPr>
      <w:tblGrid>
        <w:gridCol w:w="270"/>
        <w:gridCol w:w="3498"/>
        <w:gridCol w:w="1610"/>
        <w:gridCol w:w="1127"/>
        <w:gridCol w:w="1828"/>
      </w:tblGrid>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序号</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资料及文件名称</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提交日期（日历日）</w:t>
            </w:r>
          </w:p>
        </w:tc>
        <w:tc>
          <w:tcPr>
            <w:tcW w:w="2955" w:type="dxa"/>
            <w:gridSpan w:val="2"/>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份数</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1</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勘察大纲</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中标后7天内</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3份</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2</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初步勘察（包括建设条件摸查、地下管线障碍物物探、地形测量、初步地质勘察）报告</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中标后30天内</w:t>
            </w:r>
            <w:r>
              <w:rPr>
                <w:rFonts w:hint="eastAsia" w:ascii="黑体" w:hAnsi="宋体" w:eastAsia="黑体" w:cs="黑体"/>
                <w:color w:val="000000" w:themeColor="text1"/>
                <w:sz w:val="15"/>
                <w:szCs w:val="15"/>
                <w:highlight w:val="none"/>
                <w14:textFill>
                  <w14:solidFill>
                    <w14:schemeClr w14:val="tx1"/>
                  </w14:solidFill>
                </w14:textFill>
              </w:rPr>
              <w:t>，或按甲方要求提供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20</w:t>
            </w:r>
            <w:r>
              <w:rPr>
                <w:rFonts w:hint="eastAsia" w:ascii="黑体" w:hAnsi="宋体" w:eastAsia="黑体" w:cs="黑体"/>
                <w:color w:val="000000" w:themeColor="text1"/>
                <w:sz w:val="15"/>
                <w:szCs w:val="15"/>
                <w:highlight w:val="none"/>
                <w14:textFill>
                  <w14:solidFill>
                    <w14:schemeClr w14:val="tx1"/>
                  </w14:solidFill>
                </w14:textFill>
              </w:rPr>
              <w:t>份</w:t>
            </w:r>
            <w:r>
              <w:rPr>
                <w:rFonts w:ascii="黑体" w:hAnsi="宋体" w:eastAsia="黑体" w:cs="黑体"/>
                <w:color w:val="000000" w:themeColor="text1"/>
                <w:sz w:val="15"/>
                <w:szCs w:val="15"/>
                <w:highlight w:val="none"/>
                <w14:textFill>
                  <w14:solidFill>
                    <w14:schemeClr w14:val="tx1"/>
                  </w14:solidFill>
                </w14:textFill>
              </w:rPr>
              <w:t>或按甲方要求提供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3</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方案优化设计文件</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hint="eastAsia" w:ascii="黑体" w:hAnsi="宋体" w:eastAsia="黑体" w:cs="黑体"/>
                <w:color w:val="000000" w:themeColor="text1"/>
                <w:sz w:val="15"/>
                <w:szCs w:val="15"/>
                <w:highlight w:val="none"/>
                <w14:textFill>
                  <w14:solidFill>
                    <w14:schemeClr w14:val="tx1"/>
                  </w14:solidFill>
                </w14:textFill>
              </w:rPr>
              <w:t>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按甲方要求提供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4</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详细勘察（包括工程测量）</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可研批复后30天内，</w:t>
            </w:r>
            <w:r>
              <w:rPr>
                <w:rFonts w:hint="eastAsia" w:ascii="黑体" w:hAnsi="宋体" w:eastAsia="黑体" w:cs="黑体"/>
                <w:color w:val="000000" w:themeColor="text1"/>
                <w:sz w:val="15"/>
                <w:szCs w:val="15"/>
                <w:highlight w:val="none"/>
                <w14:textFill>
                  <w14:solidFill>
                    <w14:schemeClr w14:val="tx1"/>
                  </w14:solidFill>
                </w14:textFill>
              </w:rPr>
              <w:t>或</w:t>
            </w:r>
            <w:r>
              <w:rPr>
                <w:rFonts w:ascii="黑体" w:hAnsi="宋体" w:eastAsia="黑体" w:cs="黑体"/>
                <w:color w:val="000000" w:themeColor="text1"/>
                <w:sz w:val="15"/>
                <w:szCs w:val="15"/>
                <w:highlight w:val="none"/>
                <w14:textFill>
                  <w14:solidFill>
                    <w14:schemeClr w14:val="tx1"/>
                  </w14:solidFill>
                </w14:textFill>
              </w:rPr>
              <w:t>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20</w:t>
            </w:r>
            <w:r>
              <w:rPr>
                <w:rFonts w:hint="eastAsia" w:ascii="黑体" w:hAnsi="宋体" w:eastAsia="黑体" w:cs="黑体"/>
                <w:color w:val="000000" w:themeColor="text1"/>
                <w:sz w:val="15"/>
                <w:szCs w:val="15"/>
                <w:highlight w:val="none"/>
                <w14:textFill>
                  <w14:solidFill>
                    <w14:schemeClr w14:val="tx1"/>
                  </w14:solidFill>
                </w14:textFill>
              </w:rPr>
              <w:t>份</w:t>
            </w:r>
            <w:r>
              <w:rPr>
                <w:rFonts w:ascii="黑体" w:hAnsi="宋体" w:eastAsia="黑体" w:cs="黑体"/>
                <w:color w:val="000000" w:themeColor="text1"/>
                <w:sz w:val="15"/>
                <w:szCs w:val="15"/>
                <w:highlight w:val="none"/>
                <w14:textFill>
                  <w14:solidFill>
                    <w14:schemeClr w14:val="tx1"/>
                  </w14:solidFill>
                </w14:textFill>
              </w:rPr>
              <w:t>或按甲方要求提供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5</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初步设计及概算（报批稿）</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中标后</w:t>
            </w:r>
            <w:r>
              <w:rPr>
                <w:rFonts w:hint="eastAsia" w:ascii="黑体" w:hAnsi="宋体" w:eastAsia="黑体" w:cs="黑体"/>
                <w:color w:val="000000" w:themeColor="text1"/>
                <w:sz w:val="15"/>
                <w:szCs w:val="15"/>
                <w:highlight w:val="none"/>
                <w14:textFill>
                  <w14:solidFill>
                    <w14:schemeClr w14:val="tx1"/>
                  </w14:solidFill>
                </w14:textFill>
              </w:rPr>
              <w:t>90</w:t>
            </w:r>
            <w:r>
              <w:rPr>
                <w:rFonts w:ascii="黑体" w:hAnsi="宋体" w:eastAsia="黑体" w:cs="黑体"/>
                <w:color w:val="000000" w:themeColor="text1"/>
                <w:sz w:val="15"/>
                <w:szCs w:val="15"/>
                <w:highlight w:val="none"/>
                <w14:textFill>
                  <w14:solidFill>
                    <w14:schemeClr w14:val="tx1"/>
                  </w14:solidFill>
                </w14:textFill>
              </w:rPr>
              <w:t>天内</w:t>
            </w:r>
            <w:r>
              <w:rPr>
                <w:rFonts w:hint="eastAsia" w:ascii="黑体" w:hAnsi="宋体" w:eastAsia="黑体" w:cs="黑体"/>
                <w:color w:val="000000" w:themeColor="text1"/>
                <w:sz w:val="15"/>
                <w:szCs w:val="15"/>
                <w:highlight w:val="none"/>
                <w14:textFill>
                  <w14:solidFill>
                    <w14:schemeClr w14:val="tx1"/>
                  </w14:solidFill>
                </w14:textFill>
              </w:rPr>
              <w:t>，或按甲方要求提供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按初步设计审查要求提供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电子文档1份（含符合评审要求的软件版）</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6</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多媒体介绍片（约10分钟）</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中标后90天</w:t>
            </w:r>
            <w:r>
              <w:rPr>
                <w:rFonts w:hint="eastAsia" w:ascii="黑体" w:hAnsi="宋体" w:eastAsia="黑体" w:cs="黑体"/>
                <w:color w:val="000000" w:themeColor="text1"/>
                <w:sz w:val="15"/>
                <w:szCs w:val="15"/>
                <w:highlight w:val="none"/>
                <w14:textFill>
                  <w14:solidFill>
                    <w14:schemeClr w14:val="tx1"/>
                  </w14:solidFill>
                </w14:textFill>
              </w:rPr>
              <w:t>，或按甲方要求提供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7</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初步设计（修编）</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技术评审后7天</w:t>
            </w:r>
            <w:r>
              <w:rPr>
                <w:rFonts w:hint="eastAsia" w:ascii="黑体" w:hAnsi="宋体" w:eastAsia="黑体" w:cs="黑体"/>
                <w:color w:val="000000" w:themeColor="text1"/>
                <w:sz w:val="15"/>
                <w:szCs w:val="15"/>
                <w:highlight w:val="none"/>
                <w14:textFill>
                  <w14:solidFill>
                    <w14:schemeClr w14:val="tx1"/>
                  </w14:solidFill>
                </w14:textFill>
              </w:rPr>
              <w:t>，或按甲方要求提供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20</w:t>
            </w:r>
            <w:r>
              <w:rPr>
                <w:rFonts w:hint="eastAsia" w:ascii="黑体" w:hAnsi="宋体" w:eastAsia="黑体" w:cs="黑体"/>
                <w:color w:val="000000" w:themeColor="text1"/>
                <w:sz w:val="15"/>
                <w:szCs w:val="15"/>
                <w:highlight w:val="none"/>
                <w14:textFill>
                  <w14:solidFill>
                    <w14:schemeClr w14:val="tx1"/>
                  </w14:solidFill>
                </w14:textFill>
              </w:rPr>
              <w:t>份</w:t>
            </w:r>
            <w:r>
              <w:rPr>
                <w:rFonts w:ascii="黑体" w:hAnsi="宋体" w:eastAsia="黑体" w:cs="黑体"/>
                <w:color w:val="000000" w:themeColor="text1"/>
                <w:sz w:val="15"/>
                <w:szCs w:val="15"/>
                <w:highlight w:val="none"/>
                <w14:textFill>
                  <w14:solidFill>
                    <w14:schemeClr w14:val="tx1"/>
                  </w14:solidFill>
                </w14:textFill>
              </w:rPr>
              <w:t>或按甲方要求提供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电子文档1份</w:t>
            </w:r>
          </w:p>
        </w:tc>
      </w:tr>
      <w:tr>
        <w:tblPrEx>
          <w:tblBorders>
            <w:top w:val="none" w:color="000000" w:sz="0" w:space="0"/>
            <w:left w:val="none" w:color="000000" w:sz="0" w:space="0"/>
            <w:bottom w:val="none" w:color="000000" w:sz="0" w:space="0"/>
            <w:right w:val="none" w:color="000000" w:sz="0" w:space="0"/>
            <w:insideH w:val="none" w:color="auto" w:sz="0" w:space="0"/>
            <w:insideV w:val="none" w:color="auto" w:sz="0" w:space="0"/>
          </w:tblBorders>
          <w:tblCellMar>
            <w:top w:w="15" w:type="dxa"/>
            <w:left w:w="15" w:type="dxa"/>
            <w:bottom w:w="15" w:type="dxa"/>
            <w:right w:w="15" w:type="dxa"/>
          </w:tblCellMar>
        </w:tblPrEx>
        <w:trPr>
          <w:trHeight w:val="567" w:hRule="atLeast"/>
        </w:trPr>
        <w:tc>
          <w:tcPr>
            <w:tcW w:w="270"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jc w:val="center"/>
              <w:rPr>
                <w:color w:val="000000" w:themeColor="text1"/>
                <w:highlight w:val="none"/>
                <w14:textFill>
                  <w14:solidFill>
                    <w14:schemeClr w14:val="tx1"/>
                  </w14:solidFill>
                </w14:textFill>
              </w:rPr>
            </w:pPr>
            <w:r>
              <w:rPr>
                <w:rFonts w:hint="eastAsia" w:ascii="黑体" w:hAnsi="宋体" w:eastAsia="黑体" w:cs="黑体"/>
                <w:color w:val="000000" w:themeColor="text1"/>
                <w:sz w:val="15"/>
                <w:szCs w:val="15"/>
                <w:highlight w:val="none"/>
                <w14:textFill>
                  <w14:solidFill>
                    <w14:schemeClr w14:val="tx1"/>
                  </w14:solidFill>
                </w14:textFill>
              </w:rPr>
              <w:t>8</w:t>
            </w:r>
          </w:p>
        </w:tc>
        <w:tc>
          <w:tcPr>
            <w:tcW w:w="3498" w:type="dxa"/>
            <w:tcBorders>
              <w:top w:val="single" w:color="000000" w:sz="2" w:space="0"/>
              <w:left w:val="single" w:color="000000" w:sz="2" w:space="0"/>
              <w:bottom w:val="single" w:color="000000" w:sz="2" w:space="0"/>
              <w:right w:val="single" w:color="000000" w:sz="2" w:space="0"/>
            </w:tcBorders>
            <w:shd w:val="clear" w:color="auto" w:fill="auto"/>
            <w:vAlign w:val="center"/>
          </w:tcPr>
          <w:p>
            <w:pPr>
              <w:pStyle w:val="26"/>
              <w:widowControl/>
              <w:spacing w:line="0" w:lineRule="atLeast"/>
              <w:rPr>
                <w:color w:val="000000" w:themeColor="text1"/>
                <w:highlight w:val="none"/>
                <w14:textFill>
                  <w14:solidFill>
                    <w14:schemeClr w14:val="tx1"/>
                  </w14:solidFill>
                </w14:textFill>
              </w:rPr>
            </w:pPr>
            <w:r>
              <w:rPr>
                <w:rFonts w:ascii="黑体" w:hAnsi="宋体" w:eastAsia="黑体" w:cs="黑体"/>
                <w:color w:val="000000" w:themeColor="text1"/>
                <w:sz w:val="15"/>
                <w:szCs w:val="15"/>
                <w:highlight w:val="none"/>
                <w14:textFill>
                  <w14:solidFill>
                    <w14:schemeClr w14:val="tx1"/>
                  </w14:solidFill>
                </w14:textFill>
              </w:rPr>
              <w:t>初步设计</w:t>
            </w:r>
            <w:r>
              <w:rPr>
                <w:rFonts w:hint="eastAsia" w:ascii="黑体" w:hAnsi="宋体" w:eastAsia="黑体" w:cs="黑体"/>
                <w:color w:val="000000" w:themeColor="text1"/>
                <w:sz w:val="15"/>
                <w:szCs w:val="15"/>
                <w:highlight w:val="none"/>
                <w14:textFill>
                  <w14:solidFill>
                    <w14:schemeClr w14:val="tx1"/>
                  </w14:solidFill>
                </w14:textFill>
              </w:rPr>
              <w:t>概算</w:t>
            </w:r>
            <w:r>
              <w:rPr>
                <w:rFonts w:ascii="黑体" w:hAnsi="宋体" w:eastAsia="黑体" w:cs="黑体"/>
                <w:color w:val="000000" w:themeColor="text1"/>
                <w:sz w:val="15"/>
                <w:szCs w:val="15"/>
                <w:highlight w:val="none"/>
                <w14:textFill>
                  <w14:solidFill>
                    <w14:schemeClr w14:val="tx1"/>
                  </w14:solidFill>
                </w14:textFill>
              </w:rPr>
              <w:t>（修编）</w:t>
            </w:r>
          </w:p>
        </w:tc>
        <w:tc>
          <w:tcPr>
            <w:tcW w:w="1610" w:type="dxa"/>
            <w:tcBorders>
              <w:top w:val="single" w:color="000000" w:sz="2" w:space="0"/>
              <w:left w:val="single" w:color="000000" w:sz="2" w:space="0"/>
              <w:bottom w:val="single" w:color="000000" w:sz="2" w:space="0"/>
              <w:right w:val="single" w:color="000000" w:sz="2" w:space="0"/>
            </w:tcBorders>
            <w:shd w:val="clear" w:color="auto" w:fill="auto"/>
            <w:vAlign w:val="center"/>
          </w:tcPr>
          <w:p>
            <w:pPr>
              <w:topLinePunct/>
              <w:snapToGrid w:val="0"/>
              <w:jc w:val="center"/>
              <w:rPr>
                <w:rFonts w:ascii="黑体" w:hAnsi="宋体" w:eastAsia="黑体" w:cs="黑体"/>
                <w:color w:val="000000" w:themeColor="text1"/>
                <w:kern w:val="0"/>
                <w:sz w:val="15"/>
                <w:szCs w:val="15"/>
                <w:highlight w:val="none"/>
                <w:lang w:bidi="ar"/>
                <w14:textFill>
                  <w14:solidFill>
                    <w14:schemeClr w14:val="tx1"/>
                  </w14:solidFill>
                </w14:textFill>
              </w:rPr>
            </w:pPr>
            <w:r>
              <w:rPr>
                <w:rFonts w:hint="eastAsia" w:ascii="黑体" w:hAnsi="宋体" w:eastAsia="黑体" w:cs="黑体"/>
                <w:color w:val="000000" w:themeColor="text1"/>
                <w:kern w:val="0"/>
                <w:sz w:val="15"/>
                <w:szCs w:val="15"/>
                <w:highlight w:val="none"/>
                <w:lang w:bidi="ar"/>
                <w14:textFill>
                  <w14:solidFill>
                    <w14:schemeClr w14:val="tx1"/>
                  </w14:solidFill>
                </w14:textFill>
              </w:rPr>
              <w:t>取得初步设计技术评审意见后7天内，或按甲方要求提供</w:t>
            </w:r>
          </w:p>
        </w:tc>
        <w:tc>
          <w:tcPr>
            <w:tcW w:w="1127" w:type="dxa"/>
            <w:tcBorders>
              <w:top w:val="single" w:color="000000" w:sz="2" w:space="0"/>
              <w:left w:val="single" w:color="000000" w:sz="2" w:space="0"/>
              <w:bottom w:val="single" w:color="000000" w:sz="2" w:space="0"/>
              <w:right w:val="single" w:color="000000" w:sz="2" w:space="0"/>
            </w:tcBorders>
            <w:shd w:val="clear" w:color="auto" w:fill="auto"/>
            <w:vAlign w:val="center"/>
          </w:tcPr>
          <w:p>
            <w:pPr>
              <w:topLinePunct/>
              <w:snapToGrid w:val="0"/>
              <w:rPr>
                <w:rFonts w:ascii="黑体" w:hAnsi="宋体" w:eastAsia="黑体" w:cs="黑体"/>
                <w:color w:val="000000" w:themeColor="text1"/>
                <w:kern w:val="0"/>
                <w:sz w:val="15"/>
                <w:szCs w:val="15"/>
                <w:highlight w:val="none"/>
                <w:lang w:bidi="ar"/>
                <w14:textFill>
                  <w14:solidFill>
                    <w14:schemeClr w14:val="tx1"/>
                  </w14:solidFill>
                </w14:textFill>
              </w:rPr>
            </w:pPr>
            <w:r>
              <w:rPr>
                <w:rFonts w:hint="eastAsia" w:ascii="黑体" w:hAnsi="宋体" w:eastAsia="黑体" w:cs="黑体"/>
                <w:color w:val="000000" w:themeColor="text1"/>
                <w:kern w:val="0"/>
                <w:sz w:val="15"/>
                <w:szCs w:val="15"/>
                <w:highlight w:val="none"/>
                <w:lang w:bidi="ar"/>
                <w14:textFill>
                  <w14:solidFill>
                    <w14:schemeClr w14:val="tx1"/>
                  </w14:solidFill>
                </w14:textFill>
              </w:rPr>
              <w:t>按初步设计审查要求提供</w:t>
            </w:r>
          </w:p>
        </w:tc>
        <w:tc>
          <w:tcPr>
            <w:tcW w:w="1828" w:type="dxa"/>
            <w:tcBorders>
              <w:top w:val="single" w:color="000000" w:sz="2" w:space="0"/>
              <w:left w:val="single" w:color="000000" w:sz="2" w:space="0"/>
              <w:bottom w:val="single" w:color="000000" w:sz="2" w:space="0"/>
              <w:right w:val="single" w:color="000000" w:sz="2" w:space="0"/>
            </w:tcBorders>
            <w:shd w:val="clear" w:color="auto" w:fill="auto"/>
            <w:vAlign w:val="center"/>
          </w:tcPr>
          <w:p>
            <w:pPr>
              <w:topLinePunct/>
              <w:snapToGrid w:val="0"/>
              <w:rPr>
                <w:rFonts w:ascii="黑体" w:hAnsi="宋体" w:eastAsia="黑体" w:cs="黑体"/>
                <w:color w:val="000000" w:themeColor="text1"/>
                <w:kern w:val="0"/>
                <w:sz w:val="15"/>
                <w:szCs w:val="15"/>
                <w:highlight w:val="none"/>
                <w:lang w:bidi="ar"/>
                <w14:textFill>
                  <w14:solidFill>
                    <w14:schemeClr w14:val="tx1"/>
                  </w14:solidFill>
                </w14:textFill>
              </w:rPr>
            </w:pPr>
            <w:r>
              <w:rPr>
                <w:rFonts w:hint="eastAsia" w:ascii="黑体" w:hAnsi="宋体" w:eastAsia="黑体" w:cs="黑体"/>
                <w:color w:val="000000" w:themeColor="text1"/>
                <w:kern w:val="0"/>
                <w:sz w:val="15"/>
                <w:szCs w:val="15"/>
                <w:highlight w:val="none"/>
                <w:lang w:bidi="ar"/>
                <w14:textFill>
                  <w14:solidFill>
                    <w14:schemeClr w14:val="tx1"/>
                  </w14:solidFill>
                </w14:textFill>
              </w:rPr>
              <w:t>电子文档1份（含符合评审要求的软件版</w:t>
            </w:r>
          </w:p>
        </w:tc>
      </w:tr>
    </w:tbl>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注：所提交的成果指符合设计深度及设计质量要求的成果，如按时提交的成果不满足要求，将按一般违约进行处罚。</w:t>
      </w:r>
    </w:p>
    <w:p>
      <w:pPr>
        <w:pStyle w:val="6"/>
        <w:spacing w:before="312" w:after="312"/>
        <w:rPr>
          <w:rFonts w:ascii="-webkit-standard" w:hAnsi="-webkit-standard" w:eastAsia="-webkit-standard" w:cs="-webkit-standard"/>
          <w:color w:val="000000" w:themeColor="text1"/>
          <w:sz w:val="27"/>
          <w:szCs w:val="27"/>
          <w:highlight w:val="none"/>
          <w14:textFill>
            <w14:solidFill>
              <w14:schemeClr w14:val="tx1"/>
            </w14:solidFill>
          </w14:textFill>
        </w:rPr>
      </w:pPr>
      <w:bookmarkStart w:id="72" w:name="_Toc16149"/>
      <w:bookmarkStart w:id="73" w:name="_Toc11788"/>
      <w:r>
        <w:rPr>
          <w:color w:val="000000" w:themeColor="text1"/>
          <w:highlight w:val="none"/>
          <w14:textFill>
            <w14:solidFill>
              <w14:schemeClr w14:val="tx1"/>
            </w14:solidFill>
          </w14:textFill>
        </w:rPr>
        <w:t>5.2 成果内容要求</w:t>
      </w:r>
      <w:bookmarkEnd w:id="72"/>
      <w:bookmarkEnd w:id="73"/>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成果文件符合合同约定以及相关法律规范要求，深度满足相关评审及审批要求，并对后续方案具有落地指导意义。可行性研究报告编制单位负责对提交的相关成果文件及内容向业主方汇报，并根据意见及时修改完善。</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设计成果文件要求齐全、完整，内容、深度应符合规定，文字说明、图纸要准确清晰,各阶段设计应达到中华人民共和国建设部颁发的《市政公用工程设计文件编制深度规定》2013版设计阶段深度。</w:t>
      </w:r>
    </w:p>
    <w:p>
      <w:pPr>
        <w:pStyle w:val="7"/>
        <w:spacing w:before="156" w:after="156" w:line="360" w:lineRule="auto"/>
        <w:rPr>
          <w:rFonts w:ascii="-webkit-standard" w:eastAsia="-webkit-standard" w:cs="-webkit-standard"/>
          <w:color w:val="000000" w:themeColor="text1"/>
          <w:sz w:val="27"/>
          <w:szCs w:val="27"/>
          <w:highlight w:val="none"/>
          <w14:textFill>
            <w14:solidFill>
              <w14:schemeClr w14:val="tx1"/>
            </w14:solidFill>
          </w14:textFill>
        </w:rPr>
      </w:pPr>
      <w:r>
        <w:rPr>
          <w:rFonts w:hint="eastAsia"/>
          <w:color w:val="000000" w:themeColor="text1"/>
          <w:highlight w:val="none"/>
          <w14:textFill>
            <w14:solidFill>
              <w14:schemeClr w14:val="tx1"/>
            </w14:solidFill>
          </w14:textFill>
        </w:rPr>
        <w:t>5.2.1工程勘察</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按现行地质勘察、测量规范、管线物探、标准进行现场勘察、测量和物探，并提供合格的报告，内容应包括但不限于以下内容：</w:t>
      </w:r>
    </w:p>
    <w:p>
      <w:pPr>
        <w:pStyle w:val="40"/>
        <w:spacing w:line="360" w:lineRule="auto"/>
        <w:rPr>
          <w:rFonts w:hint="eastAsia" w:ascii="-webkit-standard" w:hAnsi="-webkit-standard" w:cs="-webkit-standard"/>
          <w:color w:val="000000" w:themeColor="text1"/>
          <w:sz w:val="27"/>
          <w:szCs w:val="27"/>
          <w:highlight w:val="none"/>
          <w14:textFill>
            <w14:solidFill>
              <w14:schemeClr w14:val="tx1"/>
            </w14:solidFill>
          </w14:textFill>
        </w:rPr>
      </w:pPr>
      <w:r>
        <w:rPr>
          <w:color w:val="000000" w:themeColor="text1"/>
          <w:highlight w:val="none"/>
          <w14:textFill>
            <w14:solidFill>
              <w14:schemeClr w14:val="tx1"/>
            </w14:solidFill>
          </w14:textFill>
        </w:rPr>
        <w:t>1.地质勘察：</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文字报告部分：简述工程概况、勘察方法、地质评价、岩土技术参数、基础处理方案建议以及设计施工中应注意的问题等；</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图表部分：钻孔平面位置图、工程地质剖面图、钻孔柱状图、土工试验成果表、岩芯照片等。</w:t>
      </w:r>
    </w:p>
    <w:p>
      <w:pPr>
        <w:pStyle w:val="40"/>
        <w:spacing w:line="360" w:lineRule="auto"/>
        <w:rPr>
          <w:rFonts w:hint="eastAsia" w:ascii="-webkit-standard" w:hAnsi="-webkit-standard" w:cs="-webkit-standard"/>
          <w:color w:val="000000" w:themeColor="text1"/>
          <w:sz w:val="27"/>
          <w:szCs w:val="27"/>
          <w:highlight w:val="none"/>
          <w14:textFill>
            <w14:solidFill>
              <w14:schemeClr w14:val="tx1"/>
            </w14:solidFill>
          </w14:textFill>
        </w:rPr>
      </w:pPr>
      <w:r>
        <w:rPr>
          <w:color w:val="000000" w:themeColor="text1"/>
          <w:highlight w:val="none"/>
          <w14:textFill>
            <w14:solidFill>
              <w14:schemeClr w14:val="tx1"/>
            </w14:solidFill>
          </w14:textFill>
        </w:rPr>
        <w:t>2.工程测量</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GPS控制点及水准高程控制点资料；1：500带状地形图及合适比例的横断面图；纵、横地线标高数据等。</w:t>
      </w:r>
    </w:p>
    <w:p>
      <w:pPr>
        <w:pStyle w:val="40"/>
        <w:spacing w:line="360" w:lineRule="auto"/>
        <w:rPr>
          <w:rFonts w:hint="eastAsia" w:ascii="-webkit-standard" w:hAnsi="-webkit-standard" w:cs="-webkit-standard"/>
          <w:color w:val="000000" w:themeColor="text1"/>
          <w:sz w:val="27"/>
          <w:szCs w:val="27"/>
          <w:highlight w:val="none"/>
          <w14:textFill>
            <w14:solidFill>
              <w14:schemeClr w14:val="tx1"/>
            </w14:solidFill>
          </w14:textFill>
        </w:rPr>
      </w:pPr>
      <w:r>
        <w:rPr>
          <w:color w:val="000000" w:themeColor="text1"/>
          <w:highlight w:val="none"/>
          <w14:textFill>
            <w14:solidFill>
              <w14:schemeClr w14:val="tx1"/>
            </w14:solidFill>
          </w14:textFill>
        </w:rPr>
        <w:t>3.管线物探</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管线报告；管线成果图。</w:t>
      </w:r>
    </w:p>
    <w:p>
      <w:pPr>
        <w:pStyle w:val="7"/>
        <w:spacing w:before="156" w:after="156" w:line="360" w:lineRule="auto"/>
        <w:rPr>
          <w:rFonts w:ascii="-webkit-standard" w:eastAsia="-webkit-standard" w:cs="-webkit-standard"/>
          <w:color w:val="000000" w:themeColor="text1"/>
          <w:sz w:val="27"/>
          <w:szCs w:val="27"/>
          <w:highlight w:val="none"/>
          <w14:textFill>
            <w14:solidFill>
              <w14:schemeClr w14:val="tx1"/>
            </w14:solidFill>
          </w14:textFill>
        </w:rPr>
      </w:pPr>
      <w:r>
        <w:rPr>
          <w:rFonts w:hint="eastAsia"/>
          <w:color w:val="000000" w:themeColor="text1"/>
          <w:highlight w:val="none"/>
          <w14:textFill>
            <w14:solidFill>
              <w14:schemeClr w14:val="tx1"/>
            </w14:solidFill>
          </w14:textFill>
        </w:rPr>
        <w:t>5.2.2工程设计</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包括方案设计、初步设计两个阶段，各阶段内容应包括但不限于以下内容：</w:t>
      </w:r>
    </w:p>
    <w:p>
      <w:pPr>
        <w:pStyle w:val="40"/>
        <w:spacing w:line="360" w:lineRule="auto"/>
        <w:rPr>
          <w:rFonts w:ascii="-webkit-standard" w:eastAsia="-webkit-standard" w:cs="-webkit-standard"/>
          <w:color w:val="000000" w:themeColor="text1"/>
          <w:sz w:val="27"/>
          <w:szCs w:val="27"/>
          <w:highlight w:val="none"/>
          <w14:textFill>
            <w14:solidFill>
              <w14:schemeClr w14:val="tx1"/>
            </w14:solidFill>
          </w14:textFill>
        </w:rPr>
      </w:pPr>
      <w:r>
        <w:rPr>
          <w:rFonts w:hint="eastAsia"/>
          <w:color w:val="000000" w:themeColor="text1"/>
          <w:highlight w:val="none"/>
          <w14:textFill>
            <w14:solidFill>
              <w14:schemeClr w14:val="tx1"/>
            </w14:solidFill>
          </w14:textFill>
        </w:rPr>
        <w:t>1.方案设计阶段</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①方案设计说明书</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②各专业设计图纸：总平面图、纵断面图、横断面图、主要结构大样图</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③投资估算</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④管线迁改方案</w:t>
      </w:r>
    </w:p>
    <w:p>
      <w:pPr>
        <w:pStyle w:val="40"/>
        <w:spacing w:line="360" w:lineRule="auto"/>
        <w:rPr>
          <w:rFonts w:ascii="-webkit-standard" w:eastAsia="-webkit-standard" w:cs="-webkit-standard"/>
          <w:color w:val="000000" w:themeColor="text1"/>
          <w:sz w:val="27"/>
          <w:szCs w:val="27"/>
          <w:highlight w:val="none"/>
          <w14:textFill>
            <w14:solidFill>
              <w14:schemeClr w14:val="tx1"/>
            </w14:solidFill>
          </w14:textFill>
        </w:rPr>
      </w:pPr>
      <w:r>
        <w:rPr>
          <w:rFonts w:hint="eastAsia"/>
          <w:color w:val="000000" w:themeColor="text1"/>
          <w:highlight w:val="none"/>
          <w14:textFill>
            <w14:solidFill>
              <w14:schemeClr w14:val="tx1"/>
            </w14:solidFill>
          </w14:textFill>
        </w:rPr>
        <w:t>2.初步设计阶段</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①初步设计说明书</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②各专业设计图纸：总平面图、主要专业平面图、纵断面图、横断面图、主要结构及工艺设计图，以及相关方案的比较设计图</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③工程概算</w:t>
      </w:r>
    </w:p>
    <w:p>
      <w:pPr>
        <w:pStyle w:val="6"/>
        <w:spacing w:before="312" w:after="312" w:line="360" w:lineRule="auto"/>
        <w:rPr>
          <w:rFonts w:ascii="-webkit-standard" w:hAnsi="-webkit-standard" w:eastAsia="-webkit-standard" w:cs="-webkit-standard"/>
          <w:color w:val="000000" w:themeColor="text1"/>
          <w:sz w:val="27"/>
          <w:szCs w:val="27"/>
          <w:highlight w:val="none"/>
          <w14:textFill>
            <w14:solidFill>
              <w14:schemeClr w14:val="tx1"/>
            </w14:solidFill>
          </w14:textFill>
        </w:rPr>
      </w:pPr>
      <w:bookmarkStart w:id="74" w:name="_Toc12908"/>
      <w:bookmarkStart w:id="75" w:name="_Toc14301"/>
      <w:r>
        <w:rPr>
          <w:color w:val="000000" w:themeColor="text1"/>
          <w:highlight w:val="none"/>
          <w14:textFill>
            <w14:solidFill>
              <w14:schemeClr w14:val="tx1"/>
            </w14:solidFill>
          </w14:textFill>
        </w:rPr>
        <w:t>5.3 成果形式要求</w:t>
      </w:r>
      <w:bookmarkEnd w:id="74"/>
      <w:bookmarkEnd w:id="75"/>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图纸文件要求：以打印A3（297m×420mm）规格缩印编排装订成册。设计图纸要求图文清晰、完整、规范，能清楚表达设计意图和内容，图纸规格应尽量统一，必须标注比例尺，原则上图纸规格均宜为A3，若有必要，图纸可由A2规格折叠为A3，与文本统一装订成册。（此处只是举例说明，实际要求根据具体项目情况可更改）</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电子文件要求：所有纸质文件均要提供电子文件。文本文件采用*.doc格式或*.pptx格式文件。设计方案矢量图形文件采用*.dwg（AutoCAD2007版）格式文件。所有*.dwg文件需同时转换为*.pdf格式文件（不可修改格式）以备用。dwg文件中图形不要旋转，模型视口指北针要垂直向上，且在电脑中核查的坐标应与所标注的一致，其坐标应严格按合法用地文件坐标输入，不得省略小数点后的位数。电脑渲染图采用*.jpg文件格式。（此处只是举例说明，实际要求根据具体项目情况可更改）</w:t>
      </w:r>
    </w:p>
    <w:p>
      <w:pPr>
        <w:spacing w:line="360" w:lineRule="auto"/>
        <w:ind w:firstLine="482"/>
        <w:rPr>
          <w:rFonts w:hint="eastAsia"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展板文件要求：主要内容包括能反映重要设计内容的有关图纸与简要文字说明，图片比例不限。以A0（1189mm×841mm）图纸规格制作，横幅排版，装裱在轻质板上。同时提交电子文件。（此处只是举例说明，实际要求根据具体项目情况可更改）。</w:t>
      </w:r>
    </w:p>
    <w:p>
      <w:pPr>
        <w:pStyle w:val="5"/>
        <w:spacing w:before="156" w:after="156"/>
        <w:rPr>
          <w:color w:val="000000" w:themeColor="text1"/>
          <w:highlight w:val="none"/>
          <w14:textFill>
            <w14:solidFill>
              <w14:schemeClr w14:val="tx1"/>
            </w14:solidFill>
          </w14:textFill>
        </w:rPr>
      </w:pPr>
      <w:bookmarkStart w:id="76" w:name="_Toc63712619"/>
      <w:bookmarkEnd w:id="76"/>
      <w:bookmarkStart w:id="77" w:name="_Toc26792"/>
      <w:bookmarkStart w:id="78" w:name="_Toc26047"/>
      <w:bookmarkStart w:id="79" w:name="_Toc68273908"/>
      <w:bookmarkStart w:id="80" w:name="_Toc24594"/>
      <w:r>
        <w:rPr>
          <w:color w:val="000000" w:themeColor="text1"/>
          <w:highlight w:val="none"/>
          <w14:textFill>
            <w14:solidFill>
              <w14:schemeClr w14:val="tx1"/>
            </w14:solidFill>
          </w14:textFill>
        </w:rPr>
        <w:t>第</w:t>
      </w:r>
      <w:r>
        <w:rPr>
          <w:rFonts w:hint="eastAsia"/>
          <w:color w:val="000000" w:themeColor="text1"/>
          <w:highlight w:val="none"/>
          <w14:textFill>
            <w14:solidFill>
              <w14:schemeClr w14:val="tx1"/>
            </w14:solidFill>
          </w14:textFill>
        </w:rPr>
        <w:t>七</w:t>
      </w:r>
      <w:r>
        <w:rPr>
          <w:color w:val="000000" w:themeColor="text1"/>
          <w:highlight w:val="none"/>
          <w14:textFill>
            <w14:solidFill>
              <w14:schemeClr w14:val="tx1"/>
            </w14:solidFill>
          </w14:textFill>
        </w:rPr>
        <w:t>章 附则</w:t>
      </w:r>
      <w:bookmarkEnd w:id="77"/>
      <w:bookmarkEnd w:id="78"/>
      <w:bookmarkEnd w:id="79"/>
      <w:bookmarkEnd w:id="80"/>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1．本设计任务书对于设计技术审查与评审办法、中标实施方案的规定、及相关法律责任等方面的规定参照设计文件相应内容执行。</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2．设计成果评审后不予退回。</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3．建设单位有权使用实施方案的设计成果，并根据需要要求设计方对选定的实施方案进行调整或修改。</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4．投标单位在此前所收到的公告、邀请函、通知等文件内容与本技术文件有矛盾时，以技术文件为准；招标期间由招标组织单位发出的有关投标答疑文件与其它文件内容有矛盾时，以日期较晚的文件为准。</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5．投标设计成果有下列情况之一者无效：提交的成果不符合本技术文件规定的成果内容和格式；逾期送达；图示和文字辨认不清、内容不全、深度不够或粗制滥造；投标方案经技术委员会和评审委员会鉴定有明显的抄袭行为；将设计任务转包其他单位；未经招标组织单位同意与其它单位或其他单位个人合作完成设计成果；提交成果未按要求密封。技术审查委员会、评审委员会、招标委员会任一委员会均可裁决投标设计成果无效。</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6．如对本任务书有疑问，按照招标文件的相关规定进行答疑。</w:t>
      </w:r>
    </w:p>
    <w:p>
      <w:pPr>
        <w:spacing w:line="360" w:lineRule="auto"/>
        <w:ind w:firstLine="482"/>
        <w:rPr>
          <w:rFonts w:ascii="仿宋_GB2312" w:eastAsia="仿宋_GB2312"/>
          <w:color w:val="000000" w:themeColor="text1"/>
          <w:sz w:val="24"/>
          <w:szCs w:val="24"/>
          <w:highlight w:val="none"/>
          <w14:textFill>
            <w14:solidFill>
              <w14:schemeClr w14:val="tx1"/>
            </w14:solidFill>
          </w14:textFill>
        </w:rPr>
      </w:pPr>
      <w:r>
        <w:rPr>
          <w:rFonts w:hint="eastAsia" w:ascii="仿宋_GB2312" w:eastAsia="仿宋_GB2312"/>
          <w:color w:val="000000" w:themeColor="text1"/>
          <w:sz w:val="24"/>
          <w:szCs w:val="24"/>
          <w:highlight w:val="none"/>
          <w14:textFill>
            <w14:solidFill>
              <w14:schemeClr w14:val="tx1"/>
            </w14:solidFill>
          </w14:textFill>
        </w:rPr>
        <w:t>7．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p>
      <w:pPr>
        <w:spacing w:line="360" w:lineRule="auto"/>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注：在项目设计及实施过程中，建设单位有权根据项目实际情况、使用方及相关行政审批部门意见对本《任务书》内容进行调整。</w:t>
      </w:r>
    </w:p>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57AC902-C18F-4673-8305-CCEAF34239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D1A405B-5CE2-4ECE-BE66-7A2CE04CAC91}"/>
  </w:font>
  <w:font w:name="仿宋_GB2312">
    <w:panose1 w:val="02010609030101010101"/>
    <w:charset w:val="86"/>
    <w:family w:val="modern"/>
    <w:pitch w:val="default"/>
    <w:sig w:usb0="00000001" w:usb1="080E0000" w:usb2="00000000" w:usb3="00000000" w:csb0="00040000" w:csb1="00000000"/>
    <w:embedRegular r:id="rId3" w:fontKey="{DF84F619-A440-4F19-9CEE-C1443AFA2A3F}"/>
  </w:font>
  <w:font w:name="仿宋">
    <w:panose1 w:val="02010609060101010101"/>
    <w:charset w:val="86"/>
    <w:family w:val="auto"/>
    <w:pitch w:val="default"/>
    <w:sig w:usb0="800002BF" w:usb1="38CF7CFA" w:usb2="00000016" w:usb3="00000000" w:csb0="00040001" w:csb1="00000000"/>
    <w:embedRegular r:id="rId4" w:fontKey="{2D0722F8-B925-4558-8529-EBBE25B48E7F}"/>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embedRegular r:id="rId5" w:fontKey="{AC6E95C0-DCD8-4C54-B355-B349AC507941}"/>
  </w:font>
  <w:font w:name="-webkit-standard">
    <w:altName w:val="Times New Roman"/>
    <w:panose1 w:val="00000000000000000000"/>
    <w:charset w:val="00"/>
    <w:family w:val="auto"/>
    <w:pitch w:val="default"/>
    <w:sig w:usb0="00000000" w:usb1="00000000" w:usb2="00000000" w:usb3="00000000" w:csb0="00000000" w:csb1="00000000"/>
    <w:embedRegular r:id="rId6" w:fontKey="{D924ECD3-DB3A-47F4-8954-2881AEB3AF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996127"/>
      <w:docPartObj>
        <w:docPartGallery w:val="autotext"/>
      </w:docPartObj>
    </w:sdtPr>
    <w:sdtContent>
      <w:p>
        <w:pPr>
          <w:pStyle w:val="22"/>
          <w:jc w:val="center"/>
        </w:pPr>
      </w:p>
    </w:sdtContent>
  </w:sdt>
  <w:p>
    <w:pPr>
      <w:pStyle w:val="2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40</w:t>
    </w:r>
    <w:r>
      <w:rPr>
        <w:lang w:val="zh-CN"/>
      </w:rPr>
      <w:fldChar w:fldCharType="end"/>
    </w:r>
  </w:p>
  <w:p>
    <w:pPr>
      <w:pStyle w:val="2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ind w:firstLine="36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71CD7F"/>
    <w:multiLevelType w:val="singleLevel"/>
    <w:tmpl w:val="9E71CD7F"/>
    <w:lvl w:ilvl="0" w:tentative="0">
      <w:start w:val="1"/>
      <w:numFmt w:val="chineseCounting"/>
      <w:suff w:val="space"/>
      <w:lvlText w:val="第%1章"/>
      <w:lvlJc w:val="left"/>
      <w:rPr>
        <w:rFonts w:hint="eastAsia"/>
      </w:rPr>
    </w:lvl>
  </w:abstractNum>
  <w:abstractNum w:abstractNumId="1">
    <w:nsid w:val="ADD396D0"/>
    <w:multiLevelType w:val="singleLevel"/>
    <w:tmpl w:val="ADD396D0"/>
    <w:lvl w:ilvl="0" w:tentative="0">
      <w:start w:val="2"/>
      <w:numFmt w:val="decimal"/>
      <w:suff w:val="nothing"/>
      <w:lvlText w:val="（%1）"/>
      <w:lvlJc w:val="left"/>
    </w:lvl>
  </w:abstractNum>
  <w:abstractNum w:abstractNumId="2">
    <w:nsid w:val="C27903C6"/>
    <w:multiLevelType w:val="singleLevel"/>
    <w:tmpl w:val="C27903C6"/>
    <w:lvl w:ilvl="0" w:tentative="0">
      <w:start w:val="1"/>
      <w:numFmt w:val="decimal"/>
      <w:suff w:val="nothing"/>
      <w:lvlText w:val="%1．"/>
      <w:lvlJc w:val="left"/>
      <w:pPr>
        <w:ind w:left="0" w:firstLine="400"/>
      </w:pPr>
      <w:rPr>
        <w:rFonts w:hint="default"/>
      </w:rPr>
    </w:lvl>
  </w:abstractNum>
  <w:abstractNum w:abstractNumId="3">
    <w:nsid w:val="E5CFD398"/>
    <w:multiLevelType w:val="multilevel"/>
    <w:tmpl w:val="E5CFD39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6081507"/>
    <w:multiLevelType w:val="multilevel"/>
    <w:tmpl w:val="06081507"/>
    <w:lvl w:ilvl="0" w:tentative="0">
      <w:start w:val="1"/>
      <w:numFmt w:val="decimal"/>
      <w:suff w:val="nothing"/>
      <w:lvlText w:val="%1）"/>
      <w:lvlJc w:val="left"/>
      <w:pPr>
        <w:ind w:left="-480" w:firstLine="480"/>
      </w:pPr>
      <w:rPr>
        <w:rFonts w:hint="default" w:ascii="Times New Roman" w:hAnsi="Times New Roman" w:eastAsia="宋体"/>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B4C661D"/>
    <w:multiLevelType w:val="multilevel"/>
    <w:tmpl w:val="1B4C661D"/>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1CF63861"/>
    <w:multiLevelType w:val="multilevel"/>
    <w:tmpl w:val="1CF63861"/>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233E4873"/>
    <w:multiLevelType w:val="multilevel"/>
    <w:tmpl w:val="233E4873"/>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DF446CA"/>
    <w:multiLevelType w:val="singleLevel"/>
    <w:tmpl w:val="2DF446CA"/>
    <w:lvl w:ilvl="0" w:tentative="0">
      <w:start w:val="1"/>
      <w:numFmt w:val="decimal"/>
      <w:suff w:val="nothing"/>
      <w:lvlText w:val="（%1）"/>
      <w:lvlJc w:val="left"/>
    </w:lvl>
  </w:abstractNum>
  <w:abstractNum w:abstractNumId="9">
    <w:nsid w:val="48B25007"/>
    <w:multiLevelType w:val="multilevel"/>
    <w:tmpl w:val="48B25007"/>
    <w:lvl w:ilvl="0" w:tentative="0">
      <w:start w:val="1"/>
      <w:numFmt w:val="decimal"/>
      <w:lvlText w:val="表3-%1"/>
      <w:lvlJc w:val="center"/>
      <w:pPr>
        <w:ind w:left="420" w:hanging="420"/>
      </w:pPr>
      <w:rPr>
        <w:rFonts w:hint="default" w:ascii="宋体" w:hAnsi="宋体" w:eastAsia="宋体" w:cs="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11566FA"/>
    <w:multiLevelType w:val="multilevel"/>
    <w:tmpl w:val="511566FA"/>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AA12486"/>
    <w:multiLevelType w:val="multilevel"/>
    <w:tmpl w:val="5AA12486"/>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697028A5"/>
    <w:multiLevelType w:val="multilevel"/>
    <w:tmpl w:val="697028A5"/>
    <w:lvl w:ilvl="0" w:tentative="0">
      <w:start w:val="1"/>
      <w:numFmt w:val="decimal"/>
      <w:suff w:val="nothing"/>
      <w:lvlText w:val="%1）"/>
      <w:lvlJc w:val="left"/>
      <w:pPr>
        <w:ind w:left="0" w:firstLine="48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1048196"/>
    <w:multiLevelType w:val="singleLevel"/>
    <w:tmpl w:val="71048196"/>
    <w:lvl w:ilvl="0" w:tentative="0">
      <w:start w:val="1"/>
      <w:numFmt w:val="decimal"/>
      <w:suff w:val="nothing"/>
      <w:lvlText w:val="%1）"/>
      <w:lvlJc w:val="left"/>
    </w:lvl>
  </w:abstractNum>
  <w:abstractNum w:abstractNumId="14">
    <w:nsid w:val="73931404"/>
    <w:multiLevelType w:val="multilevel"/>
    <w:tmpl w:val="73931404"/>
    <w:lvl w:ilvl="0" w:tentative="0">
      <w:start w:val="1"/>
      <w:numFmt w:val="decimal"/>
      <w:suff w:val="nothing"/>
      <w:lvlText w:val="%1）"/>
      <w:lvlJc w:val="left"/>
      <w:pPr>
        <w:ind w:left="900" w:hanging="420"/>
      </w:pPr>
      <w:rPr>
        <w:rFonts w:hint="default" w:ascii="Times New Roman" w:hAnsi="Times New Roman" w:eastAsia="宋体"/>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 w:numId="2">
    <w:abstractNumId w:val="3"/>
  </w:num>
  <w:num w:numId="3">
    <w:abstractNumId w:val="2"/>
  </w:num>
  <w:num w:numId="4">
    <w:abstractNumId w:val="6"/>
  </w:num>
  <w:num w:numId="5">
    <w:abstractNumId w:val="9"/>
  </w:num>
  <w:num w:numId="6">
    <w:abstractNumId w:val="12"/>
  </w:num>
  <w:num w:numId="7">
    <w:abstractNumId w:val="1"/>
  </w:num>
  <w:num w:numId="8">
    <w:abstractNumId w:val="4"/>
  </w:num>
  <w:num w:numId="9">
    <w:abstractNumId w:val="11"/>
  </w:num>
  <w:num w:numId="10">
    <w:abstractNumId w:val="8"/>
  </w:num>
  <w:num w:numId="11">
    <w:abstractNumId w:val="13"/>
  </w:num>
  <w:num w:numId="12">
    <w:abstractNumId w:val="7"/>
  </w:num>
  <w:num w:numId="13">
    <w:abstractNumId w:val="10"/>
  </w:num>
  <w:num w:numId="14">
    <w:abstractNumId w:val="1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DMwMjAwZmQ1YWIzMWY0NmZkMGQyOTUyYWFhMjcifQ=="/>
  </w:docVars>
  <w:rsids>
    <w:rsidRoot w:val="00F90A7F"/>
    <w:rsid w:val="00046312"/>
    <w:rsid w:val="00232CF6"/>
    <w:rsid w:val="002B06D1"/>
    <w:rsid w:val="003172B8"/>
    <w:rsid w:val="00344A4E"/>
    <w:rsid w:val="00346E77"/>
    <w:rsid w:val="00391628"/>
    <w:rsid w:val="003F7ECB"/>
    <w:rsid w:val="004358C2"/>
    <w:rsid w:val="00440871"/>
    <w:rsid w:val="00470279"/>
    <w:rsid w:val="0050314C"/>
    <w:rsid w:val="00622526"/>
    <w:rsid w:val="006B345C"/>
    <w:rsid w:val="006D4F02"/>
    <w:rsid w:val="008448A6"/>
    <w:rsid w:val="00866FDE"/>
    <w:rsid w:val="00951F35"/>
    <w:rsid w:val="00955DCF"/>
    <w:rsid w:val="009864F3"/>
    <w:rsid w:val="009D37EE"/>
    <w:rsid w:val="009D4560"/>
    <w:rsid w:val="009E21DA"/>
    <w:rsid w:val="00A11742"/>
    <w:rsid w:val="00A24E1F"/>
    <w:rsid w:val="00A27760"/>
    <w:rsid w:val="00A62FD1"/>
    <w:rsid w:val="00A76083"/>
    <w:rsid w:val="00AB2AE9"/>
    <w:rsid w:val="00AF6FC7"/>
    <w:rsid w:val="00B6530E"/>
    <w:rsid w:val="00BC091F"/>
    <w:rsid w:val="00C1248E"/>
    <w:rsid w:val="00C93B03"/>
    <w:rsid w:val="00D01EB9"/>
    <w:rsid w:val="00D424B3"/>
    <w:rsid w:val="00D655F6"/>
    <w:rsid w:val="00DE275E"/>
    <w:rsid w:val="00E32DA6"/>
    <w:rsid w:val="00E76DC4"/>
    <w:rsid w:val="00EE5C00"/>
    <w:rsid w:val="00F074C4"/>
    <w:rsid w:val="00F17299"/>
    <w:rsid w:val="00F90A7F"/>
    <w:rsid w:val="00FF0823"/>
    <w:rsid w:val="01211AD4"/>
    <w:rsid w:val="01CE3A0A"/>
    <w:rsid w:val="02503EC4"/>
    <w:rsid w:val="037615D4"/>
    <w:rsid w:val="042E0790"/>
    <w:rsid w:val="04910D1F"/>
    <w:rsid w:val="04C335CE"/>
    <w:rsid w:val="04F75026"/>
    <w:rsid w:val="05467D5B"/>
    <w:rsid w:val="05504736"/>
    <w:rsid w:val="05F23A3F"/>
    <w:rsid w:val="064F2C3F"/>
    <w:rsid w:val="06D118A6"/>
    <w:rsid w:val="07126147"/>
    <w:rsid w:val="073A38EF"/>
    <w:rsid w:val="07C37441"/>
    <w:rsid w:val="081B102B"/>
    <w:rsid w:val="083E2F6B"/>
    <w:rsid w:val="094D790A"/>
    <w:rsid w:val="09D73678"/>
    <w:rsid w:val="0A5B046A"/>
    <w:rsid w:val="0A863103"/>
    <w:rsid w:val="0AD57BB7"/>
    <w:rsid w:val="0BB05F2E"/>
    <w:rsid w:val="0BDC31C7"/>
    <w:rsid w:val="0C3703FE"/>
    <w:rsid w:val="0C8C699B"/>
    <w:rsid w:val="0CDF2F6F"/>
    <w:rsid w:val="0ECE5049"/>
    <w:rsid w:val="0FD77F2D"/>
    <w:rsid w:val="102E38C6"/>
    <w:rsid w:val="104F21BA"/>
    <w:rsid w:val="10B202E7"/>
    <w:rsid w:val="10D26947"/>
    <w:rsid w:val="11496C09"/>
    <w:rsid w:val="116C6D9B"/>
    <w:rsid w:val="13B956D3"/>
    <w:rsid w:val="14215C1B"/>
    <w:rsid w:val="146E6986"/>
    <w:rsid w:val="14B4083D"/>
    <w:rsid w:val="14CD7B51"/>
    <w:rsid w:val="154871D8"/>
    <w:rsid w:val="15FF43E8"/>
    <w:rsid w:val="160E7EA8"/>
    <w:rsid w:val="16461969"/>
    <w:rsid w:val="166E0EC0"/>
    <w:rsid w:val="167B68FA"/>
    <w:rsid w:val="16D03928"/>
    <w:rsid w:val="17AD77C6"/>
    <w:rsid w:val="18A90101"/>
    <w:rsid w:val="18C63235"/>
    <w:rsid w:val="18D70F9E"/>
    <w:rsid w:val="18DC0363"/>
    <w:rsid w:val="19105554"/>
    <w:rsid w:val="192561AE"/>
    <w:rsid w:val="19314B52"/>
    <w:rsid w:val="19974537"/>
    <w:rsid w:val="1B0911B7"/>
    <w:rsid w:val="1BAB226E"/>
    <w:rsid w:val="1BBE4697"/>
    <w:rsid w:val="1DB01DBE"/>
    <w:rsid w:val="1DB21FDA"/>
    <w:rsid w:val="1F0827F2"/>
    <w:rsid w:val="1F15637C"/>
    <w:rsid w:val="1FB77434"/>
    <w:rsid w:val="2032134B"/>
    <w:rsid w:val="20E56222"/>
    <w:rsid w:val="21ED538F"/>
    <w:rsid w:val="225673D8"/>
    <w:rsid w:val="22C75BE0"/>
    <w:rsid w:val="231352C9"/>
    <w:rsid w:val="23A91789"/>
    <w:rsid w:val="23D04F68"/>
    <w:rsid w:val="23D74548"/>
    <w:rsid w:val="23DF164F"/>
    <w:rsid w:val="247E7AD8"/>
    <w:rsid w:val="24973CD7"/>
    <w:rsid w:val="25B14925"/>
    <w:rsid w:val="25CC50FC"/>
    <w:rsid w:val="261A2885"/>
    <w:rsid w:val="26B20955"/>
    <w:rsid w:val="27A205AB"/>
    <w:rsid w:val="28335AC5"/>
    <w:rsid w:val="29CB06AB"/>
    <w:rsid w:val="2A3C3357"/>
    <w:rsid w:val="2B5D17D7"/>
    <w:rsid w:val="2B6A3EF4"/>
    <w:rsid w:val="2D2307FE"/>
    <w:rsid w:val="2D7E7168"/>
    <w:rsid w:val="2E0779D8"/>
    <w:rsid w:val="2E0E500A"/>
    <w:rsid w:val="2E444588"/>
    <w:rsid w:val="2EED10C4"/>
    <w:rsid w:val="30202DD3"/>
    <w:rsid w:val="30DA5678"/>
    <w:rsid w:val="311961A0"/>
    <w:rsid w:val="3207249C"/>
    <w:rsid w:val="329F5817"/>
    <w:rsid w:val="32C91500"/>
    <w:rsid w:val="33201700"/>
    <w:rsid w:val="33F22CD8"/>
    <w:rsid w:val="33F56325"/>
    <w:rsid w:val="34030A42"/>
    <w:rsid w:val="34452E08"/>
    <w:rsid w:val="364A0BAA"/>
    <w:rsid w:val="36A858D0"/>
    <w:rsid w:val="3825542A"/>
    <w:rsid w:val="393E3825"/>
    <w:rsid w:val="39E80634"/>
    <w:rsid w:val="3A2E433E"/>
    <w:rsid w:val="3C157564"/>
    <w:rsid w:val="3C7E77FF"/>
    <w:rsid w:val="3CF03B2D"/>
    <w:rsid w:val="3D9F77B8"/>
    <w:rsid w:val="3DA74B9A"/>
    <w:rsid w:val="3DFC6C2D"/>
    <w:rsid w:val="3E265A58"/>
    <w:rsid w:val="3EA51073"/>
    <w:rsid w:val="3EC51C40"/>
    <w:rsid w:val="3F9335C1"/>
    <w:rsid w:val="3FEA47E1"/>
    <w:rsid w:val="40204729"/>
    <w:rsid w:val="40534AFF"/>
    <w:rsid w:val="405F16F6"/>
    <w:rsid w:val="40CD2B03"/>
    <w:rsid w:val="424F3F3D"/>
    <w:rsid w:val="425A2175"/>
    <w:rsid w:val="435412BA"/>
    <w:rsid w:val="43635059"/>
    <w:rsid w:val="437E0E2E"/>
    <w:rsid w:val="43A63197"/>
    <w:rsid w:val="43B27D8E"/>
    <w:rsid w:val="440C749E"/>
    <w:rsid w:val="44906321"/>
    <w:rsid w:val="456D0411"/>
    <w:rsid w:val="4578488B"/>
    <w:rsid w:val="45BC6CA2"/>
    <w:rsid w:val="45BE6EBE"/>
    <w:rsid w:val="46116FEE"/>
    <w:rsid w:val="46FC7C9E"/>
    <w:rsid w:val="47A0687C"/>
    <w:rsid w:val="47F22E4F"/>
    <w:rsid w:val="499C3073"/>
    <w:rsid w:val="49CA5E32"/>
    <w:rsid w:val="49E52C6C"/>
    <w:rsid w:val="4AB664F1"/>
    <w:rsid w:val="4AC22FAD"/>
    <w:rsid w:val="4B9366F7"/>
    <w:rsid w:val="4BE551A5"/>
    <w:rsid w:val="4CD60F91"/>
    <w:rsid w:val="4D331F40"/>
    <w:rsid w:val="4DB43081"/>
    <w:rsid w:val="4DBC0187"/>
    <w:rsid w:val="4DC1322A"/>
    <w:rsid w:val="4DDE62FD"/>
    <w:rsid w:val="4E0B6A19"/>
    <w:rsid w:val="50B138A7"/>
    <w:rsid w:val="51823496"/>
    <w:rsid w:val="518E1E3B"/>
    <w:rsid w:val="52FE6B4C"/>
    <w:rsid w:val="53F710E9"/>
    <w:rsid w:val="5411465D"/>
    <w:rsid w:val="54232D0E"/>
    <w:rsid w:val="56C65BD3"/>
    <w:rsid w:val="577D0987"/>
    <w:rsid w:val="586B07E0"/>
    <w:rsid w:val="58847AF3"/>
    <w:rsid w:val="58C148A4"/>
    <w:rsid w:val="5B5E63DA"/>
    <w:rsid w:val="5BC00E43"/>
    <w:rsid w:val="5BC546AB"/>
    <w:rsid w:val="5BC97797"/>
    <w:rsid w:val="5C084598"/>
    <w:rsid w:val="5E005E6E"/>
    <w:rsid w:val="5E162A3B"/>
    <w:rsid w:val="5EFD0600"/>
    <w:rsid w:val="5FBA3DFB"/>
    <w:rsid w:val="5FDF1357"/>
    <w:rsid w:val="60786190"/>
    <w:rsid w:val="61A15272"/>
    <w:rsid w:val="62C50D63"/>
    <w:rsid w:val="63DC4C88"/>
    <w:rsid w:val="646802C9"/>
    <w:rsid w:val="646F3406"/>
    <w:rsid w:val="64F32289"/>
    <w:rsid w:val="656F7435"/>
    <w:rsid w:val="66650F64"/>
    <w:rsid w:val="67D55C76"/>
    <w:rsid w:val="681C38A5"/>
    <w:rsid w:val="68DD7F10"/>
    <w:rsid w:val="6938470E"/>
    <w:rsid w:val="69502D4F"/>
    <w:rsid w:val="6954706E"/>
    <w:rsid w:val="69FD7706"/>
    <w:rsid w:val="6AC554D9"/>
    <w:rsid w:val="6C44161C"/>
    <w:rsid w:val="6E2E4332"/>
    <w:rsid w:val="6E804461"/>
    <w:rsid w:val="705C33D8"/>
    <w:rsid w:val="70932B72"/>
    <w:rsid w:val="70E70A07"/>
    <w:rsid w:val="710B095A"/>
    <w:rsid w:val="724A54B2"/>
    <w:rsid w:val="72587BCF"/>
    <w:rsid w:val="72646574"/>
    <w:rsid w:val="74251D33"/>
    <w:rsid w:val="749018A2"/>
    <w:rsid w:val="74D6302D"/>
    <w:rsid w:val="74F82FA3"/>
    <w:rsid w:val="75C07F8B"/>
    <w:rsid w:val="75D457BF"/>
    <w:rsid w:val="78A74AFF"/>
    <w:rsid w:val="79654980"/>
    <w:rsid w:val="79984D55"/>
    <w:rsid w:val="7A41719B"/>
    <w:rsid w:val="7A6F5AB6"/>
    <w:rsid w:val="7A9B68AB"/>
    <w:rsid w:val="7DA63EE4"/>
    <w:rsid w:val="7E266DD3"/>
    <w:rsid w:val="7E9006F1"/>
    <w:rsid w:val="7EAB552B"/>
    <w:rsid w:val="7ECA3C03"/>
    <w:rsid w:val="7F4A6AF1"/>
    <w:rsid w:val="7F932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link w:val="37"/>
    <w:qFormat/>
    <w:uiPriority w:val="0"/>
    <w:pPr>
      <w:keepNext/>
      <w:keepLines/>
      <w:spacing w:beforeLines="50" w:afterLines="50" w:line="360" w:lineRule="auto"/>
      <w:jc w:val="center"/>
      <w:outlineLvl w:val="0"/>
    </w:pPr>
    <w:rPr>
      <w:rFonts w:ascii="仿宋_GB2312" w:hAnsi="仿宋_GB2312" w:eastAsia="仿宋_GB2312" w:cs="Times New Roman"/>
      <w:b/>
      <w:bCs/>
      <w:kern w:val="44"/>
      <w:sz w:val="36"/>
      <w:szCs w:val="44"/>
    </w:rPr>
  </w:style>
  <w:style w:type="paragraph" w:styleId="6">
    <w:name w:val="heading 2"/>
    <w:basedOn w:val="1"/>
    <w:next w:val="1"/>
    <w:link w:val="38"/>
    <w:qFormat/>
    <w:uiPriority w:val="0"/>
    <w:pPr>
      <w:keepNext/>
      <w:keepLines/>
      <w:spacing w:beforeLines="100" w:afterLines="100" w:line="360" w:lineRule="auto"/>
      <w:jc w:val="left"/>
      <w:outlineLvl w:val="1"/>
    </w:pPr>
    <w:rPr>
      <w:rFonts w:ascii="黑体" w:hAnsi="黑体" w:eastAsia="黑体" w:cs="Times New Roman"/>
      <w:bCs/>
      <w:sz w:val="30"/>
      <w:szCs w:val="32"/>
    </w:rPr>
  </w:style>
  <w:style w:type="paragraph" w:styleId="7">
    <w:name w:val="heading 3"/>
    <w:basedOn w:val="1"/>
    <w:next w:val="1"/>
    <w:link w:val="39"/>
    <w:qFormat/>
    <w:uiPriority w:val="0"/>
    <w:pPr>
      <w:keepNext/>
      <w:keepLines/>
      <w:spacing w:beforeLines="50" w:afterLines="50" w:line="360" w:lineRule="auto"/>
      <w:jc w:val="left"/>
      <w:outlineLvl w:val="2"/>
    </w:pPr>
    <w:rPr>
      <w:rFonts w:ascii="仿宋_GB2312" w:hAnsi="仿宋_GB2312" w:eastAsia="仿宋_GB2312" w:cs="Times New Roman"/>
      <w:b/>
      <w:bCs/>
      <w:sz w:val="24"/>
      <w:szCs w:val="32"/>
    </w:rPr>
  </w:style>
  <w:style w:type="paragraph" w:styleId="8">
    <w:name w:val="heading 4"/>
    <w:basedOn w:val="7"/>
    <w:next w:val="1"/>
    <w:link w:val="44"/>
    <w:qFormat/>
    <w:uiPriority w:val="0"/>
    <w:pPr>
      <w:spacing w:line="415" w:lineRule="auto"/>
      <w:ind w:left="864" w:hanging="864"/>
      <w:outlineLvl w:val="3"/>
    </w:pPr>
    <w:rPr>
      <w:rFonts w:ascii="宋体" w:hAnsi="宋体" w:eastAsia="黑体"/>
      <w:b w:val="0"/>
      <w:color w:val="000000"/>
      <w:kern w:val="0"/>
      <w:sz w:val="28"/>
    </w:rPr>
  </w:style>
  <w:style w:type="paragraph" w:styleId="9">
    <w:name w:val="heading 5"/>
    <w:basedOn w:val="1"/>
    <w:next w:val="1"/>
    <w:link w:val="45"/>
    <w:qFormat/>
    <w:uiPriority w:val="0"/>
    <w:pPr>
      <w:keepNext/>
      <w:keepLines/>
      <w:spacing w:before="280" w:after="290" w:line="376" w:lineRule="auto"/>
      <w:ind w:left="1008" w:hanging="1008" w:firstLineChars="200"/>
      <w:jc w:val="left"/>
      <w:outlineLvl w:val="4"/>
    </w:pPr>
    <w:rPr>
      <w:rFonts w:ascii="Times New Roman" w:hAnsi="Times New Roman" w:eastAsia="黑体" w:cs="Times New Roman"/>
      <w:bCs/>
      <w:kern w:val="0"/>
      <w:sz w:val="24"/>
      <w:szCs w:val="28"/>
    </w:rPr>
  </w:style>
  <w:style w:type="paragraph" w:styleId="10">
    <w:name w:val="heading 6"/>
    <w:basedOn w:val="1"/>
    <w:next w:val="1"/>
    <w:link w:val="46"/>
    <w:qFormat/>
    <w:uiPriority w:val="0"/>
    <w:pPr>
      <w:keepNext/>
      <w:keepLines/>
      <w:spacing w:before="240" w:after="64" w:line="320" w:lineRule="auto"/>
      <w:ind w:left="1152" w:hanging="1152" w:firstLineChars="200"/>
      <w:jc w:val="left"/>
      <w:outlineLvl w:val="5"/>
    </w:pPr>
    <w:rPr>
      <w:rFonts w:ascii="Arial" w:hAnsi="Arial" w:eastAsia="黑体" w:cs="Times New Roman"/>
      <w:b/>
      <w:bCs/>
      <w:kern w:val="0"/>
      <w:sz w:val="24"/>
      <w:szCs w:val="24"/>
    </w:rPr>
  </w:style>
  <w:style w:type="paragraph" w:styleId="11">
    <w:name w:val="heading 7"/>
    <w:basedOn w:val="1"/>
    <w:next w:val="1"/>
    <w:link w:val="47"/>
    <w:qFormat/>
    <w:uiPriority w:val="0"/>
    <w:pPr>
      <w:keepNext/>
      <w:keepLines/>
      <w:tabs>
        <w:tab w:val="left" w:pos="1296"/>
      </w:tabs>
      <w:spacing w:before="240" w:after="64" w:line="320" w:lineRule="auto"/>
      <w:ind w:left="1296" w:hanging="1296" w:firstLineChars="200"/>
      <w:jc w:val="left"/>
      <w:outlineLvl w:val="6"/>
    </w:pPr>
    <w:rPr>
      <w:rFonts w:ascii="Times New Roman" w:hAnsi="Times New Roman" w:eastAsia="仿宋" w:cs="Times New Roman"/>
      <w:b/>
      <w:bCs/>
      <w:kern w:val="0"/>
      <w:sz w:val="24"/>
      <w:szCs w:val="24"/>
    </w:rPr>
  </w:style>
  <w:style w:type="paragraph" w:styleId="12">
    <w:name w:val="heading 8"/>
    <w:basedOn w:val="1"/>
    <w:next w:val="1"/>
    <w:link w:val="48"/>
    <w:qFormat/>
    <w:uiPriority w:val="0"/>
    <w:pPr>
      <w:keepNext/>
      <w:keepLines/>
      <w:tabs>
        <w:tab w:val="left" w:pos="1440"/>
      </w:tabs>
      <w:spacing w:before="240" w:after="64" w:line="320" w:lineRule="auto"/>
      <w:ind w:left="1440" w:hanging="1440" w:firstLineChars="200"/>
      <w:jc w:val="left"/>
      <w:outlineLvl w:val="7"/>
    </w:pPr>
    <w:rPr>
      <w:rFonts w:ascii="Arial" w:hAnsi="Arial" w:eastAsia="黑体" w:cs="Times New Roman"/>
      <w:kern w:val="0"/>
      <w:sz w:val="24"/>
      <w:szCs w:val="24"/>
    </w:rPr>
  </w:style>
  <w:style w:type="paragraph" w:styleId="13">
    <w:name w:val="heading 9"/>
    <w:basedOn w:val="1"/>
    <w:next w:val="1"/>
    <w:link w:val="49"/>
    <w:qFormat/>
    <w:uiPriority w:val="0"/>
    <w:pPr>
      <w:keepNext/>
      <w:keepLines/>
      <w:tabs>
        <w:tab w:val="left" w:pos="1584"/>
      </w:tabs>
      <w:spacing w:before="240" w:after="64" w:line="320" w:lineRule="auto"/>
      <w:ind w:left="1584" w:hanging="1584" w:firstLineChars="200"/>
      <w:jc w:val="left"/>
      <w:outlineLvl w:val="8"/>
    </w:pPr>
    <w:rPr>
      <w:rFonts w:ascii="Arial" w:hAnsi="Arial" w:eastAsia="黑体" w:cs="Times New Roman"/>
      <w:kern w:val="0"/>
      <w:sz w:val="20"/>
      <w:szCs w:val="21"/>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customStyle="1" w:styleId="2">
    <w:name w:val="1 三级目录"/>
    <w:basedOn w:val="3"/>
    <w:qFormat/>
    <w:uiPriority w:val="0"/>
    <w:pPr>
      <w:spacing w:after="0"/>
      <w:outlineLvl w:val="2"/>
    </w:pPr>
    <w:rPr>
      <w:b w:val="0"/>
      <w:color w:val="7030A0"/>
      <w:sz w:val="28"/>
    </w:rPr>
  </w:style>
  <w:style w:type="paragraph" w:customStyle="1" w:styleId="3">
    <w:name w:val="1 二级目录"/>
    <w:basedOn w:val="4"/>
    <w:qFormat/>
    <w:uiPriority w:val="0"/>
    <w:pPr>
      <w:spacing w:afterLines="0"/>
      <w:outlineLvl w:val="1"/>
    </w:pPr>
    <w:rPr>
      <w:color w:val="0000FF"/>
      <w:sz w:val="30"/>
    </w:rPr>
  </w:style>
  <w:style w:type="paragraph" w:customStyle="1" w:styleId="4">
    <w:name w:val="1 一级目录"/>
    <w:basedOn w:val="1"/>
    <w:qFormat/>
    <w:uiPriority w:val="0"/>
    <w:pPr>
      <w:spacing w:before="50" w:beforeLines="50" w:after="50" w:afterLines="50"/>
      <w:ind w:firstLine="0" w:firstLineChars="0"/>
      <w:outlineLvl w:val="0"/>
    </w:pPr>
    <w:rPr>
      <w:rFonts w:ascii="黑体" w:hAnsi="黑体" w:eastAsia="黑体"/>
      <w:b/>
      <w:color w:val="4BACC6" w:themeColor="accent5"/>
      <w:sz w:val="32"/>
      <w:szCs w:val="32"/>
      <w14:textFill>
        <w14:solidFill>
          <w14:schemeClr w14:val="accent5"/>
        </w14:solidFill>
      </w14:textFill>
    </w:rPr>
  </w:style>
  <w:style w:type="paragraph" w:styleId="14">
    <w:name w:val="Normal Indent"/>
    <w:basedOn w:val="1"/>
    <w:qFormat/>
    <w:uiPriority w:val="0"/>
    <w:pPr>
      <w:spacing w:line="360" w:lineRule="auto"/>
      <w:ind w:firstLine="420" w:firstLineChars="200"/>
      <w:jc w:val="left"/>
    </w:pPr>
    <w:rPr>
      <w:rFonts w:ascii="仿宋_GB2312" w:hAnsi="仿宋_GB2312" w:eastAsia="仿宋_GB2312" w:cs="仿宋_GB2312"/>
      <w:sz w:val="24"/>
      <w:szCs w:val="24"/>
    </w:rPr>
  </w:style>
  <w:style w:type="paragraph" w:styleId="15">
    <w:name w:val="caption"/>
    <w:basedOn w:val="1"/>
    <w:next w:val="1"/>
    <w:qFormat/>
    <w:uiPriority w:val="0"/>
    <w:pPr>
      <w:adjustRightInd w:val="0"/>
      <w:snapToGrid w:val="0"/>
      <w:spacing w:beforeLines="20" w:afterLines="20"/>
      <w:ind w:firstLine="200" w:firstLineChars="200"/>
      <w:jc w:val="left"/>
      <w:textAlignment w:val="baseline"/>
    </w:pPr>
    <w:rPr>
      <w:rFonts w:ascii="仿宋_GB2312" w:hAnsi="仿宋_GB2312" w:eastAsia="黑体" w:cs="宋体"/>
      <w:kern w:val="0"/>
      <w:szCs w:val="20"/>
    </w:rPr>
  </w:style>
  <w:style w:type="paragraph" w:styleId="16">
    <w:name w:val="annotation text"/>
    <w:basedOn w:val="1"/>
    <w:link w:val="60"/>
    <w:unhideWhenUsed/>
    <w:qFormat/>
    <w:uiPriority w:val="99"/>
    <w:pPr>
      <w:spacing w:line="360" w:lineRule="auto"/>
      <w:ind w:firstLine="200" w:firstLineChars="200"/>
      <w:jc w:val="left"/>
    </w:pPr>
    <w:rPr>
      <w:rFonts w:ascii="Times New Roman" w:hAnsi="Times New Roman" w:eastAsia="仿宋" w:cs="Times New Roman"/>
      <w:sz w:val="24"/>
      <w:szCs w:val="24"/>
    </w:rPr>
  </w:style>
  <w:style w:type="paragraph" w:styleId="17">
    <w:name w:val="Body Text"/>
    <w:basedOn w:val="1"/>
    <w:unhideWhenUsed/>
    <w:qFormat/>
    <w:uiPriority w:val="0"/>
    <w:pPr>
      <w:widowControl w:val="0"/>
      <w:spacing w:before="0" w:after="120"/>
      <w:ind w:left="0" w:right="0"/>
      <w:jc w:val="both"/>
    </w:pPr>
    <w:rPr>
      <w:rFonts w:ascii="Times New Roman" w:hAnsi="Times New Roman" w:eastAsia="宋体" w:cs="Times New Roman"/>
      <w:sz w:val="44"/>
      <w:szCs w:val="20"/>
    </w:rPr>
  </w:style>
  <w:style w:type="paragraph" w:styleId="18">
    <w:name w:val="toc 3"/>
    <w:basedOn w:val="1"/>
    <w:next w:val="1"/>
    <w:unhideWhenUsed/>
    <w:qFormat/>
    <w:uiPriority w:val="39"/>
    <w:pPr>
      <w:spacing w:line="360" w:lineRule="auto"/>
      <w:ind w:left="840" w:leftChars="400" w:firstLine="200" w:firstLineChars="200"/>
      <w:jc w:val="left"/>
    </w:pPr>
    <w:rPr>
      <w:rFonts w:ascii="仿宋_GB2312" w:hAnsi="仿宋_GB2312" w:eastAsia="仿宋_GB2312" w:cs="仿宋_GB2312"/>
      <w:sz w:val="24"/>
      <w:szCs w:val="24"/>
    </w:rPr>
  </w:style>
  <w:style w:type="paragraph" w:styleId="19">
    <w:name w:val="Plain Text"/>
    <w:basedOn w:val="1"/>
    <w:link w:val="59"/>
    <w:qFormat/>
    <w:uiPriority w:val="0"/>
    <w:pPr>
      <w:jc w:val="left"/>
    </w:pPr>
    <w:rPr>
      <w:rFonts w:ascii="宋体" w:hAnsi="Courier New" w:eastAsia="宋体" w:cs="Times New Roman"/>
      <w:szCs w:val="24"/>
    </w:rPr>
  </w:style>
  <w:style w:type="paragraph" w:styleId="20">
    <w:name w:val="Date"/>
    <w:basedOn w:val="1"/>
    <w:next w:val="1"/>
    <w:link w:val="36"/>
    <w:unhideWhenUsed/>
    <w:qFormat/>
    <w:uiPriority w:val="99"/>
    <w:pPr>
      <w:ind w:left="100" w:leftChars="2500"/>
    </w:pPr>
  </w:style>
  <w:style w:type="paragraph" w:styleId="21">
    <w:name w:val="Balloon Text"/>
    <w:basedOn w:val="1"/>
    <w:link w:val="62"/>
    <w:unhideWhenUsed/>
    <w:qFormat/>
    <w:uiPriority w:val="99"/>
    <w:pPr>
      <w:ind w:firstLine="200" w:firstLineChars="200"/>
      <w:jc w:val="left"/>
    </w:pPr>
    <w:rPr>
      <w:rFonts w:ascii="Times New Roman" w:hAnsi="Times New Roman" w:eastAsia="仿宋" w:cs="Times New Roman"/>
      <w:sz w:val="18"/>
      <w:szCs w:val="18"/>
    </w:rPr>
  </w:style>
  <w:style w:type="paragraph" w:styleId="22">
    <w:name w:val="footer"/>
    <w:basedOn w:val="1"/>
    <w:link w:val="35"/>
    <w:unhideWhenUsed/>
    <w:qFormat/>
    <w:uiPriority w:val="99"/>
    <w:pPr>
      <w:tabs>
        <w:tab w:val="center" w:pos="4153"/>
        <w:tab w:val="right" w:pos="8306"/>
      </w:tabs>
      <w:snapToGrid w:val="0"/>
      <w:jc w:val="left"/>
    </w:pPr>
    <w:rPr>
      <w:sz w:val="18"/>
      <w:szCs w:val="18"/>
    </w:rPr>
  </w:style>
  <w:style w:type="paragraph" w:styleId="23">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unhideWhenUsed/>
    <w:qFormat/>
    <w:uiPriority w:val="39"/>
    <w:pPr>
      <w:spacing w:line="360" w:lineRule="auto"/>
      <w:jc w:val="left"/>
    </w:pPr>
    <w:rPr>
      <w:rFonts w:ascii="仿宋_GB2312" w:hAnsi="仿宋_GB2312" w:eastAsia="仿宋" w:cs="仿宋_GB2312"/>
      <w:b/>
      <w:sz w:val="28"/>
      <w:szCs w:val="24"/>
    </w:rPr>
  </w:style>
  <w:style w:type="paragraph" w:styleId="25">
    <w:name w:val="toc 2"/>
    <w:basedOn w:val="1"/>
    <w:next w:val="1"/>
    <w:unhideWhenUsed/>
    <w:qFormat/>
    <w:uiPriority w:val="39"/>
    <w:pPr>
      <w:ind w:left="420" w:leftChars="200" w:firstLine="200" w:firstLineChars="200"/>
      <w:jc w:val="left"/>
    </w:pPr>
    <w:rPr>
      <w:rFonts w:ascii="仿宋_GB2312" w:hAnsi="仿宋_GB2312" w:eastAsia="仿宋_GB2312" w:cs="仿宋_GB2312"/>
      <w:szCs w:val="24"/>
    </w:rPr>
  </w:style>
  <w:style w:type="paragraph" w:styleId="26">
    <w:name w:val="Normal (Web)"/>
    <w:basedOn w:val="1"/>
    <w:unhideWhenUsed/>
    <w:qFormat/>
    <w:uiPriority w:val="99"/>
    <w:pPr>
      <w:spacing w:before="0" w:beforeAutospacing="1" w:after="0" w:afterAutospacing="1"/>
      <w:ind w:left="0" w:right="0"/>
      <w:jc w:val="left"/>
    </w:pPr>
    <w:rPr>
      <w:kern w:val="0"/>
      <w:sz w:val="24"/>
      <w:lang w:val="en-US" w:eastAsia="zh-CN" w:bidi="ar"/>
    </w:rPr>
  </w:style>
  <w:style w:type="paragraph" w:styleId="27">
    <w:name w:val="annotation subject"/>
    <w:basedOn w:val="16"/>
    <w:next w:val="16"/>
    <w:link w:val="61"/>
    <w:unhideWhenUsed/>
    <w:qFormat/>
    <w:uiPriority w:val="99"/>
    <w:rPr>
      <w:b/>
      <w:bCs/>
    </w:rPr>
  </w:style>
  <w:style w:type="paragraph" w:styleId="28">
    <w:name w:val="Body Text First Indent"/>
    <w:basedOn w:val="17"/>
    <w:qFormat/>
    <w:uiPriority w:val="0"/>
    <w:pPr>
      <w:widowControl w:val="0"/>
      <w:spacing w:before="0" w:after="120" w:line="312" w:lineRule="auto"/>
      <w:ind w:left="0" w:right="0" w:firstLine="420"/>
      <w:jc w:val="both"/>
    </w:pPr>
    <w:rPr>
      <w:rFonts w:ascii="Times New Roman" w:hAnsi="Times New Roman" w:eastAsia="宋体" w:cs="Times New Roman"/>
      <w:sz w:val="44"/>
      <w:szCs w:val="24"/>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Hyperlink"/>
    <w:unhideWhenUsed/>
    <w:qFormat/>
    <w:uiPriority w:val="99"/>
    <w:rPr>
      <w:color w:val="0000FF"/>
      <w:u w:val="single"/>
    </w:rPr>
  </w:style>
  <w:style w:type="character" w:styleId="33">
    <w:name w:val="annotation reference"/>
    <w:unhideWhenUsed/>
    <w:qFormat/>
    <w:uiPriority w:val="99"/>
    <w:rPr>
      <w:sz w:val="21"/>
      <w:szCs w:val="21"/>
    </w:rPr>
  </w:style>
  <w:style w:type="character" w:customStyle="1" w:styleId="34">
    <w:name w:val="页眉 Char"/>
    <w:basedOn w:val="31"/>
    <w:link w:val="23"/>
    <w:qFormat/>
    <w:uiPriority w:val="99"/>
    <w:rPr>
      <w:sz w:val="18"/>
      <w:szCs w:val="18"/>
    </w:rPr>
  </w:style>
  <w:style w:type="character" w:customStyle="1" w:styleId="35">
    <w:name w:val="页脚 Char"/>
    <w:basedOn w:val="31"/>
    <w:link w:val="22"/>
    <w:qFormat/>
    <w:uiPriority w:val="99"/>
    <w:rPr>
      <w:sz w:val="18"/>
      <w:szCs w:val="18"/>
    </w:rPr>
  </w:style>
  <w:style w:type="character" w:customStyle="1" w:styleId="36">
    <w:name w:val="日期 Char"/>
    <w:basedOn w:val="31"/>
    <w:link w:val="20"/>
    <w:semiHidden/>
    <w:qFormat/>
    <w:uiPriority w:val="99"/>
  </w:style>
  <w:style w:type="character" w:customStyle="1" w:styleId="37">
    <w:name w:val="标题 1 Char"/>
    <w:basedOn w:val="31"/>
    <w:link w:val="5"/>
    <w:qFormat/>
    <w:uiPriority w:val="0"/>
    <w:rPr>
      <w:rFonts w:ascii="仿宋_GB2312" w:hAnsi="仿宋_GB2312" w:eastAsia="仿宋_GB2312" w:cs="Times New Roman"/>
      <w:b/>
      <w:bCs/>
      <w:kern w:val="44"/>
      <w:sz w:val="36"/>
      <w:szCs w:val="44"/>
    </w:rPr>
  </w:style>
  <w:style w:type="character" w:customStyle="1" w:styleId="38">
    <w:name w:val="标题 2 Char"/>
    <w:basedOn w:val="31"/>
    <w:link w:val="6"/>
    <w:qFormat/>
    <w:uiPriority w:val="0"/>
    <w:rPr>
      <w:rFonts w:ascii="黑体" w:hAnsi="黑体" w:eastAsia="黑体" w:cs="Times New Roman"/>
      <w:bCs/>
      <w:sz w:val="30"/>
      <w:szCs w:val="32"/>
    </w:rPr>
  </w:style>
  <w:style w:type="character" w:customStyle="1" w:styleId="39">
    <w:name w:val="标题 3 Char"/>
    <w:basedOn w:val="31"/>
    <w:link w:val="7"/>
    <w:qFormat/>
    <w:uiPriority w:val="0"/>
    <w:rPr>
      <w:rFonts w:ascii="仿宋_GB2312" w:hAnsi="仿宋_GB2312" w:eastAsia="仿宋_GB2312" w:cs="Times New Roman"/>
      <w:b/>
      <w:bCs/>
      <w:sz w:val="24"/>
      <w:szCs w:val="32"/>
    </w:rPr>
  </w:style>
  <w:style w:type="paragraph" w:customStyle="1" w:styleId="40">
    <w:name w:val="03三级标题"/>
    <w:basedOn w:val="1"/>
    <w:next w:val="41"/>
    <w:qFormat/>
    <w:uiPriority w:val="0"/>
    <w:pPr>
      <w:tabs>
        <w:tab w:val="left" w:pos="0"/>
      </w:tabs>
      <w:ind w:firstLine="482"/>
      <w:jc w:val="left"/>
      <w:outlineLvl w:val="2"/>
    </w:pPr>
    <w:rPr>
      <w:rFonts w:ascii="仿宋_GB2312" w:hAnsi="仿宋_GB2312" w:eastAsia="仿宋_GB2312" w:cs="仿宋_GB2312"/>
      <w:b/>
      <w:sz w:val="24"/>
      <w:szCs w:val="24"/>
    </w:rPr>
  </w:style>
  <w:style w:type="paragraph" w:customStyle="1" w:styleId="41">
    <w:name w:val="0正文"/>
    <w:basedOn w:val="1"/>
    <w:qFormat/>
    <w:uiPriority w:val="0"/>
    <w:pPr>
      <w:spacing w:line="360" w:lineRule="auto"/>
      <w:ind w:firstLine="480" w:firstLineChars="200"/>
      <w:jc w:val="left"/>
    </w:pPr>
    <w:rPr>
      <w:rFonts w:ascii="仿宋_GB2312" w:hAnsi="仿宋_GB2312" w:eastAsia="仿宋_GB2312" w:cs="仿宋_GB2312"/>
      <w:kern w:val="0"/>
      <w:sz w:val="24"/>
      <w:szCs w:val="20"/>
      <w:lang w:bidi="en-US"/>
    </w:rPr>
  </w:style>
  <w:style w:type="paragraph" w:customStyle="1" w:styleId="42">
    <w:name w:val="列出段落1"/>
    <w:basedOn w:val="1"/>
    <w:qFormat/>
    <w:uiPriority w:val="34"/>
    <w:pPr>
      <w:spacing w:line="360" w:lineRule="auto"/>
      <w:ind w:firstLine="420" w:firstLineChars="200"/>
      <w:jc w:val="left"/>
    </w:pPr>
    <w:rPr>
      <w:rFonts w:ascii="仿宋_GB2312" w:hAnsi="仿宋_GB2312" w:eastAsia="仿宋_GB2312" w:cs="仿宋_GB2312"/>
      <w:sz w:val="24"/>
      <w:szCs w:val="24"/>
    </w:rPr>
  </w:style>
  <w:style w:type="paragraph" w:customStyle="1" w:styleId="43">
    <w:name w:val="图名"/>
    <w:basedOn w:val="1"/>
    <w:qFormat/>
    <w:uiPriority w:val="0"/>
    <w:pPr>
      <w:spacing w:before="120" w:after="120"/>
      <w:jc w:val="center"/>
    </w:pPr>
    <w:rPr>
      <w:rFonts w:ascii="黑体" w:hAnsi="仿宋_GB2312" w:eastAsia="黑体" w:cs="仿宋_GB2312"/>
      <w:szCs w:val="21"/>
    </w:rPr>
  </w:style>
  <w:style w:type="character" w:customStyle="1" w:styleId="44">
    <w:name w:val="标题 4 Char"/>
    <w:basedOn w:val="31"/>
    <w:link w:val="8"/>
    <w:qFormat/>
    <w:uiPriority w:val="0"/>
    <w:rPr>
      <w:rFonts w:ascii="宋体" w:hAnsi="宋体" w:eastAsia="黑体" w:cs="Times New Roman"/>
      <w:bCs/>
      <w:color w:val="000000"/>
      <w:kern w:val="0"/>
      <w:sz w:val="28"/>
      <w:szCs w:val="32"/>
    </w:rPr>
  </w:style>
  <w:style w:type="character" w:customStyle="1" w:styleId="45">
    <w:name w:val="标题 5 Char"/>
    <w:basedOn w:val="31"/>
    <w:link w:val="9"/>
    <w:qFormat/>
    <w:uiPriority w:val="0"/>
    <w:rPr>
      <w:rFonts w:ascii="Times New Roman" w:hAnsi="Times New Roman" w:eastAsia="黑体" w:cs="Times New Roman"/>
      <w:bCs/>
      <w:kern w:val="0"/>
      <w:sz w:val="24"/>
      <w:szCs w:val="28"/>
    </w:rPr>
  </w:style>
  <w:style w:type="character" w:customStyle="1" w:styleId="46">
    <w:name w:val="标题 6 Char"/>
    <w:basedOn w:val="31"/>
    <w:link w:val="10"/>
    <w:qFormat/>
    <w:uiPriority w:val="0"/>
    <w:rPr>
      <w:rFonts w:ascii="Arial" w:hAnsi="Arial" w:eastAsia="黑体" w:cs="Times New Roman"/>
      <w:b/>
      <w:bCs/>
      <w:kern w:val="0"/>
      <w:sz w:val="24"/>
      <w:szCs w:val="24"/>
    </w:rPr>
  </w:style>
  <w:style w:type="character" w:customStyle="1" w:styleId="47">
    <w:name w:val="标题 7 Char"/>
    <w:basedOn w:val="31"/>
    <w:link w:val="11"/>
    <w:qFormat/>
    <w:uiPriority w:val="0"/>
    <w:rPr>
      <w:rFonts w:ascii="Times New Roman" w:hAnsi="Times New Roman" w:eastAsia="仿宋" w:cs="Times New Roman"/>
      <w:b/>
      <w:bCs/>
      <w:kern w:val="0"/>
      <w:sz w:val="24"/>
      <w:szCs w:val="24"/>
    </w:rPr>
  </w:style>
  <w:style w:type="character" w:customStyle="1" w:styleId="48">
    <w:name w:val="标题 8 Char"/>
    <w:basedOn w:val="31"/>
    <w:link w:val="12"/>
    <w:qFormat/>
    <w:uiPriority w:val="0"/>
    <w:rPr>
      <w:rFonts w:ascii="Arial" w:hAnsi="Arial" w:eastAsia="黑体" w:cs="Times New Roman"/>
      <w:kern w:val="0"/>
      <w:sz w:val="24"/>
      <w:szCs w:val="24"/>
    </w:rPr>
  </w:style>
  <w:style w:type="character" w:customStyle="1" w:styleId="49">
    <w:name w:val="标题 9 Char"/>
    <w:basedOn w:val="31"/>
    <w:link w:val="13"/>
    <w:qFormat/>
    <w:uiPriority w:val="0"/>
    <w:rPr>
      <w:rFonts w:ascii="Arial" w:hAnsi="Arial" w:eastAsia="黑体" w:cs="Times New Roman"/>
      <w:kern w:val="0"/>
      <w:sz w:val="20"/>
      <w:szCs w:val="21"/>
    </w:rPr>
  </w:style>
  <w:style w:type="character" w:customStyle="1" w:styleId="50">
    <w:name w:val="批注主题 Char"/>
    <w:link w:val="27"/>
    <w:qFormat/>
    <w:uiPriority w:val="99"/>
    <w:rPr>
      <w:rFonts w:ascii="Times New Roman" w:hAnsi="Times New Roman" w:eastAsia="仿宋" w:cs="Times New Roman"/>
      <w:b/>
      <w:bCs/>
      <w:sz w:val="24"/>
      <w:szCs w:val="24"/>
    </w:rPr>
  </w:style>
  <w:style w:type="character" w:customStyle="1" w:styleId="51">
    <w:name w:val="批注框文本 Char"/>
    <w:link w:val="21"/>
    <w:qFormat/>
    <w:uiPriority w:val="99"/>
    <w:rPr>
      <w:rFonts w:ascii="Times New Roman" w:hAnsi="Times New Roman" w:eastAsia="仿宋" w:cs="Times New Roman"/>
      <w:sz w:val="18"/>
      <w:szCs w:val="18"/>
    </w:rPr>
  </w:style>
  <w:style w:type="character" w:customStyle="1" w:styleId="52">
    <w:name w:val="批注文字 Char"/>
    <w:link w:val="16"/>
    <w:qFormat/>
    <w:uiPriority w:val="99"/>
    <w:rPr>
      <w:rFonts w:ascii="Times New Roman" w:hAnsi="Times New Roman" w:eastAsia="仿宋" w:cs="Times New Roman"/>
      <w:sz w:val="24"/>
      <w:szCs w:val="24"/>
    </w:rPr>
  </w:style>
  <w:style w:type="character" w:customStyle="1" w:styleId="53">
    <w:name w:val="初设正文 Char Char"/>
    <w:link w:val="54"/>
    <w:qFormat/>
    <w:uiPriority w:val="0"/>
    <w:rPr>
      <w:rFonts w:ascii="Arial" w:hAnsi="Arial" w:eastAsia="黑体" w:cs="宋体"/>
      <w:b/>
      <w:color w:val="000000"/>
      <w:sz w:val="24"/>
      <w:lang w:val="zh-CN"/>
    </w:rPr>
  </w:style>
  <w:style w:type="paragraph" w:customStyle="1" w:styleId="54">
    <w:name w:val="初设正文"/>
    <w:basedOn w:val="1"/>
    <w:link w:val="53"/>
    <w:qFormat/>
    <w:uiPriority w:val="0"/>
    <w:pPr>
      <w:adjustRightInd w:val="0"/>
      <w:snapToGrid w:val="0"/>
      <w:spacing w:line="360" w:lineRule="auto"/>
      <w:ind w:firstLine="480" w:firstLineChars="200"/>
      <w:jc w:val="left"/>
    </w:pPr>
    <w:rPr>
      <w:rFonts w:ascii="Arial" w:hAnsi="Arial" w:eastAsia="黑体" w:cs="宋体"/>
      <w:b/>
      <w:color w:val="000000"/>
      <w:sz w:val="24"/>
      <w:lang w:val="zh-CN"/>
    </w:rPr>
  </w:style>
  <w:style w:type="character" w:customStyle="1" w:styleId="55">
    <w:name w:val="工可正文 Char"/>
    <w:link w:val="56"/>
    <w:qFormat/>
    <w:uiPriority w:val="0"/>
    <w:rPr>
      <w:rFonts w:ascii="Arial" w:hAnsi="Arial" w:eastAsia="黑体"/>
      <w:b/>
      <w:sz w:val="24"/>
    </w:rPr>
  </w:style>
  <w:style w:type="paragraph" w:customStyle="1" w:styleId="56">
    <w:name w:val="工可正文"/>
    <w:basedOn w:val="1"/>
    <w:link w:val="55"/>
    <w:qFormat/>
    <w:uiPriority w:val="0"/>
    <w:pPr>
      <w:autoSpaceDE w:val="0"/>
      <w:autoSpaceDN w:val="0"/>
      <w:spacing w:line="360" w:lineRule="auto"/>
      <w:ind w:firstLine="480" w:firstLineChars="200"/>
      <w:jc w:val="left"/>
    </w:pPr>
    <w:rPr>
      <w:rFonts w:ascii="Arial" w:hAnsi="Arial" w:eastAsia="黑体"/>
      <w:b/>
      <w:sz w:val="24"/>
    </w:rPr>
  </w:style>
  <w:style w:type="character" w:customStyle="1" w:styleId="57">
    <w:name w:val="表格 Char"/>
    <w:link w:val="58"/>
    <w:qFormat/>
    <w:uiPriority w:val="0"/>
    <w:rPr>
      <w:rFonts w:ascii="Times New Roman" w:hAnsi="Times New Roman"/>
      <w:sz w:val="24"/>
      <w:szCs w:val="21"/>
      <w:lang w:val="zh-CN"/>
    </w:rPr>
  </w:style>
  <w:style w:type="paragraph" w:customStyle="1" w:styleId="58">
    <w:name w:val="表格"/>
    <w:basedOn w:val="1"/>
    <w:link w:val="57"/>
    <w:qFormat/>
    <w:uiPriority w:val="0"/>
    <w:pPr>
      <w:tabs>
        <w:tab w:val="left" w:pos="1560"/>
        <w:tab w:val="left" w:pos="2880"/>
        <w:tab w:val="left" w:pos="3120"/>
      </w:tabs>
      <w:spacing w:line="140" w:lineRule="atLeast"/>
      <w:ind w:firstLine="200" w:firstLineChars="200"/>
      <w:jc w:val="center"/>
    </w:pPr>
    <w:rPr>
      <w:rFonts w:ascii="Times New Roman" w:hAnsi="Times New Roman"/>
      <w:sz w:val="24"/>
      <w:szCs w:val="21"/>
      <w:lang w:val="zh-CN"/>
    </w:rPr>
  </w:style>
  <w:style w:type="character" w:customStyle="1" w:styleId="59">
    <w:name w:val="纯文本 Char"/>
    <w:basedOn w:val="31"/>
    <w:link w:val="19"/>
    <w:qFormat/>
    <w:uiPriority w:val="0"/>
    <w:rPr>
      <w:rFonts w:ascii="宋体" w:hAnsi="Courier New" w:eastAsia="宋体" w:cs="Times New Roman"/>
      <w:szCs w:val="24"/>
    </w:rPr>
  </w:style>
  <w:style w:type="character" w:customStyle="1" w:styleId="60">
    <w:name w:val="批注文字 Char1"/>
    <w:basedOn w:val="31"/>
    <w:link w:val="16"/>
    <w:semiHidden/>
    <w:qFormat/>
    <w:uiPriority w:val="99"/>
  </w:style>
  <w:style w:type="character" w:customStyle="1" w:styleId="61">
    <w:name w:val="批注主题 Char1"/>
    <w:basedOn w:val="60"/>
    <w:link w:val="27"/>
    <w:semiHidden/>
    <w:qFormat/>
    <w:uiPriority w:val="99"/>
    <w:rPr>
      <w:b/>
      <w:bCs/>
    </w:rPr>
  </w:style>
  <w:style w:type="character" w:customStyle="1" w:styleId="62">
    <w:name w:val="批注框文本 Char1"/>
    <w:basedOn w:val="31"/>
    <w:link w:val="21"/>
    <w:semiHidden/>
    <w:qFormat/>
    <w:uiPriority w:val="99"/>
    <w:rPr>
      <w:sz w:val="18"/>
      <w:szCs w:val="18"/>
    </w:rPr>
  </w:style>
  <w:style w:type="paragraph" w:customStyle="1" w:styleId="63">
    <w:name w:val="01一级标题"/>
    <w:basedOn w:val="1"/>
    <w:next w:val="1"/>
    <w:qFormat/>
    <w:uiPriority w:val="0"/>
    <w:pPr>
      <w:ind w:left="10065"/>
      <w:jc w:val="center"/>
      <w:outlineLvl w:val="0"/>
    </w:pPr>
    <w:rPr>
      <w:rFonts w:ascii="仿宋_GB2312" w:hAnsi="仿宋_GB2312" w:eastAsia="仿宋_GB2312" w:cs="仿宋_GB2312"/>
      <w:b/>
      <w:sz w:val="32"/>
      <w:szCs w:val="24"/>
    </w:rPr>
  </w:style>
  <w:style w:type="paragraph" w:customStyle="1" w:styleId="64">
    <w:name w:val="04图表"/>
    <w:basedOn w:val="1"/>
    <w:qFormat/>
    <w:uiPriority w:val="0"/>
    <w:pPr>
      <w:jc w:val="center"/>
    </w:pPr>
    <w:rPr>
      <w:rFonts w:ascii="仿宋_GB2312" w:hAnsi="仿宋_GB2312" w:eastAsia="黑体" w:cs="仿宋_GB2312"/>
      <w:kern w:val="0"/>
      <w:sz w:val="24"/>
      <w:szCs w:val="20"/>
    </w:rPr>
  </w:style>
  <w:style w:type="paragraph" w:customStyle="1" w:styleId="65">
    <w:name w:val="00正文"/>
    <w:basedOn w:val="1"/>
    <w:qFormat/>
    <w:uiPriority w:val="0"/>
    <w:pPr>
      <w:spacing w:line="360" w:lineRule="auto"/>
      <w:ind w:firstLine="200" w:firstLineChars="200"/>
      <w:jc w:val="left"/>
    </w:pPr>
    <w:rPr>
      <w:rFonts w:ascii="仿宋_GB2312" w:hAnsi="仿宋_GB2312" w:eastAsia="仿宋_GB2312" w:cs="黑体"/>
      <w:sz w:val="24"/>
      <w:szCs w:val="24"/>
    </w:rPr>
  </w:style>
  <w:style w:type="paragraph" w:customStyle="1" w:styleId="66">
    <w:name w:val="表"/>
    <w:basedOn w:val="1"/>
    <w:qFormat/>
    <w:uiPriority w:val="0"/>
    <w:pPr>
      <w:jc w:val="center"/>
    </w:pPr>
    <w:rPr>
      <w:rFonts w:ascii="仿宋_GB2312" w:hAnsi="仿宋_GB2312" w:eastAsia="仿宋_GB2312" w:cs="仿宋_GB2312"/>
      <w:szCs w:val="24"/>
    </w:rPr>
  </w:style>
  <w:style w:type="paragraph" w:customStyle="1" w:styleId="67">
    <w:name w:val="图表正文"/>
    <w:basedOn w:val="1"/>
    <w:qFormat/>
    <w:uiPriority w:val="0"/>
    <w:pPr>
      <w:ind w:firstLine="200" w:firstLineChars="200"/>
      <w:jc w:val="center"/>
    </w:pPr>
    <w:rPr>
      <w:rFonts w:hint="eastAsia" w:ascii="宋体" w:hAnsi="Arial" w:eastAsia="黑体" w:cs="仿宋_GB2312"/>
      <w:b/>
      <w:spacing w:val="8"/>
      <w:sz w:val="24"/>
      <w:szCs w:val="24"/>
    </w:rPr>
  </w:style>
  <w:style w:type="paragraph" w:customStyle="1" w:styleId="68">
    <w:name w:val="05表格内容"/>
    <w:basedOn w:val="1"/>
    <w:qFormat/>
    <w:uiPriority w:val="0"/>
    <w:pPr>
      <w:spacing w:line="240" w:lineRule="atLeast"/>
      <w:jc w:val="center"/>
    </w:pPr>
    <w:rPr>
      <w:rFonts w:ascii="仿宋_GB2312" w:hAnsi="仿宋_GB2312" w:eastAsia="仿宋_GB2312" w:cs="仿宋_GB2312"/>
      <w:kern w:val="0"/>
      <w:sz w:val="24"/>
      <w:szCs w:val="20"/>
    </w:rPr>
  </w:style>
  <w:style w:type="paragraph" w:customStyle="1" w:styleId="69">
    <w:name w:val="02二级标题"/>
    <w:basedOn w:val="1"/>
    <w:next w:val="1"/>
    <w:qFormat/>
    <w:uiPriority w:val="0"/>
    <w:pPr>
      <w:jc w:val="left"/>
      <w:outlineLvl w:val="1"/>
    </w:pPr>
    <w:rPr>
      <w:rFonts w:ascii="仿宋_GB2312" w:hAnsi="仿宋_GB2312" w:eastAsia="仿宋_GB2312" w:cs="仿宋_GB2312"/>
      <w:b/>
      <w:sz w:val="28"/>
      <w:szCs w:val="24"/>
    </w:rPr>
  </w:style>
  <w:style w:type="paragraph" w:customStyle="1" w:styleId="70">
    <w:name w:val="图表题注"/>
    <w:basedOn w:val="1"/>
    <w:qFormat/>
    <w:uiPriority w:val="0"/>
    <w:pPr>
      <w:adjustRightInd w:val="0"/>
      <w:snapToGrid w:val="0"/>
      <w:spacing w:line="360" w:lineRule="auto"/>
      <w:ind w:firstLine="200" w:firstLineChars="200"/>
      <w:jc w:val="center"/>
    </w:pPr>
    <w:rPr>
      <w:rFonts w:hint="eastAsia" w:ascii="Arial" w:hAnsi="Arial" w:eastAsia="黑体" w:cs="仿宋_GB2312"/>
      <w:b/>
      <w:snapToGrid w:val="0"/>
      <w:color w:val="000000"/>
      <w:kern w:val="22"/>
      <w:sz w:val="24"/>
      <w:szCs w:val="20"/>
      <w:lang w:val="zh-CN"/>
    </w:rPr>
  </w:style>
  <w:style w:type="paragraph" w:customStyle="1" w:styleId="71">
    <w:name w:val="列出段落11"/>
    <w:basedOn w:val="1"/>
    <w:qFormat/>
    <w:uiPriority w:val="34"/>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72">
    <w:name w:val="_Style 6"/>
    <w:basedOn w:val="1"/>
    <w:qFormat/>
    <w:uiPriority w:val="34"/>
    <w:pPr>
      <w:ind w:firstLine="420" w:firstLineChars="200"/>
      <w:jc w:val="left"/>
    </w:pPr>
    <w:rPr>
      <w:rFonts w:ascii="Calibri" w:hAnsi="Calibri" w:eastAsia="宋体" w:cs="Times New Roman"/>
      <w:szCs w:val="24"/>
    </w:rPr>
  </w:style>
  <w:style w:type="paragraph" w:customStyle="1" w:styleId="73">
    <w:name w:val="列出段落3"/>
    <w:basedOn w:val="1"/>
    <w:qFormat/>
    <w:uiPriority w:val="0"/>
    <w:pPr>
      <w:ind w:firstLine="420" w:firstLineChars="200"/>
    </w:pPr>
    <w:rPr>
      <w:rFonts w:ascii="Calibri" w:hAnsi="Calibri" w:eastAsia="宋体" w:cs="Times New Roman"/>
    </w:rPr>
  </w:style>
  <w:style w:type="table" w:customStyle="1" w:styleId="74">
    <w:name w:val="Table Normal"/>
    <w:unhideWhenUsed/>
    <w:qFormat/>
    <w:uiPriority w:val="2"/>
    <w:tblPr>
      <w:tblCellMar>
        <w:top w:w="0" w:type="dxa"/>
        <w:left w:w="0" w:type="dxa"/>
        <w:bottom w:w="0" w:type="dxa"/>
        <w:right w:w="0" w:type="dxa"/>
      </w:tblCellMar>
    </w:tblPr>
  </w:style>
  <w:style w:type="table" w:customStyle="1" w:styleId="75">
    <w:name w:val="网格型1"/>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6">
    <w:name w:val="标题 2 字符"/>
    <w:qFormat/>
    <w:uiPriority w:val="0"/>
    <w:rPr>
      <w:rFonts w:ascii="黑体" w:hAnsi="黑体" w:eastAsia="黑体" w:cs="Times New Roman"/>
      <w:bCs/>
      <w:kern w:val="2"/>
      <w:sz w:val="30"/>
      <w:szCs w:val="32"/>
    </w:rPr>
  </w:style>
  <w:style w:type="character" w:customStyle="1" w:styleId="77">
    <w:name w:val="标题 3 字符"/>
    <w:qFormat/>
    <w:uiPriority w:val="0"/>
    <w:rPr>
      <w:rFonts w:ascii="仿宋_GB2312" w:hAnsi="仿宋_GB2312" w:eastAsia="仿宋_GB2312" w:cs="仿宋_GB2312"/>
      <w:b/>
      <w:bCs/>
      <w:kern w:val="2"/>
      <w:sz w:val="24"/>
      <w:szCs w:val="32"/>
    </w:rPr>
  </w:style>
  <w:style w:type="paragraph" w:customStyle="1" w:styleId="78">
    <w:name w:val="TOC 标题1"/>
    <w:basedOn w:val="5"/>
    <w:next w:val="1"/>
    <w:unhideWhenUsed/>
    <w:qFormat/>
    <w:uiPriority w:val="39"/>
    <w:pPr>
      <w:widowControl/>
      <w:spacing w:beforeLines="0" w:afterLines="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79">
    <w:name w:val="List Paragraph"/>
    <w:basedOn w:val="1"/>
    <w:unhideWhenUsed/>
    <w:qFormat/>
    <w:uiPriority w:val="99"/>
    <w:pPr>
      <w:ind w:firstLine="420" w:firstLineChars="200"/>
    </w:pPr>
  </w:style>
  <w:style w:type="character" w:customStyle="1" w:styleId="80">
    <w:name w:val="标题 1 字符"/>
    <w:qFormat/>
    <w:uiPriority w:val="0"/>
    <w:rPr>
      <w:rFonts w:ascii="仿宋_GB2312" w:hAnsi="仿宋_GB2312" w:eastAsia="仿宋_GB2312" w:cs="仿宋_GB2312"/>
      <w:b/>
      <w:bCs/>
      <w:kern w:val="44"/>
      <w:sz w:val="36"/>
      <w:szCs w:val="44"/>
    </w:rPr>
  </w:style>
  <w:style w:type="paragraph" w:customStyle="1" w:styleId="81">
    <w:name w:val="样式 宋体 小四 行距: 1.5 倍行距"/>
    <w:basedOn w:val="1"/>
    <w:qFormat/>
    <w:uiPriority w:val="99"/>
    <w:pPr>
      <w:spacing w:line="360" w:lineRule="auto"/>
      <w:ind w:firstLine="480"/>
    </w:pPr>
    <w:rPr>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6156E-A171-4570-9880-B6B268318ED4}">
  <ds:schemaRefs/>
</ds:datastoreItem>
</file>

<file path=docProps/app.xml><?xml version="1.0" encoding="utf-8"?>
<Properties xmlns="http://schemas.openxmlformats.org/officeDocument/2006/extended-properties" xmlns:vt="http://schemas.openxmlformats.org/officeDocument/2006/docPropsVTypes">
  <Template>Normal</Template>
  <Pages>45</Pages>
  <Words>20258</Words>
  <Characters>23561</Characters>
  <Lines>178</Lines>
  <Paragraphs>50</Paragraphs>
  <TotalTime>2</TotalTime>
  <ScaleCrop>false</ScaleCrop>
  <LinksUpToDate>false</LinksUpToDate>
  <CharactersWithSpaces>23823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2021-08-24T10:52:00Z</dcterms:created>
  <dc:creator>56446</dc:creator>
  <cp:lastModifiedBy>程木清</cp:lastModifiedBy>
  <dcterms:modified xsi:type="dcterms:W3CDTF">2023-08-07T04:29:05Z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0A6050720E0E4775B2A697BC385943A9_13</vt:lpwstr>
  </property>
  <property fmtid="{D5CDD505-2E9C-101B-9397-08002B2CF9AE}" pid="3" name="KSOProductBuildVer">
    <vt:lpwstr>2052-12.1.0.15120</vt:lpwstr>
  </property>
</Properties>
</file>