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宋体" w:hAnsi="宋体" w:cs="宋体"/>
          <w:b/>
          <w:color w:val="auto"/>
          <w:kern w:val="0"/>
          <w:sz w:val="48"/>
          <w:szCs w:val="48"/>
          <w:highlight w:val="none"/>
        </w:rPr>
      </w:pPr>
      <w:bookmarkStart w:id="0" w:name="_Hlk53133821"/>
    </w:p>
    <w:p>
      <w:pPr>
        <w:spacing w:line="720" w:lineRule="auto"/>
        <w:jc w:val="center"/>
        <w:rPr>
          <w:rFonts w:ascii="宋体" w:hAnsi="宋体" w:cs="宋体"/>
          <w:b/>
          <w:color w:val="auto"/>
          <w:kern w:val="0"/>
          <w:sz w:val="48"/>
          <w:szCs w:val="48"/>
          <w:highlight w:val="none"/>
        </w:rPr>
      </w:pPr>
      <w:r>
        <w:rPr>
          <w:rFonts w:hint="eastAsia" w:ascii="宋体" w:hAnsi="宋体" w:cs="宋体"/>
          <w:b/>
          <w:color w:val="auto"/>
          <w:kern w:val="0"/>
          <w:sz w:val="48"/>
          <w:szCs w:val="48"/>
          <w:highlight w:val="none"/>
        </w:rPr>
        <w:t>广州工控大湾区现代高端装备研发生产</w:t>
      </w:r>
    </w:p>
    <w:p>
      <w:pPr>
        <w:spacing w:line="720" w:lineRule="auto"/>
        <w:jc w:val="center"/>
        <w:rPr>
          <w:rFonts w:ascii="宋体" w:hAnsi="宋体" w:cs="宋体"/>
          <w:color w:val="auto"/>
          <w:sz w:val="36"/>
          <w:szCs w:val="36"/>
          <w:highlight w:val="none"/>
          <w:u w:val="single"/>
        </w:rPr>
      </w:pPr>
      <w:r>
        <w:rPr>
          <w:rFonts w:hint="eastAsia" w:ascii="宋体" w:hAnsi="宋体" w:cs="宋体"/>
          <w:b/>
          <w:color w:val="auto"/>
          <w:kern w:val="0"/>
          <w:sz w:val="48"/>
          <w:szCs w:val="48"/>
          <w:highlight w:val="none"/>
        </w:rPr>
        <w:t>基地项目（三期）施工总承包</w:t>
      </w:r>
    </w:p>
    <w:bookmarkEnd w:id="0"/>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pacing w:line="360" w:lineRule="auto"/>
        <w:jc w:val="center"/>
        <w:rPr>
          <w:rFonts w:ascii="宋体" w:hAnsi="宋体" w:cs="宋体"/>
          <w:color w:val="auto"/>
          <w:sz w:val="32"/>
          <w:szCs w:val="32"/>
          <w:highlight w:val="none"/>
        </w:rPr>
      </w:pPr>
    </w:p>
    <w:p>
      <w:pPr>
        <w:spacing w:line="360" w:lineRule="auto"/>
        <w:ind w:firstLine="2560" w:firstLineChars="800"/>
        <w:rPr>
          <w:rFonts w:ascii="宋体" w:hAnsi="宋体" w:cs="宋体"/>
          <w:color w:val="auto"/>
          <w:sz w:val="32"/>
          <w:szCs w:val="32"/>
          <w:highlight w:val="none"/>
        </w:rPr>
      </w:pPr>
    </w:p>
    <w:p>
      <w:pPr>
        <w:spacing w:line="360" w:lineRule="auto"/>
        <w:ind w:firstLine="2560" w:firstLineChars="800"/>
        <w:rPr>
          <w:rFonts w:ascii="宋体" w:hAnsi="宋体" w:cs="宋体"/>
          <w:color w:val="auto"/>
          <w:sz w:val="32"/>
          <w:szCs w:val="32"/>
          <w:highlight w:val="none"/>
        </w:rPr>
      </w:pPr>
    </w:p>
    <w:p>
      <w:pPr>
        <w:spacing w:line="360" w:lineRule="auto"/>
        <w:ind w:firstLine="1200" w:firstLineChars="400"/>
        <w:rPr>
          <w:rFonts w:ascii="宋体" w:hAnsi="宋体" w:cs="宋体"/>
          <w:color w:val="auto"/>
          <w:sz w:val="30"/>
          <w:szCs w:val="30"/>
          <w:highlight w:val="none"/>
        </w:rPr>
      </w:pPr>
    </w:p>
    <w:p>
      <w:pPr>
        <w:spacing w:line="360" w:lineRule="auto"/>
        <w:ind w:firstLine="1200" w:firstLineChars="400"/>
        <w:rPr>
          <w:rFonts w:ascii="宋体" w:hAnsi="宋体" w:cs="宋体"/>
          <w:color w:val="auto"/>
          <w:sz w:val="30"/>
          <w:szCs w:val="30"/>
          <w:highlight w:val="none"/>
        </w:rPr>
      </w:pPr>
    </w:p>
    <w:p>
      <w:pPr>
        <w:spacing w:line="360" w:lineRule="auto"/>
        <w:jc w:val="center"/>
        <w:rPr>
          <w:rFonts w:ascii="宋体" w:hAnsi="宋体" w:cs="宋体"/>
          <w:color w:val="auto"/>
          <w:spacing w:val="-2"/>
          <w:sz w:val="30"/>
          <w:szCs w:val="30"/>
          <w:highlight w:val="none"/>
        </w:rPr>
      </w:pPr>
    </w:p>
    <w:p>
      <w:pPr>
        <w:spacing w:line="360" w:lineRule="auto"/>
        <w:ind w:left="1418" w:leftChars="675"/>
        <w:jc w:val="left"/>
        <w:rPr>
          <w:rFonts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招标单位：广州工控智能装备产业有限公司</w:t>
      </w:r>
    </w:p>
    <w:p>
      <w:pPr>
        <w:spacing w:line="360" w:lineRule="auto"/>
        <w:ind w:left="1418" w:leftChars="675"/>
        <w:jc w:val="left"/>
        <w:rPr>
          <w:rFonts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招标代理机构：北京筑标建设工程咨询有限公司</w:t>
      </w:r>
    </w:p>
    <w:p>
      <w:pPr>
        <w:spacing w:line="360" w:lineRule="auto"/>
        <w:ind w:left="1418" w:leftChars="675"/>
        <w:jc w:val="left"/>
        <w:rPr>
          <w:rFonts w:ascii="宋体" w:hAnsi="宋体" w:cs="宋体"/>
          <w:b/>
          <w:bCs/>
          <w:color w:val="auto"/>
          <w:spacing w:val="-2"/>
          <w:sz w:val="30"/>
          <w:szCs w:val="30"/>
          <w:highlight w:val="none"/>
        </w:rPr>
      </w:pPr>
      <w:r>
        <w:rPr>
          <w:rFonts w:hint="eastAsia" w:ascii="宋体" w:hAnsi="宋体" w:cs="宋体"/>
          <w:b/>
          <w:bCs/>
          <w:color w:val="auto"/>
          <w:spacing w:val="600"/>
          <w:kern w:val="0"/>
          <w:sz w:val="30"/>
          <w:szCs w:val="30"/>
          <w:highlight w:val="none"/>
          <w:fitText w:val="1800" w:id="1550612031"/>
        </w:rPr>
        <w:t>日</w:t>
      </w:r>
      <w:r>
        <w:rPr>
          <w:rFonts w:hint="eastAsia" w:ascii="宋体" w:hAnsi="宋体" w:cs="宋体"/>
          <w:b/>
          <w:bCs/>
          <w:color w:val="auto"/>
          <w:spacing w:val="0"/>
          <w:kern w:val="0"/>
          <w:sz w:val="30"/>
          <w:szCs w:val="30"/>
          <w:highlight w:val="none"/>
          <w:fitText w:val="1800" w:id="1550612031"/>
        </w:rPr>
        <w:t>期</w:t>
      </w:r>
      <w:r>
        <w:rPr>
          <w:rFonts w:hint="eastAsia" w:ascii="宋体" w:hAnsi="宋体" w:cs="宋体"/>
          <w:b/>
          <w:bCs/>
          <w:color w:val="auto"/>
          <w:spacing w:val="-2"/>
          <w:sz w:val="30"/>
          <w:szCs w:val="30"/>
          <w:highlight w:val="none"/>
        </w:rPr>
        <w:t xml:space="preserve">：2023年 </w:t>
      </w:r>
      <w:r>
        <w:rPr>
          <w:rFonts w:hint="eastAsia" w:ascii="宋体" w:hAnsi="宋体" w:cs="宋体"/>
          <w:b/>
          <w:bCs/>
          <w:color w:val="auto"/>
          <w:spacing w:val="-2"/>
          <w:sz w:val="30"/>
          <w:szCs w:val="30"/>
          <w:highlight w:val="none"/>
          <w:lang w:val="en-US" w:eastAsia="zh-CN"/>
        </w:rPr>
        <w:t>7</w:t>
      </w:r>
      <w:r>
        <w:rPr>
          <w:rFonts w:hint="eastAsia" w:ascii="宋体" w:hAnsi="宋体" w:cs="宋体"/>
          <w:b/>
          <w:bCs/>
          <w:color w:val="auto"/>
          <w:spacing w:val="-2"/>
          <w:sz w:val="30"/>
          <w:szCs w:val="30"/>
          <w:highlight w:val="none"/>
        </w:rPr>
        <w:t xml:space="preserve"> 月</w:t>
      </w:r>
    </w:p>
    <w:p>
      <w:pPr>
        <w:spacing w:line="360" w:lineRule="auto"/>
        <w:jc w:val="center"/>
        <w:rPr>
          <w:rFonts w:ascii="宋体" w:hAnsi="宋体" w:cs="宋体"/>
          <w:b/>
          <w:bCs/>
          <w:color w:val="auto"/>
          <w:spacing w:val="-2"/>
          <w:sz w:val="30"/>
          <w:szCs w:val="30"/>
          <w:highlight w:val="none"/>
        </w:rPr>
      </w:pPr>
    </w:p>
    <w:p>
      <w:pPr>
        <w:jc w:val="center"/>
        <w:rPr>
          <w:rStyle w:val="55"/>
          <w:rFonts w:ascii="宋体" w:hAnsi="宋体" w:cs="宋体"/>
          <w:b/>
          <w:bCs/>
          <w:color w:val="auto"/>
          <w:highlight w:val="none"/>
        </w:rPr>
        <w:sectPr>
          <w:headerReference r:id="rId3" w:type="default"/>
          <w:headerReference r:id="rId4" w:type="even"/>
          <w:footerReference r:id="rId5" w:type="even"/>
          <w:endnotePr>
            <w:numFmt w:val="decimal"/>
          </w:endnotePr>
          <w:pgSz w:w="11906" w:h="16838"/>
          <w:pgMar w:top="1134" w:right="1418" w:bottom="1247" w:left="1418" w:header="851" w:footer="907" w:gutter="0"/>
          <w:pgNumType w:start="0"/>
          <w:cols w:space="720" w:num="1"/>
          <w:titlePg/>
          <w:docGrid w:type="lines" w:linePitch="312" w:charSpace="0"/>
        </w:sectPr>
      </w:pPr>
    </w:p>
    <w:p>
      <w:pPr>
        <w:jc w:val="center"/>
        <w:rPr>
          <w:rStyle w:val="55"/>
          <w:rFonts w:ascii="宋体" w:hAnsi="宋体" w:cs="宋体"/>
          <w:b/>
          <w:bCs/>
          <w:color w:val="auto"/>
          <w:highlight w:val="none"/>
        </w:rPr>
      </w:pPr>
    </w:p>
    <w:p>
      <w:pPr>
        <w:jc w:val="center"/>
        <w:rPr>
          <w:rFonts w:ascii="宋体" w:hAnsi="宋体" w:cs="宋体"/>
          <w:b/>
          <w:caps/>
          <w:color w:val="auto"/>
          <w:kern w:val="0"/>
          <w:sz w:val="32"/>
          <w:szCs w:val="32"/>
          <w:highlight w:val="none"/>
        </w:rPr>
      </w:pPr>
      <w:r>
        <w:rPr>
          <w:rStyle w:val="55"/>
          <w:rFonts w:hint="eastAsia" w:ascii="宋体" w:hAnsi="宋体" w:cs="宋体"/>
          <w:b/>
          <w:bCs/>
          <w:color w:val="auto"/>
          <w:sz w:val="32"/>
          <w:szCs w:val="32"/>
          <w:highlight w:val="none"/>
          <w:u w:val="none"/>
        </w:rPr>
        <w:t>目录</w:t>
      </w:r>
    </w:p>
    <w:p>
      <w:pPr>
        <w:pStyle w:val="34"/>
        <w:spacing w:line="240" w:lineRule="auto"/>
        <w:rPr>
          <w:rFonts w:cstheme="minorBidi"/>
          <w:caps w:val="0"/>
          <w:color w:val="auto"/>
          <w:kern w:val="2"/>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TOC \o "1-3" \h \z \u </w:instrText>
      </w:r>
      <w:r>
        <w:rPr>
          <w:rFonts w:hint="eastAsia"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"_Toc121470649" </w:instrText>
      </w:r>
      <w:r>
        <w:rPr>
          <w:color w:val="auto"/>
          <w:highlight w:val="none"/>
        </w:rPr>
        <w:fldChar w:fldCharType="separate"/>
      </w:r>
      <w:r>
        <w:rPr>
          <w:rStyle w:val="55"/>
          <w:color w:val="auto"/>
          <w:sz w:val="21"/>
          <w:szCs w:val="21"/>
          <w:highlight w:val="none"/>
        </w:rPr>
        <w:t>第一章投标须知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_Toc121470649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"_Toc121470650" </w:instrText>
      </w:r>
      <w:r>
        <w:rPr>
          <w:color w:val="auto"/>
          <w:highlight w:val="none"/>
        </w:rPr>
        <w:fldChar w:fldCharType="separate"/>
      </w:r>
      <w:r>
        <w:rPr>
          <w:rStyle w:val="55"/>
          <w:rFonts w:hint="eastAsia" w:ascii="宋体" w:hAnsi="宋体"/>
          <w:color w:val="auto"/>
          <w:sz w:val="21"/>
          <w:szCs w:val="21"/>
          <w:highlight w:val="none"/>
        </w:rPr>
        <w:t>一、投标须知前附表</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_Toc121470650 \h </w:instrText>
      </w:r>
      <w:r>
        <w:rPr>
          <w:rFonts w:ascii="宋体" w:hAnsi="宋体"/>
          <w:color w:val="auto"/>
          <w:sz w:val="21"/>
          <w:szCs w:val="21"/>
          <w:highlight w:val="none"/>
        </w:rPr>
        <w:fldChar w:fldCharType="separate"/>
      </w:r>
      <w:r>
        <w:rPr>
          <w:rFonts w:ascii="宋体" w:hAnsi="宋体"/>
          <w:color w:val="auto"/>
          <w:sz w:val="21"/>
          <w:szCs w:val="21"/>
          <w:highlight w:val="none"/>
        </w:rPr>
        <w:t>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"_Toc121470651" </w:instrText>
      </w:r>
      <w:r>
        <w:rPr>
          <w:color w:val="auto"/>
          <w:highlight w:val="none"/>
        </w:rPr>
        <w:fldChar w:fldCharType="separate"/>
      </w:r>
      <w:r>
        <w:rPr>
          <w:rStyle w:val="55"/>
          <w:rFonts w:hint="eastAsia" w:ascii="宋体" w:hAnsi="宋体"/>
          <w:color w:val="auto"/>
          <w:sz w:val="21"/>
          <w:szCs w:val="21"/>
          <w:highlight w:val="none"/>
        </w:rPr>
        <w:t>二、投标须知修改表</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_Toc121470651 \h </w:instrText>
      </w:r>
      <w:r>
        <w:rPr>
          <w:rFonts w:ascii="宋体" w:hAnsi="宋体"/>
          <w:color w:val="auto"/>
          <w:sz w:val="21"/>
          <w:szCs w:val="21"/>
          <w:highlight w:val="none"/>
        </w:rPr>
        <w:fldChar w:fldCharType="separate"/>
      </w:r>
      <w:r>
        <w:rPr>
          <w:rFonts w:ascii="宋体" w:hAnsi="宋体"/>
          <w:color w:val="auto"/>
          <w:sz w:val="21"/>
          <w:szCs w:val="21"/>
          <w:highlight w:val="none"/>
        </w:rPr>
        <w:t>9</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"_Toc121470652" </w:instrText>
      </w:r>
      <w:r>
        <w:rPr>
          <w:color w:val="auto"/>
          <w:highlight w:val="none"/>
        </w:rPr>
        <w:fldChar w:fldCharType="separate"/>
      </w:r>
      <w:r>
        <w:rPr>
          <w:rStyle w:val="55"/>
          <w:rFonts w:hint="eastAsia" w:ascii="宋体" w:hAnsi="宋体"/>
          <w:color w:val="auto"/>
          <w:sz w:val="21"/>
          <w:szCs w:val="21"/>
          <w:highlight w:val="none"/>
        </w:rPr>
        <w:t>三、投标须知通用条款</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_Toc121470652 \h </w:instrText>
      </w:r>
      <w:r>
        <w:rPr>
          <w:rFonts w:ascii="宋体" w:hAnsi="宋体"/>
          <w:color w:val="auto"/>
          <w:sz w:val="21"/>
          <w:szCs w:val="21"/>
          <w:highlight w:val="none"/>
        </w:rPr>
        <w:fldChar w:fldCharType="separate"/>
      </w:r>
      <w:r>
        <w:rPr>
          <w:rFonts w:ascii="宋体" w:hAnsi="宋体"/>
          <w:color w:val="auto"/>
          <w:sz w:val="21"/>
          <w:szCs w:val="21"/>
          <w:highlight w:val="none"/>
        </w:rPr>
        <w:t>22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"_Toc121470653" </w:instrText>
      </w:r>
      <w:r>
        <w:rPr>
          <w:color w:val="auto"/>
          <w:highlight w:val="none"/>
        </w:rPr>
        <w:fldChar w:fldCharType="separate"/>
      </w:r>
      <w:r>
        <w:rPr>
          <w:rStyle w:val="55"/>
          <w:rFonts w:ascii="宋体" w:hAnsi="宋体" w:cs="宋体"/>
          <w:color w:val="auto"/>
          <w:kern w:val="0"/>
          <w:sz w:val="21"/>
          <w:szCs w:val="21"/>
          <w:highlight w:val="none"/>
        </w:rPr>
        <w:t>（一）总则</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_Toc121470653 \h </w:instrText>
      </w:r>
      <w:r>
        <w:rPr>
          <w:rFonts w:ascii="宋体" w:hAnsi="宋体"/>
          <w:color w:val="auto"/>
          <w:sz w:val="21"/>
          <w:szCs w:val="21"/>
          <w:highlight w:val="none"/>
        </w:rPr>
        <w:fldChar w:fldCharType="separate"/>
      </w:r>
      <w:r>
        <w:rPr>
          <w:rFonts w:ascii="宋体" w:hAnsi="宋体"/>
          <w:color w:val="auto"/>
          <w:sz w:val="21"/>
          <w:szCs w:val="21"/>
          <w:highlight w:val="none"/>
        </w:rPr>
        <w:t>22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"_Toc121470654" </w:instrText>
      </w:r>
      <w:r>
        <w:rPr>
          <w:color w:val="auto"/>
          <w:highlight w:val="none"/>
        </w:rPr>
        <w:fldChar w:fldCharType="separate"/>
      </w:r>
      <w:r>
        <w:rPr>
          <w:rStyle w:val="55"/>
          <w:rFonts w:ascii="宋体" w:hAnsi="宋体" w:cs="宋体"/>
          <w:color w:val="auto"/>
          <w:kern w:val="0"/>
          <w:sz w:val="21"/>
          <w:szCs w:val="21"/>
          <w:highlight w:val="none"/>
        </w:rPr>
        <w:t>（二）招标文件</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_Toc121470654 \h </w:instrText>
      </w:r>
      <w:r>
        <w:rPr>
          <w:rFonts w:ascii="宋体" w:hAnsi="宋体"/>
          <w:color w:val="auto"/>
          <w:sz w:val="21"/>
          <w:szCs w:val="21"/>
          <w:highlight w:val="none"/>
        </w:rPr>
        <w:fldChar w:fldCharType="separate"/>
      </w:r>
      <w:r>
        <w:rPr>
          <w:rFonts w:ascii="宋体" w:hAnsi="宋体"/>
          <w:color w:val="auto"/>
          <w:sz w:val="21"/>
          <w:szCs w:val="21"/>
          <w:highlight w:val="none"/>
        </w:rPr>
        <w:t>23</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"_Toc121470655" </w:instrText>
      </w:r>
      <w:r>
        <w:rPr>
          <w:color w:val="auto"/>
          <w:highlight w:val="none"/>
        </w:rPr>
        <w:fldChar w:fldCharType="separate"/>
      </w:r>
      <w:r>
        <w:rPr>
          <w:rStyle w:val="55"/>
          <w:rFonts w:ascii="宋体" w:hAnsi="宋体" w:cs="宋体"/>
          <w:color w:val="auto"/>
          <w:kern w:val="0"/>
          <w:sz w:val="21"/>
          <w:szCs w:val="21"/>
          <w:highlight w:val="none"/>
        </w:rPr>
        <w:t>（三）投标文件的编制</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_Toc121470655 \h </w:instrText>
      </w:r>
      <w:r>
        <w:rPr>
          <w:rFonts w:ascii="宋体" w:hAnsi="宋体"/>
          <w:color w:val="auto"/>
          <w:sz w:val="21"/>
          <w:szCs w:val="21"/>
          <w:highlight w:val="none"/>
        </w:rPr>
        <w:fldChar w:fldCharType="separate"/>
      </w:r>
      <w:r>
        <w:rPr>
          <w:rFonts w:ascii="宋体" w:hAnsi="宋体"/>
          <w:color w:val="auto"/>
          <w:sz w:val="21"/>
          <w:szCs w:val="21"/>
          <w:highlight w:val="none"/>
        </w:rPr>
        <w:t>24</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"_Toc121470656" </w:instrText>
      </w:r>
      <w:r>
        <w:rPr>
          <w:color w:val="auto"/>
          <w:highlight w:val="none"/>
        </w:rPr>
        <w:fldChar w:fldCharType="separate"/>
      </w:r>
      <w:r>
        <w:rPr>
          <w:rStyle w:val="55"/>
          <w:rFonts w:ascii="宋体" w:hAnsi="宋体" w:cs="宋体"/>
          <w:color w:val="auto"/>
          <w:kern w:val="0"/>
          <w:sz w:val="21"/>
          <w:szCs w:val="21"/>
          <w:highlight w:val="none"/>
        </w:rPr>
        <w:t>（四）投标文件的提交</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_Toc121470656 \h </w:instrText>
      </w:r>
      <w:r>
        <w:rPr>
          <w:rFonts w:ascii="宋体" w:hAnsi="宋体"/>
          <w:color w:val="auto"/>
          <w:sz w:val="21"/>
          <w:szCs w:val="21"/>
          <w:highlight w:val="none"/>
        </w:rPr>
        <w:fldChar w:fldCharType="separate"/>
      </w:r>
      <w:r>
        <w:rPr>
          <w:rFonts w:ascii="宋体" w:hAnsi="宋体"/>
          <w:color w:val="auto"/>
          <w:sz w:val="21"/>
          <w:szCs w:val="21"/>
          <w:highlight w:val="none"/>
        </w:rPr>
        <w:t>31</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"_Toc121470657" </w:instrText>
      </w:r>
      <w:r>
        <w:rPr>
          <w:color w:val="auto"/>
          <w:highlight w:val="none"/>
        </w:rPr>
        <w:fldChar w:fldCharType="separate"/>
      </w:r>
      <w:r>
        <w:rPr>
          <w:rStyle w:val="55"/>
          <w:rFonts w:ascii="宋体" w:hAnsi="宋体" w:cs="宋体"/>
          <w:color w:val="auto"/>
          <w:kern w:val="0"/>
          <w:sz w:val="21"/>
          <w:szCs w:val="21"/>
          <w:highlight w:val="none"/>
        </w:rPr>
        <w:t>（五）开标、评标、定标及合同签定</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_Toc121470657 \h </w:instrText>
      </w:r>
      <w:r>
        <w:rPr>
          <w:rFonts w:ascii="宋体" w:hAnsi="宋体"/>
          <w:color w:val="auto"/>
          <w:sz w:val="21"/>
          <w:szCs w:val="21"/>
          <w:highlight w:val="none"/>
        </w:rPr>
        <w:fldChar w:fldCharType="separate"/>
      </w:r>
      <w:r>
        <w:rPr>
          <w:rFonts w:ascii="宋体" w:hAnsi="宋体"/>
          <w:color w:val="auto"/>
          <w:sz w:val="21"/>
          <w:szCs w:val="21"/>
          <w:highlight w:val="none"/>
        </w:rPr>
        <w:t>32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34"/>
        <w:spacing w:line="240" w:lineRule="auto"/>
        <w:rPr>
          <w:rFonts w:cstheme="minorBidi"/>
          <w:caps w:val="0"/>
          <w:color w:val="auto"/>
          <w:kern w:val="2"/>
          <w:sz w:val="21"/>
          <w:szCs w:val="21"/>
          <w:highlight w:val="none"/>
        </w:rPr>
      </w:pPr>
      <w:r>
        <w:rPr>
          <w:color w:val="auto"/>
          <w:highlight w:val="none"/>
        </w:rPr>
        <w:fldChar w:fldCharType="begin"/>
      </w:r>
      <w:r>
        <w:rPr>
          <w:color w:val="auto"/>
          <w:highlight w:val="none"/>
        </w:rPr>
        <w:instrText xml:space="preserve"> HYPERLINK \l "_Toc121470658" </w:instrText>
      </w:r>
      <w:r>
        <w:rPr>
          <w:color w:val="auto"/>
          <w:highlight w:val="none"/>
        </w:rPr>
        <w:fldChar w:fldCharType="separate"/>
      </w:r>
      <w:r>
        <w:rPr>
          <w:rStyle w:val="55"/>
          <w:color w:val="auto"/>
          <w:sz w:val="21"/>
          <w:szCs w:val="21"/>
          <w:highlight w:val="none"/>
        </w:rPr>
        <w:t>第二章开标、评标及定标办法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_Toc121470658 \h </w:instrText>
      </w:r>
      <w:r>
        <w:rPr>
          <w:color w:val="auto"/>
          <w:sz w:val="21"/>
          <w:szCs w:val="21"/>
          <w:highlight w:val="none"/>
        </w:rPr>
        <w:fldChar w:fldCharType="separate"/>
      </w:r>
      <w:r>
        <w:rPr>
          <w:color w:val="auto"/>
          <w:sz w:val="21"/>
          <w:szCs w:val="21"/>
          <w:highlight w:val="none"/>
        </w:rPr>
        <w:t>35</w:t>
      </w:r>
      <w:r>
        <w:rPr>
          <w:color w:val="auto"/>
          <w:sz w:val="21"/>
          <w:szCs w:val="21"/>
          <w:highlight w:val="none"/>
        </w:rPr>
        <w:fldChar w:fldCharType="end"/>
      </w:r>
      <w:r>
        <w:rPr>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"_Toc121470659" </w:instrText>
      </w:r>
      <w:r>
        <w:rPr>
          <w:color w:val="auto"/>
          <w:highlight w:val="none"/>
        </w:rPr>
        <w:fldChar w:fldCharType="separate"/>
      </w:r>
      <w:r>
        <w:rPr>
          <w:rStyle w:val="55"/>
          <w:rFonts w:hint="eastAsia" w:ascii="宋体" w:hAnsi="宋体"/>
          <w:color w:val="auto"/>
          <w:sz w:val="21"/>
          <w:szCs w:val="21"/>
          <w:highlight w:val="none"/>
        </w:rPr>
        <w:t>一、开标、评标及定标办法修改表</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_Toc121470659 \h </w:instrText>
      </w:r>
      <w:r>
        <w:rPr>
          <w:rFonts w:ascii="宋体" w:hAnsi="宋体"/>
          <w:color w:val="auto"/>
          <w:sz w:val="21"/>
          <w:szCs w:val="21"/>
          <w:highlight w:val="none"/>
        </w:rPr>
        <w:fldChar w:fldCharType="separate"/>
      </w:r>
      <w:r>
        <w:rPr>
          <w:rFonts w:ascii="宋体" w:hAnsi="宋体"/>
          <w:color w:val="auto"/>
          <w:sz w:val="21"/>
          <w:szCs w:val="21"/>
          <w:highlight w:val="none"/>
        </w:rPr>
        <w:t>35</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"_Toc121470660" </w:instrText>
      </w:r>
      <w:r>
        <w:rPr>
          <w:color w:val="auto"/>
          <w:highlight w:val="none"/>
        </w:rPr>
        <w:fldChar w:fldCharType="separate"/>
      </w:r>
      <w:r>
        <w:rPr>
          <w:rStyle w:val="55"/>
          <w:rFonts w:hint="eastAsia" w:ascii="宋体" w:hAnsi="宋体"/>
          <w:color w:val="auto"/>
          <w:sz w:val="21"/>
          <w:szCs w:val="21"/>
          <w:highlight w:val="none"/>
        </w:rPr>
        <w:t>二、开标、评标及定标办法通用条款</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_Toc121470660 \h </w:instrText>
      </w:r>
      <w:r>
        <w:rPr>
          <w:rFonts w:ascii="宋体" w:hAnsi="宋体"/>
          <w:color w:val="auto"/>
          <w:sz w:val="21"/>
          <w:szCs w:val="21"/>
          <w:highlight w:val="none"/>
        </w:rPr>
        <w:fldChar w:fldCharType="separate"/>
      </w:r>
      <w:r>
        <w:rPr>
          <w:rFonts w:ascii="宋体" w:hAnsi="宋体"/>
          <w:color w:val="auto"/>
          <w:sz w:val="21"/>
          <w:szCs w:val="21"/>
          <w:highlight w:val="none"/>
        </w:rPr>
        <w:t>42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"_Toc121470661" </w:instrText>
      </w:r>
      <w:r>
        <w:rPr>
          <w:color w:val="auto"/>
          <w:highlight w:val="none"/>
        </w:rPr>
        <w:fldChar w:fldCharType="separate"/>
      </w:r>
      <w:r>
        <w:rPr>
          <w:rStyle w:val="55"/>
          <w:rFonts w:ascii="宋体" w:hAnsi="宋体" w:cs="宋体"/>
          <w:color w:val="auto"/>
          <w:kern w:val="0"/>
          <w:sz w:val="21"/>
          <w:szCs w:val="21"/>
          <w:highlight w:val="none"/>
        </w:rPr>
        <w:t>（一）总则</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_Toc121470661 \h </w:instrText>
      </w:r>
      <w:r>
        <w:rPr>
          <w:rFonts w:ascii="宋体" w:hAnsi="宋体"/>
          <w:color w:val="auto"/>
          <w:sz w:val="21"/>
          <w:szCs w:val="21"/>
          <w:highlight w:val="none"/>
        </w:rPr>
        <w:fldChar w:fldCharType="separate"/>
      </w:r>
      <w:r>
        <w:rPr>
          <w:rFonts w:ascii="宋体" w:hAnsi="宋体"/>
          <w:color w:val="auto"/>
          <w:sz w:val="21"/>
          <w:szCs w:val="21"/>
          <w:highlight w:val="none"/>
        </w:rPr>
        <w:t>42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"_Toc121470662" </w:instrText>
      </w:r>
      <w:r>
        <w:rPr>
          <w:color w:val="auto"/>
          <w:highlight w:val="none"/>
        </w:rPr>
        <w:fldChar w:fldCharType="separate"/>
      </w:r>
      <w:r>
        <w:rPr>
          <w:rStyle w:val="55"/>
          <w:rFonts w:ascii="宋体" w:hAnsi="宋体" w:cs="宋体"/>
          <w:color w:val="auto"/>
          <w:kern w:val="0"/>
          <w:sz w:val="21"/>
          <w:szCs w:val="21"/>
          <w:highlight w:val="none"/>
        </w:rPr>
        <w:t>（二）开标评标办法程序和细则</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_Toc121470662 \h </w:instrText>
      </w:r>
      <w:r>
        <w:rPr>
          <w:rFonts w:ascii="宋体" w:hAnsi="宋体"/>
          <w:color w:val="auto"/>
          <w:sz w:val="21"/>
          <w:szCs w:val="21"/>
          <w:highlight w:val="none"/>
        </w:rPr>
        <w:fldChar w:fldCharType="separate"/>
      </w:r>
      <w:r>
        <w:rPr>
          <w:rFonts w:ascii="宋体" w:hAnsi="宋体"/>
          <w:color w:val="auto"/>
          <w:sz w:val="21"/>
          <w:szCs w:val="21"/>
          <w:highlight w:val="none"/>
        </w:rPr>
        <w:t>44</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"_Toc121470663" </w:instrText>
      </w:r>
      <w:r>
        <w:rPr>
          <w:color w:val="auto"/>
          <w:highlight w:val="none"/>
        </w:rPr>
        <w:fldChar w:fldCharType="separate"/>
      </w:r>
      <w:r>
        <w:rPr>
          <w:rStyle w:val="55"/>
          <w:rFonts w:hint="eastAsia" w:ascii="宋体" w:hAnsi="宋体"/>
          <w:color w:val="auto"/>
          <w:sz w:val="21"/>
          <w:szCs w:val="21"/>
          <w:highlight w:val="none"/>
        </w:rPr>
        <w:t>可选办法六（适合综合评分法三，技术标与经济标同时开启）</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_Toc121470663 \h </w:instrText>
      </w:r>
      <w:r>
        <w:rPr>
          <w:rFonts w:ascii="宋体" w:hAnsi="宋体"/>
          <w:color w:val="auto"/>
          <w:sz w:val="21"/>
          <w:szCs w:val="21"/>
          <w:highlight w:val="none"/>
        </w:rPr>
        <w:fldChar w:fldCharType="separate"/>
      </w:r>
      <w:r>
        <w:rPr>
          <w:rFonts w:ascii="宋体" w:hAnsi="宋体"/>
          <w:color w:val="auto"/>
          <w:sz w:val="21"/>
          <w:szCs w:val="21"/>
          <w:highlight w:val="none"/>
        </w:rPr>
        <w:t>44</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"_Toc121470664" </w:instrText>
      </w:r>
      <w:r>
        <w:rPr>
          <w:color w:val="auto"/>
          <w:highlight w:val="none"/>
        </w:rPr>
        <w:fldChar w:fldCharType="separate"/>
      </w:r>
      <w:r>
        <w:rPr>
          <w:rStyle w:val="55"/>
          <w:rFonts w:hint="eastAsia" w:ascii="宋体" w:hAnsi="宋体"/>
          <w:color w:val="auto"/>
          <w:sz w:val="21"/>
          <w:szCs w:val="21"/>
          <w:highlight w:val="none"/>
        </w:rPr>
        <w:t>附表一</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_Toc121470664 \h </w:instrText>
      </w:r>
      <w:r>
        <w:rPr>
          <w:rFonts w:ascii="宋体" w:hAnsi="宋体"/>
          <w:color w:val="auto"/>
          <w:sz w:val="21"/>
          <w:szCs w:val="21"/>
          <w:highlight w:val="none"/>
        </w:rPr>
        <w:fldChar w:fldCharType="separate"/>
      </w:r>
      <w:r>
        <w:rPr>
          <w:rFonts w:ascii="宋体" w:hAnsi="宋体"/>
          <w:color w:val="auto"/>
          <w:sz w:val="21"/>
          <w:szCs w:val="21"/>
          <w:highlight w:val="none"/>
        </w:rPr>
        <w:t>50</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"_Toc121470665" </w:instrText>
      </w:r>
      <w:r>
        <w:rPr>
          <w:color w:val="auto"/>
          <w:highlight w:val="none"/>
        </w:rPr>
        <w:fldChar w:fldCharType="separate"/>
      </w:r>
      <w:r>
        <w:rPr>
          <w:rStyle w:val="55"/>
          <w:rFonts w:hint="eastAsia" w:ascii="宋体" w:hAnsi="宋体"/>
          <w:color w:val="auto"/>
          <w:sz w:val="21"/>
          <w:szCs w:val="21"/>
          <w:highlight w:val="none"/>
        </w:rPr>
        <w:t>附表二</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_Toc121470665 \h </w:instrText>
      </w:r>
      <w:r>
        <w:rPr>
          <w:rFonts w:ascii="宋体" w:hAnsi="宋体"/>
          <w:color w:val="auto"/>
          <w:sz w:val="21"/>
          <w:szCs w:val="21"/>
          <w:highlight w:val="none"/>
        </w:rPr>
        <w:fldChar w:fldCharType="separate"/>
      </w:r>
      <w:r>
        <w:rPr>
          <w:rFonts w:ascii="宋体" w:hAnsi="宋体"/>
          <w:color w:val="auto"/>
          <w:sz w:val="21"/>
          <w:szCs w:val="21"/>
          <w:highlight w:val="none"/>
        </w:rPr>
        <w:t>52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"_Toc121470666" </w:instrText>
      </w:r>
      <w:r>
        <w:rPr>
          <w:color w:val="auto"/>
          <w:highlight w:val="none"/>
        </w:rPr>
        <w:fldChar w:fldCharType="separate"/>
      </w:r>
      <w:r>
        <w:rPr>
          <w:rStyle w:val="55"/>
          <w:rFonts w:hint="eastAsia" w:ascii="宋体" w:hAnsi="宋体"/>
          <w:color w:val="auto"/>
          <w:sz w:val="21"/>
          <w:szCs w:val="21"/>
          <w:highlight w:val="none"/>
        </w:rPr>
        <w:t>附表三</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_Toc121470666 \h </w:instrText>
      </w:r>
      <w:r>
        <w:rPr>
          <w:rFonts w:ascii="宋体" w:hAnsi="宋体"/>
          <w:color w:val="auto"/>
          <w:sz w:val="21"/>
          <w:szCs w:val="21"/>
          <w:highlight w:val="none"/>
        </w:rPr>
        <w:fldChar w:fldCharType="separate"/>
      </w:r>
      <w:r>
        <w:rPr>
          <w:rFonts w:ascii="宋体" w:hAnsi="宋体"/>
          <w:color w:val="auto"/>
          <w:sz w:val="21"/>
          <w:szCs w:val="21"/>
          <w:highlight w:val="none"/>
        </w:rPr>
        <w:t>54</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"_Toc121470667" </w:instrText>
      </w:r>
      <w:r>
        <w:rPr>
          <w:color w:val="auto"/>
          <w:highlight w:val="none"/>
        </w:rPr>
        <w:fldChar w:fldCharType="separate"/>
      </w:r>
      <w:r>
        <w:rPr>
          <w:rStyle w:val="55"/>
          <w:rFonts w:hint="eastAsia" w:ascii="宋体" w:hAnsi="宋体"/>
          <w:color w:val="auto"/>
          <w:sz w:val="21"/>
          <w:szCs w:val="21"/>
          <w:highlight w:val="none"/>
        </w:rPr>
        <w:t>附表四</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_Toc121470667 \h </w:instrText>
      </w:r>
      <w:r>
        <w:rPr>
          <w:rFonts w:ascii="宋体" w:hAnsi="宋体"/>
          <w:color w:val="auto"/>
          <w:sz w:val="21"/>
          <w:szCs w:val="21"/>
          <w:highlight w:val="none"/>
        </w:rPr>
        <w:fldChar w:fldCharType="separate"/>
      </w:r>
      <w:r>
        <w:rPr>
          <w:rFonts w:ascii="宋体" w:hAnsi="宋体"/>
          <w:color w:val="auto"/>
          <w:sz w:val="21"/>
          <w:szCs w:val="21"/>
          <w:highlight w:val="none"/>
        </w:rPr>
        <w:t>56</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"_Toc121470668" </w:instrText>
      </w:r>
      <w:r>
        <w:rPr>
          <w:color w:val="auto"/>
          <w:highlight w:val="none"/>
        </w:rPr>
        <w:fldChar w:fldCharType="separate"/>
      </w:r>
      <w:r>
        <w:rPr>
          <w:rStyle w:val="55"/>
          <w:rFonts w:hint="eastAsia" w:ascii="宋体" w:hAnsi="宋体"/>
          <w:color w:val="auto"/>
          <w:sz w:val="21"/>
          <w:szCs w:val="21"/>
          <w:highlight w:val="none"/>
        </w:rPr>
        <w:t>附表五</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_Toc121470668 \h </w:instrText>
      </w:r>
      <w:r>
        <w:rPr>
          <w:rFonts w:ascii="宋体" w:hAnsi="宋体"/>
          <w:color w:val="auto"/>
          <w:sz w:val="21"/>
          <w:szCs w:val="21"/>
          <w:highlight w:val="none"/>
        </w:rPr>
        <w:fldChar w:fldCharType="separate"/>
      </w:r>
      <w:r>
        <w:rPr>
          <w:rFonts w:ascii="宋体" w:hAnsi="宋体"/>
          <w:color w:val="auto"/>
          <w:sz w:val="21"/>
          <w:szCs w:val="21"/>
          <w:highlight w:val="none"/>
        </w:rPr>
        <w:t>61</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"_Toc121470669" </w:instrText>
      </w:r>
      <w:r>
        <w:rPr>
          <w:color w:val="auto"/>
          <w:highlight w:val="none"/>
        </w:rPr>
        <w:fldChar w:fldCharType="separate"/>
      </w:r>
      <w:r>
        <w:rPr>
          <w:rStyle w:val="55"/>
          <w:rFonts w:hint="eastAsia" w:ascii="宋体" w:hAnsi="宋体"/>
          <w:color w:val="auto"/>
          <w:sz w:val="21"/>
          <w:szCs w:val="21"/>
          <w:highlight w:val="none"/>
        </w:rPr>
        <w:t>附表六</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_Toc121470669 \h </w:instrText>
      </w:r>
      <w:r>
        <w:rPr>
          <w:rFonts w:ascii="宋体" w:hAnsi="宋体"/>
          <w:color w:val="auto"/>
          <w:sz w:val="21"/>
          <w:szCs w:val="21"/>
          <w:highlight w:val="none"/>
        </w:rPr>
        <w:fldChar w:fldCharType="separate"/>
      </w:r>
      <w:r>
        <w:rPr>
          <w:rFonts w:ascii="宋体" w:hAnsi="宋体"/>
          <w:color w:val="auto"/>
          <w:sz w:val="21"/>
          <w:szCs w:val="21"/>
          <w:highlight w:val="none"/>
        </w:rPr>
        <w:t>62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34"/>
        <w:spacing w:line="240" w:lineRule="auto"/>
        <w:rPr>
          <w:rFonts w:cstheme="minorBidi"/>
          <w:caps w:val="0"/>
          <w:color w:val="auto"/>
          <w:kern w:val="2"/>
          <w:sz w:val="21"/>
          <w:szCs w:val="21"/>
          <w:highlight w:val="none"/>
        </w:rPr>
      </w:pPr>
      <w:r>
        <w:rPr>
          <w:color w:val="auto"/>
          <w:highlight w:val="none"/>
        </w:rPr>
        <w:fldChar w:fldCharType="begin"/>
      </w:r>
      <w:r>
        <w:rPr>
          <w:color w:val="auto"/>
          <w:highlight w:val="none"/>
        </w:rPr>
        <w:instrText xml:space="preserve"> HYPERLINK \l "_Toc121470670" </w:instrText>
      </w:r>
      <w:r>
        <w:rPr>
          <w:color w:val="auto"/>
          <w:highlight w:val="none"/>
        </w:rPr>
        <w:fldChar w:fldCharType="separate"/>
      </w:r>
      <w:r>
        <w:rPr>
          <w:rStyle w:val="55"/>
          <w:color w:val="auto"/>
          <w:sz w:val="21"/>
          <w:szCs w:val="21"/>
          <w:highlight w:val="none"/>
        </w:rPr>
        <w:t>第三章合同条款</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_Toc121470670 \h </w:instrText>
      </w:r>
      <w:r>
        <w:rPr>
          <w:color w:val="auto"/>
          <w:sz w:val="21"/>
          <w:szCs w:val="21"/>
          <w:highlight w:val="none"/>
        </w:rPr>
        <w:fldChar w:fldCharType="separate"/>
      </w:r>
      <w:r>
        <w:rPr>
          <w:color w:val="auto"/>
          <w:sz w:val="21"/>
          <w:szCs w:val="21"/>
          <w:highlight w:val="none"/>
        </w:rPr>
        <w:t>64</w:t>
      </w:r>
      <w:r>
        <w:rPr>
          <w:color w:val="auto"/>
          <w:sz w:val="21"/>
          <w:szCs w:val="21"/>
          <w:highlight w:val="none"/>
        </w:rPr>
        <w:fldChar w:fldCharType="end"/>
      </w:r>
      <w:r>
        <w:rPr>
          <w:color w:val="auto"/>
          <w:sz w:val="21"/>
          <w:szCs w:val="21"/>
          <w:highlight w:val="none"/>
        </w:rPr>
        <w:fldChar w:fldCharType="end"/>
      </w:r>
    </w:p>
    <w:p>
      <w:pPr>
        <w:pStyle w:val="34"/>
        <w:spacing w:line="240" w:lineRule="auto"/>
        <w:rPr>
          <w:rFonts w:cstheme="minorBidi"/>
          <w:caps w:val="0"/>
          <w:color w:val="auto"/>
          <w:kern w:val="2"/>
          <w:sz w:val="21"/>
          <w:szCs w:val="21"/>
          <w:highlight w:val="none"/>
        </w:rPr>
      </w:pPr>
      <w:r>
        <w:rPr>
          <w:color w:val="auto"/>
          <w:highlight w:val="none"/>
        </w:rPr>
        <w:fldChar w:fldCharType="begin"/>
      </w:r>
      <w:r>
        <w:rPr>
          <w:color w:val="auto"/>
          <w:highlight w:val="none"/>
        </w:rPr>
        <w:instrText xml:space="preserve"> HYPERLINK \l "_Toc121470671" </w:instrText>
      </w:r>
      <w:r>
        <w:rPr>
          <w:color w:val="auto"/>
          <w:highlight w:val="none"/>
        </w:rPr>
        <w:fldChar w:fldCharType="separate"/>
      </w:r>
      <w:r>
        <w:rPr>
          <w:rStyle w:val="55"/>
          <w:color w:val="auto"/>
          <w:sz w:val="21"/>
          <w:szCs w:val="21"/>
          <w:highlight w:val="none"/>
        </w:rPr>
        <w:t>第四章投标文件格式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_Toc121470671 \h </w:instrText>
      </w:r>
      <w:r>
        <w:rPr>
          <w:color w:val="auto"/>
          <w:sz w:val="21"/>
          <w:szCs w:val="21"/>
          <w:highlight w:val="none"/>
        </w:rPr>
        <w:fldChar w:fldCharType="separate"/>
      </w:r>
      <w:r>
        <w:rPr>
          <w:color w:val="auto"/>
          <w:sz w:val="21"/>
          <w:szCs w:val="21"/>
          <w:highlight w:val="none"/>
        </w:rPr>
        <w:t>65</w:t>
      </w:r>
      <w:r>
        <w:rPr>
          <w:color w:val="auto"/>
          <w:sz w:val="21"/>
          <w:szCs w:val="21"/>
          <w:highlight w:val="none"/>
        </w:rPr>
        <w:fldChar w:fldCharType="end"/>
      </w:r>
      <w:r>
        <w:rPr>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"_Toc121470672" </w:instrText>
      </w:r>
      <w:r>
        <w:rPr>
          <w:color w:val="auto"/>
          <w:highlight w:val="none"/>
        </w:rPr>
        <w:fldChar w:fldCharType="separate"/>
      </w:r>
      <w:r>
        <w:rPr>
          <w:rStyle w:val="55"/>
          <w:rFonts w:hint="eastAsia" w:ascii="宋体" w:hAnsi="宋体"/>
          <w:color w:val="auto"/>
          <w:sz w:val="21"/>
          <w:szCs w:val="21"/>
          <w:highlight w:val="none"/>
        </w:rPr>
        <w:t>一、技术标投标文件格式</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_Toc121470672 \h </w:instrText>
      </w:r>
      <w:r>
        <w:rPr>
          <w:rFonts w:ascii="宋体" w:hAnsi="宋体"/>
          <w:color w:val="auto"/>
          <w:sz w:val="21"/>
          <w:szCs w:val="21"/>
          <w:highlight w:val="none"/>
        </w:rPr>
        <w:fldChar w:fldCharType="separate"/>
      </w:r>
      <w:r>
        <w:rPr>
          <w:rFonts w:ascii="宋体" w:hAnsi="宋体"/>
          <w:color w:val="auto"/>
          <w:sz w:val="21"/>
          <w:szCs w:val="21"/>
          <w:highlight w:val="none"/>
        </w:rPr>
        <w:t>65</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"_Toc121470673" </w:instrText>
      </w:r>
      <w:r>
        <w:rPr>
          <w:color w:val="auto"/>
          <w:highlight w:val="none"/>
        </w:rPr>
        <w:fldChar w:fldCharType="separate"/>
      </w:r>
      <w:r>
        <w:rPr>
          <w:rStyle w:val="55"/>
          <w:rFonts w:hint="eastAsia" w:ascii="宋体" w:hAnsi="宋体"/>
          <w:color w:val="auto"/>
          <w:sz w:val="21"/>
          <w:szCs w:val="21"/>
          <w:highlight w:val="none"/>
        </w:rPr>
        <w:t>格式一：</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_Toc121470673 \h </w:instrText>
      </w:r>
      <w:r>
        <w:rPr>
          <w:rFonts w:ascii="宋体" w:hAnsi="宋体"/>
          <w:color w:val="auto"/>
          <w:sz w:val="21"/>
          <w:szCs w:val="21"/>
          <w:highlight w:val="none"/>
        </w:rPr>
        <w:fldChar w:fldCharType="separate"/>
      </w:r>
      <w:r>
        <w:rPr>
          <w:rFonts w:ascii="宋体" w:hAnsi="宋体"/>
          <w:color w:val="auto"/>
          <w:sz w:val="21"/>
          <w:szCs w:val="21"/>
          <w:highlight w:val="none"/>
        </w:rPr>
        <w:t>65</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"_Toc121470674" </w:instrText>
      </w:r>
      <w:r>
        <w:rPr>
          <w:color w:val="auto"/>
          <w:highlight w:val="none"/>
        </w:rPr>
        <w:fldChar w:fldCharType="separate"/>
      </w:r>
      <w:r>
        <w:rPr>
          <w:rStyle w:val="55"/>
          <w:rFonts w:hint="eastAsia" w:ascii="宋体" w:hAnsi="宋体"/>
          <w:color w:val="auto"/>
          <w:sz w:val="21"/>
          <w:szCs w:val="21"/>
          <w:highlight w:val="none"/>
        </w:rPr>
        <w:t>格式二：</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_Toc121470674 \h </w:instrText>
      </w:r>
      <w:r>
        <w:rPr>
          <w:rFonts w:ascii="宋体" w:hAnsi="宋体"/>
          <w:color w:val="auto"/>
          <w:sz w:val="21"/>
          <w:szCs w:val="21"/>
          <w:highlight w:val="none"/>
        </w:rPr>
        <w:fldChar w:fldCharType="separate"/>
      </w:r>
      <w:r>
        <w:rPr>
          <w:rFonts w:ascii="宋体" w:hAnsi="宋体"/>
          <w:color w:val="auto"/>
          <w:sz w:val="21"/>
          <w:szCs w:val="21"/>
          <w:highlight w:val="none"/>
        </w:rPr>
        <w:t>66</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"_Toc121470675" </w:instrText>
      </w:r>
      <w:r>
        <w:rPr>
          <w:color w:val="auto"/>
          <w:highlight w:val="none"/>
        </w:rPr>
        <w:fldChar w:fldCharType="separate"/>
      </w:r>
      <w:r>
        <w:rPr>
          <w:rStyle w:val="55"/>
          <w:rFonts w:hint="eastAsia" w:ascii="宋体" w:hAnsi="宋体"/>
          <w:color w:val="auto"/>
          <w:sz w:val="21"/>
          <w:szCs w:val="21"/>
          <w:highlight w:val="none"/>
        </w:rPr>
        <w:t>格式三：</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_Toc121470675 \h </w:instrText>
      </w:r>
      <w:r>
        <w:rPr>
          <w:rFonts w:ascii="宋体" w:hAnsi="宋体"/>
          <w:color w:val="auto"/>
          <w:sz w:val="21"/>
          <w:szCs w:val="21"/>
          <w:highlight w:val="none"/>
        </w:rPr>
        <w:fldChar w:fldCharType="separate"/>
      </w:r>
      <w:r>
        <w:rPr>
          <w:rFonts w:ascii="宋体" w:hAnsi="宋体"/>
          <w:color w:val="auto"/>
          <w:sz w:val="21"/>
          <w:szCs w:val="21"/>
          <w:highlight w:val="none"/>
        </w:rPr>
        <w:t>67</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"_Toc121470676" </w:instrText>
      </w:r>
      <w:r>
        <w:rPr>
          <w:color w:val="auto"/>
          <w:highlight w:val="none"/>
        </w:rPr>
        <w:fldChar w:fldCharType="separate"/>
      </w:r>
      <w:r>
        <w:rPr>
          <w:rStyle w:val="55"/>
          <w:rFonts w:hint="eastAsia" w:ascii="宋体" w:hAnsi="宋体"/>
          <w:color w:val="auto"/>
          <w:sz w:val="21"/>
          <w:szCs w:val="21"/>
          <w:highlight w:val="none"/>
        </w:rPr>
        <w:t>格式四：</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_Toc121470676 \h </w:instrText>
      </w:r>
      <w:r>
        <w:rPr>
          <w:rFonts w:ascii="宋体" w:hAnsi="宋体"/>
          <w:color w:val="auto"/>
          <w:sz w:val="21"/>
          <w:szCs w:val="21"/>
          <w:highlight w:val="none"/>
        </w:rPr>
        <w:fldChar w:fldCharType="separate"/>
      </w:r>
      <w:r>
        <w:rPr>
          <w:rFonts w:ascii="宋体" w:hAnsi="宋体"/>
          <w:color w:val="auto"/>
          <w:sz w:val="21"/>
          <w:szCs w:val="21"/>
          <w:highlight w:val="none"/>
        </w:rPr>
        <w:t>68</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"_Toc121470677" </w:instrText>
      </w:r>
      <w:r>
        <w:rPr>
          <w:color w:val="auto"/>
          <w:highlight w:val="none"/>
        </w:rPr>
        <w:fldChar w:fldCharType="separate"/>
      </w:r>
      <w:r>
        <w:rPr>
          <w:rStyle w:val="55"/>
          <w:rFonts w:hint="eastAsia" w:ascii="宋体" w:hAnsi="宋体"/>
          <w:color w:val="auto"/>
          <w:sz w:val="21"/>
          <w:szCs w:val="21"/>
          <w:highlight w:val="none"/>
        </w:rPr>
        <w:t>格式五：</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_Toc121470677 \h </w:instrText>
      </w:r>
      <w:r>
        <w:rPr>
          <w:rFonts w:ascii="宋体" w:hAnsi="宋体"/>
          <w:color w:val="auto"/>
          <w:sz w:val="21"/>
          <w:szCs w:val="21"/>
          <w:highlight w:val="none"/>
        </w:rPr>
        <w:fldChar w:fldCharType="separate"/>
      </w:r>
      <w:r>
        <w:rPr>
          <w:rFonts w:ascii="宋体" w:hAnsi="宋体"/>
          <w:color w:val="auto"/>
          <w:sz w:val="21"/>
          <w:szCs w:val="21"/>
          <w:highlight w:val="none"/>
        </w:rPr>
        <w:t>69</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"_Toc121470678" </w:instrText>
      </w:r>
      <w:r>
        <w:rPr>
          <w:color w:val="auto"/>
          <w:highlight w:val="none"/>
        </w:rPr>
        <w:fldChar w:fldCharType="separate"/>
      </w:r>
      <w:r>
        <w:rPr>
          <w:rStyle w:val="55"/>
          <w:rFonts w:hint="eastAsia" w:ascii="宋体" w:hAnsi="宋体"/>
          <w:color w:val="auto"/>
          <w:sz w:val="21"/>
          <w:szCs w:val="21"/>
          <w:highlight w:val="none"/>
        </w:rPr>
        <w:t>格式六：</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_Toc121470678 \h </w:instrText>
      </w:r>
      <w:r>
        <w:rPr>
          <w:rFonts w:ascii="宋体" w:hAnsi="宋体"/>
          <w:color w:val="auto"/>
          <w:sz w:val="21"/>
          <w:szCs w:val="21"/>
          <w:highlight w:val="none"/>
        </w:rPr>
        <w:fldChar w:fldCharType="separate"/>
      </w:r>
      <w:r>
        <w:rPr>
          <w:rFonts w:ascii="宋体" w:hAnsi="宋体"/>
          <w:color w:val="auto"/>
          <w:sz w:val="21"/>
          <w:szCs w:val="21"/>
          <w:highlight w:val="none"/>
        </w:rPr>
        <w:t>73</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"_Toc121470679" </w:instrText>
      </w:r>
      <w:r>
        <w:rPr>
          <w:color w:val="auto"/>
          <w:highlight w:val="none"/>
        </w:rPr>
        <w:fldChar w:fldCharType="separate"/>
      </w:r>
      <w:r>
        <w:rPr>
          <w:rStyle w:val="55"/>
          <w:rFonts w:hint="eastAsia" w:ascii="宋体" w:hAnsi="宋体"/>
          <w:color w:val="auto"/>
          <w:sz w:val="21"/>
          <w:szCs w:val="21"/>
          <w:highlight w:val="none"/>
        </w:rPr>
        <w:t>二、经济标投标文件格式</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_Toc121470679 \h </w:instrText>
      </w:r>
      <w:r>
        <w:rPr>
          <w:rFonts w:ascii="宋体" w:hAnsi="宋体"/>
          <w:color w:val="auto"/>
          <w:sz w:val="21"/>
          <w:szCs w:val="21"/>
          <w:highlight w:val="none"/>
        </w:rPr>
        <w:fldChar w:fldCharType="separate"/>
      </w:r>
      <w:r>
        <w:rPr>
          <w:rFonts w:ascii="宋体" w:hAnsi="宋体"/>
          <w:color w:val="auto"/>
          <w:sz w:val="21"/>
          <w:szCs w:val="21"/>
          <w:highlight w:val="none"/>
        </w:rPr>
        <w:t>74</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"_Toc121470680" </w:instrText>
      </w:r>
      <w:r>
        <w:rPr>
          <w:color w:val="auto"/>
          <w:highlight w:val="none"/>
        </w:rPr>
        <w:fldChar w:fldCharType="separate"/>
      </w:r>
      <w:r>
        <w:rPr>
          <w:rStyle w:val="55"/>
          <w:rFonts w:hint="eastAsia" w:ascii="宋体" w:hAnsi="宋体"/>
          <w:snapToGrid w:val="0"/>
          <w:color w:val="auto"/>
          <w:sz w:val="21"/>
          <w:szCs w:val="21"/>
          <w:highlight w:val="none"/>
        </w:rPr>
        <w:t>格式七：</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_Toc121470680 \h </w:instrText>
      </w:r>
      <w:r>
        <w:rPr>
          <w:rFonts w:ascii="宋体" w:hAnsi="宋体"/>
          <w:color w:val="auto"/>
          <w:sz w:val="21"/>
          <w:szCs w:val="21"/>
          <w:highlight w:val="none"/>
        </w:rPr>
        <w:fldChar w:fldCharType="separate"/>
      </w:r>
      <w:r>
        <w:rPr>
          <w:rFonts w:ascii="宋体" w:hAnsi="宋体"/>
          <w:color w:val="auto"/>
          <w:sz w:val="21"/>
          <w:szCs w:val="21"/>
          <w:highlight w:val="none"/>
        </w:rPr>
        <w:t>74</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"_Toc121470681" </w:instrText>
      </w:r>
      <w:r>
        <w:rPr>
          <w:color w:val="auto"/>
          <w:highlight w:val="none"/>
        </w:rPr>
        <w:fldChar w:fldCharType="separate"/>
      </w:r>
      <w:r>
        <w:rPr>
          <w:rStyle w:val="55"/>
          <w:rFonts w:hint="eastAsia" w:ascii="宋体" w:hAnsi="宋体"/>
          <w:snapToGrid w:val="0"/>
          <w:color w:val="auto"/>
          <w:sz w:val="21"/>
          <w:szCs w:val="21"/>
          <w:highlight w:val="none"/>
        </w:rPr>
        <w:t>格式八：</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_Toc121470681 \h </w:instrText>
      </w:r>
      <w:r>
        <w:rPr>
          <w:rFonts w:ascii="宋体" w:hAnsi="宋体"/>
          <w:color w:val="auto"/>
          <w:sz w:val="21"/>
          <w:szCs w:val="21"/>
          <w:highlight w:val="none"/>
        </w:rPr>
        <w:fldChar w:fldCharType="separate"/>
      </w:r>
      <w:r>
        <w:rPr>
          <w:rFonts w:ascii="宋体" w:hAnsi="宋体"/>
          <w:color w:val="auto"/>
          <w:sz w:val="21"/>
          <w:szCs w:val="21"/>
          <w:highlight w:val="none"/>
        </w:rPr>
        <w:t>75</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"_Toc121470682" </w:instrText>
      </w:r>
      <w:r>
        <w:rPr>
          <w:color w:val="auto"/>
          <w:highlight w:val="none"/>
        </w:rPr>
        <w:fldChar w:fldCharType="separate"/>
      </w:r>
      <w:r>
        <w:rPr>
          <w:rStyle w:val="55"/>
          <w:rFonts w:hint="eastAsia" w:ascii="宋体" w:hAnsi="宋体"/>
          <w:color w:val="auto"/>
          <w:sz w:val="21"/>
          <w:szCs w:val="21"/>
          <w:highlight w:val="none"/>
        </w:rPr>
        <w:t>格式</w:t>
      </w:r>
      <w:r>
        <w:rPr>
          <w:rStyle w:val="55"/>
          <w:rFonts w:hint="eastAsia" w:ascii="宋体" w:hAnsi="宋体"/>
          <w:snapToGrid w:val="0"/>
          <w:color w:val="auto"/>
          <w:sz w:val="21"/>
          <w:szCs w:val="21"/>
          <w:highlight w:val="none"/>
        </w:rPr>
        <w:t>九</w:t>
      </w:r>
      <w:r>
        <w:rPr>
          <w:rStyle w:val="55"/>
          <w:rFonts w:hint="eastAsia" w:ascii="宋体" w:hAnsi="宋体"/>
          <w:color w:val="auto"/>
          <w:sz w:val="21"/>
          <w:szCs w:val="21"/>
          <w:highlight w:val="none"/>
        </w:rPr>
        <w:t>：</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_Toc121470682 \h </w:instrText>
      </w:r>
      <w:r>
        <w:rPr>
          <w:rFonts w:ascii="宋体" w:hAnsi="宋体"/>
          <w:color w:val="auto"/>
          <w:sz w:val="21"/>
          <w:szCs w:val="21"/>
          <w:highlight w:val="none"/>
        </w:rPr>
        <w:fldChar w:fldCharType="separate"/>
      </w:r>
      <w:r>
        <w:rPr>
          <w:rFonts w:ascii="宋体" w:hAnsi="宋体"/>
          <w:color w:val="auto"/>
          <w:sz w:val="21"/>
          <w:szCs w:val="21"/>
          <w:highlight w:val="none"/>
        </w:rPr>
        <w:t>76</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34"/>
        <w:spacing w:line="240" w:lineRule="auto"/>
        <w:rPr>
          <w:rFonts w:cstheme="minorBidi"/>
          <w:caps w:val="0"/>
          <w:color w:val="auto"/>
          <w:kern w:val="2"/>
          <w:sz w:val="21"/>
          <w:szCs w:val="21"/>
          <w:highlight w:val="none"/>
        </w:rPr>
      </w:pPr>
      <w:r>
        <w:rPr>
          <w:color w:val="auto"/>
          <w:highlight w:val="none"/>
        </w:rPr>
        <w:fldChar w:fldCharType="begin"/>
      </w:r>
      <w:r>
        <w:rPr>
          <w:color w:val="auto"/>
          <w:highlight w:val="none"/>
        </w:rPr>
        <w:instrText xml:space="preserve"> HYPERLINK \l "_Toc121470683" </w:instrText>
      </w:r>
      <w:r>
        <w:rPr>
          <w:color w:val="auto"/>
          <w:highlight w:val="none"/>
        </w:rPr>
        <w:fldChar w:fldCharType="separate"/>
      </w:r>
      <w:r>
        <w:rPr>
          <w:rStyle w:val="55"/>
          <w:color w:val="auto"/>
          <w:sz w:val="21"/>
          <w:szCs w:val="21"/>
          <w:highlight w:val="none"/>
        </w:rPr>
        <w:t>第五章技术条件（工程建设标准）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_Toc121470683 \h </w:instrText>
      </w:r>
      <w:r>
        <w:rPr>
          <w:color w:val="auto"/>
          <w:sz w:val="21"/>
          <w:szCs w:val="21"/>
          <w:highlight w:val="none"/>
        </w:rPr>
        <w:fldChar w:fldCharType="separate"/>
      </w:r>
      <w:r>
        <w:rPr>
          <w:color w:val="auto"/>
          <w:sz w:val="21"/>
          <w:szCs w:val="21"/>
          <w:highlight w:val="none"/>
        </w:rPr>
        <w:t>77</w:t>
      </w:r>
      <w:r>
        <w:rPr>
          <w:color w:val="auto"/>
          <w:sz w:val="21"/>
          <w:szCs w:val="21"/>
          <w:highlight w:val="none"/>
        </w:rPr>
        <w:fldChar w:fldCharType="end"/>
      </w:r>
      <w:r>
        <w:rPr>
          <w:color w:val="auto"/>
          <w:sz w:val="21"/>
          <w:szCs w:val="21"/>
          <w:highlight w:val="none"/>
        </w:rPr>
        <w:fldChar w:fldCharType="end"/>
      </w:r>
    </w:p>
    <w:p>
      <w:pPr>
        <w:pStyle w:val="34"/>
        <w:spacing w:line="240" w:lineRule="auto"/>
        <w:rPr>
          <w:rFonts w:cstheme="minorBidi"/>
          <w:caps w:val="0"/>
          <w:color w:val="auto"/>
          <w:kern w:val="2"/>
          <w:sz w:val="21"/>
          <w:szCs w:val="21"/>
          <w:highlight w:val="none"/>
        </w:rPr>
      </w:pPr>
      <w:r>
        <w:rPr>
          <w:color w:val="auto"/>
          <w:highlight w:val="none"/>
        </w:rPr>
        <w:fldChar w:fldCharType="begin"/>
      </w:r>
      <w:r>
        <w:rPr>
          <w:color w:val="auto"/>
          <w:highlight w:val="none"/>
        </w:rPr>
        <w:instrText xml:space="preserve"> HYPERLINK \l "_Toc121470684" </w:instrText>
      </w:r>
      <w:r>
        <w:rPr>
          <w:color w:val="auto"/>
          <w:highlight w:val="none"/>
        </w:rPr>
        <w:fldChar w:fldCharType="separate"/>
      </w:r>
      <w:r>
        <w:rPr>
          <w:rStyle w:val="55"/>
          <w:color w:val="auto"/>
          <w:sz w:val="21"/>
          <w:szCs w:val="21"/>
          <w:highlight w:val="none"/>
        </w:rPr>
        <w:t>第六章图纸及勘察资料</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_Toc121470684 \h </w:instrText>
      </w:r>
      <w:r>
        <w:rPr>
          <w:color w:val="auto"/>
          <w:sz w:val="21"/>
          <w:szCs w:val="21"/>
          <w:highlight w:val="none"/>
        </w:rPr>
        <w:fldChar w:fldCharType="separate"/>
      </w:r>
      <w:r>
        <w:rPr>
          <w:color w:val="auto"/>
          <w:sz w:val="21"/>
          <w:szCs w:val="21"/>
          <w:highlight w:val="none"/>
        </w:rPr>
        <w:t>86</w:t>
      </w:r>
      <w:r>
        <w:rPr>
          <w:color w:val="auto"/>
          <w:sz w:val="21"/>
          <w:szCs w:val="21"/>
          <w:highlight w:val="none"/>
        </w:rPr>
        <w:fldChar w:fldCharType="end"/>
      </w:r>
      <w:r>
        <w:rPr>
          <w:color w:val="auto"/>
          <w:sz w:val="21"/>
          <w:szCs w:val="21"/>
          <w:highlight w:val="none"/>
        </w:rPr>
        <w:fldChar w:fldCharType="end"/>
      </w:r>
    </w:p>
    <w:p>
      <w:pPr>
        <w:pStyle w:val="34"/>
        <w:spacing w:line="240" w:lineRule="auto"/>
        <w:rPr>
          <w:rFonts w:cstheme="minorBidi"/>
          <w:caps w:val="0"/>
          <w:color w:val="auto"/>
          <w:kern w:val="2"/>
          <w:sz w:val="21"/>
          <w:szCs w:val="21"/>
          <w:highlight w:val="none"/>
        </w:rPr>
      </w:pPr>
      <w:r>
        <w:rPr>
          <w:color w:val="auto"/>
          <w:highlight w:val="none"/>
        </w:rPr>
        <w:fldChar w:fldCharType="begin"/>
      </w:r>
      <w:r>
        <w:rPr>
          <w:color w:val="auto"/>
          <w:highlight w:val="none"/>
        </w:rPr>
        <w:instrText xml:space="preserve"> HYPERLINK \l "_Toc121470685" </w:instrText>
      </w:r>
      <w:r>
        <w:rPr>
          <w:color w:val="auto"/>
          <w:highlight w:val="none"/>
        </w:rPr>
        <w:fldChar w:fldCharType="separate"/>
      </w:r>
      <w:r>
        <w:rPr>
          <w:rStyle w:val="55"/>
          <w:color w:val="auto"/>
          <w:sz w:val="21"/>
          <w:szCs w:val="21"/>
          <w:highlight w:val="none"/>
        </w:rPr>
        <w:t>第七章工程量清单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_Toc121470685 \h </w:instrText>
      </w:r>
      <w:r>
        <w:rPr>
          <w:color w:val="auto"/>
          <w:sz w:val="21"/>
          <w:szCs w:val="21"/>
          <w:highlight w:val="none"/>
        </w:rPr>
        <w:fldChar w:fldCharType="separate"/>
      </w:r>
      <w:r>
        <w:rPr>
          <w:color w:val="auto"/>
          <w:sz w:val="21"/>
          <w:szCs w:val="21"/>
          <w:highlight w:val="none"/>
        </w:rPr>
        <w:t>87</w:t>
      </w:r>
      <w:r>
        <w:rPr>
          <w:color w:val="auto"/>
          <w:sz w:val="21"/>
          <w:szCs w:val="21"/>
          <w:highlight w:val="none"/>
        </w:rPr>
        <w:fldChar w:fldCharType="end"/>
      </w:r>
      <w:r>
        <w:rPr>
          <w:color w:val="auto"/>
          <w:sz w:val="21"/>
          <w:szCs w:val="21"/>
          <w:highlight w:val="none"/>
        </w:rPr>
        <w:fldChar w:fldCharType="end"/>
      </w:r>
    </w:p>
    <w:p>
      <w:pPr>
        <w:pStyle w:val="34"/>
        <w:spacing w:line="240" w:lineRule="auto"/>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"_Toc121470686" </w:instrText>
      </w:r>
      <w:r>
        <w:rPr>
          <w:color w:val="auto"/>
          <w:highlight w:val="none"/>
        </w:rPr>
        <w:fldChar w:fldCharType="separate"/>
      </w:r>
      <w:r>
        <w:rPr>
          <w:rStyle w:val="55"/>
          <w:color w:val="auto"/>
          <w:sz w:val="21"/>
          <w:szCs w:val="21"/>
          <w:highlight w:val="none"/>
        </w:rPr>
        <w:t>第八章最高投标限价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_Toc121470686 \h </w:instrText>
      </w:r>
      <w:r>
        <w:rPr>
          <w:color w:val="auto"/>
          <w:sz w:val="21"/>
          <w:szCs w:val="21"/>
          <w:highlight w:val="none"/>
        </w:rPr>
        <w:fldChar w:fldCharType="separate"/>
      </w:r>
      <w:r>
        <w:rPr>
          <w:color w:val="auto"/>
          <w:sz w:val="21"/>
          <w:szCs w:val="21"/>
          <w:highlight w:val="none"/>
        </w:rPr>
        <w:t>88</w:t>
      </w:r>
      <w:r>
        <w:rPr>
          <w:color w:val="auto"/>
          <w:sz w:val="21"/>
          <w:szCs w:val="21"/>
          <w:highlight w:val="none"/>
        </w:rPr>
        <w:fldChar w:fldCharType="end"/>
      </w:r>
      <w:r>
        <w:rPr>
          <w:color w:val="auto"/>
          <w:sz w:val="21"/>
          <w:szCs w:val="21"/>
          <w:highlight w:val="none"/>
        </w:rPr>
        <w:fldChar w:fldCharType="end"/>
      </w:r>
    </w:p>
    <w:p>
      <w:pPr>
        <w:pStyle w:val="210"/>
        <w:spacing w:before="62" w:after="62" w:line="240" w:lineRule="auto"/>
        <w:rPr>
          <w:color w:val="auto"/>
          <w:highlight w:val="none"/>
        </w:rPr>
      </w:pPr>
      <w:r>
        <w:rPr>
          <w:rFonts w:hint="eastAsia" w:hAnsi="宋体"/>
          <w:color w:val="auto"/>
          <w:sz w:val="21"/>
          <w:szCs w:val="21"/>
          <w:highlight w:val="none"/>
        </w:rPr>
        <w:fldChar w:fldCharType="end"/>
      </w:r>
      <w:bookmarkStart w:id="1" w:name="_Toc2272545"/>
    </w:p>
    <w:p>
      <w:pPr>
        <w:widowControl/>
        <w:jc w:val="left"/>
        <w:rPr>
          <w:rFonts w:ascii="宋体" w:hAnsi="宋体" w:cs="宋体"/>
          <w:b/>
          <w:color w:val="auto"/>
          <w:kern w:val="44"/>
          <w:sz w:val="24"/>
          <w:szCs w:val="24"/>
          <w:highlight w:val="none"/>
        </w:rPr>
      </w:pPr>
      <w:r>
        <w:rPr>
          <w:color w:val="auto"/>
          <w:sz w:val="24"/>
          <w:szCs w:val="24"/>
          <w:highlight w:val="none"/>
        </w:rPr>
        <w:br w:type="page"/>
      </w:r>
    </w:p>
    <w:p>
      <w:pPr>
        <w:pStyle w:val="4"/>
        <w:rPr>
          <w:color w:val="auto"/>
          <w:highlight w:val="none"/>
        </w:rPr>
      </w:pPr>
      <w:bookmarkStart w:id="2" w:name="_Toc121470649"/>
      <w:r>
        <w:rPr>
          <w:rFonts w:hint="eastAsia"/>
          <w:color w:val="auto"/>
          <w:highlight w:val="none"/>
        </w:rPr>
        <w:t>第一章投标须知</w:t>
      </w:r>
      <w:bookmarkEnd w:id="1"/>
      <w:bookmarkEnd w:id="2"/>
    </w:p>
    <w:p>
      <w:pPr>
        <w:pStyle w:val="6"/>
        <w:rPr>
          <w:color w:val="auto"/>
          <w:highlight w:val="none"/>
        </w:rPr>
      </w:pPr>
      <w:bookmarkStart w:id="3" w:name="_Toc2272546"/>
      <w:bookmarkStart w:id="4" w:name="_Toc121470650"/>
      <w:r>
        <w:rPr>
          <w:rFonts w:hint="eastAsia"/>
          <w:color w:val="auto"/>
          <w:highlight w:val="none"/>
        </w:rPr>
        <w:t>一、投标须知前附表</w:t>
      </w:r>
      <w:bookmarkEnd w:id="3"/>
      <w:bookmarkEnd w:id="4"/>
    </w:p>
    <w:p>
      <w:pPr>
        <w:pStyle w:val="7"/>
        <w:spacing w:line="360" w:lineRule="auto"/>
        <w:ind w:firstLine="0"/>
        <w:rPr>
          <w:rFonts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62"/>
        <w:gridCol w:w="5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条款号</w:t>
            </w:r>
          </w:p>
        </w:tc>
        <w:tc>
          <w:tcPr>
            <w:tcW w:w="1862" w:type="dxa"/>
            <w:tcBorders>
              <w:top w:val="double" w:color="auto" w:sz="4" w:space="0"/>
              <w:left w:val="single" w:color="auto" w:sz="4" w:space="0"/>
              <w:bottom w:val="single" w:color="auto" w:sz="4" w:space="0"/>
              <w:right w:val="single" w:color="auto" w:sz="4" w:space="0"/>
            </w:tcBorders>
            <w:vAlign w:val="center"/>
          </w:tcPr>
          <w:p>
            <w:pPr>
              <w:spacing w:line="276" w:lineRule="auto"/>
              <w:ind w:firstLine="458"/>
              <w:rPr>
                <w:rFonts w:ascii="宋体" w:hAnsi="宋体" w:cs="宋体"/>
                <w:color w:val="auto"/>
                <w:szCs w:val="21"/>
                <w:highlight w:val="none"/>
              </w:rPr>
            </w:pPr>
            <w:r>
              <w:rPr>
                <w:rFonts w:hint="eastAsia" w:ascii="宋体" w:hAnsi="宋体" w:cs="宋体"/>
                <w:color w:val="auto"/>
                <w:szCs w:val="21"/>
                <w:highlight w:val="none"/>
              </w:rPr>
              <w:t>内容</w:t>
            </w:r>
          </w:p>
        </w:tc>
        <w:tc>
          <w:tcPr>
            <w:tcW w:w="5805" w:type="dxa"/>
            <w:tcBorders>
              <w:top w:val="double" w:color="auto" w:sz="4" w:space="0"/>
              <w:left w:val="single" w:color="auto" w:sz="4" w:space="0"/>
              <w:bottom w:val="single" w:color="auto" w:sz="4" w:space="0"/>
              <w:right w:val="double" w:color="auto" w:sz="4" w:space="0"/>
            </w:tcBorders>
            <w:vAlign w:val="center"/>
          </w:tcPr>
          <w:p>
            <w:pPr>
              <w:pStyle w:val="28"/>
              <w:spacing w:line="276" w:lineRule="auto"/>
              <w:ind w:firstLine="458"/>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定义</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highlight w:val="none"/>
                <w:u w:val="single"/>
              </w:rPr>
            </w:pPr>
            <w:r>
              <w:rPr>
                <w:rFonts w:hint="eastAsia" w:ascii="宋体" w:hAnsi="宋体" w:cs="宋体"/>
                <w:color w:val="auto"/>
                <w:highlight w:val="none"/>
              </w:rPr>
              <w:t>招标人（即发包人）：</w:t>
            </w:r>
            <w:r>
              <w:rPr>
                <w:rFonts w:hint="eastAsia" w:ascii="宋体" w:hAnsi="宋体" w:cs="宋体"/>
                <w:color w:val="auto"/>
                <w:highlight w:val="none"/>
                <w:u w:val="single"/>
              </w:rPr>
              <w:t>广州工控智能装备产业有限公司</w:t>
            </w:r>
          </w:p>
          <w:p>
            <w:pPr>
              <w:spacing w:line="276" w:lineRule="auto"/>
              <w:rPr>
                <w:rFonts w:ascii="宋体" w:hAnsi="宋体" w:cs="宋体"/>
                <w:color w:val="auto"/>
                <w:highlight w:val="none"/>
              </w:rPr>
            </w:pPr>
            <w:r>
              <w:rPr>
                <w:rFonts w:hint="eastAsia" w:ascii="宋体" w:hAnsi="宋体" w:cs="宋体"/>
                <w:color w:val="auto"/>
                <w:highlight w:val="none"/>
              </w:rPr>
              <w:t>招标代理：</w:t>
            </w:r>
            <w:r>
              <w:rPr>
                <w:rFonts w:hint="eastAsia" w:ascii="宋体" w:hAnsi="宋体" w:cs="宋体"/>
                <w:color w:val="auto"/>
                <w:highlight w:val="none"/>
                <w:u w:val="single"/>
              </w:rPr>
              <w:t>北京筑标建设工程咨询有限公司</w:t>
            </w:r>
          </w:p>
          <w:p>
            <w:pPr>
              <w:spacing w:line="276" w:lineRule="auto"/>
              <w:rPr>
                <w:rFonts w:ascii="宋体" w:hAnsi="宋体" w:cs="宋体"/>
                <w:color w:val="auto"/>
                <w:highlight w:val="none"/>
                <w:u w:val="single"/>
              </w:rPr>
            </w:pPr>
            <w:r>
              <w:rPr>
                <w:rFonts w:hint="eastAsia" w:ascii="宋体" w:hAnsi="宋体" w:cs="宋体"/>
                <w:color w:val="auto"/>
                <w:highlight w:val="none"/>
              </w:rPr>
              <w:t>设计单位：</w:t>
            </w:r>
            <w:r>
              <w:rPr>
                <w:rFonts w:hint="eastAsia" w:ascii="宋体" w:hAnsi="宋体" w:cs="宋体"/>
                <w:color w:val="auto"/>
                <w:highlight w:val="none"/>
                <w:u w:val="single"/>
              </w:rPr>
              <w:t>(主)中国联合工程有限公司;</w:t>
            </w:r>
          </w:p>
          <w:p>
            <w:pPr>
              <w:spacing w:line="276" w:lineRule="auto"/>
              <w:ind w:firstLine="1050" w:firstLineChars="500"/>
              <w:rPr>
                <w:rFonts w:ascii="宋体" w:hAnsi="宋体" w:cs="宋体"/>
                <w:color w:val="auto"/>
                <w:highlight w:val="none"/>
                <w:u w:val="single"/>
              </w:rPr>
            </w:pPr>
            <w:r>
              <w:rPr>
                <w:rFonts w:hint="eastAsia" w:ascii="宋体" w:hAnsi="宋体" w:cs="宋体"/>
                <w:color w:val="auto"/>
                <w:highlight w:val="none"/>
                <w:u w:val="single"/>
              </w:rPr>
              <w:t>(成)建材广州工程勘测院有限公司</w:t>
            </w:r>
          </w:p>
          <w:p>
            <w:pPr>
              <w:spacing w:line="276" w:lineRule="auto"/>
              <w:rPr>
                <w:rFonts w:ascii="宋体" w:hAnsi="宋体" w:cs="宋体"/>
                <w:color w:val="auto"/>
                <w:highlight w:val="none"/>
              </w:rPr>
            </w:pPr>
            <w:r>
              <w:rPr>
                <w:rFonts w:hint="eastAsia" w:ascii="宋体" w:hAnsi="宋体" w:cs="宋体"/>
                <w:color w:val="auto"/>
                <w:highlight w:val="none"/>
              </w:rPr>
              <w:t>监理单位：</w:t>
            </w:r>
            <w:r>
              <w:rPr>
                <w:rFonts w:hint="eastAsia" w:ascii="宋体" w:hAnsi="宋体" w:cs="宋体"/>
                <w:color w:val="auto"/>
                <w:highlight w:val="none"/>
                <w:u w:val="single"/>
              </w:rPr>
              <w:t>广东建发工程管理有限公司</w:t>
            </w:r>
          </w:p>
          <w:p>
            <w:pPr>
              <w:spacing w:line="276" w:lineRule="auto"/>
              <w:rPr>
                <w:rFonts w:ascii="宋体" w:hAnsi="宋体" w:cs="宋体"/>
                <w:color w:val="auto"/>
                <w:szCs w:val="21"/>
                <w:highlight w:val="none"/>
              </w:rPr>
            </w:pPr>
            <w:r>
              <w:rPr>
                <w:rFonts w:hint="eastAsia" w:ascii="宋体" w:hAnsi="宋体" w:cs="宋体"/>
                <w:color w:val="auto"/>
                <w:highlight w:val="none"/>
              </w:rPr>
              <w:t>检测机构：</w:t>
            </w:r>
            <w:r>
              <w:rPr>
                <w:rFonts w:hint="eastAsia" w:ascii="宋体" w:hAnsi="宋体" w:cs="宋体"/>
                <w:color w:val="auto"/>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工程名称</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广州工控大湾区现代高端装备研发生产基地项目（三期）施工总承包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建设地点</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建设规模</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承包方式</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实行综合单价包干，工程量按实结算；预算包干费合价包干；措施费：除模板工程按工程量计算规则按图结算外，其余措施费按投标报价合价包干。包工期、包质量、包施工、包工包料、包设备、包运输费、包水电费、包人员住宿、包管理费、包利润、包风险责任费、包绿色施工安全防护（如施工噪音排污费、夜间施工费、垃圾清运、扬尘、用工实名制等）、包措施费（如洗车槽、沉砂池、垂直运输、包成品保护、施工及技术措施、场地硬化（含场地及临时施工运输坡道的加固硬化等，如填运砖渣（含多次）、压路钢板、渣土消纳费）、包赶工费、包雨季施工增加费、包材料周转费、包材料检验及试验（发包人委托第三方检测除外）、包检测后恢复原貌费、包现场组织和协调、包BIM建模（费用包含在投标报价中，不另行计取）、包保险、包第三者责任、进退场、资料归档、完工验收、包税费等一切与本工程有关的费用。施工围蔽满足广州市政府现行要求。绿色施工安全防护措施费按照《广州市建筑工程安全生产措施管理费管理办法》及《广东省住房和城乡建设厅关于建筑工程绿色施工的管理办法（暂行）》（粤建质〔2016〕242号文）的规定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质量标准</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color w:val="auto"/>
                <w:kern w:val="0"/>
                <w:highlight w:val="none"/>
                <w:u w:val="single"/>
              </w:rPr>
            </w:pPr>
            <w:r>
              <w:rPr>
                <w:rFonts w:hint="eastAsia"/>
                <w:color w:val="auto"/>
                <w:kern w:val="0"/>
                <w:highlight w:val="none"/>
                <w:u w:val="single"/>
              </w:rPr>
              <w:t>确保质量必需达到</w:t>
            </w:r>
            <w:r>
              <w:rPr>
                <w:rFonts w:hint="eastAsia"/>
                <w:color w:val="auto"/>
                <w:kern w:val="0"/>
                <w:highlight w:val="none"/>
                <w:u w:val="single"/>
                <w:lang w:val="en-US" w:eastAsia="zh-CN"/>
              </w:rPr>
              <w:t>省</w:t>
            </w:r>
            <w:r>
              <w:rPr>
                <w:rFonts w:hint="eastAsia"/>
                <w:color w:val="auto"/>
                <w:kern w:val="0"/>
                <w:highlight w:val="none"/>
                <w:u w:val="single"/>
              </w:rPr>
              <w:t>级优质工程以上</w:t>
            </w:r>
            <w:r>
              <w:rPr>
                <w:rFonts w:hint="eastAsia"/>
                <w:color w:val="auto"/>
                <w:kern w:val="0"/>
                <w:highlight w:val="none"/>
                <w:u w:val="single"/>
                <w:lang w:val="en-US" w:eastAsia="zh-CN"/>
              </w:rPr>
              <w:t>验收</w:t>
            </w:r>
            <w:r>
              <w:rPr>
                <w:rFonts w:hint="eastAsia"/>
                <w:color w:val="auto"/>
                <w:kern w:val="0"/>
                <w:highlight w:val="none"/>
                <w:u w:val="single"/>
              </w:rPr>
              <w:t>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招标范围</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工期要求</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总工期727日历天。其中施工工期：235日历天，暂定开工时间为2023年9月5日，完工时间为2024年4月27日，通过交工验收。具体开工时间以发包人确认的开工令为准。竣工验收日期：2025年8月31日。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资金来源</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企业自筹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4.1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ind w:firstLine="458"/>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资格审查方式</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13.1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工程量清单计价</w:t>
            </w:r>
            <w:r>
              <w:rPr>
                <w:rFonts w:hint="eastAsia" w:ascii="宋体" w:hAnsi="宋体" w:cs="宋体"/>
                <w:color w:val="auto"/>
                <w:szCs w:val="21"/>
                <w:highlight w:val="none"/>
                <w:u w:val="single"/>
              </w:rPr>
              <w:t>，按国家、省有关计价规范执行。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15.1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16.1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highlight w:val="none"/>
              </w:rPr>
            </w:pPr>
            <w:r>
              <w:rPr>
                <w:rFonts w:hint="eastAsia" w:ascii="宋体" w:hAnsi="宋体" w:cs="宋体"/>
                <w:color w:val="auto"/>
                <w:highlight w:val="none"/>
              </w:rPr>
              <w:t>是否要求投标人递交投标保证金：</w:t>
            </w:r>
          </w:p>
          <w:p>
            <w:pPr>
              <w:spacing w:line="276" w:lineRule="auto"/>
              <w:rPr>
                <w:rFonts w:ascii="宋体" w:hAnsi="宋体" w:cs="宋体"/>
                <w:color w:val="auto"/>
                <w:highlight w:val="none"/>
              </w:rPr>
            </w:pPr>
            <w:r>
              <w:rPr>
                <w:rFonts w:hint="eastAsia" w:ascii="宋体" w:hAnsi="宋体" w:cs="宋体"/>
                <w:color w:val="auto"/>
                <w:highlight w:val="none"/>
              </w:rPr>
              <w:t>□不要求递交投标保证金。</w:t>
            </w:r>
          </w:p>
          <w:p>
            <w:pPr>
              <w:spacing w:line="276" w:lineRule="auto"/>
              <w:rPr>
                <w:rFonts w:ascii="宋体" w:hAnsi="宋体" w:cs="宋体"/>
                <w:color w:val="auto"/>
                <w:highlight w:val="none"/>
              </w:rPr>
            </w:pPr>
            <w:r>
              <w:rPr>
                <w:rFonts w:hint="eastAsia" w:ascii="宋体" w:hAnsi="宋体" w:cs="宋体"/>
                <w:color w:val="auto"/>
                <w:highlight w:val="none"/>
              </w:rPr>
              <w:t>☑要求递交投标保证金。投标保证金的金额：</w:t>
            </w:r>
            <w:r>
              <w:rPr>
                <w:rFonts w:hint="eastAsia" w:ascii="宋体" w:hAnsi="宋体" w:cs="宋体"/>
                <w:b/>
                <w:color w:val="auto"/>
                <w:highlight w:val="none"/>
                <w:u w:val="single"/>
              </w:rPr>
              <w:t>50</w:t>
            </w:r>
            <w:r>
              <w:rPr>
                <w:rFonts w:hint="eastAsia" w:ascii="宋体" w:hAnsi="宋体" w:cs="宋体"/>
                <w:color w:val="auto"/>
                <w:highlight w:val="none"/>
              </w:rPr>
              <w:t>万元</w:t>
            </w:r>
          </w:p>
          <w:p>
            <w:pPr>
              <w:spacing w:line="276" w:lineRule="auto"/>
              <w:rPr>
                <w:rFonts w:ascii="宋体" w:hAnsi="宋体" w:cs="宋体"/>
                <w:color w:val="auto"/>
                <w:highlight w:val="none"/>
              </w:rPr>
            </w:pPr>
            <w:r>
              <w:rPr>
                <w:rFonts w:hint="eastAsia" w:ascii="宋体" w:hAnsi="宋体" w:cs="宋体"/>
                <w:color w:val="auto"/>
                <w:highlight w:val="none"/>
              </w:rPr>
              <w:t>缴纳时间：</w:t>
            </w:r>
            <w:r>
              <w:rPr>
                <w:rFonts w:hint="eastAsia" w:ascii="宋体" w:hAnsi="宋体" w:cs="宋体"/>
                <w:color w:val="auto"/>
                <w:highlight w:val="none"/>
                <w:u w:val="single"/>
              </w:rPr>
              <w:t>递交投标文件截止时间前。</w:t>
            </w:r>
          </w:p>
          <w:p>
            <w:pPr>
              <w:spacing w:line="276" w:lineRule="auto"/>
              <w:rPr>
                <w:rFonts w:ascii="宋体" w:hAnsi="宋体" w:cs="宋体"/>
                <w:color w:val="auto"/>
                <w:highlight w:val="none"/>
              </w:rPr>
            </w:pPr>
            <w:r>
              <w:rPr>
                <w:rFonts w:hint="eastAsia" w:ascii="宋体" w:hAnsi="宋体" w:cs="宋体"/>
                <w:color w:val="auto"/>
                <w:highlight w:val="none"/>
              </w:rPr>
              <w:t>投标保证金有效期：</w:t>
            </w:r>
            <w:r>
              <w:rPr>
                <w:rFonts w:hint="eastAsia" w:ascii="宋体" w:hAnsi="宋体" w:cs="宋体"/>
                <w:color w:val="auto"/>
                <w:highlight w:val="none"/>
                <w:u w:val="single"/>
              </w:rPr>
              <w:t>与投标有效期一致。</w:t>
            </w:r>
          </w:p>
          <w:p>
            <w:pPr>
              <w:rPr>
                <w:rFonts w:ascii="宋体" w:hAnsi="宋体"/>
                <w:color w:val="auto"/>
                <w:szCs w:val="21"/>
                <w:highlight w:val="none"/>
                <w:u w:val="single"/>
              </w:rPr>
            </w:pPr>
            <w:r>
              <w:rPr>
                <w:rFonts w:hint="eastAsia" w:ascii="宋体" w:hAnsi="宋体" w:cs="宋体"/>
                <w:color w:val="auto"/>
                <w:highlight w:val="none"/>
                <w:u w:val="single"/>
              </w:rPr>
              <w:t>注：投标保证金相关事宜详见招标文件16款。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5</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踏勘现场</w:t>
            </w:r>
          </w:p>
        </w:tc>
        <w:tc>
          <w:tcPr>
            <w:tcW w:w="5805" w:type="dxa"/>
            <w:tcBorders>
              <w:top w:val="single" w:color="auto" w:sz="4" w:space="0"/>
              <w:left w:val="single" w:color="auto" w:sz="4" w:space="0"/>
              <w:bottom w:val="single" w:color="auto" w:sz="4" w:space="0"/>
              <w:right w:val="double" w:color="auto" w:sz="4" w:space="0"/>
            </w:tcBorders>
            <w:vAlign w:val="center"/>
          </w:tcPr>
          <w:p>
            <w:pPr>
              <w:pStyle w:val="28"/>
              <w:spacing w:line="276" w:lineRule="auto"/>
              <w:rPr>
                <w:rFonts w:ascii="宋体" w:hAnsi="宋体" w:cs="宋体"/>
                <w:color w:val="auto"/>
                <w:szCs w:val="21"/>
                <w:highlight w:val="none"/>
              </w:rPr>
            </w:pPr>
            <w:r>
              <w:rPr>
                <w:rFonts w:hint="eastAsia" w:ascii="宋体" w:hAnsi="宋体" w:cs="宋体"/>
                <w:color w:val="auto"/>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8</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投标答疑</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1.方式：网上答疑</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2.疑问提交时间：  年  月  日24时前</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3.招标人澄清、修补或答疑期限：在递交投标文件截止日期前15 日</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4.网上答疑的操作指南为：登陆广州公共资源交易中心网站-&gt;进入“我是投标人（供应商）”-&gt;“我的投标”-&gt;“招标答疑提问”查询项目并提问。</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5.网上答疑的相关事项详见招标文件8.1款。</w:t>
            </w:r>
          </w:p>
          <w:p>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6.提问一律不得署名。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20.1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20.1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（技术标和经济标同时开标）</w:t>
            </w:r>
          </w:p>
          <w:p>
            <w:pPr>
              <w:spacing w:line="276" w:lineRule="auto"/>
              <w:rPr>
                <w:rFonts w:ascii="宋体" w:hAnsi="宋体" w:cs="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广州公共资源交易中心第   开标室（广州市天河区天润路333号）。</w:t>
            </w:r>
            <w:r>
              <w:rPr>
                <w:rFonts w:hint="eastAsia" w:ascii="宋体" w:hAnsi="宋体" w:cs="宋体"/>
                <w:b/>
                <w:bCs/>
                <w:color w:val="auto"/>
                <w:kern w:val="0"/>
                <w:szCs w:val="21"/>
                <w:highlight w:val="none"/>
              </w:rPr>
              <w:t>投标人也可选择参加在线开标，具体按照交易平台相关指南进行操作。详见：</w:t>
            </w:r>
            <w:r>
              <w:rPr>
                <w:rFonts w:hint="eastAsia" w:ascii="宋体" w:hAnsi="宋体" w:cs="宋体"/>
                <w:b/>
                <w:bCs/>
                <w:color w:val="auto"/>
                <w:kern w:val="0"/>
                <w:szCs w:val="21"/>
                <w:highlight w:val="none"/>
                <w:u w:val="single"/>
              </w:rPr>
              <w:t xml:space="preserve">http://www.gzggzy.cn/ </w:t>
            </w:r>
            <w:r>
              <w:rPr>
                <w:rFonts w:hint="eastAsia" w:ascii="宋体" w:hAnsi="宋体" w:cs="宋体"/>
                <w:color w:val="auto"/>
                <w:szCs w:val="21"/>
                <w:highlight w:val="none"/>
                <w:u w:val="single"/>
              </w:rPr>
              <w:t>。</w:t>
            </w:r>
          </w:p>
          <w:p>
            <w:pPr>
              <w:spacing w:line="276" w:lineRule="auto"/>
              <w:rPr>
                <w:rFonts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pPr>
              <w:wordWrap w:val="0"/>
              <w:spacing w:line="276" w:lineRule="auto"/>
              <w:ind w:left="-27" w:leftChars="-13" w:right="-59" w:rightChars="-28"/>
              <w:rPr>
                <w:rFonts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广州公共资源交易中心第   开标室（广州市天河区天润路333号）</w:t>
            </w:r>
            <w:r>
              <w:rPr>
                <w:rFonts w:hint="eastAsia" w:ascii="宋体" w:hAnsi="宋体" w:cs="宋体"/>
                <w:color w:val="auto"/>
                <w:szCs w:val="21"/>
                <w:highlight w:val="none"/>
              </w:rPr>
              <w:t>。备用光盘中包括一套完整的投标文件扫描件和一套用于中标候选人公示的资料电子版</w:t>
            </w:r>
            <w:r>
              <w:rPr>
                <w:rFonts w:ascii="宋体" w:hAnsi="宋体" w:cs="宋体"/>
                <w:color w:val="auto"/>
                <w:szCs w:val="21"/>
                <w:highlight w:val="none"/>
              </w:rPr>
              <w:t>(商务部分的人员、业绩、奖项等)，请注意删除涉及商业秘密的内容(如报价清单、施工方案等)，并隐去涉及个人隐私信息的内容(如身份证号码、手机号码等）。</w:t>
            </w:r>
          </w:p>
          <w:p>
            <w:pPr>
              <w:spacing w:line="276" w:lineRule="auto"/>
              <w:rPr>
                <w:rFonts w:ascii="宋体" w:hAnsi="宋体" w:cs="宋体"/>
                <w:color w:val="auto"/>
                <w:szCs w:val="21"/>
                <w:highlight w:val="none"/>
              </w:rPr>
            </w:pPr>
            <w:r>
              <w:rPr>
                <w:rFonts w:hint="eastAsia" w:ascii="宋体" w:hAnsi="宋体" w:cs="宋体"/>
                <w:color w:val="auto"/>
                <w:highlight w:val="none"/>
              </w:rPr>
              <w:t>上述时间及地点是否有改变，请密切留意补充公告招标答疑纪要的相关信息。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26</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开标评标办法</w:t>
            </w:r>
          </w:p>
        </w:tc>
        <w:tc>
          <w:tcPr>
            <w:tcW w:w="5805" w:type="dxa"/>
            <w:tcBorders>
              <w:top w:val="single" w:color="auto" w:sz="4" w:space="0"/>
              <w:left w:val="single" w:color="auto" w:sz="4" w:space="0"/>
              <w:bottom w:val="single" w:color="auto" w:sz="4" w:space="0"/>
              <w:right w:val="double" w:color="auto" w:sz="4" w:space="0"/>
            </w:tcBorders>
            <w:vAlign w:val="center"/>
          </w:tcPr>
          <w:p>
            <w:pPr>
              <w:pStyle w:val="2"/>
              <w:spacing w:after="0" w:line="276" w:lineRule="auto"/>
              <w:ind w:firstLine="0"/>
              <w:rPr>
                <w:rFonts w:ascii="宋体" w:hAnsi="宋体"/>
                <w:color w:val="auto"/>
                <w:szCs w:val="21"/>
                <w:highlight w:val="none"/>
              </w:rPr>
            </w:pPr>
            <w:r>
              <w:rPr>
                <w:rFonts w:hint="eastAsia" w:ascii="宋体" w:hAnsi="宋体"/>
                <w:color w:val="auto"/>
                <w:szCs w:val="21"/>
                <w:highlight w:val="none"/>
              </w:rPr>
              <w:t>方式一：</w:t>
            </w:r>
            <w:r>
              <w:rPr>
                <w:rFonts w:hint="eastAsia" w:ascii="宋体" w:hAnsi="宋体"/>
                <w:color w:val="auto"/>
                <w:szCs w:val="21"/>
                <w:highlight w:val="none"/>
                <w:u w:val="single"/>
              </w:rPr>
              <w:t>选取方法六（适合综合评分法三，技术标与经济标同时开启）</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29.1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履约担保</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highlight w:val="none"/>
              </w:rPr>
            </w:pPr>
            <w:r>
              <w:rPr>
                <w:rFonts w:hint="eastAsia" w:ascii="宋体" w:hAnsi="宋体" w:cs="宋体"/>
                <w:color w:val="auto"/>
                <w:highlight w:val="none"/>
              </w:rPr>
              <w:t>方式一：</w:t>
            </w:r>
            <w:r>
              <w:rPr>
                <w:rFonts w:hint="eastAsia" w:ascii="宋体" w:hAnsi="宋体" w:cs="宋体"/>
                <w:color w:val="auto"/>
                <w:highlight w:val="none"/>
                <w:u w:val="single"/>
              </w:rPr>
              <w:t>中标人提供的履约保证金为中标价款的10%</w:t>
            </w:r>
            <w:r>
              <w:rPr>
                <w:rFonts w:hint="eastAsia" w:ascii="宋体" w:hAnsi="宋体" w:cs="宋体"/>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075</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766</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573.06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非竞争费用</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ind w:left="50" w:leftChars="24" w:firstLine="1"/>
              <w:jc w:val="left"/>
              <w:rPr>
                <w:rFonts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51</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618</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082.49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元，暂列金额为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42,542,655.31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元，暂估价为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3,500,000.00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pStyle w:val="2"/>
              <w:spacing w:line="276" w:lineRule="auto"/>
              <w:ind w:firstLine="0"/>
              <w:rPr>
                <w:rFonts w:ascii="宋体" w:hAnsi="宋体" w:eastAsia="宋体" w:cs="宋体"/>
                <w:color w:val="auto"/>
                <w:szCs w:val="21"/>
                <w:highlight w:val="none"/>
              </w:rPr>
            </w:pPr>
            <w:r>
              <w:rPr>
                <w:rFonts w:hint="eastAsia" w:ascii="宋体" w:hAnsi="宋体" w:eastAsia="宋体" w:cs="宋体"/>
                <w:color w:val="auto"/>
                <w:szCs w:val="21"/>
                <w:highlight w:val="none"/>
              </w:rPr>
              <w:t>保修期</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rPr>
            </w:pPr>
            <w:r>
              <w:rPr>
                <w:rFonts w:hint="eastAsia" w:ascii="宋体" w:hAnsi="宋体"/>
                <w:color w:val="auto"/>
                <w:szCs w:val="21"/>
                <w:highlight w:val="none"/>
              </w:rPr>
              <w:t>本款不适用</w:t>
            </w:r>
            <w:r>
              <w:rPr>
                <w:rFonts w:hint="eastAsia" w:ascii="宋体" w:hAnsi="宋体" w:cs="仿宋_GB2312"/>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5805"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 1 \* GB3 </w:instrText>
            </w:r>
            <w:r>
              <w:rPr>
                <w:rFonts w:ascii="宋体" w:hAnsi="宋体"/>
                <w:color w:val="auto"/>
                <w:szCs w:val="21"/>
                <w:highlight w:val="none"/>
              </w:rPr>
              <w:fldChar w:fldCharType="separate"/>
            </w:r>
            <w:r>
              <w:rPr>
                <w:rFonts w:hint="eastAsia" w:ascii="宋体" w:hAnsi="宋体"/>
                <w:color w:val="auto"/>
                <w:szCs w:val="21"/>
                <w:highlight w:val="none"/>
              </w:rPr>
              <w:t>①</w:t>
            </w:r>
            <w:r>
              <w:rPr>
                <w:rFonts w:ascii="宋体" w:hAnsi="宋体"/>
                <w:color w:val="auto"/>
                <w:szCs w:val="21"/>
                <w:highlight w:val="none"/>
              </w:rPr>
              <w:fldChar w:fldCharType="end"/>
            </w:r>
            <w:r>
              <w:rPr>
                <w:rFonts w:hint="eastAsia" w:ascii="宋体" w:hAnsi="宋体"/>
                <w:color w:val="auto"/>
                <w:szCs w:val="21"/>
                <w:highlight w:val="none"/>
              </w:rPr>
              <w:t>通过技术有效性审查的投标人均进入第二阶段（适用于通过技术有效性审查家数在</w:t>
            </w:r>
            <w:r>
              <w:rPr>
                <w:rFonts w:ascii="宋体" w:hAnsi="宋体"/>
                <w:color w:val="auto"/>
                <w:szCs w:val="21"/>
                <w:highlight w:val="none"/>
              </w:rPr>
              <w:t>[3,</w:t>
            </w:r>
            <w:r>
              <w:rPr>
                <w:rFonts w:ascii="宋体" w:hAnsi="宋体"/>
                <w:color w:val="auto"/>
                <w:szCs w:val="21"/>
                <w:highlight w:val="none"/>
                <w:u w:val="single"/>
              </w:rPr>
              <w:t>7</w:t>
            </w:r>
            <w:r>
              <w:rPr>
                <w:rFonts w:ascii="宋体" w:hAnsi="宋体"/>
                <w:color w:val="auto"/>
                <w:szCs w:val="21"/>
                <w:highlight w:val="none"/>
              </w:rPr>
              <w:t>]中的）。</w:t>
            </w:r>
          </w:p>
          <w:p>
            <w:pPr>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 2 \* GB3 </w:instrText>
            </w:r>
            <w:r>
              <w:rPr>
                <w:rFonts w:ascii="宋体" w:hAnsi="宋体"/>
                <w:color w:val="auto"/>
                <w:szCs w:val="21"/>
                <w:highlight w:val="none"/>
              </w:rPr>
              <w:fldChar w:fldCharType="separate"/>
            </w:r>
            <w:r>
              <w:rPr>
                <w:rFonts w:hint="eastAsia" w:ascii="宋体" w:hAnsi="宋体"/>
                <w:color w:val="auto"/>
                <w:szCs w:val="21"/>
                <w:highlight w:val="none"/>
              </w:rPr>
              <w:t>②</w:t>
            </w:r>
            <w:r>
              <w:rPr>
                <w:rFonts w:ascii="宋体" w:hAnsi="宋体"/>
                <w:color w:val="auto"/>
                <w:szCs w:val="21"/>
                <w:highlight w:val="none"/>
              </w:rPr>
              <w:fldChar w:fldCharType="end"/>
            </w:r>
            <w:r>
              <w:rPr>
                <w:rFonts w:hint="eastAsia" w:ascii="宋体" w:hAnsi="宋体"/>
                <w:color w:val="auto"/>
                <w:szCs w:val="21"/>
                <w:highlight w:val="none"/>
              </w:rPr>
              <w:t>将第一阶段得分由高至低排序，前</w:t>
            </w:r>
            <w:r>
              <w:rPr>
                <w:rFonts w:ascii="宋体" w:hAnsi="宋体"/>
                <w:color w:val="auto"/>
                <w:szCs w:val="21"/>
                <w:highlight w:val="none"/>
                <w:u w:val="single"/>
              </w:rPr>
              <w:t>7</w:t>
            </w:r>
            <w:r>
              <w:rPr>
                <w:rFonts w:hint="eastAsia" w:ascii="宋体" w:hAnsi="宋体"/>
                <w:color w:val="auto"/>
                <w:szCs w:val="21"/>
                <w:highlight w:val="none"/>
              </w:rPr>
              <w:t>名投标人进入第二阶段评审（适用于通过技术有效性审查家数大于</w:t>
            </w:r>
            <w:r>
              <w:rPr>
                <w:rFonts w:ascii="宋体" w:hAnsi="宋体"/>
                <w:color w:val="auto"/>
                <w:szCs w:val="21"/>
                <w:highlight w:val="none"/>
                <w:u w:val="single"/>
              </w:rPr>
              <w:t>7</w:t>
            </w:r>
            <w:r>
              <w:rPr>
                <w:rFonts w:hint="eastAsia" w:ascii="宋体" w:hAnsi="宋体"/>
                <w:color w:val="auto"/>
                <w:szCs w:val="21"/>
                <w:highlight w:val="none"/>
              </w:rPr>
              <w:t>家的，招标人可根据工程具体情况，确定不少于</w:t>
            </w:r>
            <w:r>
              <w:rPr>
                <w:rFonts w:ascii="宋体" w:hAnsi="宋体"/>
                <w:color w:val="auto"/>
                <w:szCs w:val="21"/>
                <w:highlight w:val="none"/>
                <w:u w:val="single"/>
              </w:rPr>
              <w:t>7</w:t>
            </w:r>
            <w:r>
              <w:rPr>
                <w:rFonts w:hint="eastAsia" w:ascii="宋体" w:hAnsi="宋体"/>
                <w:color w:val="auto"/>
                <w:szCs w:val="21"/>
                <w:highlight w:val="none"/>
              </w:rPr>
              <w:t>家进入第二阶段）。</w:t>
            </w:r>
          </w:p>
          <w:p>
            <w:pPr>
              <w:spacing w:line="276" w:lineRule="auto"/>
              <w:rPr>
                <w:rFonts w:ascii="宋体" w:hAnsi="宋体" w:cs="宋体"/>
                <w:strike/>
                <w:color w:val="auto"/>
                <w:szCs w:val="21"/>
                <w:highlight w:val="none"/>
              </w:rPr>
            </w:pPr>
            <w:r>
              <w:rPr>
                <w:rFonts w:hint="eastAsia" w:ascii="宋体" w:hAnsi="宋体"/>
                <w:color w:val="auto"/>
                <w:szCs w:val="21"/>
                <w:highlight w:val="none"/>
              </w:rPr>
              <w:t>注：本款适用于选择评标办法一至评标办法六。进入第二阶段的投标人家数应符合</w:t>
            </w:r>
            <w:r>
              <w:rPr>
                <w:rFonts w:hint="eastAsia" w:ascii="宋体" w:hAnsi="宋体" w:cs="仿宋_GB2312"/>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工程成本警戒价</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工程成本警戒价为</w:t>
            </w:r>
            <w:r>
              <w:rPr>
                <w:rFonts w:hint="eastAsia" w:ascii="宋体" w:hAnsi="宋体" w:cs="宋体"/>
                <w:color w:val="auto"/>
                <w:szCs w:val="21"/>
                <w:highlight w:val="none"/>
                <w:u w:val="single"/>
              </w:rPr>
              <w:t>968</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189</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915.75</w:t>
            </w:r>
            <w:r>
              <w:rPr>
                <w:rFonts w:hint="eastAsia" w:ascii="宋体" w:hAnsi="宋体" w:cs="宋体"/>
                <w:color w:val="auto"/>
                <w:szCs w:val="21"/>
                <w:highlight w:val="none"/>
              </w:rPr>
              <w:t>元（按招标控制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第一阶段各分值的权重</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技术分权重为</w:t>
            </w:r>
            <w:r>
              <w:rPr>
                <w:rFonts w:hint="eastAsia" w:ascii="宋体" w:hAnsi="宋体" w:cs="宋体"/>
                <w:b/>
                <w:color w:val="auto"/>
                <w:szCs w:val="21"/>
                <w:highlight w:val="none"/>
                <w:u w:val="single"/>
              </w:rPr>
              <w:t>100</w:t>
            </w:r>
            <w:r>
              <w:rPr>
                <w:rFonts w:hint="eastAsia" w:ascii="宋体" w:hAnsi="宋体" w:cs="宋体"/>
                <w:color w:val="auto"/>
                <w:szCs w:val="21"/>
                <w:highlight w:val="none"/>
              </w:rPr>
              <w:t>%，</w:t>
            </w:r>
            <w:r>
              <w:rPr>
                <w:rFonts w:hint="eastAsia" w:ascii="宋体" w:hAnsi="宋体"/>
                <w:color w:val="auto"/>
                <w:szCs w:val="21"/>
                <w:highlight w:val="none"/>
              </w:rPr>
              <w:t>企业诚信综合评价得分</w:t>
            </w:r>
            <w:r>
              <w:rPr>
                <w:rFonts w:ascii="宋体" w:hAnsi="宋体"/>
                <w:color w:val="auto"/>
                <w:szCs w:val="21"/>
                <w:highlight w:val="none"/>
              </w:rPr>
              <w:t>权重为</w:t>
            </w:r>
            <w:r>
              <w:rPr>
                <w:rFonts w:hint="eastAsia" w:ascii="宋体" w:hAnsi="宋体"/>
                <w:b/>
                <w:color w:val="auto"/>
                <w:szCs w:val="21"/>
                <w:highlight w:val="none"/>
                <w:u w:val="single"/>
              </w:rPr>
              <w:t>0</w:t>
            </w:r>
            <w:r>
              <w:rPr>
                <w:rFonts w:ascii="宋体" w:hAnsi="宋体"/>
                <w:color w:val="auto"/>
                <w:szCs w:val="21"/>
                <w:highlight w:val="none"/>
              </w:rPr>
              <w:t>%</w:t>
            </w:r>
            <w:r>
              <w:rPr>
                <w:rFonts w:hint="eastAsia" w:ascii="宋体" w:hAnsi="宋体" w:cs="宋体"/>
                <w:color w:val="auto"/>
                <w:szCs w:val="21"/>
                <w:highlight w:val="none"/>
              </w:rPr>
              <w:t>。</w:t>
            </w:r>
          </w:p>
          <w:p>
            <w:pPr>
              <w:spacing w:line="276" w:lineRule="auto"/>
              <w:rPr>
                <w:rFonts w:ascii="宋体" w:hAnsi="宋体" w:cs="宋体"/>
                <w:strike/>
                <w:color w:val="auto"/>
                <w:szCs w:val="21"/>
                <w:highlight w:val="none"/>
                <w:u w:val="single"/>
              </w:rPr>
            </w:pPr>
            <w:r>
              <w:rPr>
                <w:rFonts w:hint="eastAsia"/>
                <w:color w:val="auto"/>
                <w:highlight w:val="none"/>
              </w:rPr>
              <w:t>注：本阶段技术分评审标准取自《技术标详细审查评分表》。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企业诚信综合评价分数</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本项目不采用企业综合诚信评价分数。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rPr>
            </w:pPr>
            <w:r>
              <w:rPr>
                <w:rFonts w:hint="eastAsia" w:ascii="宋体" w:hAnsi="宋体"/>
                <w:color w:val="auto"/>
                <w:szCs w:val="21"/>
                <w:highlight w:val="none"/>
              </w:rPr>
              <w:t>本款不适用</w:t>
            </w:r>
            <w:r>
              <w:rPr>
                <w:rFonts w:hint="eastAsia" w:ascii="宋体" w:hAnsi="宋体" w:cs="仿宋_GB2312"/>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rPr>
            </w:pPr>
            <w:r>
              <w:rPr>
                <w:rFonts w:hint="eastAsia" w:ascii="宋体" w:hAnsi="宋体"/>
                <w:color w:val="auto"/>
                <w:szCs w:val="21"/>
                <w:highlight w:val="none"/>
              </w:rPr>
              <w:t>本款不适用</w:t>
            </w:r>
            <w:r>
              <w:rPr>
                <w:rFonts w:hint="eastAsia" w:ascii="宋体" w:hAnsi="宋体" w:cs="仿宋_GB2312"/>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5805"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选取方法</w:t>
            </w:r>
            <w:r>
              <w:rPr>
                <w:rFonts w:hint="eastAsia" w:ascii="宋体" w:hAnsi="宋体"/>
                <w:color w:val="auto"/>
                <w:szCs w:val="21"/>
                <w:highlight w:val="none"/>
                <w:u w:val="single"/>
              </w:rPr>
              <w:t>一</w:t>
            </w:r>
          </w:p>
          <w:p>
            <w:pPr>
              <w:rPr>
                <w:rFonts w:ascii="宋体" w:hAnsi="宋体"/>
                <w:color w:val="auto"/>
                <w:szCs w:val="21"/>
                <w:highlight w:val="none"/>
                <w:u w:val="single"/>
              </w:rPr>
            </w:pPr>
            <w:r>
              <w:rPr>
                <w:rFonts w:hint="eastAsia" w:ascii="宋体" w:hAnsi="宋体"/>
                <w:color w:val="auto"/>
                <w:szCs w:val="21"/>
                <w:highlight w:val="none"/>
              </w:rPr>
              <w:t>方法一：评标委员会按照“总分=</w:t>
            </w:r>
            <w:r>
              <w:rPr>
                <w:rFonts w:hint="eastAsia" w:ascii="宋体" w:hAnsi="宋体"/>
                <w:color w:val="auto"/>
                <w:szCs w:val="21"/>
                <w:highlight w:val="none"/>
                <w:u w:val="single"/>
              </w:rPr>
              <w:t>技术标详细审查得分×得分权重（30%）+经济分×经济分权重（70%）</w:t>
            </w:r>
            <w:r>
              <w:rPr>
                <w:rFonts w:hint="eastAsia" w:ascii="宋体" w:hAnsi="宋体"/>
                <w:color w:val="auto"/>
                <w:szCs w:val="21"/>
                <w:highlight w:val="none"/>
              </w:rPr>
              <w:t>的公式，计算各有效投标文件的总分，并按照总分从高到低排序。总得分相同的投标文件，以报价较低的排前；</w:t>
            </w:r>
            <w:r>
              <w:rPr>
                <w:rFonts w:hint="eastAsia"/>
                <w:color w:val="auto"/>
                <w:szCs w:val="21"/>
                <w:highlight w:val="none"/>
              </w:rPr>
              <w:t>如仍存在相同情况，则对具有相同情况的投标人，</w:t>
            </w:r>
            <w:r>
              <w:rPr>
                <w:rFonts w:hint="eastAsia" w:ascii="宋体" w:hAnsi="宋体"/>
                <w:color w:val="auto"/>
                <w:szCs w:val="21"/>
                <w:highlight w:val="none"/>
                <w:u w:val="single"/>
              </w:rPr>
              <w:t>按中标候选人数量规定，由评标委员会采用记名投票方式，确定中标候选人的排序。</w:t>
            </w:r>
          </w:p>
          <w:p>
            <w:pPr>
              <w:rPr>
                <w:rFonts w:ascii="宋体" w:hAnsi="宋体"/>
                <w:color w:val="auto"/>
                <w:szCs w:val="21"/>
                <w:highlight w:val="none"/>
                <w:u w:val="single"/>
              </w:rPr>
            </w:pPr>
            <w:r>
              <w:rPr>
                <w:rFonts w:hint="eastAsia" w:ascii="宋体" w:hAnsi="宋体"/>
                <w:color w:val="auto"/>
                <w:szCs w:val="21"/>
                <w:highlight w:val="none"/>
                <w:u w:val="single"/>
              </w:rPr>
              <w:t>注：记名投票方式确定排序的具体操作步骤为：由评标委员会对出现该情况的投标人采取记名投票的方式确定，按得票数高低进行排序，根据得票数高低确定中标候选人排序。</w:t>
            </w:r>
          </w:p>
          <w:p>
            <w:pPr>
              <w:rPr>
                <w:rFonts w:ascii="宋体" w:hAnsi="宋体"/>
                <w:color w:val="auto"/>
                <w:szCs w:val="21"/>
                <w:highlight w:val="none"/>
                <w:u w:val="single"/>
              </w:rPr>
            </w:pPr>
            <w:r>
              <w:rPr>
                <w:rFonts w:hint="eastAsia" w:ascii="宋体" w:hAnsi="宋体" w:cs="宋体"/>
                <w:color w:val="auto"/>
                <w:szCs w:val="21"/>
                <w:highlight w:val="none"/>
                <w:u w:val="single"/>
              </w:rPr>
              <w:t>技术标详细审查评审标准取自《技术标详细审查评分表》。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13.4、13.5.2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kern w:val="0"/>
                <w:szCs w:val="21"/>
                <w:highlight w:val="none"/>
                <w:lang w:val="zh-CN"/>
              </w:rPr>
              <w:t>建设工程质量检测</w:t>
            </w:r>
            <w:r>
              <w:rPr>
                <w:rFonts w:hint="eastAsia" w:ascii="宋体" w:hAnsi="宋体" w:cs="宋体"/>
                <w:color w:val="auto"/>
                <w:kern w:val="0"/>
                <w:szCs w:val="21"/>
                <w:highlight w:val="none"/>
              </w:rPr>
              <w:t>单位</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kern w:val="0"/>
                <w:szCs w:val="21"/>
                <w:highlight w:val="none"/>
                <w:lang w:val="zh-CN"/>
              </w:rPr>
            </w:pPr>
            <w:r>
              <w:rPr>
                <w:rFonts w:hint="eastAsia" w:ascii="宋体" w:hAnsi="宋体" w:cs="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kern w:val="0"/>
                <w:szCs w:val="21"/>
                <w:highlight w:val="none"/>
                <w:lang w:val="zh-CN"/>
              </w:rPr>
            </w:pPr>
            <w:r>
              <w:rPr>
                <w:rFonts w:hint="eastAsia" w:ascii="宋体" w:hAnsi="宋体" w:cs="宋体"/>
                <w:color w:val="auto"/>
                <w:highlight w:val="none"/>
                <w:lang w:eastAsia="zh-CN"/>
              </w:rPr>
              <w:t>□</w:t>
            </w:r>
            <w:r>
              <w:rPr>
                <w:rFonts w:hint="eastAsia" w:ascii="宋体" w:hAnsi="宋体" w:cs="宋体"/>
                <w:color w:val="auto"/>
                <w:kern w:val="0"/>
                <w:szCs w:val="21"/>
                <w:highlight w:val="none"/>
                <w:lang w:val="zh-CN"/>
              </w:rPr>
              <w:t>不允许；</w:t>
            </w:r>
          </w:p>
          <w:p>
            <w:pPr>
              <w:spacing w:line="276" w:lineRule="auto"/>
              <w:rPr>
                <w:rFonts w:ascii="宋体" w:hAnsi="宋体" w:cs="宋体"/>
                <w:color w:val="auto"/>
                <w:kern w:val="0"/>
                <w:szCs w:val="21"/>
                <w:highlight w:val="none"/>
                <w:lang w:val="zh-CN"/>
              </w:rPr>
            </w:pPr>
            <w:r>
              <w:rPr>
                <w:rFonts w:hint="eastAsia" w:ascii="宋体" w:hAnsi="宋体" w:cs="宋体"/>
                <w:color w:val="auto"/>
                <w:highlight w:val="none"/>
                <w:lang w:eastAsia="zh-CN"/>
              </w:rPr>
              <w:t>☑</w:t>
            </w:r>
            <w:r>
              <w:rPr>
                <w:rFonts w:hint="eastAsia" w:ascii="宋体" w:hAnsi="宋体" w:cs="宋体"/>
                <w:color w:val="auto"/>
                <w:kern w:val="0"/>
                <w:szCs w:val="21"/>
                <w:highlight w:val="none"/>
                <w:lang w:val="zh-CN"/>
              </w:rPr>
              <w:t>允许：分包内容要求：</w:t>
            </w:r>
            <w:r>
              <w:rPr>
                <w:rFonts w:hint="eastAsia" w:ascii="宋体" w:hAnsi="宋体" w:cs="宋体"/>
                <w:color w:val="auto"/>
                <w:kern w:val="0"/>
                <w:szCs w:val="21"/>
                <w:highlight w:val="none"/>
                <w:u w:val="single"/>
                <w:lang w:val="zh-CN"/>
              </w:rPr>
              <w:t>非主体关键工程。</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分包金额要求：</w:t>
            </w:r>
            <w:r>
              <w:rPr>
                <w:rFonts w:hint="eastAsia" w:ascii="宋体" w:hAnsi="宋体"/>
                <w:color w:val="auto"/>
                <w:szCs w:val="21"/>
                <w:highlight w:val="none"/>
                <w:u w:val="single"/>
              </w:rPr>
              <w:t>无。</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对分包人的资质要求：</w:t>
            </w:r>
            <w:r>
              <w:rPr>
                <w:rFonts w:hint="eastAsia" w:ascii="宋体" w:hAnsi="宋体" w:cs="宋体"/>
                <w:color w:val="auto"/>
                <w:kern w:val="0"/>
                <w:szCs w:val="21"/>
                <w:highlight w:val="none"/>
                <w:u w:val="single"/>
                <w:lang w:val="zh-CN"/>
              </w:rPr>
              <w:t>符合有关法律法规和文件规定，并不得再次分包。</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对分包人的其他要求：</w:t>
            </w:r>
            <w:r>
              <w:rPr>
                <w:rFonts w:hint="eastAsia" w:ascii="宋体" w:hAnsi="宋体"/>
                <w:color w:val="auto"/>
                <w:szCs w:val="21"/>
                <w:highlight w:val="none"/>
                <w:u w:val="singl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s="宋体"/>
                <w:color w:val="auto"/>
                <w:highlight w:val="none"/>
              </w:rPr>
            </w:pPr>
            <w:r>
              <w:rPr>
                <w:rFonts w:hint="eastAsia" w:ascii="宋体" w:hAnsi="宋体" w:cs="宋体"/>
                <w:color w:val="auto"/>
                <w:highlight w:val="none"/>
              </w:rPr>
              <w:t>电子招标投标解密失败及突发情况的补救</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276" w:lineRule="auto"/>
              <w:rPr>
                <w:rFonts w:ascii="宋体" w:hAnsi="宋体" w:cs="宋体"/>
                <w:color w:val="auto"/>
                <w:szCs w:val="21"/>
                <w:highlight w:val="none"/>
              </w:rPr>
            </w:pPr>
            <w:r>
              <w:rPr>
                <w:rFonts w:hint="eastAsia" w:ascii="宋体" w:hAnsi="宋体" w:cs="宋体"/>
                <w:color w:val="auto"/>
                <w:szCs w:val="21"/>
                <w:highlight w:val="none"/>
              </w:rPr>
              <w:t>2、提交投标文件光盘备用</w:t>
            </w:r>
          </w:p>
          <w:p>
            <w:pPr>
              <w:spacing w:line="276" w:lineRule="auto"/>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 3、补救方案</w:t>
            </w:r>
          </w:p>
          <w:p>
            <w:pPr>
              <w:spacing w:line="276" w:lineRule="auto"/>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pPr>
              <w:spacing w:line="276" w:lineRule="auto"/>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276" w:lineRule="auto"/>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pPr>
              <w:spacing w:line="276" w:lineRule="auto"/>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spacing w:line="276" w:lineRule="auto"/>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招标人拒绝接收投标文件备用光盘的情况</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中标公示后中标单位提交投标文件要求</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中标单位在中标公示结束后三个工作日内分别提交</w:t>
            </w:r>
            <w:r>
              <w:rPr>
                <w:rFonts w:ascii="宋体" w:hAnsi="宋体" w:cs="宋体"/>
                <w:color w:val="auto"/>
                <w:szCs w:val="21"/>
                <w:highlight w:val="none"/>
                <w:u w:val="single"/>
              </w:rPr>
              <w:t>2</w:t>
            </w:r>
            <w:r>
              <w:rPr>
                <w:rFonts w:hint="eastAsia" w:ascii="宋体" w:hAnsi="宋体" w:cs="宋体"/>
                <w:color w:val="auto"/>
                <w:szCs w:val="21"/>
                <w:highlight w:val="none"/>
                <w:u w:val="single"/>
              </w:rPr>
              <w:t>套与电子投标文件内容完全一致的纸质版投标文件（含经济标单价分析）及经济标报价套价软件版和Microsoft Excel版电子文件光盘。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s="新宋体"/>
                <w:color w:val="auto"/>
                <w:szCs w:val="21"/>
                <w:highlight w:val="none"/>
              </w:rPr>
            </w:pPr>
            <w:r>
              <w:rPr>
                <w:rFonts w:hint="eastAsia" w:ascii="宋体" w:hAnsi="宋体" w:cs="新宋体"/>
                <w:color w:val="auto"/>
                <w:szCs w:val="21"/>
                <w:highlight w:val="none"/>
              </w:rPr>
              <w:t>其他费用</w:t>
            </w:r>
          </w:p>
        </w:tc>
        <w:tc>
          <w:tcPr>
            <w:tcW w:w="5805" w:type="dxa"/>
            <w:tcBorders>
              <w:top w:val="single" w:color="auto" w:sz="4" w:space="0"/>
              <w:left w:val="single" w:color="auto" w:sz="4" w:space="0"/>
              <w:bottom w:val="single" w:color="auto" w:sz="4" w:space="0"/>
              <w:right w:val="double" w:color="auto" w:sz="4" w:space="0"/>
            </w:tcBorders>
            <w:vAlign w:val="center"/>
          </w:tcPr>
          <w:p>
            <w:pPr>
              <w:numPr>
                <w:ilvl w:val="0"/>
                <w:numId w:val="1"/>
              </w:numPr>
              <w:spacing w:line="276" w:lineRule="auto"/>
              <w:jc w:val="left"/>
              <w:rPr>
                <w:color w:val="auto"/>
                <w:highlight w:val="none"/>
              </w:rPr>
            </w:pPr>
            <w:r>
              <w:rPr>
                <w:rFonts w:hint="eastAsia"/>
                <w:color w:val="auto"/>
                <w:highlight w:val="none"/>
              </w:rPr>
              <w:t>中标人代缴交易平台的交易服务费，其费用包含在中标人报价中。</w:t>
            </w:r>
          </w:p>
          <w:p>
            <w:pPr>
              <w:pStyle w:val="26"/>
              <w:numPr>
                <w:ilvl w:val="0"/>
                <w:numId w:val="1"/>
              </w:numPr>
              <w:rPr>
                <w:color w:val="auto"/>
                <w:highlight w:val="none"/>
              </w:rPr>
            </w:pPr>
            <w:r>
              <w:rPr>
                <w:rFonts w:hint="eastAsia"/>
                <w:color w:val="auto"/>
                <w:highlight w:val="none"/>
                <w:u w:val="single"/>
              </w:rPr>
              <w:t>本项目的招标代理费用等按招标代理合同约定，由中标人支付。</w:t>
            </w:r>
          </w:p>
        </w:tc>
      </w:tr>
    </w:tbl>
    <w:p>
      <w:pPr>
        <w:rPr>
          <w:rFonts w:ascii="宋体" w:hAnsi="宋体" w:cs="宋体"/>
          <w:strike/>
          <w:color w:val="auto"/>
          <w:kern w:val="0"/>
          <w:szCs w:val="21"/>
          <w:highlight w:val="none"/>
        </w:rPr>
      </w:pPr>
      <w:r>
        <w:rPr>
          <w:rFonts w:hint="eastAsia" w:ascii="宋体" w:hAnsi="宋体" w:cs="宋体"/>
          <w:strike/>
          <w:color w:val="auto"/>
          <w:kern w:val="0"/>
          <w:szCs w:val="21"/>
          <w:highlight w:val="none"/>
        </w:rPr>
        <w:t>注：企业诚信综合评价得分即企业诚信综合评价60日诚信分，以下同。</w:t>
      </w:r>
    </w:p>
    <w:p>
      <w:pPr>
        <w:pStyle w:val="6"/>
        <w:rPr>
          <w:color w:val="auto"/>
          <w:highlight w:val="none"/>
        </w:rPr>
      </w:pPr>
      <w:r>
        <w:rPr>
          <w:rFonts w:hint="eastAsia"/>
          <w:color w:val="auto"/>
          <w:highlight w:val="none"/>
        </w:rPr>
        <w:br w:type="page"/>
      </w:r>
      <w:bookmarkStart w:id="5" w:name="_Toc121470651"/>
      <w:bookmarkStart w:id="6" w:name="_Toc2272547"/>
      <w:r>
        <w:rPr>
          <w:rFonts w:hint="eastAsia"/>
          <w:color w:val="auto"/>
          <w:highlight w:val="none"/>
        </w:rPr>
        <w:t>二、投标须知修改表</w:t>
      </w:r>
      <w:bookmarkEnd w:id="5"/>
      <w:bookmarkEnd w:id="6"/>
    </w:p>
    <w:p>
      <w:pPr>
        <w:pStyle w:val="2"/>
        <w:pBdr>
          <w:bottom w:val="single" w:color="auto" w:sz="6" w:space="1"/>
        </w:pBd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hint="eastAsia" w:ascii="宋体" w:hAnsi="宋体" w:eastAsia="宋体" w:cs="宋体"/>
          <w:b/>
          <w:color w:val="auto"/>
          <w:szCs w:val="21"/>
          <w:highlight w:val="none"/>
          <w:u w:val="single"/>
        </w:rPr>
        <w:t>网址：http://zfcj.gz.gov.cn/</w:t>
      </w:r>
      <w:r>
        <w:rPr>
          <w:rFonts w:hint="eastAsia" w:ascii="宋体" w:hAnsi="宋体" w:eastAsia="宋体" w:cs="宋体"/>
          <w:b/>
          <w:color w:val="auto"/>
          <w:szCs w:val="21"/>
          <w:highlight w:val="none"/>
        </w:rPr>
        <w:t>）下载查阅。</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pStyle w:val="2"/>
        <w:pBdr>
          <w:bottom w:val="single" w:color="auto" w:sz="6" w:space="1"/>
        </w:pBdr>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eastAsia="宋体" w:cs="宋体"/>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w:t>
      </w:r>
      <w:r>
        <w:rPr>
          <w:rFonts w:hint="eastAsia" w:ascii="宋体" w:hAnsi="宋体" w:cs="宋体"/>
          <w:bCs/>
          <w:color w:val="auto"/>
          <w:szCs w:val="21"/>
          <w:highlight w:val="none"/>
        </w:rPr>
        <w:t>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cs="宋体"/>
          <w:color w:val="auto"/>
          <w:szCs w:val="21"/>
          <w:highlight w:val="none"/>
        </w:rPr>
        <w:t>考察现场的费用由投标人自己承担。</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pPr>
        <w:pStyle w:val="2"/>
        <w:pBdr>
          <w:bottom w:val="single" w:color="auto" w:sz="6" w:space="1"/>
        </w:pBdr>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8.1投标人若对招标文件（包括招标图纸）中有疑问，可以书面形式通过交易平台提交给招标人或招标代理人，提交形式见本须知前附表第16项。</w:t>
      </w:r>
    </w:p>
    <w:p>
      <w:pPr>
        <w:pStyle w:val="2"/>
        <w:pBdr>
          <w:bottom w:val="single" w:color="auto" w:sz="6" w:space="1"/>
        </w:pBdr>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8.1</w:t>
      </w:r>
      <w:r>
        <w:rPr>
          <w:rFonts w:hint="eastAsia" w:ascii="宋体" w:hAnsi="宋体" w:eastAsia="宋体" w:cs="宋体"/>
          <w:bCs/>
          <w:color w:val="auto"/>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pStyle w:val="2"/>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8.2招标答疑会会议纪要将在提交投标文件截止时间15日前在交易平台“项目答疑纪要”专区公开发布。答疑纪要一经在交易平台发布，视作已发放给所有投标人。</w:t>
      </w:r>
    </w:p>
    <w:p>
      <w:pPr>
        <w:pStyle w:val="2"/>
        <w:pBdr>
          <w:bottom w:val="single" w:color="auto" w:sz="4" w:space="1"/>
        </w:pBdr>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8.2招标答疑会会议纪要将在提交投标文件截止时间15日前在</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eastAsia="宋体" w:cs="宋体"/>
          <w:color w:val="auto"/>
          <w:szCs w:val="21"/>
          <w:highlight w:val="none"/>
          <w:u w:val="single"/>
        </w:rPr>
        <w:t>项目查询(日程安排、答疑纪要)</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”专区公开发布。答疑纪要一经在</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交易平台发布，视作已发放给所有投标人。</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网上答疑公布</w:t>
      </w:r>
      <w:r>
        <w:rPr>
          <w:rFonts w:hint="eastAsia" w:ascii="宋体" w:hAnsi="宋体" w:cs="宋体"/>
          <w:color w:val="auto"/>
          <w:szCs w:val="21"/>
          <w:highlight w:val="none"/>
        </w:rPr>
        <w:t>的内容为准。当招标文件的澄清、修改、补充等在同一内容的表述不一致时，以最后发出的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原文：</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（1）投标人声明；</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（9）拟委派项目负责人的建造师注册证书或小型项目负责人相关证明（取自平台内上传件）；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（14）列明主办单位的联合体工作协议（采用联合体投标时需递交，投标人拟任本工程项目负责人、专职安全员应为联合体主办方信用档案中的在册人员，联合体工作协议应明确约定各方拟承担的工作和责任）；</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11.2.3项目管理机构配备。</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（3）其他辅助说明资料。</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11.2.5施工组织设计或施工方案。</w:t>
      </w:r>
    </w:p>
    <w:p>
      <w:pPr>
        <w:tabs>
          <w:tab w:val="left" w:pos="1125"/>
        </w:tabs>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现文：</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r>
        <w:rPr>
          <w:rFonts w:hint="eastAsia" w:ascii="宋体" w:hAnsi="宋体" w:cs="宋体"/>
          <w:color w:val="auto"/>
          <w:szCs w:val="21"/>
          <w:highlight w:val="none"/>
          <w:u w:val="single"/>
        </w:rPr>
        <w:t>（除注明原件外，均为清晰扫描件即可）</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11.2.1</w:t>
      </w:r>
      <w:r>
        <w:rPr>
          <w:rFonts w:hint="eastAsia" w:ascii="宋体" w:hAnsi="宋体" w:cs="宋体"/>
          <w:bCs/>
          <w:color w:val="auto"/>
          <w:szCs w:val="21"/>
          <w:highlight w:val="none"/>
          <w:u w:val="single"/>
        </w:rPr>
        <w:t>广州建设工程施工招标投标书</w:t>
      </w:r>
      <w:r>
        <w:rPr>
          <w:rFonts w:ascii="宋体" w:hAnsi="宋体" w:cs="宋体"/>
          <w:bCs/>
          <w:color w:val="auto"/>
          <w:szCs w:val="21"/>
          <w:highlight w:val="none"/>
          <w:u w:val="single"/>
        </w:rPr>
        <w:t>(需按招标文件第四章要求的格式填写，具体格式以《广州建设工程施工招标投标书（技术标）》为准；电子投标管理软件编制的“广州建设工程施工招标投标书”不作为否决投标的条件</w:t>
      </w:r>
      <w:r>
        <w:rPr>
          <w:rFonts w:hint="eastAsia" w:ascii="宋体" w:hAnsi="宋体" w:cs="宋体"/>
          <w:bCs/>
          <w:color w:val="auto"/>
          <w:szCs w:val="21"/>
          <w:highlight w:val="none"/>
          <w:u w:val="singl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（须按招标公告附件内容及格式要求编制）</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（8）</w:t>
      </w:r>
      <w:r>
        <w:rPr>
          <w:rFonts w:hint="eastAsia" w:ascii="宋体" w:hAnsi="宋体" w:cs="宋体"/>
          <w:bCs/>
          <w:color w:val="auto"/>
          <w:szCs w:val="21"/>
          <w:highlight w:val="none"/>
          <w:u w:val="single"/>
        </w:rPr>
        <w:t>拟委派技术负责人的职称证书（提供清晰扫描件或取自平台内上传件）；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（9）</w:t>
      </w:r>
      <w:r>
        <w:rPr>
          <w:rFonts w:hint="eastAsia" w:ascii="宋体" w:hAnsi="宋体" w:cs="宋体"/>
          <w:bCs/>
          <w:color w:val="auto"/>
          <w:szCs w:val="21"/>
          <w:highlight w:val="none"/>
          <w:u w:val="single"/>
        </w:rPr>
        <w:t>拟委派项目负责人的建造师证书</w:t>
      </w:r>
      <w:r>
        <w:rPr>
          <w:rFonts w:hint="eastAsia" w:ascii="宋体" w:hAnsi="宋体" w:cs="宋体"/>
          <w:bCs/>
          <w:color w:val="auto"/>
          <w:szCs w:val="21"/>
          <w:highlight w:val="none"/>
        </w:rPr>
        <w:t>（取自平台内上传件）；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w:t>
      </w:r>
      <w:r>
        <w:rPr>
          <w:rFonts w:hint="eastAsia" w:ascii="宋体" w:hAnsi="宋体" w:cs="宋体"/>
          <w:bCs/>
          <w:color w:val="auto"/>
          <w:szCs w:val="21"/>
          <w:highlight w:val="none"/>
          <w:u w:val="single"/>
        </w:rPr>
        <w:t>（C3类）</w:t>
      </w:r>
      <w:r>
        <w:rPr>
          <w:rFonts w:hint="eastAsia" w:ascii="宋体" w:hAnsi="宋体" w:cs="宋体"/>
          <w:bCs/>
          <w:color w:val="auto"/>
          <w:szCs w:val="21"/>
          <w:highlight w:val="none"/>
        </w:rPr>
        <w:t>（取自平台内上传件）；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（12）用于资格审查的业绩；</w:t>
      </w:r>
    </w:p>
    <w:p>
      <w:pPr>
        <w:spacing w:line="360" w:lineRule="auto"/>
        <w:ind w:firstLine="409" w:firstLineChars="195"/>
        <w:rPr>
          <w:rFonts w:ascii="宋体" w:hAnsi="宋体" w:cs="宋体"/>
          <w:bCs/>
          <w:color w:val="auto"/>
          <w:szCs w:val="21"/>
          <w:highlight w:val="none"/>
          <w:u w:val="single"/>
        </w:rPr>
      </w:pPr>
      <w:r>
        <w:rPr>
          <w:rFonts w:hint="eastAsia" w:ascii="宋体" w:hAnsi="宋体" w:eastAsia="宋体" w:cs="宋体"/>
          <w:bCs/>
          <w:color w:val="auto"/>
          <w:szCs w:val="21"/>
          <w:highlight w:val="none"/>
        </w:rPr>
        <w:t>（13）资</w:t>
      </w:r>
      <w:r>
        <w:rPr>
          <w:rFonts w:hint="eastAsia" w:ascii="宋体" w:hAnsi="宋体" w:cs="宋体"/>
          <w:bCs/>
          <w:color w:val="auto"/>
          <w:szCs w:val="21"/>
          <w:highlight w:val="none"/>
        </w:rPr>
        <w:t>格审查前，投标人须在广州市住房和城乡建设局建立企业信用档案，拟担任本工程项目负责人、专职安全员须是本企业信用档案中的在册人员。</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）投标人认为应提供的其他资料。</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color w:val="auto"/>
          <w:szCs w:val="21"/>
          <w:highlight w:val="none"/>
          <w:u w:val="single"/>
        </w:rPr>
        <w:t>注：上述第</w:t>
      </w:r>
      <w:r>
        <w:rPr>
          <w:rFonts w:hint="eastAsia" w:ascii="宋体" w:hAnsi="宋体" w:cs="宋体"/>
          <w:bCs/>
          <w:color w:val="auto"/>
          <w:szCs w:val="21"/>
          <w:highlight w:val="none"/>
          <w:u w:val="single"/>
        </w:rPr>
        <w:t>11.2.2（3）—（1</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）条没有要求提交的资料，不作为资格审查不合格的依据。</w:t>
      </w:r>
    </w:p>
    <w:p>
      <w:pPr>
        <w:pBdr>
          <w:bottom w:val="single" w:color="auto" w:sz="6" w:space="1"/>
        </w:pBdr>
        <w:spacing w:line="360" w:lineRule="auto"/>
        <w:ind w:firstLine="409" w:firstLineChars="195"/>
        <w:rPr>
          <w:rFonts w:ascii="宋体" w:hAnsi="宋体"/>
          <w:bCs/>
          <w:color w:val="auto"/>
          <w:szCs w:val="21"/>
          <w:highlight w:val="none"/>
          <w:u w:val="single"/>
        </w:rPr>
      </w:pPr>
      <w:r>
        <w:rPr>
          <w:rFonts w:hint="eastAsia" w:ascii="宋体" w:hAnsi="宋体" w:cs="宋体"/>
          <w:color w:val="auto"/>
          <w:szCs w:val="21"/>
          <w:highlight w:val="none"/>
          <w:u w:val="single"/>
        </w:rPr>
        <w:t>11.2.3《投标函》（格式见第四章）。</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11.2.4《主要人员简历表》（格式自拟）。</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11.2.5企业资信的证明材料（按附表四要求提交，招标文件有规定格式的，需按招标文件格式提供，无格式要求的，格式自拟）。</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11.2.6施工组织设计（如有）。</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11.2.7《危险性较大的分部分项工程安全管理措施》（格式见第四章）。</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11.2.8《参与编制技术标投标文件人员名单》（格式见第四章）</w:t>
      </w:r>
      <w:r>
        <w:rPr>
          <w:rFonts w:hint="eastAsia" w:ascii="宋体" w:hAnsi="宋体" w:cs="宋体"/>
          <w:color w:val="auto"/>
          <w:szCs w:val="21"/>
          <w:highlight w:val="none"/>
        </w:rPr>
        <w:t>。</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11.2.9投标保证金缴纳证明资料（如采用投标保函或投标保证保险形式，且未在开标前提交纸质原件，也未以交易系统支持的电子保函或电子投标保证保险递交的，须提供该项资料）</w:t>
      </w:r>
    </w:p>
    <w:p>
      <w:pPr>
        <w:pBdr>
          <w:bottom w:val="single" w:color="auto" w:sz="4" w:space="0"/>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11.2.10</w:t>
      </w:r>
      <w:r>
        <w:rPr>
          <w:rFonts w:hint="eastAsia" w:ascii="宋体" w:hAnsi="宋体" w:cs="宋体"/>
          <w:bCs/>
          <w:color w:val="auto"/>
          <w:szCs w:val="21"/>
          <w:highlight w:val="none"/>
          <w:u w:val="single"/>
        </w:rPr>
        <w:t>投标人认为应提供的其他资料。</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条款号：11.3                      修改类型：修改</w:t>
      </w:r>
    </w:p>
    <w:p>
      <w:pPr>
        <w:spacing w:line="360" w:lineRule="auto"/>
        <w:ind w:firstLine="411" w:firstLineChars="195"/>
        <w:rPr>
          <w:rFonts w:ascii="宋体" w:hAnsi="宋体" w:cs="宋体"/>
          <w:bCs/>
          <w:color w:val="auto"/>
          <w:szCs w:val="21"/>
          <w:highlight w:val="none"/>
        </w:rPr>
      </w:pPr>
      <w:r>
        <w:rPr>
          <w:rFonts w:hint="eastAsia" w:ascii="宋体" w:hAnsi="宋体" w:cs="宋体"/>
          <w:b/>
          <w:bCs/>
          <w:color w:val="auto"/>
          <w:szCs w:val="21"/>
          <w:highlight w:val="none"/>
        </w:rPr>
        <w:t>原文：</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11.3经济部分投标文件主要包括下列内容：</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pPr>
        <w:tabs>
          <w:tab w:val="left" w:pos="1125"/>
        </w:tabs>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tabs>
          <w:tab w:val="left" w:pos="1125"/>
        </w:tabs>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现文：</w:t>
      </w:r>
    </w:p>
    <w:p>
      <w:pPr>
        <w:pBdr>
          <w:bottom w:val="single" w:color="auto" w:sz="6" w:space="1"/>
        </w:pBd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11.3经济部分投标文件主要包括下列内容：</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11.3.1</w:t>
      </w:r>
      <w:r>
        <w:rPr>
          <w:rFonts w:hint="eastAsia" w:ascii="宋体" w:hAnsi="宋体" w:cs="宋体"/>
          <w:bCs/>
          <w:color w:val="auto"/>
          <w:szCs w:val="21"/>
          <w:highlight w:val="none"/>
          <w:u w:val="single"/>
        </w:rPr>
        <w:t>广州建设工程施工招标投标书</w:t>
      </w:r>
      <w:r>
        <w:rPr>
          <w:rFonts w:ascii="宋体" w:hAnsi="宋体" w:cs="宋体"/>
          <w:bCs/>
          <w:color w:val="auto"/>
          <w:szCs w:val="21"/>
          <w:highlight w:val="none"/>
          <w:u w:val="single"/>
        </w:rPr>
        <w:t>(需按招标文件第四章要求的格式填写，具体格式以《广州建设工程施工招标投标书（</w:t>
      </w:r>
      <w:r>
        <w:rPr>
          <w:rFonts w:hint="eastAsia" w:ascii="宋体" w:hAnsi="宋体" w:cs="宋体"/>
          <w:bCs/>
          <w:color w:val="auto"/>
          <w:szCs w:val="21"/>
          <w:highlight w:val="none"/>
          <w:u w:val="single"/>
        </w:rPr>
        <w:t>经济</w:t>
      </w:r>
      <w:r>
        <w:rPr>
          <w:rFonts w:ascii="宋体" w:hAnsi="宋体" w:cs="宋体"/>
          <w:bCs/>
          <w:color w:val="auto"/>
          <w:szCs w:val="21"/>
          <w:highlight w:val="none"/>
          <w:u w:val="single"/>
        </w:rPr>
        <w:t>标）》为准；电子投标管理软件编制的“广州建设工程施工招标投标书”不作为否决投标的条件</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（1）投标总价封面、扉页；</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color w:val="auto"/>
          <w:szCs w:val="21"/>
          <w:highlight w:val="none"/>
          <w:u w:val="single"/>
        </w:rPr>
        <w:t>（3）工程量清单报价表及综合单价分析表（相关表格的内容及格式要求以招标人发出的最新版电子招标文件中的相应内容及格式为准）；</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u w:val="single"/>
        </w:rPr>
        <w:t>（4）其它辅助说明资料（包括但不限于招标文件要求填写的《对投标文件编制的承诺》（格式见第四章））</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color w:val="auto"/>
          <w:szCs w:val="21"/>
          <w:highlight w:val="none"/>
          <w:u w:val="single"/>
        </w:rPr>
        <w:t>（格式见第四章）</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u w:val="single"/>
        </w:rPr>
      </w:pPr>
      <w:r>
        <w:rPr>
          <w:rFonts w:hint="eastAsia" w:ascii="宋体" w:hAnsi="宋体" w:cs="宋体"/>
          <w:color w:val="auto"/>
          <w:szCs w:val="21"/>
          <w:highlight w:val="none"/>
          <w:u w:val="single"/>
        </w:rPr>
        <w:t>11.3.5投标人认为应提供的其他资料。</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12.2投标文件全部采用电子文档，投标文件所附证书证件均为原件</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扫描件，并采用单位数字证书，按招标文件要求在相应位置加盖电子印章。投标文件中需个人签字或盖章的，应在线下完成后扫描上传。按照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12.3投标文件应按照交易平台关于全流程电子化项目的相关指南进行编制，详见：。</w:t>
      </w:r>
    </w:p>
    <w:p>
      <w:pPr>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pBdr>
          <w:bottom w:val="single" w:color="auto" w:sz="6" w:space="1"/>
        </w:pBdr>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pBdr>
          <w:bottom w:val="single" w:color="auto" w:sz="6" w:space="1"/>
        </w:pBdr>
        <w:spacing w:line="360" w:lineRule="auto"/>
        <w:ind w:firstLine="411" w:firstLineChars="195"/>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szCs w:val="21"/>
          <w:highlight w:val="none"/>
          <w:u w:val="single"/>
        </w:rPr>
        <w:t>提供的招标图纸（包括有关于本项目招标的相关资料）及</w:t>
      </w:r>
      <w:r>
        <w:rPr>
          <w:rFonts w:hint="eastAsia" w:ascii="宋体" w:hAnsi="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pStyle w:val="2"/>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11" w:firstLineChars="195"/>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条款号：13.5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13.5.1中标的投标文件工程量清单中已有相同项目的适用综合单价，则沿用；</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13.5 变更结算方式按招标文件及施工合同相关规定执行。</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条款号：13.6.2                      修改类型：修改</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13.6.2在工程实施中，暂估价所包含的工作范围和图纸、标准深化固定后，按照工程专业、设备、材料类别等分类汇总的金额，达到法定招标范围标准的</w:t>
      </w:r>
      <w:r>
        <w:rPr>
          <w:rFonts w:hint="eastAsia" w:ascii="宋体" w:hAnsi="宋体" w:cs="宋体"/>
          <w:color w:val="auto"/>
          <w:szCs w:val="21"/>
          <w:highlight w:val="none"/>
          <w:u w:val="single"/>
        </w:rPr>
        <w:t>应由招标人招标确定承包人和承包价格。</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条款号：13.6.4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2"/>
        <w:pBdr>
          <w:bottom w:val="single" w:color="auto" w:sz="6" w:space="1"/>
        </w:pBdr>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13.6.4在工程实施中，暂估价所包含的工作范围和图纸、标准深化固定后，按照工程专业、设备、材料类别等分类汇总的金额，未达到法定招标范围标准也不适用政府采购规定，</w:t>
      </w:r>
      <w:r>
        <w:rPr>
          <w:rFonts w:hint="eastAsia" w:ascii="宋体" w:hAnsi="宋体" w:eastAsia="宋体" w:cs="宋体"/>
          <w:color w:val="auto"/>
          <w:szCs w:val="21"/>
          <w:highlight w:val="none"/>
          <w:u w:val="single"/>
        </w:rPr>
        <w:t>经发包人同意，</w:t>
      </w:r>
      <w:r>
        <w:rPr>
          <w:rFonts w:hint="eastAsia" w:ascii="宋体" w:hAnsi="宋体" w:eastAsia="宋体" w:cs="宋体"/>
          <w:color w:val="auto"/>
          <w:szCs w:val="21"/>
          <w:highlight w:val="none"/>
        </w:rPr>
        <w:t>承包人有法定的承包资格的，由承包人承包，承包人无法定的承包资格但有法定的分包权的，由承包人分包，招标人同承包人结算的价格按本投标须知13.5款规定确定。</w:t>
      </w:r>
    </w:p>
    <w:p>
      <w:pPr>
        <w:pStyle w:val="2"/>
        <w:spacing w:after="0" w:line="360" w:lineRule="auto"/>
        <w:ind w:firstLine="424" w:firstLineChars="201"/>
        <w:rPr>
          <w:rFonts w:ascii="宋体" w:hAnsi="宋体"/>
          <w:color w:val="auto"/>
          <w:szCs w:val="21"/>
          <w:highlight w:val="none"/>
        </w:rPr>
      </w:pPr>
      <w:r>
        <w:rPr>
          <w:rFonts w:hint="eastAsia" w:ascii="宋体" w:hAnsi="宋体"/>
          <w:b/>
          <w:color w:val="auto"/>
          <w:szCs w:val="21"/>
          <w:highlight w:val="none"/>
        </w:rPr>
        <w:t>条款号：16 修改类型：修改</w:t>
      </w:r>
    </w:p>
    <w:p>
      <w:pPr>
        <w:spacing w:line="360" w:lineRule="auto"/>
        <w:ind w:firstLine="424" w:firstLineChars="201"/>
        <w:rPr>
          <w:rFonts w:ascii="宋体" w:hAnsi="宋体"/>
          <w:color w:val="auto"/>
          <w:szCs w:val="21"/>
          <w:highlight w:val="none"/>
        </w:rPr>
      </w:pPr>
      <w:r>
        <w:rPr>
          <w:rFonts w:hint="eastAsia" w:ascii="宋体" w:hAnsi="宋体"/>
          <w:b/>
          <w:color w:val="auto"/>
          <w:szCs w:val="21"/>
          <w:highlight w:val="none"/>
        </w:rPr>
        <w:t>原文：</w:t>
      </w:r>
    </w:p>
    <w:p>
      <w:pPr>
        <w:pStyle w:val="2"/>
        <w:spacing w:after="0"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16．投标保证金</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16.1.1采用现金或者支票形式提交的，投标保证金须从投标人的银行基本账户转出。</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16.1.3采用电子形式的保函、担保或保证保险提交投标保证金的，应在招标文件中明确电子递交途径。</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16.4.1因投标人原因造成投标文件未解密的；</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16.4.2投标人在投标有效期内撤销投标文件；</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pPr>
        <w:pBdr>
          <w:bottom w:val="single" w:color="auto" w:sz="6" w:space="1"/>
        </w:pBdr>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现文：</w:t>
      </w:r>
    </w:p>
    <w:p>
      <w:pPr>
        <w:pBdr>
          <w:bottom w:val="single" w:color="auto" w:sz="6" w:space="1"/>
        </w:pBdr>
        <w:spacing w:line="360" w:lineRule="auto"/>
        <w:ind w:firstLine="424" w:firstLineChars="201"/>
        <w:rPr>
          <w:rFonts w:ascii="宋体" w:hAnsi="宋体"/>
          <w:b/>
          <w:bCs/>
          <w:color w:val="auto"/>
          <w:szCs w:val="21"/>
          <w:highlight w:val="none"/>
        </w:rPr>
      </w:pPr>
      <w:r>
        <w:rPr>
          <w:rFonts w:hint="eastAsia" w:ascii="宋体" w:hAnsi="宋体"/>
          <w:b/>
          <w:bCs/>
          <w:color w:val="auto"/>
          <w:szCs w:val="21"/>
          <w:highlight w:val="none"/>
        </w:rPr>
        <w:t>16．投标保证金</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16.1.1采用现金或者支票形式提交的，投标保证金须从投标人的银行基本账户转出</w:t>
      </w:r>
      <w:r>
        <w:rPr>
          <w:rFonts w:hint="eastAsia" w:ascii="宋体" w:hAnsi="宋体"/>
          <w:color w:val="auto"/>
          <w:szCs w:val="21"/>
          <w:highlight w:val="none"/>
          <w:u w:val="single"/>
        </w:rPr>
        <w:t>，由广州交易集团有限公司（广州公共资源交易中心）代收，缴纳情况以交易平台数据库记录的信息为准。具体操作要求详见广州公共资源交易中心有关指引，递交事宜请自行咨询交易中心。</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16.1.3采用电子形式的保函、担保或保证保险提交投标保证金的，</w:t>
      </w:r>
      <w:r>
        <w:rPr>
          <w:rFonts w:hint="eastAsia" w:ascii="宋体" w:hAnsi="宋体"/>
          <w:color w:val="auto"/>
          <w:szCs w:val="21"/>
          <w:highlight w:val="none"/>
          <w:u w:val="single"/>
        </w:rPr>
        <w:t>具体操作要求详见广州公共资源交易中心有关指引，递交事宜请自行咨询交易中心。</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16.4.1因投标人原因造成投标文件未解密的；</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16.4.2投标人在投标有效期内撤销投标文件</w:t>
      </w:r>
      <w:r>
        <w:rPr>
          <w:rFonts w:hint="eastAsia" w:ascii="宋体" w:hAnsi="宋体"/>
          <w:color w:val="auto"/>
          <w:szCs w:val="21"/>
          <w:highlight w:val="none"/>
          <w:u w:val="single"/>
        </w:rPr>
        <w:t>或放弃中标资格的</w:t>
      </w:r>
      <w:r>
        <w:rPr>
          <w:rFonts w:hint="eastAsia" w:ascii="宋体" w:hAnsi="宋体"/>
          <w:color w:val="auto"/>
          <w:szCs w:val="21"/>
          <w:highlight w:val="none"/>
        </w:rPr>
        <w:t>；</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pBdr>
          <w:bottom w:val="single" w:color="auto" w:sz="6" w:space="1"/>
        </w:pBdr>
        <w:spacing w:line="360" w:lineRule="auto"/>
        <w:ind w:firstLine="422" w:firstLineChars="201"/>
        <w:rPr>
          <w:rFonts w:ascii="宋体" w:hAnsi="宋体"/>
          <w:color w:val="auto"/>
          <w:szCs w:val="21"/>
          <w:highlight w:val="none"/>
        </w:rPr>
      </w:pPr>
      <w:r>
        <w:rPr>
          <w:rFonts w:ascii="宋体" w:hAnsi="宋体"/>
          <w:color w:val="auto"/>
          <w:szCs w:val="21"/>
          <w:highlight w:val="none"/>
          <w:u w:val="single"/>
        </w:rPr>
        <w:t>16.4.5</w:t>
      </w:r>
      <w:r>
        <w:rPr>
          <w:rFonts w:hint="eastAsia" w:ascii="宋体" w:hAnsi="宋体"/>
          <w:color w:val="auto"/>
          <w:szCs w:val="21"/>
          <w:highlight w:val="none"/>
          <w:u w:val="single"/>
        </w:rPr>
        <w:t>投标人弄虚作假骗取中标的。</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w:t>
      </w:r>
      <w:r>
        <w:rPr>
          <w:rFonts w:hint="eastAsia" w:ascii="宋体" w:hAnsi="宋体"/>
          <w:color w:val="auto"/>
          <w:szCs w:val="21"/>
          <w:highlight w:val="none"/>
          <w:u w:val="single"/>
        </w:rPr>
        <w:t>（拒绝投标时限由招标人视严重程度确定，最低三个月起，自招标人发出通知之日起计）</w:t>
      </w:r>
      <w:r>
        <w:rPr>
          <w:rFonts w:hint="eastAsia" w:ascii="宋体" w:hAnsi="宋体"/>
          <w:color w:val="auto"/>
          <w:szCs w:val="21"/>
          <w:highlight w:val="none"/>
        </w:rPr>
        <w:t>参与招标人后续工程投标：</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17.1投标人应采用单位数字证书，按招标文件要求在相应位置加盖电子印章。投标文件中需个人签字或盖章的，应在线下完成后扫描上传。按照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11" w:firstLineChars="195"/>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w:t>
      </w:r>
      <w:r>
        <w:rPr>
          <w:rFonts w:hint="eastAsia" w:ascii="宋体" w:hAnsi="宋体" w:cs="宋体"/>
          <w:color w:val="auto"/>
          <w:szCs w:val="21"/>
          <w:highlight w:val="none"/>
          <w:u w:val="single"/>
        </w:rPr>
        <w:t>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条款号：18.2                       修改类型：修改</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bottom w:val="single" w:color="auto" w:sz="6" w:space="1"/>
        </w:pBd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条款号：19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原文：19.投标文件的递交和接收</w:t>
      </w:r>
    </w:p>
    <w:p>
      <w:pPr>
        <w:pBdr>
          <w:bottom w:val="single" w:color="auto" w:sz="6" w:space="1"/>
        </w:pBdr>
        <w:spacing w:line="360" w:lineRule="auto"/>
        <w:ind w:firstLine="411" w:firstLineChars="195"/>
        <w:rPr>
          <w:rFonts w:ascii="宋体" w:hAnsi="宋体" w:cs="宋体"/>
          <w:bCs/>
          <w:color w:val="auto"/>
          <w:szCs w:val="21"/>
          <w:highlight w:val="none"/>
        </w:rPr>
      </w:pPr>
      <w:r>
        <w:rPr>
          <w:rFonts w:hint="eastAsia" w:ascii="宋体" w:hAnsi="宋体" w:cs="宋体"/>
          <w:b/>
          <w:color w:val="auto"/>
          <w:szCs w:val="21"/>
          <w:highlight w:val="none"/>
        </w:rPr>
        <w:t>现文：19.</w:t>
      </w:r>
      <w:r>
        <w:rPr>
          <w:rFonts w:hint="eastAsia" w:ascii="宋体" w:hAnsi="宋体" w:cs="宋体"/>
          <w:b/>
          <w:color w:val="auto"/>
          <w:szCs w:val="21"/>
          <w:highlight w:val="none"/>
          <w:u w:val="single"/>
        </w:rPr>
        <w:t>投标登记和</w:t>
      </w:r>
      <w:r>
        <w:rPr>
          <w:rFonts w:hint="eastAsia" w:ascii="宋体" w:hAnsi="宋体" w:cs="宋体"/>
          <w:b/>
          <w:color w:val="auto"/>
          <w:szCs w:val="21"/>
          <w:highlight w:val="none"/>
        </w:rPr>
        <w:t>投标文件的递交和接收</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条款号：19.1                        修改类型：修改</w:t>
      </w:r>
    </w:p>
    <w:p>
      <w:pPr>
        <w:spacing w:line="360" w:lineRule="auto"/>
        <w:ind w:firstLine="411" w:firstLineChars="195"/>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条款号：19.2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条款号：19.3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条款号：19.5                       修改类型：修改</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19.5如技术标和经济标先后分别开启，交易平台将按招标文件规定的时间分别开启技术标和经济标。</w:t>
      </w:r>
    </w:p>
    <w:p>
      <w:pPr>
        <w:pBdr>
          <w:bottom w:val="single" w:color="auto" w:sz="6" w:space="1"/>
        </w:pBd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交易平台将按招标文件规定的时间分别开启技术标和经济标。</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条款号：19.6                       修改类型：删除</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条款号：21.1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w:t>
      </w:r>
      <w:r>
        <w:rPr>
          <w:rFonts w:hint="eastAsia" w:ascii="宋体" w:hAnsi="宋体" w:cs="宋体"/>
          <w:color w:val="auto"/>
          <w:szCs w:val="21"/>
          <w:highlight w:val="none"/>
          <w:u w:val="single"/>
        </w:rPr>
        <w:t>包括人员、业绩、奖项等资料</w:t>
      </w:r>
      <w:r>
        <w:rPr>
          <w:rFonts w:hint="eastAsia" w:ascii="宋体" w:hAnsi="宋体" w:cs="宋体"/>
          <w:color w:val="auto"/>
          <w:szCs w:val="21"/>
          <w:highlight w:val="none"/>
        </w:rPr>
        <w:t>）在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交易平台和广东省招标投标监管网公开。</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条款号：28.3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w:t>
      </w:r>
      <w:r>
        <w:rPr>
          <w:rFonts w:hint="eastAsia" w:ascii="宋体" w:hAnsi="宋体" w:cs="宋体"/>
          <w:color w:val="auto"/>
          <w:szCs w:val="21"/>
          <w:highlight w:val="none"/>
          <w:u w:val="single"/>
        </w:rPr>
        <w:t>拨付</w:t>
      </w:r>
      <w:r>
        <w:rPr>
          <w:rFonts w:hint="eastAsia" w:ascii="宋体" w:hAnsi="宋体" w:cs="宋体"/>
          <w:color w:val="auto"/>
          <w:szCs w:val="21"/>
          <w:highlight w:val="none"/>
        </w:rPr>
        <w:t>及至解除合同，由此造成的一切责任由中标人承担。</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条款号：29.1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w:t>
      </w:r>
      <w:r>
        <w:rPr>
          <w:rFonts w:hint="eastAsia" w:ascii="宋体" w:hAnsi="宋体" w:cs="宋体"/>
          <w:color w:val="auto"/>
          <w:szCs w:val="21"/>
          <w:highlight w:val="none"/>
          <w:u w:val="single"/>
        </w:rPr>
        <w:t>合同正式签订之日后的30日内</w:t>
      </w:r>
      <w:r>
        <w:rPr>
          <w:rFonts w:hint="eastAsia" w:ascii="宋体" w:hAnsi="宋体" w:cs="宋体"/>
          <w:color w:val="auto"/>
          <w:szCs w:val="21"/>
          <w:highlight w:val="none"/>
        </w:rPr>
        <w:t>，中标人应按本须知前附表第20项的规定向招标人提交履约担保</w:t>
      </w:r>
      <w:r>
        <w:rPr>
          <w:rFonts w:hint="eastAsia" w:ascii="宋体" w:hAnsi="宋体" w:cs="宋体"/>
          <w:color w:val="auto"/>
          <w:szCs w:val="21"/>
          <w:highlight w:val="none"/>
          <w:u w:val="single"/>
        </w:rPr>
        <w:t>；如果中标人的履约担保是以银行保函的形式提供，则合同相关要求</w:t>
      </w:r>
      <w:r>
        <w:rPr>
          <w:rFonts w:hint="eastAsia" w:ascii="宋体" w:hAnsi="宋体" w:cs="宋体"/>
          <w:color w:val="auto"/>
          <w:szCs w:val="21"/>
          <w:highlight w:val="none"/>
        </w:rPr>
        <w:t>。</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条款号：29.2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合同正式签订之日后的30日内</w:t>
      </w:r>
      <w:r>
        <w:rPr>
          <w:rFonts w:hint="eastAsia" w:ascii="宋体" w:hAnsi="宋体"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条款号：30.1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color w:val="auto"/>
          <w:szCs w:val="21"/>
          <w:highlight w:val="none"/>
          <w:u w:val="single"/>
        </w:rPr>
        <w:t>且承包人提交履约担保后，合同正式生效。</w:t>
      </w:r>
    </w:p>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ascii="宋体" w:hAnsi="宋体" w:cs="宋体"/>
          <w:color w:val="auto"/>
          <w:highlight w:val="none"/>
        </w:rPr>
      </w:pPr>
      <w:r>
        <w:rPr>
          <w:rFonts w:hint="eastAsia" w:ascii="宋体" w:hAnsi="宋体" w:cs="宋体"/>
          <w:b/>
          <w:color w:val="auto"/>
          <w:szCs w:val="21"/>
          <w:highlight w:val="none"/>
        </w:rPr>
        <w:t>（以下无正文）</w:t>
      </w:r>
    </w:p>
    <w:p>
      <w:pPr>
        <w:pStyle w:val="6"/>
        <w:rPr>
          <w:color w:val="auto"/>
          <w:highlight w:val="none"/>
        </w:rPr>
      </w:pPr>
      <w:r>
        <w:rPr>
          <w:rFonts w:hint="eastAsia"/>
          <w:color w:val="auto"/>
          <w:highlight w:val="none"/>
        </w:rPr>
        <w:br w:type="page"/>
      </w:r>
      <w:bookmarkStart w:id="7" w:name="_Toc121470652"/>
      <w:bookmarkStart w:id="8" w:name="_Toc2272548"/>
      <w:r>
        <w:rPr>
          <w:rFonts w:hint="eastAsia"/>
          <w:color w:val="auto"/>
          <w:highlight w:val="none"/>
        </w:rPr>
        <w:t>三、投标须知通用条款</w:t>
      </w:r>
      <w:bookmarkEnd w:id="7"/>
      <w:bookmarkEnd w:id="8"/>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9" w:name="_Toc58838571"/>
      <w:bookmarkStart w:id="10" w:name="_Toc2272549"/>
      <w:bookmarkStart w:id="11" w:name="_Toc121470653"/>
      <w:r>
        <w:rPr>
          <w:rFonts w:hint="eastAsia" w:ascii="宋体" w:hAnsi="宋体" w:cs="宋体"/>
          <w:color w:val="auto"/>
          <w:kern w:val="0"/>
          <w:sz w:val="24"/>
          <w:szCs w:val="24"/>
          <w:highlight w:val="none"/>
        </w:rPr>
        <w:t>（一）总则</w:t>
      </w:r>
      <w:bookmarkEnd w:id="9"/>
      <w:bookmarkEnd w:id="10"/>
      <w:bookmarkEnd w:id="11"/>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w:t>
      </w:r>
      <w:r>
        <w:rPr>
          <w:rFonts w:hint="eastAsia" w:ascii="宋体" w:hAnsi="宋体"/>
          <w:b/>
          <w:bCs/>
          <w:color w:val="auto"/>
          <w:sz w:val="24"/>
          <w:szCs w:val="24"/>
          <w:highlight w:val="none"/>
        </w:rPr>
        <w:t>、定义</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本招标文件使用的下列词语具有如下规定的意义：</w:t>
      </w:r>
    </w:p>
    <w:p>
      <w:pPr>
        <w:spacing w:line="360" w:lineRule="auto"/>
        <w:ind w:firstLine="480" w:firstLineChars="200"/>
        <w:rPr>
          <w:rFonts w:ascii="宋体" w:hAnsi="宋体"/>
          <w:b/>
          <w:bCs/>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）“招标人”（即发包人）、“项目建设管理单位”（或称“项目代建单位”）、“招标代理”、“设计单位”、“监理单位”均已在投标须知前附表中列明。</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）“投标人”指向招标人提交投标文件的当事人。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）“承包人”指其投标被招标人接受并与其签订承包合同的当事人。</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）“招标文件”指由招标代理发出的本文件（包括全部章节、附件）及招标答疑会会议纪要和</w:t>
      </w:r>
      <w:r>
        <w:rPr>
          <w:rFonts w:hint="eastAsia" w:ascii="宋体" w:hAnsi="宋体"/>
          <w:bCs/>
          <w:color w:val="auto"/>
          <w:sz w:val="24"/>
          <w:szCs w:val="24"/>
          <w:highlight w:val="none"/>
        </w:rPr>
        <w:t>招标文件的澄清与修改</w:t>
      </w:r>
      <w:r>
        <w:rPr>
          <w:rFonts w:hint="eastAsia" w:ascii="宋体" w:hAnsi="宋体"/>
          <w:color w:val="auto"/>
          <w:sz w:val="24"/>
          <w:szCs w:val="24"/>
          <w:highlight w:val="none"/>
        </w:rPr>
        <w:t>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）“投标文件”指投标人根据本项目招标文件向招标人提交的全部文件。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）“书面形式”指打字或印刷的文件和数据电文（包括电报、电传、传真、电子数据交换和电子邮件）。</w:t>
      </w:r>
    </w:p>
    <w:p>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、招标说明</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2.1</w:t>
      </w:r>
      <w:r>
        <w:rPr>
          <w:rFonts w:hint="eastAsia" w:ascii="宋体" w:hAnsi="宋体"/>
          <w:bCs/>
          <w:color w:val="auto"/>
          <w:sz w:val="24"/>
          <w:szCs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2.2</w:t>
      </w:r>
      <w:r>
        <w:rPr>
          <w:rFonts w:hint="eastAsia" w:ascii="宋体" w:hAnsi="宋体"/>
          <w:bCs/>
          <w:color w:val="auto"/>
          <w:sz w:val="24"/>
          <w:szCs w:val="24"/>
          <w:highlight w:val="none"/>
        </w:rPr>
        <w:t>工程名称、建设地点、建设规模、承包方式、质量标准、招标范围、工期要求等均在投标须知前附表中列明。</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2.3</w:t>
      </w:r>
      <w:r>
        <w:rPr>
          <w:rFonts w:hint="eastAsia" w:ascii="宋体" w:hAnsi="宋体"/>
          <w:bCs/>
          <w:color w:val="auto"/>
          <w:sz w:val="24"/>
          <w:szCs w:val="24"/>
          <w:highlight w:val="none"/>
        </w:rPr>
        <w:t>设计说明：详见招标图纸。</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2.4</w:t>
      </w:r>
      <w:r>
        <w:rPr>
          <w:rFonts w:hint="eastAsia" w:ascii="宋体" w:hAnsi="宋体"/>
          <w:bCs/>
          <w:color w:val="auto"/>
          <w:sz w:val="24"/>
          <w:szCs w:val="24"/>
          <w:highlight w:val="none"/>
        </w:rPr>
        <w:t>工程施工特点：详见招标图纸。</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3</w:t>
      </w:r>
      <w:r>
        <w:rPr>
          <w:rFonts w:hint="eastAsia" w:ascii="宋体" w:hAnsi="宋体"/>
          <w:b/>
          <w:color w:val="auto"/>
          <w:sz w:val="24"/>
          <w:szCs w:val="24"/>
          <w:highlight w:val="none"/>
        </w:rPr>
        <w:t>．资金来源</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3.1</w:t>
      </w:r>
      <w:r>
        <w:rPr>
          <w:rFonts w:hint="eastAsia" w:ascii="宋体" w:hAnsi="宋体"/>
          <w:bCs/>
          <w:color w:val="auto"/>
          <w:sz w:val="24"/>
          <w:szCs w:val="24"/>
          <w:highlight w:val="none"/>
        </w:rPr>
        <w:t>本招标工程项目资金来源见投标须知前附表第</w:t>
      </w:r>
      <w:r>
        <w:rPr>
          <w:rFonts w:ascii="宋体" w:hAnsi="宋体"/>
          <w:bCs/>
          <w:color w:val="auto"/>
          <w:sz w:val="24"/>
          <w:szCs w:val="24"/>
          <w:highlight w:val="none"/>
        </w:rPr>
        <w:t>9</w:t>
      </w:r>
      <w:r>
        <w:rPr>
          <w:rFonts w:hint="eastAsia" w:ascii="宋体" w:hAnsi="宋体"/>
          <w:bCs/>
          <w:color w:val="auto"/>
          <w:sz w:val="24"/>
          <w:szCs w:val="24"/>
          <w:highlight w:val="none"/>
        </w:rPr>
        <w:t>项</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4</w:t>
      </w:r>
      <w:r>
        <w:rPr>
          <w:rFonts w:hint="eastAsia" w:ascii="宋体" w:hAnsi="宋体"/>
          <w:b/>
          <w:color w:val="auto"/>
          <w:sz w:val="24"/>
          <w:szCs w:val="24"/>
          <w:highlight w:val="none"/>
        </w:rPr>
        <w:t>．合格投标人的条件</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4.1</w:t>
      </w:r>
      <w:r>
        <w:rPr>
          <w:rFonts w:hint="eastAsia" w:ascii="宋体" w:hAnsi="宋体"/>
          <w:bCs/>
          <w:color w:val="auto"/>
          <w:sz w:val="24"/>
          <w:szCs w:val="24"/>
          <w:highlight w:val="none"/>
        </w:rPr>
        <w:t>详见本项目招标公告</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5</w:t>
      </w:r>
      <w:r>
        <w:rPr>
          <w:rFonts w:hint="eastAsia" w:ascii="宋体" w:hAnsi="宋体"/>
          <w:b/>
          <w:color w:val="auto"/>
          <w:sz w:val="24"/>
          <w:szCs w:val="24"/>
          <w:highlight w:val="none"/>
        </w:rPr>
        <w:t>．踏勘现场</w:t>
      </w:r>
    </w:p>
    <w:p>
      <w:pPr>
        <w:spacing w:line="360" w:lineRule="auto"/>
        <w:ind w:firstLine="480" w:firstLineChars="200"/>
        <w:rPr>
          <w:rFonts w:ascii="宋体" w:hAnsi="宋体"/>
          <w:bCs/>
          <w:color w:val="auto"/>
          <w:sz w:val="24"/>
          <w:szCs w:val="24"/>
          <w:highlight w:val="none"/>
          <w:u w:val="single"/>
        </w:rPr>
      </w:pPr>
      <w:r>
        <w:rPr>
          <w:rFonts w:ascii="宋体" w:hAnsi="宋体"/>
          <w:bCs/>
          <w:color w:val="auto"/>
          <w:sz w:val="24"/>
          <w:szCs w:val="24"/>
          <w:highlight w:val="none"/>
        </w:rPr>
        <w:t xml:space="preserve">5.1 </w:t>
      </w:r>
      <w:r>
        <w:rPr>
          <w:rFonts w:hint="eastAsia" w:ascii="宋体" w:hAnsi="宋体"/>
          <w:bCs/>
          <w:color w:val="auto"/>
          <w:sz w:val="24"/>
          <w:szCs w:val="24"/>
          <w:highlight w:val="none"/>
        </w:rPr>
        <w:t>投标人应按本投标须知前附表第</w:t>
      </w:r>
      <w:r>
        <w:rPr>
          <w:rFonts w:ascii="宋体" w:hAnsi="宋体"/>
          <w:bCs/>
          <w:color w:val="auto"/>
          <w:sz w:val="24"/>
          <w:szCs w:val="24"/>
          <w:highlight w:val="none"/>
        </w:rPr>
        <w:t>15</w:t>
      </w:r>
      <w:r>
        <w:rPr>
          <w:rFonts w:hint="eastAsia" w:ascii="宋体" w:hAnsi="宋体"/>
          <w:bCs/>
          <w:color w:val="auto"/>
          <w:sz w:val="24"/>
          <w:szCs w:val="24"/>
          <w:highlight w:val="none"/>
        </w:rPr>
        <w:t>项所述时间和要求对工程现场及周围环境进行踏勘，</w:t>
      </w:r>
      <w:r>
        <w:rPr>
          <w:rFonts w:hint="eastAsia" w:ascii="宋体" w:hAnsi="宋体"/>
          <w:color w:val="auto"/>
          <w:sz w:val="24"/>
          <w:szCs w:val="24"/>
          <w:highlight w:val="none"/>
        </w:rPr>
        <w:t>投标人应充分重视和仔细地进行这种考察，</w:t>
      </w:r>
      <w:r>
        <w:rPr>
          <w:rFonts w:hint="eastAsia" w:ascii="宋体" w:hAnsi="宋体"/>
          <w:bCs/>
          <w:color w:val="auto"/>
          <w:sz w:val="24"/>
          <w:szCs w:val="24"/>
          <w:highlight w:val="none"/>
        </w:rPr>
        <w:t>以便投标人获取</w:t>
      </w:r>
      <w:r>
        <w:rPr>
          <w:rFonts w:hint="eastAsia" w:ascii="宋体" w:hAnsi="宋体"/>
          <w:color w:val="auto"/>
          <w:sz w:val="24"/>
          <w:szCs w:val="24"/>
          <w:highlight w:val="none"/>
        </w:rPr>
        <w:t>那些须投标人自己负责的</w:t>
      </w:r>
      <w:r>
        <w:rPr>
          <w:rFonts w:hint="eastAsia" w:ascii="宋体" w:hAnsi="宋体"/>
          <w:bCs/>
          <w:color w:val="auto"/>
          <w:sz w:val="24"/>
          <w:szCs w:val="24"/>
          <w:highlight w:val="none"/>
        </w:rPr>
        <w:t>有关编制投标文件和签署合同所涉及现场所有的资料。</w:t>
      </w:r>
      <w:r>
        <w:rPr>
          <w:rFonts w:hint="eastAsia" w:ascii="宋体" w:hAnsi="宋体"/>
          <w:color w:val="auto"/>
          <w:sz w:val="24"/>
          <w:szCs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5.2 </w:t>
      </w:r>
      <w:r>
        <w:rPr>
          <w:rFonts w:hint="eastAsia" w:ascii="宋体" w:hAnsi="宋体"/>
          <w:bCs/>
          <w:color w:val="auto"/>
          <w:sz w:val="24"/>
          <w:szCs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5.3 </w:t>
      </w:r>
      <w:r>
        <w:rPr>
          <w:rFonts w:hint="eastAsia" w:ascii="宋体" w:hAnsi="宋体"/>
          <w:bCs/>
          <w:color w:val="auto"/>
          <w:sz w:val="24"/>
          <w:szCs w:val="24"/>
          <w:highlight w:val="none"/>
        </w:rPr>
        <w:t>经招标人允许，投标人可为踏勘目的进入招标人的项目现场。</w:t>
      </w:r>
      <w:r>
        <w:rPr>
          <w:rFonts w:hint="eastAsia" w:ascii="宋体" w:hAnsi="宋体"/>
          <w:color w:val="auto"/>
          <w:sz w:val="24"/>
          <w:szCs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szCs w:val="24"/>
          <w:highlight w:val="none"/>
        </w:rPr>
        <w:t>投标人不得因此使招标人承担有关的责任和蒙受损失。</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6</w:t>
      </w:r>
      <w:r>
        <w:rPr>
          <w:rFonts w:hint="eastAsia" w:ascii="宋体" w:hAnsi="宋体"/>
          <w:b/>
          <w:color w:val="auto"/>
          <w:sz w:val="24"/>
          <w:szCs w:val="24"/>
          <w:highlight w:val="none"/>
        </w:rPr>
        <w:t>．投标费用</w:t>
      </w:r>
    </w:p>
    <w:p>
      <w:pPr>
        <w:tabs>
          <w:tab w:val="left" w:pos="105"/>
        </w:tabs>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6.1</w:t>
      </w:r>
      <w:r>
        <w:rPr>
          <w:rFonts w:hint="eastAsia" w:ascii="宋体" w:hAnsi="宋体"/>
          <w:color w:val="auto"/>
          <w:sz w:val="24"/>
          <w:szCs w:val="24"/>
          <w:highlight w:val="none"/>
        </w:rPr>
        <w:t>不论投标结果如何，投标人应承担</w:t>
      </w:r>
      <w:r>
        <w:rPr>
          <w:rFonts w:hint="eastAsia" w:ascii="宋体" w:hAnsi="宋体"/>
          <w:bCs/>
          <w:color w:val="auto"/>
          <w:sz w:val="24"/>
          <w:szCs w:val="24"/>
          <w:highlight w:val="none"/>
        </w:rPr>
        <w:t>自身</w:t>
      </w:r>
      <w:r>
        <w:rPr>
          <w:rFonts w:hint="eastAsia" w:ascii="宋体" w:hAnsi="宋体"/>
          <w:color w:val="auto"/>
          <w:sz w:val="24"/>
          <w:szCs w:val="24"/>
          <w:highlight w:val="none"/>
        </w:rPr>
        <w:t>因投标文件编制、递交及其他</w:t>
      </w:r>
      <w:r>
        <w:rPr>
          <w:rFonts w:hint="eastAsia" w:ascii="宋体" w:hAnsi="宋体"/>
          <w:bCs/>
          <w:color w:val="auto"/>
          <w:sz w:val="24"/>
          <w:szCs w:val="24"/>
          <w:highlight w:val="none"/>
        </w:rPr>
        <w:t>参加本招标活动</w:t>
      </w:r>
      <w:r>
        <w:rPr>
          <w:rFonts w:hint="eastAsia" w:ascii="宋体" w:hAnsi="宋体"/>
          <w:color w:val="auto"/>
          <w:sz w:val="24"/>
          <w:szCs w:val="24"/>
          <w:highlight w:val="none"/>
        </w:rPr>
        <w:t>所涉及的一切费用，招标人对上述费用不负任何责任。</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12" w:name="_Toc121470654"/>
      <w:bookmarkStart w:id="13" w:name="_Toc58838572"/>
      <w:bookmarkStart w:id="14" w:name="_Toc2272550"/>
      <w:r>
        <w:rPr>
          <w:rFonts w:hint="eastAsia" w:ascii="宋体" w:hAnsi="宋体" w:cs="宋体"/>
          <w:color w:val="auto"/>
          <w:kern w:val="0"/>
          <w:sz w:val="24"/>
          <w:szCs w:val="24"/>
          <w:highlight w:val="none"/>
        </w:rPr>
        <w:t>（二）招标文件</w:t>
      </w:r>
      <w:bookmarkEnd w:id="12"/>
      <w:bookmarkEnd w:id="13"/>
      <w:bookmarkEnd w:id="14"/>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招标文件的组成</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7.1</w:t>
      </w:r>
      <w:r>
        <w:rPr>
          <w:rFonts w:hint="eastAsia" w:ascii="宋体" w:hAnsi="宋体"/>
          <w:color w:val="auto"/>
          <w:sz w:val="24"/>
          <w:szCs w:val="24"/>
          <w:highlight w:val="none"/>
        </w:rPr>
        <w:t>本招标文件包括下列文件，以及所有按本须知第</w:t>
      </w:r>
      <w:r>
        <w:rPr>
          <w:rFonts w:ascii="宋体" w:hAnsi="宋体"/>
          <w:color w:val="auto"/>
          <w:sz w:val="24"/>
          <w:szCs w:val="24"/>
          <w:highlight w:val="none"/>
        </w:rPr>
        <w:t>8</w:t>
      </w:r>
      <w:r>
        <w:rPr>
          <w:rFonts w:hint="eastAsia" w:ascii="宋体" w:hAnsi="宋体"/>
          <w:color w:val="auto"/>
          <w:sz w:val="24"/>
          <w:szCs w:val="24"/>
          <w:highlight w:val="none"/>
        </w:rPr>
        <w:t>条发出的招标答疑会会议纪要和按本须知第</w:t>
      </w:r>
      <w:r>
        <w:rPr>
          <w:rFonts w:ascii="宋体" w:hAnsi="宋体"/>
          <w:color w:val="auto"/>
          <w:sz w:val="24"/>
          <w:szCs w:val="24"/>
          <w:highlight w:val="none"/>
        </w:rPr>
        <w:t>9</w:t>
      </w:r>
      <w:r>
        <w:rPr>
          <w:rFonts w:hint="eastAsia" w:ascii="宋体" w:hAnsi="宋体"/>
          <w:color w:val="auto"/>
          <w:sz w:val="24"/>
          <w:szCs w:val="24"/>
          <w:highlight w:val="none"/>
        </w:rPr>
        <w:t>条发出的澄清或修改：</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第一章</w:t>
      </w:r>
      <w:r>
        <w:rPr>
          <w:rFonts w:hint="eastAsia" w:ascii="宋体" w:hAnsi="宋体"/>
          <w:color w:val="auto"/>
          <w:sz w:val="24"/>
          <w:szCs w:val="24"/>
          <w:highlight w:val="none"/>
        </w:rPr>
        <w:t>投标须知</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第二章</w:t>
      </w:r>
      <w:r>
        <w:rPr>
          <w:rFonts w:hint="eastAsia" w:ascii="宋体" w:hAnsi="宋体"/>
          <w:color w:val="auto"/>
          <w:sz w:val="24"/>
          <w:szCs w:val="24"/>
          <w:highlight w:val="none"/>
        </w:rPr>
        <w:t>开标、评标及定标办法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第三章合同条款</w:t>
      </w:r>
    </w:p>
    <w:p>
      <w:pPr>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第四章</w:t>
      </w:r>
      <w:r>
        <w:rPr>
          <w:rFonts w:hint="eastAsia" w:ascii="宋体" w:hAnsi="宋体"/>
          <w:color w:val="auto"/>
          <w:sz w:val="24"/>
          <w:szCs w:val="24"/>
          <w:highlight w:val="none"/>
        </w:rPr>
        <w:t>投标文件格式</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第五章</w:t>
      </w:r>
      <w:r>
        <w:rPr>
          <w:rFonts w:hint="eastAsia" w:ascii="宋体" w:hAnsi="宋体"/>
          <w:color w:val="auto"/>
          <w:sz w:val="24"/>
          <w:szCs w:val="24"/>
          <w:highlight w:val="none"/>
        </w:rPr>
        <w:t>技术条件（工程建设标准）（另册）</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第六章</w:t>
      </w:r>
      <w:r>
        <w:rPr>
          <w:rFonts w:hint="eastAsia" w:ascii="宋体" w:hAnsi="宋体"/>
          <w:color w:val="auto"/>
          <w:sz w:val="24"/>
          <w:szCs w:val="24"/>
          <w:highlight w:val="none"/>
        </w:rPr>
        <w:t>图纸及勘察资料（另册）</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第七章招标</w:t>
      </w:r>
      <w:r>
        <w:rPr>
          <w:rFonts w:hint="eastAsia" w:ascii="宋体" w:hAnsi="宋体"/>
          <w:color w:val="auto"/>
          <w:sz w:val="24"/>
          <w:szCs w:val="24"/>
          <w:highlight w:val="none"/>
        </w:rPr>
        <w:t>工程量清单（另册）</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第八章最高投标限价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注：招标人应在技术条件（工程建设标准）中明确施工现场建筑垃圾源头减量的具体要求和建筑垃圾综合利用产品的使用要求。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7.3 </w:t>
      </w:r>
      <w:r>
        <w:rPr>
          <w:rFonts w:hint="eastAsia" w:ascii="宋体" w:hAnsi="宋体"/>
          <w:color w:val="auto"/>
          <w:sz w:val="24"/>
          <w:szCs w:val="24"/>
          <w:highlight w:val="none"/>
        </w:rPr>
        <w:t>投标人一旦中标，招标文件的内容对招标人和中标人双方均有约束力。</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8</w:t>
      </w:r>
      <w:r>
        <w:rPr>
          <w:rFonts w:hint="eastAsia" w:ascii="宋体" w:hAnsi="宋体"/>
          <w:b/>
          <w:bCs/>
          <w:color w:val="auto"/>
          <w:sz w:val="24"/>
          <w:szCs w:val="24"/>
          <w:highlight w:val="none"/>
        </w:rPr>
        <w:t>．招标答疑</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8.1 </w:t>
      </w:r>
      <w:r>
        <w:rPr>
          <w:rFonts w:hint="eastAsia" w:ascii="宋体" w:hAnsi="宋体"/>
          <w:color w:val="auto"/>
          <w:sz w:val="24"/>
          <w:szCs w:val="24"/>
          <w:highlight w:val="none"/>
        </w:rPr>
        <w:t>投标人若对招标文件（包括招标图纸）中有疑问，可以书面形式通过交易平台提交给招标人或招标代理人，提交形式见本须知前附表第</w:t>
      </w:r>
      <w:r>
        <w:rPr>
          <w:rFonts w:ascii="宋体" w:hAnsi="宋体"/>
          <w:color w:val="auto"/>
          <w:sz w:val="24"/>
          <w:szCs w:val="24"/>
          <w:highlight w:val="none"/>
        </w:rPr>
        <w:t>16</w:t>
      </w:r>
      <w:r>
        <w:rPr>
          <w:rFonts w:hint="eastAsia" w:ascii="宋体" w:hAnsi="宋体"/>
          <w:color w:val="auto"/>
          <w:sz w:val="24"/>
          <w:szCs w:val="24"/>
          <w:highlight w:val="none"/>
        </w:rPr>
        <w:t>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8.2</w:t>
      </w:r>
      <w:r>
        <w:rPr>
          <w:rFonts w:hint="eastAsia" w:ascii="宋体" w:hAnsi="宋体"/>
          <w:color w:val="auto"/>
          <w:sz w:val="24"/>
          <w:szCs w:val="24"/>
          <w:highlight w:val="none"/>
        </w:rPr>
        <w:t>招标答疑会会议纪要将在提交投标文件截止时间15日前在交易平台“项目答疑纪要”专区公开发布。答疑纪要一经在交易平台发布，视作已发放给所有投标人。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8.3</w:t>
      </w:r>
      <w:r>
        <w:rPr>
          <w:rFonts w:hint="eastAsia" w:ascii="宋体" w:hAnsi="宋体"/>
          <w:color w:val="auto"/>
          <w:sz w:val="24"/>
          <w:szCs w:val="24"/>
          <w:highlight w:val="none"/>
        </w:rPr>
        <w:t>答疑会会议纪要为招标文件的一部分。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8.4</w:t>
      </w:r>
      <w:r>
        <w:rPr>
          <w:rFonts w:hint="eastAsia" w:ascii="宋体" w:hAnsi="宋体"/>
          <w:color w:val="auto"/>
          <w:sz w:val="24"/>
          <w:szCs w:val="24"/>
          <w:highlight w:val="none"/>
        </w:rPr>
        <w:t>若招标答疑会会议纪要与招标文件有矛盾，以答疑会议纪要最后发出的书面形式的文件为准。</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9.</w:t>
      </w:r>
      <w:r>
        <w:rPr>
          <w:rFonts w:hint="eastAsia" w:ascii="宋体" w:hAnsi="宋体"/>
          <w:b/>
          <w:bCs/>
          <w:color w:val="auto"/>
          <w:sz w:val="24"/>
          <w:szCs w:val="24"/>
          <w:highlight w:val="none"/>
        </w:rPr>
        <w:t>招标文件的澄清与修改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9.1</w:t>
      </w:r>
      <w:r>
        <w:rPr>
          <w:rFonts w:hint="eastAsia" w:ascii="宋体" w:hAnsi="宋体"/>
          <w:color w:val="auto"/>
          <w:sz w:val="24"/>
          <w:szCs w:val="24"/>
          <w:highlight w:val="none"/>
        </w:rPr>
        <w:t>招标文件发出后</w:t>
      </w:r>
      <w:r>
        <w:rPr>
          <w:rFonts w:ascii="宋体" w:hAnsi="宋体"/>
          <w:color w:val="auto"/>
          <w:sz w:val="24"/>
          <w:szCs w:val="24"/>
          <w:highlight w:val="none"/>
        </w:rPr>
        <w:t>,</w:t>
      </w:r>
      <w:r>
        <w:rPr>
          <w:rFonts w:hint="eastAsia" w:ascii="宋体" w:hAnsi="宋体"/>
          <w:color w:val="auto"/>
          <w:sz w:val="24"/>
          <w:szCs w:val="24"/>
          <w:highlight w:val="none"/>
        </w:rPr>
        <w:t>在提交投标文件截止时间15日前，招标人可对招标文件进行必要的澄清或修改。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9.2</w:t>
      </w:r>
      <w:r>
        <w:rPr>
          <w:rFonts w:hint="eastAsia" w:ascii="宋体" w:hAnsi="宋体"/>
          <w:color w:val="auto"/>
          <w:sz w:val="24"/>
          <w:szCs w:val="24"/>
          <w:highlight w:val="none"/>
        </w:rPr>
        <w:t>招标文件的澄清或修改将在交易平台“项目答疑纪要”专区公开发布。答疑纪要一经在交易平台发布，视作已发放给所有投标人，以交易平台上网发布时间作为送达时间。</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9.3</w:t>
      </w:r>
      <w:r>
        <w:rPr>
          <w:rFonts w:hint="eastAsia" w:ascii="宋体" w:hAnsi="宋体"/>
          <w:color w:val="auto"/>
          <w:sz w:val="24"/>
          <w:szCs w:val="24"/>
          <w:highlight w:val="none"/>
        </w:rPr>
        <w:t>招标文件的修改内容为招标文件的组成部分。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9.4</w:t>
      </w:r>
      <w:r>
        <w:rPr>
          <w:rFonts w:hint="eastAsia" w:ascii="宋体" w:hAnsi="宋体"/>
          <w:color w:val="auto"/>
          <w:sz w:val="24"/>
          <w:szCs w:val="24"/>
          <w:highlight w:val="none"/>
        </w:rPr>
        <w:t>招标文件的澄清或修改均以书面形式明确的内容为准。当招标文件的澄清、修改、补充等在同一内容的表述不一致时，以最后发出的书面形式的文件为准。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9.5</w:t>
      </w:r>
      <w:r>
        <w:rPr>
          <w:rFonts w:hint="eastAsia" w:ascii="宋体" w:hAnsi="宋体"/>
          <w:color w:val="auto"/>
          <w:sz w:val="24"/>
          <w:szCs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15" w:name="_Toc2272551"/>
      <w:bookmarkStart w:id="16" w:name="_Toc121470655"/>
      <w:bookmarkStart w:id="17" w:name="_Toc58838573"/>
      <w:r>
        <w:rPr>
          <w:rFonts w:hint="eastAsia" w:ascii="宋体" w:hAnsi="宋体" w:cs="宋体"/>
          <w:color w:val="auto"/>
          <w:kern w:val="0"/>
          <w:sz w:val="24"/>
          <w:szCs w:val="24"/>
          <w:highlight w:val="none"/>
        </w:rPr>
        <w:t>（三）投标文件的编制</w:t>
      </w:r>
      <w:bookmarkEnd w:id="15"/>
      <w:bookmarkEnd w:id="16"/>
      <w:bookmarkEnd w:id="17"/>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10</w:t>
      </w:r>
      <w:r>
        <w:rPr>
          <w:rFonts w:hint="eastAsia" w:ascii="宋体" w:hAnsi="宋体"/>
          <w:b/>
          <w:bCs/>
          <w:color w:val="auto"/>
          <w:sz w:val="24"/>
          <w:szCs w:val="24"/>
          <w:highlight w:val="none"/>
        </w:rPr>
        <w:t>．投标文件的语言及度量衡单位</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10.1 </w:t>
      </w:r>
      <w:r>
        <w:rPr>
          <w:rFonts w:hint="eastAsia" w:ascii="宋体" w:hAnsi="宋体"/>
          <w:color w:val="auto"/>
          <w:sz w:val="24"/>
          <w:szCs w:val="24"/>
          <w:highlight w:val="none"/>
        </w:rPr>
        <w:t>投标文件和与投标有关的所有文件均应使用中文。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10.2 </w:t>
      </w:r>
      <w:r>
        <w:rPr>
          <w:rFonts w:hint="eastAsia" w:ascii="宋体" w:hAnsi="宋体"/>
          <w:color w:val="auto"/>
          <w:sz w:val="24"/>
          <w:szCs w:val="24"/>
          <w:highlight w:val="none"/>
        </w:rPr>
        <w:t>除工程规范另有规定外，投标文件使用的度量衡单位，均采用中华人民共和国法定计量单位。</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11</w:t>
      </w:r>
      <w:r>
        <w:rPr>
          <w:rFonts w:hint="eastAsia" w:ascii="宋体" w:hAnsi="宋体"/>
          <w:b/>
          <w:bCs/>
          <w:color w:val="auto"/>
          <w:sz w:val="24"/>
          <w:szCs w:val="24"/>
          <w:highlight w:val="none"/>
        </w:rPr>
        <w:t>．投标文件的组成</w:t>
      </w:r>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11.1 </w:t>
      </w:r>
      <w:r>
        <w:rPr>
          <w:rFonts w:hint="eastAsia" w:ascii="宋体" w:hAnsi="宋体"/>
          <w:color w:val="auto"/>
          <w:sz w:val="24"/>
          <w:szCs w:val="24"/>
          <w:highlight w:val="none"/>
        </w:rPr>
        <w:t>投标文件由技术部分（含资格审查文件）和经济部分二部分投标文件组成</w:t>
      </w:r>
      <w:r>
        <w:rPr>
          <w:rFonts w:hint="eastAsia" w:ascii="宋体" w:hAnsi="宋体"/>
          <w:b/>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11.2</w:t>
      </w:r>
      <w:r>
        <w:rPr>
          <w:rFonts w:hint="eastAsia" w:ascii="宋体" w:hAnsi="宋体"/>
          <w:bCs/>
          <w:color w:val="auto"/>
          <w:sz w:val="24"/>
          <w:szCs w:val="24"/>
          <w:highlight w:val="none"/>
        </w:rPr>
        <w:t>投标文件技术标部分主要包括下列内容</w:t>
      </w:r>
      <w:r>
        <w:rPr>
          <w:rFonts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11.2.1 技术投标文件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11.2.2 资格审查文件：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（1）投标人声明；</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（2）法定代表人证明书、法定代表人签字或盖章的本投标文件授权委托证明书；</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（3）企业营业执照（取自平台内上传件）；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（4）企业资质证书（取自平台内上传件）；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（8）拟委托技术负责人的相关证书、资料（具体要求由招标人明确）</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（9）拟委派项目负责人的建造师注册证书或小型项目负责人相关证明（取自平台内上传件）；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（10）项目负责人安全培训考核合格证明或在有效期内的安全考核合格证书（B类）或建筑施工企业项目负责人安全生产考核合格证书（取自平台内上传件）；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（11）专职安全员须具有在有效期内的安全考核合格证书（C类）或建筑施工企业专职安全生产管理人员安全生产考核合格证书（取自平台内上传件）；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（12）用于资格审查的业绩（设置业绩要求时选择此项，投标人</w:t>
      </w:r>
      <w:r>
        <w:rPr>
          <w:rFonts w:hint="eastAsia" w:ascii="宋体" w:hAnsi="宋体"/>
          <w:color w:val="auto"/>
          <w:sz w:val="24"/>
          <w:szCs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（14）列明主办单位的联合体工作协议（采用联合体投标时需递交，投标人拟任本工程项目负责人、专职安全员应为联合体主办方信用档案中的在册人员，联合体工作协议应明确约定各方拟承担的工作和责任）；</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11.2.3</w:t>
      </w:r>
      <w:r>
        <w:rPr>
          <w:rFonts w:hint="eastAsia" w:ascii="宋体" w:hAnsi="宋体"/>
          <w:color w:val="auto"/>
          <w:sz w:val="24"/>
          <w:szCs w:val="24"/>
          <w:highlight w:val="none"/>
        </w:rPr>
        <w:t>项目管理机构配备。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）投标人应列出该项目工程的施工组织机构构成和画出机构框架图及其负责人；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）其他辅助说明资料。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11.2.4</w:t>
      </w:r>
      <w:r>
        <w:rPr>
          <w:rFonts w:hint="eastAsia" w:ascii="宋体" w:hAnsi="宋体"/>
          <w:color w:val="auto"/>
          <w:sz w:val="24"/>
          <w:szCs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11.2.5</w:t>
      </w:r>
      <w:r>
        <w:rPr>
          <w:rFonts w:hint="eastAsia" w:ascii="宋体" w:hAnsi="宋体"/>
          <w:color w:val="auto"/>
          <w:sz w:val="24"/>
          <w:szCs w:val="24"/>
          <w:highlight w:val="none"/>
        </w:rPr>
        <w:t>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w:t>
      </w:r>
      <w:r>
        <w:rPr>
          <w:rFonts w:hint="eastAsia" w:ascii="宋体" w:hAnsi="宋体"/>
          <w:color w:val="auto"/>
          <w:sz w:val="24"/>
          <w:szCs w:val="24"/>
          <w:highlight w:val="none"/>
        </w:rPr>
        <w:t>6按照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填写的《参与编制技术标投标文件人员名单》。</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11.3 </w:t>
      </w:r>
      <w:r>
        <w:rPr>
          <w:rFonts w:hint="eastAsia" w:ascii="宋体" w:hAnsi="宋体"/>
          <w:bCs/>
          <w:color w:val="auto"/>
          <w:sz w:val="24"/>
          <w:szCs w:val="24"/>
          <w:highlight w:val="none"/>
        </w:rPr>
        <w:t>经济部分投标文件主要包括下列内容：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11.3.1 </w:t>
      </w:r>
      <w:r>
        <w:rPr>
          <w:rFonts w:hint="eastAsia" w:ascii="宋体" w:hAnsi="宋体"/>
          <w:color w:val="auto"/>
          <w:sz w:val="24"/>
          <w:szCs w:val="24"/>
          <w:highlight w:val="none"/>
        </w:rPr>
        <w:t>经济投标文件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11.3.2</w:t>
      </w:r>
      <w:r>
        <w:rPr>
          <w:rFonts w:hint="eastAsia" w:ascii="宋体" w:hAnsi="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4" w:firstLineChars="235"/>
        <w:rPr>
          <w:rFonts w:ascii="宋体" w:hAns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4" w:firstLineChars="235"/>
        <w:rPr>
          <w:rFonts w:ascii="宋体" w:hAns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564" w:firstLineChars="235"/>
        <w:rPr>
          <w:rFonts w:ascii="宋体" w:hAnsi="宋体"/>
          <w:color w:val="auto"/>
          <w:sz w:val="24"/>
          <w:szCs w:val="24"/>
          <w:highlight w:val="none"/>
        </w:rPr>
      </w:pPr>
      <w:r>
        <w:rPr>
          <w:rFonts w:hint="eastAsia" w:ascii="宋体" w:hAnsi="宋体"/>
          <w:color w:val="auto"/>
          <w:sz w:val="24"/>
          <w:szCs w:val="24"/>
          <w:highlight w:val="none"/>
        </w:rPr>
        <w:t>（17）人工、主要材料和设备一览表</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11.3.</w:t>
      </w:r>
      <w:r>
        <w:rPr>
          <w:rFonts w:hint="eastAsia" w:ascii="宋体" w:hAnsi="宋体"/>
          <w:color w:val="auto"/>
          <w:sz w:val="24"/>
          <w:szCs w:val="24"/>
          <w:highlight w:val="none"/>
        </w:rPr>
        <w:t>3按照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填写的《参与编制经济标投标文件人员名单》。</w:t>
      </w:r>
    </w:p>
    <w:p>
      <w:pPr>
        <w:tabs>
          <w:tab w:val="left" w:pos="112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12</w:t>
      </w:r>
      <w:r>
        <w:rPr>
          <w:rFonts w:hint="eastAsia" w:ascii="宋体" w:hAnsi="宋体"/>
          <w:b/>
          <w:bCs/>
          <w:color w:val="auto"/>
          <w:sz w:val="24"/>
          <w:szCs w:val="24"/>
          <w:highlight w:val="none"/>
        </w:rPr>
        <w:t>．投标文件格式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12.1 </w:t>
      </w:r>
      <w:r>
        <w:rPr>
          <w:rFonts w:hint="eastAsia" w:ascii="宋体" w:hAnsi="宋体"/>
          <w:color w:val="auto"/>
          <w:sz w:val="24"/>
          <w:szCs w:val="24"/>
          <w:highlight w:val="none"/>
        </w:rPr>
        <w:t>投标文件包括本须知第</w:t>
      </w:r>
      <w:r>
        <w:rPr>
          <w:rFonts w:ascii="宋体" w:hAnsi="宋体"/>
          <w:color w:val="auto"/>
          <w:sz w:val="24"/>
          <w:szCs w:val="24"/>
          <w:highlight w:val="none"/>
        </w:rPr>
        <w:t>11</w:t>
      </w:r>
      <w:r>
        <w:rPr>
          <w:rFonts w:hint="eastAsia" w:ascii="宋体" w:hAnsi="宋体"/>
          <w:color w:val="auto"/>
          <w:sz w:val="24"/>
          <w:szCs w:val="24"/>
          <w:highlight w:val="none"/>
        </w:rPr>
        <w:t>条中规定的内容，投标人提交的投标文件应当使用招标文件所提供的投标文件全部格式（表格可以按同样格式扩展）。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szCs w:val="24"/>
          <w:highlight w:val="none"/>
        </w:rPr>
        <w:t>照交易平台关于全流程电子化项目的相关指南进行编制，详见：。</w:t>
      </w:r>
    </w:p>
    <w:p>
      <w:pPr>
        <w:spacing w:line="360" w:lineRule="auto"/>
        <w:rPr>
          <w:rFonts w:ascii="宋体" w:hAnsi="宋体"/>
          <w:color w:val="auto"/>
          <w:sz w:val="24"/>
          <w:szCs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13</w:t>
      </w:r>
      <w:r>
        <w:rPr>
          <w:rFonts w:hint="eastAsia" w:ascii="宋体" w:hAnsi="宋体"/>
          <w:b/>
          <w:bCs/>
          <w:color w:val="auto"/>
          <w:sz w:val="24"/>
          <w:szCs w:val="24"/>
          <w:highlight w:val="none"/>
        </w:rPr>
        <w:t>．投标报价及造价承包和变更结算方式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13.1 </w:t>
      </w:r>
      <w:r>
        <w:rPr>
          <w:rFonts w:hint="eastAsia" w:ascii="宋体" w:hAnsi="宋体"/>
          <w:color w:val="auto"/>
          <w:sz w:val="24"/>
          <w:szCs w:val="24"/>
          <w:highlight w:val="none"/>
        </w:rPr>
        <w:t>本工程的投标报价采用投标须知前附表第</w:t>
      </w:r>
      <w:r>
        <w:rPr>
          <w:rFonts w:ascii="宋体" w:hAnsi="宋体"/>
          <w:color w:val="auto"/>
          <w:sz w:val="24"/>
          <w:szCs w:val="24"/>
          <w:highlight w:val="none"/>
        </w:rPr>
        <w:t>12</w:t>
      </w:r>
      <w:r>
        <w:rPr>
          <w:rFonts w:hint="eastAsia" w:ascii="宋体" w:hAnsi="宋体"/>
          <w:color w:val="auto"/>
          <w:sz w:val="24"/>
          <w:szCs w:val="24"/>
          <w:highlight w:val="none"/>
        </w:rPr>
        <w:t>项所规定的方式。投标报价（含单价及总价）精确到“分”。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13.2</w:t>
      </w:r>
      <w:r>
        <w:rPr>
          <w:rFonts w:hint="eastAsia" w:ascii="宋体" w:hAnsi="宋体"/>
          <w:color w:val="auto"/>
          <w:sz w:val="24"/>
          <w:szCs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13.3</w:t>
      </w:r>
      <w:r>
        <w:rPr>
          <w:rFonts w:hint="eastAsia" w:ascii="宋体" w:hAnsi="宋体"/>
          <w:color w:val="auto"/>
          <w:sz w:val="24"/>
          <w:szCs w:val="24"/>
          <w:highlight w:val="none"/>
        </w:rPr>
        <w:t>投标人的投标报价，应是按照投标须知前附表第</w:t>
      </w:r>
      <w:r>
        <w:rPr>
          <w:rFonts w:ascii="宋体" w:hAnsi="宋体"/>
          <w:color w:val="auto"/>
          <w:sz w:val="24"/>
          <w:szCs w:val="24"/>
          <w:highlight w:val="none"/>
        </w:rPr>
        <w:t>8</w:t>
      </w:r>
      <w:r>
        <w:rPr>
          <w:rFonts w:hint="eastAsia" w:ascii="宋体" w:hAnsi="宋体"/>
          <w:color w:val="auto"/>
          <w:sz w:val="24"/>
          <w:szCs w:val="24"/>
          <w:highlight w:val="none"/>
        </w:rPr>
        <w:t>项的工期要求，在投标须知前附表第</w:t>
      </w:r>
      <w:r>
        <w:rPr>
          <w:rFonts w:ascii="宋体" w:hAnsi="宋体"/>
          <w:color w:val="auto"/>
          <w:sz w:val="24"/>
          <w:szCs w:val="24"/>
          <w:highlight w:val="none"/>
        </w:rPr>
        <w:t>3</w:t>
      </w:r>
      <w:r>
        <w:rPr>
          <w:rFonts w:hint="eastAsia" w:ascii="宋体" w:hAnsi="宋体"/>
          <w:color w:val="auto"/>
          <w:sz w:val="24"/>
          <w:szCs w:val="24"/>
          <w:highlight w:val="none"/>
        </w:rPr>
        <w:t>项的建设地点，完成投标须知前附表第</w:t>
      </w:r>
      <w:r>
        <w:rPr>
          <w:rFonts w:ascii="宋体" w:hAnsi="宋体"/>
          <w:color w:val="auto"/>
          <w:sz w:val="24"/>
          <w:szCs w:val="24"/>
          <w:highlight w:val="none"/>
        </w:rPr>
        <w:t>7</w:t>
      </w:r>
      <w:r>
        <w:rPr>
          <w:rFonts w:hint="eastAsia" w:ascii="宋体" w:hAnsi="宋体"/>
          <w:color w:val="auto"/>
          <w:sz w:val="24"/>
          <w:szCs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13.4</w:t>
      </w:r>
      <w:r>
        <w:rPr>
          <w:rFonts w:hint="eastAsia" w:ascii="宋体" w:hAnsi="宋体"/>
          <w:color w:val="auto"/>
          <w:sz w:val="24"/>
          <w:szCs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13.5</w:t>
      </w:r>
      <w:r>
        <w:rPr>
          <w:rFonts w:hint="eastAsia" w:ascii="宋体" w:hAnsi="宋体"/>
          <w:color w:val="auto"/>
          <w:sz w:val="24"/>
          <w:szCs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13.5.1</w:t>
      </w:r>
      <w:r>
        <w:rPr>
          <w:rFonts w:hint="eastAsia" w:ascii="宋体" w:hAnsi="宋体"/>
          <w:color w:val="auto"/>
          <w:sz w:val="24"/>
          <w:szCs w:val="24"/>
          <w:highlight w:val="none"/>
        </w:rPr>
        <w:t>中标的投标文件工程量清单中已有相同项目的适用综合单价，则沿用；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13.5.2</w:t>
      </w:r>
      <w:r>
        <w:rPr>
          <w:rFonts w:hint="eastAsia" w:ascii="宋体" w:hAnsi="宋体"/>
          <w:color w:val="auto"/>
          <w:sz w:val="24"/>
          <w:szCs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13.5.3 </w:t>
      </w:r>
      <w:r>
        <w:rPr>
          <w:rFonts w:hint="eastAsia" w:ascii="宋体" w:hAnsi="宋体"/>
          <w:color w:val="auto"/>
          <w:sz w:val="24"/>
          <w:szCs w:val="24"/>
          <w:highlight w:val="none"/>
        </w:rPr>
        <w:t>中标的投标文件工程量清单中没有相同项目或类似项目的，如可套取相关定额，则以相关定额为基数下浮计算单价</w:t>
      </w:r>
      <w:r>
        <w:rPr>
          <w:rFonts w:ascii="宋体" w:hAnsi="宋体"/>
          <w:color w:val="auto"/>
          <w:sz w:val="24"/>
          <w:szCs w:val="24"/>
          <w:highlight w:val="none"/>
        </w:rPr>
        <w:t>,</w:t>
      </w:r>
      <w:r>
        <w:rPr>
          <w:rFonts w:hint="eastAsia" w:ascii="宋体" w:hAnsi="宋体"/>
          <w:color w:val="auto"/>
          <w:sz w:val="24"/>
          <w:szCs w:val="24"/>
          <w:highlight w:val="none"/>
        </w:rPr>
        <w:t>下浮率为中标价相对于最高投标限价的下浮率（下浮率</w:t>
      </w:r>
      <w:r>
        <w:rPr>
          <w:rFonts w:ascii="宋体" w:hAnsi="宋体"/>
          <w:color w:val="auto"/>
          <w:sz w:val="24"/>
          <w:szCs w:val="24"/>
          <w:highlight w:val="none"/>
        </w:rPr>
        <w:t>=(</w:t>
      </w:r>
      <w:r>
        <w:rPr>
          <w:rFonts w:hint="eastAsia" w:ascii="宋体" w:hAnsi="宋体"/>
          <w:color w:val="auto"/>
          <w:sz w:val="24"/>
          <w:szCs w:val="24"/>
          <w:highlight w:val="none"/>
        </w:rPr>
        <w:t>最高投标限价</w:t>
      </w:r>
      <w:r>
        <w:rPr>
          <w:rFonts w:ascii="宋体" w:hAnsi="宋体"/>
          <w:color w:val="auto"/>
          <w:sz w:val="24"/>
          <w:szCs w:val="24"/>
          <w:highlight w:val="none"/>
        </w:rPr>
        <w:t>-</w:t>
      </w:r>
      <w:r>
        <w:rPr>
          <w:rFonts w:hint="eastAsia" w:ascii="宋体" w:hAnsi="宋体"/>
          <w:color w:val="auto"/>
          <w:sz w:val="24"/>
          <w:szCs w:val="24"/>
          <w:highlight w:val="none"/>
        </w:rPr>
        <w:t>中标价</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13.5.4 </w:t>
      </w:r>
      <w:r>
        <w:rPr>
          <w:rFonts w:hint="eastAsia" w:ascii="宋体" w:hAnsi="宋体"/>
          <w:color w:val="auto"/>
          <w:sz w:val="24"/>
          <w:szCs w:val="24"/>
          <w:highlight w:val="none"/>
        </w:rPr>
        <w:t>如相关定额没有相应子目的，其计价方式由招标人在本招标文件第三章中另行规定。未规定的，中标后双方协商约定。</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w:t>
      </w:r>
      <w:r>
        <w:rPr>
          <w:rFonts w:hint="eastAsia" w:ascii="宋体" w:hAnsi="宋体"/>
          <w:color w:val="auto"/>
          <w:sz w:val="24"/>
          <w:szCs w:val="24"/>
          <w:highlight w:val="none"/>
        </w:rPr>
        <w:t>暂列金额、暂估价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13.6.1</w:t>
      </w:r>
      <w:r>
        <w:rPr>
          <w:rFonts w:hint="eastAsia" w:ascii="宋体" w:hAnsi="宋体"/>
          <w:color w:val="auto"/>
          <w:sz w:val="24"/>
          <w:szCs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暂估价是指招标人在工程量清单中提供的用于支付必然发生但暂时不能确定价格的材料的单价以及专业工程的金额。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13.6.2</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13.6.3</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13.6.4</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szCs w:val="24"/>
          <w:highlight w:val="none"/>
        </w:rPr>
        <w:t>13.5</w:t>
      </w:r>
      <w:r>
        <w:rPr>
          <w:rFonts w:hint="eastAsia" w:ascii="宋体" w:hAnsi="宋体"/>
          <w:color w:val="auto"/>
          <w:sz w:val="24"/>
          <w:szCs w:val="24"/>
          <w:highlight w:val="none"/>
        </w:rPr>
        <w:t>款规定确定。</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13.6.5</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13.6.6 </w:t>
      </w:r>
      <w:r>
        <w:rPr>
          <w:rFonts w:hint="eastAsia" w:ascii="宋体" w:hAnsi="宋体"/>
          <w:color w:val="auto"/>
          <w:sz w:val="24"/>
          <w:szCs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13.7</w:t>
      </w:r>
      <w:r>
        <w:rPr>
          <w:rFonts w:hint="eastAsia" w:ascii="宋体" w:hAnsi="宋体"/>
          <w:color w:val="auto"/>
          <w:sz w:val="24"/>
          <w:szCs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13.8</w:t>
      </w:r>
      <w:r>
        <w:rPr>
          <w:rFonts w:hint="eastAsia" w:ascii="宋体" w:hAnsi="宋体"/>
          <w:color w:val="auto"/>
          <w:sz w:val="24"/>
          <w:szCs w:val="24"/>
          <w:highlight w:val="none"/>
        </w:rPr>
        <w:t>属于承包人自行采购的主要材料、设备，招标人应当在招标文件中提出材料、设备的技术标准或者质量要求，或者提出不少于</w:t>
      </w:r>
      <w:r>
        <w:rPr>
          <w:rFonts w:ascii="宋体" w:hAnsi="宋体"/>
          <w:color w:val="auto"/>
          <w:sz w:val="24"/>
          <w:szCs w:val="24"/>
          <w:highlight w:val="none"/>
        </w:rPr>
        <w:t>3</w:t>
      </w:r>
      <w:r>
        <w:rPr>
          <w:rFonts w:hint="eastAsia" w:ascii="宋体" w:hAnsi="宋体"/>
          <w:color w:val="auto"/>
          <w:sz w:val="24"/>
          <w:szCs w:val="24"/>
          <w:highlight w:val="none"/>
        </w:rPr>
        <w:t>个同等档次品牌或分包商供投标人报价时选择</w:t>
      </w:r>
      <w:r>
        <w:rPr>
          <w:rFonts w:ascii="宋体" w:hAnsi="宋体"/>
          <w:color w:val="auto"/>
          <w:sz w:val="24"/>
          <w:szCs w:val="24"/>
          <w:highlight w:val="none"/>
        </w:rPr>
        <w:t>,</w:t>
      </w:r>
      <w:r>
        <w:rPr>
          <w:rFonts w:hint="eastAsia" w:ascii="宋体" w:hAnsi="宋体"/>
          <w:color w:val="auto"/>
          <w:sz w:val="24"/>
          <w:szCs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13.9</w:t>
      </w:r>
      <w:r>
        <w:rPr>
          <w:rFonts w:hint="eastAsia" w:ascii="宋体" w:hAns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14</w:t>
      </w:r>
      <w:r>
        <w:rPr>
          <w:rFonts w:hint="eastAsia" w:ascii="宋体" w:hAnsi="宋体"/>
          <w:b/>
          <w:bCs/>
          <w:color w:val="auto"/>
          <w:sz w:val="24"/>
          <w:szCs w:val="24"/>
          <w:highlight w:val="none"/>
        </w:rPr>
        <w:t>．投标货币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14.1 </w:t>
      </w:r>
      <w:r>
        <w:rPr>
          <w:rFonts w:hint="eastAsia" w:ascii="宋体" w:hAnsi="宋体"/>
          <w:color w:val="auto"/>
          <w:sz w:val="24"/>
          <w:szCs w:val="24"/>
          <w:highlight w:val="none"/>
        </w:rPr>
        <w:t>本工程投标报价采用的币种为人民币。</w:t>
      </w:r>
    </w:p>
    <w:p>
      <w:pPr>
        <w:spacing w:line="360" w:lineRule="auto"/>
        <w:ind w:firstLine="482" w:firstLineChars="200"/>
        <w:rPr>
          <w:rFonts w:ascii="宋体" w:hAnsi="宋体"/>
          <w:color w:val="auto"/>
          <w:sz w:val="24"/>
          <w:szCs w:val="24"/>
          <w:highlight w:val="none"/>
        </w:rPr>
      </w:pPr>
      <w:r>
        <w:rPr>
          <w:rFonts w:ascii="宋体" w:hAnsi="宋体"/>
          <w:b/>
          <w:bCs/>
          <w:color w:val="auto"/>
          <w:sz w:val="24"/>
          <w:szCs w:val="24"/>
          <w:highlight w:val="none"/>
        </w:rPr>
        <w:t>15</w:t>
      </w:r>
      <w:r>
        <w:rPr>
          <w:rFonts w:hint="eastAsia" w:ascii="宋体" w:hAnsi="宋体"/>
          <w:b/>
          <w:bCs/>
          <w:color w:val="auto"/>
          <w:sz w:val="24"/>
          <w:szCs w:val="24"/>
          <w:highlight w:val="none"/>
        </w:rPr>
        <w:t>．投标有效期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15.1 </w:t>
      </w:r>
      <w:r>
        <w:rPr>
          <w:rFonts w:hint="eastAsia" w:ascii="宋体" w:hAnsi="宋体"/>
          <w:color w:val="auto"/>
          <w:sz w:val="24"/>
          <w:szCs w:val="24"/>
          <w:highlight w:val="none"/>
        </w:rPr>
        <w:t>投标有效期见投标须知前附表第</w:t>
      </w:r>
      <w:r>
        <w:rPr>
          <w:rFonts w:ascii="宋体" w:hAnsi="宋体"/>
          <w:color w:val="auto"/>
          <w:sz w:val="24"/>
          <w:szCs w:val="24"/>
          <w:highlight w:val="none"/>
        </w:rPr>
        <w:t>13</w:t>
      </w:r>
      <w:r>
        <w:rPr>
          <w:rFonts w:hint="eastAsia" w:ascii="宋体" w:hAnsi="宋体"/>
          <w:color w:val="auto"/>
          <w:sz w:val="24"/>
          <w:szCs w:val="24"/>
          <w:highlight w:val="none"/>
        </w:rPr>
        <w:t>项所规定的期限，在此期限内，凡符合本招标文件要求的投标文件均保持有效。</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15.2 </w:t>
      </w:r>
      <w:r>
        <w:rPr>
          <w:rFonts w:hint="eastAsia" w:ascii="宋体" w:hAnsi="宋体"/>
          <w:color w:val="auto"/>
          <w:sz w:val="24"/>
          <w:szCs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szCs w:val="24"/>
          <w:highlight w:val="none"/>
        </w:rPr>
        <w:t>16</w:t>
      </w:r>
      <w:r>
        <w:rPr>
          <w:rFonts w:hint="eastAsia" w:ascii="宋体" w:hAnsi="宋体"/>
          <w:color w:val="auto"/>
          <w:sz w:val="24"/>
          <w:szCs w:val="24"/>
          <w:highlight w:val="none"/>
        </w:rPr>
        <w:t>条关于投标保证金的退还与不予退还的规定仍然适用。</w:t>
      </w:r>
    </w:p>
    <w:p>
      <w:pPr>
        <w:pStyle w:val="2"/>
        <w:spacing w:after="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16．投标保证金</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16.1.1采用现金或者支票形式提交的，投标保证金须从投标人的银行基本账户转出。</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16.1.3采用电子形式的保函、担保或保证保险提交投标保证金的，应在招标文件中明确电子递交途径。</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16.3投标保证金应依据法律法规的相关规定退还。</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16.4如有下列情况之一的，招标人可以不予退还投标保证金（是否退还投标保证金由招标人在招标文件中规定）：</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16.4.1因投标人原因造成投标文件未解密的；</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16.4.2投标人在投标有效期内撤销投标文件；</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16.4.3中标人未能在规定期限内按要求提交履约担保；</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16.4.4中标人未能在规定期限内签署合同协议。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16.5.3按招标文件要求免于提供投标保证金的投标人存在16.4条款所列情形的。</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highlight w:val="none"/>
        </w:rPr>
        <w:t>注：16.5.3款由招标人二选一，需在招标文件中明确。</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17</w:t>
      </w:r>
      <w:r>
        <w:rPr>
          <w:rFonts w:hint="eastAsia" w:ascii="宋体" w:hAnsi="宋体"/>
          <w:b/>
          <w:bCs/>
          <w:color w:val="auto"/>
          <w:sz w:val="24"/>
          <w:szCs w:val="24"/>
          <w:highlight w:val="none"/>
        </w:rPr>
        <w:t>．投标文件的签署</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17.1</w:t>
      </w:r>
      <w:r>
        <w:rPr>
          <w:rFonts w:hint="eastAsia" w:ascii="宋体" w:hAnsi="宋体"/>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18" w:name="_Toc2272552"/>
      <w:bookmarkStart w:id="19" w:name="_Toc58838574"/>
      <w:bookmarkStart w:id="20" w:name="_Toc121470656"/>
      <w:r>
        <w:rPr>
          <w:rFonts w:hint="eastAsia" w:ascii="宋体" w:hAnsi="宋体" w:cs="宋体"/>
          <w:color w:val="auto"/>
          <w:kern w:val="0"/>
          <w:sz w:val="24"/>
          <w:szCs w:val="24"/>
          <w:highlight w:val="none"/>
        </w:rPr>
        <w:t>（四）投标文件的提交</w:t>
      </w:r>
      <w:bookmarkEnd w:id="18"/>
      <w:bookmarkEnd w:id="19"/>
      <w:bookmarkEnd w:id="20"/>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18</w:t>
      </w:r>
      <w:r>
        <w:rPr>
          <w:rFonts w:hint="eastAsia" w:ascii="宋体" w:hAnsi="宋体"/>
          <w:b/>
          <w:bCs/>
          <w:color w:val="auto"/>
          <w:sz w:val="24"/>
          <w:szCs w:val="24"/>
          <w:highlight w:val="none"/>
        </w:rPr>
        <w:t>．</w:t>
      </w:r>
      <w:r>
        <w:rPr>
          <w:rFonts w:hint="eastAsia" w:ascii="宋体" w:hAnsi="宋体"/>
          <w:b/>
          <w:color w:val="auto"/>
          <w:sz w:val="24"/>
          <w:szCs w:val="24"/>
          <w:highlight w:val="none"/>
        </w:rPr>
        <w:t>投标文件的密封和标记</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.1</w:t>
      </w:r>
      <w:r>
        <w:rPr>
          <w:rFonts w:hint="eastAsia" w:ascii="宋体" w:hAnsi="宋体"/>
          <w:bCs/>
          <w:color w:val="auto"/>
          <w:sz w:val="24"/>
          <w:szCs w:val="24"/>
          <w:highlight w:val="none"/>
        </w:rPr>
        <w:t>递交的电子投标文件（不含备用光盘）必须进行加密。按照交易平台关于</w:t>
      </w:r>
      <w:r>
        <w:rPr>
          <w:rFonts w:hint="eastAsia" w:ascii="宋体" w:hAnsi="宋体"/>
          <w:color w:val="auto"/>
          <w:sz w:val="24"/>
          <w:szCs w:val="24"/>
          <w:highlight w:val="none"/>
        </w:rPr>
        <w:t>全流程电子化项目的相关指南进行操作。详见：。</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 xml:space="preserve">.2 </w:t>
      </w:r>
      <w:r>
        <w:rPr>
          <w:rFonts w:hint="eastAsia" w:ascii="宋体" w:hAnsi="宋体"/>
          <w:bCs/>
          <w:color w:val="auto"/>
          <w:sz w:val="24"/>
          <w:szCs w:val="24"/>
          <w:highlight w:val="none"/>
        </w:rPr>
        <w:t>未按要求加密的投标文件，</w:t>
      </w:r>
      <w:r>
        <w:rPr>
          <w:rFonts w:hint="eastAsia" w:ascii="宋体" w:hAnsi="宋体"/>
          <w:color w:val="auto"/>
          <w:sz w:val="24"/>
          <w:szCs w:val="24"/>
          <w:highlight w:val="none"/>
        </w:rPr>
        <w:t>交易平台</w:t>
      </w:r>
      <w:r>
        <w:rPr>
          <w:rFonts w:hint="eastAsia" w:ascii="宋体" w:hAnsi="宋体"/>
          <w:bCs/>
          <w:color w:val="auto"/>
          <w:sz w:val="24"/>
          <w:szCs w:val="24"/>
          <w:highlight w:val="none"/>
        </w:rPr>
        <w:t>将予以拒收。</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19</w:t>
      </w:r>
      <w:r>
        <w:rPr>
          <w:rFonts w:hint="eastAsia" w:ascii="宋体" w:hAnsi="宋体"/>
          <w:b/>
          <w:bCs/>
          <w:color w:val="auto"/>
          <w:sz w:val="24"/>
          <w:szCs w:val="24"/>
          <w:highlight w:val="none"/>
        </w:rPr>
        <w:t>．投标文件的递交和接收</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1投标人通过</w:t>
      </w:r>
      <w:r>
        <w:rPr>
          <w:rFonts w:hint="eastAsia" w:ascii="宋体" w:hAnsi="宋体"/>
          <w:color w:val="auto"/>
          <w:sz w:val="24"/>
          <w:szCs w:val="24"/>
          <w:highlight w:val="none"/>
        </w:rPr>
        <w:t>交易平台递交电子投标文件。</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2投标人完成电子</w:t>
      </w:r>
      <w:r>
        <w:rPr>
          <w:rFonts w:hint="eastAsia" w:ascii="宋体" w:hAnsi="宋体"/>
          <w:color w:val="auto"/>
          <w:sz w:val="24"/>
          <w:szCs w:val="24"/>
          <w:highlight w:val="none"/>
        </w:rPr>
        <w:t>投标文件</w:t>
      </w:r>
      <w:r>
        <w:rPr>
          <w:rFonts w:hint="eastAsia" w:ascii="宋体" w:hAnsi="宋体"/>
          <w:bCs/>
          <w:color w:val="auto"/>
          <w:sz w:val="24"/>
          <w:szCs w:val="24"/>
          <w:highlight w:val="none"/>
        </w:rPr>
        <w:t>上传后，</w:t>
      </w:r>
      <w:r>
        <w:rPr>
          <w:rFonts w:hint="eastAsia" w:ascii="宋体" w:hAnsi="宋体"/>
          <w:color w:val="auto"/>
          <w:sz w:val="24"/>
          <w:szCs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3逾期送达的电子投标文件，</w:t>
      </w:r>
      <w:r>
        <w:rPr>
          <w:rFonts w:hint="eastAsia" w:ascii="宋体" w:hAnsi="宋体"/>
          <w:color w:val="auto"/>
          <w:sz w:val="24"/>
          <w:szCs w:val="24"/>
          <w:highlight w:val="none"/>
        </w:rPr>
        <w:t>交易平台将予以拒收。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w:t>
      </w:r>
      <w:r>
        <w:rPr>
          <w:rFonts w:hint="eastAsia" w:ascii="宋体" w:hAnsi="宋体"/>
          <w:color w:val="auto"/>
          <w:sz w:val="24"/>
          <w:szCs w:val="24"/>
          <w:highlight w:val="none"/>
        </w:rPr>
        <w:t>4投标截止前，招标人拒绝接收符合条件的投标文件，投标人可向招标投标监督机构投诉。</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w:t>
      </w:r>
      <w:r>
        <w:rPr>
          <w:rFonts w:hint="eastAsia" w:ascii="宋体" w:hAnsi="宋体"/>
          <w:color w:val="auto"/>
          <w:sz w:val="24"/>
          <w:szCs w:val="24"/>
          <w:highlight w:val="none"/>
        </w:rPr>
        <w:t>5如技术标和经济标先后分别开启，交易平台将按招标文件规定的时间分别开启技术标和经济标。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19.6</w:t>
      </w:r>
      <w:r>
        <w:rPr>
          <w:rFonts w:hint="eastAsia" w:ascii="宋体" w:hAnsi="宋体"/>
          <w:color w:val="auto"/>
          <w:sz w:val="24"/>
          <w:szCs w:val="24"/>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20</w:t>
      </w:r>
      <w:r>
        <w:rPr>
          <w:rFonts w:hint="eastAsia" w:ascii="宋体" w:hAnsi="宋体"/>
          <w:b/>
          <w:bCs/>
          <w:color w:val="auto"/>
          <w:sz w:val="24"/>
          <w:szCs w:val="24"/>
          <w:highlight w:val="none"/>
        </w:rPr>
        <w:t>．投标文件提交的截止时间</w:t>
      </w:r>
    </w:p>
    <w:p>
      <w:pPr>
        <w:spacing w:line="360" w:lineRule="auto"/>
        <w:ind w:firstLine="480" w:firstLineChars="200"/>
        <w:rPr>
          <w:rFonts w:ascii="宋体" w:hAnsi="宋体"/>
          <w:b/>
          <w:bCs/>
          <w:color w:val="auto"/>
          <w:sz w:val="24"/>
          <w:szCs w:val="24"/>
          <w:highlight w:val="none"/>
        </w:rPr>
      </w:pPr>
      <w:r>
        <w:rPr>
          <w:rFonts w:ascii="宋体" w:hAnsi="宋体"/>
          <w:color w:val="auto"/>
          <w:sz w:val="24"/>
          <w:szCs w:val="24"/>
          <w:highlight w:val="none"/>
        </w:rPr>
        <w:t>20.1</w:t>
      </w:r>
      <w:r>
        <w:rPr>
          <w:rFonts w:hint="eastAsia" w:ascii="宋体" w:hAnsi="宋体"/>
          <w:color w:val="auto"/>
          <w:sz w:val="24"/>
          <w:szCs w:val="24"/>
          <w:highlight w:val="none"/>
        </w:rPr>
        <w:t>投标人应在投标须知前附表第17项所述的时间前提交投标文件。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20.2</w:t>
      </w:r>
      <w:r>
        <w:rPr>
          <w:rFonts w:hint="eastAsia" w:ascii="宋体" w:hAnsi="宋体"/>
          <w:color w:val="auto"/>
          <w:sz w:val="24"/>
          <w:szCs w:val="24"/>
          <w:highlight w:val="none"/>
        </w:rPr>
        <w:t>招标人可按本须知第</w:t>
      </w:r>
      <w:r>
        <w:rPr>
          <w:rFonts w:ascii="宋体" w:hAnsi="宋体"/>
          <w:color w:val="auto"/>
          <w:sz w:val="24"/>
          <w:szCs w:val="24"/>
          <w:highlight w:val="none"/>
        </w:rPr>
        <w:t>9</w:t>
      </w:r>
      <w:r>
        <w:rPr>
          <w:rFonts w:hint="eastAsia" w:ascii="宋体" w:hAnsi="宋体"/>
          <w:color w:val="auto"/>
          <w:sz w:val="24"/>
          <w:szCs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20.3 </w:t>
      </w:r>
      <w:r>
        <w:rPr>
          <w:rFonts w:hint="eastAsia" w:ascii="宋体" w:hAnsi="宋体"/>
          <w:color w:val="auto"/>
          <w:sz w:val="24"/>
          <w:szCs w:val="24"/>
          <w:highlight w:val="none"/>
        </w:rPr>
        <w:t>到投标截止时间止，招标人收到的投标文件少于3家的，招标人将重新组织招标（当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21</w:t>
      </w:r>
      <w:r>
        <w:rPr>
          <w:rFonts w:hint="eastAsia" w:ascii="宋体" w:hAnsi="宋体"/>
          <w:b/>
          <w:bCs/>
          <w:color w:val="auto"/>
          <w:sz w:val="24"/>
          <w:szCs w:val="24"/>
          <w:highlight w:val="none"/>
        </w:rPr>
        <w:t>．迟交的投标文件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21.1 </w:t>
      </w:r>
      <w:r>
        <w:rPr>
          <w:rFonts w:hint="eastAsia" w:ascii="宋体" w:hAnsi="宋体"/>
          <w:color w:val="auto"/>
          <w:sz w:val="24"/>
          <w:szCs w:val="24"/>
          <w:highlight w:val="none"/>
        </w:rPr>
        <w:t>本须知前附表第</w:t>
      </w:r>
      <w:r>
        <w:rPr>
          <w:rFonts w:ascii="宋体" w:hAnsi="宋体"/>
          <w:color w:val="auto"/>
          <w:sz w:val="24"/>
          <w:szCs w:val="24"/>
          <w:highlight w:val="none"/>
        </w:rPr>
        <w:t>1</w:t>
      </w:r>
      <w:r>
        <w:rPr>
          <w:rFonts w:hint="eastAsia" w:ascii="宋体" w:hAnsi="宋体"/>
          <w:color w:val="auto"/>
          <w:sz w:val="24"/>
          <w:szCs w:val="24"/>
          <w:highlight w:val="none"/>
        </w:rPr>
        <w:t>7项规定的投标截止时间</w:t>
      </w:r>
      <w:r>
        <w:rPr>
          <w:rFonts w:hint="eastAsia" w:ascii="宋体" w:hAnsi="宋体"/>
          <w:bCs/>
          <w:color w:val="auto"/>
          <w:sz w:val="24"/>
          <w:szCs w:val="24"/>
          <w:highlight w:val="none"/>
        </w:rPr>
        <w:t>后送达的电子投标文件，</w:t>
      </w:r>
      <w:r>
        <w:rPr>
          <w:rFonts w:hint="eastAsia" w:ascii="宋体" w:hAnsi="宋体"/>
          <w:color w:val="auto"/>
          <w:sz w:val="24"/>
          <w:szCs w:val="24"/>
          <w:highlight w:val="none"/>
        </w:rPr>
        <w:t>交易平台将予以拒收。</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22</w:t>
      </w:r>
      <w:r>
        <w:rPr>
          <w:rFonts w:hint="eastAsia" w:ascii="宋体" w:hAnsi="宋体"/>
          <w:b/>
          <w:bCs/>
          <w:color w:val="auto"/>
          <w:sz w:val="24"/>
          <w:szCs w:val="24"/>
          <w:highlight w:val="none"/>
        </w:rPr>
        <w:t>．投标文件的修改与撤回</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在规定的投标截止时间前，投标人可以修改或撤回已递交的投标文件，但应以书面形式通知招标人。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22.2投标人修改或撤回已递交</w:t>
      </w:r>
      <w:r>
        <w:rPr>
          <w:rFonts w:hint="eastAsia" w:ascii="宋体" w:hAnsi="宋体"/>
          <w:color w:val="auto"/>
          <w:sz w:val="24"/>
          <w:szCs w:val="24"/>
          <w:highlight w:val="none"/>
        </w:rPr>
        <w:t>的</w:t>
      </w:r>
      <w:r>
        <w:rPr>
          <w:rFonts w:ascii="宋体" w:hAnsi="宋体"/>
          <w:color w:val="auto"/>
          <w:sz w:val="24"/>
          <w:szCs w:val="24"/>
          <w:highlight w:val="none"/>
        </w:rPr>
        <w:t>投标文件</w:t>
      </w:r>
      <w:r>
        <w:rPr>
          <w:rFonts w:hint="eastAsia" w:ascii="宋体" w:hAnsi="宋体"/>
          <w:color w:val="auto"/>
          <w:sz w:val="24"/>
          <w:szCs w:val="24"/>
          <w:highlight w:val="none"/>
        </w:rPr>
        <w:t>，需在交易平台发出修改或撤回</w:t>
      </w:r>
      <w:r>
        <w:rPr>
          <w:rFonts w:ascii="宋体" w:hAnsi="宋体"/>
          <w:color w:val="auto"/>
          <w:sz w:val="24"/>
          <w:szCs w:val="24"/>
          <w:highlight w:val="none"/>
        </w:rPr>
        <w:t>通知，</w:t>
      </w:r>
      <w:r>
        <w:rPr>
          <w:rFonts w:hint="eastAsia" w:ascii="宋体" w:hAnsi="宋体"/>
          <w:color w:val="auto"/>
          <w:sz w:val="24"/>
          <w:szCs w:val="24"/>
          <w:highlight w:val="none"/>
        </w:rPr>
        <w:t>并按</w:t>
      </w:r>
      <w:r>
        <w:rPr>
          <w:rFonts w:ascii="宋体" w:hAnsi="宋体"/>
          <w:color w:val="auto"/>
          <w:sz w:val="24"/>
          <w:szCs w:val="24"/>
          <w:highlight w:val="none"/>
        </w:rPr>
        <w:t>要求加盖电子印章。</w:t>
      </w:r>
      <w:r>
        <w:rPr>
          <w:rFonts w:ascii="宋体" w:hAnsi="宋体"/>
          <w:bCs/>
          <w:iCs/>
          <w:color w:val="auto"/>
          <w:sz w:val="24"/>
          <w:szCs w:val="24"/>
          <w:highlight w:val="none"/>
        </w:rPr>
        <w:t>电子招标投标交易平台收到通知后，</w:t>
      </w:r>
      <w:r>
        <w:rPr>
          <w:rFonts w:ascii="宋体" w:hAnsi="宋体"/>
          <w:color w:val="auto"/>
          <w:sz w:val="24"/>
          <w:szCs w:val="24"/>
          <w:highlight w:val="none"/>
        </w:rPr>
        <w:t>即时向投标人发出确认回执通知。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22.3修改后再次递交的，按19点的规定执行。</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4在投标截止时间之后，投标人不得补充、修改和更换投标文件。</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21" w:name="_Toc58838575"/>
      <w:bookmarkStart w:id="22" w:name="_Toc2272553"/>
      <w:bookmarkStart w:id="23" w:name="_Toc121470657"/>
      <w:r>
        <w:rPr>
          <w:rFonts w:hint="eastAsia" w:ascii="宋体" w:hAnsi="宋体" w:cs="宋体"/>
          <w:color w:val="auto"/>
          <w:kern w:val="0"/>
          <w:sz w:val="24"/>
          <w:szCs w:val="24"/>
          <w:highlight w:val="none"/>
        </w:rPr>
        <w:t>（五）开标、评标、定标及合同签定</w:t>
      </w:r>
      <w:bookmarkEnd w:id="21"/>
      <w:bookmarkEnd w:id="22"/>
      <w:bookmarkEnd w:id="23"/>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23</w:t>
      </w:r>
      <w:r>
        <w:rPr>
          <w:rFonts w:hint="eastAsia" w:ascii="宋体" w:hAnsi="宋体"/>
          <w:b/>
          <w:bCs/>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详见第二章开标、评标及定标办法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24</w:t>
      </w:r>
      <w:r>
        <w:rPr>
          <w:rFonts w:hint="eastAsia" w:ascii="宋体" w:hAnsi="宋体"/>
          <w:b/>
          <w:bCs/>
          <w:color w:val="auto"/>
          <w:sz w:val="24"/>
          <w:szCs w:val="24"/>
          <w:highlight w:val="none"/>
        </w:rPr>
        <w:t>．评标过程的保密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24.1 </w:t>
      </w:r>
      <w:r>
        <w:rPr>
          <w:rFonts w:hint="eastAsia" w:ascii="宋体" w:hAnsi="宋体"/>
          <w:color w:val="auto"/>
          <w:sz w:val="24"/>
          <w:szCs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24.2 </w:t>
      </w:r>
      <w:r>
        <w:rPr>
          <w:rFonts w:hint="eastAsia" w:ascii="宋体" w:hAnsi="宋体"/>
          <w:color w:val="auto"/>
          <w:sz w:val="24"/>
          <w:szCs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25</w:t>
      </w:r>
      <w:r>
        <w:rPr>
          <w:rFonts w:hint="eastAsia" w:ascii="宋体" w:hAnsi="宋体"/>
          <w:b/>
          <w:bCs/>
          <w:color w:val="auto"/>
          <w:sz w:val="24"/>
          <w:szCs w:val="24"/>
          <w:highlight w:val="none"/>
        </w:rPr>
        <w:t>．投标文件的澄清，计算错误的修正</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详见招标文件第二章开标、评标及定标办法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26</w:t>
      </w:r>
      <w:r>
        <w:rPr>
          <w:rFonts w:hint="eastAsia" w:ascii="宋体" w:hAnsi="宋体"/>
          <w:b/>
          <w:bCs/>
          <w:color w:val="auto"/>
          <w:sz w:val="24"/>
          <w:szCs w:val="24"/>
          <w:highlight w:val="none"/>
        </w:rPr>
        <w:t>．投标文件的评审、比较和否决</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详见招标文件第二章开标、评标及定标办法。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27</w:t>
      </w:r>
      <w:r>
        <w:rPr>
          <w:rFonts w:hint="eastAsia" w:ascii="宋体" w:hAnsi="宋体"/>
          <w:b/>
          <w:bCs/>
          <w:color w:val="auto"/>
          <w:sz w:val="24"/>
          <w:szCs w:val="24"/>
          <w:highlight w:val="none"/>
        </w:rPr>
        <w:t>．中标通知书</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27.1</w:t>
      </w:r>
      <w:r>
        <w:rPr>
          <w:rFonts w:hint="eastAsia" w:ascii="宋体" w:hAnsi="宋体"/>
          <w:color w:val="auto"/>
          <w:sz w:val="24"/>
          <w:szCs w:val="24"/>
          <w:highlight w:val="none"/>
        </w:rPr>
        <w:t>招标人将在交易平台、广东省招标投标监管网和中国招标投标公共服务平台公示中标候选人，公示期为三天。</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27.2</w:t>
      </w:r>
      <w:r>
        <w:rPr>
          <w:rFonts w:hint="eastAsia" w:ascii="宋体" w:hAnsi="宋体"/>
          <w:color w:val="auto"/>
          <w:sz w:val="24"/>
          <w:szCs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27.3</w:t>
      </w:r>
      <w:r>
        <w:rPr>
          <w:rFonts w:hint="eastAsia" w:ascii="宋体" w:hAnsi="宋体"/>
          <w:color w:val="auto"/>
          <w:sz w:val="24"/>
          <w:szCs w:val="24"/>
          <w:highlight w:val="none"/>
        </w:rPr>
        <w:t>中标人必须在收到中标通知书后</w:t>
      </w:r>
      <w:r>
        <w:rPr>
          <w:rFonts w:ascii="宋体" w:hAnsi="宋体"/>
          <w:color w:val="auto"/>
          <w:sz w:val="24"/>
          <w:szCs w:val="24"/>
          <w:highlight w:val="none"/>
        </w:rPr>
        <w:t>24</w:t>
      </w:r>
      <w:r>
        <w:rPr>
          <w:rFonts w:hint="eastAsia" w:ascii="宋体" w:hAnsi="宋体"/>
          <w:color w:val="auto"/>
          <w:sz w:val="24"/>
          <w:szCs w:val="24"/>
          <w:highlight w:val="none"/>
        </w:rPr>
        <w:t>小时之内以书面形式回复招标人，确认收到。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27.4在产生中标候选人后，招标人将中标候选人的投标文件商务部分文件的所有内容（包括报价清单、人员、业绩、奖项等资料）在交易平台和广东省招标投标监管网公开。</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28</w:t>
      </w:r>
      <w:r>
        <w:rPr>
          <w:rFonts w:hint="eastAsia" w:ascii="宋体" w:hAnsi="宋体"/>
          <w:b/>
          <w:bCs/>
          <w:color w:val="auto"/>
          <w:sz w:val="24"/>
          <w:szCs w:val="24"/>
          <w:highlight w:val="none"/>
        </w:rPr>
        <w:t>．合同协议书的签订</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28.1 </w:t>
      </w:r>
      <w:r>
        <w:rPr>
          <w:rFonts w:hint="eastAsia" w:ascii="宋体" w:hAnsi="宋体"/>
          <w:color w:val="auto"/>
          <w:sz w:val="24"/>
          <w:szCs w:val="24"/>
          <w:highlight w:val="none"/>
        </w:rPr>
        <w:t>招标人与中标人将于中标通知书发出之日起</w:t>
      </w:r>
      <w:r>
        <w:rPr>
          <w:rFonts w:ascii="宋体" w:hAnsi="宋体"/>
          <w:color w:val="auto"/>
          <w:sz w:val="24"/>
          <w:szCs w:val="24"/>
          <w:highlight w:val="none"/>
        </w:rPr>
        <w:t>30</w:t>
      </w:r>
      <w:r>
        <w:rPr>
          <w:rFonts w:hint="eastAsia" w:ascii="宋体" w:hAnsi="宋体"/>
          <w:color w:val="auto"/>
          <w:sz w:val="24"/>
          <w:szCs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28.2</w:t>
      </w:r>
      <w:r>
        <w:rPr>
          <w:rFonts w:hint="eastAsia" w:ascii="宋体" w:hAnsi="宋体"/>
          <w:color w:val="auto"/>
          <w:sz w:val="24"/>
          <w:szCs w:val="24"/>
          <w:highlight w:val="none"/>
        </w:rPr>
        <w:t>中标通知书发出之日起</w:t>
      </w:r>
      <w:r>
        <w:rPr>
          <w:rFonts w:ascii="宋体" w:hAnsi="宋体"/>
          <w:color w:val="auto"/>
          <w:sz w:val="24"/>
          <w:szCs w:val="24"/>
          <w:highlight w:val="none"/>
        </w:rPr>
        <w:t>30</w:t>
      </w:r>
      <w:r>
        <w:rPr>
          <w:rFonts w:hint="eastAsia" w:ascii="宋体" w:hAnsi="宋体"/>
          <w:color w:val="auto"/>
          <w:sz w:val="24"/>
          <w:szCs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28.3</w:t>
      </w:r>
      <w:r>
        <w:rPr>
          <w:rFonts w:hint="eastAsia" w:ascii="宋体" w:hAnsi="宋体"/>
          <w:color w:val="auto"/>
          <w:sz w:val="24"/>
          <w:szCs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28.4</w:t>
      </w:r>
      <w:r>
        <w:rPr>
          <w:rFonts w:hint="eastAsia" w:ascii="宋体" w:hAnsi="宋体"/>
          <w:color w:val="auto"/>
          <w:sz w:val="24"/>
          <w:szCs w:val="24"/>
          <w:highlight w:val="none"/>
        </w:rPr>
        <w:t>招标人支付工程款时，</w:t>
      </w:r>
      <w:r>
        <w:rPr>
          <w:rFonts w:hint="eastAsia" w:ascii="宋体" w:hAnsi="宋体"/>
          <w:color w:val="auto"/>
          <w:sz w:val="24"/>
          <w:highlight w:val="none"/>
        </w:rPr>
        <w:t>中标人应按规定开具发票</w:t>
      </w:r>
      <w:r>
        <w:rPr>
          <w:rFonts w:hint="eastAsia" w:ascii="宋体" w:hAnsi="宋体"/>
          <w:color w:val="auto"/>
          <w:sz w:val="24"/>
          <w:szCs w:val="24"/>
          <w:highlight w:val="none"/>
        </w:rPr>
        <w:t>。</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29</w:t>
      </w:r>
      <w:r>
        <w:rPr>
          <w:rFonts w:hint="eastAsia" w:ascii="宋体" w:hAnsi="宋体"/>
          <w:b/>
          <w:bCs/>
          <w:color w:val="auto"/>
          <w:sz w:val="24"/>
          <w:szCs w:val="24"/>
          <w:highlight w:val="none"/>
        </w:rPr>
        <w:t>．履约担保</w:t>
      </w:r>
    </w:p>
    <w:p>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29.1</w:t>
      </w:r>
      <w:r>
        <w:rPr>
          <w:rFonts w:hint="eastAsia" w:ascii="宋体" w:hAnsi="宋体"/>
          <w:color w:val="auto"/>
          <w:sz w:val="24"/>
          <w:szCs w:val="24"/>
          <w:highlight w:val="none"/>
        </w:rPr>
        <w:t>在收到中标通知书后的15日内，中标人应按本须知前附表第20项的规定向招标人提交履约担保。</w:t>
      </w:r>
    </w:p>
    <w:p>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29.2</w:t>
      </w:r>
      <w:r>
        <w:rPr>
          <w:rFonts w:hint="eastAsia" w:ascii="宋体" w:hAnsi="宋体"/>
          <w:color w:val="auto"/>
          <w:sz w:val="24"/>
          <w:szCs w:val="24"/>
          <w:highlight w:val="none"/>
        </w:rPr>
        <w:t>中标通知书发出之日起</w:t>
      </w:r>
      <w:r>
        <w:rPr>
          <w:rFonts w:ascii="宋体" w:hAnsi="宋体"/>
          <w:color w:val="auto"/>
          <w:sz w:val="24"/>
          <w:szCs w:val="24"/>
          <w:highlight w:val="none"/>
        </w:rPr>
        <w:t>15</w:t>
      </w:r>
      <w:r>
        <w:rPr>
          <w:rFonts w:hint="eastAsia" w:ascii="宋体" w:hAnsi="宋体"/>
          <w:color w:val="auto"/>
          <w:sz w:val="24"/>
          <w:szCs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30</w:t>
      </w:r>
      <w:r>
        <w:rPr>
          <w:rFonts w:hint="eastAsia" w:ascii="宋体" w:hAnsi="宋体"/>
          <w:b/>
          <w:bCs/>
          <w:color w:val="auto"/>
          <w:sz w:val="24"/>
          <w:szCs w:val="24"/>
          <w:highlight w:val="none"/>
        </w:rPr>
        <w:t>．合同生效</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30.1</w:t>
      </w:r>
      <w:r>
        <w:rPr>
          <w:rFonts w:hint="eastAsia" w:ascii="宋体" w:hAnsi="宋体"/>
          <w:color w:val="auto"/>
          <w:sz w:val="24"/>
          <w:szCs w:val="24"/>
          <w:highlight w:val="none"/>
        </w:rPr>
        <w:t>在合同双方全权代表在合同协议书上签字，并分别加盖双方单位的公章后，合同正式生效。</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31</w:t>
      </w:r>
      <w:r>
        <w:rPr>
          <w:rFonts w:hint="eastAsia" w:ascii="宋体" w:hAnsi="宋体"/>
          <w:b/>
          <w:bCs/>
          <w:color w:val="auto"/>
          <w:sz w:val="24"/>
          <w:szCs w:val="24"/>
          <w:highlight w:val="none"/>
        </w:rPr>
        <w:t>．其它费用</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32</w:t>
      </w:r>
      <w:r>
        <w:rPr>
          <w:rFonts w:hint="eastAsia" w:ascii="宋体" w:hAnsi="宋体"/>
          <w:b/>
          <w:bCs/>
          <w:color w:val="auto"/>
          <w:sz w:val="24"/>
          <w:szCs w:val="24"/>
          <w:highlight w:val="none"/>
        </w:rPr>
        <w:t>．腐败与欺诈行为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在招标和合同实施期间，招标人要求投标人和承包人遵守最高的道德标准。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对本条款的规定，特定义如下词汇：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）、“腐败行为”是指在招标或合同执行期间，通过提供、给予、接受或索要任何有价值的东西，从而影响招标人有关人员工作的行为；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如果投标人被认定在本招标的竞争中有腐败或欺诈行为，则会被取消投标资格。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4"/>
        <w:rPr>
          <w:color w:val="auto"/>
          <w:highlight w:val="none"/>
        </w:rPr>
      </w:pPr>
      <w:r>
        <w:rPr>
          <w:rFonts w:hint="eastAsia"/>
          <w:color w:val="auto"/>
          <w:sz w:val="24"/>
          <w:highlight w:val="none"/>
        </w:rPr>
        <w:br w:type="page"/>
      </w:r>
      <w:bookmarkStart w:id="24" w:name="_Toc2272554"/>
      <w:bookmarkStart w:id="25" w:name="_Toc121470658"/>
      <w:r>
        <w:rPr>
          <w:rFonts w:hint="eastAsia"/>
          <w:color w:val="auto"/>
          <w:highlight w:val="none"/>
        </w:rPr>
        <w:t>第二章开标、评标及定标办法</w:t>
      </w:r>
      <w:bookmarkEnd w:id="24"/>
      <w:bookmarkEnd w:id="25"/>
    </w:p>
    <w:p>
      <w:pPr>
        <w:pStyle w:val="6"/>
        <w:rPr>
          <w:color w:val="auto"/>
          <w:highlight w:val="none"/>
        </w:rPr>
      </w:pPr>
      <w:bookmarkStart w:id="26" w:name="_Toc121470659"/>
      <w:bookmarkStart w:id="27" w:name="_Toc2272555"/>
      <w:r>
        <w:rPr>
          <w:rFonts w:hint="eastAsia"/>
          <w:color w:val="auto"/>
          <w:sz w:val="28"/>
          <w:szCs w:val="28"/>
          <w:highlight w:val="none"/>
        </w:rPr>
        <w:t>一、</w:t>
      </w:r>
      <w:r>
        <w:rPr>
          <w:rFonts w:hint="eastAsia"/>
          <w:color w:val="auto"/>
          <w:highlight w:val="none"/>
        </w:rPr>
        <w:t>开标、评标及定标办法修改表</w:t>
      </w:r>
      <w:bookmarkEnd w:id="26"/>
    </w:p>
    <w:p>
      <w:pPr>
        <w:pStyle w:val="2"/>
        <w:pBdr>
          <w:bottom w:val="single" w:color="auto" w:sz="6" w:space="1"/>
        </w:pBdr>
        <w:spacing w:after="0"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Fonts w:hint="eastAsia" w:ascii="宋体" w:hAnsi="宋体" w:eastAsia="宋体" w:cs="宋体"/>
          <w:b/>
          <w:color w:val="auto"/>
          <w:szCs w:val="21"/>
          <w:highlight w:val="none"/>
          <w:u w:val="single"/>
        </w:rPr>
        <w:t>网址：http://zfcj.gz.gov.cn/</w:t>
      </w:r>
      <w:r>
        <w:rPr>
          <w:rStyle w:val="55"/>
          <w:rFonts w:hint="eastAsia" w:ascii="宋体" w:hAnsi="宋体" w:eastAsia="宋体" w:cs="宋体"/>
          <w:b/>
          <w:color w:val="auto"/>
          <w:szCs w:val="21"/>
          <w:highlight w:val="none"/>
        </w:rPr>
        <w:t>）下载GZZB2018-3</w:t>
      </w:r>
      <w:r>
        <w:rPr>
          <w:rStyle w:val="55"/>
          <w:rFonts w:hint="eastAsia" w:ascii="宋体" w:hAnsi="宋体" w:eastAsia="宋体" w:cs="宋体"/>
          <w:b/>
          <w:color w:val="auto"/>
          <w:szCs w:val="21"/>
          <w:highlight w:val="none"/>
        </w:rPr>
        <w:fldChar w:fldCharType="end"/>
      </w:r>
      <w:r>
        <w:rPr>
          <w:rFonts w:hint="eastAsia" w:ascii="宋体" w:hAnsi="宋体" w:eastAsia="宋体" w:cs="宋体"/>
          <w:b/>
          <w:color w:val="auto"/>
          <w:szCs w:val="21"/>
          <w:highlight w:val="none"/>
        </w:rPr>
        <w:t>范本查阅。</w:t>
      </w:r>
    </w:p>
    <w:bookmarkEnd w:id="27"/>
    <w:p>
      <w:pPr>
        <w:spacing w:line="360" w:lineRule="auto"/>
        <w:ind w:firstLine="424" w:firstLineChars="201"/>
        <w:rPr>
          <w:rFonts w:ascii="宋体" w:hAnsi="宋体" w:cs="宋体"/>
          <w:b/>
          <w:color w:val="auto"/>
          <w:szCs w:val="21"/>
          <w:highlight w:val="none"/>
        </w:rPr>
      </w:pPr>
      <w:bookmarkStart w:id="28" w:name="_Toc2272556"/>
      <w:r>
        <w:rPr>
          <w:rFonts w:hint="eastAsia" w:ascii="宋体" w:hAnsi="宋体" w:cs="宋体"/>
          <w:b/>
          <w:color w:val="auto"/>
          <w:szCs w:val="21"/>
          <w:highlight w:val="none"/>
        </w:rPr>
        <w:t>条款号：36.3                        修改类型：删除</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条款号：38.1                               修改类型：修改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pPr>
        <w:spacing w:line="360" w:lineRule="auto"/>
        <w:ind w:firstLine="424" w:firstLineChars="201"/>
        <w:rPr>
          <w:rFonts w:ascii="宋体" w:hAnsi="宋体" w:cs="宋体"/>
          <w:color w:val="auto"/>
          <w:sz w:val="24"/>
          <w:szCs w:val="24"/>
          <w:highlight w:val="none"/>
        </w:rPr>
      </w:pPr>
      <w:r>
        <w:rPr>
          <w:rFonts w:hint="eastAsia" w:ascii="宋体" w:hAnsi="宋体" w:cs="宋体"/>
          <w:b/>
          <w:color w:val="auto"/>
          <w:szCs w:val="21"/>
          <w:highlight w:val="none"/>
        </w:rPr>
        <w:t>条款号：39.3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cs="宋体"/>
          <w:bCs/>
          <w:color w:val="auto"/>
          <w:szCs w:val="21"/>
          <w:highlight w:val="none"/>
        </w:rPr>
        <w:t>排名第一的中标候选人放弃中标、</w:t>
      </w:r>
      <w:r>
        <w:rPr>
          <w:rFonts w:hint="eastAsia" w:ascii="宋体" w:hAnsi="宋体" w:cs="宋体"/>
          <w:bCs/>
          <w:color w:val="auto"/>
          <w:szCs w:val="21"/>
          <w:highlight w:val="none"/>
          <w:u w:val="single"/>
        </w:rPr>
        <w:t>或因不可抗力不能履行合同，或不按照招标文件要求提交履约担保，或经核查发现委派的项目负责人已在其他在建项目中任职的，或者被查实存在影响中标结果的违法行为等情形，不符合中标条件的，招标人可以确定排名第二的中标候选人为中标人。</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可选办法二（适合综合评分法一，技术标与经济标同时开启）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可选办法四（适合综合评分法二，技术标与经济标同时开启）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可选办法六（适合综合评分法三，技术标与经济标同时开启）     </w:t>
      </w:r>
      <w:r>
        <w:rPr>
          <w:rFonts w:hint="eastAsia" w:ascii="宋体" w:hAnsi="宋体" w:cs="宋体"/>
          <w:b/>
          <w:color w:val="auto"/>
          <w:szCs w:val="21"/>
          <w:highlight w:val="none"/>
        </w:rPr>
        <w:t>修改类型：修改</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可选办法七（适合综合评分法四，技术标与经济标同时开启）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可选办法七（适合综合评分法四，技术标与经济标同时开启）</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 w:val="20"/>
          <w:szCs w:val="20"/>
          <w:highlight w:val="none"/>
        </w:rPr>
        <w:t>可选办法八（适合经评审的最低投标价法，技术标与经济标同时开启）</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条款号：40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40．开标和评标程序：</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40.1投标人递交技术标、经济标投标文件；</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40.2技术标与经济标投标文件同时公开开标；</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40.3由评标委员会对所有已公开开标的投标人进行资格审查；</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40.4技术标投标文件有效性审查；</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40.5技术标详细审查评分；</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40.6计算第一阶段得分，并按照总分从高到低排列先后次序，编写第一阶段评审报告；</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40.7按投标须知前附表第25项规定，确定进入第二阶段评审的投标人；</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40.8将进入第二阶段评审的投标人进行排序；</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40.9按排序对经济标投标文件进行有效性审查（含投标报价算术校核），直至评出所有中标候选人；</w:t>
      </w:r>
    </w:p>
    <w:p>
      <w:pPr>
        <w:spacing w:line="360" w:lineRule="auto"/>
        <w:ind w:firstLine="422" w:firstLineChars="201"/>
        <w:rPr>
          <w:rFonts w:ascii="宋体" w:hAnsi="宋体" w:cs="宋体"/>
          <w:b/>
          <w:color w:val="auto"/>
          <w:szCs w:val="21"/>
          <w:highlight w:val="none"/>
        </w:rPr>
      </w:pPr>
      <w:r>
        <w:rPr>
          <w:rFonts w:hint="eastAsia" w:ascii="宋体" w:hAnsi="宋体" w:cs="宋体"/>
          <w:color w:val="auto"/>
          <w:szCs w:val="21"/>
          <w:highlight w:val="none"/>
        </w:rPr>
        <w:t>40.10评标委员会编写评标报告，向招标人推荐中标候选人名单。</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40．开标和评标程序：</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40.1投标人递交技术标、经济标投标文件；</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40.2技术标与经济标投标文件同时公开开标；</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40.3由评标委员会对所有已公开开标的投标人进行资格审查</w:t>
      </w:r>
      <w:r>
        <w:rPr>
          <w:rFonts w:hint="eastAsia" w:ascii="宋体" w:hAnsi="宋体" w:cs="宋体"/>
          <w:color w:val="auto"/>
          <w:szCs w:val="21"/>
          <w:highlight w:val="none"/>
          <w:u w:val="single"/>
        </w:rPr>
        <w:t>，并编写资格审查报告</w:t>
      </w:r>
      <w:r>
        <w:rPr>
          <w:rFonts w:hint="eastAsia" w:ascii="宋体" w:hAnsi="宋体" w:cs="宋体"/>
          <w:color w:val="auto"/>
          <w:szCs w:val="21"/>
          <w:highlight w:val="none"/>
        </w:rPr>
        <w:t>；</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40.4技术标投标文件有效性审查；</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40.5技术标详细审查评分；</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40.6计算第一阶段得分，并按照总分从高到低排列先后次序，编写第一阶段评审报告；</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40.7按投标须知前附表第25项规定，确定进入第二阶段评审的投标人；</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40.8将进入第二阶段评审的投标人进行排序；</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40.9按排序对经济标投标文件进行有效性审查（含投标报价算术校核），直至评出所有中标候选人；</w:t>
      </w:r>
    </w:p>
    <w:p>
      <w:pPr>
        <w:pBdr>
          <w:bottom w:val="single" w:color="auto" w:sz="6" w:space="1"/>
        </w:pBdr>
        <w:spacing w:line="360" w:lineRule="auto"/>
        <w:ind w:firstLine="422" w:firstLineChars="201"/>
        <w:rPr>
          <w:rFonts w:ascii="宋体" w:hAnsi="宋体"/>
          <w:color w:val="auto"/>
          <w:szCs w:val="21"/>
          <w:highlight w:val="none"/>
          <w:u w:val="single"/>
        </w:rPr>
      </w:pPr>
      <w:r>
        <w:rPr>
          <w:rFonts w:hint="eastAsia" w:ascii="宋体" w:hAnsi="宋体" w:cs="宋体"/>
          <w:color w:val="auto"/>
          <w:szCs w:val="21"/>
          <w:highlight w:val="none"/>
        </w:rPr>
        <w:t>40.10评标委员会编写评标报告，向招标人推荐中标候选人名单。</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41.2.1投标截止期前，各投标人递交投标文件（包括技术标投标文件、经济标投标文件）至交易平台。有关投标文件提交的事项详见第一章投标须知。</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w:t>
      </w:r>
      <w:r>
        <w:rPr>
          <w:rFonts w:hint="eastAsia" w:ascii="宋体" w:hAnsi="宋体" w:cs="宋体"/>
          <w:color w:val="auto"/>
          <w:szCs w:val="21"/>
          <w:highlight w:val="none"/>
          <w:u w:val="single"/>
        </w:rPr>
        <w:t>技术标投标文件（含资格审查文件）</w:t>
      </w:r>
      <w:r>
        <w:rPr>
          <w:rFonts w:hint="eastAsia" w:ascii="宋体" w:hAnsi="宋体" w:cs="宋体"/>
          <w:color w:val="auto"/>
          <w:szCs w:val="21"/>
          <w:highlight w:val="none"/>
        </w:rPr>
        <w:t>、经济标投标文件）至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条款号：41.</w:t>
      </w:r>
      <w:r>
        <w:rPr>
          <w:rFonts w:ascii="宋体" w:hAnsi="宋体" w:cs="宋体"/>
          <w:b/>
          <w:color w:val="auto"/>
          <w:szCs w:val="21"/>
          <w:highlight w:val="none"/>
        </w:rPr>
        <w:t xml:space="preserve">4 </w:t>
      </w:r>
      <w:r>
        <w:rPr>
          <w:rFonts w:hint="eastAsia" w:ascii="宋体" w:hAnsi="宋体" w:cs="宋体"/>
          <w:b/>
          <w:color w:val="auto"/>
          <w:szCs w:val="21"/>
          <w:highlight w:val="none"/>
        </w:rPr>
        <w:t>修改类型：修改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41.4招标人对开标过程进行记录，并存档备查，投标人在开标记录上签字。</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w:t>
      </w:r>
      <w:r>
        <w:rPr>
          <w:rFonts w:ascii="宋体" w:hAnsi="宋体" w:cs="宋体"/>
          <w:color w:val="auto"/>
          <w:szCs w:val="21"/>
          <w:highlight w:val="none"/>
        </w:rPr>
        <w:t>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参加开标会的</w:t>
      </w:r>
      <w:r>
        <w:rPr>
          <w:rFonts w:hint="eastAsia" w:ascii="宋体" w:hAnsi="宋体" w:cs="宋体"/>
          <w:color w:val="auto"/>
          <w:szCs w:val="21"/>
          <w:highlight w:val="none"/>
        </w:rPr>
        <w:t>投标人在开标记录上签字。</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条款号：42.</w:t>
      </w:r>
      <w:r>
        <w:rPr>
          <w:rFonts w:ascii="宋体" w:hAnsi="宋体" w:cs="宋体"/>
          <w:b/>
          <w:color w:val="auto"/>
          <w:szCs w:val="21"/>
          <w:highlight w:val="none"/>
        </w:rPr>
        <w:t>1</w:t>
      </w:r>
      <w:r>
        <w:rPr>
          <w:rFonts w:hint="eastAsia" w:ascii="宋体" w:hAnsi="宋体" w:cs="宋体"/>
          <w:b/>
          <w:color w:val="auto"/>
          <w:szCs w:val="21"/>
          <w:highlight w:val="none"/>
        </w:rPr>
        <w:t>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w:t>
      </w:r>
      <w:r>
        <w:rPr>
          <w:rFonts w:ascii="宋体" w:hAnsi="宋体" w:cs="宋体"/>
          <w:color w:val="auto"/>
          <w:szCs w:val="21"/>
          <w:highlight w:val="none"/>
        </w:rPr>
        <w:t>1</w:t>
      </w:r>
      <w:r>
        <w:rPr>
          <w:rFonts w:hint="eastAsia" w:ascii="宋体" w:hAnsi="宋体" w:cs="宋体"/>
          <w:color w:val="auto"/>
          <w:szCs w:val="21"/>
          <w:highlight w:val="none"/>
        </w:rPr>
        <w:t>评标委员会的组成：方式。</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w:t>
      </w:r>
      <w:r>
        <w:rPr>
          <w:rFonts w:ascii="宋体" w:hAnsi="宋体" w:cs="宋体"/>
          <w:color w:val="auto"/>
          <w:szCs w:val="21"/>
          <w:highlight w:val="none"/>
        </w:rPr>
        <w:t>1</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一：评标委员会为综合评标委员会，负责资格审查及评标工作。</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42.3.2</w:t>
      </w:r>
      <w:r>
        <w:rPr>
          <w:rFonts w:hint="eastAsia" w:ascii="宋体" w:hAnsi="宋体" w:cs="宋体"/>
          <w:b/>
          <w:color w:val="auto"/>
          <w:szCs w:val="21"/>
          <w:highlight w:val="none"/>
        </w:rPr>
        <w:t>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42.3.2详细审查评分：评标委员会按照本办法附表《详细审查评分表》对通过技术标有效性审查的投标文件进行详细审查，评出得分。</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42.3.2</w:t>
      </w:r>
      <w:r>
        <w:rPr>
          <w:rFonts w:hint="eastAsia" w:ascii="宋体" w:hAnsi="宋体" w:cs="宋体"/>
          <w:color w:val="auto"/>
          <w:szCs w:val="21"/>
          <w:highlight w:val="none"/>
          <w:u w:val="single"/>
        </w:rPr>
        <w:t>技术标</w:t>
      </w:r>
      <w:r>
        <w:rPr>
          <w:rFonts w:hint="eastAsia" w:ascii="宋体" w:hAnsi="宋体" w:cs="宋体"/>
          <w:color w:val="auto"/>
          <w:szCs w:val="21"/>
          <w:highlight w:val="none"/>
        </w:rPr>
        <w:t>详细审查评分：评标委员会按照本办法附表</w:t>
      </w:r>
      <w:r>
        <w:rPr>
          <w:rFonts w:hint="eastAsia" w:ascii="宋体" w:hAnsi="宋体" w:cs="宋体"/>
          <w:color w:val="auto"/>
          <w:szCs w:val="21"/>
          <w:highlight w:val="none"/>
          <w:u w:val="single"/>
        </w:rPr>
        <w:t>四</w:t>
      </w:r>
      <w:r>
        <w:rPr>
          <w:rFonts w:hint="eastAsia" w:ascii="宋体" w:hAnsi="宋体" w:cs="宋体"/>
          <w:color w:val="auto"/>
          <w:szCs w:val="21"/>
          <w:highlight w:val="none"/>
        </w:rPr>
        <w:t>《</w:t>
      </w:r>
      <w:r>
        <w:rPr>
          <w:rFonts w:hint="eastAsia" w:ascii="宋体" w:hAnsi="宋体" w:cs="宋体"/>
          <w:color w:val="auto"/>
          <w:szCs w:val="21"/>
          <w:highlight w:val="none"/>
          <w:u w:val="single"/>
        </w:rPr>
        <w:t>技术标</w:t>
      </w:r>
      <w:r>
        <w:rPr>
          <w:rFonts w:hint="eastAsia" w:ascii="宋体" w:hAnsi="宋体" w:cs="宋体"/>
          <w:color w:val="auto"/>
          <w:szCs w:val="21"/>
          <w:highlight w:val="none"/>
        </w:rPr>
        <w:t>详细审查评分表》对通过技术标有效性审查的投标文件进行详细审查，评出</w:t>
      </w:r>
      <w:r>
        <w:rPr>
          <w:rFonts w:hint="eastAsia" w:ascii="宋体" w:hAnsi="宋体" w:cs="宋体"/>
          <w:color w:val="auto"/>
          <w:szCs w:val="21"/>
          <w:highlight w:val="none"/>
          <w:u w:val="single"/>
        </w:rPr>
        <w:t>技术标</w:t>
      </w:r>
      <w:r>
        <w:rPr>
          <w:rFonts w:hint="eastAsia" w:ascii="宋体" w:hAnsi="宋体" w:cs="宋体"/>
          <w:color w:val="auto"/>
          <w:szCs w:val="21"/>
          <w:highlight w:val="none"/>
        </w:rPr>
        <w:t>得分</w:t>
      </w:r>
      <w:r>
        <w:rPr>
          <w:rFonts w:hint="eastAsia" w:ascii="宋体" w:hAnsi="宋体" w:cs="宋体"/>
          <w:color w:val="auto"/>
          <w:szCs w:val="21"/>
          <w:highlight w:val="none"/>
          <w:u w:val="single"/>
        </w:rPr>
        <w:t>（即技术分）</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条款号：42.</w:t>
      </w:r>
      <w:r>
        <w:rPr>
          <w:rFonts w:ascii="宋体" w:hAnsi="宋体" w:cs="宋体"/>
          <w:b/>
          <w:color w:val="auto"/>
          <w:szCs w:val="21"/>
          <w:highlight w:val="none"/>
        </w:rPr>
        <w:t>3.4</w:t>
      </w:r>
      <w:r>
        <w:rPr>
          <w:rFonts w:hint="eastAsia" w:ascii="宋体" w:hAnsi="宋体" w:cs="宋体"/>
          <w:b/>
          <w:color w:val="auto"/>
          <w:szCs w:val="21"/>
          <w:highlight w:val="none"/>
        </w:rPr>
        <w:t>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42.3.4评标委员会按照“第一阶段得分=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42.3.4评标委员会按照“第一阶段得分=</w:t>
      </w:r>
      <w:r>
        <w:rPr>
          <w:rFonts w:hint="eastAsia" w:ascii="宋体" w:hAnsi="宋体"/>
          <w:b/>
          <w:color w:val="auto"/>
          <w:szCs w:val="21"/>
          <w:highlight w:val="none"/>
          <w:u w:val="single"/>
        </w:rPr>
        <w:t>技术分（满分为100分）×权重（100%）</w:t>
      </w:r>
      <w:r>
        <w:rPr>
          <w:rFonts w:hint="eastAsia" w:ascii="宋体" w:hAnsi="宋体"/>
          <w:color w:val="auto"/>
          <w:szCs w:val="21"/>
          <w:highlight w:val="none"/>
        </w:rPr>
        <w:t>的公式及投标须知前附表第27项的规定，计算各投标人第一阶段得分(按四舍五入的原则保留两位小数)，并按照得分从高到低排列先后次序，若投标人得分相同的，</w:t>
      </w:r>
      <w:r>
        <w:rPr>
          <w:rFonts w:hint="eastAsia" w:ascii="宋体" w:hAnsi="宋体"/>
          <w:color w:val="auto"/>
          <w:szCs w:val="21"/>
          <w:highlight w:val="none"/>
          <w:u w:val="single"/>
        </w:rPr>
        <w:t>则以投标总报价较低的排前；如仍存在相同情况，则对具有相同情况的投标人，由评标委员会采用记名投票方式，确定投标人第一阶段名次的排序。编写第一阶段评审报告。</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42.4.2</w:t>
      </w:r>
      <w:r>
        <w:rPr>
          <w:rFonts w:hint="eastAsia" w:ascii="宋体" w:hAnsi="宋体" w:cs="宋体"/>
          <w:b/>
          <w:color w:val="auto"/>
          <w:szCs w:val="21"/>
          <w:highlight w:val="none"/>
        </w:rPr>
        <w:t>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42.4.2若进入第二阶段投标人中所有投标报价均大于等于最高投标限价*D%（D的取值范围为[94,100],由招标人自主确定）的（具体金额为：元），则本项目招标失败，由招标人依法重新招标。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42.4.2若进入第二阶段投标人中所有投标报价均大于等于最高投标限价*</w:t>
      </w:r>
      <w:r>
        <w:rPr>
          <w:rFonts w:ascii="宋体" w:hAnsi="宋体"/>
          <w:color w:val="auto"/>
          <w:szCs w:val="21"/>
          <w:highlight w:val="none"/>
          <w:u w:val="single"/>
        </w:rPr>
        <w:t>100</w:t>
      </w:r>
      <w:r>
        <w:rPr>
          <w:rFonts w:hint="eastAsia" w:ascii="宋体" w:hAnsi="宋体"/>
          <w:color w:val="auto"/>
          <w:szCs w:val="21"/>
          <w:highlight w:val="none"/>
        </w:rPr>
        <w:t>%（D的取值范围为[94,100],由招标人自主确定）的（具体金额为：</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075</w:t>
      </w:r>
      <w:r>
        <w:rPr>
          <w:rFonts w:hint="eastAsia" w:ascii="宋体" w:hAnsi="宋体"/>
          <w:color w:val="auto"/>
          <w:szCs w:val="21"/>
          <w:highlight w:val="none"/>
        </w:rPr>
        <w:t>,</w:t>
      </w:r>
      <w:r>
        <w:rPr>
          <w:rFonts w:hint="eastAsia" w:ascii="宋体" w:hAnsi="宋体"/>
          <w:color w:val="auto"/>
          <w:szCs w:val="21"/>
          <w:highlight w:val="none"/>
          <w:lang w:val="en-US" w:eastAsia="zh-CN"/>
        </w:rPr>
        <w:t>766</w:t>
      </w:r>
      <w:r>
        <w:rPr>
          <w:rFonts w:hint="eastAsia" w:ascii="宋体" w:hAnsi="宋体"/>
          <w:color w:val="auto"/>
          <w:szCs w:val="21"/>
          <w:highlight w:val="none"/>
        </w:rPr>
        <w:t>,</w:t>
      </w:r>
      <w:r>
        <w:rPr>
          <w:rFonts w:hint="eastAsia" w:ascii="宋体" w:hAnsi="宋体"/>
          <w:color w:val="auto"/>
          <w:szCs w:val="21"/>
          <w:highlight w:val="none"/>
          <w:lang w:val="en-US" w:eastAsia="zh-CN"/>
        </w:rPr>
        <w:t>573.06</w:t>
      </w:r>
      <w:r>
        <w:rPr>
          <w:rFonts w:hint="eastAsia" w:ascii="宋体" w:hAnsi="宋体"/>
          <w:color w:val="auto"/>
          <w:szCs w:val="21"/>
          <w:highlight w:val="none"/>
        </w:rPr>
        <w:t>元），则本项目招标失败，由招标人依法重新招标。</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42.4.3.1</w:t>
      </w:r>
      <w:r>
        <w:rPr>
          <w:rFonts w:hint="eastAsia" w:ascii="宋体" w:hAnsi="宋体" w:cs="宋体"/>
          <w:b/>
          <w:color w:val="auto"/>
          <w:szCs w:val="21"/>
          <w:highlight w:val="none"/>
        </w:rPr>
        <w:t>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42.4.3.1</w:t>
      </w:r>
      <w:r>
        <w:rPr>
          <w:rFonts w:hint="eastAsia" w:ascii="宋体" w:hAnsi="宋体" w:cs="宋体"/>
          <w:color w:val="auto"/>
          <w:szCs w:val="21"/>
          <w:highlight w:val="none"/>
        </w:rPr>
        <w:t>按方法计算评标参考价：</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方法一：加权平均法</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方法二：区间抽取法</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42.4.3.1</w:t>
      </w:r>
      <w:r>
        <w:rPr>
          <w:rFonts w:hint="eastAsia" w:ascii="宋体" w:hAnsi="宋体" w:cs="宋体"/>
          <w:color w:val="auto"/>
          <w:szCs w:val="21"/>
          <w:highlight w:val="none"/>
        </w:rPr>
        <w:t>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计算评标参考价：</w:t>
      </w:r>
    </w:p>
    <w:p>
      <w:pPr>
        <w:spacing w:line="360" w:lineRule="auto"/>
        <w:ind w:firstLine="424" w:firstLineChars="201"/>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4" w:firstLineChars="201"/>
        <w:rPr>
          <w:rFonts w:ascii="宋体" w:hAnsi="宋体" w:cs="宋体"/>
          <w:color w:val="auto"/>
          <w:szCs w:val="21"/>
          <w:highlight w:val="none"/>
        </w:rPr>
      </w:pPr>
      <w:r>
        <w:rPr>
          <w:rFonts w:hint="eastAsia" w:ascii="宋体" w:hAnsi="宋体"/>
          <w:b/>
          <w:color w:val="auto"/>
          <w:szCs w:val="21"/>
          <w:highlight w:val="none"/>
          <w:u w:val="single"/>
        </w:rPr>
        <w:t>第一阶段得分</w:t>
      </w:r>
      <w:r>
        <w:rPr>
          <w:rFonts w:hint="eastAsia" w:ascii="宋体" w:hAnsi="宋体"/>
          <w:color w:val="auto"/>
          <w:szCs w:val="21"/>
          <w:highlight w:val="none"/>
          <w:u w:val="single"/>
        </w:rPr>
        <w:t>前N名（当通过技术标有效性审查的投标人家数大于等于3家且小于5家的，N取通过技术标有效性审查的全部家数；当通过技术标有效性审查的投标人家数大于或等于5家的，N=5）</w:t>
      </w:r>
      <w:r>
        <w:rPr>
          <w:rFonts w:hint="eastAsia" w:ascii="宋体" w:hAnsi="宋体" w:cs="宋体"/>
          <w:color w:val="auto"/>
          <w:szCs w:val="21"/>
          <w:highlight w:val="none"/>
        </w:rPr>
        <w:t>的经济报价加权平均，计算评标参考价。公式如下：</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widowControl/>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w:t>
      </w:r>
      <w:r>
        <w:rPr>
          <w:rFonts w:hint="eastAsia" w:ascii="宋体" w:hAnsi="宋体"/>
          <w:b/>
          <w:color w:val="auto"/>
          <w:szCs w:val="21"/>
          <w:highlight w:val="none"/>
          <w:u w:val="single"/>
        </w:rPr>
        <w:t>第一阶段得分</w:t>
      </w:r>
      <w:r>
        <w:rPr>
          <w:rFonts w:hint="eastAsia" w:ascii="宋体" w:hAnsi="宋体" w:cs="宋体"/>
          <w:color w:val="auto"/>
          <w:szCs w:val="21"/>
          <w:highlight w:val="none"/>
        </w:rPr>
        <w:t>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422" w:firstLineChars="201"/>
        <w:rPr>
          <w:rFonts w:ascii="宋体" w:hAnsi="宋体" w:cs="宋体"/>
          <w:color w:val="auto"/>
          <w:szCs w:val="21"/>
          <w:highlight w:val="none"/>
          <w:u w:val="single"/>
        </w:rPr>
      </w:pPr>
      <w:r>
        <w:rPr>
          <w:rFonts w:hint="eastAsia" w:ascii="宋体" w:hAnsi="宋体" w:cs="宋体"/>
          <w:color w:val="auto"/>
          <w:szCs w:val="21"/>
          <w:highlight w:val="none"/>
          <w:u w:val="single"/>
        </w:rPr>
        <w:t>若投标人得分相同的，则以投标总报价较低的排前；如仍存在相同情况，则对具有相同情况的投标人，由评标委员会采用记名投票方式，确定排序。</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kern w:val="0"/>
          <w:szCs w:val="21"/>
          <w:highlight w:val="none"/>
        </w:rPr>
        <w:t>42.4.3.2</w:t>
      </w:r>
      <w:r>
        <w:rPr>
          <w:rFonts w:hint="eastAsia" w:ascii="宋体" w:hAnsi="宋体" w:cs="宋体"/>
          <w:b/>
          <w:color w:val="auto"/>
          <w:szCs w:val="21"/>
          <w:highlight w:val="none"/>
        </w:rPr>
        <w:t>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kern w:val="0"/>
          <w:szCs w:val="21"/>
          <w:highlight w:val="none"/>
        </w:rPr>
        <w:t>42.4.3.2</w:t>
      </w:r>
      <w:r>
        <w:rPr>
          <w:rFonts w:hint="eastAsia" w:ascii="宋体" w:hAnsi="宋体" w:cs="宋体"/>
          <w:color w:val="auto"/>
          <w:kern w:val="0"/>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4" w:firstLineChars="201"/>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ascii="宋体" w:hAnsi="宋体" w:cs="宋体"/>
          <w:color w:val="auto"/>
          <w:kern w:val="0"/>
          <w:szCs w:val="21"/>
          <w:highlight w:val="none"/>
        </w:rPr>
        <w:t>42.4.3.2</w:t>
      </w:r>
      <w:r>
        <w:rPr>
          <w:rFonts w:hint="eastAsia" w:ascii="宋体" w:hAnsi="宋体" w:cs="宋体"/>
          <w:color w:val="auto"/>
          <w:kern w:val="0"/>
          <w:szCs w:val="21"/>
          <w:highlight w:val="none"/>
        </w:rPr>
        <w:t>当标价等于评标参考价时得100分，标价每高于评标参考价1%，扣</w:t>
      </w:r>
      <w:r>
        <w:rPr>
          <w:rFonts w:ascii="宋体" w:hAnsi="宋体" w:cs="宋体"/>
          <w:color w:val="auto"/>
          <w:kern w:val="0"/>
          <w:szCs w:val="21"/>
          <w:highlight w:val="none"/>
          <w:u w:val="single"/>
        </w:rPr>
        <w:t xml:space="preserve"> 0.5 </w:t>
      </w:r>
      <w:r>
        <w:rPr>
          <w:rFonts w:hint="eastAsia" w:ascii="宋体" w:hAnsi="宋体" w:cs="宋体"/>
          <w:color w:val="auto"/>
          <w:kern w:val="0"/>
          <w:szCs w:val="21"/>
          <w:highlight w:val="none"/>
        </w:rPr>
        <w:t>分，每低于评标参考价1%，扣</w:t>
      </w:r>
      <w:r>
        <w:rPr>
          <w:rFonts w:ascii="宋体" w:hAnsi="宋体" w:cs="宋体"/>
          <w:color w:val="auto"/>
          <w:kern w:val="0"/>
          <w:szCs w:val="21"/>
          <w:highlight w:val="none"/>
          <w:u w:val="single"/>
        </w:rPr>
        <w:t xml:space="preserve"> 0.3 </w:t>
      </w:r>
      <w:r>
        <w:rPr>
          <w:rFonts w:hint="eastAsia" w:ascii="宋体" w:hAnsi="宋体" w:cs="宋体"/>
          <w:color w:val="auto"/>
          <w:kern w:val="0"/>
          <w:szCs w:val="21"/>
          <w:highlight w:val="none"/>
        </w:rPr>
        <w:t>分，扣至0分为止，得出经济分，精确到小数点后两位。</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条款号：附表一《资格审查表》修改类型：修改</w:t>
      </w:r>
    </w:p>
    <w:p>
      <w:pP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详见本招标文件第二章附表一《资格审查表》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条款号：附表二《技术标有效性审查表》修改类型：修改</w:t>
      </w:r>
    </w:p>
    <w:p>
      <w:pPr>
        <w:pBdr>
          <w:bottom w:val="single" w:color="auto" w:sz="6" w:space="1"/>
        </w:pBd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详见本招标文件第二章附表二《技术标有效性审查表》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详见本招标文件第二章附表三《经济标有效性审查表》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条款号：附表四《技术标详细审查评分表》修改类型：修改</w:t>
      </w:r>
    </w:p>
    <w:p>
      <w:pP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详见本招标文件第二章</w:t>
      </w:r>
      <w:r>
        <w:rPr>
          <w:rFonts w:hint="eastAsia" w:ascii="宋体" w:hAnsi="宋体"/>
          <w:color w:val="auto"/>
          <w:szCs w:val="21"/>
          <w:highlight w:val="none"/>
          <w:u w:val="single"/>
        </w:rPr>
        <w:t>附表四《技术标详细审查评分表》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条款号：附表五（适用于区间抽取法）《经济标评分表》修改类型：删除</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ascii="宋体" w:hAnsi="宋体" w:cs="宋体"/>
          <w:b/>
          <w:bCs/>
          <w:color w:val="auto"/>
          <w:highlight w:val="none"/>
        </w:rPr>
      </w:pPr>
      <w:r>
        <w:rPr>
          <w:rFonts w:hint="eastAsia" w:ascii="宋体" w:hAnsi="宋体" w:cs="宋体"/>
          <w:b/>
          <w:color w:val="auto"/>
          <w:szCs w:val="21"/>
          <w:highlight w:val="none"/>
        </w:rPr>
        <w:t>（以下无正文）</w:t>
      </w:r>
      <w:r>
        <w:rPr>
          <w:rFonts w:ascii="宋体" w:hAnsi="宋体" w:cs="宋体"/>
          <w:b/>
          <w:bCs/>
          <w:color w:val="auto"/>
          <w:highlight w:val="none"/>
        </w:rPr>
        <w:br w:type="page"/>
      </w:r>
    </w:p>
    <w:bookmarkEnd w:id="28"/>
    <w:p>
      <w:pPr>
        <w:pStyle w:val="6"/>
        <w:rPr>
          <w:color w:val="auto"/>
          <w:highlight w:val="none"/>
        </w:rPr>
      </w:pPr>
      <w:bookmarkStart w:id="29" w:name="_Toc121470660"/>
      <w:r>
        <w:rPr>
          <w:rFonts w:hint="eastAsia"/>
          <w:color w:val="auto"/>
          <w:highlight w:val="none"/>
        </w:rPr>
        <w:t>二、开标、评标及定标办法</w:t>
      </w:r>
      <w:r>
        <w:rPr>
          <w:rFonts w:hint="eastAsia"/>
          <w:color w:val="auto"/>
          <w:szCs w:val="30"/>
          <w:highlight w:val="none"/>
        </w:rPr>
        <w:t>通用条款</w:t>
      </w:r>
      <w:bookmarkEnd w:id="29"/>
    </w:p>
    <w:p>
      <w:pPr>
        <w:widowControl/>
        <w:spacing w:before="100" w:beforeAutospacing="1" w:after="100" w:afterAutospacing="1" w:line="360" w:lineRule="auto"/>
        <w:ind w:firstLine="480" w:firstLineChars="200"/>
        <w:jc w:val="left"/>
        <w:outlineLvl w:val="2"/>
        <w:rPr>
          <w:rFonts w:ascii="宋体" w:hAnsi="宋体" w:cs="宋体"/>
          <w:color w:val="auto"/>
          <w:kern w:val="0"/>
          <w:sz w:val="24"/>
          <w:szCs w:val="24"/>
          <w:highlight w:val="none"/>
        </w:rPr>
      </w:pPr>
      <w:bookmarkStart w:id="30" w:name="_Toc58838579"/>
      <w:bookmarkStart w:id="31" w:name="_Toc121470661"/>
      <w:r>
        <w:rPr>
          <w:rFonts w:hint="eastAsia" w:ascii="宋体" w:hAnsi="宋体" w:cs="宋体"/>
          <w:color w:val="auto"/>
          <w:kern w:val="0"/>
          <w:sz w:val="24"/>
          <w:szCs w:val="24"/>
          <w:highlight w:val="none"/>
        </w:rPr>
        <w:t>（一）总则</w:t>
      </w:r>
      <w:bookmarkEnd w:id="30"/>
      <w:bookmarkEnd w:id="31"/>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36.5按下列程序进行开标：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36.5.2备用光盘的读取按投标须知前附表第36项的规定执行；</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36.5.4开标结束。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根据评标细则，对投标文件进行认真评审，完成评审报告；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widowControl/>
        <w:spacing w:before="100" w:beforeAutospacing="1" w:after="100" w:afterAutospacing="1" w:line="360" w:lineRule="auto"/>
        <w:ind w:firstLine="480" w:firstLineChars="200"/>
        <w:jc w:val="left"/>
        <w:outlineLvl w:val="2"/>
        <w:rPr>
          <w:rFonts w:ascii="宋体" w:hAnsi="宋体" w:cs="宋体"/>
          <w:color w:val="auto"/>
          <w:kern w:val="0"/>
          <w:sz w:val="24"/>
          <w:szCs w:val="24"/>
          <w:highlight w:val="none"/>
        </w:rPr>
      </w:pPr>
      <w:bookmarkStart w:id="32" w:name="_Toc58838580"/>
      <w:bookmarkStart w:id="33" w:name="_Toc121470662"/>
      <w:r>
        <w:rPr>
          <w:rFonts w:hint="eastAsia" w:ascii="宋体" w:hAnsi="宋体" w:cs="宋体"/>
          <w:color w:val="auto"/>
          <w:kern w:val="0"/>
          <w:sz w:val="24"/>
          <w:szCs w:val="24"/>
          <w:highlight w:val="none"/>
        </w:rPr>
        <w:t>（二）开标评标办法程序和细则</w:t>
      </w:r>
      <w:bookmarkEnd w:id="32"/>
      <w:bookmarkEnd w:id="33"/>
    </w:p>
    <w:p>
      <w:pPr>
        <w:pStyle w:val="97"/>
        <w:rPr>
          <w:rFonts w:ascii="宋体" w:hAnsi="宋体" w:eastAsia="宋体" w:cs="Times New Roman"/>
          <w:color w:val="auto"/>
          <w:szCs w:val="24"/>
          <w:highlight w:val="none"/>
        </w:rPr>
      </w:pPr>
      <w:bookmarkStart w:id="34" w:name="_Toc21525508"/>
      <w:bookmarkStart w:id="35" w:name="_Toc2272563"/>
      <w:r>
        <w:rPr>
          <w:rFonts w:hint="eastAsia" w:ascii="宋体" w:hAnsi="宋体" w:eastAsia="宋体" w:cs="Times New Roman"/>
          <w:color w:val="auto"/>
          <w:szCs w:val="24"/>
          <w:highlight w:val="none"/>
        </w:rPr>
        <w:t>注：以下七种评标办法所述企业诚信综合评价分数即投标截止当日广州市工程招标代理行业协会网站上公布的企业诚信综合评价60日诚信分。</w:t>
      </w:r>
    </w:p>
    <w:p>
      <w:pPr>
        <w:pStyle w:val="8"/>
        <w:spacing w:before="156" w:after="156"/>
        <w:ind w:firstLine="540" w:firstLineChars="200"/>
        <w:rPr>
          <w:color w:val="auto"/>
          <w:highlight w:val="none"/>
        </w:rPr>
      </w:pPr>
      <w:bookmarkStart w:id="36" w:name="_Toc121470663"/>
      <w:r>
        <w:rPr>
          <w:rFonts w:hint="eastAsia"/>
          <w:color w:val="auto"/>
          <w:highlight w:val="none"/>
        </w:rPr>
        <w:t>可选办法六（适合综合评分法三，技术标与经济标同时开启）</w:t>
      </w:r>
      <w:bookmarkEnd w:id="34"/>
      <w:bookmarkEnd w:id="35"/>
      <w:bookmarkEnd w:id="36"/>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40.1投标人递交技术标、经济标投标文件；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40.2技术标与经济标投标文件同时公开开标；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40.4技术标投标文件有效性审查；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40.5技术标详细审查评分；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40.6计算第一阶段得分，并按照总分从高到低排列先后次序，编写第一阶段评审报告；</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40.8将进入第二阶段评审的投标人进行排序；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40.10评标委员会编写评标报告，向招标人推荐中标候选人名单。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 开标细则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41.1开标由招标人主持；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41.2.1投标截止期前，各投标人递交投标文件（包括技术标投标文件、经济标投标文件）至交易平台。有关投标文件提交的事项详见第一章投标须知。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41.5 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p>
    <w:p>
      <w:pPr>
        <w:pStyle w:val="2"/>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2"/>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2"/>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2"/>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42.3.2详细审查评分：评标委员会按照本办法附表《详细审查评分表》对通过技术标有效性审查的投标文件进行详细审查，评出得分。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42.4.3.1按方法计算评标参考价：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42.4.3.3评标委员会按投标须知前附表第32项的规定确定排序。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s="宋体"/>
          <w:strike/>
          <w:color w:val="auto"/>
          <w:szCs w:val="21"/>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ind w:firstLine="480" w:firstLineChars="200"/>
        <w:rPr>
          <w:rFonts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rPr>
      </w:pPr>
    </w:p>
    <w:p>
      <w:pPr>
        <w:spacing w:line="360" w:lineRule="auto"/>
        <w:rPr>
          <w:rFonts w:ascii="宋体" w:hAnsi="宋体" w:cs="宋体"/>
          <w:color w:val="auto"/>
          <w:sz w:val="24"/>
          <w:szCs w:val="24"/>
          <w:highlight w:val="none"/>
        </w:rPr>
        <w:sectPr>
          <w:footerReference r:id="rId9" w:type="first"/>
          <w:footerReference r:id="rId7" w:type="default"/>
          <w:headerReference r:id="rId6" w:type="even"/>
          <w:footerReference r:id="rId8" w:type="even"/>
          <w:endnotePr>
            <w:numFmt w:val="decimal"/>
          </w:endnotePr>
          <w:pgSz w:w="11906" w:h="16838"/>
          <w:pgMar w:top="1134" w:right="1418" w:bottom="1247" w:left="1418" w:header="851" w:footer="907" w:gutter="0"/>
          <w:pgNumType w:start="1"/>
          <w:cols w:space="720" w:num="1"/>
          <w:titlePg/>
          <w:docGrid w:type="lines" w:linePitch="312" w:charSpace="0"/>
        </w:sectPr>
      </w:pPr>
    </w:p>
    <w:p>
      <w:pPr>
        <w:pStyle w:val="6"/>
        <w:jc w:val="left"/>
        <w:rPr>
          <w:color w:val="auto"/>
          <w:highlight w:val="none"/>
        </w:rPr>
      </w:pPr>
      <w:bookmarkStart w:id="37" w:name="_Toc121470664"/>
      <w:r>
        <w:rPr>
          <w:rFonts w:hint="eastAsia"/>
          <w:color w:val="auto"/>
          <w:highlight w:val="none"/>
        </w:rPr>
        <w:t>附表一</w:t>
      </w:r>
      <w:bookmarkEnd w:id="37"/>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48"/>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6831"/>
        <w:gridCol w:w="635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2</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营业执照在广州市住建行业信用管理平台内上传件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3</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资质证书及安全生产许可证在广州市住建行业信用管理平台内上传件；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4</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建造师注册证书在广州市住建行业信用管理平台内上传件。</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（注：打印建造师电子证书后，应在个人签名处手写本人签名再上传广州市住建行业信用平台，上传件未手写签名或与签名图像笔迹不一致的，该电子证书无效。）</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5</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项目负责人安全生产考核合格证（B类）或建筑施工企业项目负责人安全生产考核合格证在广州市住建行业信用管理平台内上传件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6</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bCs/>
                <w:color w:val="auto"/>
                <w:szCs w:val="21"/>
                <w:highlight w:val="none"/>
                <w:u w:val="single"/>
              </w:rPr>
              <w:t>拟委派技术负责人的职称证书清晰扫描件或在</w:t>
            </w:r>
            <w:r>
              <w:rPr>
                <w:rFonts w:hint="eastAsia" w:ascii="宋体" w:hAnsi="宋体" w:cs="宋体"/>
                <w:color w:val="auto"/>
                <w:szCs w:val="21"/>
                <w:highlight w:val="none"/>
                <w:u w:val="single"/>
              </w:rPr>
              <w:t>广州市住建行业信用管理平台</w:t>
            </w:r>
            <w:r>
              <w:rPr>
                <w:rFonts w:hint="eastAsia" w:ascii="宋体" w:hAnsi="宋体" w:cs="宋体"/>
                <w:bCs/>
                <w:color w:val="auto"/>
                <w:szCs w:val="21"/>
                <w:highlight w:val="none"/>
                <w:u w:val="single"/>
              </w:rPr>
              <w:t>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7</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专职安全员须具有安全生产考核合格证（C类）或建筑施工企业专职安全生产管理人员安全生产考核合格证</w:t>
            </w:r>
            <w:r>
              <w:rPr>
                <w:rFonts w:hint="eastAsia" w:ascii="宋体" w:hAnsi="宋体" w:cs="宋体"/>
                <w:color w:val="auto"/>
                <w:szCs w:val="21"/>
                <w:highlight w:val="none"/>
                <w:u w:val="single"/>
              </w:rPr>
              <w:t>（C3类）</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专职安全员的安全生产考核合格证（C类）或建筑施工企业专职安全生产管理人员安全生产考核合格证</w:t>
            </w:r>
            <w:r>
              <w:rPr>
                <w:rFonts w:hint="eastAsia" w:ascii="宋体" w:hAnsi="宋体" w:cs="宋体"/>
                <w:color w:val="auto"/>
                <w:szCs w:val="21"/>
                <w:highlight w:val="none"/>
                <w:u w:val="single"/>
              </w:rPr>
              <w:t>（C3类）</w:t>
            </w:r>
            <w:r>
              <w:rPr>
                <w:rFonts w:hint="eastAsia" w:ascii="宋体" w:hAnsi="宋体" w:cs="宋体"/>
                <w:color w:val="auto"/>
                <w:szCs w:val="21"/>
                <w:highlight w:val="none"/>
              </w:rPr>
              <w:t>在广州市住建行业信用管理平台内上传件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8</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投标人完成过的类似工程业绩符合公告要求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业绩在广州市住建行业信用管理平台内的相关上传件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ascii="宋体" w:hAnsi="宋体" w:cs="宋体"/>
                <w:color w:val="auto"/>
                <w:szCs w:val="21"/>
                <w:highlight w:val="none"/>
              </w:rPr>
              <w:t>9</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投标人提供的投标人声明符合公告要求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ascii="宋体" w:hAnsi="宋体" w:cs="宋体"/>
                <w:color w:val="auto"/>
                <w:szCs w:val="21"/>
                <w:highlight w:val="none"/>
              </w:rPr>
              <w:t>10</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Style w:val="129"/>
                <w:rFonts w:hint="default" w:cs="宋体"/>
                <w:color w:val="auto"/>
                <w:sz w:val="21"/>
                <w:szCs w:val="21"/>
                <w:highlight w:val="none"/>
                <w:u w:val="none"/>
              </w:rPr>
              <w:t>关于联合体投标</w:t>
            </w:r>
            <w:r>
              <w:rPr>
                <w:rStyle w:val="129"/>
                <w:rFonts w:hint="default" w:ascii="宋体" w:hAnsi="宋体" w:eastAsia="宋体" w:cs="宋体"/>
                <w:color w:val="auto"/>
                <w:sz w:val="21"/>
                <w:szCs w:val="21"/>
                <w:highlight w:val="none"/>
                <w:u w:val="none"/>
              </w:rPr>
              <w:t>：</w:t>
            </w:r>
            <w:r>
              <w:rPr>
                <w:rStyle w:val="129"/>
                <w:rFonts w:hint="eastAsia" w:ascii="宋体" w:hAnsi="宋体" w:eastAsia="宋体" w:cs="宋体"/>
                <w:color w:val="auto"/>
                <w:sz w:val="21"/>
                <w:szCs w:val="21"/>
                <w:highlight w:val="none"/>
                <w:u w:val="none"/>
                <w:lang w:val="en-US" w:eastAsia="zh-CN"/>
              </w:rPr>
              <w:t>本项目不接受联合体投标</w:t>
            </w:r>
          </w:p>
        </w:tc>
        <w:tc>
          <w:tcPr>
            <w:tcW w:w="63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trike/>
                <w:color w:val="auto"/>
                <w:szCs w:val="21"/>
                <w:highlight w:val="none"/>
              </w:rPr>
            </w:pPr>
            <w:r>
              <w:rPr>
                <w:rFonts w:hint="eastAsia" w:ascii="宋体" w:hAnsi="宋体" w:cs="宋体"/>
                <w:color w:val="auto"/>
                <w:szCs w:val="21"/>
                <w:highlight w:val="none"/>
              </w:rPr>
              <w:t>投标人无需提供资料</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3</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投标人未出现以下情形：与其它投标人的单位负责人为同一人或者存在控股、管理关系的（按投标人提供的《投标人声明》第八条内容进行评审）。</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14</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未被列入拖欠农民工工资失信联合惩戒对象名单</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bl>
    <w:p>
      <w:pPr>
        <w:ind w:firstLine="470" w:firstLineChars="224"/>
        <w:rPr>
          <w:rFonts w:ascii="宋体" w:hAnsi="宋体" w:cs="宋体"/>
          <w:color w:val="auto"/>
          <w:szCs w:val="21"/>
          <w:highlight w:val="none"/>
        </w:rPr>
      </w:pPr>
      <w:r>
        <w:rPr>
          <w:rFonts w:hint="eastAsia" w:ascii="宋体" w:hAnsi="宋体" w:cs="宋体"/>
          <w:color w:val="auto"/>
          <w:szCs w:val="21"/>
          <w:highlight w:val="none"/>
        </w:rPr>
        <w:t>备注：</w:t>
      </w:r>
    </w:p>
    <w:p>
      <w:pPr>
        <w:ind w:firstLine="470" w:firstLineChars="224"/>
        <w:rPr>
          <w:rFonts w:ascii="宋体" w:hAnsi="宋体" w:cs="宋体"/>
          <w:color w:val="auto"/>
          <w:szCs w:val="21"/>
          <w:highlight w:val="none"/>
        </w:rPr>
      </w:pPr>
      <w:r>
        <w:rPr>
          <w:rFonts w:hint="eastAsia" w:ascii="宋体" w:hAnsi="宋体" w:cs="宋体"/>
          <w:color w:val="auto"/>
          <w:szCs w:val="21"/>
          <w:highlight w:val="none"/>
        </w:rPr>
        <w:t>1、每一项目符合的打“○”，不符合的打“×”；</w:t>
      </w:r>
    </w:p>
    <w:p>
      <w:pPr>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pPr>
        <w:ind w:firstLine="470" w:firstLineChars="224"/>
        <w:rPr>
          <w:rFonts w:ascii="宋体" w:hAnsi="宋体" w:cs="宋体"/>
          <w:color w:val="auto"/>
          <w:szCs w:val="21"/>
          <w:highlight w:val="none"/>
        </w:rPr>
        <w:sectPr>
          <w:endnotePr>
            <w:numFmt w:val="decimal"/>
          </w:endnotePr>
          <w:pgSz w:w="16838" w:h="11906" w:orient="landscape"/>
          <w:pgMar w:top="1418" w:right="1134" w:bottom="1418" w:left="1247" w:header="851" w:footer="907" w:gutter="0"/>
          <w:cols w:space="720" w:num="1"/>
          <w:titlePg/>
          <w:docGrid w:type="linesAndChars" w:linePitch="312" w:charSpace="0"/>
        </w:sect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6"/>
        <w:jc w:val="left"/>
        <w:rPr>
          <w:color w:val="auto"/>
          <w:highlight w:val="none"/>
        </w:rPr>
      </w:pPr>
      <w:bookmarkStart w:id="38" w:name="_Toc121470665"/>
      <w:r>
        <w:rPr>
          <w:rFonts w:hint="eastAsia"/>
          <w:color w:val="auto"/>
          <w:highlight w:val="none"/>
        </w:rPr>
        <w:t>附表二</w:t>
      </w:r>
      <w:bookmarkEnd w:id="38"/>
    </w:p>
    <w:p>
      <w:pPr>
        <w:jc w:val="center"/>
        <w:rPr>
          <w:rFonts w:ascii="宋体" w:hAnsi="宋体"/>
          <w:b/>
          <w:color w:val="auto"/>
          <w:sz w:val="36"/>
          <w:szCs w:val="36"/>
          <w:highlight w:val="none"/>
        </w:rPr>
      </w:pPr>
      <w:r>
        <w:rPr>
          <w:rFonts w:hint="eastAsia" w:ascii="宋体" w:hAnsi="宋体"/>
          <w:b/>
          <w:color w:val="auto"/>
          <w:sz w:val="36"/>
          <w:szCs w:val="36"/>
          <w:highlight w:val="none"/>
        </w:rPr>
        <w:t>技术标有效性审查表</w:t>
      </w:r>
    </w:p>
    <w:p>
      <w:pPr>
        <w:rPr>
          <w:rFonts w:ascii="宋体" w:hAnsi="宋体"/>
          <w:color w:val="auto"/>
          <w:szCs w:val="21"/>
          <w:highlight w:val="none"/>
        </w:rPr>
      </w:pPr>
      <w:r>
        <w:rPr>
          <w:rFonts w:hint="eastAsia" w:ascii="宋体" w:hAnsi="宋体"/>
          <w:color w:val="auto"/>
          <w:szCs w:val="21"/>
          <w:highlight w:val="none"/>
        </w:rPr>
        <w:t>工程名称：</w:t>
      </w:r>
    </w:p>
    <w:tbl>
      <w:tblPr>
        <w:tblStyle w:val="48"/>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809"/>
        <w:gridCol w:w="1056"/>
        <w:gridCol w:w="1057"/>
        <w:gridCol w:w="1057"/>
        <w:gridCol w:w="1057"/>
        <w:gridCol w:w="1057"/>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7809" w:type="dxa"/>
            <w:tcBorders>
              <w:top w:val="single" w:color="auto" w:sz="4" w:space="0"/>
              <w:left w:val="single" w:color="auto" w:sz="4" w:space="0"/>
              <w:bottom w:val="single" w:color="auto" w:sz="4" w:space="0"/>
              <w:right w:val="single" w:color="auto" w:sz="4" w:space="0"/>
              <w:tl2br w:val="single" w:color="auto" w:sz="4" w:space="0"/>
            </w:tcBorders>
          </w:tcPr>
          <w:p>
            <w:pPr>
              <w:adjustRightInd w:val="0"/>
              <w:ind w:firstLine="3570" w:firstLineChars="1700"/>
              <w:rPr>
                <w:rFonts w:ascii="宋体" w:hAnsi="宋体"/>
                <w:color w:val="auto"/>
                <w:szCs w:val="21"/>
                <w:highlight w:val="none"/>
              </w:rPr>
            </w:pP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u w:val="single"/>
              </w:rPr>
            </w:pPr>
            <w:r>
              <w:rPr>
                <w:rFonts w:hint="eastAsia" w:ascii="宋体" w:hAnsi="宋体" w:cs="宋体"/>
                <w:color w:val="auto"/>
                <w:szCs w:val="21"/>
                <w:highlight w:val="none"/>
              </w:rPr>
              <w:t>《广州建设工程施工招标投标书（技术标）》中的总工期不符合招标文件要求的；</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《广州建设工程施工招标投标书（技术标）》中的工程质量标准不符合招标文件要求的；</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w:t>
            </w:r>
            <w:r>
              <w:rPr>
                <w:rFonts w:hint="eastAsia" w:ascii="宋体" w:hAnsi="宋体"/>
                <w:color w:val="auto"/>
                <w:szCs w:val="21"/>
                <w:highlight w:val="none"/>
                <w:u w:val="single"/>
              </w:rPr>
              <w:t>盖章或签字</w:t>
            </w:r>
            <w:r>
              <w:rPr>
                <w:rFonts w:hint="eastAsia" w:ascii="宋体" w:hAnsi="宋体"/>
                <w:color w:val="auto"/>
                <w:szCs w:val="21"/>
                <w:highlight w:val="none"/>
              </w:rPr>
              <w:t>的投标文件中没有法定代表人授权书；</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u w:val="singl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（指招标文件第一章第</w:t>
            </w:r>
            <w:r>
              <w:rPr>
                <w:rFonts w:ascii="宋体" w:hAnsi="宋体" w:cs="宋体"/>
                <w:color w:val="auto"/>
                <w:szCs w:val="21"/>
                <w:highlight w:val="none"/>
                <w:u w:val="single"/>
              </w:rPr>
              <w:t>11条投标文件的组成规定内容中有关</w:t>
            </w:r>
            <w:r>
              <w:rPr>
                <w:rFonts w:hint="eastAsia" w:ascii="宋体" w:hAnsi="宋体" w:cs="宋体"/>
                <w:color w:val="auto"/>
                <w:szCs w:val="21"/>
                <w:highlight w:val="none"/>
                <w:u w:val="single"/>
              </w:rPr>
              <w:t>技术标的</w:t>
            </w:r>
            <w:r>
              <w:rPr>
                <w:rFonts w:ascii="宋体" w:hAnsi="宋体" w:cs="宋体"/>
                <w:color w:val="auto"/>
                <w:szCs w:val="21"/>
                <w:highlight w:val="none"/>
                <w:u w:val="single"/>
              </w:rPr>
              <w:t>规定内容）</w:t>
            </w:r>
            <w:r>
              <w:rPr>
                <w:rFonts w:hint="eastAsia" w:ascii="宋体" w:hAnsi="宋体" w:cs="宋体"/>
                <w:color w:val="auto"/>
                <w:szCs w:val="21"/>
                <w:highlight w:val="none"/>
              </w:rPr>
              <w:t>填写，或主要内容（指投标文件组成内容）不全，或关键字迹模糊、无法辨认的；</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投标人之间存在《广东省实施&lt;中华人民共和国招标投标法&gt;办法》第十六条所禁止的情形的；</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7</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8</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.不得将</w:t>
      </w:r>
      <w:r>
        <w:rPr>
          <w:rFonts w:hint="eastAsia" w:ascii="宋体" w:hAnsi="宋体"/>
          <w:color w:val="auto"/>
          <w:szCs w:val="21"/>
          <w:highlight w:val="none"/>
        </w:rPr>
        <w:t>文件顺序、</w:t>
      </w:r>
      <w:r>
        <w:rPr>
          <w:rFonts w:ascii="宋体" w:hAnsi="宋体"/>
          <w:color w:val="auto"/>
          <w:szCs w:val="21"/>
          <w:highlight w:val="none"/>
        </w:rPr>
        <w:t>明显的文字错误等列为否</w:t>
      </w:r>
      <w:r>
        <w:rPr>
          <w:rFonts w:hint="eastAsia" w:ascii="宋体" w:hAnsi="宋体"/>
          <w:color w:val="auto"/>
          <w:szCs w:val="21"/>
          <w:highlight w:val="none"/>
        </w:rPr>
        <w:t>决</w:t>
      </w:r>
      <w:r>
        <w:rPr>
          <w:rFonts w:ascii="宋体" w:hAnsi="宋体"/>
          <w:color w:val="auto"/>
          <w:szCs w:val="21"/>
          <w:highlight w:val="none"/>
        </w:rPr>
        <w:t>投标的</w:t>
      </w:r>
      <w:r>
        <w:rPr>
          <w:rFonts w:hint="eastAsia" w:ascii="宋体" w:hAnsi="宋体"/>
          <w:color w:val="auto"/>
          <w:szCs w:val="21"/>
          <w:highlight w:val="none"/>
        </w:rPr>
        <w:t>情形。评委</w:t>
      </w:r>
      <w:r>
        <w:rPr>
          <w:rFonts w:ascii="宋体" w:hAnsi="宋体"/>
          <w:color w:val="auto"/>
          <w:szCs w:val="21"/>
          <w:highlight w:val="none"/>
        </w:rPr>
        <w:t>发现投标</w:t>
      </w:r>
      <w:r>
        <w:rPr>
          <w:rFonts w:hint="eastAsia" w:ascii="宋体" w:hAnsi="宋体"/>
          <w:color w:val="auto"/>
          <w:szCs w:val="21"/>
          <w:highlight w:val="none"/>
        </w:rPr>
        <w:t>文件</w:t>
      </w:r>
      <w:r>
        <w:rPr>
          <w:rFonts w:ascii="宋体" w:hAnsi="宋体"/>
          <w:color w:val="auto"/>
          <w:szCs w:val="21"/>
          <w:highlight w:val="none"/>
        </w:rPr>
        <w:t>中</w:t>
      </w:r>
      <w:r>
        <w:rPr>
          <w:rFonts w:hint="eastAsia" w:ascii="宋体" w:hAnsi="宋体"/>
          <w:color w:val="auto"/>
          <w:szCs w:val="21"/>
          <w:highlight w:val="none"/>
        </w:rPr>
        <w:t>含义不明确</w:t>
      </w:r>
      <w:r>
        <w:rPr>
          <w:rFonts w:ascii="宋体" w:hAnsi="宋体"/>
          <w:color w:val="auto"/>
          <w:szCs w:val="21"/>
          <w:highlight w:val="none"/>
        </w:rPr>
        <w:t>、对同类问题表述不一致、有明显</w:t>
      </w:r>
      <w:r>
        <w:rPr>
          <w:rFonts w:hint="eastAsia" w:ascii="宋体" w:hAnsi="宋体"/>
          <w:color w:val="auto"/>
          <w:szCs w:val="21"/>
          <w:highlight w:val="none"/>
        </w:rPr>
        <w:t>文字</w:t>
      </w:r>
      <w:r>
        <w:rPr>
          <w:rFonts w:ascii="宋体" w:hAnsi="宋体"/>
          <w:color w:val="auto"/>
          <w:szCs w:val="21"/>
          <w:highlight w:val="none"/>
        </w:rPr>
        <w:t>和计算错误</w:t>
      </w:r>
      <w:r>
        <w:rPr>
          <w:rFonts w:hint="eastAsia" w:ascii="宋体" w:hAnsi="宋体"/>
          <w:color w:val="auto"/>
          <w:szCs w:val="21"/>
          <w:highlight w:val="none"/>
        </w:rPr>
        <w:t>的，</w:t>
      </w:r>
      <w:r>
        <w:rPr>
          <w:rFonts w:ascii="宋体" w:hAnsi="宋体"/>
          <w:color w:val="auto"/>
          <w:szCs w:val="21"/>
          <w:highlight w:val="none"/>
        </w:rPr>
        <w:t>应当</w:t>
      </w:r>
      <w:r>
        <w:rPr>
          <w:rFonts w:hint="eastAsia" w:ascii="宋体" w:hAnsi="宋体"/>
          <w:color w:val="auto"/>
          <w:szCs w:val="21"/>
          <w:highlight w:val="none"/>
        </w:rPr>
        <w:t>要求</w:t>
      </w:r>
      <w:r>
        <w:rPr>
          <w:rFonts w:ascii="宋体" w:hAnsi="宋体"/>
          <w:color w:val="auto"/>
          <w:szCs w:val="21"/>
          <w:highlight w:val="none"/>
        </w:rPr>
        <w:t>投标人作必要的澄清、说明</w:t>
      </w:r>
      <w:r>
        <w:rPr>
          <w:rFonts w:hint="eastAsia" w:ascii="宋体" w:hAnsi="宋体"/>
          <w:color w:val="auto"/>
          <w:szCs w:val="21"/>
          <w:highlight w:val="none"/>
        </w:rPr>
        <w:t>后再判定投标人是否通过有效性审查</w:t>
      </w:r>
      <w:r>
        <w:rPr>
          <w:rFonts w:ascii="宋体" w:hAnsi="宋体"/>
          <w:color w:val="auto"/>
          <w:szCs w:val="21"/>
          <w:highlight w:val="none"/>
        </w:rPr>
        <w:t>，不得直接否决投标</w:t>
      </w:r>
      <w:r>
        <w:rPr>
          <w:rFonts w:hint="eastAsia" w:ascii="宋体" w:hAnsi="宋体"/>
          <w:color w:val="auto"/>
          <w:szCs w:val="21"/>
          <w:highlight w:val="none"/>
        </w:rPr>
        <w:t>，若出现评标委员会否决投标的，应在评标报告中载明否决投标的具体情形、原因。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highlight w:val="none"/>
        </w:rPr>
      </w:pPr>
      <w:r>
        <w:rPr>
          <w:rFonts w:hint="eastAsia" w:ascii="宋体" w:hAnsi="宋体"/>
          <w:color w:val="auto"/>
          <w:szCs w:val="21"/>
          <w:highlight w:val="none"/>
        </w:rPr>
        <w:t>评委签名：</w:t>
      </w:r>
    </w:p>
    <w:p>
      <w:pPr>
        <w:pStyle w:val="6"/>
        <w:jc w:val="left"/>
        <w:rPr>
          <w:color w:val="auto"/>
          <w:highlight w:val="none"/>
        </w:rPr>
      </w:pPr>
      <w:r>
        <w:rPr>
          <w:rFonts w:hint="eastAsia"/>
          <w:color w:val="auto"/>
          <w:highlight w:val="none"/>
        </w:rPr>
        <w:br w:type="page"/>
      </w:r>
      <w:bookmarkStart w:id="39" w:name="_Toc121470666"/>
      <w:r>
        <w:rPr>
          <w:rFonts w:hint="eastAsia"/>
          <w:color w:val="auto"/>
          <w:highlight w:val="none"/>
        </w:rPr>
        <w:t>附表三</w:t>
      </w:r>
      <w:bookmarkEnd w:id="39"/>
    </w:p>
    <w:p>
      <w:pPr>
        <w:jc w:val="center"/>
        <w:rPr>
          <w:rFonts w:ascii="宋体" w:hAnsi="宋体"/>
          <w:b/>
          <w:color w:val="auto"/>
          <w:sz w:val="36"/>
          <w:szCs w:val="36"/>
          <w:highlight w:val="none"/>
        </w:rPr>
      </w:pPr>
      <w:r>
        <w:rPr>
          <w:rFonts w:hint="eastAsia" w:ascii="宋体" w:hAnsi="宋体"/>
          <w:b/>
          <w:color w:val="auto"/>
          <w:sz w:val="36"/>
          <w:szCs w:val="36"/>
          <w:highlight w:val="none"/>
        </w:rPr>
        <w:t>经济标有效性审查表</w:t>
      </w:r>
    </w:p>
    <w:p>
      <w:pPr>
        <w:rPr>
          <w:rFonts w:ascii="宋体" w:hAnsi="宋体"/>
          <w:color w:val="auto"/>
          <w:szCs w:val="21"/>
          <w:highlight w:val="none"/>
        </w:rPr>
      </w:pPr>
      <w:r>
        <w:rPr>
          <w:rFonts w:hint="eastAsia" w:ascii="宋体" w:hAnsi="宋体"/>
          <w:color w:val="auto"/>
          <w:szCs w:val="21"/>
          <w:highlight w:val="none"/>
        </w:rPr>
        <w:t>工程名称：</w:t>
      </w:r>
    </w:p>
    <w:tbl>
      <w:tblPr>
        <w:tblStyle w:val="48"/>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596"/>
        <w:gridCol w:w="1314"/>
        <w:gridCol w:w="1315"/>
        <w:gridCol w:w="1314"/>
        <w:gridCol w:w="1315"/>
        <w:gridCol w:w="131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596" w:type="dxa"/>
            <w:tcBorders>
              <w:top w:val="single" w:color="auto" w:sz="4" w:space="0"/>
              <w:left w:val="single" w:color="auto" w:sz="4" w:space="0"/>
              <w:bottom w:val="single" w:color="auto" w:sz="4" w:space="0"/>
              <w:right w:val="single" w:color="auto" w:sz="4" w:space="0"/>
              <w:tl2br w:val="single" w:color="auto" w:sz="4" w:space="0"/>
            </w:tcBorders>
          </w:tcPr>
          <w:p>
            <w:pPr>
              <w:ind w:firstLine="2940" w:firstLineChars="1400"/>
              <w:rPr>
                <w:rFonts w:ascii="宋体" w:hAnsi="宋体"/>
                <w:color w:val="auto"/>
                <w:szCs w:val="21"/>
                <w:highlight w:val="none"/>
              </w:rPr>
            </w:pP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bCs/>
                <w:color w:val="auto"/>
                <w:szCs w:val="21"/>
                <w:highlight w:val="none"/>
              </w:rPr>
              <w:t>投标文件未按规定的格式填写，或主要内容</w:t>
            </w:r>
            <w:r>
              <w:rPr>
                <w:rFonts w:hint="eastAsia" w:ascii="宋体" w:hAnsi="宋体"/>
                <w:bCs/>
                <w:color w:val="auto"/>
                <w:szCs w:val="21"/>
                <w:highlight w:val="none"/>
                <w:u w:val="single"/>
              </w:rPr>
              <w:t>（指招标文件第一章第11条投标文件的组成规定内容中有关经济标的规定内容）</w:t>
            </w:r>
            <w:r>
              <w:rPr>
                <w:rFonts w:hint="eastAsia" w:ascii="宋体" w:hAnsi="宋体"/>
                <w:bCs/>
                <w:color w:val="auto"/>
                <w:szCs w:val="21"/>
                <w:highlight w:val="none"/>
              </w:rPr>
              <w:t>不全，或关键字迹模糊、无法辨认；</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投标人之间存在《广东省实施&lt;中华人民共和国招标投标法&gt;办法》第十六条所禁止的情形的；</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58"/>
        <w:rPr>
          <w:rFonts w:ascii="宋体" w:hAnsi="宋体"/>
          <w:color w:val="auto"/>
          <w:szCs w:val="21"/>
          <w:highlight w:val="none"/>
        </w:rPr>
      </w:pPr>
      <w:r>
        <w:rPr>
          <w:rFonts w:ascii="宋体" w:hAnsi="宋体"/>
          <w:color w:val="auto"/>
          <w:szCs w:val="21"/>
          <w:highlight w:val="none"/>
        </w:rPr>
        <w:t>4.不得将</w:t>
      </w:r>
      <w:r>
        <w:rPr>
          <w:rFonts w:hint="eastAsia" w:ascii="宋体" w:hAnsi="宋体"/>
          <w:color w:val="auto"/>
          <w:szCs w:val="21"/>
          <w:highlight w:val="none"/>
        </w:rPr>
        <w:t>文件顺序、</w:t>
      </w:r>
      <w:r>
        <w:rPr>
          <w:rFonts w:ascii="宋体" w:hAnsi="宋体"/>
          <w:color w:val="auto"/>
          <w:szCs w:val="21"/>
          <w:highlight w:val="none"/>
        </w:rPr>
        <w:t>明显的文字错误等列为否</w:t>
      </w:r>
      <w:r>
        <w:rPr>
          <w:rFonts w:hint="eastAsia" w:ascii="宋体" w:hAnsi="宋体"/>
          <w:color w:val="auto"/>
          <w:szCs w:val="21"/>
          <w:highlight w:val="none"/>
        </w:rPr>
        <w:t>决</w:t>
      </w:r>
      <w:r>
        <w:rPr>
          <w:rFonts w:ascii="宋体" w:hAnsi="宋体"/>
          <w:color w:val="auto"/>
          <w:szCs w:val="21"/>
          <w:highlight w:val="none"/>
        </w:rPr>
        <w:t>投标的</w:t>
      </w:r>
      <w:r>
        <w:rPr>
          <w:rFonts w:hint="eastAsia" w:ascii="宋体" w:hAnsi="宋体"/>
          <w:color w:val="auto"/>
          <w:szCs w:val="21"/>
          <w:highlight w:val="none"/>
        </w:rPr>
        <w:t>情形。评委</w:t>
      </w:r>
      <w:r>
        <w:rPr>
          <w:rFonts w:ascii="宋体" w:hAnsi="宋体"/>
          <w:color w:val="auto"/>
          <w:szCs w:val="21"/>
          <w:highlight w:val="none"/>
        </w:rPr>
        <w:t>发现投标</w:t>
      </w:r>
      <w:r>
        <w:rPr>
          <w:rFonts w:hint="eastAsia" w:ascii="宋体" w:hAnsi="宋体"/>
          <w:color w:val="auto"/>
          <w:szCs w:val="21"/>
          <w:highlight w:val="none"/>
        </w:rPr>
        <w:t>文件</w:t>
      </w:r>
      <w:r>
        <w:rPr>
          <w:rFonts w:ascii="宋体" w:hAnsi="宋体"/>
          <w:color w:val="auto"/>
          <w:szCs w:val="21"/>
          <w:highlight w:val="none"/>
        </w:rPr>
        <w:t>中</w:t>
      </w:r>
      <w:r>
        <w:rPr>
          <w:rFonts w:hint="eastAsia" w:ascii="宋体" w:hAnsi="宋体"/>
          <w:color w:val="auto"/>
          <w:szCs w:val="21"/>
          <w:highlight w:val="none"/>
        </w:rPr>
        <w:t>含义不明确</w:t>
      </w:r>
      <w:r>
        <w:rPr>
          <w:rFonts w:ascii="宋体" w:hAnsi="宋体"/>
          <w:color w:val="auto"/>
          <w:szCs w:val="21"/>
          <w:highlight w:val="none"/>
        </w:rPr>
        <w:t>、对同类问题表述不一致、有明显</w:t>
      </w:r>
      <w:r>
        <w:rPr>
          <w:rFonts w:hint="eastAsia" w:ascii="宋体" w:hAnsi="宋体"/>
          <w:color w:val="auto"/>
          <w:szCs w:val="21"/>
          <w:highlight w:val="none"/>
        </w:rPr>
        <w:t>文字</w:t>
      </w:r>
      <w:r>
        <w:rPr>
          <w:rFonts w:ascii="宋体" w:hAnsi="宋体"/>
          <w:color w:val="auto"/>
          <w:szCs w:val="21"/>
          <w:highlight w:val="none"/>
        </w:rPr>
        <w:t>和计算错误</w:t>
      </w:r>
      <w:r>
        <w:rPr>
          <w:rFonts w:hint="eastAsia" w:ascii="宋体" w:hAnsi="宋体"/>
          <w:color w:val="auto"/>
          <w:szCs w:val="21"/>
          <w:highlight w:val="none"/>
        </w:rPr>
        <w:t>、</w:t>
      </w:r>
      <w:r>
        <w:rPr>
          <w:rFonts w:ascii="宋体" w:hAnsi="宋体"/>
          <w:color w:val="auto"/>
          <w:szCs w:val="21"/>
          <w:highlight w:val="none"/>
        </w:rPr>
        <w:t>投标报价可能低于成本影响履约的，应当</w:t>
      </w:r>
      <w:r>
        <w:rPr>
          <w:rFonts w:hint="eastAsia" w:ascii="宋体" w:hAnsi="宋体"/>
          <w:color w:val="auto"/>
          <w:szCs w:val="21"/>
          <w:highlight w:val="none"/>
        </w:rPr>
        <w:t>要求</w:t>
      </w:r>
      <w:r>
        <w:rPr>
          <w:rFonts w:ascii="宋体" w:hAnsi="宋体"/>
          <w:color w:val="auto"/>
          <w:szCs w:val="21"/>
          <w:highlight w:val="none"/>
        </w:rPr>
        <w:t>投标人作必要的澄清、说明</w:t>
      </w:r>
      <w:r>
        <w:rPr>
          <w:rFonts w:hint="eastAsia" w:ascii="宋体" w:hAnsi="宋体"/>
          <w:color w:val="auto"/>
          <w:szCs w:val="21"/>
          <w:highlight w:val="none"/>
        </w:rPr>
        <w:t>后再判定投标人是否通过有效性审查</w:t>
      </w:r>
      <w:r>
        <w:rPr>
          <w:rFonts w:ascii="宋体" w:hAnsi="宋体"/>
          <w:color w:val="auto"/>
          <w:szCs w:val="21"/>
          <w:highlight w:val="none"/>
        </w:rPr>
        <w:t>，不得直接否决投标</w:t>
      </w:r>
      <w:r>
        <w:rPr>
          <w:rFonts w:hint="eastAsia" w:ascii="宋体" w:hAnsi="宋体"/>
          <w:color w:val="auto"/>
          <w:szCs w:val="21"/>
          <w:highlight w:val="none"/>
        </w:rPr>
        <w:t>。</w:t>
      </w:r>
    </w:p>
    <w:p>
      <w:pPr>
        <w:ind w:firstLine="458"/>
        <w:rPr>
          <w:rFonts w:ascii="宋体" w:hAnsi="宋体" w:cs="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olor w:val="auto"/>
          <w:szCs w:val="21"/>
          <w:highlight w:val="none"/>
        </w:rPr>
        <w:t>评委签名：</w:t>
      </w:r>
    </w:p>
    <w:p>
      <w:pPr>
        <w:pStyle w:val="6"/>
        <w:jc w:val="left"/>
        <w:rPr>
          <w:color w:val="auto"/>
          <w:highlight w:val="none"/>
        </w:rPr>
      </w:pPr>
      <w:bookmarkStart w:id="40" w:name="_Toc121470667"/>
      <w:r>
        <w:rPr>
          <w:rFonts w:hint="eastAsia"/>
          <w:color w:val="auto"/>
          <w:highlight w:val="none"/>
        </w:rPr>
        <w:t>附表四</w:t>
      </w:r>
      <w:bookmarkEnd w:id="40"/>
    </w:p>
    <w:p>
      <w:pPr>
        <w:jc w:val="center"/>
        <w:rPr>
          <w:rFonts w:ascii="宋体" w:hAnsi="宋体"/>
          <w:b/>
          <w:color w:val="auto"/>
          <w:sz w:val="36"/>
          <w:szCs w:val="36"/>
          <w:highlight w:val="none"/>
          <w:u w:val="single"/>
        </w:rPr>
      </w:pPr>
      <w:bookmarkStart w:id="41" w:name="_Toc23494909"/>
      <w:r>
        <w:rPr>
          <w:rFonts w:hint="eastAsia"/>
          <w:b/>
          <w:color w:val="auto"/>
          <w:sz w:val="36"/>
          <w:szCs w:val="36"/>
          <w:highlight w:val="none"/>
        </w:rPr>
        <w:t>技术标详细审查评分表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48"/>
        <w:tblW w:w="15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80"/>
        <w:gridCol w:w="2076"/>
        <w:gridCol w:w="654"/>
        <w:gridCol w:w="1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3" w:hRule="atLeast"/>
          <w:jc w:val="center"/>
        </w:trPr>
        <w:tc>
          <w:tcPr>
            <w:tcW w:w="1080" w:type="dxa"/>
            <w:shd w:val="clear" w:color="auto" w:fill="FFFFFF"/>
            <w:vAlign w:val="center"/>
          </w:tcPr>
          <w:p>
            <w:pPr>
              <w:pStyle w:val="354"/>
              <w:snapToGrid w:val="0"/>
              <w:spacing w:line="240" w:lineRule="auto"/>
              <w:jc w:val="center"/>
              <w:rPr>
                <w:rFonts w:cs="宋体"/>
                <w:color w:val="auto"/>
                <w:sz w:val="21"/>
                <w:szCs w:val="21"/>
                <w:highlight w:val="none"/>
              </w:rPr>
            </w:pPr>
            <w:r>
              <w:rPr>
                <w:rFonts w:hint="eastAsia"/>
                <w:b/>
                <w:color w:val="auto"/>
                <w:spacing w:val="-10"/>
                <w:sz w:val="21"/>
                <w:szCs w:val="21"/>
                <w:highlight w:val="none"/>
              </w:rPr>
              <w:t>评分</w:t>
            </w:r>
            <w:r>
              <w:rPr>
                <w:b/>
                <w:color w:val="auto"/>
                <w:spacing w:val="-10"/>
                <w:sz w:val="21"/>
                <w:szCs w:val="21"/>
                <w:highlight w:val="none"/>
              </w:rPr>
              <w:t>项目</w:t>
            </w:r>
          </w:p>
        </w:tc>
        <w:tc>
          <w:tcPr>
            <w:tcW w:w="2076" w:type="dxa"/>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b/>
                <w:color w:val="auto"/>
                <w:spacing w:val="-10"/>
                <w:sz w:val="21"/>
                <w:szCs w:val="21"/>
                <w:highlight w:val="none"/>
              </w:rPr>
              <w:t>评分内容</w:t>
            </w:r>
          </w:p>
        </w:tc>
        <w:tc>
          <w:tcPr>
            <w:tcW w:w="654" w:type="dxa"/>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b/>
                <w:color w:val="auto"/>
                <w:spacing w:val="-10"/>
                <w:sz w:val="21"/>
                <w:szCs w:val="21"/>
                <w:highlight w:val="none"/>
              </w:rPr>
              <w:t>分值</w:t>
            </w:r>
          </w:p>
        </w:tc>
        <w:tc>
          <w:tcPr>
            <w:tcW w:w="11388" w:type="dxa"/>
            <w:shd w:val="clear" w:color="auto" w:fill="FFFFFF"/>
            <w:vAlign w:val="center"/>
          </w:tcPr>
          <w:p>
            <w:pPr>
              <w:pStyle w:val="354"/>
              <w:shd w:val="clear" w:color="auto" w:fill="auto"/>
              <w:snapToGrid w:val="0"/>
              <w:spacing w:line="240" w:lineRule="auto"/>
              <w:jc w:val="center"/>
              <w:rPr>
                <w:color w:val="auto"/>
                <w:sz w:val="21"/>
                <w:szCs w:val="21"/>
                <w:highlight w:val="none"/>
              </w:rPr>
            </w:pPr>
            <w:r>
              <w:rPr>
                <w:b/>
                <w:color w:val="auto"/>
                <w:spacing w:val="-1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32" w:hRule="atLeast"/>
          <w:jc w:val="center"/>
        </w:trPr>
        <w:tc>
          <w:tcPr>
            <w:tcW w:w="1080" w:type="dxa"/>
            <w:vMerge w:val="restart"/>
            <w:shd w:val="clear" w:color="auto" w:fill="FFFFFF"/>
            <w:vAlign w:val="center"/>
          </w:tcPr>
          <w:p>
            <w:pPr>
              <w:snapToGrid w:val="0"/>
              <w:jc w:val="center"/>
              <w:rPr>
                <w:rFonts w:ascii="宋体" w:hAnsi="宋体"/>
                <w:color w:val="auto"/>
                <w:szCs w:val="21"/>
                <w:highlight w:val="none"/>
              </w:rPr>
            </w:pPr>
            <w:r>
              <w:rPr>
                <w:rFonts w:ascii="宋体" w:hAnsi="宋体"/>
                <w:color w:val="auto"/>
                <w:kern w:val="0"/>
                <w:szCs w:val="21"/>
                <w:highlight w:val="none"/>
              </w:rPr>
              <w:t>施工组织设计</w:t>
            </w:r>
            <w:r>
              <w:rPr>
                <w:rFonts w:hint="eastAsia" w:ascii="宋体" w:hAnsi="宋体"/>
                <w:b/>
                <w:color w:val="auto"/>
                <w:kern w:val="0"/>
                <w:szCs w:val="21"/>
                <w:highlight w:val="none"/>
              </w:rPr>
              <w:t>（5</w:t>
            </w:r>
            <w:r>
              <w:rPr>
                <w:rFonts w:ascii="宋体" w:hAnsi="宋体"/>
                <w:b/>
                <w:color w:val="auto"/>
                <w:kern w:val="0"/>
                <w:szCs w:val="21"/>
                <w:highlight w:val="none"/>
              </w:rPr>
              <w:t>0</w:t>
            </w:r>
            <w:r>
              <w:rPr>
                <w:rFonts w:hint="eastAsia" w:ascii="宋体" w:hAnsi="宋体"/>
                <w:b/>
                <w:color w:val="auto"/>
                <w:kern w:val="0"/>
                <w:szCs w:val="21"/>
                <w:highlight w:val="none"/>
              </w:rPr>
              <w:t>）</w:t>
            </w:r>
          </w:p>
        </w:tc>
        <w:tc>
          <w:tcPr>
            <w:tcW w:w="2076" w:type="dxa"/>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rFonts w:hint="eastAsia" w:cs="宋体"/>
                <w:color w:val="auto"/>
                <w:sz w:val="21"/>
                <w:szCs w:val="21"/>
                <w:highlight w:val="none"/>
              </w:rPr>
              <w:t>工期计划</w:t>
            </w:r>
          </w:p>
        </w:tc>
        <w:tc>
          <w:tcPr>
            <w:tcW w:w="654" w:type="dxa"/>
            <w:shd w:val="clear" w:color="auto" w:fill="FFFFFF"/>
            <w:vAlign w:val="center"/>
          </w:tcPr>
          <w:p>
            <w:pPr>
              <w:pStyle w:val="354"/>
              <w:shd w:val="clear" w:color="auto" w:fill="auto"/>
              <w:snapToGrid w:val="0"/>
              <w:spacing w:line="240" w:lineRule="auto"/>
              <w:jc w:val="center"/>
              <w:rPr>
                <w:rFonts w:cs="宋体"/>
                <w:b/>
                <w:color w:val="auto"/>
                <w:sz w:val="21"/>
                <w:szCs w:val="21"/>
                <w:highlight w:val="none"/>
              </w:rPr>
            </w:pPr>
            <w:r>
              <w:rPr>
                <w:rStyle w:val="368"/>
                <w:rFonts w:hint="eastAsia" w:ascii="宋体" w:hAnsi="宋体" w:eastAsia="宋体"/>
                <w:b w:val="0"/>
                <w:color w:val="auto"/>
                <w:sz w:val="21"/>
                <w:szCs w:val="21"/>
                <w:highlight w:val="none"/>
              </w:rPr>
              <w:t>15</w:t>
            </w:r>
          </w:p>
        </w:tc>
        <w:tc>
          <w:tcPr>
            <w:tcW w:w="11388" w:type="dxa"/>
            <w:shd w:val="clear" w:color="auto" w:fill="FFFFFF"/>
            <w:vAlign w:val="center"/>
          </w:tcPr>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制定了施工进度计划并有进度计划保证措施，施工工期计划目标对比招标文件要求提前5天或以上完工，且进度计划能够充分结合项目工程的特点及实际情况的，得15分。</w:t>
            </w:r>
          </w:p>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制定了施工进度计划并有进度计划保证措施，施工工期计划目标对比招标文件要求提前1至4天完工，且进度计划基本能够结合项目工程的特点及实际情况的，得8分。</w:t>
            </w:r>
          </w:p>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制定了施工进度计划并有进度计划保证措施，施工工期计划目标符合招标文件要求，且进度计划基本能够结合项目工程的特点及实际情况的，得6分。</w:t>
            </w:r>
          </w:p>
          <w:p>
            <w:pPr>
              <w:pStyle w:val="354"/>
              <w:shd w:val="clear" w:color="auto" w:fill="auto"/>
              <w:snapToGrid w:val="0"/>
              <w:spacing w:line="240" w:lineRule="auto"/>
              <w:ind w:right="139" w:rightChars="66"/>
              <w:rPr>
                <w:rFonts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无施工进度计划和进度计划保证措施，得0分。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9" w:hRule="atLeast"/>
          <w:jc w:val="center"/>
        </w:trPr>
        <w:tc>
          <w:tcPr>
            <w:tcW w:w="1080" w:type="dxa"/>
            <w:vMerge w:val="continue"/>
            <w:shd w:val="clear" w:color="auto" w:fill="FFFFFF"/>
            <w:vAlign w:val="center"/>
          </w:tcPr>
          <w:p>
            <w:pPr>
              <w:snapToGrid w:val="0"/>
              <w:jc w:val="center"/>
              <w:rPr>
                <w:rFonts w:ascii="宋体" w:hAnsi="宋体"/>
                <w:color w:val="auto"/>
                <w:szCs w:val="21"/>
                <w:highlight w:val="none"/>
              </w:rPr>
            </w:pPr>
          </w:p>
        </w:tc>
        <w:tc>
          <w:tcPr>
            <w:tcW w:w="2076" w:type="dxa"/>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rFonts w:hint="eastAsia" w:cs="宋体"/>
                <w:color w:val="auto"/>
                <w:sz w:val="21"/>
                <w:szCs w:val="21"/>
                <w:highlight w:val="none"/>
              </w:rPr>
              <w:t>劳动力投入措施</w:t>
            </w:r>
          </w:p>
        </w:tc>
        <w:tc>
          <w:tcPr>
            <w:tcW w:w="654" w:type="dxa"/>
            <w:shd w:val="clear" w:color="auto" w:fill="FFFFFF"/>
            <w:vAlign w:val="center"/>
          </w:tcPr>
          <w:p>
            <w:pPr>
              <w:pStyle w:val="354"/>
              <w:shd w:val="clear" w:color="auto" w:fill="auto"/>
              <w:snapToGrid w:val="0"/>
              <w:spacing w:line="240" w:lineRule="auto"/>
              <w:jc w:val="center"/>
              <w:rPr>
                <w:rStyle w:val="368"/>
                <w:rFonts w:ascii="宋体" w:hAnsi="宋体" w:eastAsia="宋体"/>
                <w:b w:val="0"/>
                <w:color w:val="auto"/>
                <w:sz w:val="21"/>
                <w:szCs w:val="21"/>
                <w:highlight w:val="none"/>
              </w:rPr>
            </w:pPr>
            <w:r>
              <w:rPr>
                <w:rStyle w:val="368"/>
                <w:rFonts w:hint="eastAsia" w:ascii="宋体" w:hAnsi="宋体" w:eastAsia="宋体"/>
                <w:b w:val="0"/>
                <w:color w:val="auto"/>
                <w:sz w:val="21"/>
                <w:szCs w:val="21"/>
                <w:highlight w:val="none"/>
              </w:rPr>
              <w:t>15</w:t>
            </w:r>
          </w:p>
        </w:tc>
        <w:tc>
          <w:tcPr>
            <w:tcW w:w="11388" w:type="dxa"/>
            <w:shd w:val="clear" w:color="auto" w:fill="FFFFFF"/>
            <w:vAlign w:val="center"/>
          </w:tcPr>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有劳动力保证措施，施工高峰期拟投入的劳动力数量大于或等于400人，得15分。</w:t>
            </w:r>
          </w:p>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有劳动力保证措施，施工高峰期拟投入的劳动力数量为[300,400），得8分。</w:t>
            </w:r>
          </w:p>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有劳动力保证措施，但施工高峰期拟投入的劳动力数量为[200,300），得6分。</w:t>
            </w:r>
          </w:p>
          <w:p>
            <w:pPr>
              <w:pStyle w:val="354"/>
              <w:shd w:val="clear" w:color="auto" w:fill="auto"/>
              <w:snapToGrid w:val="0"/>
              <w:spacing w:line="240" w:lineRule="auto"/>
              <w:ind w:right="139" w:rightChars="66"/>
              <w:rPr>
                <w:rFonts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无劳动力保证措施或劳动力数量小于200人，得0分。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01" w:hRule="atLeast"/>
          <w:jc w:val="center"/>
        </w:trPr>
        <w:tc>
          <w:tcPr>
            <w:tcW w:w="1080" w:type="dxa"/>
            <w:vMerge w:val="continue"/>
            <w:shd w:val="clear" w:color="auto" w:fill="FFFFFF"/>
            <w:vAlign w:val="center"/>
          </w:tcPr>
          <w:p>
            <w:pPr>
              <w:snapToGrid w:val="0"/>
              <w:jc w:val="center"/>
              <w:rPr>
                <w:rFonts w:ascii="宋体" w:hAnsi="宋体"/>
                <w:color w:val="auto"/>
                <w:szCs w:val="21"/>
                <w:highlight w:val="none"/>
              </w:rPr>
            </w:pPr>
          </w:p>
        </w:tc>
        <w:tc>
          <w:tcPr>
            <w:tcW w:w="2076" w:type="dxa"/>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rFonts w:hint="eastAsia" w:cs="宋体"/>
                <w:color w:val="auto"/>
                <w:sz w:val="21"/>
                <w:szCs w:val="21"/>
                <w:highlight w:val="none"/>
              </w:rPr>
              <w:t>质量控制措施及质量标准</w:t>
            </w:r>
          </w:p>
        </w:tc>
        <w:tc>
          <w:tcPr>
            <w:tcW w:w="654" w:type="dxa"/>
            <w:shd w:val="clear" w:color="auto" w:fill="FFFFFF"/>
            <w:vAlign w:val="center"/>
          </w:tcPr>
          <w:p>
            <w:pPr>
              <w:pStyle w:val="354"/>
              <w:shd w:val="clear" w:color="auto" w:fill="auto"/>
              <w:snapToGrid w:val="0"/>
              <w:spacing w:line="240" w:lineRule="auto"/>
              <w:jc w:val="center"/>
              <w:rPr>
                <w:rStyle w:val="368"/>
                <w:rFonts w:ascii="宋体" w:hAnsi="宋体" w:eastAsia="宋体"/>
                <w:b w:val="0"/>
                <w:color w:val="auto"/>
                <w:sz w:val="21"/>
                <w:szCs w:val="21"/>
                <w:highlight w:val="none"/>
              </w:rPr>
            </w:pPr>
            <w:r>
              <w:rPr>
                <w:rStyle w:val="368"/>
                <w:rFonts w:hint="eastAsia" w:ascii="宋体" w:hAnsi="宋体" w:eastAsia="宋体"/>
                <w:b w:val="0"/>
                <w:color w:val="auto"/>
                <w:sz w:val="21"/>
                <w:szCs w:val="21"/>
                <w:highlight w:val="none"/>
              </w:rPr>
              <w:t>10</w:t>
            </w:r>
          </w:p>
        </w:tc>
        <w:tc>
          <w:tcPr>
            <w:tcW w:w="11388" w:type="dxa"/>
            <w:shd w:val="clear" w:color="auto" w:fill="FFFFFF"/>
            <w:vAlign w:val="center"/>
          </w:tcPr>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有质量控制措施，内容有质量目标、质量保证体系、质量保证措施、质量通病预防措施、材料进场检验措施、成品保护措施、质量事故应急预案，承诺达到国家级工程优质奖标准，得10分。</w:t>
            </w:r>
          </w:p>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有质量控制措施，内容有质量目标、质量保证体系、质量保证措施、质量通病预防措施、材料进场检验措施，承诺达到省级工程优质奖标准，得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pStyle w:val="354"/>
              <w:shd w:val="clear" w:color="auto" w:fill="auto"/>
              <w:snapToGrid w:val="0"/>
              <w:spacing w:line="240" w:lineRule="auto"/>
              <w:ind w:right="139" w:rightChars="66"/>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3）无质量控制措施及承诺的，得0分。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0" w:hRule="atLeast"/>
          <w:jc w:val="center"/>
        </w:trPr>
        <w:tc>
          <w:tcPr>
            <w:tcW w:w="1080" w:type="dxa"/>
            <w:vMerge w:val="continue"/>
            <w:shd w:val="clear" w:color="auto" w:fill="FFFFFF"/>
            <w:vAlign w:val="center"/>
          </w:tcPr>
          <w:p>
            <w:pPr>
              <w:snapToGrid w:val="0"/>
              <w:jc w:val="center"/>
              <w:rPr>
                <w:rFonts w:ascii="宋体" w:hAnsi="宋体"/>
                <w:color w:val="auto"/>
                <w:szCs w:val="21"/>
                <w:highlight w:val="none"/>
              </w:rPr>
            </w:pPr>
          </w:p>
        </w:tc>
        <w:tc>
          <w:tcPr>
            <w:tcW w:w="2076" w:type="dxa"/>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rFonts w:hint="eastAsia" w:cs="宋体"/>
                <w:color w:val="auto"/>
                <w:sz w:val="21"/>
                <w:szCs w:val="21"/>
                <w:highlight w:val="none"/>
              </w:rPr>
              <w:t>安全文明施工措施</w:t>
            </w:r>
          </w:p>
        </w:tc>
        <w:tc>
          <w:tcPr>
            <w:tcW w:w="654" w:type="dxa"/>
            <w:shd w:val="clear" w:color="auto" w:fill="FFFFFF"/>
            <w:vAlign w:val="center"/>
          </w:tcPr>
          <w:p>
            <w:pPr>
              <w:pStyle w:val="354"/>
              <w:shd w:val="clear" w:color="auto" w:fill="auto"/>
              <w:snapToGrid w:val="0"/>
              <w:spacing w:line="240" w:lineRule="auto"/>
              <w:jc w:val="center"/>
              <w:rPr>
                <w:rStyle w:val="368"/>
                <w:rFonts w:ascii="宋体" w:hAnsi="宋体" w:eastAsia="宋体"/>
                <w:b w:val="0"/>
                <w:color w:val="auto"/>
                <w:sz w:val="21"/>
                <w:szCs w:val="21"/>
                <w:highlight w:val="none"/>
              </w:rPr>
            </w:pPr>
            <w:r>
              <w:rPr>
                <w:rStyle w:val="368"/>
                <w:rFonts w:hint="eastAsia" w:ascii="宋体" w:hAnsi="宋体" w:eastAsia="宋体"/>
                <w:b w:val="0"/>
                <w:color w:val="auto"/>
                <w:sz w:val="21"/>
                <w:szCs w:val="21"/>
                <w:highlight w:val="none"/>
              </w:rPr>
              <w:t>10</w:t>
            </w:r>
          </w:p>
        </w:tc>
        <w:tc>
          <w:tcPr>
            <w:tcW w:w="11388" w:type="dxa"/>
            <w:shd w:val="clear" w:color="auto" w:fill="FFFFFF"/>
            <w:vAlign w:val="center"/>
          </w:tcPr>
          <w:p>
            <w:pPr>
              <w:widowControl/>
              <w:adjustRightInd w:val="0"/>
              <w:snapToGrid w:val="0"/>
              <w:ind w:right="42" w:rightChars="20"/>
              <w:rPr>
                <w:rFonts w:cs="宋体"/>
                <w:color w:val="auto"/>
                <w:szCs w:val="21"/>
                <w:highlight w:val="none"/>
              </w:rPr>
            </w:pPr>
            <w:r>
              <w:rPr>
                <w:rFonts w:hint="eastAsia" w:cs="宋体"/>
                <w:color w:val="auto"/>
                <w:szCs w:val="21"/>
                <w:highlight w:val="none"/>
                <w:lang w:val="en-US" w:eastAsia="zh-CN"/>
              </w:rPr>
              <w:t>1）</w:t>
            </w:r>
            <w:r>
              <w:rPr>
                <w:rFonts w:hint="eastAsia" w:cs="宋体"/>
                <w:color w:val="auto"/>
                <w:szCs w:val="21"/>
                <w:highlight w:val="none"/>
              </w:rPr>
              <w:t>有安全文明施工管理目标及管理重点、安全、文明施工管理体系。有相应安全生产措施、现场消防保证措施、雷电及台风应对措施、文明施工措施、环境保护及绿色施工措施、应急预案，得10分。</w:t>
            </w:r>
          </w:p>
          <w:p>
            <w:pPr>
              <w:widowControl/>
              <w:adjustRightInd w:val="0"/>
              <w:snapToGrid w:val="0"/>
              <w:ind w:right="42" w:rightChars="20"/>
              <w:rPr>
                <w:rFonts w:cs="宋体"/>
                <w:color w:val="auto"/>
                <w:szCs w:val="21"/>
                <w:highlight w:val="none"/>
              </w:rPr>
            </w:pPr>
            <w:r>
              <w:rPr>
                <w:rFonts w:hint="eastAsia" w:cs="宋体"/>
                <w:color w:val="auto"/>
                <w:szCs w:val="21"/>
                <w:highlight w:val="none"/>
                <w:lang w:val="en-US" w:eastAsia="zh-CN"/>
              </w:rPr>
              <w:t>2）</w:t>
            </w:r>
            <w:r>
              <w:rPr>
                <w:rFonts w:hint="eastAsia" w:cs="宋体"/>
                <w:color w:val="auto"/>
                <w:szCs w:val="21"/>
                <w:highlight w:val="none"/>
              </w:rPr>
              <w:t>有安全文明施工管理目标及管理重点、安全、文明施工管理体系、应急预案,得8分。</w:t>
            </w:r>
          </w:p>
          <w:p>
            <w:pPr>
              <w:widowControl/>
              <w:adjustRightInd w:val="0"/>
              <w:snapToGrid w:val="0"/>
              <w:ind w:right="42" w:rightChars="20"/>
              <w:rPr>
                <w:rFonts w:cs="宋体"/>
                <w:color w:val="auto"/>
                <w:szCs w:val="21"/>
                <w:highlight w:val="none"/>
              </w:rPr>
            </w:pPr>
            <w:r>
              <w:rPr>
                <w:rFonts w:hint="eastAsia" w:cs="宋体"/>
                <w:color w:val="auto"/>
                <w:szCs w:val="21"/>
                <w:highlight w:val="none"/>
                <w:lang w:val="en-US" w:eastAsia="zh-CN"/>
              </w:rPr>
              <w:t>3）</w:t>
            </w:r>
            <w:r>
              <w:rPr>
                <w:rFonts w:hint="eastAsia" w:cs="宋体"/>
                <w:color w:val="auto"/>
                <w:szCs w:val="21"/>
                <w:highlight w:val="none"/>
              </w:rPr>
              <w:t>有安全文明施工管理目标及管理重点、安全、文明施工管理体系，得6分。</w:t>
            </w:r>
          </w:p>
          <w:p>
            <w:pPr>
              <w:pStyle w:val="354"/>
              <w:shd w:val="clear" w:color="auto" w:fill="auto"/>
              <w:snapToGrid w:val="0"/>
              <w:spacing w:line="240" w:lineRule="auto"/>
              <w:ind w:right="139" w:rightChars="66"/>
              <w:rPr>
                <w:rFonts w:cs="宋体"/>
                <w:color w:val="auto"/>
                <w:sz w:val="21"/>
                <w:szCs w:val="21"/>
                <w:highlight w:val="none"/>
              </w:rPr>
            </w:pPr>
            <w:r>
              <w:rPr>
                <w:rFonts w:hint="eastAsia" w:cs="宋体"/>
                <w:color w:val="auto"/>
                <w:sz w:val="21"/>
                <w:szCs w:val="21"/>
                <w:highlight w:val="none"/>
                <w:lang w:val="en-US" w:eastAsia="zh-CN"/>
              </w:rPr>
              <w:t>4）</w:t>
            </w:r>
            <w:r>
              <w:rPr>
                <w:rFonts w:hint="eastAsia" w:cs="宋体"/>
                <w:color w:val="auto"/>
                <w:sz w:val="21"/>
                <w:szCs w:val="21"/>
                <w:highlight w:val="none"/>
              </w:rPr>
              <w:t>无安全文明施工措施，得</w:t>
            </w:r>
            <w:r>
              <w:rPr>
                <w:rFonts w:cs="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9" w:hRule="atLeast"/>
          <w:jc w:val="center"/>
        </w:trPr>
        <w:tc>
          <w:tcPr>
            <w:tcW w:w="1080" w:type="dxa"/>
            <w:vMerge w:val="restart"/>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color w:val="auto"/>
                <w:sz w:val="21"/>
                <w:szCs w:val="21"/>
                <w:highlight w:val="none"/>
              </w:rPr>
              <w:t>项目管理机构能力</w:t>
            </w:r>
            <w:r>
              <w:rPr>
                <w:rFonts w:hint="eastAsia"/>
                <w:b/>
                <w:color w:val="auto"/>
                <w:sz w:val="21"/>
                <w:szCs w:val="21"/>
                <w:highlight w:val="none"/>
              </w:rPr>
              <w:t>（2</w:t>
            </w:r>
            <w:r>
              <w:rPr>
                <w:b/>
                <w:color w:val="auto"/>
                <w:sz w:val="21"/>
                <w:szCs w:val="21"/>
                <w:highlight w:val="none"/>
              </w:rPr>
              <w:t>0</w:t>
            </w:r>
            <w:r>
              <w:rPr>
                <w:rFonts w:hint="eastAsia"/>
                <w:b/>
                <w:color w:val="auto"/>
                <w:sz w:val="21"/>
                <w:szCs w:val="21"/>
                <w:highlight w:val="none"/>
              </w:rPr>
              <w:t>）</w:t>
            </w:r>
          </w:p>
        </w:tc>
        <w:tc>
          <w:tcPr>
            <w:tcW w:w="2076"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654"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11388" w:type="dxa"/>
            <w:shd w:val="clear" w:color="auto" w:fill="FFFFFF"/>
            <w:vAlign w:val="center"/>
          </w:tcPr>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1）技术负责人具有建筑工程类高级工程师（或以上）技术职称5年（不含5年）以上，得5分；</w:t>
            </w:r>
          </w:p>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2）技术负责人具有建筑工程类高级工程师（或以上）技术职称1-5年，得2分；</w:t>
            </w:r>
          </w:p>
          <w:p>
            <w:pPr>
              <w:ind w:left="92" w:leftChars="44" w:right="78" w:rightChars="37"/>
              <w:rPr>
                <w:rFonts w:ascii="宋体" w:hAnsi="宋体" w:cs="宋体"/>
                <w:color w:val="auto"/>
                <w:szCs w:val="21"/>
                <w:highlight w:val="none"/>
              </w:rPr>
            </w:pPr>
            <w:r>
              <w:rPr>
                <w:rFonts w:hint="eastAsia" w:ascii="宋体" w:hAnsi="宋体" w:cs="宋体"/>
                <w:bCs/>
                <w:color w:val="auto"/>
                <w:szCs w:val="21"/>
                <w:highlight w:val="none"/>
                <w:lang w:val="zh-TW"/>
              </w:rPr>
              <w:t>职称年限以职称证书发证日期</w:t>
            </w:r>
            <w:r>
              <w:rPr>
                <w:rFonts w:hint="eastAsia" w:ascii="宋体" w:hAnsi="宋体" w:cs="宋体"/>
                <w:bCs/>
                <w:color w:val="auto"/>
                <w:szCs w:val="21"/>
                <w:highlight w:val="none"/>
              </w:rPr>
              <w:t>开始计算至投标截止时间为止</w:t>
            </w:r>
            <w:r>
              <w:rPr>
                <w:rFonts w:hint="eastAsia" w:ascii="宋体" w:hAnsi="宋体" w:cs="宋体"/>
                <w:bCs/>
                <w:color w:val="auto"/>
                <w:szCs w:val="21"/>
                <w:highlight w:val="none"/>
                <w:lang w:val="zh-TW"/>
              </w:rPr>
              <w:t>。</w:t>
            </w:r>
            <w:r>
              <w:rPr>
                <w:rFonts w:hint="eastAsia" w:ascii="宋体" w:hAnsi="宋体" w:cs="宋体"/>
                <w:bCs/>
                <w:color w:val="auto"/>
                <w:kern w:val="0"/>
                <w:szCs w:val="21"/>
                <w:highlight w:val="none"/>
              </w:rPr>
              <w:t>不满足上述情况的，不得分。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8" w:hRule="atLeast"/>
          <w:jc w:val="center"/>
        </w:trPr>
        <w:tc>
          <w:tcPr>
            <w:tcW w:w="1080" w:type="dxa"/>
            <w:vMerge w:val="continue"/>
            <w:shd w:val="clear" w:color="auto" w:fill="FFFFFF"/>
            <w:vAlign w:val="center"/>
          </w:tcPr>
          <w:p>
            <w:pPr>
              <w:snapToGrid w:val="0"/>
              <w:jc w:val="center"/>
              <w:rPr>
                <w:rFonts w:ascii="宋体" w:hAnsi="宋体"/>
                <w:color w:val="auto"/>
                <w:szCs w:val="21"/>
                <w:highlight w:val="none"/>
              </w:rPr>
            </w:pPr>
          </w:p>
        </w:tc>
        <w:tc>
          <w:tcPr>
            <w:tcW w:w="2076"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Arial Unicode MS"/>
                <w:color w:val="auto"/>
                <w:szCs w:val="21"/>
                <w:highlight w:val="none"/>
              </w:rPr>
              <w:t>安全负责人</w:t>
            </w:r>
          </w:p>
        </w:tc>
        <w:tc>
          <w:tcPr>
            <w:tcW w:w="654"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11388" w:type="dxa"/>
            <w:shd w:val="clear" w:color="auto" w:fill="FFFFFF"/>
            <w:vAlign w:val="center"/>
          </w:tcPr>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1）安全负责人（与专职安全员不为同一人）具有建筑工程类高级工程师（或以上）技术职称和具有在有效期内的安全生产考核合格证（C类）或建筑施工企业专职安全生产管理人员安全生产考核合格证书（C3类），得5分；</w:t>
            </w:r>
          </w:p>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2）安全负责人（与专职安全员不为同一人）具有建筑工程类中级工程师技术职称和具有在有效期内的安全生产考核合格证（C类）或建筑施工企业专职安全生产管理人员安全生产考核合格证书（C3类），得2分。</w:t>
            </w:r>
          </w:p>
          <w:p>
            <w:pPr>
              <w:ind w:left="92" w:leftChars="44" w:right="78" w:rightChars="37"/>
              <w:rPr>
                <w:rFonts w:ascii="宋体" w:hAnsi="宋体" w:cs="宋体"/>
                <w:color w:val="auto"/>
                <w:szCs w:val="21"/>
                <w:highlight w:val="none"/>
              </w:rPr>
            </w:pPr>
            <w:r>
              <w:rPr>
                <w:rFonts w:hint="eastAsia" w:ascii="宋体" w:hAnsi="宋体" w:cs="宋体"/>
                <w:bCs/>
                <w:color w:val="auto"/>
                <w:kern w:val="0"/>
                <w:szCs w:val="21"/>
                <w:highlight w:val="none"/>
              </w:rPr>
              <w:t>不满足上述情况的，不得分。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5" w:hRule="atLeast"/>
          <w:jc w:val="center"/>
        </w:trPr>
        <w:tc>
          <w:tcPr>
            <w:tcW w:w="1080" w:type="dxa"/>
            <w:vMerge w:val="continue"/>
            <w:shd w:val="clear" w:color="auto" w:fill="FFFFFF"/>
            <w:vAlign w:val="center"/>
          </w:tcPr>
          <w:p>
            <w:pPr>
              <w:snapToGrid w:val="0"/>
              <w:jc w:val="center"/>
              <w:rPr>
                <w:rFonts w:ascii="宋体" w:hAnsi="宋体"/>
                <w:color w:val="auto"/>
                <w:szCs w:val="21"/>
                <w:highlight w:val="none"/>
              </w:rPr>
            </w:pPr>
          </w:p>
        </w:tc>
        <w:tc>
          <w:tcPr>
            <w:tcW w:w="2076"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Arial Unicode MS"/>
                <w:color w:val="auto"/>
                <w:szCs w:val="21"/>
                <w:highlight w:val="none"/>
              </w:rPr>
              <w:t>质量负责人</w:t>
            </w:r>
          </w:p>
        </w:tc>
        <w:tc>
          <w:tcPr>
            <w:tcW w:w="654"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11388" w:type="dxa"/>
            <w:shd w:val="clear" w:color="auto" w:fill="FFFFFF"/>
            <w:vAlign w:val="center"/>
          </w:tcPr>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1）质量负责人具有建筑工程类高级工程师（或以上）技术职称，得5分；</w:t>
            </w:r>
          </w:p>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2）质量负责人具有建筑工程类中级工程师技术职称，得2分</w:t>
            </w:r>
          </w:p>
          <w:p>
            <w:pPr>
              <w:ind w:left="92" w:leftChars="44" w:right="78" w:rightChars="37"/>
              <w:rPr>
                <w:rFonts w:ascii="宋体" w:hAnsi="宋体" w:cs="宋体"/>
                <w:color w:val="auto"/>
                <w:szCs w:val="21"/>
                <w:highlight w:val="none"/>
              </w:rPr>
            </w:pPr>
            <w:r>
              <w:rPr>
                <w:rFonts w:hint="eastAsia" w:ascii="宋体" w:hAnsi="宋体" w:cs="宋体"/>
                <w:bCs/>
                <w:color w:val="auto"/>
                <w:kern w:val="0"/>
                <w:szCs w:val="21"/>
                <w:highlight w:val="none"/>
              </w:rPr>
              <w:t>不满足上述情况的，不得分。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2" w:hRule="atLeast"/>
          <w:jc w:val="center"/>
        </w:trPr>
        <w:tc>
          <w:tcPr>
            <w:tcW w:w="1080" w:type="dxa"/>
            <w:vMerge w:val="continue"/>
            <w:shd w:val="clear" w:color="auto" w:fill="FFFFFF"/>
            <w:vAlign w:val="center"/>
          </w:tcPr>
          <w:p>
            <w:pPr>
              <w:snapToGrid w:val="0"/>
              <w:jc w:val="center"/>
              <w:rPr>
                <w:rFonts w:ascii="宋体" w:hAnsi="宋体"/>
                <w:color w:val="auto"/>
                <w:szCs w:val="21"/>
                <w:highlight w:val="none"/>
              </w:rPr>
            </w:pPr>
          </w:p>
        </w:tc>
        <w:tc>
          <w:tcPr>
            <w:tcW w:w="2076" w:type="dxa"/>
            <w:vAlign w:val="center"/>
          </w:tcPr>
          <w:p>
            <w:pPr>
              <w:snapToGrid w:val="0"/>
              <w:jc w:val="center"/>
              <w:rPr>
                <w:rFonts w:ascii="宋体" w:hAnsi="宋体"/>
                <w:color w:val="auto"/>
                <w:szCs w:val="21"/>
                <w:highlight w:val="none"/>
              </w:rPr>
            </w:pPr>
            <w:r>
              <w:rPr>
                <w:rFonts w:hint="eastAsia" w:ascii="宋体" w:hAnsi="宋体" w:cs="Arial Unicode MS"/>
                <w:color w:val="auto"/>
                <w:szCs w:val="21"/>
                <w:highlight w:val="none"/>
              </w:rPr>
              <w:t>造价负责人</w:t>
            </w:r>
          </w:p>
        </w:tc>
        <w:tc>
          <w:tcPr>
            <w:tcW w:w="65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5</w:t>
            </w:r>
          </w:p>
        </w:tc>
        <w:tc>
          <w:tcPr>
            <w:tcW w:w="11388" w:type="dxa"/>
            <w:vAlign w:val="center"/>
          </w:tcPr>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1）造价负责人具有一级造价工程师证书，得5分；</w:t>
            </w:r>
          </w:p>
          <w:p>
            <w:pPr>
              <w:widowControl/>
              <w:ind w:left="92" w:leftChars="44" w:right="78" w:rightChars="37"/>
              <w:rPr>
                <w:rFonts w:ascii="宋体" w:hAnsi="宋体"/>
                <w:color w:val="auto"/>
                <w:highlight w:val="none"/>
              </w:rPr>
            </w:pPr>
            <w:r>
              <w:rPr>
                <w:rFonts w:ascii="宋体" w:hAnsi="宋体"/>
                <w:color w:val="auto"/>
                <w:highlight w:val="none"/>
              </w:rPr>
              <w:t>2</w:t>
            </w:r>
            <w:r>
              <w:rPr>
                <w:rFonts w:hint="eastAsia" w:ascii="宋体" w:hAnsi="宋体"/>
                <w:color w:val="auto"/>
                <w:highlight w:val="none"/>
              </w:rPr>
              <w:t>）</w:t>
            </w:r>
            <w:r>
              <w:rPr>
                <w:rFonts w:hint="eastAsia" w:ascii="宋体" w:hAnsi="宋体" w:cs="宋体"/>
                <w:color w:val="auto"/>
                <w:kern w:val="0"/>
                <w:szCs w:val="21"/>
                <w:highlight w:val="none"/>
              </w:rPr>
              <w:t>造价负责人具有二级造价工程师证书</w:t>
            </w:r>
            <w:r>
              <w:rPr>
                <w:rFonts w:hint="eastAsia" w:ascii="宋体" w:hAnsi="宋体"/>
                <w:color w:val="auto"/>
                <w:highlight w:val="none"/>
              </w:rPr>
              <w:t>，得2</w:t>
            </w:r>
            <w:r>
              <w:rPr>
                <w:rFonts w:ascii="宋体" w:hAnsi="宋体"/>
                <w:color w:val="auto"/>
                <w:highlight w:val="none"/>
              </w:rPr>
              <w:t>分。</w:t>
            </w:r>
          </w:p>
          <w:p>
            <w:pPr>
              <w:ind w:left="92" w:leftChars="44" w:right="78" w:rightChars="37"/>
              <w:rPr>
                <w:rFonts w:ascii="宋体" w:hAnsi="宋体"/>
                <w:color w:val="auto"/>
                <w:szCs w:val="21"/>
                <w:highlight w:val="none"/>
              </w:rPr>
            </w:pPr>
            <w:r>
              <w:rPr>
                <w:rFonts w:hint="eastAsia" w:ascii="宋体" w:hAnsi="宋体" w:cs="宋体"/>
                <w:bCs/>
                <w:color w:val="auto"/>
                <w:kern w:val="0"/>
                <w:szCs w:val="21"/>
                <w:highlight w:val="none"/>
              </w:rPr>
              <w:t>不满足上述情况的，不得分。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82" w:hRule="atLeast"/>
          <w:jc w:val="center"/>
        </w:trPr>
        <w:tc>
          <w:tcPr>
            <w:tcW w:w="1080" w:type="dxa"/>
            <w:vMerge w:val="restart"/>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color w:val="auto"/>
                <w:sz w:val="21"/>
                <w:szCs w:val="21"/>
                <w:highlight w:val="none"/>
              </w:rPr>
              <w:t>企业资信</w:t>
            </w:r>
            <w:r>
              <w:rPr>
                <w:rFonts w:hint="eastAsia"/>
                <w:b/>
                <w:color w:val="auto"/>
                <w:sz w:val="21"/>
                <w:szCs w:val="21"/>
                <w:highlight w:val="none"/>
              </w:rPr>
              <w:t>（3</w:t>
            </w:r>
            <w:r>
              <w:rPr>
                <w:b/>
                <w:color w:val="auto"/>
                <w:sz w:val="21"/>
                <w:szCs w:val="21"/>
                <w:highlight w:val="none"/>
              </w:rPr>
              <w:t>0</w:t>
            </w:r>
            <w:r>
              <w:rPr>
                <w:rFonts w:hint="eastAsia"/>
                <w:b/>
                <w:color w:val="auto"/>
                <w:sz w:val="21"/>
                <w:szCs w:val="21"/>
                <w:highlight w:val="none"/>
              </w:rPr>
              <w:t>）</w:t>
            </w:r>
          </w:p>
        </w:tc>
        <w:tc>
          <w:tcPr>
            <w:tcW w:w="2076" w:type="dxa"/>
            <w:shd w:val="clear" w:color="auto" w:fill="FFFFFF"/>
            <w:vAlign w:val="center"/>
          </w:tcPr>
          <w:p>
            <w:pPr>
              <w:tabs>
                <w:tab w:val="left" w:pos="360"/>
              </w:tabs>
              <w:wordWrap w:val="0"/>
              <w:jc w:val="center"/>
              <w:rPr>
                <w:rStyle w:val="369"/>
                <w:rFonts w:ascii="宋体" w:hAnsi="宋体" w:cs="宋体"/>
                <w:color w:val="auto"/>
                <w:szCs w:val="21"/>
                <w:highlight w:val="none"/>
              </w:rPr>
            </w:pPr>
            <w:r>
              <w:rPr>
                <w:rFonts w:hint="eastAsia" w:ascii="宋体" w:hAnsi="宋体" w:cs="宋体"/>
                <w:color w:val="auto"/>
                <w:kern w:val="0"/>
                <w:szCs w:val="21"/>
                <w:highlight w:val="none"/>
              </w:rPr>
              <w:t>企业类似工程业绩</w:t>
            </w:r>
          </w:p>
        </w:tc>
        <w:tc>
          <w:tcPr>
            <w:tcW w:w="654" w:type="dxa"/>
            <w:shd w:val="clear" w:color="auto" w:fill="FFFFFF"/>
            <w:vAlign w:val="center"/>
          </w:tcPr>
          <w:p>
            <w:pPr>
              <w:tabs>
                <w:tab w:val="left" w:pos="360"/>
              </w:tabs>
              <w:snapToGrid w:val="0"/>
              <w:jc w:val="center"/>
              <w:rPr>
                <w:rStyle w:val="369"/>
                <w:rFonts w:ascii="宋体" w:hAnsi="宋体" w:cs="宋体"/>
                <w:color w:val="auto"/>
                <w:szCs w:val="21"/>
                <w:highlight w:val="none"/>
              </w:rPr>
            </w:pPr>
            <w:r>
              <w:rPr>
                <w:rFonts w:hint="eastAsia" w:ascii="宋体" w:hAnsi="宋体" w:cs="宋体"/>
                <w:bCs/>
                <w:color w:val="auto"/>
                <w:kern w:val="0"/>
                <w:szCs w:val="21"/>
                <w:highlight w:val="none"/>
              </w:rPr>
              <w:t>14</w:t>
            </w:r>
          </w:p>
        </w:tc>
        <w:tc>
          <w:tcPr>
            <w:tcW w:w="11388" w:type="dxa"/>
            <w:shd w:val="clear" w:color="auto" w:fill="FFFFFF"/>
            <w:vAlign w:val="center"/>
          </w:tcPr>
          <w:p>
            <w:pPr>
              <w:wordWrap w:val="0"/>
              <w:snapToGrid w:val="0"/>
              <w:ind w:left="92" w:leftChars="44" w:right="78" w:rightChars="37"/>
              <w:rPr>
                <w:rFonts w:ascii="宋体" w:hAnsi="宋体" w:cs="宋体"/>
                <w:color w:val="auto"/>
                <w:kern w:val="0"/>
                <w:szCs w:val="21"/>
                <w:highlight w:val="none"/>
              </w:rPr>
            </w:pPr>
            <w:r>
              <w:rPr>
                <w:rFonts w:hint="eastAsia" w:ascii="宋体" w:hAnsi="宋体" w:cs="宋体"/>
                <w:bCs/>
                <w:color w:val="auto"/>
                <w:kern w:val="0"/>
                <w:szCs w:val="21"/>
                <w:highlight w:val="none"/>
              </w:rPr>
              <w:t>投标人自</w:t>
            </w:r>
            <w:r>
              <w:rPr>
                <w:rFonts w:ascii="宋体" w:hAnsi="宋体" w:cs="宋体"/>
                <w:bCs/>
                <w:color w:val="auto"/>
                <w:kern w:val="0"/>
                <w:szCs w:val="21"/>
                <w:highlight w:val="none"/>
              </w:rPr>
              <w:t>201</w:t>
            </w:r>
            <w:r>
              <w:rPr>
                <w:rFonts w:hint="eastAsia" w:ascii="宋体" w:hAnsi="宋体" w:cs="宋体"/>
                <w:bCs/>
                <w:color w:val="auto"/>
                <w:kern w:val="0"/>
                <w:szCs w:val="21"/>
                <w:highlight w:val="none"/>
              </w:rPr>
              <w:t>8</w:t>
            </w:r>
            <w:r>
              <w:rPr>
                <w:rFonts w:ascii="宋体" w:hAnsi="宋体" w:cs="宋体"/>
                <w:bCs/>
                <w:color w:val="auto"/>
                <w:kern w:val="0"/>
                <w:szCs w:val="21"/>
                <w:highlight w:val="none"/>
              </w:rPr>
              <w:t>年1月1日</w:t>
            </w:r>
            <w:r>
              <w:rPr>
                <w:rFonts w:hint="eastAsia" w:ascii="宋体" w:hAnsi="宋体" w:cs="宋体"/>
                <w:bCs/>
                <w:color w:val="auto"/>
                <w:kern w:val="0"/>
                <w:szCs w:val="21"/>
                <w:highlight w:val="none"/>
              </w:rPr>
              <w:t>至今，完成过单项工程造价≥</w:t>
            </w:r>
            <w:r>
              <w:rPr>
                <w:rFonts w:hint="eastAsia" w:ascii="宋体" w:hAnsi="宋体" w:cs="宋体"/>
                <w:bCs/>
                <w:color w:val="auto"/>
                <w:kern w:val="0"/>
                <w:szCs w:val="21"/>
                <w:highlight w:val="none"/>
                <w:lang w:val="en-US" w:eastAsia="zh-CN"/>
              </w:rPr>
              <w:t>70</w:t>
            </w:r>
            <w:r>
              <w:rPr>
                <w:rFonts w:hint="eastAsia" w:ascii="宋体" w:hAnsi="宋体" w:cs="宋体"/>
                <w:bCs/>
                <w:color w:val="auto"/>
                <w:kern w:val="0"/>
                <w:szCs w:val="21"/>
                <w:highlight w:val="none"/>
              </w:rPr>
              <w:t>000万元的建筑工程施工总承包项目或工程总承包项目（包括勘察设计施工总承包或设计施工总承包中的施工部分）业绩：</w:t>
            </w:r>
            <w:r>
              <w:rPr>
                <w:rFonts w:hint="eastAsia" w:ascii="宋体" w:hAnsi="宋体" w:cs="宋体"/>
                <w:color w:val="auto"/>
                <w:kern w:val="0"/>
                <w:szCs w:val="21"/>
                <w:highlight w:val="none"/>
              </w:rPr>
              <w:t>完成过6</w:t>
            </w:r>
            <w:r>
              <w:rPr>
                <w:rFonts w:ascii="宋体" w:hAnsi="宋体" w:cs="宋体"/>
                <w:color w:val="auto"/>
                <w:kern w:val="0"/>
                <w:szCs w:val="21"/>
                <w:highlight w:val="none"/>
              </w:rPr>
              <w:t>项</w:t>
            </w:r>
            <w:r>
              <w:rPr>
                <w:rFonts w:hint="eastAsia" w:ascii="宋体" w:hAnsi="宋体" w:cs="宋体"/>
                <w:color w:val="auto"/>
                <w:kern w:val="0"/>
                <w:szCs w:val="21"/>
                <w:highlight w:val="none"/>
              </w:rPr>
              <w:t>及</w:t>
            </w:r>
            <w:r>
              <w:rPr>
                <w:rFonts w:ascii="宋体" w:hAnsi="宋体" w:cs="宋体"/>
                <w:color w:val="auto"/>
                <w:kern w:val="0"/>
                <w:szCs w:val="21"/>
                <w:highlight w:val="none"/>
              </w:rPr>
              <w:t>以上的，得</w:t>
            </w:r>
            <w:r>
              <w:rPr>
                <w:rFonts w:hint="eastAsia" w:ascii="宋体" w:hAnsi="宋体" w:cs="宋体"/>
                <w:color w:val="auto"/>
                <w:kern w:val="0"/>
                <w:szCs w:val="21"/>
                <w:highlight w:val="none"/>
              </w:rPr>
              <w:t>14</w:t>
            </w:r>
            <w:r>
              <w:rPr>
                <w:rFonts w:ascii="宋体" w:hAnsi="宋体" w:cs="宋体"/>
                <w:color w:val="auto"/>
                <w:kern w:val="0"/>
                <w:szCs w:val="21"/>
                <w:highlight w:val="none"/>
              </w:rPr>
              <w:t>分；完成过</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zh-CN"/>
              </w:rPr>
              <w:t>（不含）</w:t>
            </w:r>
            <w:r>
              <w:rPr>
                <w:rFonts w:ascii="宋体" w:hAnsi="宋体" w:cs="宋体"/>
                <w:color w:val="auto"/>
                <w:kern w:val="0"/>
                <w:szCs w:val="21"/>
                <w:highlight w:val="none"/>
              </w:rPr>
              <w:t>至</w:t>
            </w:r>
            <w:r>
              <w:rPr>
                <w:rFonts w:hint="eastAsia" w:ascii="宋体" w:hAnsi="宋体" w:cs="宋体"/>
                <w:color w:val="auto"/>
                <w:kern w:val="0"/>
                <w:szCs w:val="21"/>
                <w:highlight w:val="none"/>
              </w:rPr>
              <w:t>5</w:t>
            </w:r>
            <w:r>
              <w:rPr>
                <w:rFonts w:ascii="宋体" w:hAnsi="宋体" w:cs="宋体"/>
                <w:color w:val="auto"/>
                <w:kern w:val="0"/>
                <w:szCs w:val="21"/>
                <w:highlight w:val="none"/>
              </w:rPr>
              <w:t>项的，得</w:t>
            </w:r>
            <w:r>
              <w:rPr>
                <w:rFonts w:hint="eastAsia" w:ascii="宋体" w:hAnsi="宋体" w:cs="宋体"/>
                <w:color w:val="auto"/>
                <w:kern w:val="0"/>
                <w:szCs w:val="21"/>
                <w:highlight w:val="none"/>
              </w:rPr>
              <w:t>7</w:t>
            </w:r>
            <w:r>
              <w:rPr>
                <w:rFonts w:ascii="宋体" w:hAnsi="宋体" w:cs="宋体"/>
                <w:color w:val="auto"/>
                <w:kern w:val="0"/>
                <w:szCs w:val="21"/>
                <w:highlight w:val="none"/>
              </w:rPr>
              <w:t>分；完成过</w:t>
            </w:r>
            <w:r>
              <w:rPr>
                <w:rFonts w:hint="eastAsia" w:ascii="宋体" w:hAnsi="宋体" w:cs="宋体"/>
                <w:color w:val="auto"/>
                <w:kern w:val="0"/>
                <w:szCs w:val="21"/>
                <w:highlight w:val="none"/>
              </w:rPr>
              <w:t>1</w:t>
            </w:r>
            <w:r>
              <w:rPr>
                <w:rFonts w:ascii="宋体" w:hAnsi="宋体" w:cs="宋体"/>
                <w:color w:val="auto"/>
                <w:kern w:val="0"/>
                <w:szCs w:val="21"/>
                <w:highlight w:val="none"/>
              </w:rPr>
              <w:t>至</w:t>
            </w:r>
            <w:r>
              <w:rPr>
                <w:rFonts w:hint="eastAsia" w:ascii="宋体" w:hAnsi="宋体" w:cs="宋体"/>
                <w:color w:val="auto"/>
                <w:kern w:val="0"/>
                <w:szCs w:val="21"/>
                <w:highlight w:val="none"/>
              </w:rPr>
              <w:t>3</w:t>
            </w:r>
            <w:r>
              <w:rPr>
                <w:rFonts w:ascii="宋体" w:hAnsi="宋体" w:cs="宋体"/>
                <w:color w:val="auto"/>
                <w:kern w:val="0"/>
                <w:szCs w:val="21"/>
                <w:highlight w:val="none"/>
              </w:rPr>
              <w:t>项的，得</w:t>
            </w:r>
            <w:r>
              <w:rPr>
                <w:rFonts w:hint="eastAsia" w:ascii="宋体" w:hAnsi="宋体" w:cs="宋体"/>
                <w:color w:val="auto"/>
                <w:kern w:val="0"/>
                <w:szCs w:val="21"/>
                <w:highlight w:val="none"/>
              </w:rPr>
              <w:t>3</w:t>
            </w:r>
            <w:r>
              <w:rPr>
                <w:rFonts w:ascii="宋体" w:hAnsi="宋体" w:cs="宋体"/>
                <w:color w:val="auto"/>
                <w:kern w:val="0"/>
                <w:szCs w:val="21"/>
                <w:highlight w:val="none"/>
              </w:rPr>
              <w:t>分；</w:t>
            </w:r>
            <w:r>
              <w:rPr>
                <w:rFonts w:hint="eastAsia" w:ascii="宋体" w:hAnsi="宋体" w:cs="宋体"/>
                <w:color w:val="auto"/>
                <w:kern w:val="0"/>
                <w:szCs w:val="21"/>
                <w:highlight w:val="none"/>
              </w:rPr>
              <w:t>其他不得分</w:t>
            </w:r>
            <w:r>
              <w:rPr>
                <w:rFonts w:hint="eastAsia" w:ascii="宋体" w:hAnsi="宋体" w:cs="宋体"/>
                <w:color w:val="auto"/>
                <w:kern w:val="0"/>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jc w:val="center"/>
        </w:trPr>
        <w:tc>
          <w:tcPr>
            <w:tcW w:w="1080" w:type="dxa"/>
            <w:vMerge w:val="continue"/>
            <w:shd w:val="clear" w:color="auto" w:fill="FFFFFF"/>
            <w:vAlign w:val="center"/>
          </w:tcPr>
          <w:p>
            <w:pPr>
              <w:pStyle w:val="354"/>
              <w:shd w:val="clear" w:color="auto" w:fill="auto"/>
              <w:snapToGrid w:val="0"/>
              <w:spacing w:line="240" w:lineRule="auto"/>
              <w:jc w:val="center"/>
              <w:rPr>
                <w:color w:val="auto"/>
                <w:sz w:val="21"/>
                <w:szCs w:val="21"/>
                <w:highlight w:val="none"/>
              </w:rPr>
            </w:pPr>
          </w:p>
        </w:tc>
        <w:tc>
          <w:tcPr>
            <w:tcW w:w="2076" w:type="dxa"/>
            <w:shd w:val="clear" w:color="auto" w:fill="FFFFFF"/>
            <w:vAlign w:val="center"/>
          </w:tcPr>
          <w:p>
            <w:pPr>
              <w:tabs>
                <w:tab w:val="left" w:pos="360"/>
              </w:tabs>
              <w:wordWrap w:val="0"/>
              <w:jc w:val="center"/>
              <w:rPr>
                <w:rStyle w:val="369"/>
                <w:rFonts w:ascii="宋体" w:hAnsi="宋体" w:cs="宋体"/>
                <w:color w:val="auto"/>
                <w:szCs w:val="21"/>
                <w:highlight w:val="none"/>
              </w:rPr>
            </w:pPr>
            <w:r>
              <w:rPr>
                <w:rFonts w:hint="eastAsia" w:ascii="宋体" w:hAnsi="宋体" w:cs="宋体"/>
                <w:color w:val="auto"/>
                <w:kern w:val="0"/>
                <w:szCs w:val="21"/>
                <w:highlight w:val="none"/>
              </w:rPr>
              <w:t>工程奖项</w:t>
            </w:r>
          </w:p>
        </w:tc>
        <w:tc>
          <w:tcPr>
            <w:tcW w:w="654" w:type="dxa"/>
            <w:shd w:val="clear" w:color="auto" w:fill="FFFFFF"/>
            <w:vAlign w:val="center"/>
          </w:tcPr>
          <w:p>
            <w:pPr>
              <w:tabs>
                <w:tab w:val="left" w:pos="360"/>
              </w:tabs>
              <w:snapToGrid w:val="0"/>
              <w:jc w:val="center"/>
              <w:rPr>
                <w:rStyle w:val="369"/>
                <w:rFonts w:ascii="宋体" w:hAnsi="宋体" w:cs="宋体"/>
                <w:color w:val="auto"/>
                <w:szCs w:val="21"/>
                <w:highlight w:val="none"/>
              </w:rPr>
            </w:pPr>
            <w:r>
              <w:rPr>
                <w:rFonts w:hint="eastAsia" w:ascii="宋体" w:hAnsi="宋体" w:cs="宋体"/>
                <w:bCs/>
                <w:color w:val="auto"/>
                <w:kern w:val="0"/>
                <w:szCs w:val="21"/>
                <w:highlight w:val="none"/>
              </w:rPr>
              <w:t>6</w:t>
            </w:r>
          </w:p>
        </w:tc>
        <w:tc>
          <w:tcPr>
            <w:tcW w:w="11388" w:type="dxa"/>
            <w:shd w:val="clear" w:color="auto" w:fill="FFFFFF"/>
            <w:vAlign w:val="center"/>
          </w:tcPr>
          <w:p>
            <w:pPr>
              <w:wordWrap w:val="0"/>
              <w:snapToGrid w:val="0"/>
              <w:ind w:left="92" w:leftChars="44" w:right="78" w:rightChars="37"/>
              <w:rPr>
                <w:rFonts w:ascii="宋体" w:hAnsi="宋体" w:cs="宋体"/>
                <w:bCs/>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kern w:val="0"/>
                <w:szCs w:val="21"/>
                <w:highlight w:val="none"/>
                <w:lang w:val="zh-CN"/>
              </w:rPr>
              <w:t>所提供的类似工程业绩中，</w:t>
            </w:r>
            <w:r>
              <w:rPr>
                <w:rFonts w:hint="eastAsia" w:ascii="宋体" w:hAnsi="宋体" w:cs="宋体"/>
                <w:color w:val="auto"/>
                <w:szCs w:val="21"/>
                <w:highlight w:val="none"/>
              </w:rPr>
              <w:t>获得过市级或以上工程质量类或安全奖项的，每项得1.5分，最多得6分。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9" w:hRule="atLeast"/>
          <w:jc w:val="center"/>
        </w:trPr>
        <w:tc>
          <w:tcPr>
            <w:tcW w:w="1080" w:type="dxa"/>
            <w:vMerge w:val="continue"/>
            <w:shd w:val="clear" w:color="auto" w:fill="FFFFFF"/>
            <w:vAlign w:val="center"/>
          </w:tcPr>
          <w:p>
            <w:pPr>
              <w:pStyle w:val="354"/>
              <w:shd w:val="clear" w:color="auto" w:fill="auto"/>
              <w:snapToGrid w:val="0"/>
              <w:spacing w:line="240" w:lineRule="auto"/>
              <w:jc w:val="center"/>
              <w:rPr>
                <w:color w:val="auto"/>
                <w:sz w:val="21"/>
                <w:szCs w:val="21"/>
                <w:highlight w:val="none"/>
              </w:rPr>
            </w:pPr>
          </w:p>
        </w:tc>
        <w:tc>
          <w:tcPr>
            <w:tcW w:w="2076" w:type="dxa"/>
            <w:shd w:val="clear" w:color="auto" w:fill="FFFFFF"/>
            <w:vAlign w:val="center"/>
          </w:tcPr>
          <w:p>
            <w:pPr>
              <w:tabs>
                <w:tab w:val="left" w:pos="360"/>
              </w:tabs>
              <w:wordWrap w:val="0"/>
              <w:jc w:val="center"/>
              <w:rPr>
                <w:rFonts w:ascii="宋体" w:hAnsi="宋体" w:cs="宋体"/>
                <w:color w:val="auto"/>
                <w:kern w:val="0"/>
                <w:szCs w:val="21"/>
                <w:highlight w:val="none"/>
              </w:rPr>
            </w:pPr>
            <w:r>
              <w:rPr>
                <w:rFonts w:hint="eastAsia" w:cs="宋体"/>
                <w:color w:val="auto"/>
                <w:kern w:val="0"/>
                <w:szCs w:val="21"/>
                <w:highlight w:val="none"/>
              </w:rPr>
              <w:t>工程研发能力</w:t>
            </w:r>
          </w:p>
        </w:tc>
        <w:tc>
          <w:tcPr>
            <w:tcW w:w="654" w:type="dxa"/>
            <w:shd w:val="clear" w:color="auto" w:fill="FFFFFF"/>
            <w:vAlign w:val="center"/>
          </w:tcPr>
          <w:p>
            <w:pPr>
              <w:tabs>
                <w:tab w:val="left" w:pos="360"/>
              </w:tabs>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4</w:t>
            </w:r>
          </w:p>
        </w:tc>
        <w:tc>
          <w:tcPr>
            <w:tcW w:w="11388" w:type="dxa"/>
            <w:shd w:val="clear" w:color="auto" w:fill="FFFFFF"/>
            <w:vAlign w:val="center"/>
          </w:tcPr>
          <w:p>
            <w:pPr>
              <w:widowControl/>
              <w:adjustRightInd w:val="0"/>
              <w:snapToGrid w:val="0"/>
              <w:ind w:right="42" w:rightChars="20"/>
              <w:rPr>
                <w:rFonts w:ascii="宋体" w:hAnsi="宋体"/>
                <w:color w:val="auto"/>
                <w:highlight w:val="none"/>
              </w:rPr>
            </w:pPr>
            <w:r>
              <w:rPr>
                <w:rFonts w:hint="eastAsia" w:ascii="宋体" w:hAnsi="宋体" w:cs="宋体"/>
                <w:bCs/>
                <w:color w:val="auto"/>
                <w:highlight w:val="none"/>
              </w:rPr>
              <w:t>投标人自2018年1月1日至今，获得过工程建设类发明授权专利：获得50项或以上的，得4分；获得50至31项的，得2分；获得30至10项的，得1分；其于不得分。未提供上述资料的或所提供的证明资料不符合要求的不得分。本小项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0" w:hRule="atLeast"/>
          <w:jc w:val="center"/>
        </w:trPr>
        <w:tc>
          <w:tcPr>
            <w:tcW w:w="1080" w:type="dxa"/>
            <w:vMerge w:val="continue"/>
            <w:shd w:val="clear" w:color="auto" w:fill="FFFFFF"/>
            <w:vAlign w:val="center"/>
          </w:tcPr>
          <w:p>
            <w:pPr>
              <w:pStyle w:val="354"/>
              <w:shd w:val="clear" w:color="auto" w:fill="auto"/>
              <w:snapToGrid w:val="0"/>
              <w:spacing w:line="240" w:lineRule="auto"/>
              <w:jc w:val="center"/>
              <w:rPr>
                <w:color w:val="auto"/>
                <w:sz w:val="21"/>
                <w:szCs w:val="21"/>
                <w:highlight w:val="none"/>
              </w:rPr>
            </w:pPr>
          </w:p>
        </w:tc>
        <w:tc>
          <w:tcPr>
            <w:tcW w:w="2076" w:type="dxa"/>
            <w:shd w:val="clear" w:color="auto" w:fill="FFFFFF"/>
            <w:vAlign w:val="center"/>
          </w:tcPr>
          <w:p>
            <w:pPr>
              <w:tabs>
                <w:tab w:val="left" w:pos="360"/>
              </w:tabs>
              <w:wordWrap w:val="0"/>
              <w:jc w:val="center"/>
              <w:rPr>
                <w:rFonts w:ascii="宋体" w:hAnsi="宋体" w:cs="宋体"/>
                <w:bCs/>
                <w:color w:val="auto"/>
                <w:kern w:val="0"/>
                <w:szCs w:val="21"/>
                <w:highlight w:val="none"/>
              </w:rPr>
            </w:pPr>
            <w:r>
              <w:rPr>
                <w:rFonts w:hint="eastAsia" w:ascii="宋体" w:hAnsi="宋体" w:cs="宋体"/>
                <w:color w:val="auto"/>
                <w:kern w:val="0"/>
                <w:szCs w:val="21"/>
                <w:highlight w:val="none"/>
              </w:rPr>
              <w:t>第三方评价</w:t>
            </w:r>
          </w:p>
        </w:tc>
        <w:tc>
          <w:tcPr>
            <w:tcW w:w="654" w:type="dxa"/>
            <w:shd w:val="clear" w:color="auto" w:fill="FFFFFF"/>
            <w:vAlign w:val="center"/>
          </w:tcPr>
          <w:p>
            <w:pPr>
              <w:tabs>
                <w:tab w:val="left" w:pos="360"/>
              </w:tabs>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6</w:t>
            </w:r>
          </w:p>
        </w:tc>
        <w:tc>
          <w:tcPr>
            <w:tcW w:w="11388" w:type="dxa"/>
            <w:shd w:val="clear" w:color="auto" w:fill="FFFFFF"/>
            <w:vAlign w:val="center"/>
          </w:tcPr>
          <w:p>
            <w:pPr>
              <w:snapToGrid w:val="0"/>
              <w:ind w:left="92" w:leftChars="44" w:right="78" w:rightChars="37"/>
              <w:rPr>
                <w:color w:val="auto"/>
                <w:highlight w:val="none"/>
                <w:lang w:val="zh-CN"/>
              </w:rPr>
            </w:pPr>
            <w:r>
              <w:rPr>
                <w:rFonts w:hint="eastAsia"/>
                <w:color w:val="auto"/>
                <w:highlight w:val="none"/>
              </w:rPr>
              <w:t>投标人自2018年1月1日</w:t>
            </w:r>
            <w:r>
              <w:rPr>
                <w:rFonts w:hint="eastAsia"/>
                <w:color w:val="auto"/>
                <w:highlight w:val="none"/>
                <w:lang w:val="zh-CN"/>
              </w:rPr>
              <w:t>至今：</w:t>
            </w:r>
          </w:p>
          <w:p>
            <w:pPr>
              <w:snapToGrid w:val="0"/>
              <w:ind w:left="92" w:leftChars="44" w:right="78" w:rightChars="37"/>
              <w:rPr>
                <w:color w:val="auto"/>
                <w:highlight w:val="none"/>
              </w:rPr>
            </w:pPr>
            <w:r>
              <w:rPr>
                <w:rFonts w:hint="eastAsia"/>
                <w:color w:val="auto"/>
                <w:highlight w:val="none"/>
              </w:rPr>
              <w:t>（1）获得由“中国施工企业管理协会”颁发的“工程建设诚信典型企业”称号，（以获奖证书上载明的时间为准）：获得3次及以上得2分；获得2次得1分；获得1次得0.5分；其余情况不得分，本小项最高得2分。</w:t>
            </w:r>
          </w:p>
          <w:p>
            <w:pPr>
              <w:snapToGrid w:val="0"/>
              <w:ind w:left="92" w:leftChars="44" w:right="78" w:rightChars="37"/>
              <w:rPr>
                <w:color w:val="auto"/>
                <w:highlight w:val="none"/>
              </w:rPr>
            </w:pPr>
            <w:r>
              <w:rPr>
                <w:rFonts w:hint="eastAsia"/>
                <w:color w:val="auto"/>
                <w:highlight w:val="none"/>
              </w:rPr>
              <w:t>（2）获得过中国施工企业管理协会认定的工程建设企业信用星级13星(不含)以上的，得2分；11星(不含)至13星(含)的，得1分；8星(不含)至11星(含)的，得</w:t>
            </w:r>
            <w:r>
              <w:rPr>
                <w:rFonts w:hint="eastAsia"/>
                <w:color w:val="auto"/>
                <w:highlight w:val="none"/>
              </w:rPr>
              <w:t>0.5分；</w:t>
            </w:r>
            <w:r>
              <w:rPr>
                <w:rFonts w:hint="eastAsia"/>
                <w:color w:val="auto"/>
                <w:highlight w:val="none"/>
                <w:lang w:val="en-US" w:eastAsia="zh-CN"/>
              </w:rPr>
              <w:t>8星（含）以下得0.2分</w:t>
            </w:r>
            <w:r>
              <w:rPr>
                <w:rFonts w:hint="eastAsia"/>
                <w:color w:val="auto"/>
                <w:highlight w:val="none"/>
              </w:rPr>
              <w:t>，本小项最高得2分。</w:t>
            </w:r>
          </w:p>
          <w:p>
            <w:pPr>
              <w:snapToGrid w:val="0"/>
              <w:ind w:left="92" w:leftChars="44" w:right="78" w:rightChars="37"/>
              <w:rPr>
                <w:color w:val="auto"/>
                <w:highlight w:val="none"/>
              </w:rPr>
            </w:pPr>
            <w:r>
              <w:rPr>
                <w:rFonts w:hint="eastAsia"/>
                <w:color w:val="auto"/>
                <w:highlight w:val="none"/>
              </w:rPr>
              <w:t>（3）获得由“中国建筑业协会”颁发的“企业信用等级证书”信用状况评价或复审</w:t>
            </w:r>
            <w:r>
              <w:rPr>
                <w:rFonts w:hint="eastAsia"/>
                <w:color w:val="auto"/>
                <w:highlight w:val="none"/>
              </w:rPr>
              <w:t>结果为AAA级，连续 5年，得2分；连续4年，得 1分；连续3年，得0.5分；其余情况不得分，本小项最高得2分。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3156" w:type="dxa"/>
            <w:gridSpan w:val="2"/>
            <w:shd w:val="clear" w:color="auto" w:fill="FFFFFF"/>
            <w:vAlign w:val="center"/>
          </w:tcPr>
          <w:p>
            <w:pPr>
              <w:pStyle w:val="354"/>
              <w:shd w:val="clear" w:color="auto" w:fill="auto"/>
              <w:snapToGrid w:val="0"/>
              <w:spacing w:line="240" w:lineRule="auto"/>
              <w:jc w:val="center"/>
              <w:rPr>
                <w:rFonts w:cs="宋体"/>
                <w:color w:val="auto"/>
                <w:sz w:val="21"/>
                <w:szCs w:val="21"/>
                <w:highlight w:val="none"/>
                <w:shd w:val="clear" w:color="auto" w:fill="FFFFFF"/>
                <w:lang w:val="zh-TW"/>
              </w:rPr>
            </w:pPr>
            <w:r>
              <w:rPr>
                <w:rFonts w:hint="eastAsia" w:cs="宋体"/>
                <w:color w:val="auto"/>
                <w:sz w:val="21"/>
                <w:szCs w:val="21"/>
                <w:highlight w:val="none"/>
                <w:shd w:val="clear" w:color="auto" w:fill="FFFFFF"/>
                <w:lang w:val="zh-TW"/>
              </w:rPr>
              <w:t>合计</w:t>
            </w:r>
          </w:p>
        </w:tc>
        <w:tc>
          <w:tcPr>
            <w:tcW w:w="654" w:type="dxa"/>
            <w:shd w:val="clear" w:color="auto" w:fill="FFFFFF"/>
            <w:vAlign w:val="center"/>
          </w:tcPr>
          <w:p>
            <w:pPr>
              <w:pStyle w:val="354"/>
              <w:shd w:val="clear" w:color="auto" w:fill="auto"/>
              <w:snapToGrid w:val="0"/>
              <w:spacing w:line="240" w:lineRule="auto"/>
              <w:jc w:val="center"/>
              <w:rPr>
                <w:rStyle w:val="368"/>
                <w:rFonts w:ascii="宋体" w:hAnsi="宋体" w:eastAsia="宋体"/>
                <w:color w:val="auto"/>
                <w:sz w:val="21"/>
                <w:szCs w:val="21"/>
                <w:highlight w:val="none"/>
              </w:rPr>
            </w:pPr>
            <w:r>
              <w:rPr>
                <w:rStyle w:val="368"/>
                <w:rFonts w:ascii="宋体" w:hAnsi="宋体" w:eastAsia="宋体"/>
                <w:color w:val="auto"/>
                <w:sz w:val="21"/>
                <w:szCs w:val="21"/>
                <w:highlight w:val="none"/>
              </w:rPr>
              <w:t>100</w:t>
            </w:r>
          </w:p>
        </w:tc>
        <w:tc>
          <w:tcPr>
            <w:tcW w:w="11388" w:type="dxa"/>
            <w:shd w:val="clear" w:color="auto" w:fill="FFFFFF"/>
            <w:vAlign w:val="center"/>
          </w:tcPr>
          <w:p>
            <w:pPr>
              <w:pStyle w:val="354"/>
              <w:shd w:val="clear" w:color="auto" w:fill="auto"/>
              <w:snapToGrid w:val="0"/>
              <w:spacing w:line="240" w:lineRule="auto"/>
              <w:rPr>
                <w:color w:val="auto"/>
                <w:spacing w:val="10"/>
                <w:sz w:val="21"/>
                <w:szCs w:val="21"/>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注：</w:t>
      </w:r>
    </w:p>
    <w:p>
      <w:pPr>
        <w:snapToGrid w:val="0"/>
        <w:spacing w:line="360" w:lineRule="auto"/>
        <w:ind w:firstLine="424" w:firstLineChars="201"/>
        <w:rPr>
          <w:rFonts w:ascii="宋体" w:hAnsi="宋体" w:cs="宋体"/>
          <w:b/>
          <w:color w:val="auto"/>
          <w:kern w:val="0"/>
          <w:szCs w:val="21"/>
          <w:highlight w:val="none"/>
        </w:rPr>
      </w:pPr>
      <w:r>
        <w:rPr>
          <w:rFonts w:hint="eastAsia" w:ascii="宋体" w:hAnsi="宋体" w:cs="宋体"/>
          <w:b/>
          <w:color w:val="auto"/>
          <w:kern w:val="0"/>
          <w:szCs w:val="21"/>
          <w:highlight w:val="none"/>
        </w:rPr>
        <w:t>1、投标人技术标将作为合同附件，工期计划、劳动力投入、技术负责人、质量控制措施及质量标准等作为履约责任，并在合同中进行约定。</w:t>
      </w:r>
    </w:p>
    <w:p>
      <w:pPr>
        <w:snapToGrid w:val="0"/>
        <w:spacing w:line="360" w:lineRule="auto"/>
        <w:ind w:firstLine="424" w:firstLineChars="201"/>
        <w:rPr>
          <w:rFonts w:ascii="宋体" w:hAnsi="宋体" w:cs="宋体"/>
          <w:color w:val="auto"/>
          <w:szCs w:val="21"/>
          <w:highlight w:val="none"/>
        </w:rPr>
      </w:pPr>
      <w:r>
        <w:rPr>
          <w:rFonts w:hint="eastAsia" w:ascii="宋体" w:hAnsi="宋体" w:cs="宋体"/>
          <w:b/>
          <w:color w:val="auto"/>
          <w:kern w:val="0"/>
          <w:szCs w:val="21"/>
          <w:highlight w:val="none"/>
        </w:rPr>
        <w:t>2、项目管理机构能力</w:t>
      </w:r>
    </w:p>
    <w:p>
      <w:pPr>
        <w:snapToGrid w:val="0"/>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（1）上述人员需提供身份证、职称证书或执业资格证书（如有）扫描件并加盖投标人电子印章；各岗位人员不得相互兼职，上述材料不提供或提供不齐全的不得分。</w:t>
      </w:r>
    </w:p>
    <w:p>
      <w:pPr>
        <w:snapToGrid w:val="0"/>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（2）上述人员除须提供相关证明资料外，还须提供近一个月（即</w:t>
      </w:r>
      <w:r>
        <w:rPr>
          <w:rFonts w:ascii="宋体" w:hAnsi="宋体" w:cs="宋体"/>
          <w:color w:val="auto"/>
          <w:szCs w:val="21"/>
          <w:highlight w:val="none"/>
        </w:rPr>
        <w:t>202</w:t>
      </w:r>
      <w:r>
        <w:rPr>
          <w:rFonts w:hint="eastAsia" w:ascii="宋体" w:hAnsi="宋体" w:cs="宋体"/>
          <w:color w:val="auto"/>
          <w:szCs w:val="21"/>
          <w:highlight w:val="none"/>
        </w:rPr>
        <w:t>3</w:t>
      </w:r>
      <w:r>
        <w:rPr>
          <w:rFonts w:ascii="宋体" w:hAnsi="宋体" w:cs="宋体"/>
          <w:color w:val="auto"/>
          <w:szCs w:val="21"/>
          <w:highlight w:val="none"/>
        </w:rPr>
        <w:t>年</w:t>
      </w:r>
      <w:r>
        <w:rPr>
          <w:rFonts w:hint="eastAsia" w:ascii="宋体" w:hAnsi="宋体" w:cs="宋体"/>
          <w:color w:val="auto"/>
          <w:szCs w:val="21"/>
          <w:highlight w:val="none"/>
        </w:rPr>
        <w:t>7月）在投标人单位参保的社保缴纳记录证明扫描件（若当地政府部门允许企业在疫情期间缓缴社会保险费且投标人未缴纳的，投标人可提供当地政府部门允许缓缴社保的相关文件作为缴纳社保的证明，确定中标人后，招标人将核实中标人拟派人员的社保补缴情况），未提供或提供资料不全的不得分。</w:t>
      </w:r>
    </w:p>
    <w:p>
      <w:pPr>
        <w:snapToGrid w:val="0"/>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（3）“建筑工程类”技术职称是指包含建筑施工管理、建筑施工、工程管理、建筑工程造价、建筑生产技术管理等工程项目建设所</w:t>
      </w:r>
      <w:bookmarkStart w:id="90" w:name="_GoBack"/>
      <w:bookmarkEnd w:id="90"/>
      <w:r>
        <w:rPr>
          <w:rFonts w:hint="eastAsia" w:ascii="宋体" w:hAnsi="宋体" w:cs="宋体"/>
          <w:color w:val="auto"/>
          <w:szCs w:val="21"/>
          <w:highlight w:val="none"/>
        </w:rPr>
        <w:t>涉及的相关专业的技术职称。</w:t>
      </w:r>
    </w:p>
    <w:p>
      <w:pPr>
        <w:snapToGrid w:val="0"/>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pPr>
        <w:tabs>
          <w:tab w:val="left" w:pos="360"/>
        </w:tabs>
        <w:wordWrap w:val="0"/>
        <w:snapToGrid w:val="0"/>
        <w:spacing w:line="360" w:lineRule="auto"/>
        <w:ind w:firstLine="424" w:firstLineChars="201"/>
        <w:rPr>
          <w:rFonts w:ascii="宋体" w:hAnsi="宋体" w:cs="宋体"/>
          <w:bCs/>
          <w:color w:val="auto"/>
          <w:kern w:val="0"/>
          <w:szCs w:val="21"/>
          <w:highlight w:val="none"/>
        </w:rPr>
      </w:pPr>
      <w:r>
        <w:rPr>
          <w:rFonts w:hint="eastAsia" w:ascii="宋体" w:hAnsi="宋体" w:cs="宋体"/>
          <w:b/>
          <w:color w:val="auto"/>
          <w:kern w:val="0"/>
          <w:szCs w:val="21"/>
          <w:highlight w:val="none"/>
        </w:rPr>
        <w:t>3、企业类似工程业绩：</w:t>
      </w:r>
    </w:p>
    <w:p>
      <w:pPr>
        <w:snapToGrid w:val="0"/>
        <w:spacing w:line="360" w:lineRule="auto"/>
        <w:ind w:firstLine="422" w:firstLineChars="201"/>
        <w:rPr>
          <w:rFonts w:ascii="宋体" w:hAnsi="宋体" w:cs="宋体"/>
          <w:b/>
          <w:color w:val="auto"/>
          <w:kern w:val="0"/>
          <w:szCs w:val="21"/>
          <w:highlight w:val="none"/>
        </w:rPr>
      </w:pPr>
      <w:r>
        <w:rPr>
          <w:rFonts w:hint="eastAsia" w:ascii="宋体" w:hAnsi="宋体" w:cs="宋体"/>
          <w:color w:val="auto"/>
          <w:szCs w:val="21"/>
          <w:highlight w:val="none"/>
        </w:rPr>
        <w:t>业绩取自广州市住建行业信用管理平台。投标人须同时提供类似工程业绩在广州市住建行业信用管理平台的项目名称、项目编号及网页信息截图（网页信息截图须能清晰显示带有“住建行业信用管理平台”名称，并至少包含“项目基本信息”等信息）（业绩相关附件的上传件可不提交）。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④完成时间以业绩网页中“验收材料-验收日期”的信息为准，业绩金额以业绩网页中中标价的信息为准，若中标价没有显示金额的，以网页中合同价信息为准。评标委员会对业绩的评审以投标截止时间在平台内业绩上传件为依据。广州市住建行业信用管理平台内业绩上传件不符合上述要求的或登记的工程资质内容与施工合同等业绩证明资料不相符的，该项业绩不予认定。</w:t>
      </w:r>
    </w:p>
    <w:p>
      <w:pPr>
        <w:tabs>
          <w:tab w:val="left" w:pos="360"/>
        </w:tabs>
        <w:wordWrap w:val="0"/>
        <w:snapToGrid w:val="0"/>
        <w:spacing w:line="360" w:lineRule="auto"/>
        <w:ind w:firstLine="424" w:firstLineChars="201"/>
        <w:rPr>
          <w:rFonts w:ascii="宋体" w:hAnsi="宋体" w:cs="宋体"/>
          <w:b/>
          <w:color w:val="auto"/>
          <w:kern w:val="0"/>
          <w:szCs w:val="21"/>
          <w:highlight w:val="none"/>
        </w:rPr>
      </w:pPr>
      <w:r>
        <w:rPr>
          <w:rFonts w:hint="eastAsia" w:ascii="宋体" w:hAnsi="宋体" w:cs="宋体"/>
          <w:b/>
          <w:color w:val="auto"/>
          <w:kern w:val="0"/>
          <w:szCs w:val="21"/>
          <w:highlight w:val="none"/>
        </w:rPr>
        <w:t>4、工程奖项：</w:t>
      </w:r>
    </w:p>
    <w:p>
      <w:pPr>
        <w:tabs>
          <w:tab w:val="left" w:pos="360"/>
        </w:tabs>
        <w:wordWrap w:val="0"/>
        <w:snapToGrid w:val="0"/>
        <w:spacing w:line="360" w:lineRule="auto"/>
        <w:ind w:firstLine="422" w:firstLineChars="201"/>
        <w:rPr>
          <w:color w:val="auto"/>
          <w:highlight w:val="none"/>
        </w:rPr>
      </w:pPr>
      <w:r>
        <w:rPr>
          <w:rFonts w:hint="eastAsia" w:ascii="宋体" w:hAnsi="宋体" w:cs="宋体"/>
          <w:bCs/>
          <w:color w:val="auto"/>
          <w:kern w:val="0"/>
          <w:szCs w:val="21"/>
          <w:highlight w:val="none"/>
        </w:rPr>
        <w:t>获奖：①其中国家级奖项包括：中国建设工程鲁班奖、国家优质工程奖（含国家优质工程金奖、国家优质工程金质奖）、中国土木工程詹天佑奖、建设工程项目施工安全生产标准化工地(原国家AAA级安全文明标准化诚信工地)；省或市级奖项包括：由省、市级建设行政主管部门或行业协会颁发的质量类或安全类工程奖项。不含钢结构类、装饰类、绿色施工类、技术类奖项及“参建”类奖项。②</w:t>
      </w:r>
      <w:r>
        <w:rPr>
          <w:rFonts w:hint="eastAsia" w:ascii="宋体" w:hAnsi="宋体" w:cs="宋体"/>
          <w:bCs/>
          <w:color w:val="auto"/>
          <w:kern w:val="0"/>
          <w:szCs w:val="21"/>
          <w:highlight w:val="none"/>
          <w:lang w:val="zh-TW"/>
        </w:rPr>
        <w:t>同一项目获得多个奖项的，按最高级别奖项只计一次得分。</w:t>
      </w:r>
      <w:r>
        <w:rPr>
          <w:rFonts w:hint="eastAsia" w:ascii="宋体" w:hAnsi="宋体" w:cs="宋体"/>
          <w:bCs/>
          <w:color w:val="auto"/>
          <w:kern w:val="0"/>
          <w:szCs w:val="21"/>
          <w:highlight w:val="none"/>
        </w:rPr>
        <w:t>③只计算房屋建筑工程类的质量类或安全类工程奖项，其他非房建项目，如：路桥、铁路、水利、电力、化工、冶金、市政等的获奖不参与计分。</w:t>
      </w:r>
      <w:r>
        <w:rPr>
          <w:rFonts w:hint="eastAsia" w:ascii="宋体" w:hAnsi="宋体" w:cs="宋体"/>
          <w:bCs/>
          <w:color w:val="auto"/>
          <w:kern w:val="0"/>
          <w:szCs w:val="21"/>
          <w:highlight w:val="none"/>
          <w:lang w:val="zh-TW"/>
        </w:rPr>
        <w:t>④</w:t>
      </w:r>
      <w:r>
        <w:rPr>
          <w:rFonts w:hint="eastAsia" w:ascii="宋体" w:hAnsi="宋体" w:cs="宋体"/>
          <w:bCs/>
          <w:color w:val="auto"/>
          <w:kern w:val="0"/>
          <w:szCs w:val="21"/>
          <w:highlight w:val="none"/>
        </w:rPr>
        <w:t>只计算投标人提供的</w:t>
      </w:r>
      <w:r>
        <w:rPr>
          <w:rFonts w:hint="eastAsia" w:ascii="宋体" w:hAnsi="宋体" w:cs="宋体"/>
          <w:color w:val="auto"/>
          <w:kern w:val="0"/>
          <w:szCs w:val="21"/>
          <w:highlight w:val="none"/>
        </w:rPr>
        <w:t>类似工程业绩</w:t>
      </w:r>
      <w:r>
        <w:rPr>
          <w:rFonts w:hint="eastAsia" w:ascii="宋体" w:hAnsi="宋体" w:cs="宋体"/>
          <w:bCs/>
          <w:color w:val="auto"/>
          <w:kern w:val="0"/>
          <w:szCs w:val="21"/>
          <w:highlight w:val="none"/>
        </w:rPr>
        <w:t>所获的奖项。⑤获奖可取自广州市住建行业信用管理平台。⑥获奖证书的颁发日期是指2018年1月1日至今。投标人须提供获奖证书或获奖名单等证明文件复印件以供核对，未提供的不得分。</w:t>
      </w:r>
    </w:p>
    <w:p>
      <w:pPr>
        <w:tabs>
          <w:tab w:val="left" w:pos="360"/>
        </w:tabs>
        <w:wordWrap w:val="0"/>
        <w:snapToGrid w:val="0"/>
        <w:spacing w:line="360" w:lineRule="auto"/>
        <w:ind w:firstLine="422" w:firstLineChars="201"/>
        <w:rPr>
          <w:rFonts w:ascii="宋体" w:hAnsi="宋体" w:cs="宋体"/>
          <w:b/>
          <w:color w:val="auto"/>
          <w:kern w:val="0"/>
          <w:szCs w:val="21"/>
          <w:highlight w:val="none"/>
        </w:rPr>
      </w:pPr>
      <w:r>
        <w:rPr>
          <w:rFonts w:hint="eastAsia" w:ascii="宋体" w:hAnsi="宋体" w:cs="宋体"/>
          <w:bCs/>
          <w:color w:val="auto"/>
          <w:kern w:val="0"/>
          <w:szCs w:val="21"/>
          <w:highlight w:val="none"/>
        </w:rPr>
        <w:t>5</w:t>
      </w:r>
      <w:r>
        <w:rPr>
          <w:rFonts w:hint="eastAsia" w:ascii="宋体" w:hAnsi="宋体" w:cs="宋体"/>
          <w:b/>
          <w:color w:val="auto"/>
          <w:kern w:val="0"/>
          <w:szCs w:val="21"/>
          <w:highlight w:val="none"/>
        </w:rPr>
        <w:t>、工程研发能力</w:t>
      </w:r>
    </w:p>
    <w:p>
      <w:pPr>
        <w:tabs>
          <w:tab w:val="left" w:pos="360"/>
        </w:tabs>
        <w:wordWrap w:val="0"/>
        <w:snapToGrid w:val="0"/>
        <w:spacing w:line="360" w:lineRule="auto"/>
        <w:ind w:firstLine="422" w:firstLineChars="201"/>
        <w:rPr>
          <w:rFonts w:ascii="宋体" w:hAnsi="宋体" w:cs="宋体"/>
          <w:bCs/>
          <w:color w:val="auto"/>
          <w:kern w:val="0"/>
          <w:szCs w:val="21"/>
          <w:highlight w:val="none"/>
        </w:rPr>
      </w:pPr>
      <w:r>
        <w:rPr>
          <w:rFonts w:hint="eastAsia" w:ascii="宋体" w:hAnsi="宋体" w:cs="宋体"/>
          <w:bCs/>
          <w:color w:val="auto"/>
          <w:kern w:val="0"/>
          <w:szCs w:val="21"/>
          <w:highlight w:val="none"/>
        </w:rPr>
        <w:t>工程建设类发明授权专利以国家知识产权局网站（http://epub.cnipa.gov.cn/）中的“中国专利公布公告”-“发明授权”可查询的发明授权类专利为准，时间以授权公告日期为准，投标人须提交上述网站可反映企业专利类型为“发明授权”、授权公告号、授权公告日的查询页截图。仅计算发明授权类专利（不包含实用新型类专利、发明公布类专利及外观设计类专利）。获得单位须与投标人名称一致。不符合上述条件或未提供上述资料的不得分。</w:t>
      </w:r>
    </w:p>
    <w:p>
      <w:pPr>
        <w:tabs>
          <w:tab w:val="left" w:pos="360"/>
        </w:tabs>
        <w:wordWrap w:val="0"/>
        <w:snapToGrid w:val="0"/>
        <w:spacing w:line="360" w:lineRule="auto"/>
        <w:ind w:firstLine="424" w:firstLineChars="201"/>
        <w:rPr>
          <w:rFonts w:ascii="宋体" w:hAnsi="宋体" w:cs="宋体"/>
          <w:b/>
          <w:color w:val="auto"/>
          <w:kern w:val="0"/>
          <w:szCs w:val="21"/>
          <w:highlight w:val="none"/>
        </w:rPr>
      </w:pPr>
      <w:r>
        <w:rPr>
          <w:rFonts w:hint="eastAsia" w:ascii="宋体" w:hAnsi="宋体" w:cs="宋体"/>
          <w:b/>
          <w:color w:val="auto"/>
          <w:kern w:val="0"/>
          <w:szCs w:val="21"/>
          <w:highlight w:val="none"/>
        </w:rPr>
        <w:t>6、第三方评价</w:t>
      </w:r>
    </w:p>
    <w:p>
      <w:pPr>
        <w:tabs>
          <w:tab w:val="left" w:pos="360"/>
        </w:tabs>
        <w:wordWrap w:val="0"/>
        <w:snapToGrid w:val="0"/>
        <w:spacing w:line="360" w:lineRule="auto"/>
        <w:ind w:firstLine="422" w:firstLineChars="201"/>
        <w:rPr>
          <w:rFonts w:ascii="宋体" w:hAnsi="宋体" w:cs="宋体"/>
          <w:bCs/>
          <w:color w:val="auto"/>
          <w:kern w:val="0"/>
          <w:szCs w:val="21"/>
          <w:highlight w:val="none"/>
        </w:rPr>
      </w:pPr>
      <w:r>
        <w:rPr>
          <w:rFonts w:hint="eastAsia" w:ascii="宋体" w:hAnsi="宋体" w:cs="宋体"/>
          <w:bCs/>
          <w:color w:val="auto"/>
          <w:kern w:val="0"/>
          <w:szCs w:val="21"/>
          <w:highlight w:val="none"/>
        </w:rPr>
        <w:t>（1）投标人须提供中国施工企业管理协会颁发的“工程建设诚信典型企业”证书扫描件或提供中国施工企业管理协会工程建设行业信用体系建设平台（网址：</w:t>
      </w:r>
      <w:r>
        <w:rPr>
          <w:color w:val="auto"/>
          <w:highlight w:val="none"/>
        </w:rPr>
        <w:fldChar w:fldCharType="begin"/>
      </w:r>
      <w:r>
        <w:rPr>
          <w:color w:val="auto"/>
          <w:highlight w:val="none"/>
        </w:rPr>
        <w:instrText xml:space="preserve"> HYPERLINK "http://xy.cacem.com.cn/namelist/black.html）查询结果的网页截图。没有提供证书扫描件或网页截图的，该奖项不予认定。" </w:instrText>
      </w:r>
      <w:r>
        <w:rPr>
          <w:color w:val="auto"/>
          <w:highlight w:val="none"/>
        </w:rPr>
        <w:fldChar w:fldCharType="separate"/>
      </w:r>
      <w:r>
        <w:rPr>
          <w:rFonts w:hint="eastAsia" w:ascii="宋体" w:hAnsi="宋体" w:cs="宋体"/>
          <w:bCs/>
          <w:color w:val="auto"/>
          <w:kern w:val="0"/>
          <w:szCs w:val="21"/>
          <w:highlight w:val="none"/>
        </w:rPr>
        <w:t>http://xy.cacem.com.cn/namelist/black.html）查询结果的网页截图。没有提供证书扫描件或网页截图的，该奖项不予认定。</w:t>
      </w:r>
      <w:r>
        <w:rPr>
          <w:rFonts w:hint="eastAsia" w:ascii="宋体" w:hAnsi="宋体" w:cs="宋体"/>
          <w:bCs/>
          <w:color w:val="auto"/>
          <w:kern w:val="0"/>
          <w:szCs w:val="21"/>
          <w:highlight w:val="none"/>
        </w:rPr>
        <w:fldChar w:fldCharType="end"/>
      </w:r>
    </w:p>
    <w:p>
      <w:pPr>
        <w:tabs>
          <w:tab w:val="left" w:pos="360"/>
        </w:tabs>
        <w:wordWrap w:val="0"/>
        <w:snapToGrid w:val="0"/>
        <w:spacing w:line="360" w:lineRule="auto"/>
        <w:ind w:firstLine="422" w:firstLineChars="201"/>
        <w:rPr>
          <w:rFonts w:ascii="宋体" w:hAnsi="宋体" w:cs="宋体"/>
          <w:bCs/>
          <w:color w:val="auto"/>
          <w:kern w:val="0"/>
          <w:szCs w:val="21"/>
          <w:highlight w:val="none"/>
        </w:rPr>
      </w:pPr>
      <w:r>
        <w:rPr>
          <w:rFonts w:hint="eastAsia" w:ascii="宋体" w:hAnsi="宋体" w:cs="宋体"/>
          <w:bCs/>
          <w:color w:val="auto"/>
          <w:kern w:val="0"/>
          <w:szCs w:val="21"/>
          <w:highlight w:val="none"/>
        </w:rPr>
        <w:t>（2）投标人须提供中国施工企业管理协会信用评价工作委员会颁发的信用星级证书扫描件或提供中国施工企业管理协会工程建设行业信用体系建设平台（网址：</w:t>
      </w:r>
      <w:r>
        <w:rPr>
          <w:color w:val="auto"/>
          <w:highlight w:val="none"/>
        </w:rPr>
        <w:fldChar w:fldCharType="begin"/>
      </w:r>
      <w:r>
        <w:rPr>
          <w:color w:val="auto"/>
          <w:highlight w:val="none"/>
        </w:rPr>
        <w:instrText xml:space="preserve"> HYPERLINK "http://xy.cacem.com.cn/front_star_rating.html）查询结果的网页截图。没有提供证书扫描件或网页截图的，该奖项不予认定。" </w:instrText>
      </w:r>
      <w:r>
        <w:rPr>
          <w:color w:val="auto"/>
          <w:highlight w:val="none"/>
        </w:rPr>
        <w:fldChar w:fldCharType="separate"/>
      </w:r>
      <w:r>
        <w:rPr>
          <w:rFonts w:hint="eastAsia" w:ascii="宋体" w:hAnsi="宋体" w:cs="宋体"/>
          <w:bCs/>
          <w:color w:val="auto"/>
          <w:kern w:val="0"/>
          <w:szCs w:val="21"/>
          <w:highlight w:val="none"/>
        </w:rPr>
        <w:t>http://xy.cacem.com.cn/front_star_rating.html）查询结果的获奖名单网页截图。没有提供证书扫描件或网页截图的，该奖项不予认定。</w:t>
      </w:r>
      <w:r>
        <w:rPr>
          <w:rFonts w:hint="eastAsia" w:ascii="宋体" w:hAnsi="宋体" w:cs="宋体"/>
          <w:bCs/>
          <w:color w:val="auto"/>
          <w:kern w:val="0"/>
          <w:szCs w:val="21"/>
          <w:highlight w:val="none"/>
        </w:rPr>
        <w:fldChar w:fldCharType="end"/>
      </w:r>
    </w:p>
    <w:p>
      <w:pPr>
        <w:tabs>
          <w:tab w:val="left" w:pos="360"/>
        </w:tabs>
        <w:wordWrap w:val="0"/>
        <w:snapToGrid w:val="0"/>
        <w:spacing w:line="360" w:lineRule="auto"/>
        <w:ind w:firstLine="422" w:firstLineChars="201"/>
        <w:rPr>
          <w:rFonts w:ascii="宋体" w:hAnsi="宋体" w:cs="宋体"/>
          <w:bCs/>
          <w:color w:val="auto"/>
          <w:kern w:val="0"/>
          <w:szCs w:val="21"/>
          <w:highlight w:val="none"/>
        </w:rPr>
      </w:pPr>
      <w:r>
        <w:rPr>
          <w:rFonts w:hint="eastAsia" w:ascii="宋体" w:hAnsi="宋体" w:cs="宋体"/>
          <w:bCs/>
          <w:color w:val="auto"/>
          <w:kern w:val="0"/>
          <w:szCs w:val="21"/>
          <w:highlight w:val="none"/>
        </w:rPr>
        <w:t>（3）投标人须提供</w:t>
      </w:r>
      <w:r>
        <w:rPr>
          <w:rFonts w:hint="eastAsia" w:ascii="宋体" w:hAnsi="宋体" w:cs="宋体"/>
          <w:color w:val="auto"/>
          <w:szCs w:val="21"/>
          <w:highlight w:val="none"/>
        </w:rPr>
        <w:t>中国建筑业协会”颁发的“企业信用等级证书”扫描件，</w:t>
      </w:r>
      <w:r>
        <w:rPr>
          <w:color w:val="auto"/>
          <w:highlight w:val="none"/>
        </w:rPr>
        <w:fldChar w:fldCharType="begin"/>
      </w:r>
      <w:r>
        <w:rPr>
          <w:color w:val="auto"/>
          <w:highlight w:val="none"/>
        </w:rPr>
        <w:instrText xml:space="preserve"> HYPERLINK "http://xy.cacem.com.cn/front_star_rating.html）查询结果的网页截图。没有提供证书扫描件或网页截图的，该奖项不予认定。" </w:instrText>
      </w:r>
      <w:r>
        <w:rPr>
          <w:color w:val="auto"/>
          <w:highlight w:val="none"/>
        </w:rPr>
        <w:fldChar w:fldCharType="separate"/>
      </w:r>
      <w:r>
        <w:rPr>
          <w:rFonts w:hint="eastAsia" w:ascii="宋体" w:hAnsi="宋体" w:cs="宋体"/>
          <w:bCs/>
          <w:color w:val="auto"/>
          <w:kern w:val="0"/>
          <w:szCs w:val="21"/>
          <w:highlight w:val="none"/>
        </w:rPr>
        <w:t>没有提供证书扫描件，该奖项不予认定。</w:t>
      </w:r>
      <w:r>
        <w:rPr>
          <w:rFonts w:hint="eastAsia" w:ascii="宋体" w:hAnsi="宋体" w:cs="宋体"/>
          <w:bCs/>
          <w:color w:val="auto"/>
          <w:kern w:val="0"/>
          <w:szCs w:val="21"/>
          <w:highlight w:val="none"/>
        </w:rPr>
        <w:fldChar w:fldCharType="end"/>
      </w:r>
      <w:r>
        <w:rPr>
          <w:rFonts w:hint="eastAsia" w:ascii="宋体" w:hAnsi="宋体"/>
          <w:color w:val="auto"/>
          <w:szCs w:val="21"/>
          <w:highlight w:val="none"/>
        </w:rPr>
        <w:t>时间以证书或复审时间为准。</w:t>
      </w:r>
    </w:p>
    <w:p>
      <w:pPr>
        <w:tabs>
          <w:tab w:val="left" w:pos="360"/>
        </w:tabs>
        <w:wordWrap w:val="0"/>
        <w:snapToGrid w:val="0"/>
        <w:spacing w:line="360" w:lineRule="auto"/>
        <w:ind w:firstLine="422" w:firstLineChars="201"/>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以上所附证书证明文件均须提供原件彩色扫描件，投标人提供的网页截图或原件彩色扫描件必须加盖投标人电子印章且内容必须清晰可辨，如因网页截图或原件彩色扫描件内容模糊导致评标时无法判断的，后果由投标人自负。上述资料不提供或提供不完整或提供不符合要求的不得分。</w:t>
      </w:r>
    </w:p>
    <w:p>
      <w:pPr>
        <w:tabs>
          <w:tab w:val="left" w:pos="360"/>
        </w:tabs>
        <w:wordWrap w:val="0"/>
        <w:snapToGrid w:val="0"/>
        <w:spacing w:line="360" w:lineRule="auto"/>
        <w:ind w:firstLine="422" w:firstLineChars="201"/>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、本表按百分制评分，</w:t>
      </w:r>
      <w:r>
        <w:rPr>
          <w:rFonts w:hint="eastAsia" w:ascii="宋体" w:hAnsi="宋体" w:cs="宋体"/>
          <w:color w:val="auto"/>
          <w:highlight w:val="none"/>
        </w:rPr>
        <w:t>所有评委的分数的算术平均值为投标人的最终得分</w:t>
      </w:r>
      <w:r>
        <w:rPr>
          <w:rFonts w:hint="eastAsia" w:ascii="宋体" w:hAnsi="宋体" w:cs="宋体"/>
          <w:bCs/>
          <w:color w:val="auto"/>
          <w:kern w:val="0"/>
          <w:szCs w:val="21"/>
          <w:highlight w:val="none"/>
        </w:rPr>
        <w:t>。分数出现小数点，保留小数点后二位小数，第三位小数四舍五入。</w:t>
      </w:r>
    </w:p>
    <w:p>
      <w:pPr>
        <w:spacing w:line="360" w:lineRule="auto"/>
        <w:ind w:firstLine="422" w:firstLineChars="201"/>
        <w:rPr>
          <w:rFonts w:ascii="宋体" w:hAnsi="宋体" w:cs="宋体"/>
          <w:color w:val="auto"/>
          <w:szCs w:val="21"/>
          <w:highlight w:val="none"/>
        </w:rPr>
      </w:pP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、投标人所提供资料同时满足多个档次的，按满足的最高档次得分。</w:t>
      </w:r>
    </w:p>
    <w:p>
      <w:pPr>
        <w:pStyle w:val="6"/>
        <w:jc w:val="left"/>
        <w:rPr>
          <w:color w:val="auto"/>
          <w:highlight w:val="none"/>
        </w:rPr>
      </w:pPr>
      <w:r>
        <w:rPr>
          <w:color w:val="auto"/>
          <w:highlight w:val="none"/>
        </w:rPr>
        <w:br w:type="page"/>
      </w:r>
      <w:bookmarkEnd w:id="41"/>
    </w:p>
    <w:p>
      <w:pPr>
        <w:pStyle w:val="6"/>
        <w:jc w:val="left"/>
        <w:rPr>
          <w:color w:val="auto"/>
          <w:highlight w:val="none"/>
        </w:rPr>
      </w:pPr>
      <w:bookmarkStart w:id="42" w:name="_Toc121470668"/>
      <w:r>
        <w:rPr>
          <w:rFonts w:hint="eastAsia"/>
          <w:color w:val="auto"/>
          <w:highlight w:val="none"/>
        </w:rPr>
        <w:t>附表五</w:t>
      </w:r>
      <w:bookmarkEnd w:id="42"/>
    </w:p>
    <w:p>
      <w:pPr>
        <w:jc w:val="center"/>
        <w:rPr>
          <w:rFonts w:ascii="宋体" w:hAnsi="宋体"/>
          <w:b/>
          <w:color w:val="auto"/>
          <w:sz w:val="36"/>
          <w:szCs w:val="36"/>
          <w:highlight w:val="none"/>
        </w:rPr>
      </w:pPr>
      <w:r>
        <w:rPr>
          <w:rFonts w:hint="eastAsia" w:ascii="宋体" w:hAnsi="宋体"/>
          <w:b/>
          <w:color w:val="auto"/>
          <w:sz w:val="36"/>
          <w:szCs w:val="36"/>
          <w:highlight w:val="none"/>
        </w:rPr>
        <w:t>经济标评分表</w:t>
      </w:r>
    </w:p>
    <w:p>
      <w:pPr>
        <w:rPr>
          <w:rFonts w:ascii="宋体" w:hAnsi="宋体"/>
          <w:color w:val="auto"/>
          <w:szCs w:val="21"/>
          <w:highlight w:val="none"/>
        </w:rPr>
      </w:pPr>
      <w:r>
        <w:rPr>
          <w:rFonts w:hint="eastAsia" w:ascii="宋体" w:hAnsi="宋体"/>
          <w:color w:val="auto"/>
          <w:szCs w:val="21"/>
          <w:highlight w:val="none"/>
        </w:rPr>
        <w:t>工程名称：</w:t>
      </w:r>
    </w:p>
    <w:tbl>
      <w:tblPr>
        <w:tblStyle w:val="48"/>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025"/>
        <w:gridCol w:w="12"/>
        <w:gridCol w:w="1051"/>
        <w:gridCol w:w="1050"/>
        <w:gridCol w:w="1050"/>
        <w:gridCol w:w="1050"/>
        <w:gridCol w:w="1050"/>
        <w:gridCol w:w="1050"/>
        <w:gridCol w:w="1050"/>
        <w:gridCol w:w="1050"/>
        <w:gridCol w:w="1050"/>
        <w:gridCol w:w="105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2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6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587"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rFonts w:ascii="宋体" w:hAnsi="宋体"/>
          <w:color w:val="auto"/>
          <w:highlight w:val="none"/>
        </w:rPr>
      </w:pPr>
      <w:r>
        <w:rPr>
          <w:rFonts w:hint="eastAsia" w:ascii="宋体" w:hAnsi="宋体"/>
          <w:color w:val="auto"/>
          <w:szCs w:val="21"/>
          <w:highlight w:val="none"/>
        </w:rPr>
        <w:t>评委签名：</w:t>
      </w:r>
    </w:p>
    <w:p>
      <w:pPr>
        <w:pStyle w:val="6"/>
        <w:jc w:val="left"/>
        <w:rPr>
          <w:color w:val="auto"/>
          <w:highlight w:val="none"/>
        </w:rPr>
      </w:pPr>
      <w:r>
        <w:rPr>
          <w:rFonts w:hint="eastAsia"/>
          <w:color w:val="auto"/>
          <w:sz w:val="36"/>
          <w:szCs w:val="36"/>
          <w:highlight w:val="none"/>
        </w:rPr>
        <w:br w:type="page"/>
      </w:r>
      <w:bookmarkStart w:id="43" w:name="_Toc121470669"/>
      <w:r>
        <w:rPr>
          <w:rFonts w:hint="eastAsia"/>
          <w:color w:val="auto"/>
          <w:highlight w:val="none"/>
        </w:rPr>
        <w:t>附表六</w:t>
      </w:r>
      <w:bookmarkEnd w:id="43"/>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kern w:val="0"/>
          <w:szCs w:val="21"/>
          <w:highlight w:val="none"/>
        </w:rPr>
      </w:pPr>
      <w:r>
        <w:rPr>
          <w:rFonts w:hint="eastAsia" w:ascii="宋体" w:hAnsi="宋体" w:cs="宋体"/>
          <w:color w:val="auto"/>
          <w:kern w:val="0"/>
          <w:szCs w:val="21"/>
          <w:highlight w:val="none"/>
        </w:rPr>
        <w:t>工程名称：投标人:                                                  单位：元</w:t>
      </w:r>
    </w:p>
    <w:tbl>
      <w:tblPr>
        <w:tblStyle w:val="48"/>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修正率</w:t>
            </w:r>
          </w:p>
          <w:p>
            <w:pPr>
              <w:rPr>
                <w:rFonts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4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原投标报价（A）</w:t>
            </w: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ascii="宋体" w:hAnsi="宋体" w:cs="宋体"/>
          <w:color w:val="auto"/>
          <w:szCs w:val="21"/>
          <w:highlight w:val="none"/>
        </w:rPr>
        <w:sectPr>
          <w:headerReference r:id="rId12" w:type="first"/>
          <w:footerReference r:id="rId15" w:type="first"/>
          <w:headerReference r:id="rId10" w:type="default"/>
          <w:footerReference r:id="rId13" w:type="default"/>
          <w:headerReference r:id="rId11" w:type="even"/>
          <w:footerReference r:id="rId14" w:type="even"/>
          <w:endnotePr>
            <w:numFmt w:val="decimal"/>
          </w:endnotePr>
          <w:pgSz w:w="16838" w:h="11906" w:orient="landscape"/>
          <w:pgMar w:top="1418" w:right="1247" w:bottom="1418" w:left="1134" w:header="851" w:footer="907" w:gutter="0"/>
          <w:cols w:space="720" w:num="1"/>
          <w:titlePg/>
          <w:docGrid w:type="lines" w:linePitch="312" w:charSpace="0"/>
        </w:sectPr>
      </w:pPr>
    </w:p>
    <w:p>
      <w:pPr>
        <w:pStyle w:val="4"/>
        <w:rPr>
          <w:color w:val="auto"/>
          <w:highlight w:val="none"/>
        </w:rPr>
      </w:pPr>
      <w:bookmarkStart w:id="44" w:name="_Toc121470670"/>
      <w:bookmarkStart w:id="45" w:name="_Toc2272566"/>
      <w:r>
        <w:rPr>
          <w:rFonts w:hint="eastAsia"/>
          <w:color w:val="auto"/>
          <w:highlight w:val="none"/>
        </w:rPr>
        <w:t>第三章合同条款</w:t>
      </w:r>
      <w:bookmarkEnd w:id="44"/>
      <w:bookmarkEnd w:id="45"/>
    </w:p>
    <w:p>
      <w:pPr>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另册</w:t>
      </w:r>
    </w:p>
    <w:p>
      <w:pPr>
        <w:widowControl/>
        <w:jc w:val="left"/>
        <w:rPr>
          <w:rFonts w:ascii="宋体" w:hAnsi="宋体"/>
          <w:b/>
          <w:color w:val="auto"/>
          <w:sz w:val="28"/>
          <w:szCs w:val="28"/>
          <w:highlight w:val="none"/>
        </w:rPr>
      </w:pPr>
      <w:r>
        <w:rPr>
          <w:rFonts w:ascii="宋体" w:hAnsi="宋体"/>
          <w:b/>
          <w:color w:val="auto"/>
          <w:sz w:val="28"/>
          <w:szCs w:val="28"/>
          <w:highlight w:val="none"/>
        </w:rPr>
        <w:br w:type="page"/>
      </w:r>
    </w:p>
    <w:p>
      <w:pPr>
        <w:pStyle w:val="4"/>
        <w:rPr>
          <w:color w:val="auto"/>
          <w:highlight w:val="none"/>
        </w:rPr>
      </w:pPr>
      <w:bookmarkStart w:id="46" w:name="_Toc121470671"/>
      <w:bookmarkStart w:id="47" w:name="_Toc2272567"/>
      <w:r>
        <w:rPr>
          <w:rFonts w:hint="eastAsia"/>
          <w:color w:val="auto"/>
          <w:highlight w:val="none"/>
        </w:rPr>
        <w:t>第四章投标文件格式</w:t>
      </w:r>
      <w:bookmarkEnd w:id="46"/>
      <w:bookmarkEnd w:id="47"/>
    </w:p>
    <w:p>
      <w:pPr>
        <w:pStyle w:val="6"/>
        <w:rPr>
          <w:color w:val="auto"/>
          <w:highlight w:val="none"/>
        </w:rPr>
      </w:pPr>
      <w:bookmarkStart w:id="48" w:name="_Toc121470672"/>
      <w:r>
        <w:rPr>
          <w:color w:val="auto"/>
          <w:highlight w:val="none"/>
        </w:rPr>
        <w:t>一、</w:t>
      </w:r>
      <w:r>
        <w:rPr>
          <w:rFonts w:hint="eastAsia"/>
          <w:color w:val="auto"/>
          <w:highlight w:val="none"/>
        </w:rPr>
        <w:t>技术标</w:t>
      </w:r>
      <w:r>
        <w:rPr>
          <w:color w:val="auto"/>
          <w:highlight w:val="none"/>
        </w:rPr>
        <w:t>投标文件格式</w:t>
      </w:r>
      <w:bookmarkEnd w:id="48"/>
    </w:p>
    <w:p>
      <w:pPr>
        <w:pStyle w:val="8"/>
        <w:rPr>
          <w:color w:val="auto"/>
          <w:highlight w:val="none"/>
        </w:rPr>
      </w:pPr>
      <w:bookmarkStart w:id="49" w:name="_Toc60070621"/>
      <w:bookmarkStart w:id="50" w:name="_Toc121470673"/>
      <w:r>
        <w:rPr>
          <w:rFonts w:hint="eastAsia"/>
          <w:color w:val="auto"/>
          <w:highlight w:val="none"/>
        </w:rPr>
        <w:t>格式一：</w:t>
      </w:r>
      <w:bookmarkEnd w:id="49"/>
      <w:bookmarkEnd w:id="50"/>
    </w:p>
    <w:p>
      <w:pPr>
        <w:jc w:val="center"/>
        <w:rPr>
          <w:rFonts w:ascii="宋体" w:hAnsi="宋体" w:cs="宋体"/>
          <w:b/>
          <w:color w:val="auto"/>
          <w:sz w:val="36"/>
          <w:szCs w:val="36"/>
          <w:highlight w:val="none"/>
        </w:rPr>
      </w:pPr>
      <w:bookmarkStart w:id="51" w:name="_Toc58838587"/>
      <w:r>
        <w:rPr>
          <w:rFonts w:hint="eastAsia" w:ascii="宋体" w:hAnsi="宋体" w:cs="宋体"/>
          <w:b/>
          <w:color w:val="auto"/>
          <w:sz w:val="36"/>
          <w:szCs w:val="36"/>
          <w:highlight w:val="none"/>
        </w:rPr>
        <w:t>广州建设工程施工招标投标书（技术标）</w:t>
      </w:r>
      <w:bookmarkEnd w:id="51"/>
    </w:p>
    <w:tbl>
      <w:tblPr>
        <w:tblStyle w:val="4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bl>
    <w:p>
      <w:pPr>
        <w:autoSpaceDE w:val="0"/>
        <w:autoSpaceDN w:val="0"/>
        <w:adjustRightInd w:val="0"/>
        <w:spacing w:line="360" w:lineRule="auto"/>
        <w:rPr>
          <w:rFonts w:ascii="宋体" w:hAnsi="宋体" w:cs="宋体"/>
          <w:color w:val="auto"/>
          <w:sz w:val="24"/>
          <w:szCs w:val="24"/>
          <w:highlight w:val="none"/>
        </w:rPr>
      </w:pPr>
      <w:r>
        <w:rPr>
          <w:rFonts w:ascii="宋体" w:hAnsi="宋体"/>
          <w:b/>
          <w:color w:val="auto"/>
          <w:highlight w:val="none"/>
        </w:rPr>
        <w:br w:type="page"/>
      </w:r>
    </w:p>
    <w:p>
      <w:pPr>
        <w:pStyle w:val="8"/>
        <w:rPr>
          <w:color w:val="auto"/>
          <w:highlight w:val="none"/>
        </w:rPr>
      </w:pPr>
      <w:bookmarkStart w:id="52" w:name="_Toc60070622"/>
      <w:bookmarkStart w:id="53" w:name="_Toc121470674"/>
      <w:r>
        <w:rPr>
          <w:rFonts w:hint="eastAsia"/>
          <w:color w:val="auto"/>
          <w:highlight w:val="none"/>
        </w:rPr>
        <w:t>格式二：</w:t>
      </w:r>
      <w:bookmarkEnd w:id="52"/>
      <w:bookmarkEnd w:id="53"/>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投标函</w:t>
      </w:r>
    </w:p>
    <w:p>
      <w:pPr>
        <w:topLinePunct/>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rPr>
        <w:t>（招标人名称）</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1.根据已收到贵方的项目编号为的项目的招标文件，并已详细审核了全部招标文件及有关附件。</w:t>
      </w:r>
    </w:p>
    <w:p>
      <w:pPr>
        <w:snapToGrid w:val="0"/>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保证金将不予退还，给贵方造成的损失超过我方投标保证金的，贵方还有权要求我方对超过部分进行赔偿。</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5.如果我方中标，我方保证按招标文件中规定的工期内完成并移交本工程，质量标准达到招标文件中的要求。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投标人：（盖章）</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spacing w:line="360" w:lineRule="auto"/>
        <w:ind w:firstLine="691" w:firstLineChars="279"/>
        <w:jc w:val="left"/>
        <w:rPr>
          <w:rFonts w:ascii="宋体" w:hAnsi="宋体" w:cs="宋体"/>
          <w:color w:val="auto"/>
          <w:sz w:val="24"/>
          <w:szCs w:val="20"/>
          <w:highlight w:val="none"/>
        </w:rPr>
      </w:pPr>
      <w:r>
        <w:rPr>
          <w:rFonts w:hint="eastAsia" w:ascii="宋体" w:hAnsi="宋体" w:cs="宋体"/>
          <w:snapToGrid w:val="0"/>
          <w:color w:val="auto"/>
          <w:spacing w:val="4"/>
          <w:kern w:val="0"/>
          <w:sz w:val="24"/>
          <w:szCs w:val="24"/>
          <w:highlight w:val="none"/>
        </w:rPr>
        <w:t>日期：年月日</w:t>
      </w:r>
    </w:p>
    <w:p>
      <w:pPr>
        <w:autoSpaceDN w:val="0"/>
        <w:jc w:val="center"/>
        <w:rPr>
          <w:rFonts w:ascii="宋体" w:hAnsi="宋体" w:cs="宋体"/>
          <w:color w:val="auto"/>
          <w:szCs w:val="20"/>
          <w:highlight w:val="none"/>
        </w:rPr>
      </w:pPr>
      <w:r>
        <w:rPr>
          <w:rFonts w:hint="eastAsia" w:ascii="宋体" w:hAnsi="宋体" w:cs="宋体"/>
          <w:color w:val="auto"/>
          <w:szCs w:val="20"/>
          <w:highlight w:val="none"/>
        </w:rPr>
        <w:br w:type="page"/>
      </w:r>
    </w:p>
    <w:p>
      <w:pPr>
        <w:pStyle w:val="8"/>
        <w:rPr>
          <w:color w:val="auto"/>
          <w:highlight w:val="none"/>
        </w:rPr>
      </w:pPr>
      <w:bookmarkStart w:id="54" w:name="_Toc60070626"/>
      <w:bookmarkStart w:id="55" w:name="_Toc121470675"/>
      <w:r>
        <w:rPr>
          <w:rFonts w:hint="eastAsia"/>
          <w:color w:val="auto"/>
          <w:highlight w:val="none"/>
        </w:rPr>
        <w:t>格式三：</w:t>
      </w:r>
      <w:bookmarkEnd w:id="54"/>
      <w:bookmarkEnd w:id="55"/>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企业业绩信息表</w:t>
      </w:r>
    </w:p>
    <w:p>
      <w:pPr>
        <w:rPr>
          <w:rFonts w:ascii="宋体" w:hAnsi="宋体"/>
          <w:color w:val="auto"/>
          <w:sz w:val="24"/>
          <w:szCs w:val="24"/>
          <w:highlight w:val="none"/>
        </w:rPr>
      </w:pPr>
    </w:p>
    <w:tbl>
      <w:tblPr>
        <w:tblStyle w:val="48"/>
        <w:tblpPr w:leftFromText="180" w:rightFromText="180" w:vertAnchor="text" w:horzAnchor="margin" w:tblpXSpec="center" w:tblpY="-21"/>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63"/>
        <w:gridCol w:w="2693"/>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类似工程业绩</w:t>
            </w:r>
          </w:p>
        </w:tc>
        <w:tc>
          <w:tcPr>
            <w:tcW w:w="2163"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金额</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restart"/>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获奖情况</w:t>
            </w: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所获奖项</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163" w:type="dxa"/>
            <w:tcBorders>
              <w:left w:val="single" w:color="auto" w:sz="4" w:space="0"/>
              <w:right w:val="single" w:color="auto" w:sz="4" w:space="0"/>
            </w:tcBorders>
          </w:tcPr>
          <w:p>
            <w:pPr>
              <w:autoSpaceDE w:val="0"/>
              <w:autoSpaceDN w:val="0"/>
              <w:adjustRightInd w:val="0"/>
              <w:jc w:val="center"/>
              <w:rPr>
                <w:rFonts w:ascii="宋体" w:hAnsi="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163" w:type="dxa"/>
            <w:tcBorders>
              <w:left w:val="single" w:color="auto" w:sz="4" w:space="0"/>
              <w:right w:val="single" w:color="auto" w:sz="4" w:space="0"/>
            </w:tcBorders>
          </w:tcPr>
          <w:p>
            <w:pPr>
              <w:autoSpaceDE w:val="0"/>
              <w:autoSpaceDN w:val="0"/>
              <w:adjustRightInd w:val="0"/>
              <w:jc w:val="center"/>
              <w:rPr>
                <w:rFonts w:ascii="宋体" w:hAnsi="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bl>
    <w:p>
      <w:pPr>
        <w:spacing w:line="360" w:lineRule="auto"/>
        <w:jc w:val="left"/>
        <w:rPr>
          <w:rFonts w:ascii="宋体" w:hAnsi="宋体" w:cs="宋体"/>
          <w:bCs/>
          <w:color w:val="auto"/>
          <w:szCs w:val="24"/>
          <w:highlight w:val="none"/>
        </w:rPr>
      </w:pPr>
    </w:p>
    <w:p>
      <w:pPr>
        <w:autoSpaceDE w:val="0"/>
        <w:autoSpaceDN w:val="0"/>
        <w:adjustRightInd w:val="0"/>
        <w:spacing w:line="360" w:lineRule="auto"/>
        <w:rPr>
          <w:rFonts w:ascii="宋体" w:hAnsi="宋体" w:cs="宋体"/>
          <w:color w:val="auto"/>
          <w:sz w:val="24"/>
          <w:szCs w:val="24"/>
          <w:highlight w:val="none"/>
        </w:rPr>
      </w:pPr>
    </w:p>
    <w:p>
      <w:pPr>
        <w:pStyle w:val="8"/>
        <w:rPr>
          <w:color w:val="auto"/>
          <w:highlight w:val="none"/>
        </w:rPr>
      </w:pPr>
      <w:r>
        <w:rPr>
          <w:rFonts w:hint="eastAsia"/>
          <w:color w:val="auto"/>
          <w:highlight w:val="none"/>
        </w:rPr>
        <w:br w:type="page"/>
      </w:r>
    </w:p>
    <w:p>
      <w:pPr>
        <w:pStyle w:val="8"/>
        <w:rPr>
          <w:bCs/>
          <w:color w:val="auto"/>
          <w:highlight w:val="none"/>
          <w:lang w:val="zh-CN"/>
        </w:rPr>
      </w:pPr>
      <w:bookmarkStart w:id="56" w:name="_Toc121470676"/>
      <w:bookmarkStart w:id="57" w:name="_Toc60070629"/>
      <w:r>
        <w:rPr>
          <w:rFonts w:hint="eastAsia"/>
          <w:color w:val="auto"/>
          <w:highlight w:val="none"/>
        </w:rPr>
        <w:t>格式四：</w:t>
      </w:r>
      <w:bookmarkEnd w:id="56"/>
      <w:bookmarkEnd w:id="57"/>
    </w:p>
    <w:p>
      <w:pPr>
        <w:autoSpaceDE w:val="0"/>
        <w:autoSpaceDN w:val="0"/>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拟投入本工程施工的主要机械设备配备表</w:t>
      </w:r>
    </w:p>
    <w:tbl>
      <w:tblPr>
        <w:tblStyle w:val="48"/>
        <w:tblW w:w="87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序</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号</w:t>
            </w: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投入总数量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来源</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(自有/</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租赁)</w:t>
            </w: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bl>
    <w:p>
      <w:pPr>
        <w:tabs>
          <w:tab w:val="left" w:pos="720"/>
        </w:tabs>
        <w:snapToGrid w:val="0"/>
        <w:spacing w:line="360" w:lineRule="auto"/>
        <w:rPr>
          <w:rFonts w:ascii="宋体" w:hAnsi="宋体"/>
          <w:color w:val="auto"/>
          <w:highlight w:val="none"/>
        </w:rPr>
      </w:pPr>
    </w:p>
    <w:p>
      <w:pPr>
        <w:tabs>
          <w:tab w:val="left" w:pos="720"/>
        </w:tabs>
        <w:snapToGrid w:val="0"/>
        <w:spacing w:line="360" w:lineRule="auto"/>
        <w:rPr>
          <w:rFonts w:ascii="宋体" w:hAnsi="宋体" w:cs="宋体"/>
          <w:b/>
          <w:color w:val="auto"/>
          <w:szCs w:val="21"/>
          <w:highlight w:val="none"/>
        </w:rPr>
      </w:pPr>
      <w:r>
        <w:rPr>
          <w:rFonts w:hint="eastAsia" w:ascii="宋体" w:hAnsi="宋体"/>
          <w:color w:val="auto"/>
          <w:highlight w:val="none"/>
        </w:rPr>
        <w:t>注：设备名称及要求数量由投标人视本工程具体情况结合招标人对本工程的具体要求自行配备。</w:t>
      </w:r>
    </w:p>
    <w:p>
      <w:pPr>
        <w:ind w:right="-130" w:rightChars="-62"/>
        <w:rPr>
          <w:rFonts w:ascii="宋体" w:hAnsi="宋体"/>
          <w:color w:val="auto"/>
          <w:highlight w:val="none"/>
        </w:rPr>
      </w:pPr>
    </w:p>
    <w:p>
      <w:pPr>
        <w:topLinePunct/>
        <w:adjustRightInd w:val="0"/>
        <w:snapToGrid w:val="0"/>
        <w:spacing w:line="360" w:lineRule="auto"/>
        <w:ind w:firstLine="3161" w:firstLineChars="1450"/>
        <w:rPr>
          <w:rFonts w:ascii="宋体" w:hAnsi="宋体"/>
          <w:snapToGrid w:val="0"/>
          <w:color w:val="auto"/>
          <w:spacing w:val="4"/>
          <w:kern w:val="0"/>
          <w:szCs w:val="21"/>
          <w:highlight w:val="none"/>
        </w:rPr>
      </w:pP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投标人：（盖章）</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360" w:lineRule="auto"/>
        <w:ind w:firstLine="691" w:firstLineChars="279"/>
        <w:jc w:val="left"/>
        <w:rPr>
          <w:rFonts w:ascii="宋体" w:hAnsi="宋体"/>
          <w:snapToGrid w:val="0"/>
          <w:color w:val="auto"/>
          <w:spacing w:val="4"/>
          <w:kern w:val="0"/>
          <w:szCs w:val="21"/>
          <w:highlight w:val="none"/>
        </w:rPr>
      </w:pPr>
      <w:r>
        <w:rPr>
          <w:rFonts w:hint="eastAsia" w:ascii="宋体" w:hAnsi="宋体" w:cs="宋体"/>
          <w:snapToGrid w:val="0"/>
          <w:color w:val="auto"/>
          <w:spacing w:val="4"/>
          <w:kern w:val="0"/>
          <w:sz w:val="24"/>
          <w:szCs w:val="24"/>
          <w:highlight w:val="none"/>
        </w:rPr>
        <w:t>日期：年月日</w:t>
      </w: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pStyle w:val="8"/>
        <w:rPr>
          <w:color w:val="auto"/>
          <w:highlight w:val="none"/>
        </w:rPr>
      </w:pPr>
      <w:bookmarkStart w:id="58" w:name="_Toc60070630"/>
      <w:bookmarkStart w:id="59" w:name="_Toc121470677"/>
      <w:bookmarkStart w:id="60" w:name="_Toc58838602"/>
      <w:r>
        <w:rPr>
          <w:rFonts w:hint="eastAsia"/>
          <w:color w:val="auto"/>
          <w:highlight w:val="none"/>
        </w:rPr>
        <w:t>格式五：</w:t>
      </w:r>
      <w:bookmarkEnd w:id="58"/>
      <w:bookmarkEnd w:id="59"/>
    </w:p>
    <w:p>
      <w:pPr>
        <w:jc w:val="center"/>
        <w:rPr>
          <w:rFonts w:ascii="宋体" w:hAnsi="宋体"/>
          <w:b/>
          <w:color w:val="auto"/>
          <w:sz w:val="36"/>
          <w:szCs w:val="36"/>
          <w:highlight w:val="none"/>
        </w:rPr>
      </w:pPr>
      <w:r>
        <w:rPr>
          <w:rFonts w:hint="eastAsia" w:ascii="宋体" w:hAnsi="宋体"/>
          <w:b/>
          <w:color w:val="auto"/>
          <w:sz w:val="36"/>
          <w:szCs w:val="36"/>
          <w:highlight w:val="none"/>
        </w:rPr>
        <w:t>危险性较大的分部分项工程安全管理措施</w:t>
      </w:r>
      <w:bookmarkEnd w:id="60"/>
    </w:p>
    <w:p>
      <w:pPr>
        <w:numPr>
          <w:ilvl w:val="0"/>
          <w:numId w:val="2"/>
        </w:numPr>
        <w:autoSpaceDE w:val="0"/>
        <w:autoSpaceDN w:val="0"/>
        <w:adjustRightInd w:val="0"/>
        <w:spacing w:line="360" w:lineRule="auto"/>
        <w:jc w:val="left"/>
        <w:rPr>
          <w:rFonts w:ascii="宋体" w:hAnsi="宋体"/>
          <w:snapToGrid w:val="0"/>
          <w:color w:val="auto"/>
          <w:spacing w:val="4"/>
          <w:kern w:val="0"/>
          <w:sz w:val="24"/>
          <w:szCs w:val="24"/>
          <w:highlight w:val="none"/>
        </w:rPr>
      </w:pPr>
      <w:r>
        <w:rPr>
          <w:rFonts w:hint="eastAsia" w:ascii="宋体" w:hAnsi="宋体"/>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2"/>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 w:val="24"/>
          <w:szCs w:val="36"/>
          <w:highlight w:val="none"/>
        </w:rPr>
        <w:t>√”标识。</w:t>
      </w:r>
    </w:p>
    <w:p>
      <w:pPr>
        <w:numPr>
          <w:ilvl w:val="0"/>
          <w:numId w:val="3"/>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投标单位同意招标人在清单中标识的该项请在对应项打“</w:t>
      </w:r>
      <w:r>
        <w:rPr>
          <w:rFonts w:hint="eastAsia" w:ascii="宋体" w:hAnsi="宋体"/>
          <w:color w:val="auto"/>
          <w:sz w:val="24"/>
          <w:szCs w:val="36"/>
          <w:highlight w:val="none"/>
        </w:rPr>
        <w:t>√”标识，并在投标文件中提供相应的安全管理措施。</w:t>
      </w:r>
    </w:p>
    <w:p>
      <w:pPr>
        <w:numPr>
          <w:ilvl w:val="0"/>
          <w:numId w:val="3"/>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投标单位对清单中认为需要补充的该项请在对应项打“</w:t>
      </w:r>
      <w:r>
        <w:rPr>
          <w:rFonts w:hint="eastAsia" w:ascii="宋体" w:hAnsi="宋体"/>
          <w:color w:val="auto"/>
          <w:sz w:val="24"/>
          <w:szCs w:val="36"/>
          <w:highlight w:val="none"/>
        </w:rPr>
        <w:t>√”标识，并在投标文件中提供相应的安全管理措施。</w:t>
      </w:r>
    </w:p>
    <w:p>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36"/>
          <w:highlight w:val="none"/>
        </w:rPr>
        <w:t>投标单位不同意招标人</w:t>
      </w:r>
      <w:r>
        <w:rPr>
          <w:rFonts w:hint="eastAsia" w:ascii="宋体" w:hAnsi="宋体"/>
          <w:color w:val="auto"/>
          <w:sz w:val="24"/>
          <w:szCs w:val="28"/>
          <w:highlight w:val="none"/>
        </w:rPr>
        <w:t>在清单中标识的该项</w:t>
      </w:r>
      <w:r>
        <w:rPr>
          <w:rFonts w:hint="eastAsia" w:ascii="宋体" w:hAnsi="宋体"/>
          <w:color w:val="auto"/>
          <w:sz w:val="24"/>
          <w:szCs w:val="36"/>
          <w:highlight w:val="none"/>
        </w:rPr>
        <w:t>请在对应项打“×”标识，并在备注栏填上相关说明。</w:t>
      </w:r>
    </w:p>
    <w:p>
      <w:pPr>
        <w:numPr>
          <w:ilvl w:val="0"/>
          <w:numId w:val="2"/>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投标单位应当在投标时根据招标人提供的下述第5点清单，在投标文件中编制专项施工方案。</w:t>
      </w:r>
    </w:p>
    <w:p>
      <w:pPr>
        <w:numPr>
          <w:ilvl w:val="0"/>
          <w:numId w:val="2"/>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2"/>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危险性较大的分部分项工程清单及超过一定规模的危险性较大的分部分项工程清单：</w:t>
      </w:r>
    </w:p>
    <w:p>
      <w:pPr>
        <w:widowControl/>
        <w:jc w:val="left"/>
        <w:rPr>
          <w:rFonts w:ascii="宋体" w:hAnsi="宋体"/>
          <w:color w:val="auto"/>
          <w:sz w:val="24"/>
          <w:szCs w:val="28"/>
          <w:highlight w:val="none"/>
        </w:rPr>
      </w:pPr>
      <w:r>
        <w:rPr>
          <w:rFonts w:ascii="宋体" w:hAnsi="宋体"/>
          <w:color w:val="auto"/>
          <w:sz w:val="24"/>
          <w:szCs w:val="28"/>
          <w:highlight w:val="none"/>
        </w:rPr>
        <w:br w:type="page"/>
      </w:r>
    </w:p>
    <w:tbl>
      <w:tblPr>
        <w:tblStyle w:val="48"/>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7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危险性较大的分部分项工程清单</w:t>
            </w:r>
          </w:p>
        </w:tc>
        <w:tc>
          <w:tcPr>
            <w:tcW w:w="13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投标单位</w:t>
            </w:r>
          </w:p>
        </w:tc>
        <w:tc>
          <w:tcPr>
            <w:tcW w:w="106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一、基坑支护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highlight w:val="none"/>
              </w:rPr>
            </w:pPr>
            <w:r>
              <w:rPr>
                <w:rFonts w:hint="eastAsia" w:ascii="宋体" w:hAnsi="宋体"/>
                <w:color w:val="auto"/>
                <w:highlight w:val="none"/>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highlight w:val="none"/>
              </w:rPr>
            </w:pPr>
            <w:r>
              <w:rPr>
                <w:rFonts w:hint="eastAsia" w:ascii="宋体" w:hAnsi="宋体"/>
                <w:color w:val="auto"/>
                <w:highlight w:val="none"/>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（二）采用起重机械进行安装的工程。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olor w:val="auto"/>
                <w:highlight w:val="none"/>
              </w:rPr>
              <w:t>（三）起重机械安装和拆卸工程。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（二）附着式升降脚手架工程。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（三）悬挑式脚手架工程。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（四）高处作业吊篮。</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（五）卸料平台、操作平台工程。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（六）异型脚手架工程。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（一）建筑幕墙安装工程。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（二）钢结构、网架和索膜结构安装工程。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（三）人工挖孔桩工程。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（五）装配式建筑混凝土预制构件安装工程。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7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超过一定规模的危险性较大的分部分项工程清单</w:t>
            </w:r>
          </w:p>
        </w:tc>
        <w:tc>
          <w:tcPr>
            <w:tcW w:w="13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投标单位</w:t>
            </w:r>
          </w:p>
        </w:tc>
        <w:tc>
          <w:tcPr>
            <w:tcW w:w="106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一、深基坑工程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（一）搭设高度50m及以上的落地式钢管脚手架工程。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（一）施工高度50m及以上的建筑幕墙安装工程。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（三）开挖深度16m及以上的人工挖孔桩工程。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bl>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投标人：（盖章）</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autoSpaceDE w:val="0"/>
        <w:autoSpaceDN w:val="0"/>
        <w:adjustRightInd w:val="0"/>
        <w:spacing w:line="360" w:lineRule="auto"/>
        <w:ind w:firstLine="691" w:firstLineChars="279"/>
        <w:rPr>
          <w:rFonts w:ascii="宋体" w:hAnsi="宋体" w:cs="宋体"/>
          <w:bCs/>
          <w:color w:val="auto"/>
          <w:sz w:val="24"/>
          <w:szCs w:val="24"/>
          <w:highlight w:val="none"/>
        </w:rPr>
      </w:pPr>
      <w:r>
        <w:rPr>
          <w:rFonts w:hint="eastAsia" w:ascii="宋体" w:hAnsi="宋体" w:cs="宋体"/>
          <w:snapToGrid w:val="0"/>
          <w:color w:val="auto"/>
          <w:spacing w:val="4"/>
          <w:kern w:val="0"/>
          <w:sz w:val="24"/>
          <w:szCs w:val="24"/>
          <w:highlight w:val="none"/>
        </w:rPr>
        <w:t>日期：年月日</w:t>
      </w:r>
    </w:p>
    <w:p>
      <w:pPr>
        <w:ind w:right="-130" w:rightChars="-62"/>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pStyle w:val="8"/>
        <w:rPr>
          <w:color w:val="auto"/>
          <w:highlight w:val="none"/>
        </w:rPr>
      </w:pPr>
      <w:bookmarkStart w:id="61" w:name="_Toc58838603"/>
      <w:bookmarkStart w:id="62" w:name="_Toc121470678"/>
      <w:bookmarkStart w:id="63" w:name="_Toc60070631"/>
      <w:r>
        <w:rPr>
          <w:rFonts w:hint="eastAsia"/>
          <w:color w:val="auto"/>
          <w:highlight w:val="none"/>
        </w:rPr>
        <w:t>格式六：</w:t>
      </w:r>
      <w:bookmarkEnd w:id="61"/>
      <w:bookmarkEnd w:id="62"/>
      <w:bookmarkEnd w:id="63"/>
    </w:p>
    <w:p>
      <w:pPr>
        <w:jc w:val="center"/>
        <w:rPr>
          <w:rFonts w:ascii="宋体" w:hAnsi="宋体"/>
          <w:b/>
          <w:color w:val="auto"/>
          <w:sz w:val="36"/>
          <w:szCs w:val="36"/>
          <w:highlight w:val="none"/>
        </w:rPr>
      </w:pPr>
      <w:r>
        <w:rPr>
          <w:rFonts w:hint="eastAsia" w:ascii="宋体" w:hAnsi="宋体"/>
          <w:b/>
          <w:color w:val="auto"/>
          <w:sz w:val="36"/>
          <w:szCs w:val="36"/>
          <w:highlight w:val="none"/>
        </w:rPr>
        <w:t>参与编制技术标投标文件人员名单</w:t>
      </w:r>
    </w:p>
    <w:tbl>
      <w:tblPr>
        <w:tblStyle w:val="48"/>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bl>
    <w:p>
      <w:pPr>
        <w:autoSpaceDE w:val="0"/>
        <w:autoSpaceDN w:val="0"/>
        <w:adjustRightIn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注：参与编制技术标书所有人员名单应包括如编制技术投标方案、负责清样校对、负责打印及复印等所有人员在内的人员名单。</w:t>
      </w: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pStyle w:val="6"/>
        <w:rPr>
          <w:bCs/>
          <w:color w:val="auto"/>
          <w:highlight w:val="none"/>
        </w:rPr>
      </w:pPr>
      <w:bookmarkStart w:id="64" w:name="_Toc121470679"/>
      <w:bookmarkStart w:id="65" w:name="_Toc58838604"/>
      <w:r>
        <w:rPr>
          <w:rFonts w:hint="eastAsia"/>
          <w:color w:val="auto"/>
          <w:highlight w:val="none"/>
        </w:rPr>
        <w:t>二、经济标投标文件格式</w:t>
      </w:r>
      <w:bookmarkEnd w:id="64"/>
      <w:bookmarkEnd w:id="65"/>
    </w:p>
    <w:p>
      <w:pPr>
        <w:pStyle w:val="8"/>
        <w:rPr>
          <w:rFonts w:cs="宋体"/>
          <w:b/>
          <w:bCs/>
          <w:color w:val="auto"/>
          <w:sz w:val="44"/>
          <w:szCs w:val="44"/>
          <w:highlight w:val="none"/>
          <w:lang w:val="zh-CN"/>
        </w:rPr>
      </w:pPr>
      <w:bookmarkStart w:id="66" w:name="_Toc6493862"/>
      <w:bookmarkStart w:id="67" w:name="_Toc58838605"/>
      <w:bookmarkStart w:id="68" w:name="_Toc60070633"/>
      <w:bookmarkStart w:id="69" w:name="_Toc121470680"/>
      <w:r>
        <w:rPr>
          <w:rFonts w:hint="eastAsia"/>
          <w:snapToGrid w:val="0"/>
          <w:color w:val="auto"/>
          <w:highlight w:val="none"/>
        </w:rPr>
        <w:t>格式</w:t>
      </w:r>
      <w:bookmarkEnd w:id="66"/>
      <w:bookmarkEnd w:id="67"/>
      <w:r>
        <w:rPr>
          <w:rFonts w:hint="eastAsia"/>
          <w:snapToGrid w:val="0"/>
          <w:color w:val="auto"/>
          <w:highlight w:val="none"/>
        </w:rPr>
        <w:t>七：</w:t>
      </w:r>
      <w:bookmarkEnd w:id="68"/>
      <w:bookmarkEnd w:id="69"/>
    </w:p>
    <w:p>
      <w:pPr>
        <w:jc w:val="center"/>
        <w:rPr>
          <w:rFonts w:ascii="宋体" w:hAnsi="宋体"/>
          <w:b/>
          <w:color w:val="auto"/>
          <w:sz w:val="36"/>
          <w:szCs w:val="36"/>
          <w:highlight w:val="none"/>
        </w:rPr>
      </w:pPr>
      <w:bookmarkStart w:id="70" w:name="_Toc58838606"/>
      <w:r>
        <w:rPr>
          <w:rFonts w:hint="eastAsia" w:ascii="宋体" w:hAnsi="宋体"/>
          <w:b/>
          <w:color w:val="auto"/>
          <w:sz w:val="36"/>
          <w:szCs w:val="36"/>
          <w:highlight w:val="none"/>
        </w:rPr>
        <w:t>广州建设工程施工招标投标书（经济标）</w:t>
      </w:r>
      <w:bookmarkEnd w:id="70"/>
    </w:p>
    <w:tbl>
      <w:tblPr>
        <w:tblStyle w:val="4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其中：暂列金额</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其中：暂估价</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olor w:val="auto"/>
                <w:sz w:val="24"/>
                <w:szCs w:val="24"/>
                <w:highlight w:val="none"/>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olor w:val="auto"/>
                <w:sz w:val="24"/>
                <w:szCs w:val="24"/>
                <w:highlight w:val="none"/>
              </w:rPr>
            </w:pPr>
            <w:r>
              <w:rPr>
                <w:rFonts w:hint="eastAsia" w:ascii="宋体" w:hAnsi="宋体"/>
                <w:color w:val="auto"/>
                <w:sz w:val="24"/>
                <w:szCs w:val="24"/>
                <w:highlight w:val="none"/>
              </w:rPr>
              <w:t>小写：</w:t>
            </w:r>
          </w:p>
        </w:tc>
      </w:tr>
    </w:tbl>
    <w:p>
      <w:pPr>
        <w:pStyle w:val="8"/>
        <w:rPr>
          <w:bCs/>
          <w:color w:val="auto"/>
          <w:highlight w:val="none"/>
        </w:rPr>
      </w:pPr>
      <w:r>
        <w:rPr>
          <w:strike/>
          <w:color w:val="auto"/>
          <w:highlight w:val="none"/>
        </w:rPr>
        <w:br w:type="page"/>
      </w:r>
      <w:bookmarkStart w:id="71" w:name="_Toc6493863"/>
      <w:bookmarkStart w:id="72" w:name="_Toc58838607"/>
      <w:bookmarkStart w:id="73" w:name="_Toc60070634"/>
      <w:bookmarkStart w:id="74" w:name="_Toc121470681"/>
      <w:r>
        <w:rPr>
          <w:rFonts w:hint="eastAsia"/>
          <w:snapToGrid w:val="0"/>
          <w:color w:val="auto"/>
          <w:highlight w:val="none"/>
        </w:rPr>
        <w:t>格式</w:t>
      </w:r>
      <w:bookmarkEnd w:id="71"/>
      <w:bookmarkEnd w:id="72"/>
      <w:r>
        <w:rPr>
          <w:rFonts w:hint="eastAsia"/>
          <w:snapToGrid w:val="0"/>
          <w:color w:val="auto"/>
          <w:highlight w:val="none"/>
        </w:rPr>
        <w:t>八：</w:t>
      </w:r>
      <w:bookmarkEnd w:id="73"/>
      <w:bookmarkEnd w:id="74"/>
    </w:p>
    <w:p>
      <w:pPr>
        <w:jc w:val="center"/>
        <w:rPr>
          <w:rFonts w:ascii="宋体" w:hAnsi="宋体"/>
          <w:b/>
          <w:color w:val="auto"/>
          <w:sz w:val="36"/>
          <w:szCs w:val="36"/>
          <w:highlight w:val="none"/>
        </w:rPr>
      </w:pPr>
      <w:bookmarkStart w:id="75" w:name="_Toc58838608"/>
      <w:r>
        <w:rPr>
          <w:rFonts w:hint="eastAsia" w:ascii="宋体" w:hAnsi="宋体"/>
          <w:b/>
          <w:color w:val="auto"/>
          <w:sz w:val="36"/>
          <w:szCs w:val="36"/>
          <w:highlight w:val="none"/>
        </w:rPr>
        <w:t>参与编制经济标投标文件人员名单</w:t>
      </w:r>
      <w:bookmarkEnd w:id="75"/>
    </w:p>
    <w:tbl>
      <w:tblPr>
        <w:tblStyle w:val="48"/>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职务</w:t>
            </w: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所承担工作</w:t>
            </w: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身份证号码</w:t>
            </w: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bl>
    <w:p>
      <w:pPr>
        <w:tabs>
          <w:tab w:val="left" w:pos="720"/>
        </w:tabs>
        <w:snapToGrid w:val="0"/>
        <w:spacing w:line="360" w:lineRule="auto"/>
        <w:rPr>
          <w:rFonts w:ascii="宋体" w:hAnsi="宋体"/>
          <w:color w:val="auto"/>
          <w:sz w:val="24"/>
          <w:szCs w:val="24"/>
          <w:highlight w:val="none"/>
        </w:rPr>
      </w:pPr>
    </w:p>
    <w:p>
      <w:pPr>
        <w:rPr>
          <w:rFonts w:ascii="宋体" w:hAnsi="宋体"/>
          <w:color w:val="auto"/>
          <w:highlight w:val="none"/>
        </w:rPr>
      </w:pPr>
      <w:r>
        <w:rPr>
          <w:rFonts w:hint="eastAsia" w:ascii="宋体" w:hAnsi="宋体"/>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pPr>
        <w:widowControl/>
        <w:jc w:val="left"/>
        <w:rPr>
          <w:rFonts w:ascii="宋体" w:hAnsi="宋体" w:cs="宋体"/>
          <w:b/>
          <w:color w:val="auto"/>
          <w:kern w:val="0"/>
          <w:sz w:val="24"/>
          <w:szCs w:val="24"/>
          <w:highlight w:val="none"/>
        </w:rPr>
      </w:pPr>
      <w:r>
        <w:rPr>
          <w:rFonts w:ascii="宋体" w:hAnsi="宋体"/>
          <w:color w:val="auto"/>
          <w:highlight w:val="none"/>
        </w:rPr>
        <w:br w:type="page"/>
      </w:r>
    </w:p>
    <w:p>
      <w:pPr>
        <w:pStyle w:val="8"/>
        <w:rPr>
          <w:color w:val="auto"/>
          <w:highlight w:val="none"/>
        </w:rPr>
      </w:pPr>
      <w:bookmarkStart w:id="76" w:name="_Toc121470682"/>
      <w:bookmarkStart w:id="77" w:name="_Toc60070635"/>
      <w:r>
        <w:rPr>
          <w:rFonts w:hint="eastAsia"/>
          <w:color w:val="auto"/>
          <w:highlight w:val="none"/>
        </w:rPr>
        <w:t>格式</w:t>
      </w:r>
      <w:r>
        <w:rPr>
          <w:rFonts w:hint="eastAsia"/>
          <w:snapToGrid w:val="0"/>
          <w:color w:val="auto"/>
          <w:highlight w:val="none"/>
        </w:rPr>
        <w:t>九</w:t>
      </w:r>
      <w:r>
        <w:rPr>
          <w:rFonts w:hint="eastAsia"/>
          <w:color w:val="auto"/>
          <w:kern w:val="2"/>
          <w:highlight w:val="none"/>
        </w:rPr>
        <w:t>：</w:t>
      </w:r>
      <w:bookmarkEnd w:id="76"/>
      <w:bookmarkEnd w:id="77"/>
    </w:p>
    <w:p>
      <w:pPr>
        <w:pStyle w:val="2"/>
        <w:spacing w:after="0" w:line="360" w:lineRule="auto"/>
        <w:ind w:firstLine="0"/>
        <w:jc w:val="center"/>
        <w:rPr>
          <w:rFonts w:ascii="宋体" w:hAnsi="宋体" w:eastAsia="宋体" w:cs="宋体"/>
          <w:color w:val="auto"/>
          <w:sz w:val="36"/>
          <w:szCs w:val="36"/>
          <w:highlight w:val="none"/>
        </w:rPr>
      </w:pPr>
      <w:r>
        <w:rPr>
          <w:rFonts w:hint="eastAsia" w:ascii="宋体" w:hAnsi="宋体" w:eastAsia="宋体" w:cs="宋体"/>
          <w:b/>
          <w:color w:val="auto"/>
          <w:sz w:val="36"/>
          <w:szCs w:val="36"/>
          <w:highlight w:val="none"/>
        </w:rPr>
        <w:t>对投标文件编制的承诺</w:t>
      </w:r>
    </w:p>
    <w:p>
      <w:pPr>
        <w:pStyle w:val="2"/>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本公司授权</w:t>
      </w:r>
      <w:r>
        <w:rPr>
          <w:rFonts w:hint="eastAsia" w:ascii="宋体" w:hAnsi="宋体" w:eastAsia="宋体" w:cs="宋体"/>
          <w:color w:val="auto"/>
          <w:sz w:val="24"/>
          <w:szCs w:val="24"/>
          <w:highlight w:val="none"/>
          <w:u w:val="single"/>
        </w:rPr>
        <w:t>（身份证号：）</w:t>
      </w:r>
      <w:r>
        <w:rPr>
          <w:rFonts w:hint="eastAsia" w:ascii="宋体" w:hAnsi="宋体" w:eastAsia="宋体" w:cs="宋体"/>
          <w:color w:val="auto"/>
          <w:sz w:val="24"/>
          <w:szCs w:val="24"/>
          <w:highlight w:val="none"/>
        </w:rPr>
        <w:t>负责对投标文件的编制及内容进行解释、说明，并承诺以下事项：</w:t>
      </w:r>
    </w:p>
    <w:p>
      <w:pPr>
        <w:pStyle w:val="2"/>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1.被授权人清楚投标文件编制的具体情况，包括</w:t>
      </w:r>
      <w:r>
        <w:rPr>
          <w:rFonts w:hint="eastAsia" w:ascii="宋体" w:hAnsi="宋体"/>
          <w:color w:val="auto"/>
          <w:sz w:val="24"/>
          <w:szCs w:val="24"/>
          <w:highlight w:val="none"/>
        </w:rPr>
        <w:t>技术方案文件、</w:t>
      </w:r>
      <w:r>
        <w:rPr>
          <w:rFonts w:hint="eastAsia" w:ascii="宋体" w:hAnsi="宋体" w:eastAsia="宋体" w:cs="宋体"/>
          <w:color w:val="auto"/>
          <w:sz w:val="24"/>
          <w:szCs w:val="24"/>
          <w:highlight w:val="none"/>
        </w:rPr>
        <w:t>工程量清单、以及投标文件的加密打包的理解；</w:t>
      </w:r>
    </w:p>
    <w:p>
      <w:pPr>
        <w:pStyle w:val="2"/>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2.在本项目开标至评标结束前，努力确保被授权人在项目评标所在地附近；</w:t>
      </w:r>
    </w:p>
    <w:p>
      <w:pPr>
        <w:pStyle w:val="2"/>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3.从评标委员会要求澄清起二小时内，被授权人应如实地书面澄清。</w:t>
      </w:r>
    </w:p>
    <w:p>
      <w:pPr>
        <w:pStyle w:val="2"/>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如由于未遵守上述承诺内容之一导致无法进行澄清的，我公司认可和接受评标委员会作出的评审结论。</w:t>
      </w:r>
    </w:p>
    <w:p>
      <w:pPr>
        <w:pStyle w:val="2"/>
        <w:spacing w:after="0" w:line="360" w:lineRule="auto"/>
        <w:ind w:firstLine="360" w:firstLineChars="150"/>
        <w:rPr>
          <w:rFonts w:ascii="宋体" w:hAnsi="宋体" w:eastAsia="宋体" w:cs="宋体"/>
          <w:color w:val="auto"/>
          <w:sz w:val="24"/>
          <w:szCs w:val="24"/>
          <w:highlight w:val="none"/>
        </w:rPr>
      </w:pPr>
    </w:p>
    <w:p>
      <w:pPr>
        <w:pStyle w:val="2"/>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附件：《投标文件编制情况》</w:t>
      </w:r>
    </w:p>
    <w:p>
      <w:pPr>
        <w:spacing w:line="360" w:lineRule="auto"/>
        <w:ind w:right="90" w:firstLine="3240" w:firstLineChars="1350"/>
        <w:rPr>
          <w:rFonts w:ascii="宋体" w:hAnsi="宋体" w:cs="宋体"/>
          <w:color w:val="auto"/>
          <w:sz w:val="24"/>
          <w:szCs w:val="24"/>
          <w:highlight w:val="none"/>
        </w:rPr>
      </w:pPr>
      <w:r>
        <w:rPr>
          <w:rFonts w:hint="eastAsia" w:ascii="宋体" w:hAnsi="宋体" w:cs="宋体"/>
          <w:color w:val="auto"/>
          <w:sz w:val="24"/>
          <w:szCs w:val="24"/>
          <w:highlight w:val="none"/>
        </w:rPr>
        <w:t>投标人：（盖章）</w:t>
      </w:r>
    </w:p>
    <w:p>
      <w:pPr>
        <w:spacing w:line="360" w:lineRule="auto"/>
        <w:ind w:right="90" w:firstLine="3240" w:firstLineChars="1350"/>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法定代表人或授权代理人（签字或盖章）：</w:t>
      </w:r>
    </w:p>
    <w:p>
      <w:pPr>
        <w:spacing w:line="360" w:lineRule="auto"/>
        <w:ind w:right="90" w:firstLine="3240" w:firstLineChars="1350"/>
        <w:rPr>
          <w:rFonts w:ascii="宋体" w:hAnsi="宋体" w:cs="宋体"/>
          <w:color w:val="auto"/>
          <w:sz w:val="24"/>
          <w:szCs w:val="24"/>
          <w:highlight w:val="none"/>
        </w:rPr>
      </w:pPr>
      <w:r>
        <w:rPr>
          <w:rFonts w:hint="eastAsia" w:ascii="宋体" w:hAnsi="宋体" w:cs="宋体"/>
          <w:color w:val="auto"/>
          <w:sz w:val="24"/>
          <w:szCs w:val="24"/>
          <w:highlight w:val="none"/>
        </w:rPr>
        <w:t>日期：年月日</w:t>
      </w:r>
    </w:p>
    <w:p>
      <w:pPr>
        <w:pStyle w:val="2"/>
        <w:spacing w:after="0" w:line="360" w:lineRule="auto"/>
        <w:ind w:firstLine="0"/>
        <w:jc w:val="center"/>
        <w:rPr>
          <w:rFonts w:ascii="宋体" w:hAnsi="宋体" w:eastAsia="宋体" w:cs="宋体"/>
          <w:color w:val="auto"/>
          <w:sz w:val="36"/>
          <w:szCs w:val="36"/>
          <w:highlight w:val="none"/>
        </w:rPr>
      </w:pPr>
      <w:r>
        <w:rPr>
          <w:rFonts w:hint="eastAsia" w:ascii="宋体" w:hAnsi="宋体" w:eastAsia="宋体" w:cs="宋体"/>
          <w:b/>
          <w:color w:val="auto"/>
          <w:sz w:val="36"/>
          <w:szCs w:val="36"/>
          <w:highlight w:val="none"/>
        </w:rPr>
        <w:t>投标文件编制情况</w:t>
      </w:r>
    </w:p>
    <w:p>
      <w:pPr>
        <w:pStyle w:val="2"/>
        <w:spacing w:after="0"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1.投标文件报价编制方式: □自行编制的，编制的负责人：</w:t>
      </w:r>
      <w:r>
        <w:rPr>
          <w:rFonts w:hint="eastAsia" w:ascii="宋体" w:hAnsi="宋体" w:eastAsia="宋体" w:cs="宋体"/>
          <w:color w:val="auto"/>
          <w:sz w:val="24"/>
          <w:szCs w:val="24"/>
          <w:highlight w:val="none"/>
          <w:u w:val="single"/>
        </w:rPr>
        <w:t>（盖造价工程师执业专用章或全国建设工程造价员章，执业单位应与投标人一致）</w:t>
      </w:r>
      <w:r>
        <w:rPr>
          <w:rFonts w:hint="eastAsia" w:ascii="宋体" w:hAnsi="宋体" w:eastAsia="宋体" w:cs="宋体"/>
          <w:color w:val="auto"/>
          <w:sz w:val="24"/>
          <w:szCs w:val="24"/>
          <w:highlight w:val="none"/>
        </w:rPr>
        <w:t>。□委托编制的，受委托单位，编制的负责人：</w:t>
      </w:r>
      <w:r>
        <w:rPr>
          <w:rFonts w:hint="eastAsia" w:ascii="宋体" w:hAnsi="宋体" w:eastAsia="宋体" w:cs="宋体"/>
          <w:color w:val="auto"/>
          <w:sz w:val="24"/>
          <w:szCs w:val="24"/>
          <w:highlight w:val="none"/>
          <w:u w:val="single"/>
        </w:rPr>
        <w:t>（盖造价工程师执业专用章或全国建设工程造价员章，执业单位应与受委托单位一致）</w:t>
      </w:r>
      <w:r>
        <w:rPr>
          <w:rFonts w:hint="eastAsia" w:ascii="宋体" w:hAnsi="宋体" w:eastAsia="宋体" w:cs="宋体"/>
          <w:color w:val="auto"/>
          <w:sz w:val="24"/>
          <w:szCs w:val="24"/>
          <w:highlight w:val="none"/>
        </w:rPr>
        <w:t>。</w:t>
      </w:r>
    </w:p>
    <w:p>
      <w:pPr>
        <w:pStyle w:val="2"/>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2.投标文件加密打包的电脑情况</w:t>
      </w:r>
    </w:p>
    <w:tbl>
      <w:tblPr>
        <w:tblStyle w:val="48"/>
        <w:tblW w:w="8522" w:type="dxa"/>
        <w:tblInd w:w="0" w:type="dxa"/>
        <w:tblLayout w:type="fixed"/>
        <w:tblCellMar>
          <w:top w:w="0" w:type="dxa"/>
          <w:left w:w="108" w:type="dxa"/>
          <w:bottom w:w="0" w:type="dxa"/>
          <w:right w:w="108" w:type="dxa"/>
        </w:tblCellMar>
      </w:tblPr>
      <w:tblGrid>
        <w:gridCol w:w="8522"/>
      </w:tblGrid>
      <w:tr>
        <w:trPr>
          <w:trHeight w:val="2819" w:hRule="atLeast"/>
        </w:trPr>
        <w:tc>
          <w:tcPr>
            <w:tcW w:w="8522" w:type="dxa"/>
          </w:tcPr>
          <w:p>
            <w:pPr>
              <w:pStyle w:val="2"/>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投标文件加密打包的电脑自有□外包□其他□</w:t>
            </w:r>
          </w:p>
          <w:p>
            <w:pPr>
              <w:pStyle w:val="2"/>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pPr>
              <w:pStyle w:val="2"/>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pPr>
              <w:pStyle w:val="2"/>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电脑所在地址（如××市××区(县) ××街（路）××号××大厦××房）</w:t>
            </w:r>
          </w:p>
        </w:tc>
      </w:tr>
    </w:tbl>
    <w:p>
      <w:pPr>
        <w:spacing w:line="360" w:lineRule="auto"/>
        <w:rPr>
          <w:rFonts w:ascii="宋体" w:hAnsi="宋体" w:cs="宋体"/>
          <w:color w:val="auto"/>
          <w:sz w:val="24"/>
          <w:szCs w:val="24"/>
          <w:highlight w:val="none"/>
        </w:rPr>
      </w:pPr>
    </w:p>
    <w:p>
      <w:pPr>
        <w:pStyle w:val="4"/>
        <w:rPr>
          <w:color w:val="auto"/>
          <w:highlight w:val="none"/>
        </w:rPr>
      </w:pPr>
      <w:bookmarkStart w:id="78" w:name="_Toc24121"/>
      <w:bookmarkStart w:id="79" w:name="_Toc121470683"/>
      <w:bookmarkStart w:id="80" w:name="_Toc16427"/>
      <w:bookmarkStart w:id="81" w:name="_Toc3700"/>
      <w:bookmarkStart w:id="82" w:name="_Toc8330"/>
      <w:bookmarkStart w:id="83" w:name="_Toc60070637"/>
      <w:r>
        <w:rPr>
          <w:rFonts w:hint="eastAsia"/>
          <w:color w:val="auto"/>
          <w:highlight w:val="none"/>
        </w:rPr>
        <w:t>第五章技术条件（工程建设标准）</w:t>
      </w:r>
      <w:bookmarkEnd w:id="78"/>
      <w:bookmarkEnd w:id="79"/>
      <w:bookmarkEnd w:id="80"/>
      <w:bookmarkEnd w:id="81"/>
      <w:bookmarkEnd w:id="82"/>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本工程按照国家有关规定、规范进行施工、验收，如在施工过程中颁发新的版本，是否采用新版本的规定，由监理工程师与有关各方洽商决定。</w:t>
      </w:r>
    </w:p>
    <w:p>
      <w:pPr>
        <w:adjustRightInd w:val="0"/>
        <w:snapToGrid w:val="0"/>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第一节编制要求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一、编制依据</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1、本工程招标文件的有关要求。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2、国家、广东省、广州市有关施工验收规范、质量标准和操作规程等要求。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3、施工图纸及有关资料。</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二、具体要求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1、按本工程规定的总工期，编制出完善的施工进度控制计划，在投标承诺了工期内完成工程任务。</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2、发挥技术优势，优化管理水平。安排经验丰富的优秀管理人员和高素质的工人参加本项目施工，采用先进的技术设备，优化施工管理，充分发挥施工单位在管理和技术方面的优势。</w:t>
      </w:r>
    </w:p>
    <w:p>
      <w:pPr>
        <w:adjustRightInd w:val="0"/>
        <w:snapToGrid w:val="0"/>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第二节施工要求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一、施工机构及现场管理要求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为把好工程质量、安全、进度关，确保工程质量等级达到合格，要求委派一名项目负责人，一名技术负责人，对工程的质量、安全、进度和成本，实行高效益、有计划的组织、协调和管理。建立健全的施工组织管理机构。</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二、施工要求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本工程施工要点如下：</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1、采用先进的施工技术；</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2、投入现代化的施工机械设备；</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3、合理的施工方案和先进的施工组织。</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4、施工过程要求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A、严格按照国家、省市、地方施工规范要求进行施工。</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B、根据工程进度计划，编制材料订购、质量检测、配方测试，确保材料质量和供应的计划。</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三、项目施工目标</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1、质量目标：确保符合国家质量验收标准，未有国家质量标准的按照行业和广东省质量验收标准，并达到合格或（以上标准）。</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2、安全目标：杜绝重大安全事故的发生，控制工伤、轻伤事故在千分之一内。</w:t>
      </w:r>
    </w:p>
    <w:p>
      <w:pPr>
        <w:adjustRightInd w:val="0"/>
        <w:snapToGrid w:val="0"/>
        <w:spacing w:line="360" w:lineRule="auto"/>
        <w:ind w:firstLine="424" w:firstLineChars="177"/>
        <w:rPr>
          <w:color w:val="auto"/>
          <w:highlight w:val="none"/>
        </w:rPr>
      </w:pPr>
      <w:r>
        <w:rPr>
          <w:rFonts w:hint="eastAsia" w:ascii="宋体" w:hAnsi="宋体"/>
          <w:color w:val="auto"/>
          <w:sz w:val="24"/>
          <w:szCs w:val="24"/>
          <w:highlight w:val="none"/>
        </w:rPr>
        <w:t>3、工期目标：总工期727日历天。其中施工工期：≤235日历天，暂定开工时间为2023年9月5日，完工时间为2024年4月27日，通过交工验收。具体开工时间以发包人确认的开工令为准。竣工验收日期：2025年8月31日。</w:t>
      </w:r>
    </w:p>
    <w:p>
      <w:pPr>
        <w:adjustRightInd w:val="0"/>
        <w:snapToGrid w:val="0"/>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第三节主要施工方案与施工方法的要求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一、结构施工要求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1、工程施工要求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各分项工程在施工前，均应编制相应的施工技术措施，内容包括施工准备、操作工艺、质量标准、成品保护等。</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2、所有施工项目均应按照国家、省市、地方有关法律法规及规范要求制定施工技术方案后方可施工。</w:t>
      </w:r>
    </w:p>
    <w:p>
      <w:pPr>
        <w:adjustRightInd w:val="0"/>
        <w:snapToGrid w:val="0"/>
        <w:spacing w:line="360" w:lineRule="auto"/>
        <w:ind w:firstLine="426" w:firstLineChars="177"/>
        <w:rPr>
          <w:rFonts w:ascii="宋体" w:hAnsi="宋体"/>
          <w:color w:val="auto"/>
          <w:sz w:val="24"/>
          <w:szCs w:val="24"/>
          <w:highlight w:val="none"/>
        </w:rPr>
      </w:pPr>
      <w:r>
        <w:rPr>
          <w:rFonts w:hint="eastAsia" w:ascii="宋体" w:hAnsi="宋体"/>
          <w:b/>
          <w:bCs/>
          <w:color w:val="auto"/>
          <w:sz w:val="24"/>
          <w:szCs w:val="24"/>
          <w:highlight w:val="none"/>
        </w:rPr>
        <w:t>第四节主要技术组织要求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一、工程施工中，要严格执行有关技术操作的各项规程，要注意落实下列各点中的技术措施。实行目标管理，明确总目标为合格。</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（1）成立以项目负责人为首的全面质量和管理小组。</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（2）明确并认真落实技术岗位责任制和技术交底制度。</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（3）落实图纸会审、定位放线、预检复核、材质验收、成品保护等有关规定。</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（4）制定自检，互检（交接检）末检制度。</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（5）对工程实行质量预控，施工程序及工艺标准施工。</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（6）特殊工种必须持证上岗。</w:t>
      </w:r>
    </w:p>
    <w:p>
      <w:pPr>
        <w:spacing w:line="360" w:lineRule="auto"/>
        <w:ind w:firstLine="426" w:firstLineChars="177"/>
        <w:jc w:val="left"/>
        <w:rPr>
          <w:rFonts w:ascii="宋体" w:hAnsi="宋体"/>
          <w:b/>
          <w:color w:val="auto"/>
          <w:sz w:val="24"/>
          <w:szCs w:val="24"/>
          <w:highlight w:val="none"/>
        </w:rPr>
      </w:pPr>
      <w:r>
        <w:rPr>
          <w:rFonts w:hint="eastAsia" w:ascii="宋体" w:hAnsi="宋体"/>
          <w:b/>
          <w:color w:val="auto"/>
          <w:sz w:val="24"/>
          <w:szCs w:val="24"/>
          <w:highlight w:val="none"/>
        </w:rPr>
        <w:t>第五节、主要设备材料品牌/生产厂家推荐表（推荐或相当于）</w:t>
      </w:r>
    </w:p>
    <w:tbl>
      <w:tblPr>
        <w:tblStyle w:val="48"/>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7"/>
        <w:gridCol w:w="2253"/>
        <w:gridCol w:w="4586"/>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4591" w:type="dxa"/>
            <w:tcBorders>
              <w:top w:val="single" w:color="000000" w:sz="4" w:space="0"/>
              <w:left w:val="single" w:color="000000" w:sz="4" w:space="0"/>
              <w:bottom w:val="single" w:color="000000" w:sz="4" w:space="0"/>
              <w:right w:val="nil"/>
            </w:tcBorders>
            <w:shd w:val="clear" w:color="auto" w:fill="DDEBF7"/>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color w:val="auto"/>
                <w:sz w:val="24"/>
                <w:szCs w:val="24"/>
                <w:highlight w:val="none"/>
                <w:u w:val="none"/>
                <w:lang w:val="en-US" w:eastAsia="zh-CN" w:bidi="ar"/>
              </w:rPr>
              <w:t>拟定品牌库</w:t>
            </w:r>
            <w:r>
              <w:rPr>
                <w:rFonts w:hint="eastAsia" w:ascii="宋体" w:hAnsi="宋体" w:eastAsia="宋体" w:cs="宋体"/>
                <w:b/>
                <w:bCs/>
                <w:color w:val="auto"/>
                <w:sz w:val="22"/>
                <w:highlight w:val="none"/>
                <w:u w:val="none"/>
                <w:lang w:val="en-US" w:eastAsia="zh-CN" w:bidi="ar"/>
              </w:rPr>
              <w:t>（在同等条件下，优先采用广州工控及下属企业生产的材料、设备）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951" w:type="dxa"/>
            <w:gridSpan w:val="3"/>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土建工程</w:t>
            </w:r>
          </w:p>
        </w:tc>
        <w:tc>
          <w:tcPr>
            <w:tcW w:w="1403"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钢筋、钢材</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广州广钢新材料股份有限公司</w:t>
            </w:r>
          </w:p>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江苏沙钢集团有限公司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鞍钢集团有限公司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钢结构</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广州中虹建设工程有限公司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来实建筑系统（上海）有限公司                中建科工集团有限公司                      广州广重机电设备工程有限公司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预制管桩</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南珠建材（广州）有限公司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广东建华管桩有限公司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江门市恒达管桩有限公司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广东鸿业管桩有限公司     </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广东宏基管桩有限公司                       广东华岩建材有限公司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商品混凝土</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广州市峻兴混凝土有限公司                    广州市顺盈混凝土有限公司                    广州市广泓混凝土有限公司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防水材料</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北京东方雨虹防水技术股份有限公司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科顺防水科技股份有限公司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深圳市卓宝科技股份有限公司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防火门</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广州市白云南粤防火门有限公司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佛山市桂安实业有限公司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广东蓝盾门业有限公司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人防设备</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广州市羊城地下工程有限公司                 广州市巨安人防工程有限公司                 广东百通人防工程防护设备有限公司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中国南玻集团股份有限公司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信义玻璃控股有限公司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上海耀皮玻璃集团股份有限公司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铝合金型材</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广州铝材厂有限公司</w:t>
            </w:r>
          </w:p>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广东坚美铝型材厂（集团）有限公司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广东大明铝合金型材有限公司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铝合金门窗</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广州铝材厂有限公司</w:t>
            </w:r>
          </w:p>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广东坚美铝型材厂（集团）有限公司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广东大明铝合金型材有限公司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固化剂、金刚砂、地坪漆</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广州秀珀化工涂料有限公司 </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马贝建筑材料（广州）有限公司              广东耐迪化工有限公司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油漆</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广东珠江化工涂料有限公司</w:t>
            </w:r>
          </w:p>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佛山高轩环保新材料有限公司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惠州腾威新材料有限公司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DD7EE"/>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机电安装工程</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（一）给排水系统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内衬塑钢管</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广东泰丰侨金属制品有限公司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广州珠江管业科技有限公司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广东华捷钢管实业有限公司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塑料给排水管</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公元管道（深圳）有限公司                            浙江中财管道科技股份有限公司  </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广东联塑科技实业有限公司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虹吸雨水系统（管材及配件）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威文管道系统（佛山）有限公司                        上海吉博力房屋卫生设备工程技术有限公司                        深圳志深建筑技术有限公司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镀锌钢管、钢管</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广东泰丰侨金属制品有限公司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广州珠江管业科技有限公司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广东华捷钢管实业有限公司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阀门及配件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济南迈克阀门科技有限公司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能发伟业阀门科技有限公司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天津市塘沽第一阀门有限公司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水表</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广州汉光电气股份有限公司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广州柏诚智能科技有限公司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武汉盛帆电子股份有限公司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水泵</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广州市白云泵业集团有限公司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南方泵业股份有限公司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上海熊猫机械(集团)有限公司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空气能热水器</w:t>
            </w:r>
          </w:p>
        </w:tc>
        <w:tc>
          <w:tcPr>
            <w:tcW w:w="45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东莞市天元节能科技有限公司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广东炬邦热能设备有限公司</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广一                                      威乐</w:t>
            </w:r>
          </w:p>
        </w:tc>
        <w:tc>
          <w:tcPr>
            <w:tcW w:w="1403" w:type="dxa"/>
            <w:tcBorders>
              <w:top w:val="nil"/>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2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w:t>
            </w:r>
          </w:p>
        </w:tc>
        <w:tc>
          <w:tcPr>
            <w:tcW w:w="4591"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松下                                      日立                                       大金</w:t>
            </w:r>
          </w:p>
        </w:tc>
        <w:tc>
          <w:tcPr>
            <w:tcW w:w="1403" w:type="dxa"/>
            <w:tcBorders>
              <w:top w:val="nil"/>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不锈钢水箱、水处理设备</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广州惠至博环保设备有限公司                             广州恒德环保科技有限公司                                         深圳欧博特雨水科技股份有限公司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（二）电气及防雷系统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上海ABB变压器有限公司                     施耐德（苏州）变压器有限公司                        广州西门子变压器有限公司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高低压成套配电箱柜</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广州广缆义明电气有限公司</w:t>
            </w:r>
          </w:p>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广州科铭电气设备有限公司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广州白云电器设备股份有限公司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主要开关元器件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施耐德、ABB、西门子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母线槽</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广州广缆义明电气有限公司</w:t>
            </w:r>
          </w:p>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广州市半径电力铜材有限公司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广东卓亚电气实业有限公司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柴油发电机</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上海柴油机股份有限公司                              广西玉柴机器集团有限公司                            广州柴油机厂股份有限公司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电线、电缆</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广州电缆厂有限公司</w:t>
            </w:r>
          </w:p>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广州番禺电缆集团有限公司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广东中联电缆集团有限公司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金属线槽、桥架、镀锌电线管</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广州市番禺天虹工业开发有限公司</w:t>
            </w:r>
          </w:p>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广东宏际线管实业有限公司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佛山市联希线槽有限公司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电缆保护套管（HDPE、MPP、PVC管、玻璃纤维钢管）</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清远市恒源管业有限公司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广东利民实业有限公司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清远市清新区太和镇宏达塑料管厂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抗震支架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江苏鼎梁金属科技有限公司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浙江帷盛建筑科技有限公司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河北展宇机电科技有限公司</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深圳优力可科技股份有限公司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广州广日电气设备有限公司                             广东三雄极光照明股份有限公司                        欧普照明股份有限公司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电表</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广州汉光电气股份有限公司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广州柏诚智能科技有限公司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武汉盛帆电子股份有限公司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（三）暖通系统（空调、排烟、通风）</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风机、风阀、风口、消声静压箱、百叶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广东康美风通风设备有限公司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南方风机股份有限公司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深圳市中航大记股份有限公司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抗震支架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江苏鼎梁金属科技有限公司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浙江帷盛建筑科技有限公司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河北展宇机电科技有限公司</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深圳优力可科技股份有限公司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镀锌钢板</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中国宝武钢铁集团有限公司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鞍钢集团有限公司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马钢（集团）控股有限公司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2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气楼品牌</w:t>
            </w:r>
          </w:p>
        </w:tc>
        <w:tc>
          <w:tcPr>
            <w:tcW w:w="4591"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麦克威、昱合昇、山东金光</w:t>
            </w:r>
          </w:p>
        </w:tc>
        <w:tc>
          <w:tcPr>
            <w:tcW w:w="1403" w:type="dxa"/>
            <w:tcBorders>
              <w:top w:val="nil"/>
              <w:left w:val="single" w:color="000000" w:sz="4" w:space="0"/>
              <w:bottom w:val="nil"/>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gridSpan w:val="3"/>
            <w:tcBorders>
              <w:top w:val="single" w:color="000000" w:sz="4" w:space="0"/>
              <w:left w:val="single" w:color="000000" w:sz="4" w:space="0"/>
              <w:bottom w:val="single" w:color="000000" w:sz="4" w:space="0"/>
              <w:right w:val="nil"/>
            </w:tcBorders>
            <w:shd w:val="clear" w:color="auto" w:fill="BDD7EE"/>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消防工程</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（一）消防水系统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内外热浸镀锌钢管</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广东泰丰侨金属制品有限公司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广州珠江管业科技有限公司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广东华捷钢管实业有限公司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阀门及配件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济南迈克阀门科技有限公司</w:t>
            </w:r>
          </w:p>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能发伟业阀门科技有限公司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天津市塘沽第一阀门有限公司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湿式报警阀、信号阀、水流指示器、水锤吸纳器、压力表、地上式室外消火栓、室内消火栓、推车式灭火器、手提式灭火器、水力警铃、水喷头、末端试水装置</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广东胜捷消防科技有限公司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广东平安消防实业有限公司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天广中茂股份有限公司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消防给水加压成套设备</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广州市白云泵业集团有限公司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上海东方泵业(集团)有限公司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上海熊猫机械(集团)有限公司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抗震支架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江苏鼎梁金属科技有限公司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浙江帷盛建筑科技有限公司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河北展宇机电科技有限公司</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深圳优力可科技股份有限公司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消防栓箱</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广东胜捷消防科技有限公司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广东平安消防实业有限公司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天广中茂股份有限公司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（二）火灾自动报警系统、电气火灾监控系统、消防设备电源监控系统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火灾自动报警系统（消防主机、模块、控制器、报警器、警铃、按钮、应急照明、智能疏散、消防显示器等）、电气火灾监控系统、消防设备电源监控系统、消防指示灯、应急灯</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深圳市高新投三江电子股份有限公司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深圳市赋安安全系统有限公司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北京利达华信电子有限公司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0" w:type="auto"/>
            <w:gridSpan w:val="3"/>
            <w:tcBorders>
              <w:top w:val="single" w:color="000000" w:sz="4" w:space="0"/>
              <w:left w:val="single" w:color="000000" w:sz="4" w:space="0"/>
              <w:bottom w:val="single" w:color="000000" w:sz="4" w:space="0"/>
              <w:right w:val="nil"/>
            </w:tcBorders>
            <w:shd w:val="clear" w:color="auto" w:fill="BDD7EE"/>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装修工程</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防水材料</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北京东方雨虹防水技术股份有限公司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广东科顺化工实业有限公司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深圳市卓宝科技股份有限公司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墙地砖、屋面砖</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佛山东鹏洁具股份有限公司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冠珠(新明珠集团股份有限公司)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杭州诺贝尔陶瓷有限公司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乳胶漆、无机涂料</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立邦涂料（中国）有限公司</w:t>
            </w:r>
          </w:p>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多乐士(阿克苏诺贝尔漆油（上海）有限公司)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广东珠江化工涂料有限公司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开关、插座、应急按钮、门铃按钮、门磁开关</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正泰电器股份有限公司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德力西电气有限公司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TCL科技集团股份有限公司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室内灯具：格栅灯盘、支架、筒灯、射灯、灯带、工矿灯等</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灯具（除消防指示灯、应急灯等）：</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广州广日电气设备有限公司                  三雄极光                                  欧普照明</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铝塑板、铝单板</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广州市南龙建材有限公司</w:t>
            </w:r>
          </w:p>
          <w:p>
            <w:pPr>
              <w:keepNext w:val="0"/>
              <w:keepLines w:val="0"/>
              <w:widowControl/>
              <w:suppressLineNumbers w:val="0"/>
              <w:jc w:val="left"/>
              <w:textAlignment w:val="center"/>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广州市广丰装饰材料有限公司</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广州铝业有限公司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卫生洁具（大便器、小便器、洗手盆、洗涤盆、龙头、淋浴器）</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箭牌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鹰牌</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恒洁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gridSpan w:val="3"/>
            <w:tcBorders>
              <w:top w:val="single" w:color="000000" w:sz="4" w:space="0"/>
              <w:left w:val="single" w:color="000000" w:sz="4" w:space="0"/>
              <w:bottom w:val="single" w:color="000000" w:sz="4" w:space="0"/>
              <w:right w:val="nil"/>
            </w:tcBorders>
            <w:shd w:val="clear" w:color="auto" w:fill="BDD7EE"/>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其他系统工程</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空压机、干燥机</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阿特拉斯.科普柯（中国）投资有限公司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英格索兰（中国）投资有限公司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宁波鲍斯能源装备股份有限公司                   日立产机（苏州）压缩机有限公司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寿力压缩机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bl>
    <w:p>
      <w:pPr>
        <w:rPr>
          <w:color w:val="auto"/>
          <w:highlight w:val="none"/>
        </w:rPr>
      </w:pPr>
    </w:p>
    <w:p>
      <w:pPr>
        <w:spacing w:line="360" w:lineRule="auto"/>
        <w:ind w:right="-86" w:rightChars="-41" w:firstLine="426"/>
        <w:jc w:val="lef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1、投标人在投标时须在投标表格（即投标文件的工程量清单）中按上述表中的主要设备材料品牌/生产厂家范围（或相当于），填报一个拟选择的品牌/生产厂家的意向，最终在中标后的项目实施过程中，按投标时选择的意向及本项目施工合同的相关规定，在考察确定并在征得招标人及现场监理工程师的同意后，才能在项目实施过程中使用，结算时按本项目合同条款的有关要求和投标文件承诺进行结算。</w:t>
      </w:r>
    </w:p>
    <w:p>
      <w:pPr>
        <w:pStyle w:val="26"/>
        <w:rPr>
          <w:rFonts w:hAnsi="宋体"/>
          <w:color w:val="auto"/>
          <w:sz w:val="24"/>
          <w:szCs w:val="24"/>
          <w:highlight w:val="none"/>
        </w:rPr>
      </w:pPr>
    </w:p>
    <w:p>
      <w:pPr>
        <w:rPr>
          <w:rFonts w:ascii="宋体" w:hAnsi="宋体"/>
          <w:color w:val="auto"/>
          <w:sz w:val="24"/>
          <w:szCs w:val="24"/>
          <w:highlight w:val="none"/>
        </w:rPr>
      </w:pPr>
    </w:p>
    <w:p>
      <w:pPr>
        <w:spacing w:line="360" w:lineRule="auto"/>
        <w:ind w:firstLine="482" w:firstLineChars="200"/>
        <w:jc w:val="left"/>
        <w:rPr>
          <w:rFonts w:ascii="宋体" w:hAnsi="宋体" w:cs="宋体"/>
          <w:color w:val="auto"/>
          <w:sz w:val="24"/>
          <w:szCs w:val="24"/>
          <w:highlight w:val="none"/>
        </w:rPr>
      </w:pPr>
      <w:r>
        <w:rPr>
          <w:rFonts w:hint="eastAsia" w:ascii="宋体" w:hAnsi="宋体" w:cs="宋体"/>
          <w:b/>
          <w:bCs/>
          <w:color w:val="auto"/>
          <w:sz w:val="24"/>
          <w:szCs w:val="24"/>
          <w:highlight w:val="none"/>
        </w:rPr>
        <w:t>第六节 组织机构及项目部人员要求</w:t>
      </w:r>
    </w:p>
    <w:p>
      <w:pPr>
        <w:spacing w:line="360" w:lineRule="auto"/>
        <w:ind w:right="-510" w:rightChars="-243" w:firstLine="480" w:firstLineChars="200"/>
        <w:jc w:val="left"/>
        <w:rPr>
          <w:rFonts w:ascii="宋体" w:hAnsi="宋体" w:cs="宋体"/>
          <w:color w:val="auto"/>
          <w:sz w:val="24"/>
          <w:szCs w:val="24"/>
          <w:highlight w:val="none"/>
        </w:rPr>
      </w:pPr>
      <w:r>
        <w:rPr>
          <w:rFonts w:hint="eastAsia" w:ascii="宋体" w:hAnsi="宋体"/>
          <w:color w:val="auto"/>
          <w:sz w:val="24"/>
          <w:szCs w:val="24"/>
          <w:highlight w:val="none"/>
        </w:rPr>
        <w:t>考虑到本工程质量及技术要求较高、工期要求紧、施工专业多、配合管理任务重，因此本项目要求设置合理的组织管理机构。各投标人要针对本工程科学合理地设置项目组织机构，具体要求如下：</w:t>
      </w:r>
    </w:p>
    <w:p>
      <w:pPr>
        <w:spacing w:line="360" w:lineRule="auto"/>
        <w:ind w:right="-86" w:rightChars="-41"/>
        <w:jc w:val="center"/>
        <w:rPr>
          <w:rFonts w:ascii="宋体" w:hAnsi="宋体" w:cs="宋体"/>
          <w:color w:val="auto"/>
          <w:sz w:val="24"/>
          <w:szCs w:val="24"/>
          <w:highlight w:val="none"/>
        </w:rPr>
      </w:pPr>
      <w:r>
        <w:rPr>
          <w:rFonts w:hint="eastAsia" w:ascii="宋体" w:hAnsi="宋体" w:cs="宋体"/>
          <w:color w:val="auto"/>
          <w:sz w:val="24"/>
          <w:szCs w:val="24"/>
          <w:highlight w:val="none"/>
        </w:rPr>
        <w:t>项目组织机构设置要求表</w:t>
      </w:r>
    </w:p>
    <w:tbl>
      <w:tblPr>
        <w:tblStyle w:val="48"/>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1459"/>
        <w:gridCol w:w="828"/>
        <w:gridCol w:w="4111"/>
        <w:gridCol w:w="1275"/>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人员岗位</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人员数量</w:t>
            </w:r>
          </w:p>
        </w:tc>
        <w:tc>
          <w:tcPr>
            <w:tcW w:w="4111"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人员要求（工作经验、执业资格）</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在岗时间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项目负责人</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单位在编人员，满足招标公告要求，且与本项目投标登记时提供的一致。</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技术负责人</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单位在编人员，满足招标公告要求。</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rPr>
              <w:t>质量负责人</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color w:val="auto"/>
                <w:sz w:val="24"/>
                <w:szCs w:val="24"/>
                <w:highlight w:val="none"/>
              </w:rPr>
              <w:t>具备建筑相关专业</w:t>
            </w:r>
            <w:r>
              <w:rPr>
                <w:rFonts w:hint="eastAsia" w:ascii="宋体" w:hAnsi="宋体" w:cs="宋体"/>
                <w:color w:val="auto"/>
                <w:kern w:val="0"/>
                <w:sz w:val="24"/>
                <w:szCs w:val="24"/>
                <w:highlight w:val="none"/>
              </w:rPr>
              <w:t>中级或以上技术</w:t>
            </w:r>
            <w:r>
              <w:rPr>
                <w:rFonts w:hint="eastAsia" w:ascii="宋体" w:hAnsi="宋体" w:cs="宋体"/>
                <w:color w:val="auto"/>
                <w:sz w:val="24"/>
                <w:szCs w:val="24"/>
                <w:highlight w:val="none"/>
              </w:rPr>
              <w:t>职称。</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造价负责人</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color w:val="auto"/>
                <w:sz w:val="24"/>
                <w:szCs w:val="24"/>
                <w:highlight w:val="none"/>
              </w:rPr>
              <w:t>具备建筑相关专业</w:t>
            </w:r>
            <w:r>
              <w:rPr>
                <w:rFonts w:hint="eastAsia" w:ascii="宋体" w:hAnsi="宋体" w:cs="宋体"/>
                <w:color w:val="auto"/>
                <w:kern w:val="0"/>
                <w:sz w:val="24"/>
                <w:szCs w:val="24"/>
                <w:highlight w:val="none"/>
              </w:rPr>
              <w:t>中级或以上技术</w:t>
            </w:r>
            <w:r>
              <w:rPr>
                <w:rFonts w:hint="eastAsia" w:ascii="宋体" w:hAnsi="宋体" w:cs="宋体"/>
                <w:color w:val="auto"/>
                <w:sz w:val="24"/>
                <w:szCs w:val="24"/>
                <w:highlight w:val="none"/>
              </w:rPr>
              <w:t>职称。</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土建工程师</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单位在编人员，具备</w:t>
            </w:r>
            <w:r>
              <w:rPr>
                <w:rFonts w:hint="eastAsia" w:ascii="宋体" w:hAnsi="宋体" w:cs="宋体"/>
                <w:color w:val="auto"/>
                <w:sz w:val="24"/>
                <w:szCs w:val="24"/>
                <w:highlight w:val="none"/>
              </w:rPr>
              <w:t>房屋建筑</w:t>
            </w:r>
            <w:r>
              <w:rPr>
                <w:rFonts w:hint="eastAsia" w:ascii="宋体" w:hAnsi="宋体" w:cs="宋体"/>
                <w:color w:val="auto"/>
                <w:kern w:val="0"/>
                <w:sz w:val="24"/>
                <w:szCs w:val="24"/>
                <w:highlight w:val="none"/>
              </w:rPr>
              <w:t>相关专业中级或以上技术职称 。</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机电工程师</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单位在编人员，具备</w:t>
            </w:r>
            <w:r>
              <w:rPr>
                <w:rFonts w:hint="eastAsia" w:ascii="宋体" w:hAnsi="宋体" w:cs="宋体"/>
                <w:color w:val="auto"/>
                <w:sz w:val="24"/>
                <w:szCs w:val="24"/>
                <w:highlight w:val="none"/>
              </w:rPr>
              <w:t>机电</w:t>
            </w:r>
            <w:r>
              <w:rPr>
                <w:rFonts w:hint="eastAsia" w:ascii="宋体" w:hAnsi="宋体" w:cs="宋体"/>
                <w:color w:val="auto"/>
                <w:kern w:val="0"/>
                <w:sz w:val="24"/>
                <w:szCs w:val="24"/>
                <w:highlight w:val="none"/>
              </w:rPr>
              <w:t>相关专业中级或以上技术职称 。</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7</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给排水工程师</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单位在编人员，具备给排水相关专业中级或以上技术职称 。</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8</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装饰装修工程师</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color w:val="auto"/>
                <w:sz w:val="24"/>
                <w:szCs w:val="24"/>
                <w:highlight w:val="none"/>
              </w:rPr>
              <w:t>具备建筑相关专业</w:t>
            </w:r>
            <w:r>
              <w:rPr>
                <w:rFonts w:hint="eastAsia" w:ascii="宋体" w:hAnsi="宋体" w:cs="宋体"/>
                <w:color w:val="auto"/>
                <w:kern w:val="0"/>
                <w:sz w:val="24"/>
                <w:szCs w:val="24"/>
                <w:highlight w:val="none"/>
              </w:rPr>
              <w:t>中级或以上技术</w:t>
            </w:r>
            <w:r>
              <w:rPr>
                <w:rFonts w:hint="eastAsia" w:ascii="宋体" w:hAnsi="宋体" w:cs="宋体"/>
                <w:color w:val="auto"/>
                <w:sz w:val="24"/>
                <w:szCs w:val="24"/>
                <w:highlight w:val="none"/>
              </w:rPr>
              <w:t>职称。</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9</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造价工程师</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4111" w:type="dxa"/>
            <w:vAlign w:val="center"/>
          </w:tcPr>
          <w:p>
            <w:pPr>
              <w:tabs>
                <w:tab w:val="left" w:pos="426"/>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单位在编人员，具备造价相关专业中级或以上职称或二级注册造价工程师（或以上）或注册造价工程师资格</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10</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质量工程师</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color w:val="auto"/>
                <w:sz w:val="24"/>
                <w:szCs w:val="24"/>
                <w:highlight w:val="none"/>
              </w:rPr>
              <w:t>具备建筑相关专业</w:t>
            </w:r>
            <w:r>
              <w:rPr>
                <w:rFonts w:hint="eastAsia" w:ascii="宋体" w:hAnsi="宋体" w:cs="宋体"/>
                <w:color w:val="auto"/>
                <w:kern w:val="0"/>
                <w:sz w:val="24"/>
                <w:szCs w:val="24"/>
                <w:highlight w:val="none"/>
              </w:rPr>
              <w:t>初级或以上技术</w:t>
            </w:r>
            <w:r>
              <w:rPr>
                <w:rFonts w:hint="eastAsia" w:ascii="宋体" w:hAnsi="宋体" w:cs="宋体"/>
                <w:color w:val="auto"/>
                <w:sz w:val="24"/>
                <w:szCs w:val="24"/>
                <w:highlight w:val="none"/>
              </w:rPr>
              <w:t>职称。</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11</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专职安全员</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bCs/>
                <w:color w:val="auto"/>
                <w:sz w:val="24"/>
                <w:szCs w:val="24"/>
                <w:highlight w:val="none"/>
              </w:rPr>
              <w:t>满足招标公告要求，</w:t>
            </w:r>
            <w:r>
              <w:rPr>
                <w:rFonts w:hint="eastAsia" w:ascii="宋体" w:hAnsi="宋体" w:cs="宋体"/>
                <w:color w:val="auto"/>
                <w:kern w:val="0"/>
                <w:sz w:val="24"/>
                <w:szCs w:val="24"/>
                <w:highlight w:val="none"/>
              </w:rPr>
              <w:t>且与本项目投标登记时提供的一致。</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12</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安全员</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color w:val="auto"/>
                <w:sz w:val="24"/>
                <w:szCs w:val="24"/>
                <w:highlight w:val="none"/>
              </w:rPr>
              <w:t>同招标公告专职安全员要求</w:t>
            </w:r>
          </w:p>
        </w:tc>
        <w:tc>
          <w:tcPr>
            <w:tcW w:w="1275"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13</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施工员</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4111" w:type="dxa"/>
            <w:vAlign w:val="center"/>
          </w:tcPr>
          <w:p>
            <w:pPr>
              <w:tabs>
                <w:tab w:val="left" w:pos="426"/>
              </w:tabs>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bCs/>
                <w:color w:val="auto"/>
                <w:sz w:val="24"/>
                <w:szCs w:val="24"/>
                <w:highlight w:val="none"/>
              </w:rPr>
              <w:t>具备上岗证或岗位证或培训证</w:t>
            </w:r>
          </w:p>
        </w:tc>
        <w:tc>
          <w:tcPr>
            <w:tcW w:w="1275"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27" w:type="dxa"/>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14</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材料员</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bCs/>
                <w:color w:val="auto"/>
                <w:sz w:val="24"/>
                <w:szCs w:val="24"/>
                <w:highlight w:val="none"/>
              </w:rPr>
              <w:t>具备上岗证或岗位证或培训证</w:t>
            </w:r>
          </w:p>
        </w:tc>
        <w:tc>
          <w:tcPr>
            <w:tcW w:w="1275"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27" w:type="dxa"/>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15</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资料员</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bCs/>
                <w:color w:val="auto"/>
                <w:sz w:val="24"/>
                <w:szCs w:val="24"/>
                <w:highlight w:val="none"/>
              </w:rPr>
              <w:t>具备上岗证或岗位证或培训证</w:t>
            </w:r>
          </w:p>
        </w:tc>
        <w:tc>
          <w:tcPr>
            <w:tcW w:w="1275"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9634" w:type="dxa"/>
            <w:gridSpan w:val="6"/>
          </w:tcPr>
          <w:p>
            <w:pPr>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注：1、上表人员均要求为投标单位正式职工，须提供近一个月在投标人单位参保的社保缴纳记录证明扫描件。各岗位人员不得相互兼职。</w:t>
            </w:r>
          </w:p>
          <w:p>
            <w:pPr>
              <w:spacing w:line="360" w:lineRule="auto"/>
              <w:ind w:left="1079" w:leftChars="114" w:hanging="840" w:hangingChars="3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2、其他工程技术人员由投标单位按工程内容自行考虑并予以配置。</w:t>
            </w:r>
          </w:p>
        </w:tc>
      </w:tr>
    </w:tbl>
    <w:p>
      <w:pPr>
        <w:pStyle w:val="26"/>
        <w:rPr>
          <w:color w:val="auto"/>
          <w:highlight w:val="none"/>
        </w:rPr>
      </w:pPr>
    </w:p>
    <w:p>
      <w:pPr>
        <w:spacing w:line="360" w:lineRule="auto"/>
        <w:ind w:firstLine="426"/>
        <w:jc w:val="left"/>
        <w:rPr>
          <w:rFonts w:ascii="宋体" w:hAnsi="宋体"/>
          <w:b/>
          <w:color w:val="auto"/>
          <w:sz w:val="24"/>
          <w:szCs w:val="24"/>
          <w:highlight w:val="none"/>
        </w:rPr>
      </w:pPr>
      <w:r>
        <w:rPr>
          <w:rFonts w:hint="eastAsia" w:ascii="宋体" w:hAnsi="宋体"/>
          <w:b/>
          <w:color w:val="auto"/>
          <w:sz w:val="24"/>
          <w:szCs w:val="24"/>
          <w:highlight w:val="none"/>
        </w:rPr>
        <w:t>第七节其他说明</w:t>
      </w:r>
    </w:p>
    <w:p>
      <w:pPr>
        <w:adjustRightInd w:val="0"/>
        <w:snapToGrid w:val="0"/>
        <w:spacing w:line="360" w:lineRule="auto"/>
        <w:ind w:firstLine="424" w:firstLineChars="177"/>
        <w:rPr>
          <w:rFonts w:ascii="宋体" w:hAnsi="宋体"/>
          <w:color w:val="auto"/>
          <w:sz w:val="24"/>
          <w:szCs w:val="24"/>
          <w:highlight w:val="none"/>
        </w:rPr>
      </w:pPr>
      <w:r>
        <w:rPr>
          <w:rFonts w:ascii="宋体" w:hAnsi="宋体"/>
          <w:color w:val="auto"/>
          <w:sz w:val="24"/>
          <w:szCs w:val="24"/>
          <w:highlight w:val="none"/>
        </w:rPr>
        <w:t>1、本项目由中标单位负责统一管理施工现场，提供施工总承包管理和配合服务，并对由招标人直接发包的专业工程承包人负责管理和协调责任，总包管理配合费按发包人另行发包的各专业工程中标价取固定费率1%计取，不另行调整。</w:t>
      </w:r>
    </w:p>
    <w:p>
      <w:pPr>
        <w:widowControl/>
        <w:jc w:val="left"/>
        <w:rPr>
          <w:b/>
          <w:color w:val="auto"/>
          <w:highlight w:val="none"/>
        </w:rPr>
      </w:pPr>
      <w:r>
        <w:rPr>
          <w:rFonts w:hint="eastAsia" w:ascii="宋体" w:hAnsi="宋体"/>
          <w:color w:val="auto"/>
          <w:sz w:val="24"/>
          <w:szCs w:val="24"/>
          <w:highlight w:val="none"/>
        </w:rPr>
        <w:t>注</w:t>
      </w:r>
      <w:r>
        <w:rPr>
          <w:rFonts w:ascii="宋体" w:hAnsi="宋体"/>
          <w:color w:val="auto"/>
          <w:sz w:val="24"/>
          <w:szCs w:val="24"/>
          <w:highlight w:val="none"/>
        </w:rPr>
        <w:t xml:space="preserve"> : </w:t>
      </w:r>
      <w:r>
        <w:rPr>
          <w:rFonts w:hint="eastAsia" w:ascii="宋体" w:hAnsi="宋体"/>
          <w:color w:val="auto"/>
          <w:sz w:val="24"/>
          <w:szCs w:val="24"/>
          <w:highlight w:val="none"/>
        </w:rPr>
        <w:t>除应执行本施工组织设计要点外</w:t>
      </w:r>
      <w:r>
        <w:rPr>
          <w:rFonts w:ascii="宋体" w:hAnsi="宋体"/>
          <w:color w:val="auto"/>
          <w:sz w:val="24"/>
          <w:szCs w:val="24"/>
          <w:highlight w:val="none"/>
        </w:rPr>
        <w:t>,应参照国家等现行有关规定及工程建设标准作进一步完善。</w:t>
      </w:r>
    </w:p>
    <w:p>
      <w:pPr>
        <w:widowControl/>
        <w:jc w:val="left"/>
        <w:rPr>
          <w:rFonts w:ascii="宋体" w:hAnsi="宋体"/>
          <w:color w:val="auto"/>
          <w:sz w:val="28"/>
          <w:szCs w:val="28"/>
          <w:highlight w:val="none"/>
        </w:rPr>
      </w:pPr>
      <w:r>
        <w:rPr>
          <w:b/>
          <w:color w:val="auto"/>
          <w:highlight w:val="none"/>
        </w:rPr>
        <w:br w:type="page"/>
      </w:r>
    </w:p>
    <w:bookmarkEnd w:id="83"/>
    <w:p>
      <w:pPr>
        <w:pStyle w:val="4"/>
        <w:rPr>
          <w:color w:val="auto"/>
          <w:highlight w:val="none"/>
        </w:rPr>
      </w:pPr>
      <w:bookmarkStart w:id="84" w:name="_Toc2272569"/>
      <w:bookmarkStart w:id="85" w:name="_Toc121470684"/>
      <w:r>
        <w:rPr>
          <w:rFonts w:hint="eastAsia"/>
          <w:color w:val="auto"/>
          <w:highlight w:val="none"/>
        </w:rPr>
        <w:t>第六章图纸及勘察资料</w:t>
      </w:r>
      <w:bookmarkEnd w:id="84"/>
      <w:bookmarkEnd w:id="85"/>
    </w:p>
    <w:p>
      <w:pPr>
        <w:rPr>
          <w:rFonts w:ascii="宋体" w:hAnsi="宋体" w:cs="宋体"/>
          <w:b/>
          <w:color w:val="auto"/>
          <w:sz w:val="24"/>
          <w:szCs w:val="24"/>
          <w:highlight w:val="none"/>
        </w:rPr>
      </w:pPr>
      <w:r>
        <w:rPr>
          <w:rFonts w:hint="eastAsia" w:ascii="宋体" w:hAnsi="宋体" w:cs="宋体"/>
          <w:color w:val="auto"/>
          <w:sz w:val="24"/>
          <w:szCs w:val="24"/>
          <w:highlight w:val="none"/>
        </w:rPr>
        <w:t>注：本章由招标人自行制定，另册。</w:t>
      </w:r>
    </w:p>
    <w:p>
      <w:pPr>
        <w:pStyle w:val="4"/>
        <w:rPr>
          <w:color w:val="auto"/>
          <w:highlight w:val="none"/>
        </w:rPr>
      </w:pPr>
      <w:r>
        <w:rPr>
          <w:rFonts w:hint="eastAsia"/>
          <w:color w:val="auto"/>
          <w:sz w:val="24"/>
          <w:szCs w:val="24"/>
          <w:highlight w:val="none"/>
        </w:rPr>
        <w:br w:type="page"/>
      </w:r>
      <w:bookmarkStart w:id="86" w:name="_Toc2272570"/>
      <w:bookmarkStart w:id="87" w:name="_Toc121470685"/>
      <w:r>
        <w:rPr>
          <w:rFonts w:hint="eastAsia"/>
          <w:color w:val="auto"/>
          <w:highlight w:val="none"/>
        </w:rPr>
        <w:t>第七章工程量清单</w:t>
      </w:r>
      <w:bookmarkEnd w:id="86"/>
      <w:bookmarkEnd w:id="87"/>
    </w:p>
    <w:p>
      <w:pPr>
        <w:rPr>
          <w:rFonts w:ascii="宋体" w:hAnsi="宋体" w:cs="宋体"/>
          <w:b/>
          <w:color w:val="auto"/>
          <w:sz w:val="24"/>
          <w:szCs w:val="24"/>
          <w:highlight w:val="none"/>
        </w:rPr>
      </w:pPr>
      <w:r>
        <w:rPr>
          <w:rFonts w:hint="eastAsia" w:ascii="宋体" w:hAnsi="宋体" w:cs="宋体"/>
          <w:color w:val="auto"/>
          <w:sz w:val="24"/>
          <w:szCs w:val="24"/>
          <w:highlight w:val="none"/>
        </w:rPr>
        <w:t>注：本章由招标人自行制定，另册。</w:t>
      </w:r>
    </w:p>
    <w:p>
      <w:pPr>
        <w:pStyle w:val="2"/>
        <w:spacing w:after="0" w:line="360" w:lineRule="auto"/>
        <w:ind w:left="-2" w:leftChars="-1" w:firstLine="960" w:firstLineChars="400"/>
        <w:rPr>
          <w:rFonts w:ascii="宋体" w:hAnsi="宋体" w:eastAsia="宋体" w:cs="宋体"/>
          <w:color w:val="auto"/>
          <w:sz w:val="24"/>
          <w:highlight w:val="none"/>
        </w:rPr>
      </w:pPr>
    </w:p>
    <w:p>
      <w:pPr>
        <w:pStyle w:val="4"/>
        <w:rPr>
          <w:color w:val="auto"/>
          <w:highlight w:val="none"/>
        </w:rPr>
      </w:pPr>
      <w:r>
        <w:rPr>
          <w:rFonts w:hint="eastAsia"/>
          <w:color w:val="auto"/>
          <w:sz w:val="24"/>
          <w:szCs w:val="24"/>
          <w:highlight w:val="none"/>
        </w:rPr>
        <w:br w:type="page"/>
      </w:r>
      <w:bookmarkStart w:id="88" w:name="_Toc2272571"/>
      <w:bookmarkStart w:id="89" w:name="_Toc121470686"/>
      <w:r>
        <w:rPr>
          <w:rFonts w:hint="eastAsia"/>
          <w:color w:val="auto"/>
          <w:highlight w:val="none"/>
        </w:rPr>
        <w:t>第八章最高投标限价</w:t>
      </w:r>
      <w:bookmarkEnd w:id="88"/>
      <w:bookmarkEnd w:id="89"/>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招标人应当在发布招标文件时，公布最高投标限价的总价，分部分项工程费、措施项目费、其他项目费和税金，以及绿色施工安全防护措施费、暂列金额等投标人不可竞争的固定报价。（另册）</w:t>
      </w:r>
    </w:p>
    <w:p>
      <w:pPr>
        <w:spacing w:line="360" w:lineRule="auto"/>
        <w:ind w:firstLine="480"/>
        <w:rPr>
          <w:rFonts w:ascii="宋体" w:hAnsi="宋体" w:cs="宋体"/>
          <w:color w:val="auto"/>
          <w:sz w:val="24"/>
          <w:szCs w:val="24"/>
          <w:highlight w:val="none"/>
          <w:u w:val="single"/>
        </w:rPr>
      </w:pPr>
    </w:p>
    <w:p>
      <w:pPr>
        <w:rPr>
          <w:rFonts w:ascii="宋体" w:hAnsi="宋体" w:cs="宋体"/>
          <w:color w:val="auto"/>
          <w:highlight w:val="none"/>
        </w:rPr>
      </w:pPr>
    </w:p>
    <w:p>
      <w:pPr>
        <w:rPr>
          <w:rFonts w:ascii="宋体" w:hAnsi="宋体"/>
          <w:color w:val="auto"/>
          <w:highlight w:val="none"/>
        </w:rPr>
      </w:pPr>
    </w:p>
    <w:sectPr>
      <w:headerReference r:id="rId16" w:type="default"/>
      <w:footerReference r:id="rId17" w:type="default"/>
      <w:pgSz w:w="11906" w:h="16838"/>
      <w:pgMar w:top="1440" w:right="86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DejaVu Sans">
    <w:altName w:val="Courier New"/>
    <w:panose1 w:val="00000000000000000000"/>
    <w:charset w:val="00"/>
    <w:family w:val="swiss"/>
    <w:pitch w:val="default"/>
    <w:sig w:usb0="00000000" w:usb1="00000000" w:usb2="0A246029" w:usb3="00000000" w:csb0="000001FF" w:csb1="00000000"/>
  </w:font>
  <w:font w:name="Helvetica Neue">
    <w:altName w:val="宋体"/>
    <w:panose1 w:val="00000000000000000000"/>
    <w:charset w:val="86"/>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Century Schoolbook">
    <w:panose1 w:val="02040604050505020304"/>
    <w:charset w:val="00"/>
    <w:family w:val="roman"/>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rPr>
        <w:rStyle w:val="53"/>
      </w:rPr>
    </w:pPr>
    <w:r>
      <w:fldChar w:fldCharType="begin"/>
    </w:r>
    <w:r>
      <w:rPr>
        <w:rStyle w:val="53"/>
      </w:rPr>
      <w:instrText xml:space="preserve">PAGE  </w:instrText>
    </w:r>
    <w:r>
      <w:fldChar w:fldCharType="separate"/>
    </w:r>
    <w:r>
      <w:rPr>
        <w:rStyle w:val="53"/>
        <w:rFonts w:hint="eastAsia"/>
      </w:rPr>
      <w:t>一</w:t>
    </w:r>
    <w:r>
      <w:rPr>
        <w:rStyle w:val="53"/>
      </w:rPr>
      <w:t>–2</w:t>
    </w:r>
    <w:r>
      <w:fldChar w:fldCharType="end"/>
    </w:r>
  </w:p>
  <w:p>
    <w:pPr>
      <w:pStyle w:val="32"/>
      <w:ind w:firstLine="392"/>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rPr>
        <w:rStyle w:val="53"/>
      </w:rPr>
    </w:pPr>
    <w:r>
      <w:fldChar w:fldCharType="begin"/>
    </w:r>
    <w:r>
      <w:rPr>
        <w:rStyle w:val="53"/>
      </w:rPr>
      <w:instrText xml:space="preserve">PAGE  </w:instrText>
    </w:r>
    <w:r>
      <w:fldChar w:fldCharType="separate"/>
    </w:r>
    <w:r>
      <w:rPr>
        <w:rStyle w:val="53"/>
        <w:rFonts w:hint="eastAsia"/>
      </w:rPr>
      <w:t>一</w:t>
    </w:r>
    <w:r>
      <w:rPr>
        <w:rStyle w:val="53"/>
      </w:rPr>
      <w:t>–2</w:t>
    </w:r>
    <w:r>
      <w:fldChar w:fldCharType="end"/>
    </w:r>
  </w:p>
  <w:p>
    <w:pPr>
      <w:pStyle w:val="32"/>
      <w:ind w:firstLine="392"/>
    </w:pP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1</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58</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outside" w:y="1"/>
      <w:rPr>
        <w:rStyle w:val="53"/>
      </w:rPr>
    </w:pPr>
    <w:r>
      <w:fldChar w:fldCharType="begin"/>
    </w:r>
    <w:r>
      <w:rPr>
        <w:rStyle w:val="53"/>
      </w:rPr>
      <w:instrText xml:space="preserve">PAGE  </w:instrText>
    </w:r>
    <w:r>
      <w:fldChar w:fldCharType="separate"/>
    </w:r>
    <w:r>
      <w:rPr>
        <w:rStyle w:val="53"/>
        <w:rFonts w:hint="eastAsia"/>
      </w:rPr>
      <w:t>一</w:t>
    </w:r>
    <w:r>
      <w:rPr>
        <w:rStyle w:val="53"/>
      </w:rPr>
      <w:t>–2</w:t>
    </w:r>
    <w:r>
      <w:fldChar w:fldCharType="end"/>
    </w:r>
  </w:p>
  <w:p>
    <w:pPr>
      <w:pStyle w:val="32"/>
      <w:ind w:right="360" w:firstLine="360"/>
      <w:jc w:val="center"/>
    </w:pPr>
    <w:r>
      <w:rPr>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56</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t>81</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92"/>
    </w:pPr>
    <w:r>
      <w:rPr>
        <w:rFonts w:hint="eastAsia"/>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D5B57"/>
    <w:multiLevelType w:val="singleLevel"/>
    <w:tmpl w:val="BC2D5B57"/>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M2YzQ2MTM5MjNmNGZkZWRmOGYzNGQ4Y2Y5ZDEwZTEifQ=="/>
  </w:docVars>
  <w:rsids>
    <w:rsidRoot w:val="00285D59"/>
    <w:rsid w:val="000013F3"/>
    <w:rsid w:val="000017BF"/>
    <w:rsid w:val="00005D29"/>
    <w:rsid w:val="00007AEC"/>
    <w:rsid w:val="00014009"/>
    <w:rsid w:val="00014B0A"/>
    <w:rsid w:val="00017073"/>
    <w:rsid w:val="000170E1"/>
    <w:rsid w:val="0001783F"/>
    <w:rsid w:val="00017AE8"/>
    <w:rsid w:val="000244A8"/>
    <w:rsid w:val="00026A3E"/>
    <w:rsid w:val="0003177E"/>
    <w:rsid w:val="00034A44"/>
    <w:rsid w:val="00035E18"/>
    <w:rsid w:val="000373B0"/>
    <w:rsid w:val="000420E0"/>
    <w:rsid w:val="00043A14"/>
    <w:rsid w:val="00044C76"/>
    <w:rsid w:val="000541D7"/>
    <w:rsid w:val="00056803"/>
    <w:rsid w:val="00063057"/>
    <w:rsid w:val="00065B27"/>
    <w:rsid w:val="0006716C"/>
    <w:rsid w:val="00072BD3"/>
    <w:rsid w:val="0008232F"/>
    <w:rsid w:val="00083039"/>
    <w:rsid w:val="0008569A"/>
    <w:rsid w:val="000875FD"/>
    <w:rsid w:val="00090606"/>
    <w:rsid w:val="0009461D"/>
    <w:rsid w:val="00094E20"/>
    <w:rsid w:val="000A061F"/>
    <w:rsid w:val="000A357A"/>
    <w:rsid w:val="000A666B"/>
    <w:rsid w:val="000B1DD1"/>
    <w:rsid w:val="000B3363"/>
    <w:rsid w:val="000C5463"/>
    <w:rsid w:val="000C716E"/>
    <w:rsid w:val="000E086D"/>
    <w:rsid w:val="000E34DE"/>
    <w:rsid w:val="000E4DB6"/>
    <w:rsid w:val="000E715D"/>
    <w:rsid w:val="000F2561"/>
    <w:rsid w:val="000F37D0"/>
    <w:rsid w:val="000F6BEE"/>
    <w:rsid w:val="000F6EE1"/>
    <w:rsid w:val="000F7E11"/>
    <w:rsid w:val="00100ED6"/>
    <w:rsid w:val="00104A11"/>
    <w:rsid w:val="00105B56"/>
    <w:rsid w:val="001139A8"/>
    <w:rsid w:val="001201D8"/>
    <w:rsid w:val="001205BA"/>
    <w:rsid w:val="00123E48"/>
    <w:rsid w:val="00125411"/>
    <w:rsid w:val="0012558F"/>
    <w:rsid w:val="001265B8"/>
    <w:rsid w:val="00126C24"/>
    <w:rsid w:val="00127250"/>
    <w:rsid w:val="001304C5"/>
    <w:rsid w:val="00131F67"/>
    <w:rsid w:val="00137128"/>
    <w:rsid w:val="00137E2A"/>
    <w:rsid w:val="0014440C"/>
    <w:rsid w:val="00144C08"/>
    <w:rsid w:val="00147B5D"/>
    <w:rsid w:val="001537B0"/>
    <w:rsid w:val="00154584"/>
    <w:rsid w:val="0015538E"/>
    <w:rsid w:val="00155BD3"/>
    <w:rsid w:val="0016010A"/>
    <w:rsid w:val="00160C42"/>
    <w:rsid w:val="00165454"/>
    <w:rsid w:val="00165D12"/>
    <w:rsid w:val="0016656E"/>
    <w:rsid w:val="001702AA"/>
    <w:rsid w:val="00171210"/>
    <w:rsid w:val="00171BF3"/>
    <w:rsid w:val="00172675"/>
    <w:rsid w:val="001743A1"/>
    <w:rsid w:val="001744DC"/>
    <w:rsid w:val="00174510"/>
    <w:rsid w:val="00174EA8"/>
    <w:rsid w:val="00180F53"/>
    <w:rsid w:val="00182E9B"/>
    <w:rsid w:val="00186763"/>
    <w:rsid w:val="00191855"/>
    <w:rsid w:val="001921D5"/>
    <w:rsid w:val="00193782"/>
    <w:rsid w:val="001970CD"/>
    <w:rsid w:val="00197135"/>
    <w:rsid w:val="001A1160"/>
    <w:rsid w:val="001A6B8E"/>
    <w:rsid w:val="001A6BE9"/>
    <w:rsid w:val="001A7B2F"/>
    <w:rsid w:val="001B02A9"/>
    <w:rsid w:val="001B1552"/>
    <w:rsid w:val="001B3C80"/>
    <w:rsid w:val="001B3E6F"/>
    <w:rsid w:val="001C02B0"/>
    <w:rsid w:val="001C033A"/>
    <w:rsid w:val="001C28D3"/>
    <w:rsid w:val="001C3E5B"/>
    <w:rsid w:val="001C60AA"/>
    <w:rsid w:val="001C7217"/>
    <w:rsid w:val="001D07EA"/>
    <w:rsid w:val="001D4165"/>
    <w:rsid w:val="001D4483"/>
    <w:rsid w:val="001D4EC0"/>
    <w:rsid w:val="001D564F"/>
    <w:rsid w:val="001E71A3"/>
    <w:rsid w:val="001F23B1"/>
    <w:rsid w:val="001F7D88"/>
    <w:rsid w:val="001F7E1B"/>
    <w:rsid w:val="00200317"/>
    <w:rsid w:val="00202E58"/>
    <w:rsid w:val="0020339F"/>
    <w:rsid w:val="0021440C"/>
    <w:rsid w:val="0021614B"/>
    <w:rsid w:val="00223905"/>
    <w:rsid w:val="00225607"/>
    <w:rsid w:val="00233F45"/>
    <w:rsid w:val="002343EA"/>
    <w:rsid w:val="00235EBF"/>
    <w:rsid w:val="00243AA2"/>
    <w:rsid w:val="00244BB6"/>
    <w:rsid w:val="00245BA9"/>
    <w:rsid w:val="00246452"/>
    <w:rsid w:val="00246A0D"/>
    <w:rsid w:val="00247BD9"/>
    <w:rsid w:val="00247E49"/>
    <w:rsid w:val="00251A30"/>
    <w:rsid w:val="00255BC9"/>
    <w:rsid w:val="00256844"/>
    <w:rsid w:val="00260C58"/>
    <w:rsid w:val="00261556"/>
    <w:rsid w:val="00262A2C"/>
    <w:rsid w:val="002632D7"/>
    <w:rsid w:val="002642D8"/>
    <w:rsid w:val="00265072"/>
    <w:rsid w:val="002660BB"/>
    <w:rsid w:val="00272D42"/>
    <w:rsid w:val="00275B08"/>
    <w:rsid w:val="002764B1"/>
    <w:rsid w:val="00276BA8"/>
    <w:rsid w:val="00280867"/>
    <w:rsid w:val="00282A36"/>
    <w:rsid w:val="002836A6"/>
    <w:rsid w:val="002853C7"/>
    <w:rsid w:val="00285D59"/>
    <w:rsid w:val="00285FB5"/>
    <w:rsid w:val="00287FF4"/>
    <w:rsid w:val="00291C54"/>
    <w:rsid w:val="0029436E"/>
    <w:rsid w:val="002A25F6"/>
    <w:rsid w:val="002A436A"/>
    <w:rsid w:val="002B0969"/>
    <w:rsid w:val="002B0CDD"/>
    <w:rsid w:val="002B2FA5"/>
    <w:rsid w:val="002B507F"/>
    <w:rsid w:val="002B5472"/>
    <w:rsid w:val="002B6E26"/>
    <w:rsid w:val="002C0E1C"/>
    <w:rsid w:val="002C243B"/>
    <w:rsid w:val="002C3036"/>
    <w:rsid w:val="002C3812"/>
    <w:rsid w:val="002C3CE4"/>
    <w:rsid w:val="002C5BB7"/>
    <w:rsid w:val="002C5DCF"/>
    <w:rsid w:val="002C738A"/>
    <w:rsid w:val="002D20B2"/>
    <w:rsid w:val="002D4568"/>
    <w:rsid w:val="002D4D4B"/>
    <w:rsid w:val="002E07E1"/>
    <w:rsid w:val="002F1D9C"/>
    <w:rsid w:val="002F1FCC"/>
    <w:rsid w:val="002F2862"/>
    <w:rsid w:val="00300C18"/>
    <w:rsid w:val="00301B1B"/>
    <w:rsid w:val="00301EDC"/>
    <w:rsid w:val="00313109"/>
    <w:rsid w:val="00315991"/>
    <w:rsid w:val="003225DB"/>
    <w:rsid w:val="00322DE6"/>
    <w:rsid w:val="00324232"/>
    <w:rsid w:val="00331DDB"/>
    <w:rsid w:val="0033270D"/>
    <w:rsid w:val="003354C4"/>
    <w:rsid w:val="0033720E"/>
    <w:rsid w:val="00341E0C"/>
    <w:rsid w:val="00342798"/>
    <w:rsid w:val="00342D38"/>
    <w:rsid w:val="00344242"/>
    <w:rsid w:val="00344E4E"/>
    <w:rsid w:val="00350C6D"/>
    <w:rsid w:val="00352D19"/>
    <w:rsid w:val="00357DE1"/>
    <w:rsid w:val="0036138F"/>
    <w:rsid w:val="0036310A"/>
    <w:rsid w:val="00363CB8"/>
    <w:rsid w:val="0036538B"/>
    <w:rsid w:val="003668EB"/>
    <w:rsid w:val="003673B7"/>
    <w:rsid w:val="003727DC"/>
    <w:rsid w:val="00372D54"/>
    <w:rsid w:val="003767E7"/>
    <w:rsid w:val="00383152"/>
    <w:rsid w:val="00385EFB"/>
    <w:rsid w:val="003900AC"/>
    <w:rsid w:val="003905FB"/>
    <w:rsid w:val="00393D9D"/>
    <w:rsid w:val="003B0C04"/>
    <w:rsid w:val="003B2501"/>
    <w:rsid w:val="003B6C9E"/>
    <w:rsid w:val="003C3311"/>
    <w:rsid w:val="003C3AAD"/>
    <w:rsid w:val="003C5B4A"/>
    <w:rsid w:val="003C6DE5"/>
    <w:rsid w:val="003D2566"/>
    <w:rsid w:val="003D2AC1"/>
    <w:rsid w:val="003D4E2B"/>
    <w:rsid w:val="003D5FEB"/>
    <w:rsid w:val="003D6DAF"/>
    <w:rsid w:val="003E27B8"/>
    <w:rsid w:val="003F399E"/>
    <w:rsid w:val="003F6B61"/>
    <w:rsid w:val="003F7E7F"/>
    <w:rsid w:val="0040079C"/>
    <w:rsid w:val="00400EDF"/>
    <w:rsid w:val="0040244A"/>
    <w:rsid w:val="004043E4"/>
    <w:rsid w:val="00404961"/>
    <w:rsid w:val="0040603B"/>
    <w:rsid w:val="0041311B"/>
    <w:rsid w:val="00414E2B"/>
    <w:rsid w:val="00425FDD"/>
    <w:rsid w:val="004270CA"/>
    <w:rsid w:val="004309B1"/>
    <w:rsid w:val="0043196D"/>
    <w:rsid w:val="00433F0B"/>
    <w:rsid w:val="004346CF"/>
    <w:rsid w:val="00434EE1"/>
    <w:rsid w:val="004352AC"/>
    <w:rsid w:val="00441584"/>
    <w:rsid w:val="004426DC"/>
    <w:rsid w:val="00445790"/>
    <w:rsid w:val="00453727"/>
    <w:rsid w:val="00453FFF"/>
    <w:rsid w:val="00456C76"/>
    <w:rsid w:val="00456D8D"/>
    <w:rsid w:val="00463A55"/>
    <w:rsid w:val="0046546A"/>
    <w:rsid w:val="00466C6E"/>
    <w:rsid w:val="00471B3C"/>
    <w:rsid w:val="00471C47"/>
    <w:rsid w:val="004819B0"/>
    <w:rsid w:val="004831AF"/>
    <w:rsid w:val="0048584B"/>
    <w:rsid w:val="0049603E"/>
    <w:rsid w:val="004A1589"/>
    <w:rsid w:val="004A2B50"/>
    <w:rsid w:val="004A3A69"/>
    <w:rsid w:val="004A6EFE"/>
    <w:rsid w:val="004B35D6"/>
    <w:rsid w:val="004B5C04"/>
    <w:rsid w:val="004B60D6"/>
    <w:rsid w:val="004C0717"/>
    <w:rsid w:val="004C1003"/>
    <w:rsid w:val="004C1894"/>
    <w:rsid w:val="004C3090"/>
    <w:rsid w:val="004C4899"/>
    <w:rsid w:val="004C78D9"/>
    <w:rsid w:val="004D23C6"/>
    <w:rsid w:val="004D6E7E"/>
    <w:rsid w:val="004E0EBD"/>
    <w:rsid w:val="004E289E"/>
    <w:rsid w:val="004E3EA1"/>
    <w:rsid w:val="004E4182"/>
    <w:rsid w:val="004E602D"/>
    <w:rsid w:val="005055F4"/>
    <w:rsid w:val="00510841"/>
    <w:rsid w:val="00513F27"/>
    <w:rsid w:val="00514EDC"/>
    <w:rsid w:val="00516348"/>
    <w:rsid w:val="0051778E"/>
    <w:rsid w:val="00534BC5"/>
    <w:rsid w:val="00535DC2"/>
    <w:rsid w:val="00547488"/>
    <w:rsid w:val="005518C4"/>
    <w:rsid w:val="00554D71"/>
    <w:rsid w:val="00554D84"/>
    <w:rsid w:val="00561321"/>
    <w:rsid w:val="00563C39"/>
    <w:rsid w:val="00572632"/>
    <w:rsid w:val="00577BC4"/>
    <w:rsid w:val="0058026C"/>
    <w:rsid w:val="00581D6F"/>
    <w:rsid w:val="00581F27"/>
    <w:rsid w:val="00582529"/>
    <w:rsid w:val="0058504C"/>
    <w:rsid w:val="0058748B"/>
    <w:rsid w:val="0059141B"/>
    <w:rsid w:val="0059636B"/>
    <w:rsid w:val="00597345"/>
    <w:rsid w:val="005A3AA1"/>
    <w:rsid w:val="005A3DE6"/>
    <w:rsid w:val="005A532F"/>
    <w:rsid w:val="005A6FD7"/>
    <w:rsid w:val="005A70B0"/>
    <w:rsid w:val="005B0CBD"/>
    <w:rsid w:val="005B1356"/>
    <w:rsid w:val="005B190A"/>
    <w:rsid w:val="005B2BE5"/>
    <w:rsid w:val="005B49FE"/>
    <w:rsid w:val="005C2D13"/>
    <w:rsid w:val="005C459F"/>
    <w:rsid w:val="005C6EDF"/>
    <w:rsid w:val="005D3610"/>
    <w:rsid w:val="005D5161"/>
    <w:rsid w:val="005E03DA"/>
    <w:rsid w:val="005E1DB0"/>
    <w:rsid w:val="005E730A"/>
    <w:rsid w:val="005F3CA7"/>
    <w:rsid w:val="005F6AC5"/>
    <w:rsid w:val="005F767C"/>
    <w:rsid w:val="0060201E"/>
    <w:rsid w:val="00606388"/>
    <w:rsid w:val="006063E9"/>
    <w:rsid w:val="00611396"/>
    <w:rsid w:val="00611E31"/>
    <w:rsid w:val="00613E2A"/>
    <w:rsid w:val="00616B89"/>
    <w:rsid w:val="006170EC"/>
    <w:rsid w:val="00624F1D"/>
    <w:rsid w:val="00625F0C"/>
    <w:rsid w:val="00632443"/>
    <w:rsid w:val="00632F9E"/>
    <w:rsid w:val="00636456"/>
    <w:rsid w:val="0063654C"/>
    <w:rsid w:val="00640E71"/>
    <w:rsid w:val="00642E9A"/>
    <w:rsid w:val="0064329D"/>
    <w:rsid w:val="006452FF"/>
    <w:rsid w:val="0064653C"/>
    <w:rsid w:val="00647F9D"/>
    <w:rsid w:val="00654260"/>
    <w:rsid w:val="0066196E"/>
    <w:rsid w:val="00662FBC"/>
    <w:rsid w:val="00665104"/>
    <w:rsid w:val="00665775"/>
    <w:rsid w:val="00672C96"/>
    <w:rsid w:val="00677B06"/>
    <w:rsid w:val="0068169D"/>
    <w:rsid w:val="006824C3"/>
    <w:rsid w:val="00683F16"/>
    <w:rsid w:val="00686839"/>
    <w:rsid w:val="00694A8C"/>
    <w:rsid w:val="00695255"/>
    <w:rsid w:val="006A0456"/>
    <w:rsid w:val="006A0B39"/>
    <w:rsid w:val="006A2A5B"/>
    <w:rsid w:val="006A456F"/>
    <w:rsid w:val="006A5B33"/>
    <w:rsid w:val="006A5D5E"/>
    <w:rsid w:val="006A5FE6"/>
    <w:rsid w:val="006B06AD"/>
    <w:rsid w:val="006B0813"/>
    <w:rsid w:val="006B146B"/>
    <w:rsid w:val="006B2794"/>
    <w:rsid w:val="006B3E28"/>
    <w:rsid w:val="006B6A04"/>
    <w:rsid w:val="006B6BAA"/>
    <w:rsid w:val="006C2F3A"/>
    <w:rsid w:val="006C360B"/>
    <w:rsid w:val="006C3EC3"/>
    <w:rsid w:val="006C4B50"/>
    <w:rsid w:val="006D1CD4"/>
    <w:rsid w:val="006D40F7"/>
    <w:rsid w:val="006E1CA6"/>
    <w:rsid w:val="006F0590"/>
    <w:rsid w:val="006F0F11"/>
    <w:rsid w:val="006F13D2"/>
    <w:rsid w:val="006F2208"/>
    <w:rsid w:val="006F3F0B"/>
    <w:rsid w:val="006F5FE3"/>
    <w:rsid w:val="00701B87"/>
    <w:rsid w:val="007033F2"/>
    <w:rsid w:val="00704BCC"/>
    <w:rsid w:val="0070545C"/>
    <w:rsid w:val="00706C57"/>
    <w:rsid w:val="0071707B"/>
    <w:rsid w:val="007172D2"/>
    <w:rsid w:val="00720123"/>
    <w:rsid w:val="007209D6"/>
    <w:rsid w:val="00722AE3"/>
    <w:rsid w:val="007235B4"/>
    <w:rsid w:val="00723B29"/>
    <w:rsid w:val="00727D09"/>
    <w:rsid w:val="007347D8"/>
    <w:rsid w:val="00734C4E"/>
    <w:rsid w:val="00735924"/>
    <w:rsid w:val="00742C8B"/>
    <w:rsid w:val="0074330A"/>
    <w:rsid w:val="00743536"/>
    <w:rsid w:val="00743F9F"/>
    <w:rsid w:val="007478FB"/>
    <w:rsid w:val="00747ABD"/>
    <w:rsid w:val="00750314"/>
    <w:rsid w:val="007526F7"/>
    <w:rsid w:val="007531C2"/>
    <w:rsid w:val="00770A40"/>
    <w:rsid w:val="007802F0"/>
    <w:rsid w:val="00782149"/>
    <w:rsid w:val="00782382"/>
    <w:rsid w:val="0078526D"/>
    <w:rsid w:val="007860E7"/>
    <w:rsid w:val="007868E5"/>
    <w:rsid w:val="0079403A"/>
    <w:rsid w:val="00794A5F"/>
    <w:rsid w:val="007A0ED1"/>
    <w:rsid w:val="007A1030"/>
    <w:rsid w:val="007B105F"/>
    <w:rsid w:val="007B5685"/>
    <w:rsid w:val="007C7E94"/>
    <w:rsid w:val="007D0F6A"/>
    <w:rsid w:val="007D15DB"/>
    <w:rsid w:val="007D237C"/>
    <w:rsid w:val="007D5F6F"/>
    <w:rsid w:val="007D6421"/>
    <w:rsid w:val="007E1D7A"/>
    <w:rsid w:val="007E5EAA"/>
    <w:rsid w:val="007F0790"/>
    <w:rsid w:val="007F2774"/>
    <w:rsid w:val="007F506F"/>
    <w:rsid w:val="00801F67"/>
    <w:rsid w:val="0080215E"/>
    <w:rsid w:val="00802B38"/>
    <w:rsid w:val="0081403A"/>
    <w:rsid w:val="008150D4"/>
    <w:rsid w:val="00815236"/>
    <w:rsid w:val="0082012B"/>
    <w:rsid w:val="00821718"/>
    <w:rsid w:val="008250B4"/>
    <w:rsid w:val="00827E84"/>
    <w:rsid w:val="0083224A"/>
    <w:rsid w:val="0084445F"/>
    <w:rsid w:val="008447E3"/>
    <w:rsid w:val="0084621A"/>
    <w:rsid w:val="008467C8"/>
    <w:rsid w:val="008471DE"/>
    <w:rsid w:val="00850354"/>
    <w:rsid w:val="00851A61"/>
    <w:rsid w:val="008564DC"/>
    <w:rsid w:val="008643FB"/>
    <w:rsid w:val="00867D36"/>
    <w:rsid w:val="0087062B"/>
    <w:rsid w:val="00873ED0"/>
    <w:rsid w:val="00877E50"/>
    <w:rsid w:val="008825A7"/>
    <w:rsid w:val="00891A52"/>
    <w:rsid w:val="00893645"/>
    <w:rsid w:val="00894DA9"/>
    <w:rsid w:val="0089516E"/>
    <w:rsid w:val="0089770C"/>
    <w:rsid w:val="008A1531"/>
    <w:rsid w:val="008A35A8"/>
    <w:rsid w:val="008A59A7"/>
    <w:rsid w:val="008B4726"/>
    <w:rsid w:val="008B5341"/>
    <w:rsid w:val="008B5470"/>
    <w:rsid w:val="008C3818"/>
    <w:rsid w:val="008C7ABF"/>
    <w:rsid w:val="008D02F9"/>
    <w:rsid w:val="008D0876"/>
    <w:rsid w:val="008D14C3"/>
    <w:rsid w:val="008D516E"/>
    <w:rsid w:val="008D5B32"/>
    <w:rsid w:val="008D6F7D"/>
    <w:rsid w:val="008D7037"/>
    <w:rsid w:val="008D7BA4"/>
    <w:rsid w:val="008E3889"/>
    <w:rsid w:val="008E4434"/>
    <w:rsid w:val="008F21DC"/>
    <w:rsid w:val="008F5716"/>
    <w:rsid w:val="008F61B7"/>
    <w:rsid w:val="008F6C9C"/>
    <w:rsid w:val="008F7EB4"/>
    <w:rsid w:val="00903338"/>
    <w:rsid w:val="0091260A"/>
    <w:rsid w:val="009152E4"/>
    <w:rsid w:val="0092137F"/>
    <w:rsid w:val="00923858"/>
    <w:rsid w:val="0093268F"/>
    <w:rsid w:val="00933A5E"/>
    <w:rsid w:val="00935146"/>
    <w:rsid w:val="00935C41"/>
    <w:rsid w:val="0094061B"/>
    <w:rsid w:val="00941B73"/>
    <w:rsid w:val="00942842"/>
    <w:rsid w:val="00943598"/>
    <w:rsid w:val="00944167"/>
    <w:rsid w:val="00946BDC"/>
    <w:rsid w:val="00950268"/>
    <w:rsid w:val="00954D52"/>
    <w:rsid w:val="0096087A"/>
    <w:rsid w:val="00961B13"/>
    <w:rsid w:val="00963E6C"/>
    <w:rsid w:val="00966BA5"/>
    <w:rsid w:val="00973C17"/>
    <w:rsid w:val="00973E04"/>
    <w:rsid w:val="00975B5B"/>
    <w:rsid w:val="00987452"/>
    <w:rsid w:val="00987DFD"/>
    <w:rsid w:val="00990F85"/>
    <w:rsid w:val="0099128A"/>
    <w:rsid w:val="00991615"/>
    <w:rsid w:val="009976C8"/>
    <w:rsid w:val="009A62DE"/>
    <w:rsid w:val="009A648F"/>
    <w:rsid w:val="009A731A"/>
    <w:rsid w:val="009B12F9"/>
    <w:rsid w:val="009B2744"/>
    <w:rsid w:val="009B3422"/>
    <w:rsid w:val="009B5922"/>
    <w:rsid w:val="009C0422"/>
    <w:rsid w:val="009C1B1D"/>
    <w:rsid w:val="009C2F62"/>
    <w:rsid w:val="009C49AC"/>
    <w:rsid w:val="009C775D"/>
    <w:rsid w:val="009D07D2"/>
    <w:rsid w:val="009D538D"/>
    <w:rsid w:val="009D653F"/>
    <w:rsid w:val="009D6664"/>
    <w:rsid w:val="009D71D7"/>
    <w:rsid w:val="009E2F53"/>
    <w:rsid w:val="009E341D"/>
    <w:rsid w:val="009E3B4D"/>
    <w:rsid w:val="009E4F20"/>
    <w:rsid w:val="009F156D"/>
    <w:rsid w:val="009F32C7"/>
    <w:rsid w:val="009F5028"/>
    <w:rsid w:val="009F58B2"/>
    <w:rsid w:val="009F63AA"/>
    <w:rsid w:val="00A0174E"/>
    <w:rsid w:val="00A021D3"/>
    <w:rsid w:val="00A034DE"/>
    <w:rsid w:val="00A05582"/>
    <w:rsid w:val="00A10A99"/>
    <w:rsid w:val="00A11DBB"/>
    <w:rsid w:val="00A12E2C"/>
    <w:rsid w:val="00A14781"/>
    <w:rsid w:val="00A22B1C"/>
    <w:rsid w:val="00A22DFB"/>
    <w:rsid w:val="00A24CB4"/>
    <w:rsid w:val="00A327F3"/>
    <w:rsid w:val="00A342FB"/>
    <w:rsid w:val="00A46128"/>
    <w:rsid w:val="00A50E8B"/>
    <w:rsid w:val="00A53165"/>
    <w:rsid w:val="00A55CC8"/>
    <w:rsid w:val="00A57253"/>
    <w:rsid w:val="00A614F1"/>
    <w:rsid w:val="00A65A95"/>
    <w:rsid w:val="00A669EF"/>
    <w:rsid w:val="00A67365"/>
    <w:rsid w:val="00A766E4"/>
    <w:rsid w:val="00A772F0"/>
    <w:rsid w:val="00A80484"/>
    <w:rsid w:val="00A807F1"/>
    <w:rsid w:val="00A80FED"/>
    <w:rsid w:val="00A81973"/>
    <w:rsid w:val="00A860F3"/>
    <w:rsid w:val="00A91F09"/>
    <w:rsid w:val="00A955AB"/>
    <w:rsid w:val="00A97214"/>
    <w:rsid w:val="00AA38E0"/>
    <w:rsid w:val="00AB11C9"/>
    <w:rsid w:val="00AB56CB"/>
    <w:rsid w:val="00AC3665"/>
    <w:rsid w:val="00AC42AB"/>
    <w:rsid w:val="00AC7C92"/>
    <w:rsid w:val="00AD148E"/>
    <w:rsid w:val="00AE01DF"/>
    <w:rsid w:val="00AE1F3E"/>
    <w:rsid w:val="00AE77C5"/>
    <w:rsid w:val="00AF0DEA"/>
    <w:rsid w:val="00AF1EE7"/>
    <w:rsid w:val="00AF2468"/>
    <w:rsid w:val="00AF66EF"/>
    <w:rsid w:val="00AF73E0"/>
    <w:rsid w:val="00AF7CB8"/>
    <w:rsid w:val="00B034B2"/>
    <w:rsid w:val="00B05F7A"/>
    <w:rsid w:val="00B070E0"/>
    <w:rsid w:val="00B122A4"/>
    <w:rsid w:val="00B20922"/>
    <w:rsid w:val="00B26D93"/>
    <w:rsid w:val="00B26E43"/>
    <w:rsid w:val="00B27C96"/>
    <w:rsid w:val="00B33B45"/>
    <w:rsid w:val="00B40233"/>
    <w:rsid w:val="00B44BAE"/>
    <w:rsid w:val="00B4673B"/>
    <w:rsid w:val="00B477C4"/>
    <w:rsid w:val="00B50244"/>
    <w:rsid w:val="00B52791"/>
    <w:rsid w:val="00B6121D"/>
    <w:rsid w:val="00B6500C"/>
    <w:rsid w:val="00B661B0"/>
    <w:rsid w:val="00B72040"/>
    <w:rsid w:val="00B75470"/>
    <w:rsid w:val="00B77949"/>
    <w:rsid w:val="00B80644"/>
    <w:rsid w:val="00B90B72"/>
    <w:rsid w:val="00B920D1"/>
    <w:rsid w:val="00B934EB"/>
    <w:rsid w:val="00B93F4E"/>
    <w:rsid w:val="00B94C75"/>
    <w:rsid w:val="00BA031D"/>
    <w:rsid w:val="00BC52CE"/>
    <w:rsid w:val="00BD011D"/>
    <w:rsid w:val="00BD0989"/>
    <w:rsid w:val="00BD10CC"/>
    <w:rsid w:val="00BD5C9B"/>
    <w:rsid w:val="00BD605D"/>
    <w:rsid w:val="00BD6B94"/>
    <w:rsid w:val="00BE490A"/>
    <w:rsid w:val="00BE4F13"/>
    <w:rsid w:val="00BF5D24"/>
    <w:rsid w:val="00BF6325"/>
    <w:rsid w:val="00C017D2"/>
    <w:rsid w:val="00C0652A"/>
    <w:rsid w:val="00C1205B"/>
    <w:rsid w:val="00C13022"/>
    <w:rsid w:val="00C144CB"/>
    <w:rsid w:val="00C15046"/>
    <w:rsid w:val="00C15E91"/>
    <w:rsid w:val="00C24802"/>
    <w:rsid w:val="00C2486A"/>
    <w:rsid w:val="00C3298C"/>
    <w:rsid w:val="00C336DA"/>
    <w:rsid w:val="00C42E80"/>
    <w:rsid w:val="00C452BD"/>
    <w:rsid w:val="00C53CE5"/>
    <w:rsid w:val="00C53D5E"/>
    <w:rsid w:val="00C568AD"/>
    <w:rsid w:val="00C56AED"/>
    <w:rsid w:val="00C626D1"/>
    <w:rsid w:val="00C62D4F"/>
    <w:rsid w:val="00C641F3"/>
    <w:rsid w:val="00C70A5C"/>
    <w:rsid w:val="00C73D55"/>
    <w:rsid w:val="00C74C74"/>
    <w:rsid w:val="00C75157"/>
    <w:rsid w:val="00C76CBD"/>
    <w:rsid w:val="00C76E29"/>
    <w:rsid w:val="00C804E4"/>
    <w:rsid w:val="00C81A7B"/>
    <w:rsid w:val="00C91C5F"/>
    <w:rsid w:val="00C940F4"/>
    <w:rsid w:val="00C952C8"/>
    <w:rsid w:val="00CB0059"/>
    <w:rsid w:val="00CB2A30"/>
    <w:rsid w:val="00CB30C0"/>
    <w:rsid w:val="00CB3E34"/>
    <w:rsid w:val="00CB6311"/>
    <w:rsid w:val="00CC03C9"/>
    <w:rsid w:val="00CC53F0"/>
    <w:rsid w:val="00CD183F"/>
    <w:rsid w:val="00CD59E2"/>
    <w:rsid w:val="00CD5EED"/>
    <w:rsid w:val="00CD64BC"/>
    <w:rsid w:val="00CD6598"/>
    <w:rsid w:val="00CD6B8B"/>
    <w:rsid w:val="00CD6DA4"/>
    <w:rsid w:val="00CD7FE2"/>
    <w:rsid w:val="00CE6A7E"/>
    <w:rsid w:val="00CF1259"/>
    <w:rsid w:val="00CF7CE1"/>
    <w:rsid w:val="00D06520"/>
    <w:rsid w:val="00D1020F"/>
    <w:rsid w:val="00D232F3"/>
    <w:rsid w:val="00D3083E"/>
    <w:rsid w:val="00D35E05"/>
    <w:rsid w:val="00D418CC"/>
    <w:rsid w:val="00D43CF6"/>
    <w:rsid w:val="00D443A9"/>
    <w:rsid w:val="00D54F5D"/>
    <w:rsid w:val="00D63E6F"/>
    <w:rsid w:val="00D64B72"/>
    <w:rsid w:val="00D64BD2"/>
    <w:rsid w:val="00D64EC4"/>
    <w:rsid w:val="00D660C9"/>
    <w:rsid w:val="00D70ACC"/>
    <w:rsid w:val="00D76457"/>
    <w:rsid w:val="00D93053"/>
    <w:rsid w:val="00D961E0"/>
    <w:rsid w:val="00DA1525"/>
    <w:rsid w:val="00DA3EFC"/>
    <w:rsid w:val="00DB112F"/>
    <w:rsid w:val="00DB125E"/>
    <w:rsid w:val="00DB34C9"/>
    <w:rsid w:val="00DB5546"/>
    <w:rsid w:val="00DC33E5"/>
    <w:rsid w:val="00DC43A4"/>
    <w:rsid w:val="00DD3D1A"/>
    <w:rsid w:val="00DD4613"/>
    <w:rsid w:val="00DD4C1B"/>
    <w:rsid w:val="00DD61BB"/>
    <w:rsid w:val="00DD64A1"/>
    <w:rsid w:val="00DD7700"/>
    <w:rsid w:val="00DF2D22"/>
    <w:rsid w:val="00E00515"/>
    <w:rsid w:val="00E066D6"/>
    <w:rsid w:val="00E12779"/>
    <w:rsid w:val="00E163FB"/>
    <w:rsid w:val="00E17251"/>
    <w:rsid w:val="00E228C3"/>
    <w:rsid w:val="00E23670"/>
    <w:rsid w:val="00E2409F"/>
    <w:rsid w:val="00E24B50"/>
    <w:rsid w:val="00E26988"/>
    <w:rsid w:val="00E3257E"/>
    <w:rsid w:val="00E33E5E"/>
    <w:rsid w:val="00E4038E"/>
    <w:rsid w:val="00E42D86"/>
    <w:rsid w:val="00E43674"/>
    <w:rsid w:val="00E50423"/>
    <w:rsid w:val="00E54BEF"/>
    <w:rsid w:val="00E54D5A"/>
    <w:rsid w:val="00E60374"/>
    <w:rsid w:val="00E62207"/>
    <w:rsid w:val="00E6256E"/>
    <w:rsid w:val="00E6742A"/>
    <w:rsid w:val="00E74E00"/>
    <w:rsid w:val="00E81631"/>
    <w:rsid w:val="00E86D4D"/>
    <w:rsid w:val="00E93AEC"/>
    <w:rsid w:val="00E9435D"/>
    <w:rsid w:val="00E97C96"/>
    <w:rsid w:val="00EA3D0F"/>
    <w:rsid w:val="00EA45FC"/>
    <w:rsid w:val="00EB01C4"/>
    <w:rsid w:val="00EB03FA"/>
    <w:rsid w:val="00EB450C"/>
    <w:rsid w:val="00EC232E"/>
    <w:rsid w:val="00EC584B"/>
    <w:rsid w:val="00EC6493"/>
    <w:rsid w:val="00EC7913"/>
    <w:rsid w:val="00ED032F"/>
    <w:rsid w:val="00ED5083"/>
    <w:rsid w:val="00ED67BC"/>
    <w:rsid w:val="00EE0747"/>
    <w:rsid w:val="00EE0BE0"/>
    <w:rsid w:val="00EE1E8E"/>
    <w:rsid w:val="00EE2DF8"/>
    <w:rsid w:val="00EE4659"/>
    <w:rsid w:val="00EE6C46"/>
    <w:rsid w:val="00EF2C17"/>
    <w:rsid w:val="00EF3FA8"/>
    <w:rsid w:val="00EF4FA2"/>
    <w:rsid w:val="00F00735"/>
    <w:rsid w:val="00F14384"/>
    <w:rsid w:val="00F174D2"/>
    <w:rsid w:val="00F178C1"/>
    <w:rsid w:val="00F25B51"/>
    <w:rsid w:val="00F3165E"/>
    <w:rsid w:val="00F341F1"/>
    <w:rsid w:val="00F35583"/>
    <w:rsid w:val="00F360C1"/>
    <w:rsid w:val="00F36966"/>
    <w:rsid w:val="00F42D5D"/>
    <w:rsid w:val="00F46958"/>
    <w:rsid w:val="00F4738C"/>
    <w:rsid w:val="00F52664"/>
    <w:rsid w:val="00F52AFC"/>
    <w:rsid w:val="00F5522D"/>
    <w:rsid w:val="00F62804"/>
    <w:rsid w:val="00F67B76"/>
    <w:rsid w:val="00F71F13"/>
    <w:rsid w:val="00F722C2"/>
    <w:rsid w:val="00F807A6"/>
    <w:rsid w:val="00F8457A"/>
    <w:rsid w:val="00F850E3"/>
    <w:rsid w:val="00F87673"/>
    <w:rsid w:val="00F87CD9"/>
    <w:rsid w:val="00F9325D"/>
    <w:rsid w:val="00F9425D"/>
    <w:rsid w:val="00F94C50"/>
    <w:rsid w:val="00F97ED0"/>
    <w:rsid w:val="00FA077A"/>
    <w:rsid w:val="00FA0D4C"/>
    <w:rsid w:val="00FA2C65"/>
    <w:rsid w:val="00FA44F0"/>
    <w:rsid w:val="00FA743C"/>
    <w:rsid w:val="00FB7AB7"/>
    <w:rsid w:val="00FB7BCF"/>
    <w:rsid w:val="00FC5BFA"/>
    <w:rsid w:val="00FC63EE"/>
    <w:rsid w:val="00FC6E35"/>
    <w:rsid w:val="00FD33F3"/>
    <w:rsid w:val="00FD3883"/>
    <w:rsid w:val="00FD724D"/>
    <w:rsid w:val="00FE4B88"/>
    <w:rsid w:val="00FF0E98"/>
    <w:rsid w:val="00FF1CB3"/>
    <w:rsid w:val="00FF50BE"/>
    <w:rsid w:val="01761FF4"/>
    <w:rsid w:val="01995B0E"/>
    <w:rsid w:val="02147E70"/>
    <w:rsid w:val="02C1356F"/>
    <w:rsid w:val="02FE031F"/>
    <w:rsid w:val="03462C8E"/>
    <w:rsid w:val="04AE18D1"/>
    <w:rsid w:val="05405637"/>
    <w:rsid w:val="063B3638"/>
    <w:rsid w:val="064029FC"/>
    <w:rsid w:val="081D1247"/>
    <w:rsid w:val="082C5FDB"/>
    <w:rsid w:val="084646A6"/>
    <w:rsid w:val="085F635C"/>
    <w:rsid w:val="08B66FA6"/>
    <w:rsid w:val="09432938"/>
    <w:rsid w:val="097474A0"/>
    <w:rsid w:val="09BC354A"/>
    <w:rsid w:val="0AD342F0"/>
    <w:rsid w:val="0B41524D"/>
    <w:rsid w:val="0C041770"/>
    <w:rsid w:val="0C2D757F"/>
    <w:rsid w:val="0C377BC7"/>
    <w:rsid w:val="0C7B653C"/>
    <w:rsid w:val="0D0E3EAA"/>
    <w:rsid w:val="0D1D34BA"/>
    <w:rsid w:val="0DCB704F"/>
    <w:rsid w:val="0E217111"/>
    <w:rsid w:val="0EF363AE"/>
    <w:rsid w:val="0F2227FE"/>
    <w:rsid w:val="0F6A7B31"/>
    <w:rsid w:val="10347EB6"/>
    <w:rsid w:val="106D0892"/>
    <w:rsid w:val="1097590F"/>
    <w:rsid w:val="12323B41"/>
    <w:rsid w:val="133D5097"/>
    <w:rsid w:val="13886BD8"/>
    <w:rsid w:val="13E52F1E"/>
    <w:rsid w:val="143376FC"/>
    <w:rsid w:val="14AE56D0"/>
    <w:rsid w:val="14CA6F83"/>
    <w:rsid w:val="150B72FD"/>
    <w:rsid w:val="165322D8"/>
    <w:rsid w:val="168E50BE"/>
    <w:rsid w:val="16F21AF1"/>
    <w:rsid w:val="17BD6021"/>
    <w:rsid w:val="191A3EE2"/>
    <w:rsid w:val="19B13200"/>
    <w:rsid w:val="1A89451A"/>
    <w:rsid w:val="1A950679"/>
    <w:rsid w:val="1B5C1415"/>
    <w:rsid w:val="1B93725A"/>
    <w:rsid w:val="1BCB46BE"/>
    <w:rsid w:val="1CBD494F"/>
    <w:rsid w:val="1CC25371"/>
    <w:rsid w:val="1CC525CA"/>
    <w:rsid w:val="1CC950A2"/>
    <w:rsid w:val="1CF85987"/>
    <w:rsid w:val="1D3763BD"/>
    <w:rsid w:val="1D5A219E"/>
    <w:rsid w:val="1D9070A6"/>
    <w:rsid w:val="1DFB74DD"/>
    <w:rsid w:val="1F1D3483"/>
    <w:rsid w:val="1F2C4F8B"/>
    <w:rsid w:val="1FFB37C4"/>
    <w:rsid w:val="1FFE5062"/>
    <w:rsid w:val="208732AA"/>
    <w:rsid w:val="240115C5"/>
    <w:rsid w:val="241412F8"/>
    <w:rsid w:val="24207C9D"/>
    <w:rsid w:val="24CD5CA0"/>
    <w:rsid w:val="251C1B87"/>
    <w:rsid w:val="25DF1492"/>
    <w:rsid w:val="262549DC"/>
    <w:rsid w:val="26312B63"/>
    <w:rsid w:val="266A3452"/>
    <w:rsid w:val="26B079D8"/>
    <w:rsid w:val="26E8081A"/>
    <w:rsid w:val="271B246D"/>
    <w:rsid w:val="27CC5A46"/>
    <w:rsid w:val="285223EF"/>
    <w:rsid w:val="28DC43AF"/>
    <w:rsid w:val="296E34DD"/>
    <w:rsid w:val="29DA08EE"/>
    <w:rsid w:val="29FB5268"/>
    <w:rsid w:val="2C324A12"/>
    <w:rsid w:val="2C54799B"/>
    <w:rsid w:val="2D4542D1"/>
    <w:rsid w:val="2DAF2092"/>
    <w:rsid w:val="2E0F48DF"/>
    <w:rsid w:val="2E20089A"/>
    <w:rsid w:val="2ECE479A"/>
    <w:rsid w:val="301B231A"/>
    <w:rsid w:val="30A52322"/>
    <w:rsid w:val="31226613"/>
    <w:rsid w:val="31244B45"/>
    <w:rsid w:val="31A0241D"/>
    <w:rsid w:val="31D76692"/>
    <w:rsid w:val="3215596C"/>
    <w:rsid w:val="32AC6BA0"/>
    <w:rsid w:val="333F7A14"/>
    <w:rsid w:val="35223149"/>
    <w:rsid w:val="357D796D"/>
    <w:rsid w:val="35D717E4"/>
    <w:rsid w:val="378325C5"/>
    <w:rsid w:val="37A228AF"/>
    <w:rsid w:val="37BF7375"/>
    <w:rsid w:val="384057DC"/>
    <w:rsid w:val="38B62526"/>
    <w:rsid w:val="38B96C22"/>
    <w:rsid w:val="38E206CE"/>
    <w:rsid w:val="39505209"/>
    <w:rsid w:val="3A024988"/>
    <w:rsid w:val="3A3447FA"/>
    <w:rsid w:val="3AC52EF5"/>
    <w:rsid w:val="3B012495"/>
    <w:rsid w:val="3B131632"/>
    <w:rsid w:val="3C8D359E"/>
    <w:rsid w:val="3CC63CF7"/>
    <w:rsid w:val="3D3E0D74"/>
    <w:rsid w:val="3E1B7B4E"/>
    <w:rsid w:val="3E360791"/>
    <w:rsid w:val="3E755F61"/>
    <w:rsid w:val="3F896D1E"/>
    <w:rsid w:val="3FA550A3"/>
    <w:rsid w:val="4105229D"/>
    <w:rsid w:val="410B38CD"/>
    <w:rsid w:val="41454B84"/>
    <w:rsid w:val="420E33D3"/>
    <w:rsid w:val="423B0F70"/>
    <w:rsid w:val="435F2675"/>
    <w:rsid w:val="43736260"/>
    <w:rsid w:val="43B27D8E"/>
    <w:rsid w:val="44086DD2"/>
    <w:rsid w:val="440A5AB2"/>
    <w:rsid w:val="44A14E43"/>
    <w:rsid w:val="45246649"/>
    <w:rsid w:val="4617294C"/>
    <w:rsid w:val="46911EDD"/>
    <w:rsid w:val="46AD66D0"/>
    <w:rsid w:val="46C67DD9"/>
    <w:rsid w:val="46EA3132"/>
    <w:rsid w:val="475A49C5"/>
    <w:rsid w:val="478404F4"/>
    <w:rsid w:val="48811918"/>
    <w:rsid w:val="493A0220"/>
    <w:rsid w:val="49A563CB"/>
    <w:rsid w:val="4A136EB3"/>
    <w:rsid w:val="4A4F27DB"/>
    <w:rsid w:val="4AAB59DE"/>
    <w:rsid w:val="4AC271F4"/>
    <w:rsid w:val="4B30259A"/>
    <w:rsid w:val="4BA03EBF"/>
    <w:rsid w:val="4BCA2A46"/>
    <w:rsid w:val="4C52017E"/>
    <w:rsid w:val="4CC57B6B"/>
    <w:rsid w:val="4CEF5BAF"/>
    <w:rsid w:val="4D1A0E7E"/>
    <w:rsid w:val="4D317F76"/>
    <w:rsid w:val="4EAA7FE0"/>
    <w:rsid w:val="4F70454D"/>
    <w:rsid w:val="4F74239C"/>
    <w:rsid w:val="51AB6549"/>
    <w:rsid w:val="51BD44CE"/>
    <w:rsid w:val="51C22740"/>
    <w:rsid w:val="51DE7E33"/>
    <w:rsid w:val="521F6F37"/>
    <w:rsid w:val="52C718F1"/>
    <w:rsid w:val="532217CF"/>
    <w:rsid w:val="53765753"/>
    <w:rsid w:val="54E66E2F"/>
    <w:rsid w:val="556F11A7"/>
    <w:rsid w:val="57512BE4"/>
    <w:rsid w:val="57C3165D"/>
    <w:rsid w:val="581F559B"/>
    <w:rsid w:val="5846329A"/>
    <w:rsid w:val="586B6538"/>
    <w:rsid w:val="595C4DD8"/>
    <w:rsid w:val="5A566545"/>
    <w:rsid w:val="5C054782"/>
    <w:rsid w:val="5C2A19AE"/>
    <w:rsid w:val="5C683C1F"/>
    <w:rsid w:val="5E6B3516"/>
    <w:rsid w:val="5EFB0EFD"/>
    <w:rsid w:val="5F653FB3"/>
    <w:rsid w:val="60563B24"/>
    <w:rsid w:val="61DE0E8F"/>
    <w:rsid w:val="6594590A"/>
    <w:rsid w:val="665A14B0"/>
    <w:rsid w:val="67CF48A0"/>
    <w:rsid w:val="68C83A2C"/>
    <w:rsid w:val="68D423D1"/>
    <w:rsid w:val="693F458D"/>
    <w:rsid w:val="69CD2D84"/>
    <w:rsid w:val="6B8F25DF"/>
    <w:rsid w:val="6BDF70C3"/>
    <w:rsid w:val="6D062D75"/>
    <w:rsid w:val="6DBD10A0"/>
    <w:rsid w:val="7058008E"/>
    <w:rsid w:val="705823C9"/>
    <w:rsid w:val="70A34AFE"/>
    <w:rsid w:val="715E0A8A"/>
    <w:rsid w:val="71CB1E97"/>
    <w:rsid w:val="7210124C"/>
    <w:rsid w:val="722F68CA"/>
    <w:rsid w:val="730A02CC"/>
    <w:rsid w:val="731D61AC"/>
    <w:rsid w:val="74970007"/>
    <w:rsid w:val="75297601"/>
    <w:rsid w:val="756749D5"/>
    <w:rsid w:val="7662726E"/>
    <w:rsid w:val="76C375E1"/>
    <w:rsid w:val="77FD08B3"/>
    <w:rsid w:val="79420C91"/>
    <w:rsid w:val="7A4453AB"/>
    <w:rsid w:val="7AA33F4E"/>
    <w:rsid w:val="7AE66E99"/>
    <w:rsid w:val="7CAB05A2"/>
    <w:rsid w:val="7D5E0064"/>
    <w:rsid w:val="7E677E64"/>
    <w:rsid w:val="7E7044F2"/>
    <w:rsid w:val="7F0B6D56"/>
    <w:rsid w:val="7F151478"/>
    <w:rsid w:val="7F3960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2"/>
    <w:link w:val="61"/>
    <w:qFormat/>
    <w:uiPriority w:val="0"/>
    <w:pPr>
      <w:keepNext/>
      <w:keepLines/>
      <w:spacing w:after="120" w:line="360" w:lineRule="auto"/>
      <w:outlineLvl w:val="0"/>
    </w:pPr>
    <w:rPr>
      <w:rFonts w:ascii="宋体" w:hAnsi="宋体" w:cs="宋体"/>
      <w:kern w:val="44"/>
      <w:sz w:val="28"/>
      <w:szCs w:val="28"/>
    </w:rPr>
  </w:style>
  <w:style w:type="paragraph" w:styleId="6">
    <w:name w:val="heading 2"/>
    <w:basedOn w:val="1"/>
    <w:next w:val="7"/>
    <w:link w:val="63"/>
    <w:qFormat/>
    <w:uiPriority w:val="0"/>
    <w:pPr>
      <w:keepNext/>
      <w:keepLines/>
      <w:spacing w:before="120" w:after="120" w:line="415" w:lineRule="auto"/>
      <w:jc w:val="center"/>
      <w:outlineLvl w:val="1"/>
    </w:pPr>
    <w:rPr>
      <w:rFonts w:ascii="宋体" w:hAnsi="宋体" w:cs="宋体"/>
      <w:b/>
      <w:kern w:val="0"/>
      <w:sz w:val="24"/>
      <w:szCs w:val="24"/>
    </w:rPr>
  </w:style>
  <w:style w:type="paragraph" w:styleId="8">
    <w:name w:val="heading 3"/>
    <w:basedOn w:val="1"/>
    <w:next w:val="1"/>
    <w:link w:val="64"/>
    <w:qFormat/>
    <w:uiPriority w:val="0"/>
    <w:pPr>
      <w:widowControl/>
      <w:jc w:val="left"/>
      <w:outlineLvl w:val="2"/>
    </w:pPr>
    <w:rPr>
      <w:rFonts w:ascii="宋体" w:hAnsi="宋体"/>
      <w:kern w:val="0"/>
      <w:sz w:val="27"/>
      <w:szCs w:val="27"/>
    </w:rPr>
  </w:style>
  <w:style w:type="paragraph" w:styleId="9">
    <w:name w:val="heading 4"/>
    <w:basedOn w:val="8"/>
    <w:next w:val="7"/>
    <w:link w:val="65"/>
    <w:qFormat/>
    <w:uiPriority w:val="0"/>
    <w:pPr>
      <w:keepNext/>
      <w:keepLines/>
      <w:widowControl w:val="0"/>
      <w:spacing w:beforeLines="50" w:afterLines="50" w:line="360" w:lineRule="auto"/>
      <w:ind w:left="284" w:hanging="284"/>
      <w:outlineLvl w:val="3"/>
    </w:pPr>
    <w:rPr>
      <w:rFonts w:ascii="Arial" w:hAnsi="Arial"/>
      <w:color w:val="000000"/>
      <w:sz w:val="20"/>
      <w:szCs w:val="21"/>
    </w:rPr>
  </w:style>
  <w:style w:type="paragraph" w:styleId="10">
    <w:name w:val="heading 5"/>
    <w:basedOn w:val="9"/>
    <w:next w:val="7"/>
    <w:link w:val="66"/>
    <w:qFormat/>
    <w:uiPriority w:val="0"/>
    <w:pPr>
      <w:spacing w:line="240" w:lineRule="exact"/>
      <w:outlineLvl w:val="4"/>
    </w:pPr>
  </w:style>
  <w:style w:type="paragraph" w:styleId="11">
    <w:name w:val="heading 6"/>
    <w:basedOn w:val="1"/>
    <w:next w:val="1"/>
    <w:link w:val="67"/>
    <w:qFormat/>
    <w:uiPriority w:val="0"/>
    <w:pPr>
      <w:keepNext/>
      <w:keepLines/>
      <w:spacing w:before="240" w:after="64" w:line="320" w:lineRule="auto"/>
      <w:outlineLvl w:val="5"/>
    </w:pPr>
    <w:rPr>
      <w:rFonts w:ascii="Arial" w:hAnsi="Arial" w:eastAsia="黑体"/>
      <w:b/>
      <w:bCs/>
      <w:kern w:val="0"/>
      <w:sz w:val="24"/>
      <w:szCs w:val="24"/>
    </w:rPr>
  </w:style>
  <w:style w:type="paragraph" w:styleId="12">
    <w:name w:val="heading 7"/>
    <w:basedOn w:val="1"/>
    <w:next w:val="7"/>
    <w:link w:val="68"/>
    <w:qFormat/>
    <w:uiPriority w:val="0"/>
    <w:pPr>
      <w:keepNext/>
      <w:keepLines/>
      <w:spacing w:before="240" w:after="64" w:line="320" w:lineRule="auto"/>
      <w:outlineLvl w:val="6"/>
    </w:pPr>
    <w:rPr>
      <w:rFonts w:ascii="Times New Roman" w:hAnsi="Times New Roman"/>
      <w:b/>
      <w:kern w:val="0"/>
      <w:sz w:val="24"/>
      <w:szCs w:val="20"/>
    </w:rPr>
  </w:style>
  <w:style w:type="paragraph" w:styleId="13">
    <w:name w:val="heading 8"/>
    <w:basedOn w:val="1"/>
    <w:next w:val="7"/>
    <w:link w:val="69"/>
    <w:qFormat/>
    <w:uiPriority w:val="0"/>
    <w:pPr>
      <w:keepNext/>
      <w:keepLines/>
      <w:spacing w:before="240" w:after="64" w:line="320" w:lineRule="auto"/>
      <w:outlineLvl w:val="7"/>
    </w:pPr>
    <w:rPr>
      <w:rFonts w:ascii="Arial" w:hAnsi="Arial" w:eastAsia="黑体"/>
      <w:kern w:val="0"/>
      <w:sz w:val="24"/>
      <w:szCs w:val="20"/>
    </w:rPr>
  </w:style>
  <w:style w:type="paragraph" w:styleId="14">
    <w:name w:val="heading 9"/>
    <w:basedOn w:val="1"/>
    <w:next w:val="7"/>
    <w:link w:val="70"/>
    <w:qFormat/>
    <w:uiPriority w:val="0"/>
    <w:pPr>
      <w:keepNext/>
      <w:keepLines/>
      <w:spacing w:before="240" w:after="64" w:line="320" w:lineRule="auto"/>
      <w:outlineLvl w:val="8"/>
    </w:pPr>
    <w:rPr>
      <w:rFonts w:ascii="Arial" w:hAnsi="Arial" w:eastAsia="黑体"/>
      <w:kern w:val="0"/>
      <w:sz w:val="2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60"/>
    <w:qFormat/>
    <w:uiPriority w:val="0"/>
    <w:pPr>
      <w:ind w:firstLine="420"/>
    </w:pPr>
    <w:rPr>
      <w:rFonts w:asciiTheme="minorHAnsi" w:hAnsiTheme="minorHAnsi" w:eastAsiaTheme="minorEastAsia" w:cstheme="minorBidi"/>
      <w:szCs w:val="22"/>
    </w:rPr>
  </w:style>
  <w:style w:type="paragraph" w:styleId="3">
    <w:name w:val="Body Text"/>
    <w:basedOn w:val="1"/>
    <w:next w:val="1"/>
    <w:link w:val="59"/>
    <w:qFormat/>
    <w:uiPriority w:val="0"/>
    <w:pPr>
      <w:spacing w:after="120"/>
    </w:pPr>
    <w:rPr>
      <w:rFonts w:ascii="Times New Roman" w:hAnsi="Times New Roman"/>
      <w:szCs w:val="20"/>
    </w:rPr>
  </w:style>
  <w:style w:type="paragraph" w:styleId="5">
    <w:name w:val="Title"/>
    <w:basedOn w:val="1"/>
    <w:link w:val="58"/>
    <w:qFormat/>
    <w:uiPriority w:val="0"/>
    <w:pPr>
      <w:spacing w:before="120" w:after="60"/>
      <w:jc w:val="center"/>
    </w:pPr>
    <w:rPr>
      <w:rFonts w:ascii="Arial" w:hAnsi="Arial"/>
      <w:b/>
      <w:sz w:val="44"/>
      <w:szCs w:val="20"/>
    </w:rPr>
  </w:style>
  <w:style w:type="paragraph" w:styleId="7">
    <w:name w:val="Normal Indent"/>
    <w:basedOn w:val="1"/>
    <w:link w:val="62"/>
    <w:qFormat/>
    <w:uiPriority w:val="0"/>
    <w:pPr>
      <w:ind w:firstLine="420"/>
    </w:pPr>
    <w:rPr>
      <w:rFonts w:ascii="Times New Roman" w:hAnsi="Times New Roman" w:cstheme="minorBidi"/>
    </w:rPr>
  </w:style>
  <w:style w:type="paragraph" w:styleId="15">
    <w:name w:val="toc 7"/>
    <w:basedOn w:val="1"/>
    <w:next w:val="1"/>
    <w:qFormat/>
    <w:uiPriority w:val="0"/>
    <w:pPr>
      <w:ind w:left="1200" w:leftChars="1200"/>
    </w:pPr>
    <w:rPr>
      <w:rFonts w:ascii="Times New Roman" w:hAnsi="Times New Roman"/>
    </w:rPr>
  </w:style>
  <w:style w:type="paragraph" w:styleId="16">
    <w:name w:val="caption"/>
    <w:basedOn w:val="1"/>
    <w:next w:val="1"/>
    <w:qFormat/>
    <w:uiPriority w:val="0"/>
    <w:rPr>
      <w:rFonts w:ascii="Arial" w:hAnsi="Arial" w:eastAsia="黑体" w:cs="Arial"/>
      <w:sz w:val="20"/>
      <w:szCs w:val="20"/>
    </w:rPr>
  </w:style>
  <w:style w:type="paragraph" w:styleId="17">
    <w:name w:val="List Bullet"/>
    <w:basedOn w:val="1"/>
    <w:qFormat/>
    <w:uiPriority w:val="0"/>
    <w:pPr>
      <w:tabs>
        <w:tab w:val="left" w:pos="360"/>
      </w:tabs>
      <w:ind w:left="360" w:hanging="360"/>
    </w:pPr>
    <w:rPr>
      <w:rFonts w:ascii="Times New Roman" w:hAnsi="Times New Roman"/>
      <w:szCs w:val="24"/>
    </w:rPr>
  </w:style>
  <w:style w:type="paragraph" w:styleId="18">
    <w:name w:val="Document Map"/>
    <w:basedOn w:val="1"/>
    <w:link w:val="73"/>
    <w:qFormat/>
    <w:uiPriority w:val="0"/>
    <w:pPr>
      <w:shd w:val="clear" w:color="auto" w:fill="000080"/>
    </w:pPr>
    <w:rPr>
      <w:rFonts w:ascii="Times New Roman" w:hAnsi="Times New Roman"/>
      <w:szCs w:val="20"/>
      <w:shd w:val="clear" w:color="auto" w:fill="000080"/>
    </w:rPr>
  </w:style>
  <w:style w:type="paragraph" w:styleId="19">
    <w:name w:val="annotation text"/>
    <w:basedOn w:val="1"/>
    <w:link w:val="71"/>
    <w:qFormat/>
    <w:uiPriority w:val="0"/>
    <w:pPr>
      <w:spacing w:line="360" w:lineRule="auto"/>
      <w:ind w:firstLine="523" w:firstLineChars="218"/>
      <w:jc w:val="left"/>
    </w:pPr>
    <w:rPr>
      <w:rFonts w:ascii="宋体" w:hAnsi="宋体"/>
      <w:sz w:val="24"/>
      <w:szCs w:val="24"/>
    </w:rPr>
  </w:style>
  <w:style w:type="paragraph" w:styleId="20">
    <w:name w:val="Body Text 3"/>
    <w:basedOn w:val="1"/>
    <w:link w:val="74"/>
    <w:qFormat/>
    <w:uiPriority w:val="0"/>
    <w:rPr>
      <w:rFonts w:ascii="宋体" w:hAnsi="宋体"/>
      <w:sz w:val="24"/>
      <w:szCs w:val="20"/>
    </w:rPr>
  </w:style>
  <w:style w:type="paragraph" w:styleId="21">
    <w:name w:val="Body Text Indent"/>
    <w:basedOn w:val="1"/>
    <w:link w:val="75"/>
    <w:qFormat/>
    <w:uiPriority w:val="0"/>
    <w:pPr>
      <w:ind w:firstLine="570"/>
    </w:pPr>
    <w:rPr>
      <w:rFonts w:ascii="Times New Roman" w:hAnsi="Times New Roman"/>
      <w:sz w:val="28"/>
      <w:szCs w:val="20"/>
    </w:rPr>
  </w:style>
  <w:style w:type="paragraph" w:styleId="22">
    <w:name w:val="List 2"/>
    <w:basedOn w:val="1"/>
    <w:qFormat/>
    <w:uiPriority w:val="0"/>
    <w:pPr>
      <w:ind w:left="200" w:leftChars="200" w:hanging="200" w:hangingChars="200"/>
    </w:pPr>
    <w:rPr>
      <w:rFonts w:ascii="Times New Roman" w:hAnsi="Times New Roman" w:eastAsia="楷体_GB2312"/>
      <w:szCs w:val="20"/>
    </w:rPr>
  </w:style>
  <w:style w:type="paragraph" w:styleId="23">
    <w:name w:val="List Bullet 2"/>
    <w:basedOn w:val="17"/>
    <w:qFormat/>
    <w:uiPriority w:val="0"/>
    <w:pPr>
      <w:widowControl/>
      <w:tabs>
        <w:tab w:val="left" w:pos="432"/>
        <w:tab w:val="clear" w:pos="360"/>
      </w:tabs>
      <w:spacing w:after="220" w:line="220" w:lineRule="atLeast"/>
      <w:ind w:left="2160" w:right="720" w:hanging="432"/>
      <w:jc w:val="left"/>
    </w:pPr>
    <w:rPr>
      <w:kern w:val="0"/>
      <w:szCs w:val="20"/>
    </w:rPr>
  </w:style>
  <w:style w:type="paragraph" w:styleId="24">
    <w:name w:val="toc 5"/>
    <w:basedOn w:val="1"/>
    <w:next w:val="1"/>
    <w:qFormat/>
    <w:uiPriority w:val="0"/>
    <w:pPr>
      <w:ind w:left="800" w:leftChars="800"/>
    </w:pPr>
    <w:rPr>
      <w:rFonts w:ascii="Times New Roman" w:hAnsi="Times New Roman"/>
    </w:rPr>
  </w:style>
  <w:style w:type="paragraph" w:styleId="25">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6">
    <w:name w:val="Plain Text"/>
    <w:basedOn w:val="1"/>
    <w:next w:val="1"/>
    <w:link w:val="76"/>
    <w:qFormat/>
    <w:uiPriority w:val="0"/>
    <w:rPr>
      <w:rFonts w:ascii="宋体" w:hAnsi="Courier New"/>
      <w:szCs w:val="20"/>
    </w:rPr>
  </w:style>
  <w:style w:type="paragraph" w:styleId="27">
    <w:name w:val="toc 8"/>
    <w:basedOn w:val="1"/>
    <w:next w:val="1"/>
    <w:qFormat/>
    <w:uiPriority w:val="0"/>
    <w:pPr>
      <w:ind w:left="1400" w:leftChars="1400"/>
    </w:pPr>
    <w:rPr>
      <w:rFonts w:ascii="Times New Roman" w:hAnsi="Times New Roman"/>
    </w:rPr>
  </w:style>
  <w:style w:type="paragraph" w:styleId="28">
    <w:name w:val="Date"/>
    <w:basedOn w:val="1"/>
    <w:next w:val="1"/>
    <w:link w:val="77"/>
    <w:qFormat/>
    <w:uiPriority w:val="0"/>
    <w:rPr>
      <w:rFonts w:ascii="Times New Roman" w:hAnsi="Times New Roman"/>
      <w:szCs w:val="20"/>
    </w:rPr>
  </w:style>
  <w:style w:type="paragraph" w:styleId="29">
    <w:name w:val="Body Text Indent 2"/>
    <w:basedOn w:val="1"/>
    <w:link w:val="78"/>
    <w:qFormat/>
    <w:uiPriority w:val="0"/>
    <w:pPr>
      <w:spacing w:line="400" w:lineRule="exact"/>
      <w:ind w:left="425"/>
    </w:pPr>
    <w:rPr>
      <w:rFonts w:ascii="Times New Roman" w:hAnsi="Times New Roman"/>
      <w:color w:val="000000"/>
      <w:sz w:val="24"/>
      <w:szCs w:val="20"/>
    </w:rPr>
  </w:style>
  <w:style w:type="paragraph" w:styleId="30">
    <w:name w:val="endnote text"/>
    <w:basedOn w:val="1"/>
    <w:link w:val="79"/>
    <w:qFormat/>
    <w:uiPriority w:val="0"/>
    <w:pPr>
      <w:snapToGrid w:val="0"/>
      <w:jc w:val="left"/>
    </w:pPr>
    <w:rPr>
      <w:rFonts w:ascii="Times New Roman" w:hAnsi="Times New Roman"/>
      <w:szCs w:val="20"/>
    </w:rPr>
  </w:style>
  <w:style w:type="paragraph" w:styleId="31">
    <w:name w:val="Balloon Text"/>
    <w:basedOn w:val="1"/>
    <w:link w:val="80"/>
    <w:qFormat/>
    <w:uiPriority w:val="0"/>
    <w:rPr>
      <w:rFonts w:ascii="Times New Roman" w:hAnsi="Times New Roman"/>
      <w:sz w:val="18"/>
      <w:szCs w:val="18"/>
    </w:rPr>
  </w:style>
  <w:style w:type="paragraph" w:styleId="32">
    <w:name w:val="footer"/>
    <w:basedOn w:val="1"/>
    <w:link w:val="81"/>
    <w:unhideWhenUsed/>
    <w:qFormat/>
    <w:uiPriority w:val="0"/>
    <w:pPr>
      <w:tabs>
        <w:tab w:val="center" w:pos="4153"/>
        <w:tab w:val="right" w:pos="8306"/>
      </w:tabs>
      <w:snapToGrid w:val="0"/>
      <w:jc w:val="left"/>
    </w:pPr>
    <w:rPr>
      <w:sz w:val="18"/>
      <w:szCs w:val="18"/>
    </w:rPr>
  </w:style>
  <w:style w:type="paragraph" w:styleId="33">
    <w:name w:val="header"/>
    <w:basedOn w:val="1"/>
    <w:link w:val="82"/>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5">
    <w:name w:val="toc 4"/>
    <w:basedOn w:val="1"/>
    <w:next w:val="1"/>
    <w:qFormat/>
    <w:uiPriority w:val="0"/>
    <w:pPr>
      <w:ind w:left="600" w:leftChars="600"/>
    </w:pPr>
    <w:rPr>
      <w:rFonts w:ascii="Times New Roman" w:hAnsi="Times New Roman"/>
    </w:rPr>
  </w:style>
  <w:style w:type="paragraph" w:styleId="36">
    <w:name w:val="Subtitle"/>
    <w:basedOn w:val="1"/>
    <w:next w:val="1"/>
    <w:link w:val="83"/>
    <w:qFormat/>
    <w:uiPriority w:val="0"/>
    <w:pPr>
      <w:widowControl/>
      <w:spacing w:after="60"/>
      <w:jc w:val="center"/>
      <w:outlineLvl w:val="1"/>
    </w:pPr>
    <w:rPr>
      <w:rFonts w:ascii="Arial" w:hAnsi="Arial" w:eastAsia="黑体"/>
      <w:b/>
      <w:bCs/>
      <w:sz w:val="32"/>
      <w:szCs w:val="32"/>
    </w:rPr>
  </w:style>
  <w:style w:type="paragraph" w:styleId="37">
    <w:name w:val="List"/>
    <w:basedOn w:val="3"/>
    <w:qFormat/>
    <w:uiPriority w:val="0"/>
    <w:pPr>
      <w:suppressAutoHyphens/>
      <w:spacing w:after="0"/>
    </w:pPr>
    <w:rPr>
      <w:rFonts w:hAnsi="Calibri" w:eastAsia="黑体"/>
      <w:sz w:val="24"/>
      <w:lang w:eastAsia="ar-SA"/>
    </w:rPr>
  </w:style>
  <w:style w:type="paragraph" w:styleId="38">
    <w:name w:val="footnote text"/>
    <w:basedOn w:val="1"/>
    <w:link w:val="84"/>
    <w:qFormat/>
    <w:uiPriority w:val="0"/>
    <w:pPr>
      <w:snapToGrid w:val="0"/>
      <w:spacing w:line="360" w:lineRule="auto"/>
      <w:ind w:firstLine="523" w:firstLineChars="218"/>
      <w:jc w:val="left"/>
    </w:pPr>
    <w:rPr>
      <w:rFonts w:ascii="宋体" w:hAnsi="宋体"/>
      <w:sz w:val="18"/>
      <w:szCs w:val="18"/>
    </w:rPr>
  </w:style>
  <w:style w:type="paragraph" w:styleId="39">
    <w:name w:val="toc 6"/>
    <w:basedOn w:val="1"/>
    <w:next w:val="1"/>
    <w:qFormat/>
    <w:uiPriority w:val="0"/>
    <w:pPr>
      <w:ind w:left="1000" w:leftChars="1000"/>
    </w:pPr>
    <w:rPr>
      <w:rFonts w:ascii="Times New Roman" w:hAnsi="Times New Roman"/>
    </w:rPr>
  </w:style>
  <w:style w:type="paragraph" w:styleId="40">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41">
    <w:name w:val="table of figures"/>
    <w:basedOn w:val="1"/>
    <w:next w:val="1"/>
    <w:qFormat/>
    <w:uiPriority w:val="0"/>
    <w:pPr>
      <w:ind w:left="200" w:leftChars="200" w:hanging="200" w:hangingChars="200"/>
    </w:pPr>
    <w:rPr>
      <w:rFonts w:ascii="Times New Roman" w:hAnsi="Times New Roman"/>
    </w:rPr>
  </w:style>
  <w:style w:type="paragraph" w:styleId="4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3">
    <w:name w:val="toc 9"/>
    <w:basedOn w:val="1"/>
    <w:next w:val="1"/>
    <w:qFormat/>
    <w:uiPriority w:val="0"/>
    <w:pPr>
      <w:ind w:left="1600" w:leftChars="1600"/>
    </w:pPr>
    <w:rPr>
      <w:rFonts w:ascii="Times New Roman" w:hAnsi="Times New Roman"/>
    </w:rPr>
  </w:style>
  <w:style w:type="paragraph" w:styleId="44">
    <w:name w:val="Body Text 2"/>
    <w:basedOn w:val="1"/>
    <w:link w:val="86"/>
    <w:qFormat/>
    <w:uiPriority w:val="0"/>
    <w:rPr>
      <w:rFonts w:ascii="宋体" w:hAnsi="宋体"/>
      <w:szCs w:val="24"/>
      <w:u w:val="single"/>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6">
    <w:name w:val="index 1"/>
    <w:basedOn w:val="1"/>
    <w:next w:val="1"/>
    <w:qFormat/>
    <w:uiPriority w:val="0"/>
    <w:rPr>
      <w:rFonts w:ascii="Times New Roman" w:hAnsi="Times New Roman" w:eastAsia="仿宋_GB2312"/>
      <w:sz w:val="28"/>
      <w:szCs w:val="20"/>
    </w:rPr>
  </w:style>
  <w:style w:type="paragraph" w:styleId="47">
    <w:name w:val="annotation subject"/>
    <w:basedOn w:val="19"/>
    <w:next w:val="19"/>
    <w:link w:val="72"/>
    <w:qFormat/>
    <w:uiPriority w:val="0"/>
    <w:rPr>
      <w:b/>
      <w:bCs/>
    </w:rPr>
  </w:style>
  <w:style w:type="table" w:styleId="49">
    <w:name w:val="Table Grid"/>
    <w:basedOn w:val="4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rPr>
  </w:style>
  <w:style w:type="character" w:styleId="52">
    <w:name w:val="endnote reference"/>
    <w:qFormat/>
    <w:uiPriority w:val="0"/>
    <w:rPr>
      <w:vertAlign w:val="superscript"/>
    </w:rPr>
  </w:style>
  <w:style w:type="character" w:styleId="53">
    <w:name w:val="page number"/>
    <w:qFormat/>
    <w:uiPriority w:val="0"/>
    <w:rPr>
      <w:rFonts w:cs="Times New Roman"/>
    </w:rPr>
  </w:style>
  <w:style w:type="character" w:styleId="54">
    <w:name w:val="FollowedHyperlink"/>
    <w:basedOn w:val="50"/>
    <w:unhideWhenUsed/>
    <w:qFormat/>
    <w:uiPriority w:val="99"/>
    <w:rPr>
      <w:color w:val="800080" w:themeColor="followedHyperlink"/>
      <w:u w:val="single"/>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character" w:customStyle="1" w:styleId="58">
    <w:name w:val="标题 Char"/>
    <w:link w:val="5"/>
    <w:qFormat/>
    <w:uiPriority w:val="0"/>
    <w:rPr>
      <w:rFonts w:ascii="Arial" w:hAnsi="Arial" w:eastAsia="宋体" w:cs="Times New Roman"/>
      <w:b/>
      <w:sz w:val="44"/>
      <w:szCs w:val="20"/>
    </w:rPr>
  </w:style>
  <w:style w:type="character" w:customStyle="1" w:styleId="59">
    <w:name w:val="正文文本 Char"/>
    <w:link w:val="3"/>
    <w:qFormat/>
    <w:uiPriority w:val="0"/>
    <w:rPr>
      <w:rFonts w:ascii="Times New Roman" w:hAnsi="Times New Roman" w:eastAsia="宋体" w:cs="Times New Roman"/>
      <w:szCs w:val="20"/>
    </w:rPr>
  </w:style>
  <w:style w:type="character" w:customStyle="1" w:styleId="60">
    <w:name w:val="正文首行缩进 Char"/>
    <w:link w:val="2"/>
    <w:qFormat/>
    <w:uiPriority w:val="0"/>
  </w:style>
  <w:style w:type="character" w:customStyle="1" w:styleId="61">
    <w:name w:val="标题 1 Char"/>
    <w:basedOn w:val="50"/>
    <w:link w:val="4"/>
    <w:qFormat/>
    <w:uiPriority w:val="0"/>
    <w:rPr>
      <w:rFonts w:ascii="宋体" w:hAnsi="宋体" w:eastAsia="宋体" w:cs="宋体"/>
      <w:b/>
      <w:kern w:val="44"/>
      <w:sz w:val="28"/>
      <w:szCs w:val="28"/>
    </w:rPr>
  </w:style>
  <w:style w:type="character" w:customStyle="1" w:styleId="62">
    <w:name w:val="正文缩进 Char"/>
    <w:link w:val="7"/>
    <w:qFormat/>
    <w:uiPriority w:val="0"/>
    <w:rPr>
      <w:rFonts w:ascii="Times New Roman" w:hAnsi="Times New Roman" w:eastAsia="宋体"/>
    </w:rPr>
  </w:style>
  <w:style w:type="character" w:customStyle="1" w:styleId="63">
    <w:name w:val="标题 2 Char"/>
    <w:basedOn w:val="50"/>
    <w:link w:val="6"/>
    <w:qFormat/>
    <w:uiPriority w:val="0"/>
    <w:rPr>
      <w:rFonts w:ascii="宋体" w:hAnsi="宋体" w:eastAsia="宋体" w:cs="宋体"/>
      <w:b/>
      <w:kern w:val="0"/>
      <w:sz w:val="24"/>
      <w:szCs w:val="24"/>
    </w:rPr>
  </w:style>
  <w:style w:type="character" w:customStyle="1" w:styleId="64">
    <w:name w:val="标题 3 Char"/>
    <w:basedOn w:val="50"/>
    <w:link w:val="8"/>
    <w:qFormat/>
    <w:uiPriority w:val="0"/>
    <w:rPr>
      <w:rFonts w:ascii="宋体" w:hAnsi="宋体" w:eastAsia="宋体" w:cs="Times New Roman"/>
      <w:kern w:val="0"/>
      <w:sz w:val="27"/>
      <w:szCs w:val="27"/>
    </w:rPr>
  </w:style>
  <w:style w:type="character" w:customStyle="1" w:styleId="65">
    <w:name w:val="标题 4 Char"/>
    <w:basedOn w:val="50"/>
    <w:link w:val="9"/>
    <w:qFormat/>
    <w:uiPriority w:val="0"/>
    <w:rPr>
      <w:rFonts w:ascii="Arial" w:hAnsi="Arial" w:eastAsia="宋体" w:cs="Times New Roman"/>
      <w:color w:val="000000"/>
      <w:kern w:val="0"/>
      <w:sz w:val="20"/>
      <w:szCs w:val="21"/>
    </w:rPr>
  </w:style>
  <w:style w:type="character" w:customStyle="1" w:styleId="66">
    <w:name w:val="标题 5 Char"/>
    <w:basedOn w:val="50"/>
    <w:link w:val="10"/>
    <w:qFormat/>
    <w:uiPriority w:val="0"/>
    <w:rPr>
      <w:rFonts w:ascii="Arial" w:hAnsi="Arial" w:eastAsia="宋体" w:cs="Times New Roman"/>
      <w:color w:val="000000"/>
      <w:kern w:val="0"/>
      <w:sz w:val="20"/>
      <w:szCs w:val="21"/>
    </w:rPr>
  </w:style>
  <w:style w:type="character" w:customStyle="1" w:styleId="67">
    <w:name w:val="标题 6 Char"/>
    <w:basedOn w:val="50"/>
    <w:link w:val="11"/>
    <w:qFormat/>
    <w:uiPriority w:val="0"/>
    <w:rPr>
      <w:rFonts w:ascii="Arial" w:hAnsi="Arial" w:eastAsia="黑体" w:cs="Times New Roman"/>
      <w:b/>
      <w:bCs/>
      <w:kern w:val="0"/>
      <w:sz w:val="24"/>
      <w:szCs w:val="24"/>
    </w:rPr>
  </w:style>
  <w:style w:type="character" w:customStyle="1" w:styleId="68">
    <w:name w:val="标题 7 Char"/>
    <w:basedOn w:val="50"/>
    <w:link w:val="12"/>
    <w:qFormat/>
    <w:uiPriority w:val="0"/>
    <w:rPr>
      <w:rFonts w:ascii="Times New Roman" w:hAnsi="Times New Roman" w:eastAsia="宋体" w:cs="Times New Roman"/>
      <w:b/>
      <w:kern w:val="0"/>
      <w:sz w:val="24"/>
      <w:szCs w:val="20"/>
    </w:rPr>
  </w:style>
  <w:style w:type="character" w:customStyle="1" w:styleId="69">
    <w:name w:val="标题 8 Char"/>
    <w:basedOn w:val="50"/>
    <w:link w:val="13"/>
    <w:qFormat/>
    <w:uiPriority w:val="0"/>
    <w:rPr>
      <w:rFonts w:ascii="Arial" w:hAnsi="Arial" w:eastAsia="黑体" w:cs="Times New Roman"/>
      <w:kern w:val="0"/>
      <w:sz w:val="24"/>
      <w:szCs w:val="20"/>
    </w:rPr>
  </w:style>
  <w:style w:type="character" w:customStyle="1" w:styleId="70">
    <w:name w:val="标题 9 Char"/>
    <w:basedOn w:val="50"/>
    <w:link w:val="14"/>
    <w:qFormat/>
    <w:uiPriority w:val="0"/>
    <w:rPr>
      <w:rFonts w:ascii="Arial" w:hAnsi="Arial" w:eastAsia="黑体" w:cs="Times New Roman"/>
      <w:kern w:val="0"/>
      <w:sz w:val="20"/>
      <w:szCs w:val="20"/>
    </w:rPr>
  </w:style>
  <w:style w:type="character" w:customStyle="1" w:styleId="71">
    <w:name w:val="批注文字 Char"/>
    <w:link w:val="19"/>
    <w:qFormat/>
    <w:uiPriority w:val="0"/>
    <w:rPr>
      <w:rFonts w:ascii="宋体" w:hAnsi="宋体" w:eastAsia="宋体" w:cs="Times New Roman"/>
      <w:sz w:val="24"/>
      <w:szCs w:val="24"/>
    </w:rPr>
  </w:style>
  <w:style w:type="character" w:customStyle="1" w:styleId="72">
    <w:name w:val="批注主题 Char"/>
    <w:link w:val="47"/>
    <w:qFormat/>
    <w:uiPriority w:val="0"/>
    <w:rPr>
      <w:rFonts w:ascii="宋体" w:hAnsi="宋体" w:eastAsia="宋体" w:cs="Times New Roman"/>
      <w:b/>
      <w:bCs/>
      <w:sz w:val="24"/>
      <w:szCs w:val="24"/>
    </w:rPr>
  </w:style>
  <w:style w:type="character" w:customStyle="1" w:styleId="73">
    <w:name w:val="文档结构图 Char"/>
    <w:link w:val="18"/>
    <w:qFormat/>
    <w:uiPriority w:val="0"/>
    <w:rPr>
      <w:rFonts w:ascii="Times New Roman" w:hAnsi="Times New Roman" w:eastAsia="宋体" w:cs="Times New Roman"/>
      <w:szCs w:val="20"/>
      <w:shd w:val="clear" w:color="auto" w:fill="000080"/>
    </w:rPr>
  </w:style>
  <w:style w:type="character" w:customStyle="1" w:styleId="74">
    <w:name w:val="正文文本 3 Char"/>
    <w:basedOn w:val="50"/>
    <w:link w:val="20"/>
    <w:qFormat/>
    <w:uiPriority w:val="0"/>
    <w:rPr>
      <w:rFonts w:ascii="宋体" w:hAnsi="宋体" w:eastAsia="宋体" w:cs="Times New Roman"/>
      <w:sz w:val="24"/>
      <w:szCs w:val="20"/>
    </w:rPr>
  </w:style>
  <w:style w:type="character" w:customStyle="1" w:styleId="75">
    <w:name w:val="正文文本缩进 Char"/>
    <w:link w:val="21"/>
    <w:qFormat/>
    <w:uiPriority w:val="0"/>
    <w:rPr>
      <w:rFonts w:ascii="Times New Roman" w:hAnsi="Times New Roman" w:eastAsia="宋体" w:cs="Times New Roman"/>
      <w:sz w:val="28"/>
      <w:szCs w:val="20"/>
    </w:rPr>
  </w:style>
  <w:style w:type="character" w:customStyle="1" w:styleId="76">
    <w:name w:val="纯文本 Char"/>
    <w:link w:val="26"/>
    <w:qFormat/>
    <w:uiPriority w:val="0"/>
    <w:rPr>
      <w:rFonts w:ascii="宋体" w:hAnsi="Courier New" w:eastAsia="宋体" w:cs="Times New Roman"/>
      <w:szCs w:val="20"/>
    </w:rPr>
  </w:style>
  <w:style w:type="character" w:customStyle="1" w:styleId="77">
    <w:name w:val="日期 Char"/>
    <w:link w:val="28"/>
    <w:qFormat/>
    <w:uiPriority w:val="0"/>
    <w:rPr>
      <w:rFonts w:ascii="Times New Roman" w:hAnsi="Times New Roman" w:eastAsia="宋体" w:cs="Times New Roman"/>
      <w:szCs w:val="20"/>
    </w:rPr>
  </w:style>
  <w:style w:type="character" w:customStyle="1" w:styleId="78">
    <w:name w:val="正文文本缩进 2 Char"/>
    <w:link w:val="29"/>
    <w:qFormat/>
    <w:uiPriority w:val="0"/>
    <w:rPr>
      <w:rFonts w:ascii="Times New Roman" w:hAnsi="Times New Roman" w:eastAsia="宋体" w:cs="Times New Roman"/>
      <w:color w:val="000000"/>
      <w:sz w:val="24"/>
      <w:szCs w:val="20"/>
    </w:rPr>
  </w:style>
  <w:style w:type="character" w:customStyle="1" w:styleId="79">
    <w:name w:val="尾注文本 Char"/>
    <w:link w:val="30"/>
    <w:qFormat/>
    <w:uiPriority w:val="0"/>
    <w:rPr>
      <w:rFonts w:ascii="Times New Roman" w:hAnsi="Times New Roman" w:eastAsia="宋体" w:cs="Times New Roman"/>
      <w:szCs w:val="20"/>
    </w:rPr>
  </w:style>
  <w:style w:type="character" w:customStyle="1" w:styleId="80">
    <w:name w:val="批注框文本 Char"/>
    <w:link w:val="31"/>
    <w:qFormat/>
    <w:uiPriority w:val="0"/>
    <w:rPr>
      <w:rFonts w:ascii="Times New Roman" w:hAnsi="Times New Roman" w:eastAsia="宋体" w:cs="Times New Roman"/>
      <w:sz w:val="18"/>
      <w:szCs w:val="18"/>
    </w:rPr>
  </w:style>
  <w:style w:type="character" w:customStyle="1" w:styleId="81">
    <w:name w:val="页脚 Char"/>
    <w:basedOn w:val="50"/>
    <w:link w:val="32"/>
    <w:qFormat/>
    <w:uiPriority w:val="0"/>
    <w:rPr>
      <w:sz w:val="18"/>
      <w:szCs w:val="18"/>
    </w:rPr>
  </w:style>
  <w:style w:type="character" w:customStyle="1" w:styleId="82">
    <w:name w:val="页眉 Char"/>
    <w:basedOn w:val="50"/>
    <w:link w:val="33"/>
    <w:qFormat/>
    <w:uiPriority w:val="0"/>
    <w:rPr>
      <w:sz w:val="18"/>
      <w:szCs w:val="18"/>
    </w:rPr>
  </w:style>
  <w:style w:type="character" w:customStyle="1" w:styleId="83">
    <w:name w:val="副标题 Char"/>
    <w:basedOn w:val="50"/>
    <w:link w:val="36"/>
    <w:qFormat/>
    <w:uiPriority w:val="0"/>
    <w:rPr>
      <w:rFonts w:ascii="Arial" w:hAnsi="Arial" w:eastAsia="黑体" w:cs="Times New Roman"/>
      <w:b/>
      <w:bCs/>
      <w:sz w:val="32"/>
      <w:szCs w:val="32"/>
    </w:rPr>
  </w:style>
  <w:style w:type="character" w:customStyle="1" w:styleId="84">
    <w:name w:val="脚注文本 Char"/>
    <w:link w:val="38"/>
    <w:qFormat/>
    <w:uiPriority w:val="0"/>
    <w:rPr>
      <w:rFonts w:ascii="宋体" w:hAnsi="宋体" w:eastAsia="宋体" w:cs="Times New Roman"/>
      <w:sz w:val="18"/>
      <w:szCs w:val="18"/>
    </w:rPr>
  </w:style>
  <w:style w:type="character" w:customStyle="1" w:styleId="85">
    <w:name w:val="正文文本缩进 3 Char"/>
    <w:link w:val="40"/>
    <w:qFormat/>
    <w:uiPriority w:val="0"/>
    <w:rPr>
      <w:rFonts w:ascii="Times New Roman" w:hAnsi="Times New Roman" w:eastAsia="宋体" w:cs="Times New Roman"/>
      <w:color w:val="000000"/>
      <w:sz w:val="24"/>
      <w:szCs w:val="20"/>
    </w:rPr>
  </w:style>
  <w:style w:type="character" w:customStyle="1" w:styleId="86">
    <w:name w:val="正文文本 2 Char"/>
    <w:link w:val="44"/>
    <w:qFormat/>
    <w:uiPriority w:val="0"/>
    <w:rPr>
      <w:rFonts w:ascii="宋体" w:hAnsi="宋体" w:eastAsia="宋体" w:cs="Times New Roman"/>
      <w:szCs w:val="24"/>
      <w:u w:val="single"/>
    </w:rPr>
  </w:style>
  <w:style w:type="paragraph" w:customStyle="1" w:styleId="87">
    <w:name w:val="_Style 28"/>
    <w:qFormat/>
    <w:uiPriority w:val="0"/>
    <w:pPr>
      <w:widowControl w:val="0"/>
      <w:jc w:val="both"/>
    </w:pPr>
    <w:rPr>
      <w:rFonts w:ascii="Calibri" w:hAnsi="Calibri" w:eastAsia="宋体" w:cs="Times New Roman"/>
      <w:kern w:val="2"/>
      <w:sz w:val="21"/>
      <w:szCs w:val="22"/>
      <w:lang w:val="en-US" w:eastAsia="zh-CN" w:bidi="ar-SA"/>
    </w:rPr>
  </w:style>
  <w:style w:type="character" w:customStyle="1" w:styleId="88">
    <w:name w:val="正文文本 2 字符"/>
    <w:qFormat/>
    <w:uiPriority w:val="99"/>
    <w:rPr>
      <w:rFonts w:ascii="Calibri" w:hAnsi="Calibri" w:eastAsia="宋体" w:cs="Times New Roman"/>
    </w:rPr>
  </w:style>
  <w:style w:type="character" w:customStyle="1" w:styleId="89">
    <w:name w:val="正文文本缩进 3 字符"/>
    <w:qFormat/>
    <w:uiPriority w:val="99"/>
    <w:rPr>
      <w:rFonts w:ascii="Calibri" w:hAnsi="Calibri" w:eastAsia="宋体" w:cs="Times New Roman"/>
      <w:sz w:val="16"/>
      <w:szCs w:val="16"/>
    </w:rPr>
  </w:style>
  <w:style w:type="character" w:customStyle="1" w:styleId="90">
    <w:name w:val="引用 Char"/>
    <w:link w:val="91"/>
    <w:qFormat/>
    <w:uiPriority w:val="0"/>
    <w:rPr>
      <w:i/>
      <w:sz w:val="24"/>
    </w:rPr>
  </w:style>
  <w:style w:type="paragraph" w:styleId="91">
    <w:name w:val="Quote"/>
    <w:basedOn w:val="1"/>
    <w:link w:val="90"/>
    <w:qFormat/>
    <w:uiPriority w:val="0"/>
    <w:rPr>
      <w:rFonts w:asciiTheme="minorHAnsi" w:hAnsiTheme="minorHAnsi" w:eastAsiaTheme="minorEastAsia" w:cstheme="minorBidi"/>
      <w:i/>
      <w:sz w:val="24"/>
    </w:rPr>
  </w:style>
  <w:style w:type="character" w:customStyle="1" w:styleId="92">
    <w:name w:val="正文缩进2格 Char Char"/>
    <w:link w:val="93"/>
    <w:qFormat/>
    <w:uiPriority w:val="0"/>
    <w:rPr>
      <w:rFonts w:ascii="仿宋_GB2312" w:hAnsi="宋体" w:eastAsia="仿宋_GB2312"/>
      <w:sz w:val="31"/>
      <w:szCs w:val="31"/>
    </w:rPr>
  </w:style>
  <w:style w:type="paragraph" w:customStyle="1" w:styleId="93">
    <w:name w:val="正文缩进2格"/>
    <w:basedOn w:val="1"/>
    <w:link w:val="92"/>
    <w:qFormat/>
    <w:uiPriority w:val="0"/>
    <w:pPr>
      <w:widowControl/>
      <w:spacing w:line="600" w:lineRule="exact"/>
      <w:ind w:firstLine="639" w:firstLineChars="206"/>
      <w:jc w:val="left"/>
    </w:pPr>
    <w:rPr>
      <w:rFonts w:ascii="仿宋_GB2312" w:hAnsi="宋体" w:eastAsia="仿宋_GB2312" w:cstheme="minorBidi"/>
      <w:sz w:val="31"/>
      <w:szCs w:val="31"/>
    </w:rPr>
  </w:style>
  <w:style w:type="character" w:customStyle="1" w:styleId="94">
    <w:name w:val="无间隔 Char"/>
    <w:link w:val="95"/>
    <w:qFormat/>
    <w:uiPriority w:val="0"/>
    <w:rPr>
      <w:sz w:val="22"/>
    </w:rPr>
  </w:style>
  <w:style w:type="paragraph" w:styleId="95">
    <w:name w:val="No Spacing"/>
    <w:basedOn w:val="1"/>
    <w:link w:val="94"/>
    <w:qFormat/>
    <w:uiPriority w:val="0"/>
    <w:rPr>
      <w:rFonts w:asciiTheme="minorHAnsi" w:hAnsiTheme="minorHAnsi" w:eastAsiaTheme="minorEastAsia" w:cstheme="minorBidi"/>
      <w:sz w:val="22"/>
    </w:rPr>
  </w:style>
  <w:style w:type="character" w:customStyle="1" w:styleId="96">
    <w:name w:val="!我的正文 Ctr+Q Char Char"/>
    <w:link w:val="97"/>
    <w:qFormat/>
    <w:uiPriority w:val="0"/>
    <w:rPr>
      <w:rFonts w:ascii="Arial" w:hAnsi="Arial"/>
      <w:sz w:val="24"/>
      <w:szCs w:val="21"/>
    </w:rPr>
  </w:style>
  <w:style w:type="paragraph" w:customStyle="1" w:styleId="97">
    <w:name w:val="!我的正文 Ctr+Q"/>
    <w:basedOn w:val="1"/>
    <w:link w:val="96"/>
    <w:qFormat/>
    <w:uiPriority w:val="0"/>
    <w:pPr>
      <w:adjustRightInd w:val="0"/>
      <w:snapToGrid w:val="0"/>
      <w:spacing w:line="360" w:lineRule="auto"/>
      <w:ind w:firstLine="480" w:firstLineChars="200"/>
    </w:pPr>
    <w:rPr>
      <w:rFonts w:ascii="Arial" w:hAnsi="Arial" w:eastAsiaTheme="minorEastAsia" w:cstheme="minorBidi"/>
      <w:sz w:val="24"/>
      <w:szCs w:val="21"/>
    </w:rPr>
  </w:style>
  <w:style w:type="character" w:customStyle="1" w:styleId="98">
    <w:name w:val="样式 Char Char"/>
    <w:link w:val="99"/>
    <w:qFormat/>
    <w:uiPriority w:val="0"/>
    <w:rPr>
      <w:rFonts w:ascii="Arial" w:hAnsi="Arial" w:eastAsia="黑体"/>
      <w:bCs/>
      <w:sz w:val="24"/>
      <w:szCs w:val="32"/>
    </w:rPr>
  </w:style>
  <w:style w:type="paragraph" w:customStyle="1" w:styleId="99">
    <w:name w:val="样式"/>
    <w:basedOn w:val="100"/>
    <w:link w:val="98"/>
    <w:qFormat/>
    <w:uiPriority w:val="0"/>
    <w:pPr>
      <w:tabs>
        <w:tab w:val="left" w:pos="2310"/>
        <w:tab w:val="left" w:pos="2730"/>
      </w:tabs>
      <w:outlineLvl w:val="9"/>
    </w:pPr>
  </w:style>
  <w:style w:type="paragraph" w:customStyle="1" w:styleId="100">
    <w:name w:val="标题5"/>
    <w:basedOn w:val="10"/>
    <w:link w:val="101"/>
    <w:qFormat/>
    <w:uiPriority w:val="0"/>
    <w:pPr>
      <w:keepNext w:val="0"/>
      <w:keepLines w:val="0"/>
      <w:widowControl/>
      <w:tabs>
        <w:tab w:val="left" w:pos="2310"/>
      </w:tabs>
      <w:spacing w:beforeLines="0" w:afterLines="0" w:line="240" w:lineRule="auto"/>
      <w:ind w:left="0" w:firstLine="0"/>
      <w:jc w:val="center"/>
    </w:pPr>
    <w:rPr>
      <w:rFonts w:eastAsia="黑体" w:cstheme="minorBidi"/>
      <w:bCs/>
      <w:color w:val="auto"/>
      <w:kern w:val="2"/>
      <w:sz w:val="24"/>
      <w:szCs w:val="32"/>
    </w:rPr>
  </w:style>
  <w:style w:type="character" w:customStyle="1" w:styleId="101">
    <w:name w:val="标题5 Char Char"/>
    <w:link w:val="100"/>
    <w:qFormat/>
    <w:uiPriority w:val="0"/>
    <w:rPr>
      <w:rFonts w:ascii="Arial" w:hAnsi="Arial" w:eastAsia="黑体"/>
      <w:bCs/>
      <w:sz w:val="24"/>
      <w:szCs w:val="32"/>
    </w:rPr>
  </w:style>
  <w:style w:type="character" w:customStyle="1" w:styleId="102">
    <w:name w:val="标题 字符"/>
    <w:qFormat/>
    <w:uiPriority w:val="10"/>
    <w:rPr>
      <w:rFonts w:ascii="等线 Light" w:hAnsi="等线 Light" w:eastAsia="等线 Light" w:cs="Times New Roman"/>
      <w:b/>
      <w:bCs/>
      <w:sz w:val="32"/>
      <w:szCs w:val="32"/>
    </w:rPr>
  </w:style>
  <w:style w:type="character" w:customStyle="1" w:styleId="103">
    <w:name w:val="标提1 Char Char"/>
    <w:link w:val="104"/>
    <w:qFormat/>
    <w:uiPriority w:val="0"/>
    <w:rPr>
      <w:rFonts w:ascii="黑体" w:hAnsi="黑体" w:eastAsia="黑体"/>
      <w:b/>
      <w:kern w:val="44"/>
      <w:sz w:val="24"/>
      <w:szCs w:val="24"/>
    </w:rPr>
  </w:style>
  <w:style w:type="paragraph" w:customStyle="1" w:styleId="104">
    <w:name w:val="标提1"/>
    <w:basedOn w:val="4"/>
    <w:next w:val="1"/>
    <w:link w:val="103"/>
    <w:qFormat/>
    <w:uiPriority w:val="0"/>
    <w:pPr>
      <w:spacing w:before="0" w:after="0" w:line="240" w:lineRule="auto"/>
      <w:jc w:val="both"/>
    </w:pPr>
    <w:rPr>
      <w:rFonts w:ascii="黑体" w:hAnsi="黑体" w:eastAsia="黑体" w:cstheme="minorBidi"/>
      <w:sz w:val="24"/>
      <w:szCs w:val="24"/>
    </w:rPr>
  </w:style>
  <w:style w:type="character" w:customStyle="1" w:styleId="105">
    <w:name w:val="日期 字符"/>
    <w:qFormat/>
    <w:uiPriority w:val="99"/>
    <w:rPr>
      <w:rFonts w:ascii="Calibri" w:hAnsi="Calibri" w:eastAsia="宋体" w:cs="Times New Roman"/>
    </w:rPr>
  </w:style>
  <w:style w:type="character" w:customStyle="1" w:styleId="106">
    <w:name w:val="标题 4 字符"/>
    <w:qFormat/>
    <w:uiPriority w:val="9"/>
    <w:rPr>
      <w:rFonts w:ascii="等线 Light" w:hAnsi="等线 Light" w:eastAsia="等线 Light" w:cs="Times New Roman"/>
      <w:b/>
      <w:bCs/>
      <w:sz w:val="28"/>
      <w:szCs w:val="28"/>
    </w:rPr>
  </w:style>
  <w:style w:type="character" w:customStyle="1" w:styleId="107">
    <w:name w:val="标题 6 字符"/>
    <w:qFormat/>
    <w:uiPriority w:val="9"/>
    <w:rPr>
      <w:rFonts w:ascii="等线 Light" w:hAnsi="等线 Light" w:eastAsia="等线 Light" w:cs="Times New Roman"/>
      <w:b/>
      <w:bCs/>
      <w:sz w:val="24"/>
      <w:szCs w:val="24"/>
    </w:rPr>
  </w:style>
  <w:style w:type="character" w:customStyle="1" w:styleId="108">
    <w:name w:val="正文首行缩进 字符"/>
    <w:qFormat/>
    <w:uiPriority w:val="99"/>
    <w:rPr>
      <w:rFonts w:ascii="Calibri" w:hAnsi="Calibri" w:eastAsia="宋体" w:cs="Times New Roman"/>
    </w:rPr>
  </w:style>
  <w:style w:type="character" w:customStyle="1" w:styleId="109">
    <w:name w:val="正文文本_"/>
    <w:link w:val="110"/>
    <w:qFormat/>
    <w:uiPriority w:val="0"/>
    <w:rPr>
      <w:rFonts w:ascii="MingLiU" w:hAnsi="MingLiU" w:eastAsia="MingLiU"/>
      <w:spacing w:val="20"/>
      <w:shd w:val="clear" w:color="auto" w:fill="FFFFFF"/>
    </w:rPr>
  </w:style>
  <w:style w:type="paragraph" w:customStyle="1" w:styleId="110">
    <w:name w:val="正文文本1"/>
    <w:basedOn w:val="1"/>
    <w:link w:val="109"/>
    <w:qFormat/>
    <w:uiPriority w:val="0"/>
    <w:pPr>
      <w:shd w:val="clear" w:color="auto" w:fill="FFFFFF"/>
      <w:spacing w:before="300" w:line="0" w:lineRule="atLeast"/>
      <w:ind w:hanging="580"/>
      <w:jc w:val="left"/>
    </w:pPr>
    <w:rPr>
      <w:rFonts w:ascii="MingLiU" w:hAnsi="MingLiU" w:eastAsia="MingLiU" w:cstheme="minorBidi"/>
      <w:spacing w:val="20"/>
      <w:shd w:val="clear" w:color="auto" w:fill="FFFFFF"/>
    </w:rPr>
  </w:style>
  <w:style w:type="character" w:customStyle="1" w:styleId="111">
    <w:name w:val="文档结构图 字符"/>
    <w:qFormat/>
    <w:uiPriority w:val="99"/>
    <w:rPr>
      <w:rFonts w:ascii="Microsoft YaHei UI" w:hAnsi="Calibri" w:eastAsia="Microsoft YaHei UI" w:cs="Times New Roman"/>
      <w:sz w:val="18"/>
      <w:szCs w:val="18"/>
    </w:rPr>
  </w:style>
  <w:style w:type="character" w:customStyle="1" w:styleId="112">
    <w:name w:val="标题6 Char Char"/>
    <w:link w:val="113"/>
    <w:qFormat/>
    <w:uiPriority w:val="0"/>
    <w:rPr>
      <w:rFonts w:ascii="宋体" w:hAnsi="宋体" w:eastAsia="黑体"/>
      <w:sz w:val="32"/>
      <w:szCs w:val="32"/>
    </w:rPr>
  </w:style>
  <w:style w:type="paragraph" w:customStyle="1" w:styleId="113">
    <w:name w:val="标题6"/>
    <w:basedOn w:val="1"/>
    <w:link w:val="112"/>
    <w:qFormat/>
    <w:uiPriority w:val="0"/>
    <w:pPr>
      <w:keepNext/>
      <w:keepLines/>
      <w:spacing w:line="400" w:lineRule="exact"/>
      <w:jc w:val="center"/>
      <w:outlineLvl w:val="2"/>
    </w:pPr>
    <w:rPr>
      <w:rFonts w:ascii="宋体" w:hAnsi="宋体" w:eastAsia="黑体" w:cstheme="minorBidi"/>
      <w:sz w:val="32"/>
      <w:szCs w:val="32"/>
    </w:rPr>
  </w:style>
  <w:style w:type="character" w:customStyle="1" w:styleId="114">
    <w:name w:val="标题 1 字符"/>
    <w:qFormat/>
    <w:uiPriority w:val="9"/>
    <w:rPr>
      <w:rFonts w:ascii="Calibri" w:hAnsi="Calibri" w:eastAsia="宋体" w:cs="Times New Roman"/>
      <w:b/>
      <w:bCs/>
      <w:kern w:val="44"/>
      <w:sz w:val="44"/>
      <w:szCs w:val="44"/>
    </w:rPr>
  </w:style>
  <w:style w:type="character" w:customStyle="1" w:styleId="115">
    <w:name w:val="列出段落 Char Char"/>
    <w:link w:val="116"/>
    <w:qFormat/>
    <w:uiPriority w:val="0"/>
  </w:style>
  <w:style w:type="paragraph" w:customStyle="1" w:styleId="116">
    <w:name w:val="列出段落1"/>
    <w:basedOn w:val="1"/>
    <w:link w:val="115"/>
    <w:qFormat/>
    <w:uiPriority w:val="0"/>
    <w:pPr>
      <w:ind w:firstLine="420" w:firstLineChars="200"/>
    </w:pPr>
    <w:rPr>
      <w:rFonts w:asciiTheme="minorHAnsi" w:hAnsiTheme="minorHAnsi" w:eastAsiaTheme="minorEastAsia" w:cstheme="minorBidi"/>
    </w:rPr>
  </w:style>
  <w:style w:type="character" w:customStyle="1" w:styleId="117">
    <w:name w:val="脚注文本 字符"/>
    <w:qFormat/>
    <w:uiPriority w:val="99"/>
    <w:rPr>
      <w:rFonts w:ascii="Calibri" w:hAnsi="Calibri" w:eastAsia="宋体" w:cs="Times New Roman"/>
      <w:sz w:val="18"/>
      <w:szCs w:val="18"/>
    </w:rPr>
  </w:style>
  <w:style w:type="character" w:customStyle="1" w:styleId="118">
    <w:name w:val="font51"/>
    <w:qFormat/>
    <w:uiPriority w:val="0"/>
    <w:rPr>
      <w:rFonts w:hint="eastAsia" w:ascii="宋体" w:hAnsi="宋体" w:eastAsia="宋体"/>
      <w:color w:val="000000"/>
      <w:sz w:val="24"/>
      <w:szCs w:val="24"/>
      <w:u w:val="none"/>
    </w:rPr>
  </w:style>
  <w:style w:type="character" w:customStyle="1" w:styleId="119">
    <w:name w:val="明显引用 Char"/>
    <w:link w:val="120"/>
    <w:qFormat/>
    <w:uiPriority w:val="0"/>
    <w:rPr>
      <w:b/>
      <w:i/>
      <w:sz w:val="24"/>
    </w:rPr>
  </w:style>
  <w:style w:type="paragraph" w:styleId="120">
    <w:name w:val="Intense Quote"/>
    <w:basedOn w:val="1"/>
    <w:link w:val="119"/>
    <w:qFormat/>
    <w:uiPriority w:val="0"/>
    <w:rPr>
      <w:rFonts w:asciiTheme="minorHAnsi" w:hAnsiTheme="minorHAnsi" w:eastAsiaTheme="minorEastAsia" w:cstheme="minorBidi"/>
      <w:b/>
      <w:i/>
      <w:sz w:val="24"/>
    </w:rPr>
  </w:style>
  <w:style w:type="character" w:customStyle="1" w:styleId="121">
    <w:name w:val="页脚 字符"/>
    <w:qFormat/>
    <w:uiPriority w:val="99"/>
    <w:rPr>
      <w:rFonts w:ascii="Calibri" w:hAnsi="Calibri" w:eastAsia="宋体" w:cs="Times New Roman"/>
      <w:sz w:val="18"/>
      <w:szCs w:val="18"/>
    </w:rPr>
  </w:style>
  <w:style w:type="character" w:customStyle="1" w:styleId="122">
    <w:name w:val="标题 5 字符"/>
    <w:qFormat/>
    <w:uiPriority w:val="9"/>
    <w:rPr>
      <w:rFonts w:ascii="Calibri" w:hAnsi="Calibri" w:eastAsia="宋体" w:cs="Times New Roman"/>
      <w:b/>
      <w:bCs/>
      <w:sz w:val="28"/>
      <w:szCs w:val="28"/>
    </w:rPr>
  </w:style>
  <w:style w:type="character" w:customStyle="1" w:styleId="123">
    <w:name w:val="纯文本 字符"/>
    <w:qFormat/>
    <w:uiPriority w:val="99"/>
    <w:rPr>
      <w:rFonts w:ascii="等线" w:hAnsi="Courier New" w:cs="Courier New"/>
    </w:rPr>
  </w:style>
  <w:style w:type="character" w:customStyle="1" w:styleId="124">
    <w:name w:val="标题 7 字符"/>
    <w:qFormat/>
    <w:uiPriority w:val="9"/>
    <w:rPr>
      <w:rFonts w:ascii="Calibri" w:hAnsi="Calibri" w:eastAsia="宋体" w:cs="Times New Roman"/>
      <w:b/>
      <w:bCs/>
      <w:sz w:val="24"/>
      <w:szCs w:val="24"/>
    </w:rPr>
  </w:style>
  <w:style w:type="character" w:customStyle="1" w:styleId="125">
    <w:name w:val="标题 8 字符"/>
    <w:qFormat/>
    <w:uiPriority w:val="9"/>
    <w:rPr>
      <w:rFonts w:ascii="等线 Light" w:hAnsi="等线 Light" w:eastAsia="等线 Light" w:cs="Times New Roman"/>
      <w:sz w:val="24"/>
      <w:szCs w:val="24"/>
    </w:rPr>
  </w:style>
  <w:style w:type="character" w:customStyle="1" w:styleId="126">
    <w:name w:val="批注框文本 字符"/>
    <w:qFormat/>
    <w:uiPriority w:val="99"/>
    <w:rPr>
      <w:rFonts w:ascii="Calibri" w:hAnsi="Calibri" w:eastAsia="宋体" w:cs="Times New Roman"/>
      <w:sz w:val="18"/>
      <w:szCs w:val="18"/>
    </w:rPr>
  </w:style>
  <w:style w:type="character" w:customStyle="1" w:styleId="127">
    <w:name w:val="正文文本缩进 字符"/>
    <w:qFormat/>
    <w:uiPriority w:val="99"/>
    <w:rPr>
      <w:rFonts w:ascii="Calibri" w:hAnsi="Calibri" w:eastAsia="宋体" w:cs="Times New Roman"/>
    </w:rPr>
  </w:style>
  <w:style w:type="character" w:customStyle="1" w:styleId="128">
    <w:name w:val="正文文本缩进 2 字符"/>
    <w:qFormat/>
    <w:uiPriority w:val="99"/>
    <w:rPr>
      <w:rFonts w:ascii="Calibri" w:hAnsi="Calibri" w:eastAsia="宋体" w:cs="Times New Roman"/>
    </w:rPr>
  </w:style>
  <w:style w:type="character" w:customStyle="1" w:styleId="129">
    <w:name w:val="font11"/>
    <w:qFormat/>
    <w:uiPriority w:val="0"/>
    <w:rPr>
      <w:rFonts w:hint="eastAsia" w:ascii="宋体" w:hAnsi="宋体" w:eastAsia="宋体"/>
      <w:color w:val="000000"/>
      <w:sz w:val="24"/>
      <w:szCs w:val="24"/>
      <w:u w:val="single"/>
    </w:rPr>
  </w:style>
  <w:style w:type="character" w:customStyle="1" w:styleId="130">
    <w:name w:val="标题 9 字符"/>
    <w:qFormat/>
    <w:uiPriority w:val="9"/>
    <w:rPr>
      <w:rFonts w:ascii="等线 Light" w:hAnsi="等线 Light" w:eastAsia="等线 Light" w:cs="Times New Roman"/>
      <w:szCs w:val="21"/>
    </w:rPr>
  </w:style>
  <w:style w:type="character" w:customStyle="1" w:styleId="131">
    <w:name w:val="标题 3 字符"/>
    <w:qFormat/>
    <w:uiPriority w:val="9"/>
    <w:rPr>
      <w:rFonts w:ascii="Calibri" w:hAnsi="Calibri" w:eastAsia="宋体" w:cs="Times New Roman"/>
      <w:b/>
      <w:bCs/>
      <w:sz w:val="32"/>
      <w:szCs w:val="32"/>
    </w:rPr>
  </w:style>
  <w:style w:type="character" w:customStyle="1" w:styleId="132">
    <w:name w:val="批注文字 字符"/>
    <w:qFormat/>
    <w:uiPriority w:val="99"/>
    <w:rPr>
      <w:rFonts w:ascii="Calibri" w:hAnsi="Calibri" w:eastAsia="宋体" w:cs="Times New Roman"/>
    </w:rPr>
  </w:style>
  <w:style w:type="character" w:customStyle="1" w:styleId="133">
    <w:name w:val="正文文本 (3)_"/>
    <w:link w:val="134"/>
    <w:qFormat/>
    <w:uiPriority w:val="0"/>
    <w:rPr>
      <w:rFonts w:ascii="Arial Unicode MS" w:hAnsi="Arial Unicode MS" w:eastAsia="Arial Unicode MS"/>
      <w:spacing w:val="10"/>
      <w:sz w:val="17"/>
      <w:szCs w:val="17"/>
      <w:shd w:val="clear" w:color="auto" w:fill="FFFFFF"/>
    </w:rPr>
  </w:style>
  <w:style w:type="paragraph" w:customStyle="1" w:styleId="134">
    <w:name w:val="正文文本 (3)"/>
    <w:basedOn w:val="1"/>
    <w:link w:val="133"/>
    <w:qFormat/>
    <w:uiPriority w:val="0"/>
    <w:pPr>
      <w:shd w:val="clear" w:color="auto" w:fill="FFFFFF"/>
      <w:spacing w:after="60" w:line="0" w:lineRule="atLeast"/>
      <w:ind w:hanging="940"/>
      <w:jc w:val="left"/>
    </w:pPr>
    <w:rPr>
      <w:rFonts w:ascii="Arial Unicode MS" w:hAnsi="Arial Unicode MS" w:eastAsia="Arial Unicode MS" w:cstheme="minorBidi"/>
      <w:spacing w:val="10"/>
      <w:sz w:val="17"/>
      <w:szCs w:val="17"/>
      <w:shd w:val="clear" w:color="auto" w:fill="FFFFFF"/>
    </w:rPr>
  </w:style>
  <w:style w:type="character" w:customStyle="1" w:styleId="135">
    <w:name w:val="尾注文本 字符"/>
    <w:qFormat/>
    <w:uiPriority w:val="99"/>
    <w:rPr>
      <w:rFonts w:ascii="Calibri" w:hAnsi="Calibri" w:eastAsia="宋体" w:cs="Times New Roman"/>
    </w:rPr>
  </w:style>
  <w:style w:type="character" w:customStyle="1" w:styleId="136">
    <w:name w:val="Char Char4"/>
    <w:link w:val="137"/>
    <w:qFormat/>
    <w:uiPriority w:val="0"/>
    <w:rPr>
      <w:rFonts w:ascii="Tahoma" w:hAnsi="Tahoma" w:eastAsia="宋体"/>
      <w:sz w:val="24"/>
    </w:rPr>
  </w:style>
  <w:style w:type="paragraph" w:customStyle="1" w:styleId="137">
    <w:name w:val="Char"/>
    <w:basedOn w:val="1"/>
    <w:link w:val="136"/>
    <w:qFormat/>
    <w:uiPriority w:val="0"/>
    <w:rPr>
      <w:rFonts w:ascii="Tahoma" w:hAnsi="Tahoma" w:cstheme="minorBidi"/>
      <w:sz w:val="24"/>
    </w:rPr>
  </w:style>
  <w:style w:type="character" w:customStyle="1" w:styleId="138">
    <w:name w:val="文一 Char Char"/>
    <w:link w:val="139"/>
    <w:qFormat/>
    <w:uiPriority w:val="0"/>
    <w:rPr>
      <w:rFonts w:ascii="宋体" w:hAnsi="宋体"/>
      <w:spacing w:val="4"/>
      <w:sz w:val="24"/>
      <w:szCs w:val="24"/>
    </w:rPr>
  </w:style>
  <w:style w:type="paragraph" w:customStyle="1" w:styleId="139">
    <w:name w:val="文一"/>
    <w:basedOn w:val="1"/>
    <w:link w:val="138"/>
    <w:qFormat/>
    <w:uiPriority w:val="0"/>
    <w:pPr>
      <w:topLinePunct/>
      <w:adjustRightInd w:val="0"/>
      <w:snapToGrid w:val="0"/>
      <w:spacing w:line="360" w:lineRule="auto"/>
      <w:ind w:firstLine="200" w:firstLineChars="200"/>
    </w:pPr>
    <w:rPr>
      <w:rFonts w:ascii="宋体" w:hAnsi="宋体" w:eastAsiaTheme="minorEastAsia" w:cstheme="minorBidi"/>
      <w:spacing w:val="4"/>
      <w:sz w:val="24"/>
      <w:szCs w:val="24"/>
    </w:rPr>
  </w:style>
  <w:style w:type="character" w:customStyle="1" w:styleId="140">
    <w:name w:val="正文文本 字符"/>
    <w:qFormat/>
    <w:uiPriority w:val="99"/>
    <w:rPr>
      <w:rFonts w:ascii="Calibri" w:hAnsi="Calibri" w:eastAsia="宋体" w:cs="Times New Roman"/>
    </w:rPr>
  </w:style>
  <w:style w:type="character" w:customStyle="1" w:styleId="141">
    <w:name w:val="页眉 字符"/>
    <w:qFormat/>
    <w:uiPriority w:val="99"/>
    <w:rPr>
      <w:rFonts w:ascii="Calibri" w:hAnsi="Calibri" w:eastAsia="宋体" w:cs="Times New Roman"/>
      <w:sz w:val="18"/>
      <w:szCs w:val="18"/>
    </w:rPr>
  </w:style>
  <w:style w:type="character" w:customStyle="1" w:styleId="142">
    <w:name w:val="样式 标题 3h3section:3Level 3 HeadH3level_3PIM 33rd level3H... Char Char"/>
    <w:link w:val="143"/>
    <w:qFormat/>
    <w:uiPriority w:val="0"/>
    <w:rPr>
      <w:rFonts w:ascii="Arial" w:hAnsi="Arial"/>
      <w:b/>
      <w:sz w:val="24"/>
      <w:szCs w:val="28"/>
    </w:rPr>
  </w:style>
  <w:style w:type="paragraph" w:customStyle="1" w:styleId="143">
    <w:name w:val="样式 标题 3h3section:3Level 3 HeadH3level_3PIM 33rd level3H..."/>
    <w:basedOn w:val="8"/>
    <w:link w:val="142"/>
    <w:qFormat/>
    <w:uiPriority w:val="0"/>
    <w:pPr>
      <w:keepNext/>
      <w:tabs>
        <w:tab w:val="left" w:pos="1680"/>
        <w:tab w:val="left" w:pos="2310"/>
      </w:tabs>
      <w:adjustRightInd w:val="0"/>
      <w:spacing w:before="240" w:after="60" w:line="416" w:lineRule="atLeast"/>
      <w:ind w:left="2310" w:hanging="420"/>
    </w:pPr>
    <w:rPr>
      <w:rFonts w:ascii="Arial" w:hAnsi="Arial" w:eastAsiaTheme="minorEastAsia" w:cstheme="minorBidi"/>
      <w:b/>
      <w:kern w:val="2"/>
      <w:sz w:val="24"/>
      <w:szCs w:val="28"/>
    </w:rPr>
  </w:style>
  <w:style w:type="character" w:customStyle="1" w:styleId="144">
    <w:name w:val="批注主题 字符"/>
    <w:qFormat/>
    <w:uiPriority w:val="99"/>
    <w:rPr>
      <w:rFonts w:ascii="Calibri" w:hAnsi="Calibri" w:eastAsia="宋体" w:cs="Times New Roman"/>
      <w:b/>
      <w:bCs/>
    </w:rPr>
  </w:style>
  <w:style w:type="character" w:customStyle="1" w:styleId="145">
    <w:name w:val="标题 2 字符"/>
    <w:qFormat/>
    <w:uiPriority w:val="9"/>
    <w:rPr>
      <w:rFonts w:ascii="等线 Light" w:hAnsi="等线 Light" w:eastAsia="等线 Light" w:cs="Times New Roman"/>
      <w:b/>
      <w:bCs/>
      <w:sz w:val="32"/>
      <w:szCs w:val="32"/>
    </w:rPr>
  </w:style>
  <w:style w:type="character" w:customStyle="1" w:styleId="146">
    <w:name w:val="正文文本缩进 Char1"/>
    <w:basedOn w:val="50"/>
    <w:semiHidden/>
    <w:qFormat/>
    <w:uiPriority w:val="99"/>
    <w:rPr>
      <w:rFonts w:ascii="Calibri" w:hAnsi="Calibri" w:eastAsia="宋体" w:cs="Times New Roman"/>
    </w:rPr>
  </w:style>
  <w:style w:type="character" w:customStyle="1" w:styleId="147">
    <w:name w:val="标题 Char1"/>
    <w:basedOn w:val="50"/>
    <w:qFormat/>
    <w:uiPriority w:val="10"/>
    <w:rPr>
      <w:rFonts w:eastAsia="宋体" w:asciiTheme="majorHAnsi" w:hAnsiTheme="majorHAnsi" w:cstheme="majorBidi"/>
      <w:b/>
      <w:bCs/>
      <w:sz w:val="32"/>
      <w:szCs w:val="32"/>
    </w:rPr>
  </w:style>
  <w:style w:type="character" w:customStyle="1" w:styleId="148">
    <w:name w:val="正文文本缩进 3 Char1"/>
    <w:basedOn w:val="50"/>
    <w:semiHidden/>
    <w:qFormat/>
    <w:uiPriority w:val="99"/>
    <w:rPr>
      <w:rFonts w:ascii="Calibri" w:hAnsi="Calibri" w:eastAsia="宋体" w:cs="Times New Roman"/>
      <w:sz w:val="16"/>
      <w:szCs w:val="16"/>
    </w:rPr>
  </w:style>
  <w:style w:type="character" w:customStyle="1" w:styleId="149">
    <w:name w:val="日期 Char1"/>
    <w:basedOn w:val="50"/>
    <w:semiHidden/>
    <w:qFormat/>
    <w:uiPriority w:val="99"/>
    <w:rPr>
      <w:rFonts w:ascii="Calibri" w:hAnsi="Calibri" w:eastAsia="宋体" w:cs="Times New Roman"/>
    </w:rPr>
  </w:style>
  <w:style w:type="character" w:customStyle="1" w:styleId="150">
    <w:name w:val="批注文字 Char1"/>
    <w:basedOn w:val="50"/>
    <w:semiHidden/>
    <w:qFormat/>
    <w:uiPriority w:val="99"/>
    <w:rPr>
      <w:rFonts w:ascii="Calibri" w:hAnsi="Calibri" w:eastAsia="宋体" w:cs="Times New Roman"/>
    </w:rPr>
  </w:style>
  <w:style w:type="character" w:customStyle="1" w:styleId="151">
    <w:name w:val="正文文本 Char1"/>
    <w:basedOn w:val="50"/>
    <w:semiHidden/>
    <w:qFormat/>
    <w:uiPriority w:val="99"/>
    <w:rPr>
      <w:rFonts w:ascii="Calibri" w:hAnsi="Calibri" w:eastAsia="宋体" w:cs="Times New Roman"/>
    </w:rPr>
  </w:style>
  <w:style w:type="character" w:customStyle="1" w:styleId="152">
    <w:name w:val="文档结构图 Char1"/>
    <w:basedOn w:val="50"/>
    <w:semiHidden/>
    <w:qFormat/>
    <w:uiPriority w:val="99"/>
    <w:rPr>
      <w:rFonts w:ascii="宋体" w:hAnsi="Calibri" w:eastAsia="宋体" w:cs="Times New Roman"/>
      <w:sz w:val="18"/>
      <w:szCs w:val="18"/>
    </w:rPr>
  </w:style>
  <w:style w:type="character" w:customStyle="1" w:styleId="153">
    <w:name w:val="尾注文本 Char1"/>
    <w:basedOn w:val="50"/>
    <w:semiHidden/>
    <w:qFormat/>
    <w:uiPriority w:val="99"/>
    <w:rPr>
      <w:rFonts w:ascii="Calibri" w:hAnsi="Calibri" w:eastAsia="宋体" w:cs="Times New Roman"/>
    </w:rPr>
  </w:style>
  <w:style w:type="character" w:customStyle="1" w:styleId="154">
    <w:name w:val="正文首行缩进 Char1"/>
    <w:basedOn w:val="151"/>
    <w:semiHidden/>
    <w:qFormat/>
    <w:uiPriority w:val="99"/>
    <w:rPr>
      <w:rFonts w:ascii="Calibri" w:hAnsi="Calibri" w:eastAsia="宋体" w:cs="Times New Roman"/>
    </w:rPr>
  </w:style>
  <w:style w:type="character" w:customStyle="1" w:styleId="155">
    <w:name w:val="脚注文本 Char1"/>
    <w:basedOn w:val="50"/>
    <w:semiHidden/>
    <w:qFormat/>
    <w:uiPriority w:val="99"/>
    <w:rPr>
      <w:rFonts w:ascii="Calibri" w:hAnsi="Calibri" w:eastAsia="宋体" w:cs="Times New Roman"/>
      <w:sz w:val="18"/>
      <w:szCs w:val="18"/>
    </w:rPr>
  </w:style>
  <w:style w:type="character" w:customStyle="1" w:styleId="156">
    <w:name w:val="批注框文本 Char1"/>
    <w:basedOn w:val="50"/>
    <w:semiHidden/>
    <w:qFormat/>
    <w:uiPriority w:val="99"/>
    <w:rPr>
      <w:rFonts w:ascii="Calibri" w:hAnsi="Calibri" w:eastAsia="宋体" w:cs="Times New Roman"/>
      <w:sz w:val="18"/>
      <w:szCs w:val="18"/>
    </w:rPr>
  </w:style>
  <w:style w:type="character" w:customStyle="1" w:styleId="157">
    <w:name w:val="批注主题 Char1"/>
    <w:basedOn w:val="150"/>
    <w:semiHidden/>
    <w:qFormat/>
    <w:uiPriority w:val="99"/>
    <w:rPr>
      <w:rFonts w:ascii="Calibri" w:hAnsi="Calibri" w:eastAsia="宋体" w:cs="Times New Roman"/>
      <w:b/>
      <w:bCs/>
    </w:rPr>
  </w:style>
  <w:style w:type="paragraph" w:customStyle="1" w:styleId="158">
    <w:name w:val="文档结构图1"/>
    <w:basedOn w:val="1"/>
    <w:qFormat/>
    <w:uiPriority w:val="0"/>
    <w:pPr>
      <w:shd w:val="clear" w:color="auto" w:fill="000080"/>
      <w:suppressAutoHyphens/>
    </w:pPr>
    <w:rPr>
      <w:rFonts w:ascii="Times New Roman" w:hAnsi="Times New Roman"/>
      <w:szCs w:val="20"/>
      <w:lang w:eastAsia="ar-SA"/>
    </w:rPr>
  </w:style>
  <w:style w:type="character" w:customStyle="1" w:styleId="159">
    <w:name w:val="纯文本 Char1"/>
    <w:basedOn w:val="50"/>
    <w:semiHidden/>
    <w:qFormat/>
    <w:uiPriority w:val="99"/>
    <w:rPr>
      <w:rFonts w:ascii="宋体" w:hAnsi="Courier New" w:eastAsia="宋体" w:cs="Courier New"/>
      <w:szCs w:val="21"/>
    </w:rPr>
  </w:style>
  <w:style w:type="character" w:customStyle="1" w:styleId="160">
    <w:name w:val="正文文本 2 Char1"/>
    <w:basedOn w:val="50"/>
    <w:semiHidden/>
    <w:qFormat/>
    <w:uiPriority w:val="99"/>
    <w:rPr>
      <w:rFonts w:ascii="Calibri" w:hAnsi="Calibri" w:eastAsia="宋体" w:cs="Times New Roman"/>
    </w:rPr>
  </w:style>
  <w:style w:type="character" w:customStyle="1" w:styleId="161">
    <w:name w:val="正文文本缩进 2 Char1"/>
    <w:basedOn w:val="50"/>
    <w:semiHidden/>
    <w:qFormat/>
    <w:uiPriority w:val="99"/>
    <w:rPr>
      <w:rFonts w:ascii="Calibri" w:hAnsi="Calibri" w:eastAsia="宋体" w:cs="Times New Roman"/>
    </w:rPr>
  </w:style>
  <w:style w:type="paragraph" w:customStyle="1" w:styleId="162">
    <w:name w:val="样式 正文缩进正文（首行缩进两字）特点ALT+Z表正文正文非缩进四号段1Normal Indent Char2...1"/>
    <w:basedOn w:val="6"/>
    <w:qFormat/>
    <w:uiPriority w:val="0"/>
    <w:pPr>
      <w:tabs>
        <w:tab w:val="left" w:pos="1260"/>
      </w:tabs>
      <w:spacing w:before="1320" w:after="240" w:line="300" w:lineRule="auto"/>
      <w:ind w:left="1260" w:hanging="420"/>
    </w:pPr>
    <w:rPr>
      <w:rFonts w:hint="eastAsia" w:ascii="黑体" w:hAnsi="黑体" w:eastAsia="黑体"/>
      <w:b w:val="0"/>
      <w:szCs w:val="20"/>
    </w:rPr>
  </w:style>
  <w:style w:type="paragraph" w:customStyle="1" w:styleId="163">
    <w:name w:val="样式 标题 1 + 黑体 三号 非加粗 居中 段前: 6 磅 段后: 6 磅 行距: 固定值 20 磅"/>
    <w:basedOn w:val="4"/>
    <w:qFormat/>
    <w:uiPriority w:val="0"/>
    <w:pPr>
      <w:spacing w:before="0" w:line="400" w:lineRule="exact"/>
    </w:pPr>
    <w:rPr>
      <w:rFonts w:hint="eastAsia" w:ascii="黑体" w:hAnsi="黑体" w:eastAsia="黑体"/>
      <w:b w:val="0"/>
      <w:sz w:val="32"/>
      <w:szCs w:val="20"/>
    </w:rPr>
  </w:style>
  <w:style w:type="paragraph" w:customStyle="1" w:styleId="164">
    <w:name w:val="样式3"/>
    <w:basedOn w:val="8"/>
    <w:qFormat/>
    <w:uiPriority w:val="0"/>
    <w:pPr>
      <w:keepNext/>
      <w:keepLines/>
      <w:widowControl w:val="0"/>
      <w:spacing w:before="260" w:after="260" w:line="412" w:lineRule="auto"/>
      <w:jc w:val="both"/>
    </w:pPr>
    <w:rPr>
      <w:rFonts w:ascii="Calibri" w:hAnsi="Calibri" w:eastAsia="Arial"/>
      <w:bCs/>
      <w:color w:val="FF0000"/>
      <w:kern w:val="2"/>
      <w:sz w:val="32"/>
      <w:szCs w:val="22"/>
      <w:lang w:val="zh-CN"/>
    </w:rPr>
  </w:style>
  <w:style w:type="paragraph" w:customStyle="1" w:styleId="16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66">
    <w:name w:val="页脚 New New New"/>
    <w:basedOn w:val="167"/>
    <w:qFormat/>
    <w:uiPriority w:val="0"/>
    <w:pPr>
      <w:tabs>
        <w:tab w:val="center" w:pos="4153"/>
        <w:tab w:val="right" w:pos="8306"/>
      </w:tabs>
      <w:snapToGrid w:val="0"/>
      <w:jc w:val="left"/>
    </w:pPr>
    <w:rPr>
      <w:sz w:val="18"/>
      <w:szCs w:val="18"/>
    </w:rPr>
  </w:style>
  <w:style w:type="paragraph" w:customStyle="1" w:styleId="167">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9">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7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1">
    <w:name w:val="页脚 New New"/>
    <w:basedOn w:val="172"/>
    <w:qFormat/>
    <w:uiPriority w:val="0"/>
    <w:pPr>
      <w:tabs>
        <w:tab w:val="center" w:pos="4153"/>
        <w:tab w:val="right" w:pos="8306"/>
      </w:tabs>
      <w:snapToGrid w:val="0"/>
      <w:jc w:val="left"/>
    </w:pPr>
    <w:rPr>
      <w:sz w:val="18"/>
    </w:rPr>
  </w:style>
  <w:style w:type="paragraph" w:customStyle="1" w:styleId="172">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3">
    <w:name w:val="修订1"/>
    <w:qFormat/>
    <w:uiPriority w:val="0"/>
    <w:rPr>
      <w:rFonts w:ascii="Times New Roman" w:hAnsi="Times New Roman" w:eastAsia="宋体" w:cs="Times New Roman"/>
      <w:kern w:val="2"/>
      <w:sz w:val="21"/>
      <w:lang w:val="en-US" w:eastAsia="zh-CN" w:bidi="ar-SA"/>
    </w:rPr>
  </w:style>
  <w:style w:type="paragraph" w:customStyle="1" w:styleId="174">
    <w:name w:val="_Style 251"/>
    <w:basedOn w:val="1"/>
    <w:next w:val="1"/>
    <w:qFormat/>
    <w:uiPriority w:val="0"/>
    <w:rPr>
      <w:rFonts w:ascii="Times New Roman" w:hAnsi="Times New Roman"/>
    </w:rPr>
  </w:style>
  <w:style w:type="paragraph" w:customStyle="1" w:styleId="175">
    <w:name w:val="章节三"/>
    <w:basedOn w:val="139"/>
    <w:next w:val="139"/>
    <w:qFormat/>
    <w:uiPriority w:val="0"/>
    <w:pPr>
      <w:spacing w:beforeLines="50" w:line="240" w:lineRule="auto"/>
      <w:ind w:firstLine="0" w:firstLineChars="0"/>
      <w:jc w:val="left"/>
      <w:outlineLvl w:val="2"/>
    </w:pPr>
    <w:rPr>
      <w:rFonts w:ascii="黑体" w:eastAsia="黑体"/>
      <w:b/>
    </w:rPr>
  </w:style>
  <w:style w:type="paragraph" w:customStyle="1" w:styleId="176">
    <w:name w:val="msotocheading"/>
    <w:basedOn w:val="4"/>
    <w:next w:val="1"/>
    <w:qFormat/>
    <w:uiPriority w:val="0"/>
    <w:pPr>
      <w:widowControl/>
      <w:spacing w:before="480" w:after="0" w:line="276" w:lineRule="auto"/>
      <w:jc w:val="left"/>
      <w:outlineLvl w:val="9"/>
    </w:pPr>
    <w:rPr>
      <w:rFonts w:hint="eastAsia" w:ascii="Cambria" w:hAnsi="Cambria" w:eastAsia="仿宋_GB2312"/>
      <w:color w:val="365F91"/>
      <w:kern w:val="0"/>
      <w:sz w:val="44"/>
      <w:szCs w:val="44"/>
    </w:rPr>
  </w:style>
  <w:style w:type="paragraph" w:customStyle="1" w:styleId="177">
    <w:name w:val="正文缩进1"/>
    <w:basedOn w:val="1"/>
    <w:qFormat/>
    <w:uiPriority w:val="0"/>
    <w:pPr>
      <w:ind w:firstLine="420" w:firstLineChars="200"/>
    </w:pPr>
    <w:rPr>
      <w:rFonts w:ascii="Times New Roman" w:hAnsi="Times New Roman"/>
      <w:sz w:val="30"/>
      <w:szCs w:val="24"/>
    </w:rPr>
  </w:style>
  <w:style w:type="paragraph" w:customStyle="1" w:styleId="178">
    <w:name w:val="访问过的超链接1"/>
    <w:basedOn w:val="1"/>
    <w:qFormat/>
    <w:uiPriority w:val="0"/>
    <w:rPr>
      <w:rFonts w:ascii="仿宋_GB2312" w:hAnsi="Times New Roman"/>
      <w:szCs w:val="32"/>
    </w:rPr>
  </w:style>
  <w:style w:type="paragraph" w:customStyle="1" w:styleId="179">
    <w:name w:val="标题 2 New"/>
    <w:basedOn w:val="180"/>
    <w:next w:val="180"/>
    <w:qFormat/>
    <w:uiPriority w:val="0"/>
    <w:pPr>
      <w:keepNext/>
      <w:keepLines/>
      <w:spacing w:before="260" w:after="260" w:line="416" w:lineRule="auto"/>
      <w:outlineLvl w:val="1"/>
    </w:pPr>
    <w:rPr>
      <w:rFonts w:ascii="Arial" w:hAnsi="Arial" w:eastAsia="仿宋_GB2312"/>
      <w:b/>
      <w:bCs/>
      <w:sz w:val="32"/>
    </w:rPr>
  </w:style>
  <w:style w:type="paragraph" w:customStyle="1" w:styleId="180">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81">
    <w:name w:val="6'"/>
    <w:basedOn w:val="1"/>
    <w:qFormat/>
    <w:uiPriority w:val="0"/>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182">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3">
    <w:name w:val="正文 New New New New New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184">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5">
    <w:name w:val="Char Char Char Char Char Char Char Char Char Char Char Char Char"/>
    <w:basedOn w:val="18"/>
    <w:qFormat/>
    <w:uiPriority w:val="0"/>
    <w:rPr>
      <w:rFonts w:ascii="Tahoma" w:hAnsi="Tahoma"/>
      <w:sz w:val="24"/>
      <w:szCs w:val="24"/>
    </w:rPr>
  </w:style>
  <w:style w:type="paragraph" w:customStyle="1" w:styleId="186">
    <w:name w:val="msoquote"/>
    <w:basedOn w:val="1"/>
    <w:next w:val="1"/>
    <w:qFormat/>
    <w:uiPriority w:val="0"/>
    <w:pPr>
      <w:widowControl/>
      <w:jc w:val="left"/>
    </w:pPr>
    <w:rPr>
      <w:rFonts w:ascii="Times New Roman" w:hAnsi="Times New Roman"/>
      <w:i/>
      <w:kern w:val="0"/>
      <w:sz w:val="24"/>
    </w:rPr>
  </w:style>
  <w:style w:type="paragraph" w:customStyle="1" w:styleId="187">
    <w:name w:val="标题1"/>
    <w:basedOn w:val="1"/>
    <w:next w:val="3"/>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188">
    <w:name w:val="封一"/>
    <w:basedOn w:val="139"/>
    <w:next w:val="139"/>
    <w:qFormat/>
    <w:uiPriority w:val="0"/>
    <w:pPr>
      <w:ind w:firstLine="0" w:firstLineChars="0"/>
      <w:jc w:val="center"/>
    </w:pPr>
    <w:rPr>
      <w:rFonts w:eastAsia="黑体"/>
      <w:b/>
      <w:sz w:val="84"/>
      <w:szCs w:val="84"/>
    </w:rPr>
  </w:style>
  <w:style w:type="paragraph" w:customStyle="1" w:styleId="189">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190">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191">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9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4">
    <w:name w:val="TOC 标题1"/>
    <w:basedOn w:val="4"/>
    <w:next w:val="1"/>
    <w:qFormat/>
    <w:uiPriority w:val="39"/>
    <w:pPr>
      <w:widowControl/>
      <w:spacing w:before="480" w:after="0" w:line="276" w:lineRule="auto"/>
      <w:outlineLvl w:val="9"/>
    </w:pPr>
    <w:rPr>
      <w:rFonts w:ascii="Cambria" w:hAnsi="Cambria"/>
      <w:color w:val="365F91"/>
      <w:kern w:val="0"/>
    </w:rPr>
  </w:style>
  <w:style w:type="paragraph" w:customStyle="1" w:styleId="195">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196">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7">
    <w:name w:val="正文文本缩进 31"/>
    <w:basedOn w:val="1"/>
    <w:qFormat/>
    <w:uiPriority w:val="0"/>
    <w:pPr>
      <w:suppressAutoHyphens/>
      <w:spacing w:after="120"/>
      <w:ind w:left="420"/>
    </w:pPr>
    <w:rPr>
      <w:rFonts w:ascii="Times New Roman" w:hAnsi="Times New Roman"/>
      <w:sz w:val="16"/>
      <w:szCs w:val="20"/>
      <w:lang w:eastAsia="ar-SA"/>
    </w:rPr>
  </w:style>
  <w:style w:type="paragraph" w:customStyle="1" w:styleId="19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9">
    <w:name w:val="Char1 Char Char Char Char Char Char1"/>
    <w:basedOn w:val="200"/>
    <w:qFormat/>
    <w:uiPriority w:val="0"/>
  </w:style>
  <w:style w:type="paragraph" w:customStyle="1" w:styleId="200">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01">
    <w:name w:val="Char1"/>
    <w:basedOn w:val="1"/>
    <w:qFormat/>
    <w:uiPriority w:val="0"/>
    <w:pPr>
      <w:ind w:left="567" w:hanging="279"/>
    </w:pPr>
    <w:rPr>
      <w:rFonts w:ascii="Times New Roman" w:hAnsi="Times New Roman"/>
      <w:sz w:val="24"/>
      <w:szCs w:val="24"/>
    </w:rPr>
  </w:style>
  <w:style w:type="paragraph" w:customStyle="1" w:styleId="202">
    <w:name w:val="方框图"/>
    <w:basedOn w:val="1"/>
    <w:qFormat/>
    <w:uiPriority w:val="0"/>
    <w:pPr>
      <w:jc w:val="center"/>
    </w:pPr>
    <w:rPr>
      <w:rFonts w:ascii="Times New Roman" w:hAnsi="Times New Roman"/>
      <w:bCs/>
      <w:szCs w:val="24"/>
    </w:rPr>
  </w:style>
  <w:style w:type="paragraph" w:customStyle="1" w:styleId="203">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04">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6">
    <w:name w:val="Char1 Char Char Char Char Char Char1 Char Char Char"/>
    <w:basedOn w:val="1"/>
    <w:qFormat/>
    <w:uiPriority w:val="0"/>
    <w:rPr>
      <w:rFonts w:ascii="Times New Roman" w:hAnsi="Times New Roman"/>
      <w:sz w:val="30"/>
      <w:szCs w:val="24"/>
    </w:rPr>
  </w:style>
  <w:style w:type="paragraph" w:customStyle="1" w:styleId="207">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8">
    <w:name w:val="样式 正文缩进正文（首行缩进两字）特点ALT+Z表正文正文非缩进四号段1Normal Indent Char2...2"/>
    <w:basedOn w:val="8"/>
    <w:qFormat/>
    <w:uiPriority w:val="0"/>
    <w:pPr>
      <w:keepNext/>
      <w:keepLines/>
      <w:widowControl w:val="0"/>
      <w:tabs>
        <w:tab w:val="left" w:pos="1680"/>
      </w:tabs>
      <w:spacing w:before="360" w:after="120" w:line="360" w:lineRule="auto"/>
      <w:ind w:left="1680" w:hanging="420"/>
      <w:jc w:val="center"/>
    </w:pPr>
    <w:rPr>
      <w:color w:val="FF0000"/>
      <w:kern w:val="2"/>
      <w:sz w:val="28"/>
      <w:szCs w:val="20"/>
      <w:lang w:val="zh-CN"/>
    </w:rPr>
  </w:style>
  <w:style w:type="paragraph" w:customStyle="1" w:styleId="209">
    <w:name w:val="Address"/>
    <w:basedOn w:val="1"/>
    <w:next w:val="1"/>
    <w:qFormat/>
    <w:uiPriority w:val="0"/>
    <w:pPr>
      <w:widowControl/>
      <w:autoSpaceDE w:val="0"/>
      <w:autoSpaceDN w:val="0"/>
      <w:adjustRightInd w:val="0"/>
      <w:jc w:val="left"/>
    </w:pPr>
    <w:rPr>
      <w:rFonts w:ascii="Times New Roman" w:hAnsi="Times New Roman"/>
      <w:i/>
      <w:kern w:val="0"/>
      <w:sz w:val="24"/>
      <w:szCs w:val="20"/>
    </w:rPr>
  </w:style>
  <w:style w:type="paragraph" w:customStyle="1" w:styleId="210">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11">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212">
    <w:name w:val="样式8"/>
    <w:basedOn w:val="1"/>
    <w:qFormat/>
    <w:uiPriority w:val="0"/>
    <w:pPr>
      <w:keepNext/>
      <w:keepLines/>
      <w:widowControl/>
      <w:spacing w:before="260" w:after="260"/>
      <w:jc w:val="center"/>
      <w:outlineLvl w:val="1"/>
    </w:pPr>
    <w:rPr>
      <w:rFonts w:ascii="Arial" w:hAnsi="Arial" w:eastAsia="黑体"/>
      <w:b/>
      <w:bCs/>
      <w:kern w:val="0"/>
      <w:sz w:val="72"/>
      <w:szCs w:val="32"/>
    </w:rPr>
  </w:style>
  <w:style w:type="paragraph" w:customStyle="1" w:styleId="213">
    <w:name w:val="Char1 Char Char Char Char Char Char11"/>
    <w:basedOn w:val="1"/>
    <w:qFormat/>
    <w:uiPriority w:val="0"/>
    <w:rPr>
      <w:rFonts w:ascii="Times New Roman" w:hAnsi="Times New Roman"/>
      <w:szCs w:val="20"/>
    </w:rPr>
  </w:style>
  <w:style w:type="paragraph" w:customStyle="1" w:styleId="214">
    <w:name w:val="msolistparagraph"/>
    <w:basedOn w:val="1"/>
    <w:qFormat/>
    <w:uiPriority w:val="0"/>
    <w:pPr>
      <w:ind w:firstLine="420" w:firstLineChars="200"/>
    </w:pPr>
    <w:rPr>
      <w:rFonts w:ascii="Times New Roman" w:hAnsi="Times New Roman"/>
    </w:rPr>
  </w:style>
  <w:style w:type="paragraph" w:customStyle="1" w:styleId="215">
    <w:name w:val="文二"/>
    <w:basedOn w:val="1"/>
    <w:qFormat/>
    <w:uiPriority w:val="0"/>
    <w:pPr>
      <w:jc w:val="left"/>
    </w:pPr>
    <w:rPr>
      <w:rFonts w:ascii="宋体" w:hAnsi="宋体"/>
      <w:szCs w:val="21"/>
    </w:rPr>
  </w:style>
  <w:style w:type="paragraph" w:customStyle="1" w:styleId="216">
    <w:name w:val="列表项目符号 21"/>
    <w:basedOn w:val="217"/>
    <w:qFormat/>
    <w:uiPriority w:val="0"/>
    <w:pPr>
      <w:widowControl/>
      <w:tabs>
        <w:tab w:val="left" w:pos="360"/>
      </w:tabs>
      <w:spacing w:after="220" w:line="220" w:lineRule="atLeast"/>
      <w:ind w:left="360" w:right="720"/>
      <w:jc w:val="left"/>
    </w:pPr>
  </w:style>
  <w:style w:type="paragraph" w:customStyle="1" w:styleId="217">
    <w:name w:val="列表项目符号1"/>
    <w:basedOn w:val="1"/>
    <w:qFormat/>
    <w:uiPriority w:val="0"/>
    <w:pPr>
      <w:tabs>
        <w:tab w:val="left" w:pos="360"/>
      </w:tabs>
      <w:suppressAutoHyphens/>
    </w:pPr>
    <w:rPr>
      <w:rFonts w:ascii="Times New Roman" w:hAnsi="Times New Roman"/>
      <w:szCs w:val="20"/>
      <w:lang w:eastAsia="ar-SA"/>
    </w:rPr>
  </w:style>
  <w:style w:type="paragraph" w:customStyle="1" w:styleId="218">
    <w:name w:val="Char14"/>
    <w:basedOn w:val="18"/>
    <w:qFormat/>
    <w:uiPriority w:val="0"/>
    <w:rPr>
      <w:rFonts w:ascii="Tahoma" w:hAnsi="Tahoma"/>
      <w:sz w:val="24"/>
      <w:szCs w:val="24"/>
    </w:rPr>
  </w:style>
  <w:style w:type="paragraph" w:customStyle="1" w:styleId="219">
    <w:name w:val="正文文本 New"/>
    <w:basedOn w:val="220"/>
    <w:qFormat/>
    <w:uiPriority w:val="0"/>
    <w:pPr>
      <w:spacing w:after="120"/>
    </w:pPr>
    <w:rPr>
      <w:rFonts w:eastAsia="宋体"/>
      <w:kern w:val="2"/>
      <w:sz w:val="30"/>
      <w:szCs w:val="24"/>
    </w:rPr>
  </w:style>
  <w:style w:type="paragraph" w:customStyle="1" w:styleId="220">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21">
    <w:name w:val="Char Char Char1 Char"/>
    <w:basedOn w:val="18"/>
    <w:qFormat/>
    <w:uiPriority w:val="0"/>
    <w:rPr>
      <w:rFonts w:ascii="Tahoma" w:hAnsi="Tahoma"/>
      <w:sz w:val="24"/>
      <w:szCs w:val="24"/>
    </w:rPr>
  </w:style>
  <w:style w:type="paragraph" w:customStyle="1" w:styleId="222">
    <w:name w:val="表格"/>
    <w:basedOn w:val="1"/>
    <w:qFormat/>
    <w:uiPriority w:val="0"/>
    <w:pPr>
      <w:jc w:val="center"/>
    </w:pPr>
    <w:rPr>
      <w:rFonts w:ascii="华文细黑" w:hAnsi="华文细黑"/>
      <w:kern w:val="0"/>
      <w:szCs w:val="20"/>
    </w:rPr>
  </w:style>
  <w:style w:type="paragraph" w:customStyle="1" w:styleId="223">
    <w:name w:val="正文缩进_0"/>
    <w:basedOn w:val="224"/>
    <w:qFormat/>
    <w:uiPriority w:val="0"/>
    <w:pPr>
      <w:ind w:firstLine="420"/>
    </w:pPr>
  </w:style>
  <w:style w:type="paragraph" w:customStyle="1" w:styleId="224">
    <w:name w:val="正文_0"/>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5">
    <w:name w:val="公文标题"/>
    <w:basedOn w:val="8"/>
    <w:qFormat/>
    <w:uiPriority w:val="0"/>
    <w:pPr>
      <w:keepNext/>
      <w:keepLines/>
      <w:widowControl w:val="0"/>
      <w:ind w:left="1469" w:right="1542"/>
    </w:pPr>
    <w:rPr>
      <w:rFonts w:hAnsi="Times New Roman"/>
      <w:b/>
      <w:kern w:val="2"/>
      <w:sz w:val="44"/>
      <w:szCs w:val="21"/>
    </w:rPr>
  </w:style>
  <w:style w:type="paragraph" w:customStyle="1" w:styleId="226">
    <w:name w:val="2"/>
    <w:next w:val="178"/>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227">
    <w:name w:val="正文1"/>
    <w:qFormat/>
    <w:uiPriority w:val="0"/>
    <w:rPr>
      <w:rFonts w:ascii="Times New Roman" w:hAnsi="Times New Roman" w:eastAsia="Times New Roman" w:cs="Times New Roman"/>
      <w:sz w:val="24"/>
      <w:szCs w:val="24"/>
      <w:lang w:val="en-US" w:eastAsia="zh-CN" w:bidi="ar-SA"/>
    </w:rPr>
  </w:style>
  <w:style w:type="paragraph" w:customStyle="1" w:styleId="22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29">
    <w:name w:val="发文落款"/>
    <w:basedOn w:val="230"/>
    <w:qFormat/>
    <w:uiPriority w:val="0"/>
    <w:pPr>
      <w:ind w:left="4094" w:right="607" w:firstLine="0"/>
      <w:jc w:val="center"/>
    </w:pPr>
  </w:style>
  <w:style w:type="paragraph" w:customStyle="1" w:styleId="2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2">
    <w:name w:val="表格内容"/>
    <w:basedOn w:val="1"/>
    <w:qFormat/>
    <w:uiPriority w:val="0"/>
    <w:pPr>
      <w:suppressLineNumbers/>
      <w:suppressAutoHyphens/>
    </w:pPr>
    <w:rPr>
      <w:rFonts w:ascii="Times New Roman" w:hAnsi="Times New Roman"/>
      <w:szCs w:val="20"/>
      <w:lang w:eastAsia="ar-SA"/>
    </w:rPr>
  </w:style>
  <w:style w:type="paragraph" w:customStyle="1" w:styleId="233">
    <w:name w:val="样式1"/>
    <w:basedOn w:val="8"/>
    <w:qFormat/>
    <w:uiPriority w:val="0"/>
    <w:pPr>
      <w:keepNext/>
      <w:keepLines/>
      <w:widowControl w:val="0"/>
      <w:spacing w:before="260" w:after="260" w:line="412" w:lineRule="auto"/>
      <w:jc w:val="both"/>
    </w:pPr>
    <w:rPr>
      <w:rFonts w:ascii="Calibri" w:hAnsi="Calibri" w:eastAsia="Arial"/>
      <w:bCs/>
      <w:color w:val="FF0000"/>
      <w:kern w:val="2"/>
      <w:sz w:val="32"/>
      <w:szCs w:val="22"/>
      <w:lang w:val="zh-CN"/>
    </w:rPr>
  </w:style>
  <w:style w:type="paragraph" w:customStyle="1" w:styleId="234">
    <w:name w:val="纯文本1"/>
    <w:basedOn w:val="1"/>
    <w:qFormat/>
    <w:uiPriority w:val="0"/>
    <w:pPr>
      <w:suppressAutoHyphens/>
    </w:pPr>
    <w:rPr>
      <w:rFonts w:ascii="宋体" w:hAnsi="宋体"/>
      <w:szCs w:val="20"/>
      <w:lang w:eastAsia="ar-SA"/>
    </w:rPr>
  </w:style>
  <w:style w:type="paragraph" w:customStyle="1" w:styleId="235">
    <w:name w:val="msonospacing"/>
    <w:qFormat/>
    <w:uiPriority w:val="0"/>
    <w:rPr>
      <w:rFonts w:ascii="Times New Roman" w:hAnsi="Times New Roman" w:eastAsia="Times New Roman" w:cs="Times New Roman"/>
      <w:kern w:val="2"/>
      <w:sz w:val="22"/>
      <w:lang w:val="en-US" w:eastAsia="zh-CN" w:bidi="ar-SA"/>
    </w:rPr>
  </w:style>
  <w:style w:type="paragraph" w:customStyle="1" w:styleId="236">
    <w:name w:val="_Style 25"/>
    <w:qFormat/>
    <w:uiPriority w:val="0"/>
    <w:rPr>
      <w:rFonts w:ascii="Times New Roman" w:hAnsi="Times New Roman" w:eastAsia="宋体" w:cs="Times New Roman"/>
      <w:lang w:val="en-US" w:eastAsia="zh-CN" w:bidi="ar-SA"/>
    </w:rPr>
  </w:style>
  <w:style w:type="paragraph" w:customStyle="1" w:styleId="237">
    <w:name w:val="Normal_0"/>
    <w:qFormat/>
    <w:uiPriority w:val="0"/>
    <w:rPr>
      <w:rFonts w:ascii="Times New Roman" w:hAnsi="Times New Roman" w:eastAsia="Times New Roman" w:cs="Times New Roman"/>
      <w:sz w:val="24"/>
      <w:szCs w:val="24"/>
      <w:lang w:val="en-US" w:eastAsia="zh-CN" w:bidi="ar-SA"/>
    </w:rPr>
  </w:style>
  <w:style w:type="paragraph" w:customStyle="1" w:styleId="238">
    <w:name w:val="正文首行缩进1"/>
    <w:basedOn w:val="3"/>
    <w:qFormat/>
    <w:uiPriority w:val="0"/>
    <w:pPr>
      <w:ind w:firstLine="420" w:firstLineChars="100"/>
    </w:pPr>
    <w:rPr>
      <w:rFonts w:hAnsi="Calibri"/>
      <w:sz w:val="30"/>
      <w:szCs w:val="24"/>
    </w:rPr>
  </w:style>
  <w:style w:type="paragraph" w:customStyle="1" w:styleId="239">
    <w:name w:val="样式 标题 1 + 宋体 居中 段前: 48 磅 段后: 12 磅 行距: 1.5 倍行距"/>
    <w:basedOn w:val="4"/>
    <w:qFormat/>
    <w:uiPriority w:val="0"/>
    <w:pPr>
      <w:snapToGrid w:val="0"/>
      <w:spacing w:before="1560" w:after="240"/>
    </w:pPr>
    <w:rPr>
      <w:rFonts w:hint="eastAsia" w:eastAsia="仿宋_GB2312"/>
      <w:b w:val="0"/>
      <w:kern w:val="2"/>
      <w:sz w:val="36"/>
      <w:szCs w:val="20"/>
    </w:rPr>
  </w:style>
  <w:style w:type="paragraph" w:customStyle="1" w:styleId="240">
    <w:name w:val="尾注文本 New"/>
    <w:basedOn w:val="241"/>
    <w:qFormat/>
    <w:uiPriority w:val="0"/>
    <w:pPr>
      <w:snapToGrid w:val="0"/>
      <w:jc w:val="left"/>
    </w:pPr>
    <w:rPr>
      <w:rFonts w:ascii="宋体" w:hAnsi="宋体" w:eastAsia="宋体"/>
      <w:szCs w:val="24"/>
    </w:rPr>
  </w:style>
  <w:style w:type="paragraph" w:customStyle="1" w:styleId="241">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242">
    <w:name w:val="明显引用 Char1"/>
    <w:basedOn w:val="50"/>
    <w:qFormat/>
    <w:uiPriority w:val="30"/>
    <w:rPr>
      <w:rFonts w:ascii="Calibri" w:hAnsi="Calibri" w:eastAsia="宋体" w:cs="Times New Roman"/>
      <w:b/>
      <w:bCs/>
      <w:i/>
      <w:iCs/>
      <w:color w:val="4F81BD" w:themeColor="accent1"/>
    </w:rPr>
  </w:style>
  <w:style w:type="paragraph" w:customStyle="1" w:styleId="24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44">
    <w:name w:val="样式4"/>
    <w:basedOn w:val="8"/>
    <w:qFormat/>
    <w:uiPriority w:val="0"/>
    <w:pPr>
      <w:keepNext/>
      <w:keepLines/>
      <w:widowControl w:val="0"/>
      <w:spacing w:before="260" w:after="260" w:line="412" w:lineRule="auto"/>
      <w:jc w:val="both"/>
    </w:pPr>
    <w:rPr>
      <w:rFonts w:ascii="Calibri" w:hAnsi="Calibri" w:eastAsia="Arial"/>
      <w:bCs/>
      <w:color w:val="FF0000"/>
      <w:kern w:val="2"/>
      <w:sz w:val="32"/>
      <w:szCs w:val="22"/>
      <w:lang w:val="zh-CN"/>
    </w:rPr>
  </w:style>
  <w:style w:type="paragraph" w:customStyle="1" w:styleId="245">
    <w:name w:val="正文文本缩进 New New"/>
    <w:basedOn w:val="1"/>
    <w:qFormat/>
    <w:uiPriority w:val="0"/>
    <w:pPr>
      <w:spacing w:after="120"/>
      <w:ind w:left="420" w:leftChars="200"/>
    </w:pPr>
    <w:rPr>
      <w:rFonts w:ascii="Times New Roman" w:eastAsia="楷体_GB2312"/>
      <w:szCs w:val="20"/>
    </w:rPr>
  </w:style>
  <w:style w:type="paragraph" w:customStyle="1" w:styleId="246">
    <w:name w:val="_Style 7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7">
    <w:name w:val="Char13 Char Char Char Char Char"/>
    <w:basedOn w:val="1"/>
    <w:qFormat/>
    <w:uiPriority w:val="0"/>
    <w:pPr>
      <w:ind w:left="567" w:hanging="279"/>
    </w:pPr>
    <w:rPr>
      <w:rFonts w:ascii="Times New Roman" w:hAnsi="Times New Roman"/>
      <w:kern w:val="0"/>
      <w:sz w:val="20"/>
      <w:szCs w:val="20"/>
    </w:rPr>
  </w:style>
  <w:style w:type="paragraph" w:customStyle="1" w:styleId="2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9">
    <w:name w:val="Char5 Char Char"/>
    <w:basedOn w:val="1"/>
    <w:qFormat/>
    <w:uiPriority w:val="0"/>
    <w:pPr>
      <w:ind w:left="567" w:hanging="279"/>
    </w:pPr>
    <w:rPr>
      <w:rFonts w:ascii="Times New Roman" w:hAnsi="Times New Roman"/>
      <w:sz w:val="24"/>
      <w:szCs w:val="24"/>
    </w:rPr>
  </w:style>
  <w:style w:type="paragraph" w:customStyle="1" w:styleId="250">
    <w:name w:val="Normal_1"/>
    <w:qFormat/>
    <w:uiPriority w:val="0"/>
    <w:rPr>
      <w:rFonts w:ascii="Times New Roman" w:hAnsi="Times New Roman" w:eastAsia="Times New Roman" w:cs="Times New Roman"/>
      <w:sz w:val="24"/>
      <w:szCs w:val="24"/>
      <w:lang w:val="en-US" w:eastAsia="zh-CN" w:bidi="ar-SA"/>
    </w:rPr>
  </w:style>
  <w:style w:type="paragraph" w:customStyle="1" w:styleId="251">
    <w:name w:val="表头"/>
    <w:basedOn w:val="1"/>
    <w:qFormat/>
    <w:uiPriority w:val="0"/>
    <w:pPr>
      <w:spacing w:line="360" w:lineRule="auto"/>
      <w:jc w:val="center"/>
    </w:pPr>
    <w:rPr>
      <w:rFonts w:ascii="黑体" w:hAnsi="Times New Roman" w:eastAsia="黑体"/>
      <w:kern w:val="0"/>
      <w:sz w:val="24"/>
      <w:szCs w:val="20"/>
    </w:rPr>
  </w:style>
  <w:style w:type="character" w:customStyle="1" w:styleId="252">
    <w:name w:val="引用 Char1"/>
    <w:basedOn w:val="50"/>
    <w:qFormat/>
    <w:uiPriority w:val="29"/>
    <w:rPr>
      <w:rFonts w:ascii="Calibri" w:hAnsi="Calibri" w:eastAsia="宋体" w:cs="Times New Roman"/>
      <w:i/>
      <w:iCs/>
      <w:color w:val="000000" w:themeColor="text1"/>
    </w:rPr>
  </w:style>
  <w:style w:type="paragraph" w:styleId="253">
    <w:name w:val="List Paragraph"/>
    <w:basedOn w:val="1"/>
    <w:qFormat/>
    <w:uiPriority w:val="34"/>
    <w:pPr>
      <w:ind w:firstLine="420" w:firstLineChars="200"/>
    </w:pPr>
    <w:rPr>
      <w:rFonts w:ascii="Times New Roman" w:hAnsi="Times New Roman"/>
      <w:szCs w:val="20"/>
    </w:rPr>
  </w:style>
  <w:style w:type="paragraph" w:customStyle="1" w:styleId="254">
    <w:name w:val="样式 正文缩进正文（首行缩进两字）特点ALT+Z表正文正文非缩进四号段1Normal Indent Char2...4"/>
    <w:basedOn w:val="21"/>
    <w:qFormat/>
    <w:uiPriority w:val="0"/>
    <w:pPr>
      <w:tabs>
        <w:tab w:val="left" w:pos="510"/>
        <w:tab w:val="left" w:pos="2520"/>
      </w:tabs>
      <w:spacing w:line="300" w:lineRule="auto"/>
      <w:ind w:left="2520" w:hanging="420"/>
    </w:pPr>
    <w:rPr>
      <w:rFonts w:ascii="Calibri" w:hAnsi="宋体"/>
      <w:sz w:val="24"/>
      <w:szCs w:val="22"/>
    </w:rPr>
  </w:style>
  <w:style w:type="paragraph" w:customStyle="1" w:styleId="255">
    <w:name w:val="目录 1_0"/>
    <w:basedOn w:val="224"/>
    <w:next w:val="224"/>
    <w:qFormat/>
    <w:uiPriority w:val="0"/>
    <w:pPr>
      <w:tabs>
        <w:tab w:val="right" w:leader="dot" w:pos="8493"/>
      </w:tabs>
      <w:adjustRightInd w:val="0"/>
      <w:spacing w:line="360" w:lineRule="auto"/>
      <w:jc w:val="left"/>
    </w:pPr>
    <w:rPr>
      <w:rFonts w:ascii="宋体" w:hAnsi="宋体"/>
      <w:b/>
      <w:caps/>
      <w:kern w:val="0"/>
      <w:sz w:val="24"/>
      <w:szCs w:val="32"/>
    </w:rPr>
  </w:style>
  <w:style w:type="paragraph" w:customStyle="1" w:styleId="256">
    <w:name w:val="表格标题"/>
    <w:basedOn w:val="232"/>
    <w:qFormat/>
    <w:uiPriority w:val="0"/>
    <w:pPr>
      <w:jc w:val="center"/>
    </w:pPr>
    <w:rPr>
      <w:b/>
      <w:bCs/>
    </w:rPr>
  </w:style>
  <w:style w:type="paragraph" w:customStyle="1" w:styleId="25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文提"/>
    <w:basedOn w:val="139"/>
    <w:qFormat/>
    <w:uiPriority w:val="0"/>
    <w:pPr>
      <w:ind w:firstLine="0" w:firstLineChars="0"/>
    </w:pPr>
    <w:rPr>
      <w:rFonts w:eastAsia="黑体" w:cs="宋体"/>
      <w:b/>
    </w:rPr>
  </w:style>
  <w:style w:type="paragraph" w:customStyle="1" w:styleId="259">
    <w:name w:val="正题"/>
    <w:basedOn w:val="139"/>
    <w:next w:val="139"/>
    <w:qFormat/>
    <w:uiPriority w:val="0"/>
    <w:pPr>
      <w:ind w:firstLine="0" w:firstLineChars="0"/>
      <w:jc w:val="center"/>
    </w:pPr>
    <w:rPr>
      <w:rFonts w:eastAsia="黑体"/>
      <w:b/>
      <w:sz w:val="36"/>
      <w:szCs w:val="36"/>
    </w:rPr>
  </w:style>
  <w:style w:type="paragraph" w:customStyle="1" w:styleId="260">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261">
    <w:name w:val="样式 标题 2 + Times New Roman 四号 非加粗 段前: 5 磅 段后: 0 磅 行距: 固定值 20..."/>
    <w:basedOn w:val="6"/>
    <w:qFormat/>
    <w:uiPriority w:val="0"/>
    <w:pPr>
      <w:spacing w:before="100" w:after="0" w:line="400" w:lineRule="exact"/>
      <w:jc w:val="both"/>
    </w:pPr>
    <w:rPr>
      <w:rFonts w:hint="eastAsia" w:ascii="Times New Roman" w:hAnsi="Times New Roman" w:eastAsia="黑体"/>
      <w:sz w:val="28"/>
      <w:szCs w:val="20"/>
    </w:rPr>
  </w:style>
  <w:style w:type="paragraph" w:customStyle="1" w:styleId="262">
    <w:name w:val="样式2"/>
    <w:basedOn w:val="8"/>
    <w:qFormat/>
    <w:uiPriority w:val="0"/>
    <w:pPr>
      <w:keepNext/>
      <w:keepLines/>
      <w:widowControl w:val="0"/>
      <w:spacing w:before="260" w:after="260" w:line="412" w:lineRule="auto"/>
      <w:jc w:val="both"/>
    </w:pPr>
    <w:rPr>
      <w:rFonts w:ascii="Calibri" w:hAnsi="Calibri"/>
      <w:bCs/>
      <w:color w:val="FF0000"/>
      <w:kern w:val="2"/>
      <w:sz w:val="32"/>
      <w:szCs w:val="22"/>
      <w:lang w:val="zh-CN"/>
    </w:rPr>
  </w:style>
  <w:style w:type="paragraph" w:customStyle="1" w:styleId="263">
    <w:name w:val="正文文本缩进 21"/>
    <w:basedOn w:val="1"/>
    <w:qFormat/>
    <w:uiPriority w:val="0"/>
    <w:pPr>
      <w:suppressAutoHyphens/>
      <w:spacing w:after="120" w:line="480" w:lineRule="auto"/>
      <w:ind w:left="420"/>
    </w:pPr>
    <w:rPr>
      <w:rFonts w:ascii="Times New Roman" w:hAnsi="Times New Roman"/>
      <w:szCs w:val="20"/>
      <w:lang w:eastAsia="ar-SA"/>
    </w:rPr>
  </w:style>
  <w:style w:type="paragraph" w:customStyle="1" w:styleId="26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65">
    <w:name w:val="Char2 Char Char Char"/>
    <w:basedOn w:val="1"/>
    <w:qFormat/>
    <w:uiPriority w:val="0"/>
    <w:pPr>
      <w:tabs>
        <w:tab w:val="left" w:pos="1350"/>
      </w:tabs>
      <w:ind w:left="1350" w:hanging="720"/>
    </w:pPr>
    <w:rPr>
      <w:rFonts w:ascii="Times New Roman" w:hAnsi="Times New Roman"/>
      <w:sz w:val="24"/>
      <w:szCs w:val="24"/>
    </w:rPr>
  </w:style>
  <w:style w:type="paragraph" w:customStyle="1" w:styleId="266">
    <w:name w:val="Char Char Char Char"/>
    <w:basedOn w:val="1"/>
    <w:qFormat/>
    <w:uiPriority w:val="0"/>
    <w:pPr>
      <w:widowControl/>
      <w:spacing w:after="160" w:line="240" w:lineRule="exact"/>
      <w:jc w:val="left"/>
    </w:pPr>
    <w:rPr>
      <w:rFonts w:ascii="Times New Roman" w:hAnsi="Times New Roman"/>
      <w:szCs w:val="20"/>
    </w:rPr>
  </w:style>
  <w:style w:type="paragraph" w:customStyle="1" w:styleId="267">
    <w:name w:val="封二"/>
    <w:basedOn w:val="139"/>
    <w:next w:val="139"/>
    <w:qFormat/>
    <w:uiPriority w:val="0"/>
    <w:pPr>
      <w:ind w:firstLine="0" w:firstLineChars="0"/>
      <w:jc w:val="center"/>
    </w:pPr>
    <w:rPr>
      <w:rFonts w:eastAsia="黑体"/>
      <w:b/>
      <w:sz w:val="36"/>
      <w:szCs w:val="36"/>
    </w:rPr>
  </w:style>
  <w:style w:type="paragraph" w:customStyle="1" w:styleId="268">
    <w:name w:val="Normal_2"/>
    <w:qFormat/>
    <w:uiPriority w:val="0"/>
    <w:rPr>
      <w:rFonts w:ascii="Times New Roman" w:hAnsi="Times New Roman" w:eastAsia="Times New Roman" w:cs="Times New Roman"/>
      <w:sz w:val="24"/>
      <w:szCs w:val="24"/>
      <w:lang w:val="en-US" w:eastAsia="zh-CN" w:bidi="ar-SA"/>
    </w:rPr>
  </w:style>
  <w:style w:type="paragraph" w:customStyle="1" w:styleId="269">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页脚 New"/>
    <w:basedOn w:val="271"/>
    <w:qFormat/>
    <w:uiPriority w:val="0"/>
    <w:pPr>
      <w:tabs>
        <w:tab w:val="center" w:pos="4153"/>
        <w:tab w:val="right" w:pos="8306"/>
      </w:tabs>
      <w:snapToGrid w:val="0"/>
      <w:jc w:val="left"/>
    </w:pPr>
    <w:rPr>
      <w:sz w:val="18"/>
    </w:rPr>
  </w:style>
  <w:style w:type="paragraph" w:customStyle="1" w:styleId="27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2">
    <w:name w:val="Normal_3"/>
    <w:qFormat/>
    <w:uiPriority w:val="0"/>
    <w:rPr>
      <w:rFonts w:ascii="Times New Roman" w:hAnsi="Times New Roman" w:eastAsia="Times New Roman" w:cs="Times New Roman"/>
      <w:sz w:val="24"/>
      <w:szCs w:val="24"/>
      <w:lang w:val="en-US" w:eastAsia="zh-CN" w:bidi="ar-SA"/>
    </w:rPr>
  </w:style>
  <w:style w:type="paragraph" w:customStyle="1" w:styleId="273">
    <w:name w:val="表格文字"/>
    <w:basedOn w:val="1"/>
    <w:qFormat/>
    <w:uiPriority w:val="0"/>
    <w:pPr>
      <w:adjustRightInd w:val="0"/>
      <w:spacing w:line="420" w:lineRule="atLeast"/>
      <w:jc w:val="left"/>
    </w:pPr>
    <w:rPr>
      <w:rFonts w:ascii="Times New Roman" w:hAnsi="Times New Roman"/>
      <w:kern w:val="0"/>
      <w:szCs w:val="20"/>
    </w:rPr>
  </w:style>
  <w:style w:type="paragraph" w:customStyle="1" w:styleId="274">
    <w:name w:val="页眉 New"/>
    <w:basedOn w:val="271"/>
    <w:qFormat/>
    <w:uiPriority w:val="0"/>
    <w:pPr>
      <w:pBdr>
        <w:bottom w:val="single" w:color="auto" w:sz="6" w:space="1"/>
      </w:pBdr>
      <w:tabs>
        <w:tab w:val="center" w:pos="4153"/>
        <w:tab w:val="right" w:pos="8306"/>
      </w:tabs>
      <w:snapToGrid w:val="0"/>
      <w:jc w:val="center"/>
    </w:pPr>
    <w:rPr>
      <w:sz w:val="18"/>
    </w:rPr>
  </w:style>
  <w:style w:type="paragraph" w:customStyle="1" w:styleId="27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标题 3_0"/>
    <w:basedOn w:val="224"/>
    <w:next w:val="223"/>
    <w:qFormat/>
    <w:uiPriority w:val="0"/>
    <w:pPr>
      <w:keepNext/>
      <w:keepLines/>
      <w:spacing w:line="360" w:lineRule="auto"/>
      <w:jc w:val="center"/>
      <w:outlineLvl w:val="2"/>
    </w:pPr>
    <w:rPr>
      <w:rFonts w:ascii="仿宋_GB2312" w:hAnsi="宋体" w:eastAsia="仿宋_GB2312" w:cs="宋体"/>
      <w:b/>
      <w:sz w:val="30"/>
      <w:szCs w:val="30"/>
    </w:rPr>
  </w:style>
  <w:style w:type="paragraph" w:customStyle="1" w:styleId="277">
    <w:name w:val="Char4 Char Char Char"/>
    <w:basedOn w:val="1"/>
    <w:qFormat/>
    <w:uiPriority w:val="0"/>
    <w:pPr>
      <w:ind w:left="567" w:hanging="279"/>
    </w:pPr>
    <w:rPr>
      <w:rFonts w:ascii="Times New Roman" w:hAnsi="Times New Roman"/>
      <w:sz w:val="24"/>
      <w:szCs w:val="24"/>
    </w:rPr>
  </w:style>
  <w:style w:type="paragraph" w:customStyle="1" w:styleId="278">
    <w:name w:val="纯文本2"/>
    <w:basedOn w:val="1"/>
    <w:qFormat/>
    <w:uiPriority w:val="0"/>
    <w:rPr>
      <w:rFonts w:ascii="宋体" w:hAnsi="Courier New"/>
      <w:sz w:val="24"/>
      <w:szCs w:val="20"/>
    </w:rPr>
  </w:style>
  <w:style w:type="paragraph" w:customStyle="1" w:styleId="279">
    <w:name w:val="文档结构图2"/>
    <w:basedOn w:val="1"/>
    <w:qFormat/>
    <w:uiPriority w:val="0"/>
    <w:pPr>
      <w:shd w:val="clear" w:color="auto" w:fill="000080"/>
    </w:pPr>
    <w:rPr>
      <w:rFonts w:ascii="Times New Roman" w:hAnsi="Times New Roman"/>
      <w:sz w:val="30"/>
      <w:szCs w:val="24"/>
    </w:rPr>
  </w:style>
  <w:style w:type="paragraph" w:customStyle="1" w:styleId="280">
    <w:name w:val="msointensequote"/>
    <w:basedOn w:val="1"/>
    <w:next w:val="1"/>
    <w:qFormat/>
    <w:uiPriority w:val="0"/>
    <w:pPr>
      <w:widowControl/>
      <w:ind w:left="720" w:right="720"/>
      <w:jc w:val="left"/>
    </w:pPr>
    <w:rPr>
      <w:rFonts w:ascii="Times New Roman" w:hAnsi="Times New Roman"/>
      <w:b/>
      <w:i/>
      <w:kern w:val="0"/>
      <w:sz w:val="24"/>
    </w:rPr>
  </w:style>
  <w:style w:type="paragraph" w:customStyle="1" w:styleId="281">
    <w:name w:val="公文抬头"/>
    <w:basedOn w:val="7"/>
    <w:qFormat/>
    <w:uiPriority w:val="0"/>
    <w:pPr>
      <w:ind w:firstLine="0"/>
    </w:pPr>
    <w:rPr>
      <w:rFonts w:ascii="仿宋_GB2312" w:eastAsia="仿宋_GB2312"/>
      <w:sz w:val="30"/>
      <w:szCs w:val="24"/>
    </w:rPr>
  </w:style>
  <w:style w:type="paragraph" w:customStyle="1" w:styleId="282">
    <w:name w:val="正文_1"/>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3">
    <w:name w:val="封四"/>
    <w:basedOn w:val="139"/>
    <w:next w:val="139"/>
    <w:qFormat/>
    <w:uiPriority w:val="0"/>
    <w:pPr>
      <w:jc w:val="left"/>
    </w:pPr>
    <w:rPr>
      <w:sz w:val="30"/>
      <w:szCs w:val="30"/>
    </w:rPr>
  </w:style>
  <w:style w:type="paragraph" w:customStyle="1" w:styleId="284">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5">
    <w:name w:val="正文缩进 New"/>
    <w:basedOn w:val="180"/>
    <w:qFormat/>
    <w:uiPriority w:val="0"/>
    <w:pPr>
      <w:ind w:firstLine="420"/>
    </w:pPr>
    <w:rPr>
      <w:rFonts w:ascii="Times New Roman" w:hAnsi="Times New Roman" w:cs="Times New Roman"/>
      <w:snapToGrid/>
      <w:kern w:val="2"/>
      <w:szCs w:val="20"/>
    </w:rPr>
  </w:style>
  <w:style w:type="paragraph" w:customStyle="1" w:styleId="286">
    <w:name w:val="1"/>
    <w:basedOn w:val="1"/>
    <w:next w:val="1"/>
    <w:qFormat/>
    <w:uiPriority w:val="0"/>
    <w:rPr>
      <w:rFonts w:ascii="Times New Roman" w:hAnsi="Times New Roman"/>
    </w:rPr>
  </w:style>
  <w:style w:type="paragraph" w:customStyle="1" w:styleId="287">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8">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9">
    <w:name w:val="目录"/>
    <w:basedOn w:val="1"/>
    <w:qFormat/>
    <w:uiPriority w:val="0"/>
    <w:pPr>
      <w:suppressLineNumbers/>
      <w:suppressAutoHyphens/>
    </w:pPr>
    <w:rPr>
      <w:rFonts w:ascii="Times New Roman" w:hAnsi="Times New Roman"/>
      <w:szCs w:val="20"/>
      <w:lang w:eastAsia="ar-SA"/>
    </w:rPr>
  </w:style>
  <w:style w:type="paragraph" w:customStyle="1" w:styleId="290">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1">
    <w:name w:val="Char5 Char Char Char Char Char Char Char Char Char Char Char Char Char Char Char Char Char Char Char Char1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2">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3">
    <w:name w:val="页眉 New New"/>
    <w:basedOn w:val="172"/>
    <w:qFormat/>
    <w:uiPriority w:val="0"/>
    <w:pPr>
      <w:pBdr>
        <w:bottom w:val="single" w:color="auto" w:sz="6" w:space="1"/>
      </w:pBdr>
      <w:tabs>
        <w:tab w:val="center" w:pos="4153"/>
        <w:tab w:val="right" w:pos="8306"/>
      </w:tabs>
      <w:snapToGrid w:val="0"/>
      <w:jc w:val="center"/>
    </w:pPr>
    <w:rPr>
      <w:sz w:val="18"/>
    </w:rPr>
  </w:style>
  <w:style w:type="paragraph" w:customStyle="1" w:styleId="294">
    <w:name w:val="正文文本缩进 22"/>
    <w:basedOn w:val="1"/>
    <w:qFormat/>
    <w:uiPriority w:val="0"/>
    <w:pPr>
      <w:spacing w:line="420" w:lineRule="exact"/>
      <w:ind w:firstLine="480"/>
    </w:pPr>
    <w:rPr>
      <w:rFonts w:ascii="Times New Roman" w:hAnsi="Times New Roman"/>
      <w:b/>
      <w:sz w:val="24"/>
      <w:szCs w:val="20"/>
    </w:rPr>
  </w:style>
  <w:style w:type="paragraph" w:customStyle="1" w:styleId="295">
    <w:name w:val="Char2"/>
    <w:basedOn w:val="1"/>
    <w:qFormat/>
    <w:uiPriority w:val="0"/>
    <w:pPr>
      <w:tabs>
        <w:tab w:val="left" w:pos="1500"/>
      </w:tabs>
      <w:ind w:left="567" w:hanging="279"/>
    </w:pPr>
    <w:rPr>
      <w:rFonts w:ascii="Times New Roman" w:hAnsi="Times New Roman"/>
      <w:sz w:val="24"/>
      <w:szCs w:val="24"/>
    </w:rPr>
  </w:style>
  <w:style w:type="paragraph" w:customStyle="1" w:styleId="296">
    <w:name w:val="Char Char Char1 Char1"/>
    <w:basedOn w:val="1"/>
    <w:qFormat/>
    <w:uiPriority w:val="0"/>
    <w:rPr>
      <w:rFonts w:ascii="宋体" w:hAnsi="Times New Roman"/>
      <w:kern w:val="0"/>
      <w:sz w:val="34"/>
      <w:szCs w:val="20"/>
    </w:rPr>
  </w:style>
  <w:style w:type="paragraph" w:customStyle="1" w:styleId="297">
    <w:name w:val="内容目录 10"/>
    <w:basedOn w:val="289"/>
    <w:qFormat/>
    <w:uiPriority w:val="0"/>
    <w:pPr>
      <w:tabs>
        <w:tab w:val="right" w:leader="dot" w:pos="9637"/>
      </w:tabs>
      <w:ind w:left="2547"/>
    </w:pPr>
  </w:style>
  <w:style w:type="paragraph" w:customStyle="1" w:styleId="298">
    <w:name w:val="批注文字1"/>
    <w:basedOn w:val="1"/>
    <w:qFormat/>
    <w:uiPriority w:val="0"/>
    <w:pPr>
      <w:suppressAutoHyphens/>
      <w:jc w:val="left"/>
    </w:pPr>
    <w:rPr>
      <w:rFonts w:ascii="Times New Roman" w:hAnsi="Times New Roman"/>
      <w:szCs w:val="20"/>
      <w:lang w:eastAsia="ar-SA"/>
    </w:rPr>
  </w:style>
  <w:style w:type="paragraph" w:customStyle="1" w:styleId="299">
    <w:name w:val="普通(网站)11"/>
    <w:basedOn w:val="1"/>
    <w:qFormat/>
    <w:uiPriority w:val="0"/>
    <w:pPr>
      <w:widowControl/>
      <w:suppressAutoHyphens/>
      <w:spacing w:before="284" w:after="280" w:line="360" w:lineRule="auto"/>
      <w:jc w:val="left"/>
    </w:pPr>
    <w:rPr>
      <w:rFonts w:ascii="宋体" w:hAnsi="宋体"/>
      <w:sz w:val="24"/>
      <w:szCs w:val="20"/>
      <w:lang w:eastAsia="ar-SA"/>
    </w:rPr>
  </w:style>
  <w:style w:type="paragraph" w:customStyle="1" w:styleId="300">
    <w:name w:val="正文文本缩进 32"/>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01">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2">
    <w:name w:val="默认段落字体 Para Char"/>
    <w:basedOn w:val="1"/>
    <w:qFormat/>
    <w:uiPriority w:val="0"/>
    <w:pPr>
      <w:spacing w:line="360" w:lineRule="auto"/>
      <w:jc w:val="left"/>
    </w:pPr>
    <w:rPr>
      <w:rFonts w:ascii="Times New Roman" w:hAnsi="Times New Roman" w:eastAsia="仿宋_GB2312"/>
      <w:b/>
      <w:sz w:val="32"/>
      <w:szCs w:val="24"/>
    </w:rPr>
  </w:style>
  <w:style w:type="paragraph" w:customStyle="1" w:styleId="303">
    <w:name w:val="标签"/>
    <w:basedOn w:val="1"/>
    <w:qFormat/>
    <w:uiPriority w:val="0"/>
    <w:pPr>
      <w:suppressLineNumbers/>
      <w:suppressAutoHyphens/>
      <w:spacing w:before="120" w:after="120"/>
    </w:pPr>
    <w:rPr>
      <w:rFonts w:ascii="Times New Roman" w:hAnsi="Times New Roman"/>
      <w:i/>
      <w:iCs/>
      <w:sz w:val="24"/>
      <w:szCs w:val="24"/>
      <w:lang w:eastAsia="ar-SA"/>
    </w:rPr>
  </w:style>
  <w:style w:type="paragraph" w:customStyle="1" w:styleId="304">
    <w:name w:val="日期1"/>
    <w:basedOn w:val="1"/>
    <w:next w:val="1"/>
    <w:qFormat/>
    <w:uiPriority w:val="0"/>
    <w:pPr>
      <w:suppressAutoHyphens/>
      <w:ind w:left="100"/>
    </w:pPr>
    <w:rPr>
      <w:rFonts w:ascii="Times New Roman" w:hAnsi="Times New Roman"/>
      <w:szCs w:val="20"/>
      <w:lang w:eastAsia="ar-SA"/>
    </w:rPr>
  </w:style>
  <w:style w:type="paragraph" w:customStyle="1" w:styleId="305">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纯文本 New"/>
    <w:basedOn w:val="220"/>
    <w:qFormat/>
    <w:uiPriority w:val="0"/>
    <w:rPr>
      <w:rFonts w:ascii="宋体" w:hAnsi="Courier New" w:eastAsia="宋体"/>
      <w:kern w:val="2"/>
      <w:sz w:val="24"/>
    </w:rPr>
  </w:style>
  <w:style w:type="paragraph" w:customStyle="1" w:styleId="307">
    <w:name w:val="Char Char Char Char1"/>
    <w:basedOn w:val="1"/>
    <w:qFormat/>
    <w:uiPriority w:val="0"/>
    <w:rPr>
      <w:rFonts w:ascii="Times New Roman" w:hAnsi="Times New Roman"/>
      <w:sz w:val="30"/>
      <w:szCs w:val="24"/>
    </w:rPr>
  </w:style>
  <w:style w:type="paragraph" w:customStyle="1" w:styleId="308">
    <w:name w:val="样式 标题 3 + (中文) 黑体 小四 非加粗 段前: 7.8 磅 段后: 0 磅 行距: 固定值 20 磅"/>
    <w:basedOn w:val="8"/>
    <w:qFormat/>
    <w:uiPriority w:val="0"/>
    <w:pPr>
      <w:keepNext/>
      <w:keepLines/>
      <w:widowControl w:val="0"/>
      <w:spacing w:beforeLines="50" w:line="400" w:lineRule="exact"/>
      <w:jc w:val="both"/>
    </w:pPr>
    <w:rPr>
      <w:rFonts w:ascii="Calibri" w:hAnsi="Calibri" w:eastAsia="黑体"/>
      <w:b/>
      <w:color w:val="FF0000"/>
      <w:kern w:val="2"/>
      <w:sz w:val="24"/>
      <w:szCs w:val="20"/>
      <w:lang w:val="zh-CN"/>
    </w:rPr>
  </w:style>
  <w:style w:type="paragraph" w:customStyle="1" w:styleId="309">
    <w:name w:val="目录文字"/>
    <w:basedOn w:val="1"/>
    <w:qFormat/>
    <w:uiPriority w:val="0"/>
    <w:pPr>
      <w:widowControl/>
      <w:spacing w:line="480" w:lineRule="auto"/>
      <w:jc w:val="left"/>
    </w:pPr>
    <w:rPr>
      <w:rFonts w:ascii="宋体" w:hAnsi="宋体"/>
      <w:kern w:val="0"/>
      <w:sz w:val="24"/>
      <w:szCs w:val="20"/>
    </w:rPr>
  </w:style>
  <w:style w:type="paragraph" w:customStyle="1" w:styleId="310">
    <w:name w:val="正文首行缩进 New"/>
    <w:basedOn w:val="219"/>
    <w:qFormat/>
    <w:uiPriority w:val="0"/>
    <w:pPr>
      <w:ind w:firstLine="420" w:firstLineChars="100"/>
    </w:pPr>
  </w:style>
  <w:style w:type="paragraph" w:customStyle="1" w:styleId="311">
    <w:name w:val="章节二"/>
    <w:basedOn w:val="139"/>
    <w:next w:val="139"/>
    <w:qFormat/>
    <w:uiPriority w:val="0"/>
    <w:pPr>
      <w:spacing w:beforeLines="50" w:line="240" w:lineRule="auto"/>
      <w:ind w:firstLine="0" w:firstLineChars="0"/>
      <w:jc w:val="center"/>
      <w:outlineLvl w:val="1"/>
    </w:pPr>
    <w:rPr>
      <w:rFonts w:eastAsia="黑体"/>
      <w:b/>
      <w:sz w:val="30"/>
      <w:szCs w:val="30"/>
    </w:rPr>
  </w:style>
  <w:style w:type="paragraph" w:customStyle="1" w:styleId="312">
    <w:name w:val="正文文本缩进1"/>
    <w:basedOn w:val="1"/>
    <w:qFormat/>
    <w:uiPriority w:val="0"/>
    <w:pPr>
      <w:ind w:firstLine="480"/>
    </w:pPr>
    <w:rPr>
      <w:rFonts w:ascii="Times New Roman" w:hAnsi="Times New Roman"/>
      <w:sz w:val="24"/>
      <w:szCs w:val="20"/>
    </w:rPr>
  </w:style>
  <w:style w:type="paragraph" w:customStyle="1" w:styleId="313">
    <w:name w:val="样式 正文缩进正文（首行缩进两字）特点ALT+Z表正文正文非缩进四号段1Normal Indent Char2..."/>
    <w:basedOn w:val="6"/>
    <w:next w:val="8"/>
    <w:qFormat/>
    <w:uiPriority w:val="0"/>
    <w:pPr>
      <w:tabs>
        <w:tab w:val="left" w:pos="840"/>
      </w:tabs>
      <w:spacing w:before="240" w:line="400" w:lineRule="exact"/>
      <w:ind w:left="840" w:hanging="420"/>
    </w:pPr>
    <w:rPr>
      <w:rFonts w:hint="eastAsia" w:eastAsia="黑体"/>
      <w:b w:val="0"/>
      <w:szCs w:val="20"/>
    </w:rPr>
  </w:style>
  <w:style w:type="paragraph" w:customStyle="1" w:styleId="314">
    <w:name w:val="正文文本 21"/>
    <w:basedOn w:val="1"/>
    <w:qFormat/>
    <w:uiPriority w:val="0"/>
    <w:pPr>
      <w:suppressAutoHyphens/>
    </w:pPr>
    <w:rPr>
      <w:rFonts w:ascii="Times New Roman" w:hAnsi="Times New Roman" w:eastAsia="楷体_GB2312"/>
      <w:b/>
      <w:szCs w:val="20"/>
      <w:lang w:eastAsia="ar-SA"/>
    </w:rPr>
  </w:style>
  <w:style w:type="character" w:customStyle="1" w:styleId="315">
    <w:name w:val="正文文本首行缩进 字符"/>
    <w:qFormat/>
    <w:locked/>
    <w:uiPriority w:val="0"/>
    <w:rPr>
      <w:rFonts w:ascii="Times New Roman" w:hAnsi="Times New Roman" w:eastAsia="宋体" w:cs="Times New Roman"/>
      <w:sz w:val="20"/>
    </w:rPr>
  </w:style>
  <w:style w:type="character" w:customStyle="1" w:styleId="316">
    <w:name w:val="页码1"/>
    <w:basedOn w:val="50"/>
    <w:qFormat/>
    <w:uiPriority w:val="0"/>
  </w:style>
  <w:style w:type="character" w:customStyle="1" w:styleId="317">
    <w:name w:val="标题 3 Char Char"/>
    <w:qFormat/>
    <w:uiPriority w:val="0"/>
    <w:rPr>
      <w:rFonts w:ascii="宋体" w:hAnsi="宋体" w:eastAsia="宋体"/>
      <w:b/>
      <w:bCs/>
      <w:color w:val="FF0000"/>
      <w:kern w:val="2"/>
      <w:sz w:val="24"/>
      <w:szCs w:val="24"/>
      <w:lang w:val="zh-CN" w:eastAsia="zh-CN" w:bidi="ar-SA"/>
    </w:rPr>
  </w:style>
  <w:style w:type="paragraph" w:customStyle="1" w:styleId="318">
    <w:name w:val="页脚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19">
    <w:name w:val="页脚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0">
    <w:name w:val="页脚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1">
    <w:name w:val="页脚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2">
    <w:name w:val="页脚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3">
    <w:name w:val="页脚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4">
    <w:name w:val="页脚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5">
    <w:name w:val="页脚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6">
    <w:name w:val="页脚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7">
    <w:name w:val="页脚 New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8">
    <w:name w:val="页脚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9">
    <w:name w:val="页脚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0">
    <w:name w:val="页脚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1">
    <w:name w:val="页脚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2">
    <w:name w:val="页脚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3">
    <w:name w:val="页脚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4">
    <w:name w:val="页脚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5">
    <w:name w:val="页脚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6">
    <w:name w:val="页脚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7">
    <w:name w:val="文档结构图3"/>
    <w:basedOn w:val="1"/>
    <w:qFormat/>
    <w:uiPriority w:val="0"/>
    <w:pPr>
      <w:shd w:val="clear" w:color="auto" w:fill="000080"/>
    </w:pPr>
    <w:rPr>
      <w:rFonts w:ascii="Times New Roman" w:hAnsi="Times New Roman"/>
      <w:sz w:val="30"/>
      <w:szCs w:val="24"/>
    </w:rPr>
  </w:style>
  <w:style w:type="paragraph" w:customStyle="1" w:styleId="338">
    <w:name w:val="正文文本缩进 33"/>
    <w:basedOn w:val="1"/>
    <w:qFormat/>
    <w:uiPriority w:val="0"/>
    <w:pPr>
      <w:snapToGrid w:val="0"/>
      <w:spacing w:line="360" w:lineRule="auto"/>
      <w:ind w:left="20" w:firstLine="529" w:firstLineChars="189"/>
    </w:pPr>
    <w:rPr>
      <w:rFonts w:ascii="仿宋_GB2312" w:hAnsi="Times New Roman" w:eastAsia="仿宋_GB2312"/>
      <w:sz w:val="28"/>
      <w:szCs w:val="24"/>
    </w:rPr>
  </w:style>
  <w:style w:type="character" w:customStyle="1" w:styleId="339">
    <w:name w:val="页脚 Char1"/>
    <w:basedOn w:val="50"/>
    <w:semiHidden/>
    <w:qFormat/>
    <w:uiPriority w:val="99"/>
    <w:rPr>
      <w:rFonts w:ascii="Calibri" w:hAnsi="Calibri"/>
      <w:kern w:val="2"/>
      <w:sz w:val="18"/>
      <w:szCs w:val="18"/>
    </w:rPr>
  </w:style>
  <w:style w:type="character" w:customStyle="1" w:styleId="340">
    <w:name w:val="页眉 Char1"/>
    <w:basedOn w:val="50"/>
    <w:semiHidden/>
    <w:qFormat/>
    <w:uiPriority w:val="99"/>
    <w:rPr>
      <w:rFonts w:ascii="Calibri" w:hAnsi="Calibri"/>
      <w:kern w:val="2"/>
      <w:sz w:val="18"/>
      <w:szCs w:val="18"/>
    </w:rPr>
  </w:style>
  <w:style w:type="paragraph" w:customStyle="1" w:styleId="341">
    <w:name w:val="正文2"/>
    <w:qFormat/>
    <w:uiPriority w:val="0"/>
    <w:rPr>
      <w:rFonts w:ascii="Times New Roman" w:hAnsi="Times New Roman" w:eastAsia="Times New Roman" w:cs="Times New Roman"/>
      <w:sz w:val="24"/>
      <w:szCs w:val="24"/>
      <w:lang w:val="en-US" w:eastAsia="zh-CN" w:bidi="ar-SA"/>
    </w:rPr>
  </w:style>
  <w:style w:type="paragraph" w:customStyle="1" w:styleId="342">
    <w:name w:val="正文文本缩进 23"/>
    <w:basedOn w:val="1"/>
    <w:qFormat/>
    <w:uiPriority w:val="0"/>
    <w:pPr>
      <w:spacing w:line="420" w:lineRule="exact"/>
      <w:ind w:firstLine="480"/>
    </w:pPr>
    <w:rPr>
      <w:rFonts w:ascii="Times New Roman" w:hAnsi="Times New Roman"/>
      <w:b/>
      <w:sz w:val="24"/>
      <w:szCs w:val="20"/>
    </w:rPr>
  </w:style>
  <w:style w:type="paragraph" w:customStyle="1" w:styleId="343">
    <w:name w:val="纯文本3"/>
    <w:basedOn w:val="1"/>
    <w:qFormat/>
    <w:uiPriority w:val="0"/>
    <w:rPr>
      <w:rFonts w:ascii="宋体" w:hAnsi="Courier New"/>
      <w:sz w:val="24"/>
      <w:szCs w:val="20"/>
    </w:rPr>
  </w:style>
  <w:style w:type="paragraph" w:customStyle="1" w:styleId="344">
    <w:name w:val="正文首行缩进2"/>
    <w:basedOn w:val="3"/>
    <w:qFormat/>
    <w:uiPriority w:val="0"/>
    <w:pPr>
      <w:ind w:firstLine="420" w:firstLineChars="100"/>
    </w:pPr>
    <w:rPr>
      <w:rFonts w:hAnsi="Calibri"/>
      <w:kern w:val="0"/>
      <w:sz w:val="30"/>
      <w:szCs w:val="24"/>
    </w:rPr>
  </w:style>
  <w:style w:type="paragraph" w:customStyle="1" w:styleId="345">
    <w:name w:val="正文文本缩进2"/>
    <w:basedOn w:val="1"/>
    <w:qFormat/>
    <w:uiPriority w:val="0"/>
    <w:pPr>
      <w:ind w:firstLine="480"/>
    </w:pPr>
    <w:rPr>
      <w:rFonts w:ascii="Times New Roman" w:hAnsi="Times New Roman"/>
      <w:sz w:val="24"/>
      <w:szCs w:val="20"/>
    </w:rPr>
  </w:style>
  <w:style w:type="paragraph" w:customStyle="1" w:styleId="346">
    <w:name w:val="Char1 Char Char Char Char Char Char12"/>
    <w:basedOn w:val="1"/>
    <w:qFormat/>
    <w:uiPriority w:val="0"/>
    <w:rPr>
      <w:rFonts w:ascii="Times New Roman" w:hAnsi="Times New Roman"/>
      <w:szCs w:val="20"/>
    </w:rPr>
  </w:style>
  <w:style w:type="paragraph" w:customStyle="1" w:styleId="347">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48">
    <w:name w:val="正文缩进2"/>
    <w:basedOn w:val="1"/>
    <w:qFormat/>
    <w:uiPriority w:val="0"/>
    <w:pPr>
      <w:ind w:firstLine="420" w:firstLineChars="200"/>
    </w:pPr>
    <w:rPr>
      <w:rFonts w:ascii="Times New Roman" w:hAnsi="Times New Roman"/>
      <w:sz w:val="30"/>
      <w:szCs w:val="24"/>
    </w:rPr>
  </w:style>
  <w:style w:type="paragraph" w:customStyle="1" w:styleId="349">
    <w:name w:val="Char Char Char1 Char2"/>
    <w:basedOn w:val="1"/>
    <w:qFormat/>
    <w:uiPriority w:val="0"/>
    <w:rPr>
      <w:rFonts w:ascii="宋体" w:hAnsi="Times New Roman"/>
      <w:kern w:val="0"/>
      <w:sz w:val="34"/>
      <w:szCs w:val="20"/>
    </w:rPr>
  </w:style>
  <w:style w:type="paragraph" w:customStyle="1" w:styleId="350">
    <w:name w:val="Char3"/>
    <w:basedOn w:val="1"/>
    <w:qFormat/>
    <w:uiPriority w:val="0"/>
    <w:pPr>
      <w:tabs>
        <w:tab w:val="left" w:pos="1500"/>
      </w:tabs>
      <w:ind w:left="567" w:hanging="279"/>
    </w:pPr>
    <w:rPr>
      <w:rFonts w:ascii="Times New Roman" w:hAnsi="Times New Roman"/>
      <w:sz w:val="24"/>
      <w:szCs w:val="24"/>
    </w:rPr>
  </w:style>
  <w:style w:type="paragraph" w:customStyle="1" w:styleId="351">
    <w:name w:val="Char Char Char Char2"/>
    <w:basedOn w:val="1"/>
    <w:qFormat/>
    <w:uiPriority w:val="0"/>
    <w:pPr>
      <w:widowControl/>
      <w:spacing w:after="160" w:line="240" w:lineRule="exact"/>
      <w:jc w:val="left"/>
    </w:pPr>
    <w:rPr>
      <w:rFonts w:ascii="Times New Roman" w:hAnsi="Times New Roman"/>
      <w:szCs w:val="20"/>
    </w:rPr>
  </w:style>
  <w:style w:type="paragraph" w:customStyle="1" w:styleId="352">
    <w:name w:val="表格文字缩进"/>
    <w:basedOn w:val="210"/>
    <w:qFormat/>
    <w:uiPriority w:val="0"/>
    <w:pPr>
      <w:widowControl/>
      <w:tabs>
        <w:tab w:val="clear" w:pos="720"/>
        <w:tab w:val="clear" w:pos="900"/>
      </w:tabs>
      <w:adjustRightInd/>
      <w:snapToGrid/>
      <w:spacing w:beforeLines="0" w:afterLines="0" w:line="240" w:lineRule="atLeast"/>
      <w:ind w:firstLine="360" w:firstLineChars="200"/>
      <w:jc w:val="left"/>
    </w:pPr>
    <w:rPr>
      <w:rFonts w:ascii="Times New Roman" w:hAnsi="Times New Roman" w:cs="宋体"/>
      <w:color w:val="000000"/>
      <w:sz w:val="21"/>
      <w:szCs w:val="18"/>
    </w:rPr>
  </w:style>
  <w:style w:type="character" w:customStyle="1" w:styleId="353">
    <w:name w:val="文一 Char"/>
    <w:qFormat/>
    <w:locked/>
    <w:uiPriority w:val="0"/>
    <w:rPr>
      <w:spacing w:val="4"/>
      <w:sz w:val="24"/>
      <w:szCs w:val="24"/>
    </w:rPr>
  </w:style>
  <w:style w:type="paragraph" w:customStyle="1" w:styleId="354">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355">
    <w:name w:val="正文缩进3"/>
    <w:basedOn w:val="1"/>
    <w:qFormat/>
    <w:uiPriority w:val="0"/>
    <w:pPr>
      <w:ind w:firstLine="420" w:firstLineChars="200"/>
    </w:pPr>
    <w:rPr>
      <w:rFonts w:ascii="Times New Roman" w:hAnsi="Times New Roman"/>
      <w:sz w:val="30"/>
      <w:szCs w:val="24"/>
    </w:rPr>
  </w:style>
  <w:style w:type="character" w:customStyle="1" w:styleId="356">
    <w:name w:val="页码2"/>
    <w:basedOn w:val="50"/>
    <w:qFormat/>
    <w:uiPriority w:val="0"/>
  </w:style>
  <w:style w:type="paragraph" w:customStyle="1" w:styleId="357">
    <w:name w:val="正文文本缩进3"/>
    <w:basedOn w:val="1"/>
    <w:qFormat/>
    <w:uiPriority w:val="0"/>
    <w:pPr>
      <w:ind w:firstLine="480"/>
    </w:pPr>
    <w:rPr>
      <w:rFonts w:ascii="Times New Roman" w:hAnsi="Times New Roman"/>
      <w:sz w:val="24"/>
      <w:szCs w:val="20"/>
    </w:rPr>
  </w:style>
  <w:style w:type="paragraph" w:customStyle="1" w:styleId="358">
    <w:name w:val="普通(网站)3"/>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59">
    <w:name w:val="Char1 Char Char Char Char Char Char13"/>
    <w:basedOn w:val="1"/>
    <w:qFormat/>
    <w:uiPriority w:val="0"/>
    <w:rPr>
      <w:rFonts w:ascii="Times New Roman" w:hAnsi="Times New Roman"/>
      <w:sz w:val="30"/>
      <w:szCs w:val="24"/>
    </w:rPr>
  </w:style>
  <w:style w:type="paragraph" w:customStyle="1" w:styleId="360">
    <w:name w:val="正文文本缩进 34"/>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61">
    <w:name w:val="正文文本缩进 24"/>
    <w:basedOn w:val="1"/>
    <w:qFormat/>
    <w:uiPriority w:val="0"/>
    <w:pPr>
      <w:spacing w:line="420" w:lineRule="exact"/>
      <w:ind w:firstLine="480"/>
    </w:pPr>
    <w:rPr>
      <w:rFonts w:ascii="Times New Roman" w:hAnsi="Times New Roman"/>
      <w:b/>
      <w:sz w:val="24"/>
      <w:szCs w:val="20"/>
    </w:rPr>
  </w:style>
  <w:style w:type="paragraph" w:customStyle="1" w:styleId="362">
    <w:name w:val="纯文本4"/>
    <w:basedOn w:val="1"/>
    <w:qFormat/>
    <w:uiPriority w:val="0"/>
    <w:rPr>
      <w:rFonts w:ascii="宋体" w:hAnsi="Courier New"/>
      <w:sz w:val="24"/>
      <w:szCs w:val="20"/>
    </w:rPr>
  </w:style>
  <w:style w:type="paragraph" w:customStyle="1" w:styleId="363">
    <w:name w:val="正文首行缩进3"/>
    <w:basedOn w:val="3"/>
    <w:qFormat/>
    <w:uiPriority w:val="0"/>
    <w:pPr>
      <w:ind w:firstLine="420" w:firstLineChars="100"/>
    </w:pPr>
    <w:rPr>
      <w:sz w:val="30"/>
      <w:szCs w:val="24"/>
    </w:rPr>
  </w:style>
  <w:style w:type="paragraph" w:customStyle="1" w:styleId="364">
    <w:name w:val="Char4"/>
    <w:basedOn w:val="1"/>
    <w:qFormat/>
    <w:uiPriority w:val="0"/>
    <w:pPr>
      <w:widowControl/>
      <w:spacing w:after="160" w:line="240" w:lineRule="exact"/>
      <w:jc w:val="left"/>
    </w:pPr>
    <w:rPr>
      <w:rFonts w:ascii="Times New Roman" w:hAnsi="Times New Roman"/>
      <w:sz w:val="30"/>
      <w:szCs w:val="24"/>
    </w:rPr>
  </w:style>
  <w:style w:type="paragraph" w:customStyle="1" w:styleId="365">
    <w:name w:val="文档结构图4"/>
    <w:basedOn w:val="1"/>
    <w:qFormat/>
    <w:uiPriority w:val="0"/>
    <w:pPr>
      <w:shd w:val="clear" w:color="auto" w:fill="000080"/>
    </w:pPr>
    <w:rPr>
      <w:rFonts w:ascii="Times New Roman" w:hAnsi="Times New Roman"/>
      <w:sz w:val="30"/>
      <w:szCs w:val="24"/>
    </w:rPr>
  </w:style>
  <w:style w:type="character" w:styleId="366">
    <w:name w:val="Placeholder Text"/>
    <w:basedOn w:val="50"/>
    <w:semiHidden/>
    <w:qFormat/>
    <w:uiPriority w:val="99"/>
    <w:rPr>
      <w:color w:val="808080"/>
    </w:rPr>
  </w:style>
  <w:style w:type="paragraph" w:customStyle="1" w:styleId="367">
    <w:name w:val="Table Paragraph"/>
    <w:basedOn w:val="1"/>
    <w:qFormat/>
    <w:uiPriority w:val="0"/>
    <w:rPr>
      <w:szCs w:val="21"/>
    </w:rPr>
  </w:style>
  <w:style w:type="character" w:customStyle="1" w:styleId="368">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character" w:customStyle="1" w:styleId="369">
    <w:name w:val="NormalCharacter"/>
    <w:qFormat/>
    <w:uiPriority w:val="0"/>
  </w:style>
  <w:style w:type="paragraph" w:customStyle="1" w:styleId="370">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91FA0-D26B-4274-8099-F19687BAD6C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89</Pages>
  <Words>51829</Words>
  <Characters>54664</Characters>
  <Lines>442</Lines>
  <Paragraphs>124</Paragraphs>
  <TotalTime>0</TotalTime>
  <ScaleCrop>false</ScaleCrop>
  <LinksUpToDate>false</LinksUpToDate>
  <CharactersWithSpaces>56554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2022-12-05T09:59:00Z</dcterms:created>
  <dc:creator>广州建筑工程监理有限公司</dc:creator>
  <cp:lastModifiedBy>小胡子大人✨</cp:lastModifiedBy>
  <cp:lastPrinted>2023-07-13T08:36:00Z</cp:lastPrinted>
  <dcterms:modified xsi:type="dcterms:W3CDTF">2023-08-07T01:22:04Z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527966D2B6574D38818E24D0B734E482_13</vt:lpwstr>
  </property>
</Properties>
</file>