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b/>
          <w:color w:val="000000"/>
          <w:sz w:val="36"/>
          <w:highlight w:val="none"/>
          <w:lang w:val="en-US" w:eastAsia="zh-CN"/>
        </w:rPr>
      </w:pPr>
      <w:bookmarkStart w:id="2" w:name="_GoBack"/>
      <w:bookmarkEnd w:id="2"/>
      <w:r>
        <w:rPr>
          <w:rFonts w:hint="eastAsia" w:ascii="黑体" w:hAnsi="黑体" w:eastAsia="黑体" w:cs="黑体"/>
          <w:b/>
          <w:color w:val="000000"/>
          <w:sz w:val="36"/>
          <w:highlight w:val="none"/>
          <w:lang w:val="en-US" w:eastAsia="zh-CN"/>
        </w:rPr>
        <w:t>广州市白云区广州空港实验中学新建及</w:t>
      </w:r>
    </w:p>
    <w:p>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b/>
          <w:color w:val="000000"/>
          <w:sz w:val="36"/>
          <w:highlight w:val="none"/>
        </w:rPr>
      </w:pPr>
      <w:r>
        <w:rPr>
          <w:rFonts w:hint="eastAsia" w:ascii="黑体" w:hAnsi="黑体" w:eastAsia="黑体" w:cs="黑体"/>
          <w:b/>
          <w:color w:val="000000"/>
          <w:sz w:val="36"/>
          <w:highlight w:val="none"/>
          <w:lang w:val="en-US" w:eastAsia="zh-CN"/>
        </w:rPr>
        <w:t>配套设施完善工程</w:t>
      </w:r>
      <w:r>
        <w:rPr>
          <w:rFonts w:hint="eastAsia" w:ascii="黑体" w:hAnsi="黑体" w:eastAsia="黑体" w:cs="黑体"/>
          <w:b/>
          <w:color w:val="000000"/>
          <w:sz w:val="36"/>
          <w:highlight w:val="none"/>
        </w:rPr>
        <w:t>勘察设计任务书</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一、项目概况</w:t>
      </w:r>
    </w:p>
    <w:p>
      <w:pPr>
        <w:keepNext w:val="0"/>
        <w:keepLines w:val="0"/>
        <w:pageBreakBefore w:val="0"/>
        <w:widowControl w:val="0"/>
        <w:kinsoku/>
        <w:wordWrap/>
        <w:overflowPunct/>
        <w:topLinePunct w:val="0"/>
        <w:bidi w:val="0"/>
        <w:snapToGrid w:val="0"/>
        <w:spacing w:line="56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本项目</w:t>
      </w:r>
      <w:r>
        <w:rPr>
          <w:rFonts w:hint="eastAsia" w:ascii="仿宋" w:hAnsi="仿宋" w:eastAsia="仿宋" w:cs="仿宋"/>
          <w:sz w:val="24"/>
          <w:highlight w:val="none"/>
          <w:lang w:val="en-US" w:eastAsia="zh-CN"/>
        </w:rPr>
        <w:t>建设位于广州市白云区人和镇兴贤路广州空港实验中学。本项目包含两方面建设内容:(一)新建工程:新建学生宿舍楼一栋，总建筑面积约 8252 平方米，其中，地上共 7层，地上建筑面积约 7671平方米，地下共 1层，地下建筑面积约 581 平方米:新建地下消防水池一座，容量约 864立方米:(二)校园配套设施完善工程:包括室内改造、室外场地改造、室外管网、入口大门改造、围墙改造、增加雨棚、外立面改造、校园文化建设改造等。</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二、勘探</w:t>
      </w:r>
      <w:r>
        <w:rPr>
          <w:rFonts w:hint="eastAsia" w:ascii="仿宋" w:hAnsi="仿宋" w:eastAsia="仿宋" w:cs="仿宋"/>
          <w:b/>
          <w:sz w:val="28"/>
          <w:szCs w:val="28"/>
          <w:highlight w:val="none"/>
          <w:lang w:val="en-US" w:eastAsia="zh-CN"/>
        </w:rPr>
        <w:t>任务书</w:t>
      </w: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w:t>
      </w:r>
      <w:r>
        <w:rPr>
          <w:rFonts w:hint="eastAsia"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勘察内容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本项目勘察工程项目规模为乙级，基坑工程安全等级最高为二级，地基基础设计等级为乙级，Ⅳ等水准测量：勘察工作包括但不限于以下内容（具体以签订的合同为准）：</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highlight w:val="none"/>
          <w14:textFill>
            <w14:solidFill>
              <w14:schemeClr w14:val="tx1"/>
            </w14:solidFill>
          </w14:textFill>
        </w:rPr>
        <w:t>1.1岩土工</w:t>
      </w:r>
      <w:r>
        <w:rPr>
          <w:rFonts w:hint="eastAsia" w:ascii="仿宋" w:hAnsi="仿宋" w:eastAsia="仿宋" w:cs="仿宋"/>
          <w:color w:val="000000" w:themeColor="text1"/>
          <w:sz w:val="24"/>
          <w:highlight w:val="none"/>
          <w14:textFill>
            <w14:solidFill>
              <w14:schemeClr w14:val="tx1"/>
            </w14:solidFill>
          </w14:textFill>
        </w:rPr>
        <w:t>程勘察，包括初步勘察、详细勘察及施工阶段勘察（超前钻）；</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 xml:space="preserve">1.2地下物探测； </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1.3地形测绘；</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1.4工程测量；</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剪切波速；</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抽水试验；</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2.2 勘察依据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所有勘察工作，应按《岩土工程勘察规范》（GB50021—2001）（2009版）规定的有关技术要求执行。如勘察结果表明场地存在特殊问题，则在钻探过程中或施工前另行增补技术措施。</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2.1《岩土工程勘察规范》（GB50021-2001）（2009年版）</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2.2《高层建筑岩土工程勘察规程》 （JGJ/T72-2017)</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2.3《建筑桩基技术规范》（JGJ94-2008）</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2.4《建筑抗震设计规范》（GB50011-2010）(2016年版）</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2.2</w:t>
      </w:r>
      <w:r>
        <w:rPr>
          <w:rFonts w:hint="eastAsia" w:ascii="仿宋" w:hAnsi="仿宋" w:eastAsia="仿宋" w:cs="仿宋"/>
          <w:color w:val="000000" w:themeColor="text1"/>
          <w:sz w:val="24"/>
          <w:highlight w:val="none"/>
          <w14:textFill>
            <w14:solidFill>
              <w14:schemeClr w14:val="tx1"/>
            </w14:solidFill>
          </w14:textFill>
        </w:rPr>
        <w:t>.5《建筑工程地质勘探与取样技术规程》（JGJ/T87-2012）</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2.6《静压预制混凝土桩基础技术规程》（DBJ/T15-94-2013)</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2.7《建筑工程抗震设防分类标准》 （GB50223-2008)</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2.8《民用建筑工程室内环境污染控制规范》（GB50325-2010) 2013年版</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2.9《 建筑基坑支护技术规范》 （JGJ120-2012)</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2.10《建筑基坑支护工程技术规程》 （DBJ/T15-20-2016)</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2.11《建筑地基处理技术规范》 （JGJ79-2012，DBT15-38-2019)</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2.12《建筑工程地质勘探与取样技术规程》  （JGJ/T87-2012)</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2.13广东省标准《建筑基坑工程技术规程》（</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DBJ/T15-20-2016）</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2.3 岩土工程勘察要求：</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3.1.勘探点布置：</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1．初勘、详勘</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14:textFill>
            <w14:solidFill>
              <w14:schemeClr w14:val="tx1"/>
            </w14:solidFill>
          </w14:textFill>
        </w:rPr>
        <w:t>m（最终以勘察布孔图为准），布孔及终孔条件将在满足条件的基础上，尽量节约成本，最终钻孔平面布置图及勘察技术要求将提交业主、设计进行确认，钻进深度以满足设计要求为准。</w:t>
      </w:r>
      <w:r>
        <w:rPr>
          <w:rFonts w:hint="eastAsia" w:ascii="仿宋" w:hAnsi="仿宋" w:eastAsia="仿宋" w:cs="仿宋"/>
          <w:color w:val="000000" w:themeColor="text1"/>
          <w:sz w:val="24"/>
          <w:highlight w:val="none"/>
          <w14:textFill>
            <w14:solidFill>
              <w14:schemeClr w14:val="tx1"/>
            </w14:solidFill>
          </w14:textFill>
        </w:rPr>
        <w:t>暂定工程量为</w:t>
      </w:r>
      <w:r>
        <w:rPr>
          <w:rFonts w:hint="eastAsia" w:ascii="仿宋" w:hAnsi="仿宋" w:eastAsia="仿宋" w:cs="仿宋"/>
          <w:color w:val="000000" w:themeColor="text1"/>
          <w:sz w:val="24"/>
          <w:highlight w:val="none"/>
          <w:lang w:val="en-US" w:eastAsia="zh-CN"/>
          <w14:textFill>
            <w14:solidFill>
              <w14:schemeClr w14:val="tx1"/>
            </w14:solidFill>
          </w14:textFill>
        </w:rPr>
        <w:t>300</w:t>
      </w:r>
      <w:r>
        <w:rPr>
          <w:rFonts w:hint="eastAsia" w:ascii="仿宋" w:hAnsi="仿宋" w:eastAsia="仿宋" w:cs="仿宋"/>
          <w:color w:val="000000" w:themeColor="text1"/>
          <w:sz w:val="24"/>
          <w:highlight w:val="none"/>
          <w:lang w:val="zh-CN"/>
          <w14:textFill>
            <w14:solidFill>
              <w14:schemeClr w14:val="tx1"/>
            </w14:solidFill>
          </w14:textFill>
        </w:rPr>
        <w:t>m</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具体结算工程量以实际发生工程量为准。</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2．超前钻</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工程桩超前钻（建筑物区域，根据桩基础方案确定）</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预计按照一桩一钻孔的布孔原则，在建筑物区域桩位布置钻孔，根据暂定建筑、结构方案，暂按建筑物区域超前钻在基坑开挖5米后进行，（若建筑物区域超前钻在基坑开挖后进行，或者不采用桩基础的基础形式，预估总工作量作相应减少）。</w:t>
      </w:r>
      <w:r>
        <w:rPr>
          <w:rFonts w:hint="eastAsia" w:ascii="仿宋" w:hAnsi="仿宋" w:eastAsia="仿宋" w:cs="仿宋"/>
          <w:color w:val="000000" w:themeColor="text1"/>
          <w:sz w:val="24"/>
          <w:highlight w:val="none"/>
          <w14:textFill>
            <w14:solidFill>
              <w14:schemeClr w14:val="tx1"/>
            </w14:solidFill>
          </w14:textFill>
        </w:rPr>
        <w:t>暂定</w:t>
      </w:r>
      <w:r>
        <w:rPr>
          <w:rFonts w:hint="eastAsia" w:ascii="仿宋" w:hAnsi="仿宋" w:eastAsia="仿宋" w:cs="仿宋"/>
          <w:color w:val="000000" w:themeColor="text1"/>
          <w:sz w:val="24"/>
          <w:highlight w:val="none"/>
          <w:lang w:val="zh-CN"/>
          <w14:textFill>
            <w14:solidFill>
              <w14:schemeClr w14:val="tx1"/>
            </w14:solidFill>
          </w14:textFill>
        </w:rPr>
        <w:t>超前钻工程量</w:t>
      </w:r>
      <w:r>
        <w:rPr>
          <w:rFonts w:hint="eastAsia" w:ascii="仿宋" w:hAnsi="仿宋" w:eastAsia="仿宋" w:cs="仿宋"/>
          <w:color w:val="000000" w:themeColor="text1"/>
          <w:sz w:val="24"/>
          <w:highlight w:val="none"/>
          <w:lang w:val="en-US" w:eastAsia="zh-CN"/>
          <w14:textFill>
            <w14:solidFill>
              <w14:schemeClr w14:val="tx1"/>
            </w14:solidFill>
          </w14:textFill>
        </w:rPr>
        <w:t>200</w:t>
      </w:r>
      <w:r>
        <w:rPr>
          <w:rFonts w:hint="eastAsia" w:ascii="仿宋" w:hAnsi="仿宋" w:eastAsia="仿宋" w:cs="仿宋"/>
          <w:color w:val="000000" w:themeColor="text1"/>
          <w:sz w:val="24"/>
          <w:szCs w:val="24"/>
          <w:highlight w:val="none"/>
          <w:lang w:val="zh-CN"/>
          <w14:textFill>
            <w14:solidFill>
              <w14:schemeClr w14:val="tx1"/>
            </w14:solidFill>
          </w14:textFill>
        </w:rPr>
        <w:t>M</w:t>
      </w:r>
      <w:r>
        <w:rPr>
          <w:rFonts w:hint="eastAsia" w:ascii="仿宋" w:hAnsi="仿宋" w:eastAsia="仿宋" w:cs="仿宋"/>
          <w:color w:val="000000" w:themeColor="text1"/>
          <w:sz w:val="24"/>
          <w:highlight w:val="none"/>
          <w:lang w:val="zh-CN"/>
          <w14:textFill>
            <w14:solidFill>
              <w14:schemeClr w14:val="tx1"/>
            </w14:solidFill>
          </w14:textFill>
        </w:rPr>
        <w:t>。具体结算工程量以实际发生工程量为准。</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.3.2</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钻孔要求：</w:t>
      </w:r>
    </w:p>
    <w:p>
      <w:pPr>
        <w:keepNext w:val="0"/>
        <w:keepLines w:val="0"/>
        <w:pageBreakBefore w:val="0"/>
        <w:widowControl w:val="0"/>
        <w:kinsoku/>
        <w:wordWrap/>
        <w:overflowPunct/>
        <w:topLinePunct w:val="0"/>
        <w:autoSpaceDE w:val="0"/>
        <w:autoSpaceDN w:val="0"/>
        <w:bidi w:val="0"/>
        <w:spacing w:line="560" w:lineRule="exact"/>
        <w:ind w:firstLine="48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详勘：一般性勘探点钻进连续强风化不小于</w:t>
      </w: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zh-CN"/>
          <w14:textFill>
            <w14:solidFill>
              <w14:schemeClr w14:val="tx1"/>
            </w14:solidFill>
          </w14:textFill>
        </w:rPr>
        <w:t xml:space="preserve"> M或中</w:t>
      </w:r>
      <w:r>
        <w:rPr>
          <w:rFonts w:hint="eastAsia" w:ascii="仿宋" w:hAnsi="仿宋" w:eastAsia="仿宋" w:cs="仿宋"/>
          <w:color w:val="000000" w:themeColor="text1"/>
          <w:sz w:val="24"/>
          <w:szCs w:val="24"/>
          <w:highlight w:val="none"/>
          <w14:textFill>
            <w14:solidFill>
              <w14:schemeClr w14:val="tx1"/>
            </w14:solidFill>
          </w14:textFill>
        </w:rPr>
        <w:t>微</w:t>
      </w:r>
      <w:r>
        <w:rPr>
          <w:rFonts w:hint="eastAsia" w:ascii="仿宋" w:hAnsi="仿宋" w:eastAsia="仿宋" w:cs="仿宋"/>
          <w:color w:val="000000" w:themeColor="text1"/>
          <w:sz w:val="24"/>
          <w:szCs w:val="24"/>
          <w:highlight w:val="none"/>
          <w:lang w:val="zh-CN"/>
          <w14:textFill>
            <w14:solidFill>
              <w14:schemeClr w14:val="tx1"/>
            </w14:solidFill>
          </w14:textFill>
        </w:rPr>
        <w:t>风化岩层3M；控制性勘探点深度需进入连续强风化不小于</w:t>
      </w:r>
      <w:r>
        <w:rPr>
          <w:rFonts w:hint="eastAsia" w:ascii="仿宋" w:hAnsi="仿宋" w:eastAsia="仿宋" w:cs="仿宋"/>
          <w:color w:val="000000" w:themeColor="text1"/>
          <w:sz w:val="24"/>
          <w:szCs w:val="24"/>
          <w:highlight w:val="none"/>
          <w14:textFill>
            <w14:solidFill>
              <w14:schemeClr w14:val="tx1"/>
            </w14:solidFill>
          </w14:textFill>
        </w:rPr>
        <w:t>10</w:t>
      </w:r>
      <w:r>
        <w:rPr>
          <w:rFonts w:hint="eastAsia" w:ascii="仿宋" w:hAnsi="仿宋" w:eastAsia="仿宋" w:cs="仿宋"/>
          <w:color w:val="000000" w:themeColor="text1"/>
          <w:sz w:val="24"/>
          <w:szCs w:val="24"/>
          <w:highlight w:val="none"/>
          <w:lang w:val="zh-CN"/>
          <w14:textFill>
            <w14:solidFill>
              <w14:schemeClr w14:val="tx1"/>
            </w14:solidFill>
          </w14:textFill>
        </w:rPr>
        <w:t>M或中</w:t>
      </w:r>
      <w:r>
        <w:rPr>
          <w:rFonts w:hint="eastAsia" w:ascii="仿宋" w:hAnsi="仿宋" w:eastAsia="仿宋" w:cs="仿宋"/>
          <w:color w:val="000000" w:themeColor="text1"/>
          <w:sz w:val="24"/>
          <w:szCs w:val="24"/>
          <w:highlight w:val="none"/>
          <w14:textFill>
            <w14:solidFill>
              <w14:schemeClr w14:val="tx1"/>
            </w14:solidFill>
          </w14:textFill>
        </w:rPr>
        <w:t>微</w:t>
      </w:r>
      <w:r>
        <w:rPr>
          <w:rFonts w:hint="eastAsia" w:ascii="仿宋" w:hAnsi="仿宋" w:eastAsia="仿宋" w:cs="仿宋"/>
          <w:color w:val="000000" w:themeColor="text1"/>
          <w:sz w:val="24"/>
          <w:szCs w:val="24"/>
          <w:highlight w:val="none"/>
          <w:lang w:val="zh-CN"/>
          <w14:textFill>
            <w14:solidFill>
              <w14:schemeClr w14:val="tx1"/>
            </w14:solidFill>
          </w14:textFill>
        </w:rPr>
        <w:t>风化岩层6M；</w:t>
      </w:r>
    </w:p>
    <w:p>
      <w:pPr>
        <w:keepNext w:val="0"/>
        <w:keepLines w:val="0"/>
        <w:pageBreakBefore w:val="0"/>
        <w:widowControl w:val="0"/>
        <w:kinsoku/>
        <w:wordWrap/>
        <w:overflowPunct/>
        <w:topLinePunct w:val="0"/>
        <w:autoSpaceDE w:val="0"/>
        <w:autoSpaceDN w:val="0"/>
        <w:bidi w:val="0"/>
        <w:spacing w:line="560" w:lineRule="exact"/>
        <w:ind w:firstLine="48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如钻孔深度超过</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CN"/>
          <w14:textFill>
            <w14:solidFill>
              <w14:schemeClr w14:val="tx1"/>
            </w14:solidFill>
          </w14:textFill>
        </w:rPr>
        <w:t>0M仍未至岩层，应通知设计人员另做调整；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3．控制孔应取土、岩样作常规的物理力学实验，所有钻孔应作原位测试（标贯N）实验。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4．取土岩式样和原位测试的钻探点，每一主要土层的原状土式样或原位测试不应少于6件。对厚度大于0.5m的夹层或透镜体，应采取土试样或进行原位测试；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5．岩样均分别取样进行天然湿度状态或饱和状态下的单轴抗压强度试验，并提供极限抗压强度，软化系数等参数；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6．超前钻：以满足设计、施工要求为准，依照相关技术要求和图纸钻探施工。</w:t>
      </w:r>
    </w:p>
    <w:p>
      <w:pPr>
        <w:keepNext w:val="0"/>
        <w:keepLines w:val="0"/>
        <w:pageBreakBefore w:val="0"/>
        <w:widowControl w:val="0"/>
        <w:kinsoku/>
        <w:wordWrap/>
        <w:overflowPunct/>
        <w:topLinePunct w:val="0"/>
        <w:autoSpaceDE w:val="0"/>
        <w:autoSpaceDN w:val="0"/>
        <w:bidi w:val="0"/>
        <w:spacing w:line="560" w:lineRule="exact"/>
        <w:ind w:firstLine="48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.3.3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岩土工程勘察，包括但不限于以下工作：</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 .查明建筑范围内岩土的类型、深度、分布、工程特性和变化规律，分析和评价地基的稳定性、均匀性和承载力。</w:t>
      </w:r>
      <w:r>
        <w:rPr>
          <w:rFonts w:hint="eastAsia" w:ascii="仿宋" w:hAnsi="仿宋" w:eastAsia="仿宋" w:cs="仿宋"/>
          <w:color w:val="000000" w:themeColor="text1"/>
          <w:sz w:val="24"/>
          <w:highlight w:val="none"/>
          <w14:textFill>
            <w14:solidFill>
              <w14:schemeClr w14:val="tx1"/>
            </w14:solidFill>
          </w14:textFill>
        </w:rPr>
        <w:t>岩石地基除提出各岩层的承载力特征值，尚需提出不同岩层的饱和或天然单轴抗压强度标准值；</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2 .划分场地土类型和场地类别，分析预测地震效应，判定饱和砂土或饱和粉土的地震液化，并应确定液化指数和液化等级。</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3. </w:t>
      </w:r>
      <w:r>
        <w:rPr>
          <w:rFonts w:hint="eastAsia" w:ascii="仿宋" w:hAnsi="仿宋" w:eastAsia="仿宋" w:cs="仿宋"/>
          <w:color w:val="000000" w:themeColor="text1"/>
          <w:sz w:val="24"/>
          <w:highlight w:val="none"/>
          <w14:textFill>
            <w14:solidFill>
              <w14:schemeClr w14:val="tx1"/>
            </w14:solidFill>
          </w14:textFill>
        </w:rPr>
        <w:t>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4. </w:t>
      </w:r>
      <w:r>
        <w:rPr>
          <w:rFonts w:hint="eastAsia" w:ascii="仿宋" w:hAnsi="仿宋" w:eastAsia="仿宋" w:cs="仿宋"/>
          <w:color w:val="000000" w:themeColor="text1"/>
          <w:sz w:val="24"/>
          <w:highlight w:val="none"/>
          <w14:textFill>
            <w14:solidFill>
              <w14:schemeClr w14:val="tx1"/>
            </w14:solidFill>
          </w14:textFill>
        </w:rPr>
        <w:t>查明埋藏的河道、沟滨、墓穴、防空洞、孤石等对基础不利的埋藏物；</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5 .</w:t>
      </w:r>
      <w:r>
        <w:rPr>
          <w:rFonts w:hint="eastAsia" w:ascii="仿宋" w:hAnsi="仿宋" w:eastAsia="仿宋" w:cs="仿宋"/>
          <w:color w:val="000000" w:themeColor="text1"/>
          <w:sz w:val="24"/>
          <w:highlight w:val="none"/>
          <w14:textFill>
            <w14:solidFill>
              <w14:schemeClr w14:val="tx1"/>
            </w14:solidFill>
          </w14:textFill>
        </w:rPr>
        <w:t>查明地下水的性质、补给条件、各土层的渗透性及水流量，提供降水设计所需的计算参数和方案提议。提供地下水位及其变化幅度，明确抗浮设计设防水位。评价地下水对桩基设计和施工的影响，判定环境水和土对混凝土的金属</w:t>
      </w:r>
      <w:r>
        <w:rPr>
          <w:rFonts w:hint="eastAsia" w:ascii="仿宋" w:hAnsi="仿宋" w:eastAsia="仿宋" w:cs="仿宋"/>
          <w:color w:val="000000" w:themeColor="text1"/>
          <w:sz w:val="24"/>
          <w:highlight w:val="none"/>
          <w:lang w:val="zh-CN"/>
          <w14:textFill>
            <w14:solidFill>
              <w14:schemeClr w14:val="tx1"/>
            </w14:solidFill>
          </w14:textFill>
        </w:rPr>
        <w:t>材料的腐蚀性。</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6. 查明建筑范围内岩土层的类型、深度、分布、工程特性和变化规律，分析和评价地基的稳定性、均匀性和承载力。</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当有软弱下卧层时，需勘察提供参数，供设计验算软弱下卧层强度</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持力层为倾斜地层，基岩面凹凸不平或岩土中有溶洞时，应评价基础的稳定性，并提出处理措施的建议。</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对可能采用的基础形式提出建议：</w:t>
      </w:r>
    </w:p>
    <w:p>
      <w:pPr>
        <w:keepNext w:val="0"/>
        <w:keepLines w:val="0"/>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评价成桩可能性，论证桩的施工条件及其对环境的影响。提供桩基设计所需的岩土技术参数，提出桩的类型、长度、和施工方法等建议。</w:t>
      </w:r>
    </w:p>
    <w:p>
      <w:pPr>
        <w:keepNext w:val="0"/>
        <w:keepLines w:val="0"/>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提出估算的有关岩土的基桩侧阻力和端阻力，。</w:t>
      </w:r>
    </w:p>
    <w:p>
      <w:pPr>
        <w:keepNext w:val="0"/>
        <w:keepLines w:val="0"/>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应提供计算所需的各层岩土的变形参数，，并预测建筑物的变形特征。</w:t>
      </w:r>
    </w:p>
    <w:p>
      <w:pPr>
        <w:keepNext w:val="0"/>
        <w:keepLines w:val="0"/>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查明不良地质作用，可液化土层和特殊性岩土以及溶洞的分布及对桩基的危害程度，并提出防治措施的建议。</w:t>
      </w:r>
    </w:p>
    <w:p>
      <w:pPr>
        <w:keepNext w:val="0"/>
        <w:keepLines w:val="0"/>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当桩基持力层为基岩时，应查明基岩的岩性、构造、岩面变化、风化程度，确定基坚硬程度、完整程度和基本质量等级，判定有无洞穴、临空面、破碎岩体或软弱岩层。</w:t>
      </w:r>
    </w:p>
    <w:p>
      <w:pPr>
        <w:keepNext w:val="0"/>
        <w:keepLines w:val="0"/>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桩基岩土工程勘察宜采用钻探和触探以及基他原位测试相结合的方式进行，对软土宜采用静力触探试验，对粘性土、粉土和砂土宜采用标准贯入试验，对碎石土宜采用重型或超重型圆锥动力触探。</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基坑工程勘察部分应对应一下内容进行分析，并提供有关技术参数和建议：</w:t>
      </w:r>
    </w:p>
    <w:p>
      <w:pPr>
        <w:keepNext w:val="0"/>
        <w:keepLines w:val="0"/>
        <w:pageBreakBefore w:val="0"/>
        <w:widowControl w:val="0"/>
        <w:numPr>
          <w:ilvl w:val="0"/>
          <w:numId w:val="3"/>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边坡的局部稳定性、整体稳定性和坑底抗隆起稳定性；</w:t>
      </w:r>
    </w:p>
    <w:p>
      <w:pPr>
        <w:keepNext w:val="0"/>
        <w:keepLines w:val="0"/>
        <w:pageBreakBefore w:val="0"/>
        <w:widowControl w:val="0"/>
        <w:numPr>
          <w:ilvl w:val="0"/>
          <w:numId w:val="3"/>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坑底和侧壁的渗透稳定性；</w:t>
      </w:r>
    </w:p>
    <w:p>
      <w:pPr>
        <w:keepNext w:val="0"/>
        <w:keepLines w:val="0"/>
        <w:pageBreakBefore w:val="0"/>
        <w:widowControl w:val="0"/>
        <w:numPr>
          <w:ilvl w:val="0"/>
          <w:numId w:val="3"/>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挡土结构和边坡可能发生的变形；</w:t>
      </w:r>
    </w:p>
    <w:p>
      <w:pPr>
        <w:keepNext w:val="0"/>
        <w:keepLines w:val="0"/>
        <w:pageBreakBefore w:val="0"/>
        <w:widowControl w:val="0"/>
        <w:numPr>
          <w:ilvl w:val="0"/>
          <w:numId w:val="3"/>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降水效果和降水对环境的影响；</w:t>
      </w:r>
    </w:p>
    <w:p>
      <w:pPr>
        <w:keepNext w:val="0"/>
        <w:keepLines w:val="0"/>
        <w:pageBreakBefore w:val="0"/>
        <w:widowControl w:val="0"/>
        <w:numPr>
          <w:ilvl w:val="0"/>
          <w:numId w:val="3"/>
        </w:numPr>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开挖和降水对邻边建筑和地下设施的影响。</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13.</w:t>
      </w:r>
      <w:r>
        <w:rPr>
          <w:rFonts w:hint="eastAsia" w:ascii="仿宋" w:hAnsi="仿宋" w:eastAsia="仿宋" w:cs="仿宋"/>
          <w:color w:val="000000" w:themeColor="text1"/>
          <w:sz w:val="24"/>
          <w:highlight w:val="none"/>
          <w:lang w:val="zh-CN"/>
          <w14:textFill>
            <w14:solidFill>
              <w14:schemeClr w14:val="tx1"/>
            </w14:solidFill>
          </w14:textFill>
        </w:rPr>
        <w:t>除说明外，均按照《岩土工程勘察规范》（GB50021-2017）（2017年版）规定的有关技术要求执行。如本次勘察结果表明场地存在特殊问题，则在钻探过程中或基础工程施工前另行增补技术措施。</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14.</w:t>
      </w:r>
      <w:r>
        <w:rPr>
          <w:rFonts w:hint="eastAsia" w:ascii="仿宋" w:hAnsi="仿宋" w:eastAsia="仿宋" w:cs="仿宋"/>
          <w:color w:val="000000" w:themeColor="text1"/>
          <w:sz w:val="24"/>
          <w:highlight w:val="none"/>
          <w:lang w:val="zh-CN"/>
          <w14:textFill>
            <w14:solidFill>
              <w14:schemeClr w14:val="tx1"/>
            </w14:solidFill>
          </w14:textFill>
        </w:rPr>
        <w:t>视现场钻孔揭露地层情况，选取具有代表性的钻孔位置（砂层深厚、分布连续地段）进行抽水试验</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lang w:val="zh-CN"/>
          <w14:textFill>
            <w14:solidFill>
              <w14:schemeClr w14:val="tx1"/>
            </w14:solidFill>
          </w14:textFill>
        </w:rPr>
        <w:t>根据要求在建筑周边布设噪声测量点主要执行以下依据</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w:t>
      </w:r>
      <w:r>
        <w:rPr>
          <w:rFonts w:hint="eastAsia" w:ascii="仿宋" w:hAnsi="仿宋" w:eastAsia="仿宋" w:cs="仿宋"/>
          <w:color w:val="000000" w:themeColor="text1"/>
          <w:sz w:val="24"/>
          <w:highlight w:val="none"/>
          <w14:textFill>
            <w14:solidFill>
              <w14:schemeClr w14:val="tx1"/>
            </w14:solidFill>
          </w14:textFill>
        </w:rPr>
        <w:t>《建筑节能工程施工质量验收标准》GB50411-2019</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w:t>
      </w:r>
      <w:r>
        <w:rPr>
          <w:rFonts w:hint="eastAsia" w:ascii="仿宋" w:hAnsi="仿宋" w:eastAsia="仿宋" w:cs="仿宋"/>
          <w:color w:val="000000" w:themeColor="text1"/>
          <w:sz w:val="24"/>
          <w:highlight w:val="none"/>
          <w14:textFill>
            <w14:solidFill>
              <w14:schemeClr w14:val="tx1"/>
            </w14:solidFill>
          </w14:textFill>
        </w:rPr>
        <w:t>《绿色建筑评价标准》GB50378-2014</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③</w:t>
      </w:r>
      <w:r>
        <w:rPr>
          <w:rFonts w:hint="eastAsia" w:ascii="仿宋" w:hAnsi="仿宋" w:eastAsia="仿宋" w:cs="仿宋"/>
          <w:color w:val="000000" w:themeColor="text1"/>
          <w:sz w:val="24"/>
          <w:highlight w:val="none"/>
          <w14:textFill>
            <w14:solidFill>
              <w14:schemeClr w14:val="tx1"/>
            </w14:solidFill>
          </w14:textFill>
        </w:rPr>
        <w:t>《广东省绿色建筑评价标准》DJB15-86-2011</w:t>
      </w:r>
    </w:p>
    <w:p>
      <w:pPr>
        <w:pStyle w:val="2"/>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highlight w:val="none"/>
        </w:rPr>
      </w:pPr>
    </w:p>
    <w:p>
      <w:pPr>
        <w:pStyle w:val="2"/>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highlight w:val="none"/>
        </w:rPr>
      </w:pPr>
    </w:p>
    <w:p>
      <w:pPr>
        <w:pStyle w:val="2"/>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highlight w:val="none"/>
        </w:rPr>
      </w:pP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2.4 地下物探测要求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广州市城乡建设委员会《关于加强地下工程施工前地下管线探测工作的通知》（穗建质[2013]845号），对本项目用地红线范围进行物探，探测工作包括查明探测范围内各专业管线走向、位置和标高等，作为设计和施工的基础数据。探测单位应当根据《城市地下管线探测技术规程》(CJJ6  1-2003)和探测合同开展工作，确保工作质量，出具的探测报告需加盖CMA章。</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2.5 地形测绘及工程测量要求</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测绘及测量工作是指完成规划与国土部门报建（及验收）所需的所有测量测绘工作(放线册和验线册），工程测量包括（不限于红线范围内包括但不限于红线内建筑和红线外配建道路及管线），满足设计要求的地形测量，水准测量精度采用Ⅳ级。应提交满足审批要求的成果，如下所述：</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.5.1 在规划报建及验收各阶段按审批部门要求完成相关的测量测绘工作，如：实测地形图、工程测量控制点（GPS RTK观测点）、放线测量（含建筑工程、综合管线、外水外电、燃气等）、联合验收测绘（含项目规划条件核实验线测量、人防面积测绘、房产面积测绘）等；</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.5.2 在国土报建及验收各阶段按审批部门要求完成的相关测量测绘工作，如：办理用地批准书，用地规划类证件等所需的地块红线地形图测绘及套图等；</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.5.3 全部成果须满足相关政府审核部门收案和批复的要求，同时应提交原件成果两份、复印件若干交甲方存档。</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.5.4测量单位应按照《城市测量规范》（CJJ/T8-2011）等国家现行测绘标准开展测量工作，测量成果应盖有广州市国土和规划委员会认可的相应测量资质章，保证通过国土规划等相关部门报建和验收审批。</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.5.5以上地形测绘及工程测量产生的相关测量费用结算实报实销。</w:t>
      </w:r>
    </w:p>
    <w:p>
      <w:pPr>
        <w:keepNext w:val="0"/>
        <w:keepLines w:val="0"/>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.5.5 提交业主要求的土方平衡图（网格10米*10米）</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2.6 勘察报告内容</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勘察报告应满足现行相关规范、规程、标准等的要求，满足项目设计及施工的要求。满足施工图审查要求，盖注册岩土工程师章和施工图审查章，管线物探报告盖质量认证的CMA章。</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2.7岩土勘察报告</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2.8</w:t>
      </w:r>
      <w:r>
        <w:rPr>
          <w:rFonts w:hint="eastAsia" w:ascii="仿宋" w:hAnsi="仿宋" w:eastAsia="仿宋" w:cs="仿宋"/>
          <w:color w:val="000000" w:themeColor="text1"/>
          <w:sz w:val="24"/>
          <w:highlight w:val="none"/>
          <w:lang w:val="zh-CN"/>
          <w14:textFill>
            <w14:solidFill>
              <w14:schemeClr w14:val="tx1"/>
            </w14:solidFill>
          </w14:textFill>
        </w:rPr>
        <w:t>.1文字部分：</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  工程地质勘察目的、任务要求和依据的技术标准；</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  拟建工程概况；</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勘察方法和勘察工作布置；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  场地地形、地貌、地质、地质构造、岩石性质及其均匀性；</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  各项岩土性质指标，岩土的强度参数、变形参数、地基承载力的建议值；</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  地上水埋藏情况、类型、水位及其变化；</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  土和水对建筑材料的腐蚀性；</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  可能影响工程稳定的不良地质作用的描述和对工程危害的程度的评价，及提供防治措施的建议；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  场地的稳定性和适宜性、地下水的影响、地震基本烈度、场地类别以及由于工程建筑可能引起的工程地质问题等的结论和建议；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  基坑开挖所需的岩土技术参数；</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  基坑施工降水的有关技术参数及施工降水方法的建议；</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  提供抗剪强度指标、变形参数指标和触探资料；</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  满足工程地质勘察任务书提出的其它各项要求；</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  提供抗浮验算的各项计算参数；</w:t>
      </w:r>
    </w:p>
    <w:p>
      <w:pPr>
        <w:keepNext w:val="0"/>
        <w:keepLines w:val="0"/>
        <w:pageBreakBefore w:val="0"/>
        <w:widowControl w:val="0"/>
        <w:kinsoku/>
        <w:wordWrap/>
        <w:overflowPunct/>
        <w:topLinePunct w:val="0"/>
        <w:bidi w:val="0"/>
        <w:spacing w:line="560" w:lineRule="exact"/>
        <w:ind w:left="44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  提供基础选型、持力层选择的建议。</w:t>
      </w:r>
    </w:p>
    <w:p>
      <w:pPr>
        <w:keepNext w:val="0"/>
        <w:keepLines w:val="0"/>
        <w:pageBreakBefore w:val="0"/>
        <w:widowControl w:val="0"/>
        <w:kinsoku/>
        <w:wordWrap/>
        <w:overflowPunct/>
        <w:topLinePunct w:val="0"/>
        <w:bidi w:val="0"/>
        <w:spacing w:before="78" w:beforeLines="25" w:after="78" w:afterLines="25" w:line="56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2.8</w:t>
      </w:r>
      <w:r>
        <w:rPr>
          <w:rFonts w:hint="eastAsia" w:ascii="仿宋" w:hAnsi="仿宋" w:eastAsia="仿宋" w:cs="仿宋"/>
          <w:color w:val="000000" w:themeColor="text1"/>
          <w:sz w:val="24"/>
          <w:highlight w:val="none"/>
          <w:lang w:val="zh-CN"/>
          <w14:textFill>
            <w14:solidFill>
              <w14:schemeClr w14:val="tx1"/>
            </w14:solidFill>
          </w14:textFill>
        </w:rPr>
        <w:t>.2图表部分：</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勘探点平面布置图；</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综合工程地质图；</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工程地质剖面图；</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工程地质柱状图或综合地质柱状图；</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室内实验成果图表；</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原位测试成果图表；</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有关测试图表等；</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岩面等高线图；</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岩样照片；</w:t>
      </w:r>
    </w:p>
    <w:p>
      <w:pPr>
        <w:keepNext w:val="0"/>
        <w:keepLines w:val="0"/>
        <w:pageBreakBefore w:val="0"/>
        <w:widowControl w:val="0"/>
        <w:numPr>
          <w:ilvl w:val="0"/>
          <w:numId w:val="4"/>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不良地质（如有，如孤石、岩溶等）情况分布图及相关列表。</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2.8地形测量报告</w:t>
      </w:r>
    </w:p>
    <w:p>
      <w:pPr>
        <w:keepNext w:val="0"/>
        <w:keepLines w:val="0"/>
        <w:pageBreakBefore w:val="0"/>
        <w:widowControl w:val="0"/>
        <w:numPr>
          <w:ilvl w:val="0"/>
          <w:numId w:val="5"/>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地形测量报告书；</w:t>
      </w:r>
    </w:p>
    <w:p>
      <w:pPr>
        <w:keepNext w:val="0"/>
        <w:keepLines w:val="0"/>
        <w:pageBreakBefore w:val="0"/>
        <w:widowControl w:val="0"/>
        <w:numPr>
          <w:ilvl w:val="0"/>
          <w:numId w:val="5"/>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控制点坐标表；</w:t>
      </w:r>
    </w:p>
    <w:p>
      <w:pPr>
        <w:keepNext w:val="0"/>
        <w:keepLines w:val="0"/>
        <w:pageBreakBefore w:val="0"/>
        <w:widowControl w:val="0"/>
        <w:numPr>
          <w:ilvl w:val="0"/>
          <w:numId w:val="5"/>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地形图；</w:t>
      </w:r>
    </w:p>
    <w:p>
      <w:pPr>
        <w:keepNext w:val="0"/>
        <w:keepLines w:val="0"/>
        <w:pageBreakBefore w:val="0"/>
        <w:widowControl w:val="0"/>
        <w:numPr>
          <w:ilvl w:val="0"/>
          <w:numId w:val="5"/>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以上资料的数据光盘。</w:t>
      </w:r>
    </w:p>
    <w:p>
      <w:pPr>
        <w:keepNext w:val="0"/>
        <w:keepLines w:val="0"/>
        <w:pageBreakBefore w:val="0"/>
        <w:widowControl w:val="0"/>
        <w:kinsoku/>
        <w:wordWrap/>
        <w:overflowPunct/>
        <w:topLinePunct w:val="0"/>
        <w:bidi w:val="0"/>
        <w:spacing w:before="156" w:beforeLines="50" w:after="156" w:afterLines="50"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2.9地下物探测（含管线探测）</w:t>
      </w:r>
    </w:p>
    <w:p>
      <w:pPr>
        <w:keepNext w:val="0"/>
        <w:keepLines w:val="0"/>
        <w:pageBreakBefore w:val="0"/>
        <w:widowControl w:val="0"/>
        <w:numPr>
          <w:ilvl w:val="0"/>
          <w:numId w:val="6"/>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管线探测报告；</w:t>
      </w:r>
    </w:p>
    <w:p>
      <w:pPr>
        <w:keepNext w:val="0"/>
        <w:keepLines w:val="0"/>
        <w:pageBreakBefore w:val="0"/>
        <w:widowControl w:val="0"/>
        <w:numPr>
          <w:ilvl w:val="0"/>
          <w:numId w:val="6"/>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附表管线成果表；</w:t>
      </w:r>
    </w:p>
    <w:p>
      <w:pPr>
        <w:keepNext w:val="0"/>
        <w:keepLines w:val="0"/>
        <w:pageBreakBefore w:val="0"/>
        <w:widowControl w:val="0"/>
        <w:numPr>
          <w:ilvl w:val="0"/>
          <w:numId w:val="6"/>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附图综合管线图；</w:t>
      </w:r>
    </w:p>
    <w:p>
      <w:pPr>
        <w:keepNext w:val="0"/>
        <w:keepLines w:val="0"/>
        <w:pageBreakBefore w:val="0"/>
        <w:widowControl w:val="0"/>
        <w:numPr>
          <w:ilvl w:val="0"/>
          <w:numId w:val="6"/>
        </w:numPr>
        <w:tabs>
          <w:tab w:val="left" w:pos="900"/>
        </w:tabs>
        <w:kinsoku/>
        <w:wordWrap/>
        <w:overflowPunct/>
        <w:topLinePunct w:val="0"/>
        <w:bidi w:val="0"/>
        <w:spacing w:line="560" w:lineRule="exact"/>
        <w:ind w:left="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以上资料的数据光盘。</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2.10、工期要求</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1、岩土工程勘察：承包人应在发包人通知进场后15日内提交中间成果资料，30日内提交正式成果文件；</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2、地形测量：承包人应在发包人通知进场后15日内提交正式成果文件；</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3、地下物探测：承包人应在发包人通知进场后15日内提交中间成果资料，30日内提交正式成果文件；</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4、其它勘察成果：按本工程进度要求提供，不得耽误项目推进工期。</w:t>
      </w:r>
    </w:p>
    <w:p>
      <w:pPr>
        <w:keepNext w:val="0"/>
        <w:keepLines w:val="0"/>
        <w:pageBreakBefore w:val="0"/>
        <w:widowControl w:val="0"/>
        <w:kinsoku/>
        <w:wordWrap/>
        <w:overflowPunct/>
        <w:topLinePunct w:val="0"/>
        <w:bidi w:val="0"/>
        <w:spacing w:before="156" w:beforeLines="50" w:after="156" w:afterLines="50" w:line="56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5、在项目基础施工期间，要求勘察单位选派中级或以上勘察技术人员驻场服务，每天驻场时间不少于8小时并执行现场打卡制度。</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三、设计</w:t>
      </w:r>
      <w:r>
        <w:rPr>
          <w:rFonts w:hint="eastAsia" w:ascii="仿宋" w:hAnsi="仿宋" w:eastAsia="仿宋" w:cs="仿宋"/>
          <w:b/>
          <w:sz w:val="28"/>
          <w:szCs w:val="28"/>
          <w:highlight w:val="none"/>
          <w:lang w:val="en-US" w:eastAsia="zh-CN"/>
        </w:rPr>
        <w:t>任务书</w:t>
      </w:r>
    </w:p>
    <w:p>
      <w:pPr>
        <w:keepNext w:val="0"/>
        <w:keepLines w:val="0"/>
        <w:pageBreakBefore w:val="0"/>
        <w:widowControl w:val="0"/>
        <w:kinsoku/>
        <w:wordWrap/>
        <w:overflowPunct/>
        <w:topLinePunct w:val="0"/>
        <w:bidi w:val="0"/>
        <w:spacing w:line="560" w:lineRule="exact"/>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3.1</w:t>
      </w:r>
      <w:r>
        <w:rPr>
          <w:rFonts w:hint="eastAsia" w:ascii="仿宋" w:hAnsi="仿宋" w:eastAsia="仿宋" w:cs="仿宋"/>
          <w:b/>
          <w:sz w:val="24"/>
          <w:szCs w:val="24"/>
          <w:highlight w:val="none"/>
        </w:rPr>
        <w:t>、设计依据</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工程设计主要规范和标准 </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《建筑设计防火规范》GB50016-2014（2018年版）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《建筑内部装修设计防火规范》 GB50222-2017</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《公共建筑节能设计标准》 GB 50189-2015</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《民用建筑工程室内环境污染控制标准》 GB 50325-2020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《建筑装饰装修工程质量验收标准》 GB50210-2018</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《建筑用墙面涂料中有害物质限量》 GB 18582-2020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《绿色建筑评价标准》GB/T 50378-2019</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《室内空气质量标准》GB/T18883</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广东省《建筑防水工程技术规程》 DBJ15-19-2020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《铝合金门窗工程技术规范》JGJ214-2010</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《建筑室内防水工程技术规程》CECS196-2006</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《屋面工程技术规范》GB50345-2012</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《广州市基础教育装备建设指南（初中分册）》（ 2018年11月）；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《广州市基础教育装备建设指南（高中分册）》（ 2018年11月）；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《广东省义务教育现代化学校建设指引（试行）》（2014年6月）；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《城市普通中小学校校舍建设标准》（建标[2002]102号）；</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《普通中小学校建设标准（2015年）》（征求意见稿）；</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《中小学校设计规范（GB50099-2011）》；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《广州市基础教育装备建设指南》；</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《托儿所、幼儿园建筑设计规范（JGJ 39-2016）》；</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《广州市普通中小学校建设标准指引》；</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《广东省普通高中督导评估指标体系》；</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《广东省中小学信息化基本标准（试行）》。</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《混凝土结构设计规范》GB50010-2010(2015年版)；</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《钢结构设计标准》GB50017-2017；</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《建筑工程抗震设防分类标准》GB50223-2015；</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《混凝土结构耐久性设计规范》GB/T50476-2019；</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《建筑抗震加固技术规程》JGJ116-2017；</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《工程结构加固材料安全性鉴定技术规程》GB50728-2011；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《既有建筑鉴定与加固通用规范》GB55021-2021；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《房屋结构可靠性抗震检测鉴定报告》仲恒鉴字{2022}0411；</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本设计任务书、报装容量、招标文件的相关附录资料及设计合同。</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业主对各阶段设计图纸的评审意见。</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按照国家、行业以及现行的标准、规程、规范、技术条例进行设计，运用标准设计成果，严格掌握设计标准，控制工程造价。</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严格执行国家现行的强制性条文，且应为其最新版本。</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3.2</w:t>
      </w:r>
      <w:r>
        <w:rPr>
          <w:rFonts w:hint="eastAsia" w:ascii="仿宋" w:hAnsi="仿宋" w:eastAsia="仿宋" w:cs="仿宋"/>
          <w:b/>
          <w:sz w:val="24"/>
          <w:szCs w:val="24"/>
          <w:highlight w:val="none"/>
        </w:rPr>
        <w:t>、设计范围</w:t>
      </w:r>
    </w:p>
    <w:p>
      <w:pPr>
        <w:keepNext w:val="0"/>
        <w:keepLines w:val="0"/>
        <w:pageBreakBefore w:val="0"/>
        <w:widowControl w:val="0"/>
        <w:kinsoku/>
        <w:wordWrap/>
        <w:overflowPunct/>
        <w:topLinePunct w:val="0"/>
        <w:bidi w:val="0"/>
        <w:spacing w:line="560" w:lineRule="exact"/>
        <w:ind w:firstLine="512" w:firstLineChars="200"/>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完成广东省</w:t>
      </w:r>
      <w:r>
        <w:rPr>
          <w:rFonts w:hint="eastAsia" w:ascii="仿宋" w:hAnsi="仿宋" w:eastAsia="仿宋" w:cs="仿宋"/>
          <w:spacing w:val="8"/>
          <w:sz w:val="24"/>
          <w:szCs w:val="24"/>
          <w:highlight w:val="none"/>
          <w:lang w:val="en-US" w:eastAsia="zh-CN"/>
        </w:rPr>
        <w:t>白云区广州空港实验中学新建及配套设施完善工程</w:t>
      </w:r>
      <w:r>
        <w:rPr>
          <w:rFonts w:hint="eastAsia" w:ascii="仿宋" w:hAnsi="仿宋" w:eastAsia="仿宋" w:cs="仿宋"/>
          <w:spacing w:val="8"/>
          <w:sz w:val="24"/>
          <w:szCs w:val="24"/>
          <w:highlight w:val="none"/>
        </w:rPr>
        <w:t>，含方案图阶段、初步设计阶段、概算书及施工图阶段。方案阶段需经招标人确定；初步设计需组织专家评审；通过施工图审查、概算评审。设计方案应体现以人为本、品质提升及使用安全的原则，要求合理、科学地考虑平面布局与动线，充分考虑师生使用方便，适用、实用的设计原则。</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3.3</w:t>
      </w:r>
      <w:r>
        <w:rPr>
          <w:rFonts w:hint="eastAsia" w:ascii="仿宋" w:hAnsi="仿宋" w:eastAsia="仿宋" w:cs="仿宋"/>
          <w:b/>
          <w:sz w:val="24"/>
          <w:szCs w:val="24"/>
          <w:highlight w:val="none"/>
        </w:rPr>
        <w:t>、设计</w:t>
      </w:r>
      <w:r>
        <w:rPr>
          <w:rFonts w:hint="eastAsia" w:ascii="仿宋" w:hAnsi="仿宋" w:eastAsia="仿宋" w:cs="仿宋"/>
          <w:b/>
          <w:sz w:val="24"/>
          <w:szCs w:val="24"/>
          <w:highlight w:val="none"/>
          <w:lang w:val="en-US" w:eastAsia="zh-CN"/>
        </w:rPr>
        <w:t>规模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1、新建宿舍：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新建学生宿舍楼 1 栋，总建筑面积约 8252 平方米，其中，地上共7层，地上建筑面积约 7671平方米，地下共 1层，地下建筑面积约 581 平方米:新建地下消防水池一座，容量约 864立方米;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2、校园配套设施完善工程:包括室内改造、室外场地改造、室外管网、入口大门改造、围墙改造、增加雨棚、外立面改造、校园文化建设改造等。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（1）建筑室内改造（室内地面、墙面、天花、功能室及电线路等），改造面积约233500 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（2）室外场地改造（运动场、园林景观等），改造面积约16092.5 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（3）新增校园生活供水系统工程（室外生活给水管网），改造面积约10500m²；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（4）校门改造，改造面积约100 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（5）学校围墙改造，改造周长约1000m；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（6）雨棚改造，改造面积约150m²；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（7）外立面改造，改造长度约11000m；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（8）校园文化建设改造（室内文化建设面积约4375㎡，室外文化建设面积约6250㎡）；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以上改造子项、面积及高度为初步统计，具体以深化设计为准。</w:t>
      </w:r>
    </w:p>
    <w:p>
      <w:pPr>
        <w:keepNext w:val="0"/>
        <w:keepLines w:val="0"/>
        <w:pageBreakBefore w:val="0"/>
        <w:widowControl w:val="0"/>
        <w:kinsoku/>
        <w:wordWrap/>
        <w:overflowPunct/>
        <w:topLinePunct w:val="0"/>
        <w:bidi w:val="0"/>
        <w:spacing w:line="560" w:lineRule="exact"/>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3.4设计内容</w:t>
      </w:r>
    </w:p>
    <w:p>
      <w:pPr>
        <w:keepNext w:val="0"/>
        <w:keepLines w:val="0"/>
        <w:pageBreakBefore w:val="0"/>
        <w:widowControl w:val="0"/>
        <w:kinsoku/>
        <w:wordWrap/>
        <w:overflowPunct/>
        <w:topLinePunct w:val="0"/>
        <w:bidi w:val="0"/>
        <w:spacing w:line="5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建设内容包括但不限于：</w:t>
      </w:r>
    </w:p>
    <w:p>
      <w:pPr>
        <w:keepNext w:val="0"/>
        <w:keepLines w:val="0"/>
        <w:pageBreakBefore w:val="0"/>
        <w:widowControl w:val="0"/>
        <w:numPr>
          <w:ilvl w:val="0"/>
          <w:numId w:val="7"/>
        </w:numPr>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规划设计：修建性详细规划、管线综合规划、建筑单体报建图设计及报建通编制、配套市政道路报建图设计及报建通编制；（</w:t>
      </w:r>
      <w:r>
        <w:rPr>
          <w:rFonts w:ascii="仿宋" w:hAnsi="仿宋" w:eastAsia="仿宋" w:cs="仿宋"/>
          <w:color w:val="auto"/>
          <w:sz w:val="24"/>
          <w:highlight w:val="none"/>
        </w:rPr>
        <w:t>2）建筑工程；（3）结构工程</w:t>
      </w:r>
      <w:r>
        <w:rPr>
          <w:rFonts w:hint="eastAsia" w:ascii="仿宋" w:hAnsi="仿宋" w:eastAsia="仿宋" w:cs="仿宋"/>
          <w:color w:val="auto"/>
          <w:sz w:val="24"/>
          <w:highlight w:val="none"/>
        </w:rPr>
        <w:t>（包含钢结构）</w:t>
      </w:r>
      <w:r>
        <w:rPr>
          <w:rFonts w:ascii="仿宋" w:hAnsi="仿宋" w:eastAsia="仿宋" w:cs="仿宋"/>
          <w:color w:val="auto"/>
          <w:sz w:val="24"/>
          <w:highlight w:val="none"/>
        </w:rPr>
        <w:t>；（4</w:t>
      </w:r>
      <w:r>
        <w:rPr>
          <w:rFonts w:hint="eastAsia" w:ascii="仿宋" w:hAnsi="仿宋" w:eastAsia="仿宋" w:cs="仿宋"/>
          <w:color w:val="auto"/>
          <w:sz w:val="24"/>
          <w:highlight w:val="none"/>
        </w:rPr>
        <w:t>）装修工程（包括不仅限于电梯厅、公共走道、公共卫生间、配套用房等）；（</w:t>
      </w:r>
      <w:r>
        <w:rPr>
          <w:rFonts w:ascii="仿宋" w:hAnsi="仿宋" w:eastAsia="仿宋" w:cs="仿宋"/>
          <w:color w:val="auto"/>
          <w:sz w:val="24"/>
          <w:highlight w:val="none"/>
        </w:rPr>
        <w:t>5）给排水工程（含永久用水、临时</w:t>
      </w:r>
      <w:r>
        <w:rPr>
          <w:rFonts w:hint="eastAsia" w:ascii="仿宋" w:hAnsi="仿宋" w:eastAsia="仿宋" w:cs="仿宋"/>
          <w:color w:val="auto"/>
          <w:sz w:val="24"/>
          <w:highlight w:val="none"/>
        </w:rPr>
        <w:t>给</w:t>
      </w:r>
      <w:r>
        <w:rPr>
          <w:rFonts w:ascii="仿宋" w:hAnsi="仿宋" w:eastAsia="仿宋" w:cs="仿宋"/>
          <w:color w:val="auto"/>
          <w:sz w:val="24"/>
          <w:highlight w:val="none"/>
        </w:rPr>
        <w:t>排水）；（6）电气工程（含永久用电</w:t>
      </w:r>
      <w:r>
        <w:rPr>
          <w:rFonts w:hint="eastAsia" w:ascii="仿宋" w:hAnsi="仿宋" w:eastAsia="仿宋" w:cs="仿宋"/>
          <w:color w:val="auto"/>
          <w:sz w:val="24"/>
          <w:highlight w:val="none"/>
        </w:rPr>
        <w:t>、临时用电、</w:t>
      </w:r>
      <w:r>
        <w:rPr>
          <w:rFonts w:ascii="仿宋" w:hAnsi="仿宋" w:eastAsia="仿宋" w:cs="仿宋"/>
          <w:color w:val="auto"/>
          <w:sz w:val="24"/>
          <w:highlight w:val="none"/>
        </w:rPr>
        <w:t>建筑智能化及泛光照明）；（7）通风空调工程；（8）土方平衡；（9）抗震支架；</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0</w:t>
      </w:r>
      <w:r>
        <w:rPr>
          <w:rFonts w:ascii="仿宋" w:hAnsi="仿宋" w:eastAsia="仿宋" w:cs="仿宋"/>
          <w:color w:val="auto"/>
          <w:sz w:val="24"/>
          <w:highlight w:val="none"/>
        </w:rPr>
        <w:t>）不良地质处理；（1</w:t>
      </w:r>
      <w:r>
        <w:rPr>
          <w:rFonts w:hint="eastAsia" w:ascii="仿宋" w:hAnsi="仿宋" w:eastAsia="仿宋" w:cs="仿宋"/>
          <w:color w:val="auto"/>
          <w:sz w:val="24"/>
          <w:highlight w:val="none"/>
        </w:rPr>
        <w:t>1）防雷节能；（</w:t>
      </w:r>
      <w:r>
        <w:rPr>
          <w:rFonts w:ascii="仿宋" w:hAnsi="仿宋" w:eastAsia="仿宋" w:cs="仿宋"/>
          <w:color w:val="auto"/>
          <w:sz w:val="24"/>
          <w:highlight w:val="none"/>
        </w:rPr>
        <w:t>1</w:t>
      </w:r>
      <w:r>
        <w:rPr>
          <w:rFonts w:hint="eastAsia" w:ascii="仿宋" w:hAnsi="仿宋" w:eastAsia="仿宋" w:cs="仿宋"/>
          <w:color w:val="auto"/>
          <w:sz w:val="24"/>
          <w:highlight w:val="none"/>
        </w:rPr>
        <w:t>2）绿色建筑；（</w:t>
      </w:r>
      <w:r>
        <w:rPr>
          <w:rFonts w:ascii="仿宋" w:hAnsi="仿宋" w:eastAsia="仿宋" w:cs="仿宋"/>
          <w:color w:val="auto"/>
          <w:sz w:val="24"/>
          <w:highlight w:val="none"/>
        </w:rPr>
        <w:t>1</w:t>
      </w:r>
      <w:r>
        <w:rPr>
          <w:rFonts w:hint="eastAsia" w:ascii="仿宋" w:hAnsi="仿宋" w:eastAsia="仿宋" w:cs="仿宋"/>
          <w:color w:val="auto"/>
          <w:sz w:val="24"/>
          <w:highlight w:val="none"/>
        </w:rPr>
        <w:t>3）装配式建筑（如需要）；（</w:t>
      </w:r>
      <w:r>
        <w:rPr>
          <w:rFonts w:ascii="仿宋" w:hAnsi="仿宋" w:eastAsia="仿宋" w:cs="仿宋"/>
          <w:color w:val="auto"/>
          <w:sz w:val="24"/>
          <w:highlight w:val="none"/>
        </w:rPr>
        <w:t>1</w:t>
      </w:r>
      <w:r>
        <w:rPr>
          <w:rFonts w:hint="eastAsia" w:ascii="仿宋" w:hAnsi="仿宋" w:eastAsia="仿宋" w:cs="仿宋"/>
          <w:color w:val="auto"/>
          <w:sz w:val="24"/>
          <w:highlight w:val="none"/>
        </w:rPr>
        <w:t>4）海绵城市（如需要）；（</w:t>
      </w:r>
      <w:r>
        <w:rPr>
          <w:rFonts w:ascii="仿宋" w:hAnsi="仿宋" w:eastAsia="仿宋" w:cs="仿宋"/>
          <w:color w:val="auto"/>
          <w:sz w:val="24"/>
          <w:highlight w:val="none"/>
        </w:rPr>
        <w:t>1</w:t>
      </w:r>
      <w:r>
        <w:rPr>
          <w:rFonts w:hint="eastAsia" w:ascii="仿宋" w:hAnsi="仿宋" w:eastAsia="仿宋" w:cs="仿宋"/>
          <w:color w:val="auto"/>
          <w:sz w:val="24"/>
          <w:highlight w:val="none"/>
        </w:rPr>
        <w:t>5）充电桩</w:t>
      </w:r>
      <w:r>
        <w:rPr>
          <w:rFonts w:hint="eastAsia" w:ascii="仿宋" w:hAnsi="仿宋" w:eastAsia="仿宋" w:cs="仿宋"/>
          <w:color w:val="auto"/>
          <w:sz w:val="24"/>
          <w:highlight w:val="none"/>
          <w:lang w:val="en-US" w:eastAsia="zh-CN"/>
        </w:rPr>
        <w:t>（如需要）</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6）红线内园林景观；（</w:t>
      </w:r>
      <w:r>
        <w:rPr>
          <w:rFonts w:ascii="仿宋" w:hAnsi="仿宋" w:eastAsia="仿宋" w:cs="仿宋"/>
          <w:color w:val="auto"/>
          <w:sz w:val="24"/>
          <w:highlight w:val="none"/>
        </w:rPr>
        <w:t>1</w:t>
      </w:r>
      <w:r>
        <w:rPr>
          <w:rFonts w:hint="eastAsia" w:ascii="仿宋" w:hAnsi="仿宋" w:eastAsia="仿宋" w:cs="仿宋"/>
          <w:color w:val="auto"/>
          <w:sz w:val="24"/>
          <w:highlight w:val="none"/>
        </w:rPr>
        <w:t>7）人防工程</w:t>
      </w:r>
      <w:r>
        <w:rPr>
          <w:rFonts w:hint="eastAsia" w:ascii="仿宋" w:hAnsi="仿宋" w:eastAsia="仿宋" w:cs="仿宋"/>
          <w:color w:val="auto"/>
          <w:sz w:val="24"/>
          <w:highlight w:val="none"/>
          <w:lang w:val="en-US" w:eastAsia="zh-CN"/>
        </w:rPr>
        <w:t>（如需要）</w:t>
      </w:r>
      <w:r>
        <w:rPr>
          <w:rFonts w:hint="eastAsia" w:ascii="仿宋" w:hAnsi="仿宋" w:eastAsia="仿宋" w:cs="仿宋"/>
          <w:color w:val="auto"/>
          <w:sz w:val="24"/>
          <w:highlight w:val="none"/>
        </w:rPr>
        <w:t>；（</w:t>
      </w:r>
      <w:r>
        <w:rPr>
          <w:rFonts w:ascii="仿宋" w:hAnsi="仿宋" w:eastAsia="仿宋" w:cs="仿宋"/>
          <w:color w:val="auto"/>
          <w:sz w:val="24"/>
          <w:highlight w:val="none"/>
        </w:rPr>
        <w:t>1</w:t>
      </w:r>
      <w:r>
        <w:rPr>
          <w:rFonts w:hint="eastAsia" w:ascii="仿宋" w:hAnsi="仿宋" w:eastAsia="仿宋" w:cs="仿宋"/>
          <w:color w:val="auto"/>
          <w:sz w:val="24"/>
          <w:highlight w:val="none"/>
        </w:rPr>
        <w:t>8）消防系统；（19）标志标识设计</w:t>
      </w:r>
      <w:r>
        <w:rPr>
          <w:rFonts w:ascii="仿宋" w:hAnsi="仿宋" w:eastAsia="仿宋" w:cs="仿宋"/>
          <w:color w:val="auto"/>
          <w:sz w:val="24"/>
          <w:highlight w:val="none"/>
        </w:rPr>
        <w:t>(含户</w:t>
      </w:r>
      <w:r>
        <w:rPr>
          <w:rFonts w:hint="eastAsia" w:ascii="仿宋" w:hAnsi="仿宋" w:eastAsia="仿宋" w:cs="仿宋"/>
          <w:color w:val="auto"/>
          <w:sz w:val="24"/>
          <w:highlight w:val="none"/>
        </w:rPr>
        <w:t>内外标识</w:t>
      </w:r>
      <w:r>
        <w:rPr>
          <w:rFonts w:ascii="仿宋" w:hAnsi="仿宋" w:eastAsia="仿宋" w:cs="仿宋"/>
          <w:color w:val="auto"/>
          <w:sz w:val="24"/>
          <w:highlight w:val="none"/>
        </w:rPr>
        <w:t>)；（</w:t>
      </w:r>
      <w:r>
        <w:rPr>
          <w:rFonts w:hint="eastAsia" w:ascii="仿宋" w:hAnsi="仿宋" w:eastAsia="仿宋" w:cs="仿宋"/>
          <w:color w:val="auto"/>
          <w:sz w:val="24"/>
          <w:highlight w:val="none"/>
        </w:rPr>
        <w:t>20）室外与市政工程（给排水、燃气、电信）、电梯、临水、临电；（</w:t>
      </w:r>
      <w:r>
        <w:rPr>
          <w:rFonts w:ascii="仿宋" w:hAnsi="仿宋" w:eastAsia="仿宋" w:cs="仿宋"/>
          <w:color w:val="auto"/>
          <w:sz w:val="24"/>
          <w:highlight w:val="none"/>
        </w:rPr>
        <w:t>2</w:t>
      </w:r>
      <w:r>
        <w:rPr>
          <w:rFonts w:hint="eastAsia" w:ascii="仿宋" w:hAnsi="仿宋" w:eastAsia="仿宋" w:cs="仿宋"/>
          <w:color w:val="auto"/>
          <w:sz w:val="24"/>
          <w:highlight w:val="none"/>
        </w:rPr>
        <w:t>1）</w:t>
      </w:r>
      <w:r>
        <w:rPr>
          <w:rFonts w:ascii="仿宋" w:hAnsi="仿宋" w:eastAsia="仿宋" w:cs="仿宋"/>
          <w:color w:val="auto"/>
          <w:sz w:val="24"/>
          <w:highlight w:val="none"/>
        </w:rPr>
        <w:t>BIM</w:t>
      </w:r>
      <w:r>
        <w:rPr>
          <w:rFonts w:hint="eastAsia" w:ascii="仿宋" w:hAnsi="仿宋" w:eastAsia="仿宋" w:cs="仿宋"/>
          <w:color w:val="auto"/>
          <w:sz w:val="24"/>
          <w:highlight w:val="none"/>
        </w:rPr>
        <w:t>（符合政府相关部门规定及报建要求深度）；（22）配建市政道路</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代征绿化用地（如需要）</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）节能设计；（2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yellow"/>
          <w:lang w:val="en-US" w:eastAsia="zh-CN"/>
        </w:rPr>
        <w:t>基坑支护；（26）</w:t>
      </w:r>
      <w:r>
        <w:rPr>
          <w:rFonts w:hint="eastAsia" w:ascii="仿宋" w:hAnsi="仿宋" w:eastAsia="仿宋" w:cs="仿宋"/>
          <w:color w:val="auto"/>
          <w:sz w:val="24"/>
          <w:highlight w:val="none"/>
        </w:rPr>
        <w:t>其他需设计完成的工作</w:t>
      </w:r>
      <w:r>
        <w:rPr>
          <w:rFonts w:ascii="仿宋" w:hAnsi="仿宋" w:eastAsia="仿宋" w:cs="仿宋"/>
          <w:color w:val="auto"/>
          <w:sz w:val="24"/>
          <w:highlight w:val="none"/>
        </w:rPr>
        <w:t>等。</w:t>
      </w: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3.5 各阶段设计工作</w:t>
      </w:r>
    </w:p>
    <w:p>
      <w:pPr>
        <w:keepNext w:val="0"/>
        <w:keepLines w:val="0"/>
        <w:pageBreakBefore w:val="0"/>
        <w:widowControl w:val="0"/>
        <w:kinsoku/>
        <w:wordWrap/>
        <w:overflowPunct/>
        <w:topLinePunct w:val="0"/>
        <w:autoSpaceDE/>
        <w:autoSpaceDN/>
        <w:bidi w:val="0"/>
        <w:spacing w:line="560" w:lineRule="exact"/>
        <w:ind w:right="-57" w:rightChars="-27"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设计单位应根据本项目工程建设的要求和中国及地方有关法律、法规、规范，完成包括以下工作：</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ascii="仿宋" w:hAnsi="仿宋" w:eastAsia="仿宋" w:cs="仿宋"/>
          <w:sz w:val="24"/>
          <w:szCs w:val="24"/>
          <w:highlight w:val="none"/>
        </w:rPr>
        <w:t>完成概念建筑方案的深化设计</w:t>
      </w:r>
      <w:r>
        <w:rPr>
          <w:rFonts w:hint="eastAsia" w:ascii="仿宋" w:hAnsi="仿宋" w:eastAsia="仿宋" w:cs="仿宋"/>
          <w:sz w:val="24"/>
          <w:szCs w:val="24"/>
          <w:highlight w:val="none"/>
        </w:rPr>
        <w:t>并负责与</w:t>
      </w:r>
      <w:r>
        <w:rPr>
          <w:rFonts w:ascii="仿宋" w:hAnsi="仿宋" w:eastAsia="仿宋" w:cs="仿宋"/>
          <w:sz w:val="24"/>
          <w:szCs w:val="24"/>
          <w:highlight w:val="none"/>
        </w:rPr>
        <w:t>政府各部门</w:t>
      </w:r>
      <w:r>
        <w:rPr>
          <w:rFonts w:hint="eastAsia" w:ascii="仿宋" w:hAnsi="仿宋" w:eastAsia="仿宋" w:cs="仿宋"/>
          <w:sz w:val="24"/>
          <w:szCs w:val="24"/>
          <w:highlight w:val="none"/>
        </w:rPr>
        <w:t>对接和向上级部门方案汇报和修改工作</w:t>
      </w:r>
      <w:r>
        <w:rPr>
          <w:rFonts w:ascii="仿宋" w:hAnsi="仿宋" w:eastAsia="仿宋" w:cs="仿宋"/>
          <w:sz w:val="24"/>
          <w:szCs w:val="24"/>
          <w:highlight w:val="none"/>
        </w:rPr>
        <w:t>，编制方案的设计估算，完成修详规及综合管线规划设计及报批；</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编制初步设计文件及初步设计概算</w:t>
      </w:r>
      <w:r>
        <w:rPr>
          <w:rFonts w:hint="eastAsia" w:ascii="仿宋" w:hAnsi="仿宋" w:eastAsia="仿宋" w:cs="仿宋"/>
          <w:sz w:val="24"/>
          <w:szCs w:val="24"/>
          <w:highlight w:val="none"/>
        </w:rPr>
        <w:t>（预算深度）</w:t>
      </w:r>
      <w:r>
        <w:rPr>
          <w:rFonts w:ascii="仿宋" w:hAnsi="仿宋" w:eastAsia="仿宋" w:cs="仿宋"/>
          <w:sz w:val="24"/>
          <w:szCs w:val="24"/>
          <w:highlight w:val="none"/>
        </w:rPr>
        <w:t>，完成初步设计评审</w:t>
      </w:r>
      <w:r>
        <w:rPr>
          <w:rFonts w:hint="eastAsia" w:ascii="仿宋" w:hAnsi="仿宋" w:eastAsia="仿宋" w:cs="仿宋"/>
          <w:sz w:val="24"/>
          <w:szCs w:val="24"/>
          <w:highlight w:val="none"/>
        </w:rPr>
        <w:t>及完成装配式预评价、配合概算评审等工作</w:t>
      </w:r>
      <w:r>
        <w:rPr>
          <w:rFonts w:ascii="仿宋" w:hAnsi="仿宋" w:eastAsia="仿宋" w:cs="仿宋"/>
          <w:sz w:val="24"/>
          <w:szCs w:val="24"/>
          <w:highlight w:val="none"/>
        </w:rPr>
        <w:t>；</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完成施工图设计，确保施工图设计文件通过施工图审查</w:t>
      </w:r>
      <w:r>
        <w:rPr>
          <w:rFonts w:hint="eastAsia" w:ascii="仿宋" w:hAnsi="仿宋" w:eastAsia="仿宋" w:cs="仿宋"/>
          <w:sz w:val="24"/>
          <w:szCs w:val="24"/>
          <w:highlight w:val="none"/>
        </w:rPr>
        <w:t>及消防设计审查</w:t>
      </w:r>
      <w:r>
        <w:rPr>
          <w:rFonts w:ascii="仿宋" w:hAnsi="仿宋" w:eastAsia="仿宋" w:cs="仿宋"/>
          <w:sz w:val="24"/>
          <w:szCs w:val="24"/>
          <w:highlight w:val="none"/>
        </w:rPr>
        <w:t>；</w:t>
      </w:r>
      <w:r>
        <w:rPr>
          <w:rFonts w:hint="eastAsia" w:ascii="仿宋" w:hAnsi="仿宋" w:eastAsia="仿宋" w:cs="仿宋"/>
          <w:sz w:val="24"/>
          <w:szCs w:val="24"/>
          <w:highlight w:val="none"/>
        </w:rPr>
        <w:t>并提交施工图内审文件。</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负责设备、大宗材料采购时采购清单、技术参数等编制工作，还包括各阶段方案比选、技术选型比选的投资分析、施工阶段的设计变更造价变化分析等</w:t>
      </w:r>
      <w:r>
        <w:rPr>
          <w:rFonts w:hint="eastAsia" w:ascii="仿宋" w:hAnsi="仿宋" w:eastAsia="仿宋" w:cs="仿宋"/>
          <w:sz w:val="24"/>
          <w:szCs w:val="24"/>
          <w:highlight w:val="none"/>
        </w:rPr>
        <w:t>，要求初步设计的</w:t>
      </w:r>
      <w:r>
        <w:rPr>
          <w:rFonts w:ascii="仿宋" w:hAnsi="仿宋" w:eastAsia="仿宋" w:cs="仿宋"/>
          <w:sz w:val="24"/>
          <w:szCs w:val="24"/>
          <w:highlight w:val="none"/>
        </w:rPr>
        <w:t>成果</w:t>
      </w:r>
      <w:r>
        <w:rPr>
          <w:rFonts w:hint="eastAsia" w:ascii="仿宋" w:hAnsi="仿宋" w:eastAsia="仿宋" w:cs="仿宋"/>
          <w:sz w:val="24"/>
          <w:szCs w:val="24"/>
          <w:highlight w:val="none"/>
        </w:rPr>
        <w:t>达到施工图深度，概算建安费达到施工图预算深度；</w:t>
      </w:r>
    </w:p>
    <w:p>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ascii="仿宋" w:hAnsi="仿宋" w:eastAsia="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sz w:val="24"/>
          <w:szCs w:val="24"/>
          <w:highlight w:val="none"/>
          <w:lang w:val="en-US" w:eastAsia="zh-CN"/>
        </w:rPr>
        <w:t>.</w:t>
      </w:r>
      <w:r>
        <w:rPr>
          <w:rFonts w:hint="eastAsia" w:ascii="仿宋" w:hAnsi="仿宋" w:eastAsia="仿宋"/>
          <w:color w:val="auto"/>
          <w:sz w:val="24"/>
          <w:highlight w:val="none"/>
        </w:rPr>
        <w:t>配合开展前期报建报批、方案审查、B</w:t>
      </w:r>
      <w:r>
        <w:rPr>
          <w:rFonts w:ascii="仿宋" w:hAnsi="仿宋" w:eastAsia="仿宋"/>
          <w:color w:val="auto"/>
          <w:sz w:val="24"/>
          <w:highlight w:val="none"/>
        </w:rPr>
        <w:t>IM</w:t>
      </w:r>
      <w:r>
        <w:rPr>
          <w:rFonts w:hint="eastAsia" w:ascii="仿宋" w:hAnsi="仿宋" w:eastAsia="仿宋"/>
          <w:color w:val="auto"/>
          <w:sz w:val="24"/>
          <w:highlight w:val="none"/>
        </w:rPr>
        <w:t>审查、装配式预评价、专业报建、设计图纸评审、概预算评审、施工图审查，以及从开工至项目竣工验收的现场服务及专人驻场服务（包括现场指导与监督、图纸修改、工程变更等工作）、配合完成工程验收和竣工图（含验收通过）等；包括申请临时用水、临时排水、临时用电，以及永久外水、永久外电、燃气管道的设计报批和出图。</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除应按合同规定的时间和要求向发包人提出设计成果外，还应承担工程施工过程直至竣工验收前的设计服务等工作，保证设计变更满足施工进度要求，并按发包人要求准备汇报材料；</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负责根据建设方要求组织各项专家评审（包含但不限于技术方案、设计变更、初步设计等），并承担相应的专家评审费用和差旅费用；</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负责绿色建筑</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星预评价的申报、报告编制及相关报批程序办理。</w:t>
      </w:r>
    </w:p>
    <w:p>
      <w:pPr>
        <w:pStyle w:val="24"/>
        <w:keepNext w:val="0"/>
        <w:keepLines w:val="0"/>
        <w:pageBreakBefore w:val="0"/>
        <w:widowControl w:val="0"/>
        <w:kinsoku/>
        <w:wordWrap/>
        <w:overflowPunct/>
        <w:topLinePunct w:val="0"/>
        <w:autoSpaceDE/>
        <w:autoSpaceDN/>
        <w:bidi w:val="0"/>
        <w:spacing w:line="560" w:lineRule="exact"/>
        <w:ind w:right="-57" w:rightChars="-27" w:firstLine="48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负责项目竣工图审核及配合盖章工作。</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10</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rPr>
        <w:t>提供各阶段设计成果内审文件</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11</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rPr>
        <w:t>负责本项目数字沙盘和</w:t>
      </w:r>
      <w:r>
        <w:rPr>
          <w:rFonts w:ascii="仿宋" w:hAnsi="仿宋" w:eastAsia="仿宋" w:cs="仿宋"/>
          <w:sz w:val="24"/>
          <w:highlight w:val="none"/>
        </w:rPr>
        <w:t>方案阶段的</w:t>
      </w:r>
      <w:r>
        <w:rPr>
          <w:rFonts w:hint="eastAsia" w:ascii="仿宋" w:hAnsi="仿宋" w:eastAsia="仿宋" w:cs="仿宋"/>
          <w:sz w:val="24"/>
          <w:highlight w:val="none"/>
        </w:rPr>
        <w:t>三维媒体制作。</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sz w:val="24"/>
          <w:szCs w:val="24"/>
          <w:highlight w:val="none"/>
          <w:lang w:val="en-US" w:eastAsia="zh-CN"/>
        </w:rPr>
        <w:t>.</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负责配合营销工作：负责配合项目展示需要提供各项专业设计服务</w:t>
      </w:r>
      <w:r>
        <w:rPr>
          <w:rFonts w:ascii="仿宋" w:hAnsi="仿宋" w:eastAsia="仿宋" w:cs="仿宋"/>
          <w:color w:val="auto"/>
          <w:sz w:val="24"/>
          <w:highlight w:val="none"/>
        </w:rPr>
        <w:t>。</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13</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rPr>
        <w:t>设计院应根据现场施工进展选派中级职称或以上设计人员驻场服务，至少每天驻场8小时并执行现场打卡制度。</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lang w:val="en-US" w:eastAsia="zh-CN"/>
        </w:rPr>
        <w:t>设计单位应派相关设计人员每周至少一次巡场，形成巡场报告，并提交监理监督落实。</w:t>
      </w:r>
    </w:p>
    <w:p>
      <w:pPr>
        <w:keepNext w:val="0"/>
        <w:keepLines w:val="0"/>
        <w:pageBreakBefore w:val="0"/>
        <w:widowControl w:val="0"/>
        <w:kinsoku/>
        <w:wordWrap/>
        <w:overflowPunct/>
        <w:topLinePunct w:val="0"/>
        <w:bidi w:val="0"/>
        <w:spacing w:line="560" w:lineRule="exact"/>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 设计要求</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3.6.1 总体要求</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ascii="仿宋" w:hAnsi="仿宋" w:eastAsia="仿宋" w:cs="仿宋"/>
          <w:color w:val="auto"/>
          <w:sz w:val="24"/>
          <w:szCs w:val="24"/>
          <w:highlight w:val="none"/>
        </w:rPr>
        <w:t>设计文件包括但不仅限于以下内容：建筑、结构、</w:t>
      </w:r>
      <w:r>
        <w:rPr>
          <w:rFonts w:hint="eastAsia" w:ascii="仿宋" w:hAnsi="仿宋" w:eastAsia="仿宋" w:cs="仿宋"/>
          <w:color w:val="auto"/>
          <w:sz w:val="24"/>
          <w:szCs w:val="24"/>
          <w:highlight w:val="yellow"/>
          <w:lang w:val="en-US" w:eastAsia="zh-CN"/>
        </w:rPr>
        <w:t>基坑支护、</w:t>
      </w:r>
      <w:r>
        <w:rPr>
          <w:rFonts w:ascii="仿宋" w:hAnsi="仿宋" w:eastAsia="仿宋" w:cs="仿宋"/>
          <w:color w:val="auto"/>
          <w:sz w:val="24"/>
          <w:szCs w:val="24"/>
          <w:highlight w:val="none"/>
        </w:rPr>
        <w:t>电气、给排水、暖通、人防、</w:t>
      </w:r>
      <w:r>
        <w:rPr>
          <w:rFonts w:hint="eastAsia" w:ascii="仿宋" w:hAnsi="仿宋" w:eastAsia="仿宋" w:cs="仿宋"/>
          <w:color w:val="auto"/>
          <w:sz w:val="24"/>
          <w:szCs w:val="24"/>
          <w:highlight w:val="none"/>
        </w:rPr>
        <w:t>B</w:t>
      </w:r>
      <w:r>
        <w:rPr>
          <w:rFonts w:ascii="仿宋" w:hAnsi="仿宋" w:eastAsia="仿宋" w:cs="仿宋"/>
          <w:color w:val="auto"/>
          <w:sz w:val="24"/>
          <w:szCs w:val="24"/>
          <w:highlight w:val="none"/>
        </w:rPr>
        <w:t>IM</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动力、消防、室内室外管线综合、幕墙、泛光、电梯、日照分析、设计各阶段的节能专篇、消防专篇、人防专篇、交通设计、环保专篇、卫生防疫、防雷、抗震专篇、海绵城市专篇</w:t>
      </w:r>
      <w:r>
        <w:rPr>
          <w:rFonts w:hint="eastAsia" w:ascii="仿宋" w:hAnsi="仿宋" w:eastAsia="仿宋" w:cs="仿宋"/>
          <w:color w:val="auto"/>
          <w:sz w:val="24"/>
          <w:szCs w:val="24"/>
          <w:highlight w:val="none"/>
        </w:rPr>
        <w:t>、装配式设计专篇（含深化设计）</w:t>
      </w:r>
      <w:r>
        <w:rPr>
          <w:rFonts w:ascii="仿宋" w:hAnsi="仿宋" w:eastAsia="仿宋" w:cs="仿宋"/>
          <w:color w:val="auto"/>
          <w:sz w:val="24"/>
          <w:szCs w:val="24"/>
          <w:highlight w:val="none"/>
        </w:rPr>
        <w:t>，方案投资估算、初步设计概算以</w:t>
      </w:r>
      <w:r>
        <w:rPr>
          <w:rFonts w:hint="eastAsia" w:ascii="仿宋" w:hAnsi="仿宋" w:eastAsia="仿宋" w:cs="仿宋"/>
          <w:color w:val="auto"/>
          <w:sz w:val="24"/>
          <w:szCs w:val="24"/>
          <w:highlight w:val="none"/>
        </w:rPr>
        <w:t>及当地政府及行业报批报建所需的专业设计工作和成果。设计成果应达到建设部颁发的《建筑工程设计文件编制深度规定》（</w:t>
      </w:r>
      <w:r>
        <w:rPr>
          <w:rFonts w:ascii="仿宋" w:hAnsi="仿宋" w:eastAsia="仿宋" w:cs="仿宋"/>
          <w:color w:val="auto"/>
          <w:sz w:val="24"/>
          <w:szCs w:val="24"/>
          <w:highlight w:val="none"/>
        </w:rPr>
        <w:t>2016年版）。</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highlight w:val="none"/>
        </w:rPr>
        <w:t>本项目采用实行限额、限规模设计，具体规划指标应严格满足规划设计条件的要求，设计方案应遵从相关城市设计导则（如有）的要求进行设计。</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highlight w:val="none"/>
        </w:rPr>
        <w:t>设计单位应依据建设单位的投资开发、招商入驻企业要求确定建筑物设计方案，提交设计选型成果报告（含造价、运营方案费用对比优化）。同时应注意选用节能、环保、健康的材料，合理的施工技术和工期，严格控制成本造价，降低运营费用。</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highlight w:val="none"/>
        </w:rPr>
        <w:t>在项目报建阶段满足建设单位报批各种手续的要求，分阶段提供所需的设计文件。</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highlight w:val="none"/>
        </w:rPr>
        <w:t>各专业图纸必须符合国家现行的技术规范及标准要求，达到《建筑工程设计文件编制深度规定》（</w:t>
      </w:r>
      <w:r>
        <w:rPr>
          <w:rFonts w:ascii="仿宋" w:hAnsi="仿宋" w:eastAsia="仿宋" w:cs="仿宋"/>
          <w:color w:val="auto"/>
          <w:sz w:val="24"/>
          <w:highlight w:val="none"/>
        </w:rPr>
        <w:t>2016年版）深度要求。施工阶段需要对施工单位深化设计成果进行确认，并加盖</w:t>
      </w:r>
      <w:r>
        <w:rPr>
          <w:rFonts w:hint="eastAsia" w:ascii="仿宋" w:hAnsi="仿宋" w:eastAsia="仿宋" w:cs="仿宋"/>
          <w:color w:val="auto"/>
          <w:sz w:val="24"/>
          <w:highlight w:val="none"/>
        </w:rPr>
        <w:t>审核章。</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highlight w:val="none"/>
        </w:rPr>
        <w:t>本项目要求暂按绿色建筑</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星设计，设计单位应负责绿色建筑</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星预评价及配合相关报批手续。</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highlight w:val="none"/>
        </w:rPr>
        <w:t>海绵城市建设要求：建设项目应采取雨污分流系统、下沉花园、调蓄池等设计，同时按照《广州市建设项目雨水径流控制办法》的有关规定采取雨水径流控制措施。满足规划设计条件要求。</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ascii="仿宋" w:hAnsi="仿宋" w:eastAsia="仿宋" w:cs="仿宋"/>
          <w:color w:val="auto"/>
          <w:sz w:val="24"/>
          <w:szCs w:val="24"/>
          <w:highlight w:val="none"/>
        </w:rPr>
        <w:t>本项目</w:t>
      </w:r>
      <w:r>
        <w:rPr>
          <w:rFonts w:hint="eastAsia" w:ascii="仿宋" w:hAnsi="仿宋" w:eastAsia="仿宋" w:cs="仿宋"/>
          <w:color w:val="auto"/>
          <w:sz w:val="24"/>
          <w:szCs w:val="24"/>
          <w:highlight w:val="none"/>
        </w:rPr>
        <w:t>如</w:t>
      </w:r>
      <w:r>
        <w:rPr>
          <w:rFonts w:ascii="仿宋" w:hAnsi="仿宋" w:eastAsia="仿宋" w:cs="仿宋"/>
          <w:color w:val="auto"/>
          <w:sz w:val="24"/>
          <w:szCs w:val="24"/>
          <w:highlight w:val="none"/>
        </w:rPr>
        <w:t>需采用装配式建筑的建造方式</w:t>
      </w:r>
      <w:r>
        <w:rPr>
          <w:rFonts w:hint="eastAsia" w:ascii="仿宋" w:hAnsi="仿宋" w:eastAsia="仿宋" w:cs="仿宋"/>
          <w:color w:val="auto"/>
          <w:sz w:val="24"/>
          <w:szCs w:val="24"/>
          <w:highlight w:val="none"/>
        </w:rPr>
        <w:t>，需进行B</w:t>
      </w:r>
      <w:r>
        <w:rPr>
          <w:rFonts w:ascii="仿宋" w:hAnsi="仿宋" w:eastAsia="仿宋" w:cs="仿宋"/>
          <w:color w:val="auto"/>
          <w:sz w:val="24"/>
          <w:szCs w:val="24"/>
          <w:highlight w:val="none"/>
        </w:rPr>
        <w:t>IM</w:t>
      </w:r>
      <w:r>
        <w:rPr>
          <w:rFonts w:hint="eastAsia" w:ascii="仿宋" w:hAnsi="仿宋" w:eastAsia="仿宋" w:cs="仿宋"/>
          <w:color w:val="auto"/>
          <w:sz w:val="24"/>
          <w:szCs w:val="24"/>
          <w:highlight w:val="none"/>
        </w:rPr>
        <w:t>设计</w:t>
      </w:r>
      <w:r>
        <w:rPr>
          <w:rFonts w:ascii="仿宋" w:hAnsi="仿宋" w:eastAsia="仿宋" w:cs="仿宋"/>
          <w:color w:val="auto"/>
          <w:sz w:val="24"/>
          <w:szCs w:val="24"/>
          <w:highlight w:val="none"/>
        </w:rPr>
        <w:t xml:space="preserve">：建筑结构设计要根据装配式要求进行优化，进行整体设计，设备各专业装配式、系统设备管线布置要与建筑结构装配式同步设计，充分考虑使用功能和预留通道、接口等。 </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BIM设计要满足《广州市施工图三维数字化审查技术标准》及其他现行相关标准规范的要求进行。</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3.6.2 建筑总图设计</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在修建性详细规划设计与建筑方案设计基础上，进行深化设计，主要完成总图专业各项内容的初步设计、技术设计和施工图设计，含总平面设计、竖向标高设计、交通道路广场设计、景观绿化设计、总平面管线综合设计、土方平衡计算与设计，在符合规划部门批复意见前提下，可合理优化布局。</w:t>
      </w:r>
    </w:p>
    <w:p>
      <w:pPr>
        <w:keepNext w:val="0"/>
        <w:keepLines w:val="0"/>
        <w:pageBreakBefore w:val="0"/>
        <w:widowControl w:val="0"/>
        <w:kinsoku/>
        <w:wordWrap/>
        <w:overflowPunct/>
        <w:topLinePunct w:val="0"/>
        <w:bidi w:val="0"/>
        <w:spacing w:line="560" w:lineRule="exact"/>
        <w:ind w:firstLine="360" w:firstLineChars="15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ascii="仿宋" w:hAnsi="仿宋" w:eastAsia="仿宋" w:cs="仿宋"/>
          <w:color w:val="auto"/>
          <w:sz w:val="24"/>
          <w:highlight w:val="none"/>
        </w:rPr>
        <w:t>完成汇总各层总体平面图（包括地下</w:t>
      </w:r>
      <w:r>
        <w:rPr>
          <w:rFonts w:hint="eastAsia" w:ascii="仿宋" w:hAnsi="仿宋" w:eastAsia="仿宋" w:cs="仿宋"/>
          <w:color w:val="auto"/>
          <w:sz w:val="24"/>
          <w:highlight w:val="none"/>
        </w:rPr>
        <w:t>及地上</w:t>
      </w:r>
      <w:r>
        <w:rPr>
          <w:rFonts w:ascii="仿宋" w:hAnsi="仿宋" w:eastAsia="仿宋" w:cs="仿宋"/>
          <w:color w:val="auto"/>
          <w:sz w:val="24"/>
          <w:highlight w:val="none"/>
        </w:rPr>
        <w:t>各层、总平面图等）。</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rPr>
        <w:t>应结合朝向、周围环境合理地组织自然通风和景观，同时处理好区域</w:t>
      </w:r>
      <w:r>
        <w:rPr>
          <w:rFonts w:hint="eastAsia" w:ascii="仿宋" w:hAnsi="仿宋" w:eastAsia="仿宋" w:cs="仿宋"/>
          <w:color w:val="auto"/>
          <w:sz w:val="24"/>
          <w:highlight w:val="none"/>
        </w:rPr>
        <w:t>内外的水、电、燃气、通信等市政设施的衔接。</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ascii="仿宋" w:hAnsi="仿宋" w:eastAsia="仿宋" w:cs="仿宋"/>
          <w:color w:val="auto"/>
          <w:sz w:val="24"/>
          <w:highlight w:val="none"/>
        </w:rPr>
        <w:t>交通组织便捷、经济、合理，道路网络层次适当，架构清晰，衔接合理</w:t>
      </w:r>
      <w:r>
        <w:rPr>
          <w:rFonts w:hint="eastAsia" w:ascii="仿宋" w:hAnsi="仿宋" w:eastAsia="仿宋" w:cs="仿宋"/>
          <w:color w:val="auto"/>
          <w:sz w:val="24"/>
          <w:highlight w:val="none"/>
        </w:rPr>
        <w:t>，</w:t>
      </w:r>
      <w:r>
        <w:rPr>
          <w:rFonts w:ascii="仿宋" w:hAnsi="仿宋" w:eastAsia="仿宋" w:cs="仿宋"/>
          <w:color w:val="auto"/>
          <w:sz w:val="24"/>
          <w:highlight w:val="none"/>
        </w:rPr>
        <w:t>管线布置经济合理。</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ascii="仿宋" w:hAnsi="仿宋" w:eastAsia="仿宋" w:cs="仿宋"/>
          <w:color w:val="auto"/>
          <w:sz w:val="24"/>
          <w:highlight w:val="none"/>
        </w:rPr>
        <w:t>建筑布局应适应气候特点，满足通风、采光、遮阳、防水等功能使用要求。</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总平面设计</w:t>
      </w:r>
      <w:r>
        <w:rPr>
          <w:rFonts w:hint="eastAsia" w:ascii="仿宋" w:hAnsi="仿宋" w:eastAsia="仿宋" w:cs="仿宋"/>
          <w:color w:val="auto"/>
          <w:sz w:val="24"/>
          <w:highlight w:val="none"/>
        </w:rPr>
        <w:t>满足方便、快捷、高效装卸货</w:t>
      </w:r>
      <w:r>
        <w:rPr>
          <w:rFonts w:ascii="仿宋" w:hAnsi="仿宋" w:eastAsia="仿宋" w:cs="仿宋"/>
          <w:color w:val="auto"/>
          <w:sz w:val="24"/>
          <w:highlight w:val="none"/>
        </w:rPr>
        <w:t>要求</w:t>
      </w:r>
      <w:r>
        <w:rPr>
          <w:rFonts w:hint="eastAsia" w:ascii="仿宋" w:hAnsi="仿宋" w:eastAsia="仿宋" w:cs="仿宋"/>
          <w:color w:val="auto"/>
          <w:sz w:val="24"/>
          <w:highlight w:val="none"/>
        </w:rPr>
        <w:t>，</w:t>
      </w:r>
      <w:r>
        <w:rPr>
          <w:rFonts w:ascii="仿宋" w:hAnsi="仿宋" w:eastAsia="仿宋" w:cs="仿宋"/>
          <w:color w:val="auto"/>
          <w:sz w:val="24"/>
          <w:highlight w:val="none"/>
        </w:rPr>
        <w:t>应符合无障碍设计要求，并应符合现行行业标准《建筑与市政工程无障碍通用规范》（GB55019-2021）的有关规定。</w:t>
      </w:r>
    </w:p>
    <w:p>
      <w:pPr>
        <w:keepNext w:val="0"/>
        <w:keepLines w:val="0"/>
        <w:pageBreakBefore w:val="0"/>
        <w:widowControl w:val="0"/>
        <w:kinsoku/>
        <w:wordWrap/>
        <w:overflowPunct/>
        <w:topLinePunct w:val="0"/>
        <w:bidi w:val="0"/>
        <w:spacing w:line="560" w:lineRule="exact"/>
        <w:ind w:firstLine="360" w:firstLineChars="15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ascii="仿宋" w:hAnsi="仿宋" w:eastAsia="仿宋" w:cs="仿宋"/>
          <w:color w:val="auto"/>
          <w:sz w:val="24"/>
          <w:highlight w:val="none"/>
        </w:rPr>
        <w:t>建筑退让间距，建筑间距，退界应按照经批准的《广州市城乡规划技术规定》的要求执行。</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3.6.3 建筑设计</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主要在修建性详细规划设计与建筑方案设计基础上，进行深化设计，完成建筑各单体的初步设计、技术设计和施工图设计，具体如下：</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建筑设计标准：设计使用年限</w:t>
      </w:r>
      <w:r>
        <w:rPr>
          <w:rFonts w:ascii="仿宋" w:hAnsi="仿宋" w:eastAsia="仿宋" w:cs="仿宋"/>
          <w:color w:val="auto"/>
          <w:sz w:val="24"/>
          <w:highlight w:val="none"/>
        </w:rPr>
        <w:t>50年，建筑耐火等级按照《建筑设计防火规范》（GB50016-2018）要求执行，建筑公共区域的设计满足无障碍建筑设计要求。</w:t>
      </w:r>
    </w:p>
    <w:p>
      <w:pPr>
        <w:keepNext w:val="0"/>
        <w:keepLines w:val="0"/>
        <w:pageBreakBefore w:val="0"/>
        <w:widowControl w:val="0"/>
        <w:kinsoku/>
        <w:wordWrap/>
        <w:overflowPunct/>
        <w:topLinePunct w:val="0"/>
        <w:bidi w:val="0"/>
        <w:spacing w:line="560" w:lineRule="exact"/>
        <w:ind w:firstLine="480" w:firstLineChars="200"/>
        <w:jc w:val="left"/>
        <w:textAlignment w:val="auto"/>
        <w:rPr>
          <w:color w:val="auto"/>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建筑间距应符合《广州市城乡规划技术规定》有关要求，需满足我国现行建筑设计、建筑防火等规范要求，消防和防火安全间距应在本用地红线内落实</w:t>
      </w:r>
      <w:r>
        <w:rPr>
          <w:rFonts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根据规划设计条件完善建筑设计方案、建筑功能划分，细化流线设计及竖向设计。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ascii="仿宋" w:hAnsi="仿宋" w:eastAsia="仿宋" w:cs="仿宋"/>
          <w:color w:val="auto"/>
          <w:sz w:val="24"/>
          <w:highlight w:val="none"/>
        </w:rPr>
        <w:t>建筑外立面：</w:t>
      </w:r>
      <w:r>
        <w:rPr>
          <w:rFonts w:hint="eastAsia" w:ascii="仿宋" w:hAnsi="仿宋" w:eastAsia="仿宋" w:cs="仿宋"/>
          <w:color w:val="auto"/>
          <w:sz w:val="24"/>
          <w:highlight w:val="none"/>
        </w:rPr>
        <w:t>建筑立面应结合项目定位设计，能体现花园办公的建筑特色，以大气，现代的风格为主，避免繁复，夸张的建筑风格与大量装饰性构件，建筑外表面不得使用影响飞行员视线的反光材料。鼓励使用节能材料。办公建筑立面设计凸显昭示性。</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停车配建：按照《广州市城乡规划技术规定》及规划设计条件</w:t>
      </w:r>
      <w:r>
        <w:rPr>
          <w:rFonts w:ascii="仿宋" w:hAnsi="仿宋" w:eastAsia="仿宋" w:cs="仿宋"/>
          <w:color w:val="auto"/>
          <w:sz w:val="24"/>
          <w:highlight w:val="none"/>
        </w:rPr>
        <w:t>核定，满足现行规范停车指标。</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6</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满足本项目使用功能（设备）的建筑面积指标要求，不得有：业主自行建设、和详见深化设计字样，必须委托专业分包单位设计，满足施工图审查要求；全部建筑和设备必须满足投资估算和业主使用功能要求。</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7</w:t>
      </w:r>
      <w:r>
        <w:rPr>
          <w:rFonts w:hint="eastAsia" w:ascii="仿宋" w:hAnsi="仿宋" w:eastAsia="仿宋" w:cs="仿宋"/>
          <w:color w:val="auto"/>
          <w:sz w:val="24"/>
          <w:highlight w:val="none"/>
          <w:lang w:val="en-US" w:eastAsia="zh-CN"/>
        </w:rPr>
        <w:t>、</w:t>
      </w:r>
      <w:r>
        <w:rPr>
          <w:rFonts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rPr>
        <w:t>设计应全面考虑应设必设的设备机房、连廊、车道顶棚等必须满足报建建筑面积要求，不得出现‘规划验收后再实施</w:t>
      </w:r>
      <w:r>
        <w:rPr>
          <w:rFonts w:ascii="仿宋" w:hAnsi="仿宋" w:eastAsia="仿宋" w:cs="仿宋"/>
          <w:bCs/>
          <w:color w:val="auto"/>
          <w:sz w:val="24"/>
          <w:szCs w:val="22"/>
          <w:highlight w:val="none"/>
          <w:lang w:val="en-US"/>
        </w:rPr>
        <w:t>’</w:t>
      </w:r>
      <w:r>
        <w:rPr>
          <w:rFonts w:hint="eastAsia" w:ascii="仿宋" w:hAnsi="仿宋" w:eastAsia="仿宋" w:cs="仿宋"/>
          <w:bCs/>
          <w:color w:val="auto"/>
          <w:sz w:val="24"/>
          <w:szCs w:val="22"/>
          <w:highlight w:val="none"/>
          <w:lang w:val="en-US"/>
        </w:rPr>
        <w:t>字样。门窗和幕墙满足使用需求：功能场</w:t>
      </w:r>
      <w:r>
        <w:rPr>
          <w:rFonts w:ascii="仿宋" w:hAnsi="仿宋" w:eastAsia="仿宋" w:cs="仿宋"/>
          <w:bCs/>
          <w:color w:val="auto"/>
          <w:sz w:val="24"/>
          <w:szCs w:val="22"/>
          <w:highlight w:val="none"/>
        </w:rPr>
        <w:t>所</w:t>
      </w:r>
      <w:r>
        <w:rPr>
          <w:rFonts w:hint="eastAsia" w:ascii="仿宋" w:hAnsi="仿宋" w:eastAsia="仿宋" w:cs="仿宋"/>
          <w:bCs/>
          <w:color w:val="auto"/>
          <w:sz w:val="24"/>
          <w:szCs w:val="22"/>
          <w:highlight w:val="none"/>
          <w:lang w:val="en-US"/>
        </w:rPr>
        <w:t>的透光私密性，各种外门的防雨雨棚设置、各种室内外标高的合理设置，防倒灌。市政和</w:t>
      </w:r>
      <w:r>
        <w:rPr>
          <w:rFonts w:ascii="仿宋" w:hAnsi="仿宋" w:eastAsia="仿宋" w:cs="仿宋"/>
          <w:bCs/>
          <w:color w:val="auto"/>
          <w:sz w:val="24"/>
          <w:szCs w:val="22"/>
          <w:highlight w:val="none"/>
        </w:rPr>
        <w:t>园</w:t>
      </w:r>
      <w:r>
        <w:rPr>
          <w:rFonts w:hint="eastAsia" w:ascii="仿宋" w:hAnsi="仿宋" w:eastAsia="仿宋" w:cs="仿宋"/>
          <w:bCs/>
          <w:color w:val="auto"/>
          <w:sz w:val="24"/>
          <w:szCs w:val="22"/>
          <w:highlight w:val="none"/>
          <w:lang w:val="en-US"/>
        </w:rPr>
        <w:t>区道路与室内标高的合理性。护窗栏杆和防跌落的限位设计。</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8</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建筑与各专业之间的协调配合性，设置每层强弱电间的合理性，防止线路损耗，</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9</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设备（建筑大型设备）安装孔的预留设计</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bCs/>
          <w:color w:val="auto"/>
          <w:sz w:val="24"/>
          <w:szCs w:val="22"/>
          <w:highlight w:val="none"/>
          <w:lang w:val="en-US"/>
        </w:rPr>
      </w:pPr>
      <w:r>
        <w:rPr>
          <w:rFonts w:hint="eastAsia" w:ascii="仿宋" w:hAnsi="仿宋" w:eastAsia="仿宋" w:cs="仿宋"/>
          <w:bCs/>
          <w:color w:val="auto"/>
          <w:sz w:val="24"/>
          <w:szCs w:val="22"/>
          <w:highlight w:val="none"/>
          <w:lang w:val="en-US"/>
        </w:rPr>
        <w:t xml:space="preserve">   </w:t>
      </w:r>
      <w:r>
        <w:rPr>
          <w:rFonts w:hint="eastAsia" w:ascii="仿宋" w:hAnsi="仿宋" w:eastAsia="仿宋" w:cs="仿宋"/>
          <w:bCs/>
          <w:color w:val="auto"/>
          <w:sz w:val="24"/>
          <w:szCs w:val="22"/>
          <w:highlight w:val="none"/>
          <w:lang w:val="en-US" w:eastAsia="zh-CN"/>
        </w:rPr>
        <w:t>10</w:t>
      </w:r>
      <w:r>
        <w:rPr>
          <w:rFonts w:hint="eastAsia" w:ascii="仿宋" w:hAnsi="仿宋" w:eastAsia="仿宋" w:cs="仿宋"/>
          <w:color w:val="auto"/>
          <w:sz w:val="24"/>
          <w:highlight w:val="none"/>
          <w:lang w:val="en-US" w:eastAsia="zh-CN"/>
        </w:rPr>
        <w:t>、</w:t>
      </w:r>
      <w:r>
        <w:rPr>
          <w:rFonts w:hint="eastAsia" w:ascii="仿宋" w:hAnsi="仿宋" w:eastAsia="仿宋" w:cs="仿宋"/>
          <w:bCs/>
          <w:color w:val="auto"/>
          <w:sz w:val="24"/>
          <w:szCs w:val="22"/>
          <w:highlight w:val="none"/>
          <w:lang w:val="en-US"/>
        </w:rPr>
        <w:t>各种管道后的天花净高满足使用要求。</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bCs/>
          <w:color w:val="auto"/>
          <w:sz w:val="24"/>
          <w:szCs w:val="22"/>
          <w:highlight w:val="none"/>
          <w:lang w:val="en-US"/>
        </w:rPr>
      </w:pPr>
      <w:r>
        <w:rPr>
          <w:rFonts w:hint="eastAsia" w:ascii="仿宋" w:hAnsi="仿宋" w:eastAsia="仿宋" w:cs="仿宋"/>
          <w:color w:val="auto"/>
          <w:sz w:val="24"/>
          <w:highlight w:val="none"/>
          <w:lang w:val="en-US" w:eastAsia="zh-CN"/>
        </w:rPr>
        <w:t>11、</w:t>
      </w:r>
      <w:r>
        <w:rPr>
          <w:rFonts w:ascii="仿宋" w:hAnsi="仿宋" w:eastAsia="仿宋" w:cs="仿宋"/>
          <w:bCs/>
          <w:color w:val="auto"/>
          <w:sz w:val="24"/>
          <w:szCs w:val="22"/>
          <w:highlight w:val="none"/>
          <w:lang w:val="en-US"/>
        </w:rPr>
        <w:t>避免在高低压电房，开关房，信息机房等各类设备用房上方设置厕所等易漏水功能用房，避免各类排水管穿越设备用房。</w:t>
      </w:r>
    </w:p>
    <w:p>
      <w:pPr>
        <w:pStyle w:val="2"/>
        <w:keepNext w:val="0"/>
        <w:keepLines w:val="0"/>
        <w:pageBreakBefore w:val="0"/>
        <w:widowControl w:val="0"/>
        <w:kinsoku/>
        <w:wordWrap/>
        <w:overflowPunct/>
        <w:topLinePunct w:val="0"/>
        <w:bidi w:val="0"/>
        <w:spacing w:line="560" w:lineRule="exact"/>
        <w:ind w:firstLine="48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6.4.2</w:t>
      </w:r>
      <w:r>
        <w:rPr>
          <w:rFonts w:ascii="仿宋" w:hAnsi="仿宋" w:eastAsia="仿宋" w:cs="仿宋"/>
          <w:color w:val="auto"/>
          <w:sz w:val="24"/>
          <w:szCs w:val="22"/>
          <w:highlight w:val="none"/>
          <w:lang w:val="en-US"/>
        </w:rPr>
        <w:t>0</w:t>
      </w:r>
      <w:r>
        <w:rPr>
          <w:rFonts w:hint="eastAsia" w:ascii="仿宋" w:hAnsi="仿宋" w:eastAsia="仿宋" w:cs="仿宋"/>
          <w:color w:val="auto"/>
          <w:sz w:val="24"/>
          <w:szCs w:val="22"/>
          <w:highlight w:val="none"/>
          <w:lang w:val="en-US"/>
        </w:rPr>
        <w:t>建筑作为统筹协调的主体，保证各专业设备管道完成后满足使用空间（净空尺寸和高度）要求。</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3.6.4结构设计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包括设计范围内建筑体的结构设计</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幕墙等装修工程的结构设计，结构设计一般要求。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ascii="仿宋" w:hAnsi="仿宋" w:eastAsia="仿宋" w:cs="仿宋"/>
          <w:color w:val="auto"/>
          <w:sz w:val="24"/>
          <w:highlight w:val="none"/>
        </w:rPr>
        <w:t>结构设计基准期为50年，结构设计使用年限为50年。</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rPr>
        <w:t>具体抗震等级应根据具体部位的设防类别、烈度、结构类型和建筑高度确定。</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ascii="仿宋" w:hAnsi="仿宋" w:eastAsia="仿宋" w:cs="仿宋"/>
          <w:color w:val="auto"/>
          <w:sz w:val="24"/>
          <w:highlight w:val="none"/>
        </w:rPr>
        <w:t>风荷载按50年一遇的基本风压取值。特殊结构的风荷载体型系数应通过风洞试验确定。</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结构设计应充分考虑广州地区建筑物抗震设防的特点，选择对抗震有利的结构体系，力求受力合理、安全可靠、舒适环保、节能、美观、经济耐用。建筑结构材料合理采用高性能混凝土、高强度钢。</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ascii="仿宋" w:hAnsi="仿宋" w:eastAsia="仿宋" w:cs="仿宋"/>
          <w:color w:val="auto"/>
          <w:sz w:val="24"/>
          <w:highlight w:val="none"/>
        </w:rPr>
        <w:t>防空地下室的设防等级与规模应符合民防主管部门的批复文件。</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ascii="仿宋" w:hAnsi="仿宋" w:eastAsia="仿宋" w:cs="仿宋"/>
          <w:color w:val="auto"/>
          <w:sz w:val="24"/>
          <w:highlight w:val="none"/>
        </w:rPr>
        <w:t>结构设计应阐述对特殊施工条件及验收标准的要求。</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ascii="仿宋" w:hAnsi="仿宋" w:eastAsia="仿宋" w:cs="仿宋"/>
          <w:color w:val="auto"/>
          <w:sz w:val="24"/>
          <w:highlight w:val="none"/>
        </w:rPr>
        <w:t>在确保工程质量与安全，对工期和工程造价影响不大的前提下，结构设计应积极采用和推广成熟的新结构、新技术、新材料和新工艺。</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ascii="仿宋" w:hAnsi="仿宋" w:eastAsia="仿宋" w:cs="仿宋"/>
          <w:color w:val="auto"/>
          <w:sz w:val="24"/>
          <w:highlight w:val="none"/>
        </w:rPr>
        <w:t>进行结构计算时，所使用的软件应通过有关部门的鉴定，计算软件的技术条件应符合现行工程建设标准的规定。</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当结构体系复杂时，结构分析采用不少于两个不同的力学模型的软件进行计算，并对其计算结果分析比较，确认合理有效后方可用于工程设计。</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ascii="仿宋" w:hAnsi="仿宋" w:eastAsia="仿宋" w:cs="仿宋"/>
          <w:color w:val="auto"/>
          <w:sz w:val="24"/>
          <w:highlight w:val="none"/>
        </w:rPr>
        <w:t>对于复杂结构，如转换层、大悬臂等应进行必要的有限元分析</w:t>
      </w:r>
      <w:r>
        <w:rPr>
          <w:rFonts w:hint="eastAsia" w:ascii="仿宋" w:hAnsi="仿宋" w:eastAsia="仿宋" w:cs="仿宋"/>
          <w:color w:val="auto"/>
          <w:sz w:val="24"/>
          <w:highlight w:val="none"/>
        </w:rPr>
        <w:t>；对于危大工程必须提交专项设计文本和注明具体位置</w:t>
      </w:r>
      <w:r>
        <w:rPr>
          <w:rFonts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ascii="仿宋" w:hAnsi="仿宋" w:eastAsia="仿宋" w:cs="仿宋"/>
          <w:color w:val="auto"/>
          <w:sz w:val="24"/>
          <w:highlight w:val="none"/>
        </w:rPr>
        <w:t>结构上应考虑基础地基，基础设计必须根据审查合格的工程地质详细勘察报告和物探报告进行。基础选型应根据工程地质和水文条件、建筑体型、荷载分布情况、施工条件，选择经济合理的基础形式。</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ascii="仿宋" w:hAnsi="仿宋" w:eastAsia="仿宋" w:cs="仿宋"/>
          <w:color w:val="auto"/>
          <w:sz w:val="24"/>
          <w:highlight w:val="none"/>
        </w:rPr>
        <w:t>在设计选材时考虑材料的可循环使用性能。</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ascii="仿宋" w:hAnsi="仿宋" w:eastAsia="仿宋" w:cs="仿宋"/>
          <w:color w:val="auto"/>
          <w:sz w:val="24"/>
          <w:highlight w:val="none"/>
        </w:rPr>
        <w:t>新型结构或材料应进行试验或振动台试验进行验证。</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ascii="仿宋" w:hAnsi="仿宋" w:eastAsia="仿宋" w:cs="仿宋"/>
          <w:color w:val="auto"/>
          <w:sz w:val="24"/>
          <w:highlight w:val="none"/>
        </w:rPr>
        <w:t>如有需要，应配合进行超限建筑工程抗震设防专项审查。</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ascii="仿宋" w:hAnsi="仿宋" w:eastAsia="仿宋" w:cs="仿宋"/>
          <w:color w:val="auto"/>
          <w:sz w:val="24"/>
          <w:highlight w:val="none"/>
        </w:rPr>
        <w:t>选型设计及施工时尽量减少对周围环境的影响。</w:t>
      </w:r>
    </w:p>
    <w:p>
      <w:pPr>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提交基坑支护、挡土墙、主体结构基础等的勘察钻孔和超前钻孔位置（如有），原则上勘察钻孔和超前钻位必须在结构柱位上。</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施工图包含危大工程专篇。对高支模大跨度等部位要有指明和技术要求意见。</w:t>
      </w:r>
    </w:p>
    <w:p>
      <w:pPr>
        <w:pStyle w:val="2"/>
        <w:keepNext w:val="0"/>
        <w:keepLines w:val="0"/>
        <w:pageBreakBefore w:val="0"/>
        <w:widowControl w:val="0"/>
        <w:kinsoku/>
        <w:wordWrap/>
        <w:overflowPunct/>
        <w:topLinePunct w:val="0"/>
        <w:bidi w:val="0"/>
        <w:spacing w:line="560" w:lineRule="exact"/>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lang w:val="en-US" w:eastAsia="zh-CN"/>
        </w:rPr>
        <w:t>17、</w:t>
      </w:r>
      <w:r>
        <w:rPr>
          <w:rFonts w:hint="eastAsia" w:ascii="仿宋" w:hAnsi="仿宋" w:eastAsia="仿宋" w:cs="仿宋"/>
          <w:color w:val="auto"/>
          <w:sz w:val="24"/>
          <w:szCs w:val="22"/>
          <w:highlight w:val="none"/>
          <w:lang w:val="en-US"/>
        </w:rPr>
        <w:t>提交满足施工进度要求的各项结构合理设计。满足造价和施工进度要求。</w:t>
      </w:r>
    </w:p>
    <w:p>
      <w:pPr>
        <w:pStyle w:val="2"/>
        <w:keepNext w:val="0"/>
        <w:keepLines w:val="0"/>
        <w:pageBreakBefore w:val="0"/>
        <w:widowControl w:val="0"/>
        <w:kinsoku/>
        <w:wordWrap/>
        <w:overflowPunct/>
        <w:topLinePunct w:val="0"/>
        <w:bidi w:val="0"/>
        <w:spacing w:line="560" w:lineRule="exact"/>
        <w:ind w:firstLine="48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eastAsia="zh-CN"/>
        </w:rPr>
        <w:t>18</w:t>
      </w:r>
      <w:r>
        <w:rPr>
          <w:rFonts w:hint="eastAsia" w:ascii="仿宋" w:hAnsi="仿宋" w:eastAsia="仿宋" w:cs="仿宋"/>
          <w:color w:val="auto"/>
          <w:sz w:val="24"/>
          <w:szCs w:val="22"/>
          <w:highlight w:val="none"/>
          <w:lang w:val="en-US"/>
        </w:rPr>
        <w:t>满足配合设备的结构荷载和尺寸规格的设计要求；</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3.6.5电气设计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包含本项目高低压变配电的设计，具体包括：变配电系统、动力系统、照明配电系统、消防应急照明和疏散指示系统、防雷及接地系统、景观道路照明工程及提供</w:t>
      </w:r>
      <w:r>
        <w:rPr>
          <w:rFonts w:ascii="仿宋" w:hAnsi="仿宋" w:eastAsia="仿宋" w:cs="仿宋"/>
          <w:color w:val="auto"/>
          <w:sz w:val="24"/>
          <w:highlight w:val="none"/>
        </w:rPr>
        <w:t>10kV市政电源接入条件和路由预留。</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ascii="仿宋" w:hAnsi="仿宋" w:eastAsia="仿宋" w:cs="仿宋"/>
          <w:color w:val="auto"/>
          <w:sz w:val="24"/>
          <w:highlight w:val="none"/>
        </w:rPr>
        <w:t>强电系统设计应满足运营基本要求。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ascii="仿宋" w:hAnsi="仿宋" w:eastAsia="仿宋" w:cs="仿宋"/>
          <w:color w:val="auto"/>
          <w:sz w:val="24"/>
          <w:highlight w:val="none"/>
        </w:rPr>
        <w:t>以市电网电力为主要能源。由市电网引来</w:t>
      </w:r>
      <w:r>
        <w:rPr>
          <w:rFonts w:hint="eastAsia" w:ascii="仿宋" w:hAnsi="仿宋" w:eastAsia="仿宋" w:cs="仿宋"/>
          <w:color w:val="auto"/>
          <w:sz w:val="24"/>
          <w:highlight w:val="none"/>
        </w:rPr>
        <w:t>10KV</w:t>
      </w:r>
      <w:r>
        <w:rPr>
          <w:rFonts w:ascii="仿宋" w:hAnsi="仿宋" w:eastAsia="仿宋" w:cs="仿宋"/>
          <w:color w:val="auto"/>
          <w:sz w:val="24"/>
          <w:highlight w:val="none"/>
        </w:rPr>
        <w:t>电源</w:t>
      </w:r>
      <w:r>
        <w:rPr>
          <w:rFonts w:hint="eastAsia" w:ascii="仿宋" w:hAnsi="仿宋" w:eastAsia="仿宋" w:cs="仿宋"/>
          <w:color w:val="auto"/>
          <w:sz w:val="24"/>
          <w:highlight w:val="none"/>
        </w:rPr>
        <w:t>，配备备用及应急电源系统。要求：确定供电负荷级别</w:t>
      </w:r>
      <w:r>
        <w:rPr>
          <w:rFonts w:ascii="仿宋" w:hAnsi="仿宋" w:eastAsia="仿宋" w:cs="仿宋"/>
          <w:color w:val="auto"/>
          <w:sz w:val="24"/>
          <w:highlight w:val="none"/>
        </w:rPr>
        <w:t>,负荷估算（包括照明、办公</w:t>
      </w:r>
      <w:r>
        <w:rPr>
          <w:rFonts w:hint="eastAsia" w:ascii="仿宋" w:hAnsi="仿宋" w:eastAsia="仿宋" w:cs="仿宋"/>
          <w:color w:val="auto"/>
          <w:sz w:val="24"/>
          <w:highlight w:val="none"/>
        </w:rPr>
        <w:t>、</w:t>
      </w:r>
      <w:r>
        <w:rPr>
          <w:rFonts w:ascii="仿宋" w:hAnsi="仿宋" w:eastAsia="仿宋" w:cs="仿宋"/>
          <w:color w:val="auto"/>
          <w:sz w:val="24"/>
          <w:highlight w:val="none"/>
        </w:rPr>
        <w:t>生产设备动力、空调、弱电部分）</w:t>
      </w:r>
      <w:r>
        <w:rPr>
          <w:rFonts w:hint="eastAsia" w:ascii="仿宋" w:hAnsi="仿宋" w:eastAsia="仿宋" w:cs="仿宋"/>
          <w:color w:val="auto"/>
          <w:sz w:val="24"/>
          <w:highlight w:val="none"/>
        </w:rPr>
        <w:t>，充分厂房的预留电量，满足后续各业态租户的用电需求</w:t>
      </w:r>
      <w:r>
        <w:rPr>
          <w:rFonts w:ascii="仿宋" w:hAnsi="仿宋" w:eastAsia="仿宋" w:cs="仿宋"/>
          <w:color w:val="auto"/>
          <w:sz w:val="24"/>
          <w:highlight w:val="none"/>
        </w:rPr>
        <w:t>；变、配电所及设备位置、数量、容量设置合理。</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低压配电设计应尽量避免全部采用放射式供电，应与其它供电方式综合考虑，以减少低压柜出线回路数量，限额设计。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航空障碍灯（如有）设置需咨询当地航空管理局，符合相关要求。</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ascii="仿宋" w:hAnsi="仿宋" w:eastAsia="仿宋" w:cs="仿宋"/>
          <w:color w:val="auto"/>
          <w:sz w:val="24"/>
          <w:highlight w:val="none"/>
        </w:rPr>
        <w:t>应采用适宜的照明设备，高效节能。</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val="en-US"/>
        </w:rPr>
        <w:t>优先选用一路市政电源配置柴油发电机的供电方式，避免产生高可靠费。</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永久用电报审必须由有广州市供电局承认的设计资质分包设计单位提交报审和施工图设计。</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 xml:space="preserve">9 </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涉及移交相关部门的配建工程（如道路等），应有独立对接供电局的计量电表。</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应采用适宜的照明设备，高效节能。涉及业主后续深化设计的区域需结合实际使用及未来发展需求预留足够用电。</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11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满足电梯、厨电设备、标识工程等配电的深化设计审核。</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12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合理配置层强弱电间的设置，足够设备线路空间，并有一定的富余，减少线路损耗。合理设置紧急开关位置。</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3.6.6建筑智能化设计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信息网络系统包括：计算机网络系统、语音（电话）网络系统、综合布线系统、有线电视及卫星电视接收系统、公共广播系统、信息发布（含大屏幕电子公告）及导引系统等。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建筑设备监控系统：设置设备监控系统，对其内部的动力、电力、空调、照明（</w:t>
      </w:r>
      <w:r>
        <w:rPr>
          <w:rFonts w:hint="eastAsia" w:ascii="仿宋" w:hAnsi="仿宋" w:eastAsia="仿宋" w:cs="仿宋"/>
          <w:color w:val="auto"/>
          <w:sz w:val="24"/>
          <w:highlight w:val="none"/>
        </w:rPr>
        <w:t>包括</w:t>
      </w:r>
      <w:r>
        <w:rPr>
          <w:rFonts w:ascii="仿宋" w:hAnsi="仿宋" w:eastAsia="仿宋" w:cs="仿宋"/>
          <w:color w:val="auto"/>
          <w:sz w:val="24"/>
          <w:highlight w:val="none"/>
        </w:rPr>
        <w:t>空调和照明采用物联网的技术，感知环境状态和人流状态，实现自动控制）、给排水、电梯、停车库</w:t>
      </w:r>
      <w:r>
        <w:rPr>
          <w:rFonts w:hint="eastAsia" w:ascii="仿宋" w:hAnsi="仿宋" w:eastAsia="仿宋" w:cs="仿宋"/>
          <w:color w:val="auto"/>
          <w:sz w:val="24"/>
          <w:highlight w:val="none"/>
        </w:rPr>
        <w:t>、污水处理设备</w:t>
      </w:r>
      <w:r>
        <w:rPr>
          <w:rFonts w:ascii="仿宋" w:hAnsi="仿宋" w:eastAsia="仿宋" w:cs="仿宋"/>
          <w:color w:val="auto"/>
          <w:sz w:val="24"/>
          <w:highlight w:val="none"/>
        </w:rPr>
        <w:t>等机电设备进行监视、控制、协调、运行管理</w:t>
      </w:r>
      <w:r>
        <w:rPr>
          <w:rFonts w:hint="eastAsia" w:ascii="仿宋" w:hAnsi="仿宋" w:eastAsia="仿宋" w:cs="仿宋"/>
          <w:color w:val="auto"/>
          <w:sz w:val="24"/>
          <w:highlight w:val="none"/>
        </w:rPr>
        <w:t>，具体待后续方案汇报后再确定</w:t>
      </w:r>
      <w:r>
        <w:rPr>
          <w:rFonts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安全防范系统包括：入侵报警系统、视频监控系统、出入口控制系统、停车场管理系统、智能卡系统、安全防范系统集成（设计范围内的所有建筑、公众区域、停车场、出入口通道等区域的安保设计）。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火灾自动报警系统（包括：手动、自动报警系统、联动控制系统、紧急广播系统）</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智能化系统集成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防雷系统</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机房工程</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auto"/>
          <w:sz w:val="24"/>
          <w:highlight w:val="none"/>
          <w:lang w:eastAsia="zh-CN"/>
        </w:rPr>
      </w:pPr>
      <w:r>
        <w:rPr>
          <w:rFonts w:ascii="仿宋" w:hAnsi="仿宋" w:eastAsia="仿宋" w:cs="仿宋"/>
          <w:color w:val="auto"/>
          <w:sz w:val="24"/>
          <w:highlight w:val="none"/>
        </w:rPr>
        <w:t>8</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能源分项计量及监控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9</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监控中心</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10</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智能照明系统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五方通话系统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应充分考虑物业管理和经营模式，以利于系统的设计能满足日后的使用管理要求。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大小配电箱的系统图必须满足施工深度要求。不能示意和仅有文字说明。 </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中标单位需要从功能、造价等方面对智能化系统进行专项汇报，以确定最终建设的系统。</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3.6.7建筑给排水设计：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包括但不限于本项目用地范围内室内外给排水系统设计（建筑给水、中水、排水、热水系统、污水处理系统等）、用地内与市政管道的接驳、路由等满足通水的所有设计、消防给水系统设计、气体消防设计等。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1建筑给水排水设计应设室内外给排水及消防给水系统，以满足生活、</w:t>
      </w:r>
      <w:r>
        <w:rPr>
          <w:rFonts w:hint="eastAsia" w:ascii="仿宋" w:hAnsi="仿宋" w:eastAsia="仿宋" w:cs="仿宋"/>
          <w:color w:val="auto"/>
          <w:sz w:val="24"/>
          <w:highlight w:val="none"/>
        </w:rPr>
        <w:t>生产</w:t>
      </w:r>
      <w:r>
        <w:rPr>
          <w:rFonts w:ascii="仿宋" w:hAnsi="仿宋" w:eastAsia="仿宋" w:cs="仿宋"/>
          <w:color w:val="auto"/>
          <w:sz w:val="24"/>
          <w:highlight w:val="none"/>
        </w:rPr>
        <w:t>、冲洗道路和绿化及消防用水的要求。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在保障功能和经济性的条件下，尽可能使用可再生能源。</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根据城市排水体制，生活污水与雨水分系统排入市政污水管道与雨水管道，生活污水中的粪水经室外化粪池处理后排至市政污水管道，厨房餐饮污水经隔油处理达到《城市污水排放标准》后排至室外污水管道</w:t>
      </w:r>
      <w:r>
        <w:rPr>
          <w:rFonts w:hint="eastAsia" w:ascii="仿宋" w:hAnsi="仿宋" w:eastAsia="仿宋" w:cs="仿宋"/>
          <w:color w:val="auto"/>
          <w:sz w:val="24"/>
          <w:highlight w:val="none"/>
        </w:rPr>
        <w:t>。地下室设置污水处理，工业生产产生污水经一次处理后排至市政污水管</w:t>
      </w:r>
      <w:r>
        <w:rPr>
          <w:rFonts w:ascii="仿宋" w:hAnsi="仿宋" w:eastAsia="仿宋" w:cs="仿宋"/>
          <w:color w:val="auto"/>
          <w:sz w:val="24"/>
          <w:highlight w:val="none"/>
        </w:rPr>
        <w:t xml:space="preserve">。 </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采用节水型卫生器具。绿化灌溉宜采用滴灌、微灌、渗灌或管灌等节水浇灌方式，以满足绿色建筑设计要求。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建筑设备选型应考虑技术先进、维护方便、经济合理的原则；体现科技、环保、可持续发展的理念。</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根据国家有关规范和广东省标准及所提供的资料对消防系统进行设计，包括室外消火栓系统、室内消火栓系统、自动喷水灭火系统、气体灭火系统和建筑灭火器配置设计。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应充分考虑物业管理和经营模式，以利于系统的设计能满足日后的计量及使用管理要求。</w:t>
      </w:r>
    </w:p>
    <w:p>
      <w:pPr>
        <w:pStyle w:val="2"/>
        <w:keepNext w:val="0"/>
        <w:keepLines w:val="0"/>
        <w:pageBreakBefore w:val="0"/>
        <w:widowControl w:val="0"/>
        <w:kinsoku/>
        <w:wordWrap/>
        <w:overflowPunct/>
        <w:topLinePunct w:val="0"/>
        <w:bidi w:val="0"/>
        <w:spacing w:line="560" w:lineRule="exact"/>
        <w:ind w:firstLine="400" w:firstLineChars="200"/>
        <w:textAlignment w:val="auto"/>
        <w:rPr>
          <w:rFonts w:ascii="仿宋" w:hAnsi="仿宋" w:eastAsia="仿宋" w:cs="仿宋"/>
          <w:color w:val="auto"/>
          <w:sz w:val="24"/>
          <w:highlight w:val="none"/>
          <w:lang w:val="en-US"/>
        </w:rPr>
      </w:pPr>
      <w:r>
        <w:rPr>
          <w:rFonts w:hint="eastAsia"/>
          <w:color w:val="auto"/>
          <w:highlight w:val="none"/>
          <w:lang w:val="en-US"/>
        </w:rPr>
        <w:t xml:space="preserve"> </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永久用水报审必须由有广州市自来水公司承认的设计资质分包设计单位提交报审和施工图设计。</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9</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 xml:space="preserve"> 涉及移交相关部门的配建工程，应有独立永久的计量。</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lang w:val="en-US" w:eastAsia="zh-CN"/>
        </w:rPr>
        <w:t>消防管道设置应充分考虑本专业及其他专业管道布置情况，优化管道走向，</w:t>
      </w:r>
      <w:r>
        <w:rPr>
          <w:rFonts w:hint="eastAsia" w:ascii="仿宋" w:hAnsi="仿宋" w:eastAsia="仿宋" w:cs="仿宋"/>
          <w:color w:val="auto"/>
          <w:sz w:val="24"/>
          <w:highlight w:val="none"/>
          <w:lang w:val="en-US"/>
        </w:rPr>
        <w:t>满足使用空间（净空尺寸和高度）要求</w:t>
      </w:r>
      <w:r>
        <w:rPr>
          <w:rFonts w:hint="eastAsia" w:ascii="仿宋" w:hAnsi="仿宋" w:eastAsia="仿宋" w:cs="仿宋"/>
          <w:color w:val="auto"/>
          <w:sz w:val="24"/>
          <w:highlight w:val="none"/>
          <w:lang w:val="en-US" w:eastAsia="zh-CN"/>
        </w:rPr>
        <w:t>。</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 xml:space="preserve">3.6.8空调通风设计： </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包括但不限于建筑物内部空气调节系统、供冷供热系统及通风系统设计。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采暖通风与空气调节设计应符合现行《民用建筑供暖通风与空气调节设计规范》GB50736的规定。</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应结合不同区域的空间大小、使用特点进行设计，确保环保节能、使用灵活、计费方便。宜设置室内空气质量监控系统，保证健康舒适的室内环境。</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根据《建筑工程设计文件编制深度》（2016年版）的规定，空调、</w:t>
      </w:r>
      <w:r>
        <w:rPr>
          <w:rFonts w:hint="eastAsia" w:ascii="仿宋" w:hAnsi="仿宋" w:eastAsia="仿宋" w:cs="仿宋"/>
          <w:color w:val="auto"/>
          <w:sz w:val="24"/>
          <w:highlight w:val="none"/>
        </w:rPr>
        <w:t>制冷系统有自动监控时，宜绘制原理图，图中以图例绘出设备、传感器及执行器位置；说明控制要求和必要的控制参数。</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根据《公共建筑节能设计标准》（GB50189-2015）的规定，在人员密度相对较大且变化较大的房间，宜采用新风需求控制。即根据室内CO</w:t>
      </w:r>
      <w:r>
        <w:rPr>
          <w:rFonts w:ascii="仿宋" w:hAnsi="仿宋" w:eastAsia="仿宋" w:cs="仿宋"/>
          <w:color w:val="auto"/>
          <w:sz w:val="24"/>
          <w:highlight w:val="none"/>
          <w:vertAlign w:val="subscript"/>
        </w:rPr>
        <w:t>2</w:t>
      </w:r>
      <w:r>
        <w:rPr>
          <w:rFonts w:ascii="仿宋" w:hAnsi="仿宋" w:eastAsia="仿宋" w:cs="仿宋"/>
          <w:color w:val="auto"/>
          <w:sz w:val="24"/>
          <w:highlight w:val="none"/>
        </w:rPr>
        <w:t>浓度监测值增加或减少新风量，使CO</w:t>
      </w:r>
      <w:r>
        <w:rPr>
          <w:rFonts w:ascii="仿宋" w:hAnsi="仿宋" w:eastAsia="仿宋" w:cs="仿宋"/>
          <w:color w:val="auto"/>
          <w:sz w:val="24"/>
          <w:highlight w:val="none"/>
          <w:vertAlign w:val="subscript"/>
        </w:rPr>
        <w:t>2</w:t>
      </w:r>
      <w:r>
        <w:rPr>
          <w:rFonts w:ascii="仿宋" w:hAnsi="仿宋" w:eastAsia="仿宋" w:cs="仿宋"/>
          <w:color w:val="auto"/>
          <w:sz w:val="24"/>
          <w:highlight w:val="none"/>
        </w:rPr>
        <w:t>浓度始终维持在卫生标准规定的限制内。</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根据《绿色建筑评价标准》（GB/T50378-2019</w:t>
      </w:r>
      <w:r>
        <w:rPr>
          <w:rFonts w:hint="eastAsia" w:ascii="仿宋" w:hAnsi="仿宋" w:eastAsia="仿宋" w:cs="仿宋"/>
          <w:color w:val="auto"/>
          <w:sz w:val="24"/>
          <w:highlight w:val="none"/>
        </w:rPr>
        <w:t>）的规定，新建的公共建筑、冷热源、输配系统和照明等各部分能耗进行独立分项计量。空调系统应对以下设备及系统设置独立的电量计量装置：冷冻机、冷冻水泵、冷却水泵、冷却塔等。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所有空调制冷设备、消防设备中的有关冷制剂不得采用对臭氧层破坏的物质，相关选材和型号应符合国家环保要求。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设备选型应考虑技术先进、维护方便、经济合理的原则；体现科技、环保、可持续发展的理念。</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应充分考虑物业管理和经营模式，以利于系统的设计能满足日后的计量及使用管理要求。</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 xml:space="preserve">9 </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根据生产工艺要求，应预留工业废气的独立排放系统。</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中央空调配电设备必须单独设置，不能在低压房内混装。</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lang w:val="en-US" w:eastAsia="zh-CN"/>
        </w:rPr>
        <w:t>1、风管设置应充分考虑本专业及其他专业管道布置情况，优化风井、管道走向，</w:t>
      </w:r>
      <w:r>
        <w:rPr>
          <w:rFonts w:hint="eastAsia" w:ascii="仿宋" w:hAnsi="仿宋" w:eastAsia="仿宋" w:cs="仿宋"/>
          <w:color w:val="auto"/>
          <w:sz w:val="24"/>
          <w:highlight w:val="none"/>
          <w:lang w:val="en-US"/>
        </w:rPr>
        <w:t>满足使用空间（净空尺寸和高度）要求</w:t>
      </w:r>
      <w:r>
        <w:rPr>
          <w:rFonts w:hint="eastAsia" w:ascii="仿宋" w:hAnsi="仿宋" w:eastAsia="仿宋" w:cs="仿宋"/>
          <w:color w:val="auto"/>
          <w:sz w:val="24"/>
          <w:highlight w:val="none"/>
          <w:lang w:val="en-US" w:eastAsia="zh-CN"/>
        </w:rPr>
        <w:t>。</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3.6.9消防设计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建筑消防水池及消防泵房设在地下室，消防水泵房设甲级防火门并直通安全出口。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建筑物内走道、楼梯、安全出口宽度、安全出口数量及安全疏散距离均按消防有关规范设计。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各种构配件其燃烧性能及耐火极限均满足规范要求。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防排烟等系统</w:t>
      </w:r>
      <w:r>
        <w:rPr>
          <w:rFonts w:ascii="仿宋" w:hAnsi="仿宋" w:eastAsia="仿宋" w:cs="仿宋"/>
          <w:color w:val="auto"/>
          <w:sz w:val="24"/>
          <w:highlight w:val="none"/>
        </w:rPr>
        <w:t>按照《建筑设计防火规范》GB50016-2014（2018版）进行设计。</w:t>
      </w: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3.6.10景观环境空间设计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景观环境应在地形地貌的基础上，结合项目的交通设计、场地设计，形成区域环境有特色。并根据绿色建筑建设的要求选择适宜当地气候和土壤条件的乡土植物，且采用包含乔木、灌木的复层绿化，便于后期管养。须提交景观效果图以及关键出入口效果图，景观设计须与海绵城市措施结合考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图纸应与海绵城市专篇相符</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3.6.11泛光设计（如有）</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项目属于民科园“一核三园”其中一个园区，设计应充分考虑其定位，通过光的强弱变化和色彩组合，使得建筑物在夜幕降临后</w:t>
      </w:r>
      <w:r>
        <w:rPr>
          <w:rFonts w:hint="eastAsia" w:ascii="仿宋" w:hAnsi="仿宋" w:eastAsia="仿宋" w:cs="仿宋"/>
          <w:color w:val="auto"/>
          <w:sz w:val="24"/>
          <w:highlight w:val="none"/>
          <w:lang w:val="en-US" w:eastAsia="zh-CN"/>
        </w:rPr>
        <w:t>淋漓</w:t>
      </w:r>
      <w:r>
        <w:rPr>
          <w:rFonts w:hint="eastAsia" w:ascii="仿宋" w:hAnsi="仿宋" w:eastAsia="仿宋" w:cs="仿宋"/>
          <w:color w:val="auto"/>
          <w:sz w:val="24"/>
          <w:highlight w:val="none"/>
        </w:rPr>
        <w:t>尽致地表现出特有的风格，显现产业基地的特色，打造特色产业园区。并符合广州市光控要求，充分考虑设计时所有的技术性问题，对土建施工图纸进行深化，并保证幕墙的整体性能要求。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泛光照明的所有材料必须满足建筑设计图纸上的建筑设计和使用功能要求；</w:t>
      </w:r>
    </w:p>
    <w:p>
      <w:pPr>
        <w:keepNext w:val="0"/>
        <w:keepLines w:val="0"/>
        <w:pageBreakBefore w:val="0"/>
        <w:widowControl w:val="0"/>
        <w:kinsoku/>
        <w:wordWrap/>
        <w:overflowPunct/>
        <w:topLinePunct w:val="0"/>
        <w:bidi w:val="0"/>
        <w:spacing w:line="560" w:lineRule="exact"/>
        <w:ind w:left="48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综合考虑造价控制，泛光设计</w:t>
      </w:r>
      <w:r>
        <w:rPr>
          <w:rFonts w:ascii="仿宋" w:hAnsi="仿宋" w:eastAsia="仿宋" w:cs="仿宋"/>
          <w:color w:val="auto"/>
          <w:sz w:val="24"/>
          <w:highlight w:val="none"/>
        </w:rPr>
        <w:t>有利于节约材料、减低成本；</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明装灯、灯带不得破坏幕墙的外视效果，以满足立面整体的美观要求；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突出照射建筑立面，使得它与周围环境形成明暗对比，充分发挥周围环境的陪衬作用；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从几个不同的角度照射，以便产生显著的立体感，特别是产生光色的层次效果。</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auto"/>
          <w:sz w:val="24"/>
          <w:highlight w:val="none"/>
          <w:lang w:eastAsia="zh-CN"/>
        </w:rPr>
      </w:pPr>
      <w:r>
        <w:rPr>
          <w:rFonts w:hint="eastAsia" w:ascii="仿宋" w:hAnsi="仿宋" w:eastAsia="仿宋" w:cs="仿宋"/>
          <w:b/>
          <w:sz w:val="24"/>
          <w:szCs w:val="24"/>
          <w:highlight w:val="none"/>
          <w:lang w:val="en-US" w:eastAsia="zh-CN"/>
        </w:rPr>
        <w:t>3.6.</w:t>
      </w:r>
      <w:r>
        <w:rPr>
          <w:rFonts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室内装修设计</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如有</w:t>
      </w:r>
      <w:r>
        <w:rPr>
          <w:rFonts w:hint="eastAsia" w:ascii="仿宋" w:hAnsi="仿宋" w:eastAsia="仿宋" w:cs="仿宋"/>
          <w:b/>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装修设计范围及面积采用预估值，以建设单位最终确定的装修范围为准。具体工作内容包括但不限于以下工作内容：</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室内设计说明，表达设计构想及设计意向：</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铺地平面图、天花平面图、重点位置立面图、剖面图以及室内空间效果图等</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提供材料样板以及工程预算概算表；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灯具选型、五金洁具、水电推荐品牌表；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二次装饰消防机电设计、包括喷淋、烟感、消防栓等与一次消防位置不一致的调整及出图；</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施工期间需对现场进行效果把控，设计单位需要派驻场代表，中级工程师以上职称，驻场代表随着现场施工的专业变化而调整，或能准确对照图纸和转达各专业设计与施工的存在问题或解决。</w:t>
      </w:r>
      <w:r>
        <w:rPr>
          <w:rFonts w:ascii="仿宋" w:hAnsi="仿宋" w:eastAsia="仿宋" w:cs="仿宋"/>
          <w:color w:val="auto"/>
          <w:sz w:val="24"/>
          <w:highlight w:val="none"/>
        </w:rPr>
        <w:t>施工前期每周两次</w:t>
      </w:r>
      <w:r>
        <w:rPr>
          <w:rFonts w:hint="eastAsia" w:ascii="仿宋" w:hAnsi="仿宋" w:eastAsia="仿宋" w:cs="仿宋"/>
          <w:color w:val="auto"/>
          <w:sz w:val="24"/>
          <w:highlight w:val="none"/>
        </w:rPr>
        <w:t>、</w:t>
      </w:r>
      <w:r>
        <w:rPr>
          <w:rFonts w:ascii="仿宋" w:hAnsi="仿宋" w:eastAsia="仿宋" w:cs="仿宋"/>
          <w:color w:val="auto"/>
          <w:sz w:val="24"/>
          <w:highlight w:val="none"/>
        </w:rPr>
        <w:t>施工后期即完工前一个月每周一次</w:t>
      </w:r>
      <w:r>
        <w:rPr>
          <w:rFonts w:hint="eastAsia" w:ascii="仿宋" w:hAnsi="仿宋" w:eastAsia="仿宋" w:cs="仿宋"/>
          <w:color w:val="auto"/>
          <w:sz w:val="24"/>
          <w:highlight w:val="none"/>
        </w:rPr>
        <w:t>等需要设计团队</w:t>
      </w:r>
      <w:r>
        <w:rPr>
          <w:rFonts w:ascii="仿宋" w:hAnsi="仿宋" w:eastAsia="仿宋" w:cs="仿宋"/>
          <w:color w:val="auto"/>
          <w:sz w:val="24"/>
          <w:highlight w:val="none"/>
        </w:rPr>
        <w:t>到现场进行</w:t>
      </w:r>
      <w:r>
        <w:rPr>
          <w:rFonts w:hint="eastAsia" w:ascii="仿宋" w:hAnsi="仿宋" w:eastAsia="仿宋" w:cs="仿宋"/>
          <w:color w:val="auto"/>
          <w:sz w:val="24"/>
          <w:highlight w:val="none"/>
        </w:rPr>
        <w:t>巡场检查并出具报告。交监理和施工单位回复。设计人和项目负责人，需要每周</w:t>
      </w:r>
      <w:r>
        <w:rPr>
          <w:rFonts w:ascii="仿宋" w:hAnsi="仿宋" w:eastAsia="仿宋" w:cs="仿宋"/>
          <w:color w:val="auto"/>
          <w:sz w:val="24"/>
          <w:highlight w:val="none"/>
        </w:rPr>
        <w:t>到现场</w:t>
      </w:r>
      <w:r>
        <w:rPr>
          <w:rFonts w:hint="eastAsia" w:ascii="仿宋" w:hAnsi="仿宋" w:eastAsia="仿宋" w:cs="仿宋"/>
          <w:color w:val="auto"/>
          <w:sz w:val="24"/>
          <w:highlight w:val="none"/>
        </w:rPr>
        <w:t>参加工程例会。设计人随时根据施工需要参与现场专题会议：图纸会审、设计技术交底、</w:t>
      </w:r>
      <w:r>
        <w:rPr>
          <w:rFonts w:ascii="仿宋" w:hAnsi="仿宋" w:eastAsia="仿宋" w:cs="仿宋"/>
          <w:color w:val="auto"/>
          <w:sz w:val="24"/>
          <w:highlight w:val="none"/>
        </w:rPr>
        <w:t>材料定板</w:t>
      </w:r>
      <w:r>
        <w:rPr>
          <w:rFonts w:hint="eastAsia" w:ascii="仿宋" w:hAnsi="仿宋" w:eastAsia="仿宋" w:cs="仿宋"/>
          <w:color w:val="auto"/>
          <w:sz w:val="24"/>
          <w:highlight w:val="none"/>
        </w:rPr>
        <w:t>。参与</w:t>
      </w:r>
      <w:r>
        <w:rPr>
          <w:rFonts w:ascii="仿宋" w:hAnsi="仿宋" w:eastAsia="仿宋" w:cs="仿宋"/>
          <w:color w:val="auto"/>
          <w:sz w:val="24"/>
          <w:highlight w:val="none"/>
        </w:rPr>
        <w:t>对设计错漏碰缺补充变更图纸以及图纸更新管理；</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业主</w:t>
      </w:r>
      <w:r>
        <w:rPr>
          <w:rFonts w:ascii="仿宋" w:hAnsi="仿宋" w:eastAsia="仿宋" w:cs="仿宋"/>
          <w:color w:val="auto"/>
          <w:sz w:val="24"/>
          <w:highlight w:val="none"/>
        </w:rPr>
        <w:t>进行软装采购及摆置</w:t>
      </w:r>
      <w:r>
        <w:rPr>
          <w:rFonts w:hint="eastAsia" w:ascii="仿宋" w:hAnsi="仿宋" w:eastAsia="仿宋" w:cs="仿宋"/>
          <w:color w:val="auto"/>
          <w:sz w:val="24"/>
          <w:highlight w:val="none"/>
        </w:rPr>
        <w:t>、景观、招牌标识等</w:t>
      </w:r>
      <w:r>
        <w:rPr>
          <w:rFonts w:ascii="仿宋" w:hAnsi="仿宋" w:eastAsia="仿宋" w:cs="仿宋"/>
          <w:color w:val="auto"/>
          <w:sz w:val="24"/>
          <w:highlight w:val="none"/>
        </w:rPr>
        <w:t>，设计方需派相关专业人员随同采购、</w:t>
      </w:r>
      <w:r>
        <w:rPr>
          <w:rFonts w:hint="eastAsia" w:ascii="仿宋" w:hAnsi="仿宋" w:eastAsia="仿宋" w:cs="仿宋"/>
          <w:color w:val="auto"/>
          <w:sz w:val="24"/>
          <w:highlight w:val="none"/>
        </w:rPr>
        <w:t>配合</w:t>
      </w:r>
      <w:r>
        <w:rPr>
          <w:rFonts w:ascii="仿宋" w:hAnsi="仿宋" w:eastAsia="仿宋" w:cs="仿宋"/>
          <w:color w:val="auto"/>
          <w:sz w:val="24"/>
          <w:highlight w:val="none"/>
        </w:rPr>
        <w:t>协助摆置工作；</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8</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施工完成后，协助提供以下资料：</w:t>
      </w:r>
    </w:p>
    <w:p>
      <w:pPr>
        <w:keepNext w:val="0"/>
        <w:keepLines w:val="0"/>
        <w:pageBreakBefore w:val="0"/>
        <w:widowControl w:val="0"/>
        <w:kinsoku/>
        <w:wordWrap/>
        <w:overflowPunct/>
        <w:topLinePunct w:val="0"/>
        <w:bidi w:val="0"/>
        <w:spacing w:line="560" w:lineRule="exact"/>
        <w:ind w:left="1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 xml:space="preserve">A、最终版全套施工图（含材料清单、样板照片、洁具、五金、工程灯清单）电子版； </w:t>
      </w:r>
    </w:p>
    <w:p>
      <w:pPr>
        <w:keepNext w:val="0"/>
        <w:keepLines w:val="0"/>
        <w:pageBreakBefore w:val="0"/>
        <w:widowControl w:val="0"/>
        <w:kinsoku/>
        <w:wordWrap/>
        <w:overflowPunct/>
        <w:topLinePunct w:val="0"/>
        <w:bidi w:val="0"/>
        <w:spacing w:line="560" w:lineRule="exact"/>
        <w:ind w:left="1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B、全套报消防图纸及后期配合消防报建的手续；</w:t>
      </w:r>
    </w:p>
    <w:p>
      <w:pPr>
        <w:keepNext w:val="0"/>
        <w:keepLines w:val="0"/>
        <w:pageBreakBefore w:val="0"/>
        <w:widowControl w:val="0"/>
        <w:kinsoku/>
        <w:wordWrap/>
        <w:overflowPunct/>
        <w:topLinePunct w:val="0"/>
        <w:bidi w:val="0"/>
        <w:spacing w:line="560" w:lineRule="exact"/>
        <w:jc w:val="left"/>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sz w:val="24"/>
          <w:szCs w:val="24"/>
          <w:highlight w:val="none"/>
          <w:lang w:val="en-US" w:eastAsia="zh-CN"/>
        </w:rPr>
        <w:t>3.6</w:t>
      </w: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 xml:space="preserve"> BIM技术专项设计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BIM设计须满足广州市相关报批报建的要求BIM模型必须符合国家现行的技术规范及标准要求，达到规范深度要求，并满足各独立建筑的使用要求。规划报建阶段要按照《广州市施工图三维数字化设计交付标准》、《广州市施工图三维数字化交付数据标准》开展BIM设计，满足规划报建相关要求及施工图审查的要求。</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3.6.14基坑支护设计要求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基坑支护设计应满足项目限额设计要求，配合概算编制、评审工作。</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基坑支护图纸应满足施工图审查及报建要求。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基坑支护设计应在确保基坑支护安全的条件下，做到经济合理、节约工期。中标单位应结合工期因素的考虑，尽快完成稳定的基坑支护方案，完成设计与评审工作，提供建设单位用于基坑支护工程施工。对于因地势高差形成永久受力挡土墙的，负责出图并通过施工图审查，按照边坡要求提交监测点。</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选型设计及施工时尽量减少对周围环境的影响。</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提交基坑支护等的勘察钻孔和超前钻孔位置（如有），原则上勘察钻孔和超前钻位必须在结构柱位上。</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施工图包含危大工程专篇。</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设计单位须根据项目建设单位节点要求以及工程建设进展，按照设计管理人员要求提交项目整体出图计划、月度以及周出图计划，不符合出图计划和出图质量问题（含涉及错漏、设计问题不足产生的重大设计变更等）的按照签订合同进行考核。</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承担设计问题产生的设计变更、重点设计方案论证以及设计成本质量评估相关会议费用。</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所有技术方案：包括但不限于设计方案、初步设计、基坑设计、智能化、及其他变更的技术专家论证，全部费用和技术支持由设计单位负责。</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其他设计要求按设计任务书执行。</w:t>
      </w:r>
    </w:p>
    <w:p>
      <w:pPr>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bidi w:val="0"/>
        <w:spacing w:line="560" w:lineRule="exact"/>
        <w:jc w:val="left"/>
        <w:textAlignment w:val="auto"/>
        <w:rPr>
          <w:rFonts w:ascii="仿宋" w:hAnsi="仿宋" w:eastAsia="仿宋" w:cs="仿宋"/>
          <w:b/>
          <w:color w:val="auto"/>
          <w:sz w:val="24"/>
          <w:highlight w:val="none"/>
        </w:rPr>
      </w:pPr>
      <w:r>
        <w:rPr>
          <w:rFonts w:hint="eastAsia" w:ascii="仿宋" w:hAnsi="仿宋" w:eastAsia="仿宋" w:cs="仿宋"/>
          <w:b/>
          <w:sz w:val="24"/>
          <w:szCs w:val="24"/>
          <w:highlight w:val="none"/>
          <w:lang w:val="en-US" w:eastAsia="zh-CN"/>
        </w:rPr>
        <w:t>3.6</w:t>
      </w:r>
      <w:r>
        <w:rPr>
          <w:rFonts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其他专业设计</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按照相关规范要求执行。</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如铝合金门窗二次深化设计，范围包括铝合金门、铝合金门联窗、铝合金窗、铝合金百叶四个部分。设计内容包括：设计说明、立面图、大样图、节点图、型材截面图等、相应计算书。</w:t>
      </w:r>
    </w:p>
    <w:p>
      <w:pPr>
        <w:keepNext w:val="0"/>
        <w:keepLines w:val="0"/>
        <w:pageBreakBefore w:val="0"/>
        <w:widowControl w:val="0"/>
        <w:kinsoku/>
        <w:wordWrap/>
        <w:overflowPunct/>
        <w:topLinePunct w:val="0"/>
        <w:bidi w:val="0"/>
        <w:spacing w:line="560" w:lineRule="exact"/>
        <w:ind w:firstLine="420" w:firstLineChars="200"/>
        <w:jc w:val="left"/>
        <w:textAlignment w:val="auto"/>
        <w:rPr>
          <w:rFonts w:ascii="仿宋" w:hAnsi="仿宋" w:eastAsia="仿宋" w:cs="仿宋"/>
          <w:color w:val="auto"/>
          <w:sz w:val="24"/>
          <w:highlight w:val="none"/>
        </w:rPr>
      </w:pPr>
      <w:r>
        <w:rPr>
          <w:rFonts w:hint="eastAsia"/>
          <w:color w:val="auto"/>
          <w:highlight w:val="none"/>
        </w:rPr>
        <w:t xml:space="preserve"> </w:t>
      </w:r>
      <w:r>
        <w:rPr>
          <w:rFonts w:hint="eastAsia" w:ascii="仿宋" w:hAnsi="仿宋" w:eastAsia="仿宋" w:cs="仿宋"/>
          <w:color w:val="auto"/>
          <w:sz w:val="24"/>
          <w:highlight w:val="none"/>
        </w:rPr>
        <w:t>其他如钢结构、电梯、抗震支架等深化设计，需要提交厂家资质和营业执照、具有开料深度的深化施工图。提交参建单位审查并盖章。深化设计不得超越概算造价。</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在验收前，如有建设验收部门要求的新增内容，设计单位必须无条件配合出变更图满足验收要求。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燃气设计报审必须由有广州市燃气公司承认的设计资质分包设计单位提交报审和施工图设计。</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rPr>
        <w:t>雨污排放检查口确定，必须按照白云区水务局要求指定的位置进行室外雨水分流管井的标高调整设计施工图。</w:t>
      </w:r>
    </w:p>
    <w:p>
      <w:pPr>
        <w:pStyle w:val="18"/>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b/>
          <w:bCs w:val="0"/>
          <w:sz w:val="24"/>
          <w:highlight w:val="none"/>
          <w:lang w:val="en-US" w:eastAsia="zh-CN"/>
        </w:rPr>
      </w:pPr>
      <w:r>
        <w:rPr>
          <w:rFonts w:hint="eastAsia" w:ascii="仿宋" w:hAnsi="仿宋" w:eastAsia="仿宋" w:cs="仿宋"/>
          <w:b/>
          <w:bCs w:val="0"/>
          <w:sz w:val="24"/>
          <w:szCs w:val="24"/>
          <w:highlight w:val="none"/>
          <w:lang w:val="en-US" w:eastAsia="zh-CN"/>
        </w:rPr>
        <w:t>3.6</w:t>
      </w:r>
      <w:r>
        <w:rPr>
          <w:rFonts w:ascii="仿宋" w:hAnsi="仿宋" w:eastAsia="仿宋" w:cs="仿宋"/>
          <w:b/>
          <w:bCs w:val="0"/>
          <w:color w:val="auto"/>
          <w:sz w:val="24"/>
          <w:highlight w:val="none"/>
        </w:rPr>
        <w:t>.1</w:t>
      </w:r>
      <w:r>
        <w:rPr>
          <w:rFonts w:hint="eastAsia" w:ascii="仿宋" w:hAnsi="仿宋" w:eastAsia="仿宋" w:cs="仿宋"/>
          <w:b/>
          <w:bCs w:val="0"/>
          <w:color w:val="auto"/>
          <w:sz w:val="24"/>
          <w:highlight w:val="none"/>
          <w:lang w:val="en-US" w:eastAsia="zh-CN"/>
        </w:rPr>
        <w:t>6</w:t>
      </w:r>
      <w:r>
        <w:rPr>
          <w:rFonts w:hint="eastAsia" w:ascii="仿宋" w:hAnsi="仿宋" w:eastAsia="仿宋" w:cs="仿宋"/>
          <w:b/>
          <w:bCs w:val="0"/>
          <w:sz w:val="24"/>
          <w:highlight w:val="none"/>
          <w:lang w:val="en-US" w:eastAsia="zh-CN"/>
        </w:rPr>
        <w:t>限额设计要求</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破限额目标。</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2、设计单位应遵循功能适用、标准合理、经济合理的原则开展设计，在投资限额目标的基础上结合项目设计内容进一步分解投资，明确投资控制主要目标，在编制设计概、预算时逐步细化落实。</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3、设计单位应在设计进展过程中及阶段设计完成时，及时对已经完成的图纸内容进行估价，并与限额设计指标进行比较，使设计满足限额设计指标的要求。</w:t>
      </w:r>
    </w:p>
    <w:p>
      <w:pPr>
        <w:pStyle w:val="18"/>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4、设计预算超过限额，应配合建设单位要求无偿重新调整或修改设计直至满足限额要求，并接受建设单位处罚。</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en-US" w:eastAsia="zh-CN"/>
        </w:rPr>
      </w:pP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en-US" w:eastAsia="zh-CN"/>
        </w:rPr>
        <w:t>3.7</w:t>
      </w:r>
      <w:r>
        <w:rPr>
          <w:rFonts w:hint="eastAsia" w:ascii="仿宋" w:hAnsi="仿宋" w:eastAsia="仿宋" w:cs="仿宋"/>
          <w:b/>
          <w:sz w:val="24"/>
          <w:szCs w:val="24"/>
          <w:highlight w:val="none"/>
          <w:lang w:val="zh-CN"/>
        </w:rPr>
        <w:t>、设计成果及要求</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1</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设计成果应达到建设部颁发的《建筑工程设计文件编制深度规定》（2016年版）。</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设计文件应满足广州市、白云区各专业部门的要求，如规划、国土、消防、民防、环保、卫生、交委、交警等部门的报建报审报批要求。在项目报建阶段应满足建设单位报批各种手续的要求，分阶段提供所需的设计文件。</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3</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pPr>
        <w:keepNext w:val="0"/>
        <w:keepLines w:val="0"/>
        <w:pageBreakBefore w:val="0"/>
        <w:widowControl w:val="0"/>
        <w:kinsoku/>
        <w:wordWrap/>
        <w:overflowPunct/>
        <w:topLinePunct w:val="0"/>
        <w:bidi w:val="0"/>
        <w:spacing w:line="560" w:lineRule="exact"/>
        <w:ind w:firstLine="480" w:firstLineChars="200"/>
        <w:jc w:val="left"/>
        <w:textAlignment w:val="auto"/>
        <w:rPr>
          <w:rFonts w:ascii="仿宋" w:hAnsi="仿宋" w:eastAsia="仿宋" w:cs="仿宋"/>
          <w:color w:val="auto"/>
          <w:sz w:val="24"/>
          <w:highlight w:val="none"/>
        </w:rPr>
      </w:pPr>
      <w:r>
        <w:rPr>
          <w:rFonts w:ascii="仿宋" w:hAnsi="仿宋" w:eastAsia="仿宋" w:cs="仿宋"/>
          <w:color w:val="auto"/>
          <w:sz w:val="24"/>
          <w:highlight w:val="none"/>
        </w:rPr>
        <w:t>4</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设计成果要求：总平面布置图、市政设施总体规划、景观绿化总体规划、竖向关系规划、总体功能布局、效果图、鸟瞰图，以及景观绿化广场等各类型建筑单体的平面图（标准层、首层、二层、地下室等）和立面图、</w:t>
      </w:r>
      <w:r>
        <w:rPr>
          <w:rFonts w:hint="eastAsia" w:ascii="仿宋" w:hAnsi="仿宋" w:eastAsia="仿宋" w:cs="仿宋"/>
          <w:color w:val="auto"/>
          <w:sz w:val="24"/>
          <w:highlight w:val="none"/>
        </w:rPr>
        <w:t>室内装修图纸</w:t>
      </w:r>
      <w:r>
        <w:rPr>
          <w:rFonts w:ascii="仿宋" w:hAnsi="仿宋" w:eastAsia="仿宋" w:cs="仿宋"/>
          <w:color w:val="auto"/>
          <w:sz w:val="24"/>
          <w:highlight w:val="none"/>
        </w:rPr>
        <w:t>及其他相关图纸等。</w:t>
      </w:r>
    </w:p>
    <w:p>
      <w:pPr>
        <w:pStyle w:val="2"/>
        <w:keepNext w:val="0"/>
        <w:keepLines w:val="0"/>
        <w:pageBreakBefore w:val="0"/>
        <w:widowControl w:val="0"/>
        <w:kinsoku/>
        <w:wordWrap/>
        <w:overflowPunct/>
        <w:topLinePunct w:val="0"/>
        <w:bidi w:val="0"/>
        <w:spacing w:line="560" w:lineRule="exact"/>
        <w:ind w:firstLine="480" w:firstLineChars="20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 xml:space="preserve"> 5</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初步设计深度达到施工图设计深度，概算建安费达到施工图预算的深度。</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6</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所有技术方案：包括但不限于设计方案、初步设计、智能化、及其他变更的技术专家论证，全部费用和技术支持由设计单位负责。</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7</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各专业图纸及BIM模型必须符合国家现行的技术规范及标准要求，达到规范深度要求，并满足各独立建筑的使用要求。</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8</w:t>
      </w:r>
      <w:r>
        <w:rPr>
          <w:rFonts w:hint="eastAsia" w:ascii="仿宋" w:hAnsi="仿宋" w:eastAsia="仿宋" w:cs="仿宋"/>
          <w:color w:val="auto"/>
          <w:sz w:val="24"/>
          <w:szCs w:val="22"/>
          <w:highlight w:val="none"/>
          <w:lang w:val="en-US" w:eastAsia="zh-CN"/>
        </w:rPr>
        <w:t>、</w:t>
      </w:r>
      <w:r>
        <w:rPr>
          <w:rFonts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lang w:val="en-US"/>
        </w:rPr>
        <w:t>施工图设计涉及专业设计不得标示后期由施工单位深化设计，确有必要的须经建设单位和建设管理单位同意。</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9</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设计单位须根据项目建设单位节点要求以及工程建设进展，按照设计管理人员要求提交项目整体出图计划、月度以及周出图计划，不符合出图计划和出图质量问题（含涉及错漏、设计问题不足产生的重大设计变更等）的按照签订合同进行考核。</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ascii="仿宋" w:hAnsi="仿宋" w:eastAsia="仿宋" w:cs="仿宋"/>
          <w:color w:val="auto"/>
          <w:sz w:val="24"/>
          <w:szCs w:val="22"/>
          <w:highlight w:val="none"/>
          <w:lang w:val="en-US"/>
        </w:rPr>
        <w:t>10</w:t>
      </w:r>
      <w:r>
        <w:rPr>
          <w:rFonts w:hint="eastAsia" w:ascii="仿宋" w:hAnsi="仿宋" w:eastAsia="仿宋" w:cs="仿宋"/>
          <w:color w:val="auto"/>
          <w:sz w:val="24"/>
          <w:szCs w:val="22"/>
          <w:highlight w:val="none"/>
          <w:lang w:val="en-US"/>
        </w:rPr>
        <w:t xml:space="preserve"> </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承担设计问题产生的设计变更、重点设计方案论证以及设计成本质量评估相关会议费用。</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1</w:t>
      </w:r>
      <w:r>
        <w:rPr>
          <w:rFonts w:ascii="仿宋" w:hAnsi="仿宋" w:eastAsia="仿宋" w:cs="仿宋"/>
          <w:color w:val="auto"/>
          <w:sz w:val="24"/>
          <w:szCs w:val="22"/>
          <w:highlight w:val="none"/>
          <w:lang w:val="en-US"/>
        </w:rPr>
        <w:t>1</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设计文件需满足相关主管部门和相关单位的概算审核要求。</w:t>
      </w:r>
    </w:p>
    <w:p>
      <w:pPr>
        <w:pStyle w:val="2"/>
        <w:keepNext w:val="0"/>
        <w:keepLines w:val="0"/>
        <w:pageBreakBefore w:val="0"/>
        <w:widowControl w:val="0"/>
        <w:kinsoku/>
        <w:wordWrap/>
        <w:overflowPunct/>
        <w:topLinePunct w:val="0"/>
        <w:bidi w:val="0"/>
        <w:spacing w:line="560" w:lineRule="exact"/>
        <w:ind w:firstLine="600" w:firstLineChars="250"/>
        <w:textAlignment w:val="auto"/>
        <w:rPr>
          <w:rFonts w:ascii="仿宋" w:hAnsi="仿宋" w:eastAsia="仿宋" w:cs="仿宋"/>
          <w:color w:val="auto"/>
          <w:sz w:val="24"/>
          <w:szCs w:val="22"/>
          <w:highlight w:val="none"/>
          <w:lang w:val="en-US"/>
        </w:rPr>
      </w:pPr>
      <w:r>
        <w:rPr>
          <w:rFonts w:hint="eastAsia" w:ascii="仿宋" w:hAnsi="仿宋" w:eastAsia="仿宋" w:cs="仿宋"/>
          <w:color w:val="auto"/>
          <w:sz w:val="24"/>
          <w:szCs w:val="22"/>
          <w:highlight w:val="none"/>
          <w:lang w:val="en-US"/>
        </w:rPr>
        <w:t>12</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lang w:val="en-US"/>
        </w:rPr>
        <w:t>设计文件含盖初步设计、施工图审查章蓝图16份，CAD和PDF电子版文件光盘一个。满足广州市工程建设项目联合审批平台——联合审图备案条件。以及报审各部门所需要的图纸份数。</w:t>
      </w:r>
    </w:p>
    <w:p>
      <w:pPr>
        <w:keepNext w:val="0"/>
        <w:keepLines w:val="0"/>
        <w:pageBreakBefore w:val="0"/>
        <w:widowControl w:val="0"/>
        <w:kinsoku/>
        <w:wordWrap/>
        <w:overflowPunct/>
        <w:topLinePunct w:val="0"/>
        <w:bidi w:val="0"/>
        <w:spacing w:line="560" w:lineRule="exact"/>
        <w:ind w:firstLine="482" w:firstLineChars="200"/>
        <w:textAlignment w:val="auto"/>
        <w:rPr>
          <w:rFonts w:hint="eastAsia" w:ascii="仿宋" w:hAnsi="仿宋" w:eastAsia="仿宋" w:cs="仿宋"/>
          <w:b/>
          <w:sz w:val="24"/>
          <w:szCs w:val="24"/>
          <w:highlight w:val="none"/>
        </w:rPr>
      </w:pP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highlight w:val="none"/>
        </w:rPr>
      </w:pPr>
      <w:r>
        <w:rPr>
          <w:rFonts w:hint="eastAsia" w:ascii="仿宋" w:hAnsi="仿宋" w:eastAsia="仿宋" w:cs="仿宋"/>
          <w:b/>
          <w:sz w:val="24"/>
          <w:szCs w:val="24"/>
          <w:highlight w:val="none"/>
        </w:rPr>
        <w:br w:type="page"/>
      </w:r>
    </w:p>
    <w:p>
      <w:pPr>
        <w:keepNext w:val="0"/>
        <w:keepLines w:val="0"/>
        <w:pageBreakBefore w:val="0"/>
        <w:widowControl w:val="0"/>
        <w:kinsoku/>
        <w:wordWrap/>
        <w:overflowPunct/>
        <w:topLinePunct w:val="0"/>
        <w:bidi w:val="0"/>
        <w:spacing w:line="560" w:lineRule="exact"/>
        <w:jc w:val="center"/>
        <w:textAlignment w:val="auto"/>
        <w:outlineLvl w:val="0"/>
        <w:rPr>
          <w:rFonts w:hint="eastAsia" w:ascii="仿宋" w:hAnsi="仿宋" w:eastAsia="仿宋" w:cs="仿宋"/>
          <w:b/>
          <w:color w:val="000000" w:themeColor="text1"/>
          <w:kern w:val="2"/>
          <w:sz w:val="36"/>
          <w:szCs w:val="36"/>
          <w:highlight w:val="none"/>
          <w14:textFill>
            <w14:solidFill>
              <w14:schemeClr w14:val="tx1"/>
            </w14:solidFill>
          </w14:textFill>
        </w:rPr>
      </w:pPr>
      <w:bookmarkStart w:id="0" w:name="_Hlk111539117"/>
      <w:r>
        <w:rPr>
          <w:rFonts w:hint="eastAsia" w:ascii="仿宋" w:hAnsi="仿宋" w:eastAsia="仿宋" w:cs="仿宋"/>
          <w:b/>
          <w:color w:val="000000" w:themeColor="text1"/>
          <w:kern w:val="2"/>
          <w:sz w:val="36"/>
          <w:szCs w:val="36"/>
          <w:highlight w:val="none"/>
          <w14:textFill>
            <w14:solidFill>
              <w14:schemeClr w14:val="tx1"/>
            </w14:solidFill>
          </w14:textFill>
        </w:rPr>
        <w:t>附件：广州市白云区广州空港实验中学新建及配套设施完善</w:t>
      </w:r>
      <w:bookmarkEnd w:id="0"/>
      <w:r>
        <w:rPr>
          <w:rFonts w:hint="eastAsia" w:ascii="仿宋" w:hAnsi="仿宋" w:eastAsia="仿宋" w:cs="仿宋"/>
          <w:b/>
          <w:color w:val="000000" w:themeColor="text1"/>
          <w:kern w:val="2"/>
          <w:sz w:val="36"/>
          <w:szCs w:val="36"/>
          <w:highlight w:val="none"/>
          <w:lang w:val="en-US" w:eastAsia="zh-CN"/>
          <w14:textFill>
            <w14:solidFill>
              <w14:schemeClr w14:val="tx1"/>
            </w14:solidFill>
          </w14:textFill>
        </w:rPr>
        <w:t>工程</w:t>
      </w:r>
      <w:r>
        <w:rPr>
          <w:rFonts w:hint="eastAsia" w:ascii="仿宋" w:hAnsi="仿宋" w:eastAsia="仿宋" w:cs="仿宋"/>
          <w:b/>
          <w:color w:val="000000" w:themeColor="text1"/>
          <w:kern w:val="2"/>
          <w:sz w:val="36"/>
          <w:szCs w:val="36"/>
          <w:highlight w:val="none"/>
          <w14:textFill>
            <w14:solidFill>
              <w14:schemeClr w14:val="tx1"/>
            </w14:solidFill>
          </w14:textFill>
        </w:rPr>
        <w:t>勘察设计单位履约考核办法</w:t>
      </w:r>
    </w:p>
    <w:p>
      <w:pPr>
        <w:keepNext w:val="0"/>
        <w:keepLines w:val="0"/>
        <w:pageBreakBefore w:val="0"/>
        <w:widowControl w:val="0"/>
        <w:kinsoku/>
        <w:wordWrap/>
        <w:overflowPunct/>
        <w:topLinePunct w:val="0"/>
        <w:bidi w:val="0"/>
        <w:spacing w:line="560" w:lineRule="exact"/>
        <w:ind w:firstLine="562" w:firstLineChars="200"/>
        <w:jc w:val="left"/>
        <w:textAlignment w:val="auto"/>
        <w:rPr>
          <w:rFonts w:hint="eastAsia" w:ascii="仿宋" w:hAnsi="仿宋" w:eastAsia="仿宋" w:cs="仿宋"/>
          <w:b/>
          <w:color w:val="000000" w:themeColor="text1"/>
          <w:spacing w:val="20"/>
          <w:kern w:val="2"/>
          <w:sz w:val="24"/>
          <w:szCs w:val="20"/>
          <w:highlight w:val="none"/>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为加强对勘察设计单位的管控，确保勘察设计各阶段成果质量、设计进度能满足总体计划要求，增加勘察设计单位的服务水平，在本项目合同的基础上，从勘察设计团队、勘察设计要求、勘察设计进度管理、勘察设计质量管理、勘察设计成本管理、勘察设计服务等方面对勘察设计单位进行考核，制定本办法。</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勘察设计单位应重视《勘察设计单位履约考核表》所列条款内容并予以配合。《勘察设计单位履约考核表》仅对勘察设计单位考核评分，所列条款内容与本项目合同条款内容表述不一致，以本项目合同为准，考核项目涉及违约金及扣款的以本项目合同为准。</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一、考核办法</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1、考核人员：建设单位代建单位代表</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3</w:t>
      </w:r>
      <w:r>
        <w:rPr>
          <w:rFonts w:hint="eastAsia" w:ascii="仿宋" w:hAnsi="仿宋" w:eastAsia="仿宋" w:cs="仿宋"/>
          <w:color w:val="000000" w:themeColor="text1"/>
          <w:kern w:val="2"/>
          <w:sz w:val="24"/>
          <w:szCs w:val="20"/>
          <w:highlight w:val="none"/>
          <w14:textFill>
            <w14:solidFill>
              <w14:schemeClr w14:val="tx1"/>
            </w14:solidFill>
          </w14:textFill>
        </w:rPr>
        <w:t>人（设计管理代表</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1</w:t>
      </w:r>
      <w:r>
        <w:rPr>
          <w:rFonts w:hint="eastAsia" w:ascii="仿宋" w:hAnsi="仿宋" w:eastAsia="仿宋" w:cs="仿宋"/>
          <w:color w:val="000000" w:themeColor="text1"/>
          <w:kern w:val="2"/>
          <w:sz w:val="24"/>
          <w:szCs w:val="20"/>
          <w:highlight w:val="none"/>
          <w14:textFill>
            <w14:solidFill>
              <w14:schemeClr w14:val="tx1"/>
            </w14:solidFill>
          </w14:textFill>
        </w:rPr>
        <w:t>人、合同代表1人、现场代表1人）。</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2、考核期限：分为过程考核和项目考核，过程考核每半年组织一次，项目考核在完成项目竣工验收后实施，其中设计周期不足6个月的采用项目考核。</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3、考核方式：考核采用勘察设计单位履约考核表，采用百分扣分制（总分100分），根据检查内容及扣分标准进行评分，考核结果分“优”</w:t>
      </w:r>
      <w:r>
        <w:rPr>
          <w:rFonts w:hint="eastAsia" w:ascii="仿宋" w:hAnsi="仿宋" w:eastAsia="仿宋" w:cs="仿宋"/>
          <w:color w:val="000000" w:themeColor="text1"/>
          <w:kern w:val="2"/>
          <w:szCs w:val="21"/>
          <w:highlight w:val="none"/>
          <w14:textFill>
            <w14:solidFill>
              <w14:schemeClr w14:val="tx1"/>
            </w14:solidFill>
          </w14:textFill>
        </w:rPr>
        <w:t>（得分≥90分）</w:t>
      </w:r>
      <w:r>
        <w:rPr>
          <w:rFonts w:hint="eastAsia" w:ascii="仿宋" w:hAnsi="仿宋" w:eastAsia="仿宋" w:cs="仿宋"/>
          <w:color w:val="000000" w:themeColor="text1"/>
          <w:kern w:val="2"/>
          <w:sz w:val="24"/>
          <w:szCs w:val="20"/>
          <w:highlight w:val="none"/>
          <w14:textFill>
            <w14:solidFill>
              <w14:schemeClr w14:val="tx1"/>
            </w14:solidFill>
          </w14:textFill>
        </w:rPr>
        <w:t>、 “良”</w:t>
      </w:r>
      <w:r>
        <w:rPr>
          <w:rFonts w:hint="eastAsia" w:ascii="仿宋" w:hAnsi="仿宋" w:eastAsia="仿宋" w:cs="仿宋"/>
          <w:color w:val="000000" w:themeColor="text1"/>
          <w:kern w:val="2"/>
          <w:szCs w:val="21"/>
          <w:highlight w:val="none"/>
          <w14:textFill>
            <w14:solidFill>
              <w14:schemeClr w14:val="tx1"/>
            </w14:solidFill>
          </w14:textFill>
        </w:rPr>
        <w:t>（80分≤得分＜90分）</w:t>
      </w:r>
      <w:r>
        <w:rPr>
          <w:rFonts w:hint="eastAsia" w:ascii="仿宋" w:hAnsi="仿宋" w:eastAsia="仿宋" w:cs="仿宋"/>
          <w:color w:val="000000" w:themeColor="text1"/>
          <w:kern w:val="2"/>
          <w:sz w:val="24"/>
          <w:szCs w:val="20"/>
          <w:highlight w:val="none"/>
          <w14:textFill>
            <w14:solidFill>
              <w14:schemeClr w14:val="tx1"/>
            </w14:solidFill>
          </w14:textFill>
        </w:rPr>
        <w:t>、“中”</w:t>
      </w:r>
      <w:r>
        <w:rPr>
          <w:rFonts w:hint="eastAsia" w:ascii="仿宋" w:hAnsi="仿宋" w:eastAsia="仿宋" w:cs="仿宋"/>
          <w:color w:val="000000" w:themeColor="text1"/>
          <w:kern w:val="2"/>
          <w:szCs w:val="21"/>
          <w:highlight w:val="none"/>
          <w14:textFill>
            <w14:solidFill>
              <w14:schemeClr w14:val="tx1"/>
            </w14:solidFill>
          </w14:textFill>
        </w:rPr>
        <w:t>（60分≤得分＜80分）</w:t>
      </w:r>
      <w:r>
        <w:rPr>
          <w:rFonts w:hint="eastAsia" w:ascii="仿宋" w:hAnsi="仿宋" w:eastAsia="仿宋" w:cs="仿宋"/>
          <w:color w:val="000000" w:themeColor="text1"/>
          <w:kern w:val="2"/>
          <w:sz w:val="24"/>
          <w:szCs w:val="20"/>
          <w:highlight w:val="none"/>
          <w14:textFill>
            <w14:solidFill>
              <w14:schemeClr w14:val="tx1"/>
            </w14:solidFill>
          </w14:textFill>
        </w:rPr>
        <w:t>、“差”</w:t>
      </w:r>
      <w:r>
        <w:rPr>
          <w:rFonts w:hint="eastAsia" w:ascii="仿宋" w:hAnsi="仿宋" w:eastAsia="仿宋" w:cs="仿宋"/>
          <w:color w:val="000000" w:themeColor="text1"/>
          <w:kern w:val="2"/>
          <w:szCs w:val="21"/>
          <w:highlight w:val="none"/>
          <w14:textFill>
            <w14:solidFill>
              <w14:schemeClr w14:val="tx1"/>
            </w14:solidFill>
          </w14:textFill>
        </w:rPr>
        <w:t>（得分＜60分）</w:t>
      </w:r>
      <w:r>
        <w:rPr>
          <w:rFonts w:hint="eastAsia" w:ascii="仿宋" w:hAnsi="仿宋" w:eastAsia="仿宋" w:cs="仿宋"/>
          <w:color w:val="000000" w:themeColor="text1"/>
          <w:kern w:val="2"/>
          <w:sz w:val="24"/>
          <w:szCs w:val="20"/>
          <w:highlight w:val="none"/>
          <w14:textFill>
            <w14:solidFill>
              <w14:schemeClr w14:val="tx1"/>
            </w14:solidFill>
          </w14:textFill>
        </w:rPr>
        <w:t>四个等次，结果通报勘察设计单位项目负责人签字确认。根据考核结果，结合勘察设计合同以及勘察设计单位考核奖惩办法进行相应的奖惩。</w:t>
      </w:r>
    </w:p>
    <w:p>
      <w:pPr>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br w:type="page"/>
      </w:r>
    </w:p>
    <w:p>
      <w:pPr>
        <w:pStyle w:val="2"/>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85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勘察设计单位履约考核表</w:t>
            </w:r>
          </w:p>
          <w:p>
            <w:pPr>
              <w:keepNext w:val="0"/>
              <w:keepLines w:val="0"/>
              <w:pageBreakBefore w:val="0"/>
              <w:widowControl w:val="0"/>
              <w:kinsoku/>
              <w:wordWrap/>
              <w:overflowPunct/>
              <w:topLinePunct w:val="0"/>
              <w:bidi w:val="0"/>
              <w:spacing w:line="560" w:lineRule="exact"/>
              <w:jc w:val="righ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□过程考核  □项目考核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考核项目</w:t>
            </w:r>
          </w:p>
        </w:tc>
        <w:tc>
          <w:tcPr>
            <w:tcW w:w="86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扣分</w:t>
            </w:r>
          </w:p>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序号</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检查内容及扣分标准</w:t>
            </w:r>
          </w:p>
        </w:tc>
        <w:tc>
          <w:tcPr>
            <w:tcW w:w="86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设计人员设置未达到合同约定的质量和数量要求。如实际人员与投标文件中设计团队人员以及职称不符或过程中随便安排不熟悉本项目或实习生的设计人员驻场等情况，扣20分；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在未征得发包人同意的情况下对设计人员随意更换，每发生1人次扣10分；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3</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未按要求提交详细可行设计计划，扣10分；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4</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方案设计、初步设计、施工图设计、设计变更未按设计计划或开会商定好的时间节点提交成果，每发生1次扣10分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5</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没有统筹协调分包设计单位，对分包设计单位（外电外水燃气及专业设计）衔接跟不上设计进度计划的，造成总进度延误的，每延误1天扣10分。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6</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未按建设单位、审图单位、造价咨询单位等各参建单位提供的修改意见进行完善图纸和回复说明，每发生1次扣10分；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7</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每次修改图纸后，图纸未标注修改的位置或标注不全，每发生1次扣10分；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8</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设计单位不按流程私自向施工单位发放图纸（纸质或电子版）及工程资料，每发生1次扣10分；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9</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设计单位没有经过业主的同意，私自与施工单位沟通变更图纸，每发生1次扣20分；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10</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设计单位内部各专业之间对接失误，造成施工返工的或影响业主使用的，如管线产生冲突而导致施工返工的，或因管线布置不合理等情况，每发生1次扣10分；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11</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设计单位对现场地形和实际情况了解不到位或自身原因失误或对没按业主使用意图进行设计，造成返工的、错漏、耽误工期、预算漏项漏量，每发生1次扣10分；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12</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未达到限额设计，初步设计总概算超过可行性研究报告批复投资，扣20分；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13</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因设计原因引起的变更超过概算批复投资3%的，扣10分；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14</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未提供概算总投资与可研批复总投资对比表，每发生1次扣5分；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15</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未配合发包人提供比选方案，每发生1次扣10分；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16</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未积极主动配合发包人进行设计交底，每发生1次扣10分；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17</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参加设计交底会人员不齐或设计交底不清晰，每发生1次扣10分；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18</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对施工现场配合、地基验槽、中间验收、竣工验收等接到发包人电话未在规定的时间内赶到现场服务，每发生1次扣10分；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19</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未积极配合发包人对政府审批部门提出的问题进行详细阐述和说明，每推诿1次扣10分；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20</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提交方案设计、初步设计、施工图设计、各专项方案时，未提交内部三级校审表，每发生1次扣10分；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21</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设计成果、设计变更成果是否按计划或相关会议要求的时间节点提交。每发生1次扣10分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22</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物探成果与实际不符的，实际施工发现与物探报告有其他管线没有表示出来的。每发生1次扣20分；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23</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勘察进度不能满足约定要求，每延误1天扣10分；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24</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勘察单位造假，钻孔岩芯土样与真实不符，每发生1次扣30分；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25</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超前钻与实际桩基础的桩位和深度相差超过1米以上，经核实为勘察单位责任的，每发生1次扣10分；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26</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勘察报告中岩芯抗压强度与实际桩基础抽芯持力层强度和描述差别较大的，每发生1次扣10分；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27</w:t>
            </w:r>
          </w:p>
        </w:tc>
        <w:tc>
          <w:tcPr>
            <w:tcW w:w="6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对于外地的勘察设计单位，提交成果（报建资料、图纸、变更手续等文件）时间超过约定时间，每发生1次扣5分。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扣分总数</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得分总数（100-扣分总数）</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考核结果等次</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勘察设计单位项目负责人（签字）：</w:t>
            </w:r>
          </w:p>
        </w:tc>
      </w:tr>
    </w:tbl>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color w:val="000000" w:themeColor="text1"/>
          <w:kern w:val="2"/>
          <w:sz w:val="19"/>
          <w:szCs w:val="20"/>
          <w:highlight w:val="none"/>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bookmarkStart w:id="1" w:name="_Toc58255902"/>
      <w:r>
        <w:rPr>
          <w:rFonts w:hint="eastAsia" w:ascii="仿宋" w:hAnsi="仿宋" w:eastAsia="仿宋" w:cs="仿宋"/>
          <w:color w:val="000000" w:themeColor="text1"/>
          <w:kern w:val="2"/>
          <w:sz w:val="24"/>
          <w:szCs w:val="20"/>
          <w:highlight w:val="none"/>
          <w14:textFill>
            <w14:solidFill>
              <w14:schemeClr w14:val="tx1"/>
            </w14:solidFill>
          </w14:textFill>
        </w:rPr>
        <w:t>二、设计单位考核处罚办法</w:t>
      </w:r>
      <w:bookmarkEnd w:id="1"/>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 xml:space="preserve">（1）当考核结果为“优”和“良”等次者。不做奖惩。  </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（2）当考核结果为“中”等次者，建设单位将针对其存在的问题下达《项目监管函》促其整改，如无法完成限期整改，将下达《约谈法定代表人通知书》直至完成整改。</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3）当考核结果为“差”等次者，建设单位将针对其存在的问题下达《约谈法定代表人通知书》促其整改，并根据整改情况和相关合同的约定采取扣罚履约保证金，如无法完成限期整改，建设单位有权解除该项目勘察设计合同。</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（4）对于连续两次考核结果为“差”等次者，建设单位有权解除该项目勘察设计合同，将勘察设计单位列入黑名单，并按照有关规定处理。</w:t>
      </w:r>
    </w:p>
    <w:p>
      <w:pPr>
        <w:keepNext w:val="0"/>
        <w:keepLines w:val="0"/>
        <w:pageBreakBefore w:val="0"/>
        <w:widowControl w:val="0"/>
        <w:kinsoku/>
        <w:wordWrap/>
        <w:overflowPunct/>
        <w:topLinePunct w:val="0"/>
        <w:bidi w:val="0"/>
        <w:spacing w:line="560" w:lineRule="exact"/>
        <w:ind w:firstLine="480"/>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5</w:t>
      </w:r>
      <w:r>
        <w:rPr>
          <w:rFonts w:hint="eastAsia" w:ascii="仿宋" w:hAnsi="仿宋" w:eastAsia="仿宋" w:cs="仿宋"/>
          <w:color w:val="000000" w:themeColor="text1"/>
          <w:kern w:val="2"/>
          <w:sz w:val="24"/>
          <w:szCs w:val="20"/>
          <w:highlight w:val="none"/>
          <w14:textFill>
            <w14:solidFill>
              <w14:schemeClr w14:val="tx1"/>
            </w14:solidFill>
          </w14:textFill>
        </w:rPr>
        <w:t>）项目全过程，建设单位项目管理人员发现勘察设计单位存在《勘察设计单位履约考核表》中不配合的情况，扣分超过20（含20分），有权下达《项目监管函》促其整改，如无法完成限期整改，有权下达《约谈法定代表人通知书》。</w:t>
      </w:r>
    </w:p>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kern w:val="2"/>
          <w:sz w:val="24"/>
          <w:szCs w:val="20"/>
          <w:highlight w:val="none"/>
          <w14:textFill>
            <w14:solidFill>
              <w14:schemeClr w14:val="tx1"/>
            </w14:solidFill>
          </w14:textFill>
        </w:rPr>
        <w:t>（</w:t>
      </w:r>
      <w:r>
        <w:rPr>
          <w:rFonts w:hint="eastAsia" w:ascii="仿宋" w:hAnsi="仿宋" w:eastAsia="仿宋" w:cs="仿宋"/>
          <w:color w:val="000000" w:themeColor="text1"/>
          <w:kern w:val="2"/>
          <w:sz w:val="24"/>
          <w:szCs w:val="20"/>
          <w:highlight w:val="none"/>
          <w:lang w:val="en-US" w:eastAsia="zh-CN"/>
          <w14:textFill>
            <w14:solidFill>
              <w14:schemeClr w14:val="tx1"/>
            </w14:solidFill>
          </w14:textFill>
        </w:rPr>
        <w:t>6</w:t>
      </w:r>
      <w:r>
        <w:rPr>
          <w:rFonts w:hint="eastAsia" w:ascii="仿宋" w:hAnsi="仿宋" w:eastAsia="仿宋" w:cs="仿宋"/>
          <w:color w:val="000000" w:themeColor="text1"/>
          <w:kern w:val="2"/>
          <w:sz w:val="24"/>
          <w:szCs w:val="20"/>
          <w:highlight w:val="none"/>
          <w14:textFill>
            <w14:solidFill>
              <w14:schemeClr w14:val="tx1"/>
            </w14:solidFill>
          </w14:textFill>
        </w:rPr>
        <w:t>）乙方每下发一份项目监管函扣罚合同价款5000元，乙方每下发一份约谈法人通知书扣罚合同价款10000元；违法合同约定的执行违约条款。</w:t>
      </w:r>
    </w:p>
    <w:p>
      <w:pPr>
        <w:pStyle w:val="18"/>
        <w:keepNext w:val="0"/>
        <w:keepLines w:val="0"/>
        <w:pageBreakBefore w:val="0"/>
        <w:widowControl w:val="0"/>
        <w:kinsoku/>
        <w:wordWrap/>
        <w:overflowPunct/>
        <w:topLinePunct w:val="0"/>
        <w:bidi w:val="0"/>
        <w:spacing w:line="560" w:lineRule="exact"/>
        <w:ind w:left="275" w:leftChars="131" w:firstLine="480"/>
        <w:textAlignment w:val="auto"/>
        <w:rPr>
          <w:rFonts w:hint="eastAsia" w:ascii="仿宋" w:hAnsi="仿宋" w:eastAsia="仿宋" w:cs="仿宋"/>
          <w:sz w:val="24"/>
          <w:highlight w:val="none"/>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OTF) Bold">
    <w:altName w:val="黑体"/>
    <w:panose1 w:val="00000000000000000000"/>
    <w:charset w:val="86"/>
    <w:family w:val="auto"/>
    <w:pitch w:val="default"/>
    <w:sig w:usb0="00000000" w:usb1="00000000" w:usb2="00000010" w:usb3="00000000" w:csb0="00040000" w:csb1="00000000"/>
  </w:font>
  <w:font w:name="微软雅黑 (OTF) Regular">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60897"/>
    <w:multiLevelType w:val="singleLevel"/>
    <w:tmpl w:val="87460897"/>
    <w:lvl w:ilvl="0" w:tentative="0">
      <w:start w:val="1"/>
      <w:numFmt w:val="decimal"/>
      <w:suff w:val="nothing"/>
      <w:lvlText w:val="（%1）"/>
      <w:lvlJc w:val="left"/>
    </w:lvl>
  </w:abstractNum>
  <w:abstractNum w:abstractNumId="1">
    <w:nsid w:val="09B2297F"/>
    <w:multiLevelType w:val="multilevel"/>
    <w:tmpl w:val="09B2297F"/>
    <w:lvl w:ilvl="0" w:tentative="0">
      <w:start w:val="1"/>
      <w:numFmt w:val="decimal"/>
      <w:lvlText w:val="%1)"/>
      <w:lvlJc w:val="left"/>
      <w:pPr>
        <w:tabs>
          <w:tab w:val="left" w:pos="927"/>
        </w:tabs>
        <w:ind w:left="927" w:hanging="360"/>
      </w:pPr>
      <w:rPr>
        <w:rFonts w:hint="eastAsia"/>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
    <w:nsid w:val="115F3AF5"/>
    <w:multiLevelType w:val="singleLevel"/>
    <w:tmpl w:val="115F3AF5"/>
    <w:lvl w:ilvl="0" w:tentative="0">
      <w:start w:val="1"/>
      <w:numFmt w:val="decimalEnclosedCircleChinese"/>
      <w:suff w:val="nothing"/>
      <w:lvlText w:val="%1　"/>
      <w:lvlJc w:val="left"/>
      <w:pPr>
        <w:ind w:left="0" w:firstLine="400"/>
      </w:pPr>
      <w:rPr>
        <w:rFonts w:hint="eastAsia"/>
      </w:rPr>
    </w:lvl>
  </w:abstractNum>
  <w:abstractNum w:abstractNumId="3">
    <w:nsid w:val="297B8AA7"/>
    <w:multiLevelType w:val="singleLevel"/>
    <w:tmpl w:val="297B8AA7"/>
    <w:lvl w:ilvl="0" w:tentative="0">
      <w:start w:val="1"/>
      <w:numFmt w:val="decimalEnclosedCircleChinese"/>
      <w:suff w:val="nothing"/>
      <w:lvlText w:val="%1　"/>
      <w:lvlJc w:val="left"/>
      <w:pPr>
        <w:ind w:left="0" w:firstLine="400"/>
      </w:pPr>
      <w:rPr>
        <w:rFonts w:hint="eastAsia"/>
      </w:rPr>
    </w:lvl>
  </w:abstractNum>
  <w:abstractNum w:abstractNumId="4">
    <w:nsid w:val="48EB35D7"/>
    <w:multiLevelType w:val="multilevel"/>
    <w:tmpl w:val="48EB35D7"/>
    <w:lvl w:ilvl="0" w:tentative="0">
      <w:start w:val="1"/>
      <w:numFmt w:val="decimal"/>
      <w:lvlText w:val="%1."/>
      <w:lvlJc w:val="left"/>
      <w:pPr>
        <w:ind w:left="5813" w:firstLine="0"/>
      </w:pPr>
      <w:rPr>
        <w:rFonts w:hint="eastAsia"/>
      </w:rPr>
    </w:lvl>
    <w:lvl w:ilvl="1" w:tentative="0">
      <w:start w:val="1"/>
      <w:numFmt w:val="decimal"/>
      <w:pStyle w:val="3"/>
      <w:lvlText w:val="%1.%2."/>
      <w:lvlJc w:val="left"/>
      <w:pPr>
        <w:ind w:left="720" w:firstLine="0"/>
      </w:pPr>
      <w:rPr>
        <w:rFonts w:hint="eastAsia"/>
      </w:rPr>
    </w:lvl>
    <w:lvl w:ilvl="2" w:tentative="0">
      <w:start w:val="1"/>
      <w:numFmt w:val="decimal"/>
      <w:lvlText w:val="1.3.%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52C81106"/>
    <w:multiLevelType w:val="multilevel"/>
    <w:tmpl w:val="52C8110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6">
    <w:nsid w:val="5992067B"/>
    <w:multiLevelType w:val="multilevel"/>
    <w:tmpl w:val="5992067B"/>
    <w:lvl w:ilvl="0" w:tentative="0">
      <w:start w:val="1"/>
      <w:numFmt w:val="decimal"/>
      <w:lvlText w:val="%1)"/>
      <w:lvlJc w:val="left"/>
      <w:pPr>
        <w:tabs>
          <w:tab w:val="left" w:pos="927"/>
        </w:tabs>
        <w:ind w:left="927" w:hanging="360"/>
      </w:pPr>
      <w:rPr>
        <w:rFonts w:hint="eastAsia"/>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NmU5MGQxYjZjNTk2MDI1MGVmNmRmMjY0M2RmNGQifQ=="/>
  </w:docVars>
  <w:rsids>
    <w:rsidRoot w:val="00C70E9C"/>
    <w:rsid w:val="000102EB"/>
    <w:rsid w:val="00022BE6"/>
    <w:rsid w:val="000C7993"/>
    <w:rsid w:val="000F14A8"/>
    <w:rsid w:val="00121F5E"/>
    <w:rsid w:val="00154CD2"/>
    <w:rsid w:val="001761EE"/>
    <w:rsid w:val="001905D6"/>
    <w:rsid w:val="001D03F3"/>
    <w:rsid w:val="002017B8"/>
    <w:rsid w:val="00250660"/>
    <w:rsid w:val="00272B31"/>
    <w:rsid w:val="002772DD"/>
    <w:rsid w:val="002D0A19"/>
    <w:rsid w:val="002E0BFA"/>
    <w:rsid w:val="00316339"/>
    <w:rsid w:val="00320065"/>
    <w:rsid w:val="00326D03"/>
    <w:rsid w:val="00350538"/>
    <w:rsid w:val="003A6432"/>
    <w:rsid w:val="003C5983"/>
    <w:rsid w:val="00401BCF"/>
    <w:rsid w:val="00430AD3"/>
    <w:rsid w:val="00485402"/>
    <w:rsid w:val="004B2CE4"/>
    <w:rsid w:val="004B795C"/>
    <w:rsid w:val="004F2B78"/>
    <w:rsid w:val="00517B0D"/>
    <w:rsid w:val="00545FD4"/>
    <w:rsid w:val="00546840"/>
    <w:rsid w:val="005611C5"/>
    <w:rsid w:val="00583158"/>
    <w:rsid w:val="005B079E"/>
    <w:rsid w:val="005F3060"/>
    <w:rsid w:val="00605B55"/>
    <w:rsid w:val="006701A2"/>
    <w:rsid w:val="00700498"/>
    <w:rsid w:val="007020F8"/>
    <w:rsid w:val="0072780B"/>
    <w:rsid w:val="007A7A75"/>
    <w:rsid w:val="007C11FA"/>
    <w:rsid w:val="007E57DA"/>
    <w:rsid w:val="007E77E5"/>
    <w:rsid w:val="00872371"/>
    <w:rsid w:val="0090716F"/>
    <w:rsid w:val="00980DF8"/>
    <w:rsid w:val="009A17DA"/>
    <w:rsid w:val="009B2A7A"/>
    <w:rsid w:val="009B7C24"/>
    <w:rsid w:val="009D16C4"/>
    <w:rsid w:val="009F1F02"/>
    <w:rsid w:val="00A60927"/>
    <w:rsid w:val="00AD732A"/>
    <w:rsid w:val="00AE2FEB"/>
    <w:rsid w:val="00B06E94"/>
    <w:rsid w:val="00B14A37"/>
    <w:rsid w:val="00B57B6B"/>
    <w:rsid w:val="00BD490F"/>
    <w:rsid w:val="00C505AD"/>
    <w:rsid w:val="00C70E9C"/>
    <w:rsid w:val="00C753ED"/>
    <w:rsid w:val="00C77699"/>
    <w:rsid w:val="00C86306"/>
    <w:rsid w:val="00CA5DC3"/>
    <w:rsid w:val="00CC4941"/>
    <w:rsid w:val="00CE6487"/>
    <w:rsid w:val="00CF517E"/>
    <w:rsid w:val="00D03781"/>
    <w:rsid w:val="00D32BD2"/>
    <w:rsid w:val="00D5304B"/>
    <w:rsid w:val="00D545BD"/>
    <w:rsid w:val="00D76E69"/>
    <w:rsid w:val="00D834FF"/>
    <w:rsid w:val="00E15A11"/>
    <w:rsid w:val="00E32887"/>
    <w:rsid w:val="00E432CB"/>
    <w:rsid w:val="00E57CDF"/>
    <w:rsid w:val="00E847BE"/>
    <w:rsid w:val="00EF4AD1"/>
    <w:rsid w:val="00F51F83"/>
    <w:rsid w:val="00F602FA"/>
    <w:rsid w:val="00F97040"/>
    <w:rsid w:val="00FA51B6"/>
    <w:rsid w:val="00FC3080"/>
    <w:rsid w:val="01D84888"/>
    <w:rsid w:val="029F7154"/>
    <w:rsid w:val="03D42E2E"/>
    <w:rsid w:val="056326BB"/>
    <w:rsid w:val="057B7A05"/>
    <w:rsid w:val="069950BF"/>
    <w:rsid w:val="07120865"/>
    <w:rsid w:val="095274DB"/>
    <w:rsid w:val="0BB27EF8"/>
    <w:rsid w:val="0BFC1173"/>
    <w:rsid w:val="0C4C20FB"/>
    <w:rsid w:val="0C5114BF"/>
    <w:rsid w:val="0CCC6D98"/>
    <w:rsid w:val="0DB403DD"/>
    <w:rsid w:val="0EF44384"/>
    <w:rsid w:val="0F1D1B2D"/>
    <w:rsid w:val="10B93AD7"/>
    <w:rsid w:val="128679E9"/>
    <w:rsid w:val="13AE7229"/>
    <w:rsid w:val="14CE5F39"/>
    <w:rsid w:val="14E66C05"/>
    <w:rsid w:val="19611090"/>
    <w:rsid w:val="1A2F0FA4"/>
    <w:rsid w:val="1DD045B0"/>
    <w:rsid w:val="1EE47D48"/>
    <w:rsid w:val="20651585"/>
    <w:rsid w:val="209E4F02"/>
    <w:rsid w:val="21803603"/>
    <w:rsid w:val="21B52099"/>
    <w:rsid w:val="22116C6E"/>
    <w:rsid w:val="2302130E"/>
    <w:rsid w:val="23767606"/>
    <w:rsid w:val="24CA19B7"/>
    <w:rsid w:val="26C012C4"/>
    <w:rsid w:val="271635D9"/>
    <w:rsid w:val="273861E8"/>
    <w:rsid w:val="2916166F"/>
    <w:rsid w:val="29474157"/>
    <w:rsid w:val="29B328DF"/>
    <w:rsid w:val="2C574478"/>
    <w:rsid w:val="2D12214D"/>
    <w:rsid w:val="2DD227B8"/>
    <w:rsid w:val="2DD87F59"/>
    <w:rsid w:val="2E36630F"/>
    <w:rsid w:val="2E494294"/>
    <w:rsid w:val="31424684"/>
    <w:rsid w:val="31771119"/>
    <w:rsid w:val="325B4596"/>
    <w:rsid w:val="32D22AAA"/>
    <w:rsid w:val="350A2843"/>
    <w:rsid w:val="35C43FE2"/>
    <w:rsid w:val="36FF3742"/>
    <w:rsid w:val="377D0B0B"/>
    <w:rsid w:val="37F73DA7"/>
    <w:rsid w:val="387652F6"/>
    <w:rsid w:val="390F1C37"/>
    <w:rsid w:val="39405076"/>
    <w:rsid w:val="3AD76784"/>
    <w:rsid w:val="3BDB4F8A"/>
    <w:rsid w:val="3C5C5193"/>
    <w:rsid w:val="3C7F0E81"/>
    <w:rsid w:val="3D385449"/>
    <w:rsid w:val="3DBE4B34"/>
    <w:rsid w:val="3F125FDD"/>
    <w:rsid w:val="3F530871"/>
    <w:rsid w:val="3F566811"/>
    <w:rsid w:val="3F746C97"/>
    <w:rsid w:val="3FB13A48"/>
    <w:rsid w:val="3FBB6674"/>
    <w:rsid w:val="406665E0"/>
    <w:rsid w:val="414C7ECC"/>
    <w:rsid w:val="427E3E39"/>
    <w:rsid w:val="42C817D4"/>
    <w:rsid w:val="42CE6661"/>
    <w:rsid w:val="4518268A"/>
    <w:rsid w:val="451E56DB"/>
    <w:rsid w:val="48E42798"/>
    <w:rsid w:val="4950607F"/>
    <w:rsid w:val="49EA2030"/>
    <w:rsid w:val="4C6065D9"/>
    <w:rsid w:val="4CA30BBC"/>
    <w:rsid w:val="4DE4323A"/>
    <w:rsid w:val="4E9702AC"/>
    <w:rsid w:val="4FBF3F5F"/>
    <w:rsid w:val="4FD256F1"/>
    <w:rsid w:val="51C273F1"/>
    <w:rsid w:val="52DD19AB"/>
    <w:rsid w:val="53915C12"/>
    <w:rsid w:val="541303D5"/>
    <w:rsid w:val="54B41BB8"/>
    <w:rsid w:val="552B4A86"/>
    <w:rsid w:val="564C5E20"/>
    <w:rsid w:val="57DC3499"/>
    <w:rsid w:val="58C77702"/>
    <w:rsid w:val="595C45CC"/>
    <w:rsid w:val="596A4F3B"/>
    <w:rsid w:val="5DFD3136"/>
    <w:rsid w:val="602D4C89"/>
    <w:rsid w:val="60893747"/>
    <w:rsid w:val="60C70EC5"/>
    <w:rsid w:val="60C82547"/>
    <w:rsid w:val="61614E76"/>
    <w:rsid w:val="64CD49D5"/>
    <w:rsid w:val="695B664F"/>
    <w:rsid w:val="696B549D"/>
    <w:rsid w:val="69DF4B8A"/>
    <w:rsid w:val="6ABE0C43"/>
    <w:rsid w:val="6B2A6550"/>
    <w:rsid w:val="6C117498"/>
    <w:rsid w:val="6CFB7023"/>
    <w:rsid w:val="6DB63E53"/>
    <w:rsid w:val="6E051D41"/>
    <w:rsid w:val="6EA21ABB"/>
    <w:rsid w:val="6EDA6F7E"/>
    <w:rsid w:val="6F345978"/>
    <w:rsid w:val="6F35349E"/>
    <w:rsid w:val="6FA21C45"/>
    <w:rsid w:val="6FE3114C"/>
    <w:rsid w:val="71353C29"/>
    <w:rsid w:val="750F58B1"/>
    <w:rsid w:val="756E14B8"/>
    <w:rsid w:val="760B4F58"/>
    <w:rsid w:val="76532ADD"/>
    <w:rsid w:val="76A877C9"/>
    <w:rsid w:val="770D709B"/>
    <w:rsid w:val="77903967"/>
    <w:rsid w:val="7BB36476"/>
    <w:rsid w:val="7C280AA5"/>
    <w:rsid w:val="7CE53CE8"/>
    <w:rsid w:val="7F5C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2"/>
    <w:basedOn w:val="1"/>
    <w:next w:val="1"/>
    <w:unhideWhenUsed/>
    <w:qFormat/>
    <w:uiPriority w:val="0"/>
    <w:pPr>
      <w:keepNext/>
      <w:keepLines/>
      <w:numPr>
        <w:ilvl w:val="1"/>
        <w:numId w:val="1"/>
      </w:numPr>
      <w:ind w:left="0"/>
      <w:jc w:val="left"/>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cs="Courier New"/>
      <w:sz w:val="20"/>
      <w:szCs w:val="20"/>
      <w:lang w:val="zh-CN"/>
    </w:rPr>
  </w:style>
  <w:style w:type="paragraph" w:styleId="4">
    <w:name w:val="Normal Indent"/>
    <w:basedOn w:val="1"/>
    <w:link w:val="23"/>
    <w:qFormat/>
    <w:uiPriority w:val="0"/>
    <w:pPr>
      <w:widowControl/>
      <w:spacing w:line="360" w:lineRule="auto"/>
      <w:ind w:firstLine="420"/>
    </w:pPr>
    <w:rPr>
      <w:rFonts w:ascii="Times New Roman" w:hAnsi="Times New Roman" w:eastAsia="宋体" w:cs="Times New Roman"/>
      <w:sz w:val="28"/>
      <w:szCs w:val="20"/>
    </w:rPr>
  </w:style>
  <w:style w:type="paragraph" w:styleId="5">
    <w:name w:val="annotation text"/>
    <w:basedOn w:val="1"/>
    <w:qFormat/>
    <w:uiPriority w:val="0"/>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kern w:val="2"/>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kern w:val="2"/>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Courier New"/>
      <w:sz w:val="24"/>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lm1"/>
    <w:qFormat/>
    <w:uiPriority w:val="0"/>
    <w:rPr>
      <w:color w:val="000000"/>
      <w:sz w:val="20"/>
      <w:szCs w:val="20"/>
      <w:u w:val="none"/>
    </w:rPr>
  </w:style>
  <w:style w:type="character" w:customStyle="1" w:styleId="16">
    <w:name w:val="txt1"/>
    <w:qFormat/>
    <w:uiPriority w:val="0"/>
    <w:rPr>
      <w:color w:val="000000"/>
      <w:sz w:val="18"/>
      <w:szCs w:val="18"/>
      <w:u w:val="none"/>
    </w:rPr>
  </w:style>
  <w:style w:type="character" w:customStyle="1" w:styleId="17">
    <w:name w:val="批注框文本 Char"/>
    <w:basedOn w:val="12"/>
    <w:link w:val="6"/>
    <w:semiHidden/>
    <w:qFormat/>
    <w:uiPriority w:val="99"/>
    <w:rPr>
      <w:kern w:val="0"/>
      <w:sz w:val="18"/>
      <w:szCs w:val="18"/>
    </w:rPr>
  </w:style>
  <w:style w:type="paragraph" w:styleId="18">
    <w:name w:val="List Paragraph"/>
    <w:basedOn w:val="1"/>
    <w:qFormat/>
    <w:uiPriority w:val="34"/>
    <w:pPr>
      <w:ind w:firstLine="420" w:firstLineChars="200"/>
    </w:pPr>
  </w:style>
  <w:style w:type="paragraph" w:customStyle="1" w:styleId="19">
    <w:name w:val="p0"/>
    <w:basedOn w:val="1"/>
    <w:qFormat/>
    <w:uiPriority w:val="0"/>
    <w:pPr>
      <w:widowControl/>
    </w:pPr>
    <w:rPr>
      <w:rFonts w:cs="宋体"/>
      <w:szCs w:val="21"/>
    </w:rPr>
  </w:style>
  <w:style w:type="paragraph" w:customStyle="1" w:styleId="20">
    <w:name w:val="演讲30号绿色加粗"/>
    <w:basedOn w:val="1"/>
    <w:qFormat/>
    <w:uiPriority w:val="99"/>
    <w:pPr>
      <w:autoSpaceDE w:val="0"/>
      <w:autoSpaceDN w:val="0"/>
      <w:adjustRightInd w:val="0"/>
      <w:spacing w:line="288" w:lineRule="auto"/>
      <w:textAlignment w:val="center"/>
    </w:pPr>
    <w:rPr>
      <w:rFonts w:ascii="微软雅黑 (OTF) Bold" w:hAnsi="Times New Roman" w:eastAsia="微软雅黑 (OTF) Bold" w:cs="微软雅黑 (OTF) Bold"/>
      <w:b/>
      <w:bCs/>
      <w:color w:val="63B563"/>
      <w:sz w:val="60"/>
      <w:szCs w:val="60"/>
      <w:lang w:val="zh-CN"/>
    </w:rPr>
  </w:style>
  <w:style w:type="paragraph" w:customStyle="1" w:styleId="21">
    <w:name w:val="[基本段落]"/>
    <w:basedOn w:val="1"/>
    <w:qFormat/>
    <w:uiPriority w:val="99"/>
    <w:pPr>
      <w:autoSpaceDE w:val="0"/>
      <w:autoSpaceDN w:val="0"/>
      <w:adjustRightInd w:val="0"/>
      <w:spacing w:line="288" w:lineRule="auto"/>
      <w:textAlignment w:val="center"/>
    </w:pPr>
    <w:rPr>
      <w:rFonts w:ascii="宋体" w:hAnsi="Times New Roman" w:eastAsia="宋体" w:cs="宋体"/>
      <w:color w:val="000000"/>
      <w:sz w:val="24"/>
      <w:szCs w:val="24"/>
      <w:lang w:val="zh-CN"/>
    </w:rPr>
  </w:style>
  <w:style w:type="character" w:customStyle="1" w:styleId="22">
    <w:name w:val="微软雅黑 14黑色"/>
    <w:qFormat/>
    <w:uiPriority w:val="99"/>
    <w:rPr>
      <w:rFonts w:ascii="微软雅黑 (OTF) Regular" w:eastAsia="微软雅黑 (OTF) Regular" w:cs="微软雅黑 (OTF) Regular"/>
      <w:color w:val="000000"/>
      <w:sz w:val="28"/>
      <w:szCs w:val="28"/>
    </w:rPr>
  </w:style>
  <w:style w:type="character" w:customStyle="1" w:styleId="23">
    <w:name w:val="正文缩进 Char"/>
    <w:link w:val="4"/>
    <w:qFormat/>
    <w:uiPriority w:val="0"/>
    <w:rPr>
      <w:sz w:val="28"/>
    </w:rPr>
  </w:style>
  <w:style w:type="paragraph" w:customStyle="1" w:styleId="24">
    <w:name w:val="_Style 6"/>
    <w:basedOn w:val="1"/>
    <w:next w:val="18"/>
    <w:qFormat/>
    <w:uiPriority w:val="34"/>
    <w:pPr>
      <w:adjustRightInd w:val="0"/>
      <w:snapToGrid w:val="0"/>
      <w:spacing w:line="312" w:lineRule="auto"/>
      <w:ind w:firstLine="420" w:firstLineChars="200"/>
    </w:pPr>
    <w:rPr>
      <w:rFonts w:cs="Times New Roman"/>
      <w:color w:val="auto"/>
      <w:kern w:val="2"/>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FD8E-0308-4F19-A2EF-744F29E07D6E}">
  <ds:schemaRefs/>
</ds:datastoreItem>
</file>

<file path=docProps/app.xml><?xml version="1.0" encoding="utf-8"?>
<Properties xmlns="http://schemas.openxmlformats.org/officeDocument/2006/extended-properties" xmlns:vt="http://schemas.openxmlformats.org/officeDocument/2006/docPropsVTypes">
  <Template>Normal.dotm</Template>
  <Company>CSWADI</Company>
  <Pages>28</Pages>
  <Words>17397</Words>
  <Characters>18534</Characters>
  <Lines>43</Lines>
  <Paragraphs>12</Paragraphs>
  <TotalTime>13</TotalTime>
  <ScaleCrop>false</ScaleCrop>
  <LinksUpToDate>false</LinksUpToDate>
  <CharactersWithSpaces>18679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2023-04-09T12:09:00Z</dcterms:created>
  <dc:creator>ting</dc:creator>
  <cp:lastModifiedBy>冼耀华</cp:lastModifiedBy>
  <cp:lastPrinted>2023-03-13T04:02:00Z</cp:lastPrinted>
  <dcterms:modified xsi:type="dcterms:W3CDTF">2023-08-04T08:50:26Z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E9B891902798444883C3013C6BB50EA8_13</vt:lpwstr>
  </property>
</Properties>
</file>