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楷体_GB2312"/>
          <w:b/>
          <w:bCs/>
          <w:color w:val="auto"/>
          <w:spacing w:val="26"/>
          <w:sz w:val="56"/>
          <w:szCs w:val="56"/>
          <w:highlight w:val="none"/>
        </w:rPr>
      </w:pPr>
    </w:p>
    <w:p>
      <w:pPr>
        <w:spacing w:line="360" w:lineRule="auto"/>
        <w:jc w:val="center"/>
        <w:rPr>
          <w:rFonts w:hint="eastAsia" w:ascii="宋体" w:hAnsi="宋体" w:eastAsia="宋体" w:cs="宋体"/>
          <w:b/>
          <w:bCs/>
          <w:color w:val="auto"/>
          <w:spacing w:val="26"/>
          <w:sz w:val="56"/>
          <w:szCs w:val="56"/>
          <w:highlight w:val="none"/>
          <w:lang w:eastAsia="zh-CN"/>
        </w:rPr>
      </w:pPr>
      <w:r>
        <w:rPr>
          <w:rFonts w:hint="eastAsia" w:ascii="宋体" w:hAnsi="宋体" w:cs="宋体"/>
          <w:b/>
          <w:bCs/>
          <w:color w:val="auto"/>
          <w:spacing w:val="26"/>
          <w:sz w:val="56"/>
          <w:szCs w:val="56"/>
          <w:highlight w:val="none"/>
          <w:lang w:eastAsia="zh-CN"/>
        </w:rPr>
        <w:t>越秀区城市更新改造补短板项目（二期）——中心城区品质化提升项目（东山街老旧小区改造）施工总承包</w:t>
      </w:r>
    </w:p>
    <w:p>
      <w:pPr>
        <w:spacing w:line="360" w:lineRule="auto"/>
        <w:jc w:val="center"/>
        <w:rPr>
          <w:rFonts w:eastAsia="楷体_GB2312"/>
          <w:b/>
          <w:bCs/>
          <w:color w:val="auto"/>
          <w:spacing w:val="26"/>
          <w:sz w:val="56"/>
          <w:szCs w:val="56"/>
          <w:highlight w:val="none"/>
        </w:rPr>
      </w:pPr>
    </w:p>
    <w:p>
      <w:pPr>
        <w:spacing w:line="360" w:lineRule="auto"/>
        <w:rPr>
          <w:rFonts w:eastAsia="楷体_GB2312"/>
          <w:b/>
          <w:bCs/>
          <w:color w:val="auto"/>
          <w:spacing w:val="26"/>
          <w:sz w:val="56"/>
          <w:szCs w:val="56"/>
          <w:highlight w:val="none"/>
        </w:rPr>
      </w:pPr>
    </w:p>
    <w:p>
      <w:pPr>
        <w:spacing w:line="360" w:lineRule="auto"/>
        <w:jc w:val="center"/>
        <w:rPr>
          <w:color w:val="auto"/>
          <w:sz w:val="36"/>
          <w:highlight w:val="none"/>
          <w:u w:val="single"/>
        </w:rPr>
      </w:pPr>
    </w:p>
    <w:p>
      <w:pPr>
        <w:spacing w:line="360" w:lineRule="auto"/>
        <w:jc w:val="center"/>
        <w:rPr>
          <w:color w:val="auto"/>
          <w:sz w:val="32"/>
          <w:highlight w:val="none"/>
        </w:rPr>
      </w:pPr>
      <w:r>
        <w:rPr>
          <w:rFonts w:hint="eastAsia" w:eastAsia="楷体_GB2312"/>
          <w:b/>
          <w:bCs/>
          <w:color w:val="auto"/>
          <w:spacing w:val="26"/>
          <w:sz w:val="110"/>
          <w:szCs w:val="110"/>
          <w:highlight w:val="none"/>
        </w:rPr>
        <w:t>招标文件</w:t>
      </w:r>
    </w:p>
    <w:p>
      <w:pPr>
        <w:spacing w:line="360" w:lineRule="auto"/>
        <w:rPr>
          <w:color w:val="auto"/>
          <w:sz w:val="52"/>
          <w:highlight w:val="none"/>
        </w:rPr>
      </w:pPr>
    </w:p>
    <w:p>
      <w:pPr>
        <w:spacing w:line="360" w:lineRule="auto"/>
        <w:rPr>
          <w:color w:val="auto"/>
          <w:sz w:val="52"/>
          <w:highlight w:val="none"/>
        </w:rPr>
      </w:pPr>
    </w:p>
    <w:p>
      <w:pPr>
        <w:spacing w:line="360" w:lineRule="auto"/>
        <w:rPr>
          <w:color w:val="auto"/>
          <w:sz w:val="52"/>
          <w:highlight w:val="none"/>
        </w:rPr>
      </w:pPr>
    </w:p>
    <w:p>
      <w:pPr>
        <w:spacing w:line="360" w:lineRule="auto"/>
        <w:ind w:firstLine="900" w:firstLineChars="300"/>
        <w:rPr>
          <w:color w:val="auto"/>
          <w:sz w:val="30"/>
          <w:szCs w:val="30"/>
          <w:highlight w:val="none"/>
          <w:u w:val="single"/>
        </w:rPr>
      </w:pPr>
      <w:r>
        <w:rPr>
          <w:rFonts w:hint="eastAsia"/>
          <w:color w:val="auto"/>
          <w:sz w:val="30"/>
          <w:szCs w:val="30"/>
          <w:highlight w:val="none"/>
        </w:rPr>
        <w:t>招</w:t>
      </w:r>
      <w:r>
        <w:rPr>
          <w:color w:val="auto"/>
          <w:sz w:val="30"/>
          <w:szCs w:val="30"/>
          <w:highlight w:val="none"/>
        </w:rPr>
        <w:t xml:space="preserve">  </w:t>
      </w:r>
      <w:r>
        <w:rPr>
          <w:rFonts w:hint="eastAsia"/>
          <w:color w:val="auto"/>
          <w:sz w:val="30"/>
          <w:szCs w:val="30"/>
          <w:highlight w:val="none"/>
        </w:rPr>
        <w:t>标</w:t>
      </w:r>
      <w:r>
        <w:rPr>
          <w:color w:val="auto"/>
          <w:sz w:val="30"/>
          <w:szCs w:val="30"/>
          <w:highlight w:val="none"/>
        </w:rPr>
        <w:t xml:space="preserve"> </w:t>
      </w:r>
      <w:r>
        <w:rPr>
          <w:rFonts w:hint="eastAsia"/>
          <w:color w:val="auto"/>
          <w:sz w:val="30"/>
          <w:szCs w:val="30"/>
          <w:highlight w:val="none"/>
        </w:rPr>
        <w:t>单</w:t>
      </w:r>
      <w:r>
        <w:rPr>
          <w:color w:val="auto"/>
          <w:sz w:val="30"/>
          <w:szCs w:val="30"/>
          <w:highlight w:val="none"/>
        </w:rPr>
        <w:t xml:space="preserve"> </w:t>
      </w:r>
      <w:r>
        <w:rPr>
          <w:rFonts w:hint="eastAsia"/>
          <w:color w:val="auto"/>
          <w:sz w:val="30"/>
          <w:szCs w:val="30"/>
          <w:highlight w:val="none"/>
        </w:rPr>
        <w:t>位：</w:t>
      </w:r>
      <w:r>
        <w:rPr>
          <w:rFonts w:hint="eastAsia"/>
          <w:color w:val="auto"/>
          <w:sz w:val="30"/>
          <w:szCs w:val="30"/>
          <w:highlight w:val="none"/>
          <w:u w:val="single"/>
          <w:lang w:eastAsia="zh-CN"/>
        </w:rPr>
        <w:t>广东广建项目管理有限公司</w:t>
      </w:r>
      <w:r>
        <w:rPr>
          <w:color w:val="auto"/>
          <w:sz w:val="30"/>
          <w:szCs w:val="30"/>
          <w:highlight w:val="none"/>
          <w:u w:val="single"/>
        </w:rPr>
        <w:t xml:space="preserve">   </w:t>
      </w:r>
      <w:r>
        <w:rPr>
          <w:rFonts w:hint="eastAsia"/>
          <w:color w:val="auto"/>
          <w:sz w:val="30"/>
          <w:szCs w:val="30"/>
          <w:highlight w:val="none"/>
          <w:u w:val="single"/>
        </w:rPr>
        <w:t xml:space="preserve">   </w:t>
      </w:r>
      <w:r>
        <w:rPr>
          <w:color w:val="auto"/>
          <w:sz w:val="30"/>
          <w:szCs w:val="30"/>
          <w:highlight w:val="none"/>
          <w:u w:val="single"/>
        </w:rPr>
        <w:t xml:space="preserve">     </w:t>
      </w:r>
    </w:p>
    <w:p>
      <w:pPr>
        <w:spacing w:line="360" w:lineRule="auto"/>
        <w:ind w:firstLine="945"/>
        <w:rPr>
          <w:color w:val="auto"/>
          <w:sz w:val="30"/>
          <w:szCs w:val="30"/>
          <w:highlight w:val="none"/>
          <w:u w:val="single"/>
        </w:rPr>
      </w:pPr>
      <w:r>
        <w:rPr>
          <w:rFonts w:hint="eastAsia"/>
          <w:color w:val="auto"/>
          <w:sz w:val="30"/>
          <w:szCs w:val="30"/>
          <w:highlight w:val="none"/>
        </w:rPr>
        <w:t>招标代理单位：</w:t>
      </w:r>
      <w:r>
        <w:rPr>
          <w:rFonts w:hint="eastAsia"/>
          <w:color w:val="auto"/>
          <w:sz w:val="30"/>
          <w:szCs w:val="30"/>
          <w:highlight w:val="none"/>
          <w:u w:val="single"/>
        </w:rPr>
        <w:t>广州市广州工程建设监理有限公司</w:t>
      </w:r>
    </w:p>
    <w:p>
      <w:pPr>
        <w:spacing w:line="360" w:lineRule="auto"/>
        <w:ind w:firstLine="945"/>
        <w:rPr>
          <w:color w:val="auto"/>
          <w:sz w:val="32"/>
          <w:highlight w:val="none"/>
        </w:rPr>
      </w:pPr>
      <w:r>
        <w:rPr>
          <w:rFonts w:hint="eastAsia"/>
          <w:color w:val="auto"/>
          <w:sz w:val="32"/>
          <w:highlight w:val="none"/>
        </w:rPr>
        <w:t>日</w:t>
      </w:r>
      <w:r>
        <w:rPr>
          <w:color w:val="auto"/>
          <w:sz w:val="32"/>
          <w:highlight w:val="none"/>
        </w:rPr>
        <w:t xml:space="preserve">        </w:t>
      </w:r>
      <w:r>
        <w:rPr>
          <w:rFonts w:hint="eastAsia"/>
          <w:color w:val="auto"/>
          <w:sz w:val="32"/>
          <w:highlight w:val="none"/>
        </w:rPr>
        <w:t>期：</w:t>
      </w:r>
      <w:r>
        <w:rPr>
          <w:rFonts w:hint="eastAsia"/>
          <w:color w:val="auto"/>
          <w:sz w:val="32"/>
          <w:highlight w:val="none"/>
          <w:u w:val="single"/>
        </w:rPr>
        <w:t>202</w:t>
      </w:r>
      <w:r>
        <w:rPr>
          <w:rFonts w:hint="eastAsia"/>
          <w:color w:val="auto"/>
          <w:sz w:val="32"/>
          <w:highlight w:val="none"/>
          <w:u w:val="single"/>
          <w:lang w:val="en-US" w:eastAsia="zh-CN"/>
        </w:rPr>
        <w:t>3</w:t>
      </w:r>
      <w:r>
        <w:rPr>
          <w:rFonts w:hint="eastAsia"/>
          <w:color w:val="auto"/>
          <w:sz w:val="32"/>
          <w:highlight w:val="none"/>
        </w:rPr>
        <w:t>年</w:t>
      </w:r>
      <w:r>
        <w:rPr>
          <w:rFonts w:hint="eastAsia"/>
          <w:color w:val="auto"/>
          <w:sz w:val="32"/>
          <w:highlight w:val="none"/>
          <w:u w:val="single"/>
        </w:rPr>
        <w:t xml:space="preserve">  </w:t>
      </w:r>
      <w:r>
        <w:rPr>
          <w:rFonts w:hint="eastAsia"/>
          <w:color w:val="auto"/>
          <w:sz w:val="32"/>
          <w:highlight w:val="none"/>
        </w:rPr>
        <w:t>月</w:t>
      </w:r>
      <w:r>
        <w:rPr>
          <w:rFonts w:hint="eastAsia"/>
          <w:color w:val="auto"/>
          <w:sz w:val="32"/>
          <w:highlight w:val="none"/>
          <w:u w:val="single"/>
        </w:rPr>
        <w:t xml:space="preserve">  </w:t>
      </w:r>
      <w:r>
        <w:rPr>
          <w:rFonts w:hint="eastAsia"/>
          <w:color w:val="auto"/>
          <w:sz w:val="32"/>
          <w:highlight w:val="none"/>
        </w:rPr>
        <w:t>日</w:t>
      </w:r>
    </w:p>
    <w:p>
      <w:pPr>
        <w:jc w:val="center"/>
        <w:rPr>
          <w:rStyle w:val="46"/>
          <w:b/>
          <w:bCs/>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720" w:num="1"/>
          <w:titlePg/>
          <w:docGrid w:type="lines" w:linePitch="312" w:charSpace="0"/>
        </w:sectPr>
      </w:pPr>
    </w:p>
    <w:p>
      <w:pPr>
        <w:jc w:val="center"/>
        <w:rPr>
          <w:rFonts w:ascii="宋体" w:hAnsi="宋体"/>
          <w:b/>
          <w:caps/>
          <w:color w:val="auto"/>
          <w:kern w:val="0"/>
          <w:highlight w:val="none"/>
        </w:rPr>
      </w:pPr>
      <w:r>
        <w:rPr>
          <w:rStyle w:val="46"/>
          <w:rFonts w:hint="eastAsia"/>
          <w:b/>
          <w:bCs/>
          <w:color w:val="auto"/>
          <w:sz w:val="28"/>
          <w:szCs w:val="28"/>
          <w:highlight w:val="none"/>
        </w:rPr>
        <w:t>目录</w:t>
      </w:r>
    </w:p>
    <w:p>
      <w:pPr>
        <w:pStyle w:val="28"/>
        <w:tabs>
          <w:tab w:val="right" w:leader="dot" w:pos="9070"/>
          <w:tab w:val="clear" w:pos="9060"/>
        </w:tabs>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highlight w:val="none"/>
        </w:rPr>
        <w:instrText xml:space="preserve"> HYPERLINK \l _Toc30213 </w:instrText>
      </w:r>
      <w:r>
        <w:rPr>
          <w:highlight w:val="none"/>
        </w:rPr>
        <w:fldChar w:fldCharType="separate"/>
      </w:r>
      <w:r>
        <w:rPr>
          <w:rFonts w:hint="eastAsia"/>
          <w:highlight w:val="none"/>
        </w:rPr>
        <w:t>第一章</w:t>
      </w:r>
      <w:r>
        <w:rPr>
          <w:highlight w:val="none"/>
        </w:rPr>
        <w:t xml:space="preserve">  </w:t>
      </w:r>
      <w:r>
        <w:rPr>
          <w:rFonts w:hint="eastAsia"/>
          <w:highlight w:val="none"/>
        </w:rPr>
        <w:t>投标须知</w:t>
      </w:r>
      <w:r>
        <w:tab/>
      </w:r>
      <w:r>
        <w:fldChar w:fldCharType="begin"/>
      </w:r>
      <w:r>
        <w:instrText xml:space="preserve"> PAGEREF _Toc30213 \h </w:instrText>
      </w:r>
      <w:r>
        <w:fldChar w:fldCharType="separate"/>
      </w:r>
      <w:r>
        <w:t>3</w:t>
      </w:r>
      <w:r>
        <w:fldChar w:fldCharType="end"/>
      </w:r>
      <w:r>
        <w:rPr>
          <w:color w:val="auto"/>
          <w:highlight w:val="none"/>
        </w:rPr>
        <w:fldChar w:fldCharType="end"/>
      </w:r>
    </w:p>
    <w:p>
      <w:pPr>
        <w:pStyle w:val="31"/>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_Toc30605 </w:instrText>
      </w:r>
      <w:r>
        <w:rPr>
          <w:rFonts w:ascii="Arial" w:hAnsi="Arial"/>
          <w:kern w:val="44"/>
          <w:szCs w:val="28"/>
          <w:highlight w:val="none"/>
        </w:rPr>
        <w:fldChar w:fldCharType="separate"/>
      </w:r>
      <w:r>
        <w:rPr>
          <w:rFonts w:hint="eastAsia"/>
          <w:highlight w:val="none"/>
        </w:rPr>
        <w:t>一、投标须知前附表</w:t>
      </w:r>
      <w:r>
        <w:tab/>
      </w:r>
      <w:r>
        <w:fldChar w:fldCharType="begin"/>
      </w:r>
      <w:r>
        <w:instrText xml:space="preserve"> PAGEREF _Toc30605 \h </w:instrText>
      </w:r>
      <w:r>
        <w:fldChar w:fldCharType="separate"/>
      </w:r>
      <w:r>
        <w:t>3</w:t>
      </w:r>
      <w:r>
        <w:fldChar w:fldCharType="end"/>
      </w:r>
      <w:r>
        <w:rPr>
          <w:rFonts w:ascii="Arial" w:hAnsi="Arial"/>
          <w:color w:val="auto"/>
          <w:kern w:val="44"/>
          <w:szCs w:val="28"/>
          <w:highlight w:val="none"/>
        </w:rPr>
        <w:fldChar w:fldCharType="end"/>
      </w:r>
    </w:p>
    <w:p>
      <w:pPr>
        <w:pStyle w:val="31"/>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_Toc32338 </w:instrText>
      </w:r>
      <w:r>
        <w:rPr>
          <w:rFonts w:ascii="Arial" w:hAnsi="Arial"/>
          <w:kern w:val="44"/>
          <w:szCs w:val="28"/>
          <w:highlight w:val="none"/>
        </w:rPr>
        <w:fldChar w:fldCharType="separate"/>
      </w:r>
      <w:r>
        <w:rPr>
          <w:rFonts w:hint="eastAsia" w:ascii="Arial" w:hAnsi="Arial"/>
          <w:kern w:val="0"/>
          <w:szCs w:val="24"/>
          <w:highlight w:val="none"/>
        </w:rPr>
        <w:t>二、投标须知修改表</w:t>
      </w:r>
      <w:r>
        <w:tab/>
      </w:r>
      <w:r>
        <w:fldChar w:fldCharType="begin"/>
      </w:r>
      <w:r>
        <w:instrText xml:space="preserve"> PAGEREF _Toc32338 \h </w:instrText>
      </w:r>
      <w:r>
        <w:fldChar w:fldCharType="separate"/>
      </w:r>
      <w:r>
        <w:t>7</w:t>
      </w:r>
      <w:r>
        <w:fldChar w:fldCharType="end"/>
      </w:r>
      <w:r>
        <w:rPr>
          <w:rFonts w:ascii="Arial" w:hAnsi="Arial"/>
          <w:color w:val="auto"/>
          <w:kern w:val="44"/>
          <w:szCs w:val="28"/>
          <w:highlight w:val="none"/>
        </w:rPr>
        <w:fldChar w:fldCharType="end"/>
      </w:r>
    </w:p>
    <w:p>
      <w:pPr>
        <w:pStyle w:val="31"/>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_Toc26392 </w:instrText>
      </w:r>
      <w:r>
        <w:rPr>
          <w:rFonts w:ascii="Arial" w:hAnsi="Arial"/>
          <w:kern w:val="44"/>
          <w:szCs w:val="28"/>
          <w:highlight w:val="none"/>
        </w:rPr>
        <w:fldChar w:fldCharType="separate"/>
      </w:r>
      <w:r>
        <w:rPr>
          <w:rFonts w:hint="eastAsia" w:ascii="宋体" w:hAnsi="宋体" w:eastAsia="宋体" w:cs="宋体"/>
        </w:rPr>
        <w:t>三、投标须知通用条款</w:t>
      </w:r>
      <w:r>
        <w:tab/>
      </w:r>
      <w:r>
        <w:fldChar w:fldCharType="begin"/>
      </w:r>
      <w:r>
        <w:instrText xml:space="preserve"> PAGEREF _Toc26392 \h </w:instrText>
      </w:r>
      <w:r>
        <w:fldChar w:fldCharType="separate"/>
      </w:r>
      <w:r>
        <w:t>18</w:t>
      </w:r>
      <w:r>
        <w:fldChar w:fldCharType="end"/>
      </w:r>
      <w:r>
        <w:rPr>
          <w:rFonts w:ascii="Arial" w:hAnsi="Arial"/>
          <w:color w:val="auto"/>
          <w:kern w:val="44"/>
          <w:szCs w:val="28"/>
          <w:highlight w:val="none"/>
        </w:rPr>
        <w:fldChar w:fldCharType="end"/>
      </w:r>
    </w:p>
    <w:p>
      <w:pPr>
        <w:pStyle w:val="20"/>
        <w:tabs>
          <w:tab w:val="right" w:leader="dot" w:pos="907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_Toc6132 </w:instrText>
      </w:r>
      <w:r>
        <w:rPr>
          <w:rFonts w:ascii="Arial" w:hAnsi="Arial"/>
          <w:kern w:val="44"/>
          <w:szCs w:val="28"/>
          <w:highlight w:val="none"/>
        </w:rPr>
        <w:fldChar w:fldCharType="separate"/>
      </w:r>
      <w:r>
        <w:rPr>
          <w:rFonts w:hint="eastAsia" w:ascii="宋体" w:hAnsi="宋体" w:eastAsia="宋体" w:cs="宋体"/>
        </w:rPr>
        <w:t>（一）总则</w:t>
      </w:r>
      <w:r>
        <w:tab/>
      </w:r>
      <w:r>
        <w:fldChar w:fldCharType="begin"/>
      </w:r>
      <w:r>
        <w:instrText xml:space="preserve"> PAGEREF _Toc6132 \h </w:instrText>
      </w:r>
      <w:r>
        <w:fldChar w:fldCharType="separate"/>
      </w:r>
      <w:r>
        <w:t>18</w:t>
      </w:r>
      <w:r>
        <w:fldChar w:fldCharType="end"/>
      </w:r>
      <w:r>
        <w:rPr>
          <w:rFonts w:ascii="Arial" w:hAnsi="Arial"/>
          <w:color w:val="auto"/>
          <w:kern w:val="44"/>
          <w:szCs w:val="28"/>
          <w:highlight w:val="none"/>
        </w:rPr>
        <w:fldChar w:fldCharType="end"/>
      </w:r>
    </w:p>
    <w:p>
      <w:pPr>
        <w:pStyle w:val="20"/>
        <w:tabs>
          <w:tab w:val="right" w:leader="dot" w:pos="907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_Toc23686 </w:instrText>
      </w:r>
      <w:r>
        <w:rPr>
          <w:rFonts w:ascii="Arial" w:hAnsi="Arial"/>
          <w:kern w:val="44"/>
          <w:szCs w:val="28"/>
          <w:highlight w:val="none"/>
        </w:rPr>
        <w:fldChar w:fldCharType="separate"/>
      </w:r>
      <w:r>
        <w:rPr>
          <w:rFonts w:hint="eastAsia" w:ascii="宋体" w:hAnsi="宋体" w:eastAsia="宋体" w:cs="宋体"/>
        </w:rPr>
        <w:t>（二）招标文件</w:t>
      </w:r>
      <w:r>
        <w:tab/>
      </w:r>
      <w:r>
        <w:fldChar w:fldCharType="begin"/>
      </w:r>
      <w:r>
        <w:instrText xml:space="preserve"> PAGEREF _Toc23686 \h </w:instrText>
      </w:r>
      <w:r>
        <w:fldChar w:fldCharType="separate"/>
      </w:r>
      <w:r>
        <w:t>19</w:t>
      </w:r>
      <w:r>
        <w:fldChar w:fldCharType="end"/>
      </w:r>
      <w:r>
        <w:rPr>
          <w:rFonts w:ascii="Arial" w:hAnsi="Arial"/>
          <w:color w:val="auto"/>
          <w:kern w:val="44"/>
          <w:szCs w:val="28"/>
          <w:highlight w:val="none"/>
        </w:rPr>
        <w:fldChar w:fldCharType="end"/>
      </w:r>
    </w:p>
    <w:p>
      <w:pPr>
        <w:pStyle w:val="20"/>
        <w:tabs>
          <w:tab w:val="right" w:leader="dot" w:pos="907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_Toc32594 </w:instrText>
      </w:r>
      <w:r>
        <w:rPr>
          <w:rFonts w:ascii="Arial" w:hAnsi="Arial"/>
          <w:kern w:val="44"/>
          <w:szCs w:val="28"/>
          <w:highlight w:val="none"/>
        </w:rPr>
        <w:fldChar w:fldCharType="separate"/>
      </w:r>
      <w:r>
        <w:rPr>
          <w:rFonts w:hint="eastAsia" w:ascii="宋体" w:hAnsi="宋体" w:eastAsia="宋体" w:cs="宋体"/>
        </w:rPr>
        <w:t>（三）投标文件的编制</w:t>
      </w:r>
      <w:r>
        <w:tab/>
      </w:r>
      <w:r>
        <w:fldChar w:fldCharType="begin"/>
      </w:r>
      <w:r>
        <w:instrText xml:space="preserve"> PAGEREF _Toc32594 \h </w:instrText>
      </w:r>
      <w:r>
        <w:fldChar w:fldCharType="separate"/>
      </w:r>
      <w:r>
        <w:t>20</w:t>
      </w:r>
      <w:r>
        <w:fldChar w:fldCharType="end"/>
      </w:r>
      <w:r>
        <w:rPr>
          <w:rFonts w:ascii="Arial" w:hAnsi="Arial"/>
          <w:color w:val="auto"/>
          <w:kern w:val="44"/>
          <w:szCs w:val="28"/>
          <w:highlight w:val="none"/>
        </w:rPr>
        <w:fldChar w:fldCharType="end"/>
      </w:r>
    </w:p>
    <w:p>
      <w:pPr>
        <w:pStyle w:val="20"/>
        <w:tabs>
          <w:tab w:val="right" w:leader="dot" w:pos="907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_Toc9111 </w:instrText>
      </w:r>
      <w:r>
        <w:rPr>
          <w:rFonts w:ascii="Arial" w:hAnsi="Arial"/>
          <w:kern w:val="44"/>
          <w:szCs w:val="28"/>
          <w:highlight w:val="none"/>
        </w:rPr>
        <w:fldChar w:fldCharType="separate"/>
      </w:r>
      <w:r>
        <w:rPr>
          <w:rFonts w:hint="eastAsia" w:ascii="宋体" w:hAnsi="宋体" w:eastAsia="宋体" w:cs="宋体"/>
        </w:rPr>
        <w:t>（四）投标文件的提交</w:t>
      </w:r>
      <w:r>
        <w:tab/>
      </w:r>
      <w:r>
        <w:fldChar w:fldCharType="begin"/>
      </w:r>
      <w:r>
        <w:instrText xml:space="preserve"> PAGEREF _Toc9111 \h </w:instrText>
      </w:r>
      <w:r>
        <w:fldChar w:fldCharType="separate"/>
      </w:r>
      <w:r>
        <w:t>27</w:t>
      </w:r>
      <w:r>
        <w:fldChar w:fldCharType="end"/>
      </w:r>
      <w:r>
        <w:rPr>
          <w:rFonts w:ascii="Arial" w:hAnsi="Arial"/>
          <w:color w:val="auto"/>
          <w:kern w:val="44"/>
          <w:szCs w:val="28"/>
          <w:highlight w:val="none"/>
        </w:rPr>
        <w:fldChar w:fldCharType="end"/>
      </w:r>
    </w:p>
    <w:p>
      <w:pPr>
        <w:pStyle w:val="20"/>
        <w:tabs>
          <w:tab w:val="right" w:leader="dot" w:pos="907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_Toc13881 </w:instrText>
      </w:r>
      <w:r>
        <w:rPr>
          <w:rFonts w:ascii="Arial" w:hAnsi="Arial"/>
          <w:kern w:val="44"/>
          <w:szCs w:val="28"/>
          <w:highlight w:val="none"/>
        </w:rPr>
        <w:fldChar w:fldCharType="separate"/>
      </w:r>
      <w:r>
        <w:rPr>
          <w:rFonts w:hint="eastAsia" w:ascii="宋体" w:hAnsi="宋体" w:eastAsia="宋体" w:cs="宋体"/>
        </w:rPr>
        <w:t>（五）开标、评标、定标及合同签定</w:t>
      </w:r>
      <w:r>
        <w:tab/>
      </w:r>
      <w:r>
        <w:fldChar w:fldCharType="begin"/>
      </w:r>
      <w:r>
        <w:instrText xml:space="preserve"> PAGEREF _Toc13881 \h </w:instrText>
      </w:r>
      <w:r>
        <w:fldChar w:fldCharType="separate"/>
      </w:r>
      <w:r>
        <w:t>28</w:t>
      </w:r>
      <w:r>
        <w:fldChar w:fldCharType="end"/>
      </w:r>
      <w:r>
        <w:rPr>
          <w:rFonts w:ascii="Arial" w:hAnsi="Arial"/>
          <w:color w:val="auto"/>
          <w:kern w:val="44"/>
          <w:szCs w:val="28"/>
          <w:highlight w:val="none"/>
        </w:rPr>
        <w:fldChar w:fldCharType="end"/>
      </w:r>
    </w:p>
    <w:p>
      <w:pPr>
        <w:pStyle w:val="28"/>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_Toc20404 </w:instrText>
      </w:r>
      <w:r>
        <w:rPr>
          <w:rFonts w:ascii="Arial" w:hAnsi="Arial"/>
          <w:kern w:val="44"/>
          <w:szCs w:val="28"/>
          <w:highlight w:val="none"/>
        </w:rPr>
        <w:fldChar w:fldCharType="separate"/>
      </w:r>
      <w:r>
        <w:rPr>
          <w:rFonts w:hint="eastAsia"/>
          <w:bCs/>
          <w:highlight w:val="none"/>
        </w:rPr>
        <w:t>第二章</w:t>
      </w:r>
      <w:r>
        <w:rPr>
          <w:bCs/>
          <w:highlight w:val="none"/>
        </w:rPr>
        <w:t xml:space="preserve">  </w:t>
      </w:r>
      <w:r>
        <w:rPr>
          <w:rFonts w:hint="eastAsia"/>
          <w:bCs/>
          <w:highlight w:val="none"/>
        </w:rPr>
        <w:t>开标、评标及定标办法</w:t>
      </w:r>
      <w:r>
        <w:tab/>
      </w:r>
      <w:r>
        <w:fldChar w:fldCharType="begin"/>
      </w:r>
      <w:r>
        <w:instrText xml:space="preserve"> PAGEREF _Toc20404 \h </w:instrText>
      </w:r>
      <w:r>
        <w:fldChar w:fldCharType="separate"/>
      </w:r>
      <w:r>
        <w:t>32</w:t>
      </w:r>
      <w:r>
        <w:fldChar w:fldCharType="end"/>
      </w:r>
      <w:r>
        <w:rPr>
          <w:rFonts w:ascii="Arial" w:hAnsi="Arial"/>
          <w:color w:val="auto"/>
          <w:kern w:val="44"/>
          <w:szCs w:val="28"/>
          <w:highlight w:val="none"/>
        </w:rPr>
        <w:fldChar w:fldCharType="end"/>
      </w:r>
    </w:p>
    <w:p>
      <w:pPr>
        <w:pStyle w:val="31"/>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_Toc24596 </w:instrText>
      </w:r>
      <w:r>
        <w:rPr>
          <w:rFonts w:ascii="Arial" w:hAnsi="Arial"/>
          <w:kern w:val="44"/>
          <w:szCs w:val="28"/>
          <w:highlight w:val="none"/>
        </w:rPr>
        <w:fldChar w:fldCharType="separate"/>
      </w:r>
      <w:r>
        <w:rPr>
          <w:rFonts w:hint="eastAsia"/>
          <w:szCs w:val="28"/>
          <w:highlight w:val="none"/>
        </w:rPr>
        <w:t>一、</w:t>
      </w:r>
      <w:r>
        <w:rPr>
          <w:rFonts w:hint="eastAsia"/>
          <w:highlight w:val="none"/>
        </w:rPr>
        <w:t>开标、评标及定标办法修改表</w:t>
      </w:r>
      <w:r>
        <w:tab/>
      </w:r>
      <w:r>
        <w:fldChar w:fldCharType="begin"/>
      </w:r>
      <w:r>
        <w:instrText xml:space="preserve"> PAGEREF _Toc24596 \h </w:instrText>
      </w:r>
      <w:r>
        <w:fldChar w:fldCharType="separate"/>
      </w:r>
      <w:r>
        <w:t>32</w:t>
      </w:r>
      <w:r>
        <w:fldChar w:fldCharType="end"/>
      </w:r>
      <w:r>
        <w:rPr>
          <w:rFonts w:ascii="Arial" w:hAnsi="Arial"/>
          <w:color w:val="auto"/>
          <w:kern w:val="44"/>
          <w:szCs w:val="28"/>
          <w:highlight w:val="none"/>
        </w:rPr>
        <w:fldChar w:fldCharType="end"/>
      </w:r>
    </w:p>
    <w:p>
      <w:pPr>
        <w:pStyle w:val="31"/>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_Toc26030 </w:instrText>
      </w:r>
      <w:r>
        <w:rPr>
          <w:rFonts w:ascii="Arial" w:hAnsi="Arial"/>
          <w:kern w:val="44"/>
          <w:szCs w:val="28"/>
          <w:highlight w:val="none"/>
        </w:rPr>
        <w:fldChar w:fldCharType="separate"/>
      </w:r>
      <w:r>
        <w:rPr>
          <w:rFonts w:hint="eastAsia"/>
          <w:highlight w:val="none"/>
        </w:rPr>
        <w:t>二、开标、评标及定标办法</w:t>
      </w:r>
      <w:r>
        <w:rPr>
          <w:rFonts w:hint="eastAsia"/>
          <w:szCs w:val="30"/>
          <w:highlight w:val="none"/>
        </w:rPr>
        <w:t>通用条款</w:t>
      </w:r>
      <w:r>
        <w:tab/>
      </w:r>
      <w:r>
        <w:fldChar w:fldCharType="begin"/>
      </w:r>
      <w:r>
        <w:instrText xml:space="preserve"> PAGEREF _Toc26030 \h </w:instrText>
      </w:r>
      <w:r>
        <w:fldChar w:fldCharType="separate"/>
      </w:r>
      <w:r>
        <w:t>39</w:t>
      </w:r>
      <w:r>
        <w:fldChar w:fldCharType="end"/>
      </w:r>
      <w:r>
        <w:rPr>
          <w:rFonts w:ascii="Arial" w:hAnsi="Arial"/>
          <w:color w:val="auto"/>
          <w:kern w:val="44"/>
          <w:szCs w:val="28"/>
          <w:highlight w:val="none"/>
        </w:rPr>
        <w:fldChar w:fldCharType="end"/>
      </w:r>
    </w:p>
    <w:p>
      <w:pPr>
        <w:pStyle w:val="20"/>
        <w:tabs>
          <w:tab w:val="right" w:leader="dot" w:pos="907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_Toc2333 </w:instrText>
      </w:r>
      <w:r>
        <w:rPr>
          <w:rFonts w:ascii="Arial" w:hAnsi="Arial"/>
          <w:kern w:val="44"/>
          <w:szCs w:val="28"/>
          <w:highlight w:val="none"/>
        </w:rPr>
        <w:fldChar w:fldCharType="separate"/>
      </w:r>
      <w:r>
        <w:rPr>
          <w:rFonts w:hint="eastAsia"/>
          <w:szCs w:val="32"/>
          <w:highlight w:val="none"/>
        </w:rPr>
        <w:t>资格审查表</w:t>
      </w:r>
      <w:r>
        <w:tab/>
      </w:r>
      <w:r>
        <w:fldChar w:fldCharType="begin"/>
      </w:r>
      <w:r>
        <w:instrText xml:space="preserve"> PAGEREF _Toc2333 \h </w:instrText>
      </w:r>
      <w:r>
        <w:fldChar w:fldCharType="separate"/>
      </w:r>
      <w:r>
        <w:t>47</w:t>
      </w:r>
      <w:r>
        <w:fldChar w:fldCharType="end"/>
      </w:r>
      <w:r>
        <w:rPr>
          <w:rFonts w:ascii="Arial" w:hAnsi="Arial"/>
          <w:color w:val="auto"/>
          <w:kern w:val="44"/>
          <w:szCs w:val="28"/>
          <w:highlight w:val="none"/>
        </w:rPr>
        <w:fldChar w:fldCharType="end"/>
      </w:r>
    </w:p>
    <w:p>
      <w:pPr>
        <w:pStyle w:val="20"/>
        <w:tabs>
          <w:tab w:val="right" w:leader="dot" w:pos="907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_Toc14534 </w:instrText>
      </w:r>
      <w:r>
        <w:rPr>
          <w:rFonts w:ascii="Arial" w:hAnsi="Arial"/>
          <w:kern w:val="44"/>
          <w:szCs w:val="28"/>
          <w:highlight w:val="none"/>
        </w:rPr>
        <w:fldChar w:fldCharType="separate"/>
      </w:r>
      <w:r>
        <w:rPr>
          <w:rFonts w:hint="eastAsia"/>
          <w:szCs w:val="36"/>
          <w:highlight w:val="none"/>
        </w:rPr>
        <w:t>技术标有效性审查表</w:t>
      </w:r>
      <w:r>
        <w:tab/>
      </w:r>
      <w:r>
        <w:fldChar w:fldCharType="begin"/>
      </w:r>
      <w:r>
        <w:instrText xml:space="preserve"> PAGEREF _Toc14534 \h </w:instrText>
      </w:r>
      <w:r>
        <w:fldChar w:fldCharType="separate"/>
      </w:r>
      <w:r>
        <w:t>49</w:t>
      </w:r>
      <w:r>
        <w:fldChar w:fldCharType="end"/>
      </w:r>
      <w:r>
        <w:rPr>
          <w:rFonts w:ascii="Arial" w:hAnsi="Arial"/>
          <w:color w:val="auto"/>
          <w:kern w:val="44"/>
          <w:szCs w:val="28"/>
          <w:highlight w:val="none"/>
        </w:rPr>
        <w:fldChar w:fldCharType="end"/>
      </w:r>
    </w:p>
    <w:p>
      <w:pPr>
        <w:pStyle w:val="20"/>
        <w:tabs>
          <w:tab w:val="right" w:leader="dot" w:pos="907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_Toc30681 </w:instrText>
      </w:r>
      <w:r>
        <w:rPr>
          <w:rFonts w:ascii="Arial" w:hAnsi="Arial"/>
          <w:kern w:val="44"/>
          <w:szCs w:val="28"/>
          <w:highlight w:val="none"/>
        </w:rPr>
        <w:fldChar w:fldCharType="separate"/>
      </w:r>
      <w:r>
        <w:rPr>
          <w:rFonts w:hint="eastAsia"/>
          <w:szCs w:val="36"/>
          <w:highlight w:val="none"/>
        </w:rPr>
        <w:t>经济标有效性审查表</w:t>
      </w:r>
      <w:r>
        <w:tab/>
      </w:r>
      <w:r>
        <w:fldChar w:fldCharType="begin"/>
      </w:r>
      <w:r>
        <w:instrText xml:space="preserve"> PAGEREF _Toc30681 \h </w:instrText>
      </w:r>
      <w:r>
        <w:fldChar w:fldCharType="separate"/>
      </w:r>
      <w:r>
        <w:t>50</w:t>
      </w:r>
      <w:r>
        <w:fldChar w:fldCharType="end"/>
      </w:r>
      <w:r>
        <w:rPr>
          <w:rFonts w:ascii="Arial" w:hAnsi="Arial"/>
          <w:color w:val="auto"/>
          <w:kern w:val="44"/>
          <w:szCs w:val="28"/>
          <w:highlight w:val="none"/>
        </w:rPr>
        <w:fldChar w:fldCharType="end"/>
      </w:r>
    </w:p>
    <w:p>
      <w:pPr>
        <w:pStyle w:val="20"/>
        <w:tabs>
          <w:tab w:val="right" w:leader="dot" w:pos="907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_Toc15528 </w:instrText>
      </w:r>
      <w:r>
        <w:rPr>
          <w:rFonts w:ascii="Arial" w:hAnsi="Arial"/>
          <w:kern w:val="44"/>
          <w:szCs w:val="28"/>
          <w:highlight w:val="none"/>
        </w:rPr>
        <w:fldChar w:fldCharType="separate"/>
      </w:r>
      <w:r>
        <w:rPr>
          <w:rFonts w:hint="eastAsia" w:ascii="宋体" w:hAnsi="宋体"/>
          <w:szCs w:val="36"/>
          <w:highlight w:val="none"/>
        </w:rPr>
        <w:t>技术标详细审查评分表</w:t>
      </w:r>
      <w:r>
        <w:tab/>
      </w:r>
      <w:r>
        <w:fldChar w:fldCharType="begin"/>
      </w:r>
      <w:r>
        <w:instrText xml:space="preserve"> PAGEREF _Toc15528 \h </w:instrText>
      </w:r>
      <w:r>
        <w:fldChar w:fldCharType="separate"/>
      </w:r>
      <w:r>
        <w:t>51</w:t>
      </w:r>
      <w:r>
        <w:fldChar w:fldCharType="end"/>
      </w:r>
      <w:r>
        <w:rPr>
          <w:rFonts w:ascii="Arial" w:hAnsi="Arial"/>
          <w:color w:val="auto"/>
          <w:kern w:val="44"/>
          <w:szCs w:val="28"/>
          <w:highlight w:val="none"/>
        </w:rPr>
        <w:fldChar w:fldCharType="end"/>
      </w:r>
    </w:p>
    <w:p>
      <w:pPr>
        <w:pStyle w:val="20"/>
        <w:tabs>
          <w:tab w:val="right" w:leader="dot" w:pos="907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_Toc25493 </w:instrText>
      </w:r>
      <w:r>
        <w:rPr>
          <w:rFonts w:ascii="Arial" w:hAnsi="Arial"/>
          <w:kern w:val="44"/>
          <w:szCs w:val="28"/>
          <w:highlight w:val="none"/>
        </w:rPr>
        <w:fldChar w:fldCharType="separate"/>
      </w:r>
      <w:r>
        <w:rPr>
          <w:rFonts w:hint="eastAsia"/>
          <w:szCs w:val="36"/>
          <w:highlight w:val="none"/>
        </w:rPr>
        <w:t>经济标评分表</w:t>
      </w:r>
      <w:r>
        <w:tab/>
      </w:r>
      <w:r>
        <w:fldChar w:fldCharType="begin"/>
      </w:r>
      <w:r>
        <w:instrText xml:space="preserve"> PAGEREF _Toc25493 \h </w:instrText>
      </w:r>
      <w:r>
        <w:fldChar w:fldCharType="separate"/>
      </w:r>
      <w:r>
        <w:t>57</w:t>
      </w:r>
      <w:r>
        <w:fldChar w:fldCharType="end"/>
      </w:r>
      <w:r>
        <w:rPr>
          <w:rFonts w:ascii="Arial" w:hAnsi="Arial"/>
          <w:color w:val="auto"/>
          <w:kern w:val="44"/>
          <w:szCs w:val="28"/>
          <w:highlight w:val="none"/>
        </w:rPr>
        <w:fldChar w:fldCharType="end"/>
      </w:r>
    </w:p>
    <w:p>
      <w:pPr>
        <w:pStyle w:val="20"/>
        <w:tabs>
          <w:tab w:val="right" w:leader="dot" w:pos="907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_Toc23671 </w:instrText>
      </w:r>
      <w:r>
        <w:rPr>
          <w:rFonts w:ascii="Arial" w:hAnsi="Arial"/>
          <w:kern w:val="44"/>
          <w:szCs w:val="28"/>
          <w:highlight w:val="none"/>
        </w:rPr>
        <w:fldChar w:fldCharType="separate"/>
      </w:r>
      <w:r>
        <w:rPr>
          <w:rFonts w:hint="eastAsia"/>
          <w:szCs w:val="36"/>
          <w:highlight w:val="none"/>
        </w:rPr>
        <w:t>算术复核表</w:t>
      </w:r>
      <w:r>
        <w:tab/>
      </w:r>
      <w:r>
        <w:fldChar w:fldCharType="begin"/>
      </w:r>
      <w:r>
        <w:instrText xml:space="preserve"> PAGEREF _Toc23671 \h </w:instrText>
      </w:r>
      <w:r>
        <w:fldChar w:fldCharType="separate"/>
      </w:r>
      <w:r>
        <w:t>58</w:t>
      </w:r>
      <w:r>
        <w:fldChar w:fldCharType="end"/>
      </w:r>
      <w:r>
        <w:rPr>
          <w:rFonts w:ascii="Arial" w:hAnsi="Arial"/>
          <w:color w:val="auto"/>
          <w:kern w:val="44"/>
          <w:szCs w:val="28"/>
          <w:highlight w:val="none"/>
        </w:rPr>
        <w:fldChar w:fldCharType="end"/>
      </w:r>
    </w:p>
    <w:p>
      <w:pPr>
        <w:pStyle w:val="28"/>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_Toc32710 </w:instrText>
      </w:r>
      <w:r>
        <w:rPr>
          <w:rFonts w:ascii="Arial" w:hAnsi="Arial"/>
          <w:kern w:val="44"/>
          <w:szCs w:val="28"/>
          <w:highlight w:val="none"/>
        </w:rPr>
        <w:fldChar w:fldCharType="separate"/>
      </w:r>
      <w:r>
        <w:rPr>
          <w:rFonts w:hint="eastAsia"/>
          <w:highlight w:val="none"/>
        </w:rPr>
        <w:t>第三章</w:t>
      </w:r>
      <w:r>
        <w:rPr>
          <w:highlight w:val="none"/>
        </w:rPr>
        <w:t xml:space="preserve">  </w:t>
      </w:r>
      <w:r>
        <w:rPr>
          <w:rFonts w:hint="eastAsia"/>
          <w:highlight w:val="none"/>
        </w:rPr>
        <w:t>合同条款</w:t>
      </w:r>
      <w:r>
        <w:tab/>
      </w:r>
      <w:r>
        <w:fldChar w:fldCharType="begin"/>
      </w:r>
      <w:r>
        <w:instrText xml:space="preserve"> PAGEREF _Toc32710 \h </w:instrText>
      </w:r>
      <w:r>
        <w:fldChar w:fldCharType="separate"/>
      </w:r>
      <w:r>
        <w:t>60</w:t>
      </w:r>
      <w:r>
        <w:fldChar w:fldCharType="end"/>
      </w:r>
      <w:r>
        <w:rPr>
          <w:rFonts w:ascii="Arial" w:hAnsi="Arial"/>
          <w:color w:val="auto"/>
          <w:kern w:val="44"/>
          <w:szCs w:val="28"/>
          <w:highlight w:val="none"/>
        </w:rPr>
        <w:fldChar w:fldCharType="end"/>
      </w:r>
    </w:p>
    <w:p>
      <w:pPr>
        <w:pStyle w:val="28"/>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_Toc10025 </w:instrText>
      </w:r>
      <w:r>
        <w:rPr>
          <w:rFonts w:ascii="Arial" w:hAnsi="Arial"/>
          <w:kern w:val="44"/>
          <w:szCs w:val="28"/>
          <w:highlight w:val="none"/>
        </w:rPr>
        <w:fldChar w:fldCharType="separate"/>
      </w:r>
      <w:r>
        <w:rPr>
          <w:rFonts w:hint="eastAsia"/>
          <w:highlight w:val="none"/>
        </w:rPr>
        <w:t>第四章  投标文件格式</w:t>
      </w:r>
      <w:r>
        <w:tab/>
      </w:r>
      <w:r>
        <w:fldChar w:fldCharType="begin"/>
      </w:r>
      <w:r>
        <w:instrText xml:space="preserve"> PAGEREF _Toc10025 \h </w:instrText>
      </w:r>
      <w:r>
        <w:fldChar w:fldCharType="separate"/>
      </w:r>
      <w:r>
        <w:t>61</w:t>
      </w:r>
      <w:r>
        <w:fldChar w:fldCharType="end"/>
      </w:r>
      <w:r>
        <w:rPr>
          <w:rFonts w:ascii="Arial" w:hAnsi="Arial"/>
          <w:color w:val="auto"/>
          <w:kern w:val="44"/>
          <w:szCs w:val="28"/>
          <w:highlight w:val="none"/>
        </w:rPr>
        <w:fldChar w:fldCharType="end"/>
      </w:r>
    </w:p>
    <w:p>
      <w:pPr>
        <w:pStyle w:val="31"/>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_Toc2940 </w:instrText>
      </w:r>
      <w:r>
        <w:rPr>
          <w:rFonts w:ascii="Arial" w:hAnsi="Arial"/>
          <w:kern w:val="44"/>
          <w:szCs w:val="28"/>
          <w:highlight w:val="none"/>
        </w:rPr>
        <w:fldChar w:fldCharType="separate"/>
      </w:r>
      <w:r>
        <w:rPr>
          <w:rFonts w:hint="eastAsia" w:ascii="宋体" w:hAnsi="宋体" w:cs="宋体"/>
          <w:bCs/>
          <w:szCs w:val="36"/>
          <w:highlight w:val="none"/>
        </w:rPr>
        <w:t>一、技术标投标文件格式</w:t>
      </w:r>
      <w:r>
        <w:tab/>
      </w:r>
      <w:r>
        <w:fldChar w:fldCharType="begin"/>
      </w:r>
      <w:r>
        <w:instrText xml:space="preserve"> PAGEREF _Toc2940 \h </w:instrText>
      </w:r>
      <w:r>
        <w:fldChar w:fldCharType="separate"/>
      </w:r>
      <w:r>
        <w:t>62</w:t>
      </w:r>
      <w:r>
        <w:fldChar w:fldCharType="end"/>
      </w:r>
      <w:r>
        <w:rPr>
          <w:rFonts w:ascii="Arial" w:hAnsi="Arial"/>
          <w:color w:val="auto"/>
          <w:kern w:val="44"/>
          <w:szCs w:val="28"/>
          <w:highlight w:val="none"/>
        </w:rPr>
        <w:fldChar w:fldCharType="end"/>
      </w:r>
    </w:p>
    <w:p>
      <w:pPr>
        <w:pStyle w:val="31"/>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_Toc25533 </w:instrText>
      </w:r>
      <w:r>
        <w:rPr>
          <w:rFonts w:ascii="Arial" w:hAnsi="Arial"/>
          <w:kern w:val="44"/>
          <w:szCs w:val="28"/>
          <w:highlight w:val="none"/>
        </w:rPr>
        <w:fldChar w:fldCharType="separate"/>
      </w:r>
      <w:r>
        <w:rPr>
          <w:rFonts w:hint="eastAsia" w:ascii="宋体" w:hAnsi="宋体" w:cs="宋体"/>
          <w:highlight w:val="none"/>
        </w:rPr>
        <w:t>格式一：技术标投标文件封面</w:t>
      </w:r>
      <w:r>
        <w:tab/>
      </w:r>
      <w:r>
        <w:fldChar w:fldCharType="begin"/>
      </w:r>
      <w:r>
        <w:instrText xml:space="preserve"> PAGEREF _Toc25533 \h </w:instrText>
      </w:r>
      <w:r>
        <w:fldChar w:fldCharType="separate"/>
      </w:r>
      <w:r>
        <w:t>63</w:t>
      </w:r>
      <w:r>
        <w:fldChar w:fldCharType="end"/>
      </w:r>
      <w:r>
        <w:rPr>
          <w:rFonts w:ascii="Arial" w:hAnsi="Arial"/>
          <w:color w:val="auto"/>
          <w:kern w:val="44"/>
          <w:szCs w:val="28"/>
          <w:highlight w:val="none"/>
        </w:rPr>
        <w:fldChar w:fldCharType="end"/>
      </w:r>
    </w:p>
    <w:p>
      <w:pPr>
        <w:pStyle w:val="31"/>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_Toc19777 </w:instrText>
      </w:r>
      <w:r>
        <w:rPr>
          <w:rFonts w:ascii="Arial" w:hAnsi="Arial"/>
          <w:kern w:val="44"/>
          <w:szCs w:val="28"/>
          <w:highlight w:val="none"/>
        </w:rPr>
        <w:fldChar w:fldCharType="separate"/>
      </w:r>
      <w:r>
        <w:rPr>
          <w:rFonts w:hint="eastAsia"/>
          <w:highlight w:val="none"/>
        </w:rPr>
        <w:t>格式二：广州建设工程施工招标投标书</w:t>
      </w:r>
      <w:r>
        <w:tab/>
      </w:r>
      <w:r>
        <w:fldChar w:fldCharType="begin"/>
      </w:r>
      <w:r>
        <w:instrText xml:space="preserve"> PAGEREF _Toc19777 \h </w:instrText>
      </w:r>
      <w:r>
        <w:fldChar w:fldCharType="separate"/>
      </w:r>
      <w:r>
        <w:t>64</w:t>
      </w:r>
      <w:r>
        <w:fldChar w:fldCharType="end"/>
      </w:r>
      <w:r>
        <w:rPr>
          <w:rFonts w:ascii="Arial" w:hAnsi="Arial"/>
          <w:color w:val="auto"/>
          <w:kern w:val="44"/>
          <w:szCs w:val="28"/>
          <w:highlight w:val="none"/>
        </w:rPr>
        <w:fldChar w:fldCharType="end"/>
      </w:r>
    </w:p>
    <w:p>
      <w:pPr>
        <w:pStyle w:val="31"/>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_Toc29706 </w:instrText>
      </w:r>
      <w:r>
        <w:rPr>
          <w:rFonts w:ascii="Arial" w:hAnsi="Arial"/>
          <w:kern w:val="44"/>
          <w:szCs w:val="28"/>
          <w:highlight w:val="none"/>
        </w:rPr>
        <w:fldChar w:fldCharType="separate"/>
      </w:r>
      <w:r>
        <w:rPr>
          <w:rFonts w:hint="eastAsia" w:ascii="Arial" w:hAnsi="Arial"/>
          <w:szCs w:val="24"/>
          <w:highlight w:val="none"/>
        </w:rPr>
        <w:t>格式三：施工项目管理团队人员信息表、主要人员简历表</w:t>
      </w:r>
      <w:r>
        <w:tab/>
      </w:r>
      <w:r>
        <w:fldChar w:fldCharType="begin"/>
      </w:r>
      <w:r>
        <w:instrText xml:space="preserve"> PAGEREF _Toc29706 \h </w:instrText>
      </w:r>
      <w:r>
        <w:fldChar w:fldCharType="separate"/>
      </w:r>
      <w:r>
        <w:t>65</w:t>
      </w:r>
      <w:r>
        <w:fldChar w:fldCharType="end"/>
      </w:r>
      <w:r>
        <w:rPr>
          <w:rFonts w:ascii="Arial" w:hAnsi="Arial"/>
          <w:color w:val="auto"/>
          <w:kern w:val="44"/>
          <w:szCs w:val="28"/>
          <w:highlight w:val="none"/>
        </w:rPr>
        <w:fldChar w:fldCharType="end"/>
      </w:r>
    </w:p>
    <w:p>
      <w:pPr>
        <w:pStyle w:val="31"/>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_Toc26399 </w:instrText>
      </w:r>
      <w:r>
        <w:rPr>
          <w:rFonts w:ascii="Arial" w:hAnsi="Arial"/>
          <w:kern w:val="44"/>
          <w:szCs w:val="28"/>
          <w:highlight w:val="none"/>
        </w:rPr>
        <w:fldChar w:fldCharType="separate"/>
      </w:r>
      <w:r>
        <w:rPr>
          <w:rFonts w:hint="eastAsia"/>
          <w:highlight w:val="none"/>
        </w:rPr>
        <w:t>格式四：投标函</w:t>
      </w:r>
      <w:r>
        <w:tab/>
      </w:r>
      <w:r>
        <w:fldChar w:fldCharType="begin"/>
      </w:r>
      <w:r>
        <w:instrText xml:space="preserve"> PAGEREF _Toc26399 \h </w:instrText>
      </w:r>
      <w:r>
        <w:fldChar w:fldCharType="separate"/>
      </w:r>
      <w:r>
        <w:t>67</w:t>
      </w:r>
      <w:r>
        <w:fldChar w:fldCharType="end"/>
      </w:r>
      <w:r>
        <w:rPr>
          <w:rFonts w:ascii="Arial" w:hAnsi="Arial"/>
          <w:color w:val="auto"/>
          <w:kern w:val="44"/>
          <w:szCs w:val="28"/>
          <w:highlight w:val="none"/>
        </w:rPr>
        <w:fldChar w:fldCharType="end"/>
      </w:r>
    </w:p>
    <w:p>
      <w:pPr>
        <w:pStyle w:val="31"/>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_Toc25411 </w:instrText>
      </w:r>
      <w:r>
        <w:rPr>
          <w:rFonts w:ascii="Arial" w:hAnsi="Arial"/>
          <w:kern w:val="44"/>
          <w:szCs w:val="28"/>
          <w:highlight w:val="none"/>
        </w:rPr>
        <w:fldChar w:fldCharType="separate"/>
      </w:r>
      <w:r>
        <w:rPr>
          <w:rFonts w:hint="eastAsia" w:ascii="宋体" w:hAnsi="宋体" w:cs="宋体"/>
          <w:highlight w:val="none"/>
        </w:rPr>
        <w:t>格式五：响应招标文件所附施工组织设计要点的承诺书</w:t>
      </w:r>
      <w:r>
        <w:tab/>
      </w:r>
      <w:r>
        <w:fldChar w:fldCharType="begin"/>
      </w:r>
      <w:r>
        <w:instrText xml:space="preserve"> PAGEREF _Toc25411 \h </w:instrText>
      </w:r>
      <w:r>
        <w:fldChar w:fldCharType="separate"/>
      </w:r>
      <w:r>
        <w:t>68</w:t>
      </w:r>
      <w:r>
        <w:fldChar w:fldCharType="end"/>
      </w:r>
      <w:r>
        <w:rPr>
          <w:rFonts w:ascii="Arial" w:hAnsi="Arial"/>
          <w:color w:val="auto"/>
          <w:kern w:val="44"/>
          <w:szCs w:val="28"/>
          <w:highlight w:val="none"/>
        </w:rPr>
        <w:fldChar w:fldCharType="end"/>
      </w:r>
    </w:p>
    <w:p>
      <w:pPr>
        <w:pStyle w:val="31"/>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_Toc2974 </w:instrText>
      </w:r>
      <w:r>
        <w:rPr>
          <w:rFonts w:ascii="Arial" w:hAnsi="Arial"/>
          <w:kern w:val="44"/>
          <w:szCs w:val="28"/>
          <w:highlight w:val="none"/>
        </w:rPr>
        <w:fldChar w:fldCharType="separate"/>
      </w:r>
      <w:r>
        <w:rPr>
          <w:rFonts w:hint="eastAsia" w:ascii="宋体" w:hAnsi="宋体" w:cs="宋体"/>
          <w:bCs/>
          <w:szCs w:val="40"/>
          <w:highlight w:val="none"/>
        </w:rPr>
        <w:t>二、经济标投标文件格式</w:t>
      </w:r>
      <w:r>
        <w:tab/>
      </w:r>
      <w:r>
        <w:fldChar w:fldCharType="begin"/>
      </w:r>
      <w:r>
        <w:instrText xml:space="preserve"> PAGEREF _Toc2974 \h </w:instrText>
      </w:r>
      <w:r>
        <w:fldChar w:fldCharType="separate"/>
      </w:r>
      <w:r>
        <w:t>70</w:t>
      </w:r>
      <w:r>
        <w:fldChar w:fldCharType="end"/>
      </w:r>
      <w:r>
        <w:rPr>
          <w:rFonts w:ascii="Arial" w:hAnsi="Arial"/>
          <w:color w:val="auto"/>
          <w:kern w:val="44"/>
          <w:szCs w:val="28"/>
          <w:highlight w:val="none"/>
        </w:rPr>
        <w:fldChar w:fldCharType="end"/>
      </w:r>
    </w:p>
    <w:p>
      <w:pPr>
        <w:pStyle w:val="31"/>
        <w:tabs>
          <w:tab w:val="right" w:leader="dot" w:pos="9070"/>
          <w:tab w:val="clear" w:pos="9060"/>
        </w:tabs>
        <w:rPr>
          <w:rFonts w:ascii="Arial" w:hAnsi="Arial"/>
          <w:color w:val="auto"/>
          <w:kern w:val="44"/>
          <w:szCs w:val="28"/>
          <w:highlight w:val="none"/>
        </w:rPr>
      </w:pPr>
      <w:r>
        <w:rPr>
          <w:rFonts w:ascii="Arial" w:hAnsi="Arial"/>
          <w:color w:val="auto"/>
          <w:kern w:val="44"/>
          <w:szCs w:val="28"/>
          <w:highlight w:val="none"/>
        </w:rPr>
        <w:fldChar w:fldCharType="begin"/>
      </w:r>
      <w:r>
        <w:rPr>
          <w:rFonts w:ascii="Arial" w:hAnsi="Arial"/>
          <w:color w:val="auto"/>
          <w:kern w:val="44"/>
          <w:szCs w:val="28"/>
          <w:highlight w:val="none"/>
        </w:rPr>
        <w:instrText xml:space="preserve"> HYPERLINK \l _Toc9572 </w:instrText>
      </w:r>
      <w:r>
        <w:rPr>
          <w:rFonts w:ascii="Arial" w:hAnsi="Arial"/>
          <w:color w:val="auto"/>
          <w:kern w:val="44"/>
          <w:szCs w:val="28"/>
          <w:highlight w:val="none"/>
        </w:rPr>
        <w:fldChar w:fldCharType="separate"/>
      </w:r>
      <w:r>
        <w:rPr>
          <w:rFonts w:hint="eastAsia" w:ascii="Arial" w:hAnsi="Arial"/>
          <w:color w:val="auto"/>
          <w:kern w:val="44"/>
          <w:szCs w:val="28"/>
          <w:highlight w:val="none"/>
        </w:rPr>
        <w:t>格式一：经济标投标文件封面</w:t>
      </w:r>
      <w:r>
        <w:rPr>
          <w:rFonts w:ascii="Arial" w:hAnsi="Arial"/>
          <w:color w:val="auto"/>
          <w:kern w:val="44"/>
          <w:szCs w:val="28"/>
          <w:highlight w:val="none"/>
        </w:rPr>
        <w:tab/>
      </w:r>
      <w:r>
        <w:rPr>
          <w:rFonts w:ascii="Arial" w:hAnsi="Arial"/>
          <w:color w:val="auto"/>
          <w:kern w:val="44"/>
          <w:szCs w:val="28"/>
          <w:highlight w:val="none"/>
        </w:rPr>
        <w:fldChar w:fldCharType="begin"/>
      </w:r>
      <w:r>
        <w:rPr>
          <w:rFonts w:ascii="Arial" w:hAnsi="Arial"/>
          <w:color w:val="auto"/>
          <w:kern w:val="44"/>
          <w:szCs w:val="28"/>
          <w:highlight w:val="none"/>
        </w:rPr>
        <w:instrText xml:space="preserve"> PAGEREF _Toc9572 \h </w:instrText>
      </w:r>
      <w:r>
        <w:rPr>
          <w:rFonts w:ascii="Arial" w:hAnsi="Arial"/>
          <w:color w:val="auto"/>
          <w:kern w:val="44"/>
          <w:szCs w:val="28"/>
          <w:highlight w:val="none"/>
        </w:rPr>
        <w:fldChar w:fldCharType="separate"/>
      </w:r>
      <w:r>
        <w:rPr>
          <w:rFonts w:ascii="Arial" w:hAnsi="Arial"/>
          <w:color w:val="auto"/>
          <w:kern w:val="44"/>
          <w:szCs w:val="28"/>
          <w:highlight w:val="none"/>
        </w:rPr>
        <w:t>71</w:t>
      </w:r>
      <w:r>
        <w:rPr>
          <w:rFonts w:ascii="Arial" w:hAnsi="Arial"/>
          <w:color w:val="auto"/>
          <w:kern w:val="44"/>
          <w:szCs w:val="28"/>
          <w:highlight w:val="none"/>
        </w:rPr>
        <w:fldChar w:fldCharType="end"/>
      </w:r>
      <w:r>
        <w:rPr>
          <w:rFonts w:ascii="Arial" w:hAnsi="Arial"/>
          <w:color w:val="auto"/>
          <w:kern w:val="44"/>
          <w:szCs w:val="28"/>
          <w:highlight w:val="none"/>
        </w:rPr>
        <w:fldChar w:fldCharType="end"/>
      </w:r>
    </w:p>
    <w:p>
      <w:pPr>
        <w:pStyle w:val="31"/>
        <w:tabs>
          <w:tab w:val="right" w:leader="dot" w:pos="9070"/>
          <w:tab w:val="clear" w:pos="9060"/>
        </w:tabs>
        <w:rPr>
          <w:rFonts w:ascii="Arial" w:hAnsi="Arial"/>
          <w:color w:val="auto"/>
          <w:kern w:val="44"/>
          <w:szCs w:val="28"/>
          <w:highlight w:val="none"/>
        </w:rPr>
      </w:pPr>
      <w:r>
        <w:rPr>
          <w:rFonts w:ascii="Arial" w:hAnsi="Arial"/>
          <w:color w:val="auto"/>
          <w:kern w:val="44"/>
          <w:szCs w:val="28"/>
          <w:highlight w:val="none"/>
        </w:rPr>
        <w:fldChar w:fldCharType="begin"/>
      </w:r>
      <w:r>
        <w:rPr>
          <w:rFonts w:ascii="Arial" w:hAnsi="Arial"/>
          <w:color w:val="auto"/>
          <w:kern w:val="44"/>
          <w:szCs w:val="28"/>
          <w:highlight w:val="none"/>
        </w:rPr>
        <w:instrText xml:space="preserve"> HYPERLINK \l _Toc9214 </w:instrText>
      </w:r>
      <w:r>
        <w:rPr>
          <w:rFonts w:ascii="Arial" w:hAnsi="Arial"/>
          <w:color w:val="auto"/>
          <w:kern w:val="44"/>
          <w:szCs w:val="28"/>
          <w:highlight w:val="none"/>
        </w:rPr>
        <w:fldChar w:fldCharType="separate"/>
      </w:r>
      <w:r>
        <w:rPr>
          <w:rFonts w:hint="eastAsia" w:ascii="Arial" w:hAnsi="Arial"/>
          <w:color w:val="auto"/>
          <w:kern w:val="44"/>
          <w:szCs w:val="28"/>
          <w:highlight w:val="none"/>
        </w:rPr>
        <w:t>格式二：工程量清单计价表</w:t>
      </w:r>
      <w:r>
        <w:rPr>
          <w:rFonts w:ascii="Arial" w:hAnsi="Arial"/>
          <w:color w:val="auto"/>
          <w:kern w:val="44"/>
          <w:szCs w:val="28"/>
          <w:highlight w:val="none"/>
        </w:rPr>
        <w:tab/>
      </w:r>
      <w:r>
        <w:rPr>
          <w:rFonts w:ascii="Arial" w:hAnsi="Arial"/>
          <w:color w:val="auto"/>
          <w:kern w:val="44"/>
          <w:szCs w:val="28"/>
          <w:highlight w:val="none"/>
        </w:rPr>
        <w:fldChar w:fldCharType="begin"/>
      </w:r>
      <w:r>
        <w:rPr>
          <w:rFonts w:ascii="Arial" w:hAnsi="Arial"/>
          <w:color w:val="auto"/>
          <w:kern w:val="44"/>
          <w:szCs w:val="28"/>
          <w:highlight w:val="none"/>
        </w:rPr>
        <w:instrText xml:space="preserve"> PAGEREF _Toc9214 \h </w:instrText>
      </w:r>
      <w:r>
        <w:rPr>
          <w:rFonts w:ascii="Arial" w:hAnsi="Arial"/>
          <w:color w:val="auto"/>
          <w:kern w:val="44"/>
          <w:szCs w:val="28"/>
          <w:highlight w:val="none"/>
        </w:rPr>
        <w:fldChar w:fldCharType="separate"/>
      </w:r>
      <w:r>
        <w:rPr>
          <w:rFonts w:ascii="Arial" w:hAnsi="Arial"/>
          <w:color w:val="auto"/>
          <w:kern w:val="44"/>
          <w:szCs w:val="28"/>
          <w:highlight w:val="none"/>
        </w:rPr>
        <w:t>72</w:t>
      </w:r>
      <w:r>
        <w:rPr>
          <w:rFonts w:ascii="Arial" w:hAnsi="Arial"/>
          <w:color w:val="auto"/>
          <w:kern w:val="44"/>
          <w:szCs w:val="28"/>
          <w:highlight w:val="none"/>
        </w:rPr>
        <w:fldChar w:fldCharType="end"/>
      </w:r>
      <w:r>
        <w:rPr>
          <w:rFonts w:ascii="Arial" w:hAnsi="Arial"/>
          <w:color w:val="auto"/>
          <w:kern w:val="44"/>
          <w:szCs w:val="28"/>
          <w:highlight w:val="none"/>
        </w:rPr>
        <w:fldChar w:fldCharType="end"/>
      </w:r>
    </w:p>
    <w:p>
      <w:pPr>
        <w:pStyle w:val="31"/>
        <w:tabs>
          <w:tab w:val="right" w:leader="dot" w:pos="9070"/>
          <w:tab w:val="clear" w:pos="9060"/>
        </w:tabs>
        <w:rPr>
          <w:rFonts w:ascii="Arial" w:hAnsi="Arial"/>
          <w:color w:val="auto"/>
          <w:kern w:val="44"/>
          <w:szCs w:val="28"/>
          <w:highlight w:val="none"/>
        </w:rPr>
      </w:pPr>
      <w:r>
        <w:rPr>
          <w:rFonts w:ascii="Arial" w:hAnsi="Arial"/>
          <w:color w:val="auto"/>
          <w:kern w:val="44"/>
          <w:szCs w:val="28"/>
          <w:highlight w:val="none"/>
        </w:rPr>
        <w:fldChar w:fldCharType="begin"/>
      </w:r>
      <w:r>
        <w:rPr>
          <w:rFonts w:ascii="Arial" w:hAnsi="Arial"/>
          <w:color w:val="auto"/>
          <w:kern w:val="44"/>
          <w:szCs w:val="28"/>
          <w:highlight w:val="none"/>
        </w:rPr>
        <w:instrText xml:space="preserve"> HYPERLINK \l _Toc30490 </w:instrText>
      </w:r>
      <w:r>
        <w:rPr>
          <w:rFonts w:ascii="Arial" w:hAnsi="Arial"/>
          <w:color w:val="auto"/>
          <w:kern w:val="44"/>
          <w:szCs w:val="28"/>
          <w:highlight w:val="none"/>
        </w:rPr>
        <w:fldChar w:fldCharType="separate"/>
      </w:r>
      <w:r>
        <w:rPr>
          <w:rFonts w:hint="eastAsia" w:ascii="Arial" w:hAnsi="Arial"/>
          <w:color w:val="auto"/>
          <w:kern w:val="44"/>
          <w:szCs w:val="28"/>
          <w:highlight w:val="none"/>
        </w:rPr>
        <w:t>格式三：参与编制经济标投标文件编制人员名单</w:t>
      </w:r>
      <w:r>
        <w:rPr>
          <w:rFonts w:ascii="Arial" w:hAnsi="Arial"/>
          <w:color w:val="auto"/>
          <w:kern w:val="44"/>
          <w:szCs w:val="28"/>
          <w:highlight w:val="none"/>
        </w:rPr>
        <w:tab/>
      </w:r>
      <w:r>
        <w:rPr>
          <w:rFonts w:ascii="Arial" w:hAnsi="Arial"/>
          <w:color w:val="auto"/>
          <w:kern w:val="44"/>
          <w:szCs w:val="28"/>
          <w:highlight w:val="none"/>
        </w:rPr>
        <w:fldChar w:fldCharType="begin"/>
      </w:r>
      <w:r>
        <w:rPr>
          <w:rFonts w:ascii="Arial" w:hAnsi="Arial"/>
          <w:color w:val="auto"/>
          <w:kern w:val="44"/>
          <w:szCs w:val="28"/>
          <w:highlight w:val="none"/>
        </w:rPr>
        <w:instrText xml:space="preserve"> PAGEREF _Toc30490 \h </w:instrText>
      </w:r>
      <w:r>
        <w:rPr>
          <w:rFonts w:ascii="Arial" w:hAnsi="Arial"/>
          <w:color w:val="auto"/>
          <w:kern w:val="44"/>
          <w:szCs w:val="28"/>
          <w:highlight w:val="none"/>
        </w:rPr>
        <w:fldChar w:fldCharType="separate"/>
      </w:r>
      <w:r>
        <w:rPr>
          <w:rFonts w:ascii="Arial" w:hAnsi="Arial"/>
          <w:color w:val="auto"/>
          <w:kern w:val="44"/>
          <w:szCs w:val="28"/>
          <w:highlight w:val="none"/>
        </w:rPr>
        <w:t>73</w:t>
      </w:r>
      <w:r>
        <w:rPr>
          <w:rFonts w:ascii="Arial" w:hAnsi="Arial"/>
          <w:color w:val="auto"/>
          <w:kern w:val="44"/>
          <w:szCs w:val="28"/>
          <w:highlight w:val="none"/>
        </w:rPr>
        <w:fldChar w:fldCharType="end"/>
      </w:r>
      <w:r>
        <w:rPr>
          <w:rFonts w:ascii="Arial" w:hAnsi="Arial"/>
          <w:color w:val="auto"/>
          <w:kern w:val="44"/>
          <w:szCs w:val="28"/>
          <w:highlight w:val="none"/>
        </w:rPr>
        <w:fldChar w:fldCharType="end"/>
      </w:r>
    </w:p>
    <w:p>
      <w:pPr>
        <w:pStyle w:val="31"/>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_Toc14587 </w:instrText>
      </w:r>
      <w:r>
        <w:rPr>
          <w:rFonts w:ascii="Arial" w:hAnsi="Arial"/>
          <w:kern w:val="44"/>
          <w:szCs w:val="28"/>
          <w:highlight w:val="none"/>
        </w:rPr>
        <w:fldChar w:fldCharType="separate"/>
      </w:r>
      <w:r>
        <w:rPr>
          <w:rFonts w:hint="eastAsia" w:ascii="宋体" w:hAnsi="宋体" w:cs="宋体"/>
          <w:highlight w:val="none"/>
        </w:rPr>
        <w:t>格式四：对投标文件编制的承诺</w:t>
      </w:r>
      <w:r>
        <w:tab/>
      </w:r>
      <w:r>
        <w:fldChar w:fldCharType="begin"/>
      </w:r>
      <w:r>
        <w:instrText xml:space="preserve"> PAGEREF _Toc14587 \h </w:instrText>
      </w:r>
      <w:r>
        <w:fldChar w:fldCharType="separate"/>
      </w:r>
      <w:r>
        <w:t>74</w:t>
      </w:r>
      <w:r>
        <w:fldChar w:fldCharType="end"/>
      </w:r>
      <w:r>
        <w:rPr>
          <w:rFonts w:ascii="Arial" w:hAnsi="Arial"/>
          <w:color w:val="auto"/>
          <w:kern w:val="44"/>
          <w:szCs w:val="28"/>
          <w:highlight w:val="none"/>
        </w:rPr>
        <w:fldChar w:fldCharType="end"/>
      </w:r>
    </w:p>
    <w:p>
      <w:pPr>
        <w:pStyle w:val="28"/>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_Toc2539 </w:instrText>
      </w:r>
      <w:r>
        <w:rPr>
          <w:rFonts w:ascii="Arial" w:hAnsi="Arial"/>
          <w:kern w:val="44"/>
          <w:szCs w:val="28"/>
          <w:highlight w:val="none"/>
        </w:rPr>
        <w:fldChar w:fldCharType="separate"/>
      </w:r>
      <w:r>
        <w:rPr>
          <w:rFonts w:hint="eastAsia"/>
          <w:highlight w:val="none"/>
        </w:rPr>
        <w:t>第五章</w:t>
      </w:r>
      <w:r>
        <w:rPr>
          <w:highlight w:val="none"/>
        </w:rPr>
        <w:t xml:space="preserve">  </w:t>
      </w:r>
      <w:r>
        <w:rPr>
          <w:rFonts w:hint="eastAsia"/>
          <w:highlight w:val="none"/>
        </w:rPr>
        <w:t>技术条件（工程建设标准）</w:t>
      </w:r>
      <w:r>
        <w:tab/>
      </w:r>
      <w:r>
        <w:fldChar w:fldCharType="begin"/>
      </w:r>
      <w:r>
        <w:instrText xml:space="preserve"> PAGEREF _Toc2539 \h </w:instrText>
      </w:r>
      <w:r>
        <w:fldChar w:fldCharType="separate"/>
      </w:r>
      <w:r>
        <w:t>75</w:t>
      </w:r>
      <w:r>
        <w:fldChar w:fldCharType="end"/>
      </w:r>
      <w:r>
        <w:rPr>
          <w:rFonts w:ascii="Arial" w:hAnsi="Arial"/>
          <w:color w:val="auto"/>
          <w:kern w:val="44"/>
          <w:szCs w:val="28"/>
          <w:highlight w:val="none"/>
        </w:rPr>
        <w:fldChar w:fldCharType="end"/>
      </w:r>
    </w:p>
    <w:p>
      <w:pPr>
        <w:pStyle w:val="28"/>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_Toc15057 </w:instrText>
      </w:r>
      <w:r>
        <w:rPr>
          <w:rFonts w:ascii="Arial" w:hAnsi="Arial"/>
          <w:kern w:val="44"/>
          <w:szCs w:val="28"/>
          <w:highlight w:val="none"/>
        </w:rPr>
        <w:fldChar w:fldCharType="separate"/>
      </w:r>
      <w:r>
        <w:rPr>
          <w:rFonts w:hint="eastAsia"/>
          <w:highlight w:val="none"/>
        </w:rPr>
        <w:t>第六章  图纸及勘察资料</w:t>
      </w:r>
      <w:r>
        <w:tab/>
      </w:r>
      <w:r>
        <w:fldChar w:fldCharType="begin"/>
      </w:r>
      <w:r>
        <w:instrText xml:space="preserve"> PAGEREF _Toc15057 \h </w:instrText>
      </w:r>
      <w:r>
        <w:fldChar w:fldCharType="separate"/>
      </w:r>
      <w:r>
        <w:t>76</w:t>
      </w:r>
      <w:r>
        <w:fldChar w:fldCharType="end"/>
      </w:r>
      <w:r>
        <w:rPr>
          <w:rFonts w:ascii="Arial" w:hAnsi="Arial"/>
          <w:color w:val="auto"/>
          <w:kern w:val="44"/>
          <w:szCs w:val="28"/>
          <w:highlight w:val="none"/>
        </w:rPr>
        <w:fldChar w:fldCharType="end"/>
      </w:r>
    </w:p>
    <w:p>
      <w:pPr>
        <w:pStyle w:val="28"/>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_Toc18092 </w:instrText>
      </w:r>
      <w:r>
        <w:rPr>
          <w:rFonts w:ascii="Arial" w:hAnsi="Arial"/>
          <w:kern w:val="44"/>
          <w:szCs w:val="28"/>
          <w:highlight w:val="none"/>
        </w:rPr>
        <w:fldChar w:fldCharType="separate"/>
      </w:r>
      <w:r>
        <w:rPr>
          <w:rFonts w:hint="eastAsia"/>
          <w:highlight w:val="none"/>
        </w:rPr>
        <w:t>第七章</w:t>
      </w:r>
      <w:r>
        <w:rPr>
          <w:highlight w:val="none"/>
        </w:rPr>
        <w:t xml:space="preserve">  </w:t>
      </w:r>
      <w:r>
        <w:rPr>
          <w:rFonts w:hint="eastAsia"/>
          <w:highlight w:val="none"/>
        </w:rPr>
        <w:t>工程量清单</w:t>
      </w:r>
      <w:r>
        <w:tab/>
      </w:r>
      <w:r>
        <w:fldChar w:fldCharType="begin"/>
      </w:r>
      <w:r>
        <w:instrText xml:space="preserve"> PAGEREF _Toc18092 \h </w:instrText>
      </w:r>
      <w:r>
        <w:fldChar w:fldCharType="separate"/>
      </w:r>
      <w:r>
        <w:t>77</w:t>
      </w:r>
      <w:r>
        <w:fldChar w:fldCharType="end"/>
      </w:r>
      <w:r>
        <w:rPr>
          <w:rFonts w:ascii="Arial" w:hAnsi="Arial"/>
          <w:color w:val="auto"/>
          <w:kern w:val="44"/>
          <w:szCs w:val="28"/>
          <w:highlight w:val="none"/>
        </w:rPr>
        <w:fldChar w:fldCharType="end"/>
      </w:r>
    </w:p>
    <w:p>
      <w:pPr>
        <w:pStyle w:val="28"/>
        <w:tabs>
          <w:tab w:val="right" w:leader="dot" w:pos="9070"/>
          <w:tab w:val="clear" w:pos="9060"/>
        </w:tabs>
      </w:pPr>
      <w:r>
        <w:rPr>
          <w:rFonts w:ascii="Arial" w:hAnsi="Arial"/>
          <w:color w:val="auto"/>
          <w:kern w:val="44"/>
          <w:szCs w:val="28"/>
          <w:highlight w:val="none"/>
        </w:rPr>
        <w:fldChar w:fldCharType="begin"/>
      </w:r>
      <w:r>
        <w:rPr>
          <w:rFonts w:ascii="Arial" w:hAnsi="Arial"/>
          <w:kern w:val="44"/>
          <w:szCs w:val="28"/>
          <w:highlight w:val="none"/>
        </w:rPr>
        <w:instrText xml:space="preserve"> HYPERLINK \l _Toc27240 </w:instrText>
      </w:r>
      <w:r>
        <w:rPr>
          <w:rFonts w:ascii="Arial" w:hAnsi="Arial"/>
          <w:kern w:val="44"/>
          <w:szCs w:val="28"/>
          <w:highlight w:val="none"/>
        </w:rPr>
        <w:fldChar w:fldCharType="separate"/>
      </w:r>
      <w:r>
        <w:rPr>
          <w:rFonts w:hint="eastAsia"/>
          <w:highlight w:val="none"/>
        </w:rPr>
        <w:t>第八章</w:t>
      </w:r>
      <w:r>
        <w:rPr>
          <w:highlight w:val="none"/>
        </w:rPr>
        <w:t xml:space="preserve">  </w:t>
      </w:r>
      <w:r>
        <w:rPr>
          <w:rFonts w:hint="eastAsia"/>
          <w:highlight w:val="none"/>
        </w:rPr>
        <w:t>最高投标限价</w:t>
      </w:r>
      <w:r>
        <w:tab/>
      </w:r>
      <w:r>
        <w:fldChar w:fldCharType="begin"/>
      </w:r>
      <w:r>
        <w:instrText xml:space="preserve"> PAGEREF _Toc27240 \h </w:instrText>
      </w:r>
      <w:r>
        <w:fldChar w:fldCharType="separate"/>
      </w:r>
      <w:r>
        <w:t>78</w:t>
      </w:r>
      <w:r>
        <w:fldChar w:fldCharType="end"/>
      </w:r>
      <w:r>
        <w:rPr>
          <w:rFonts w:ascii="Arial" w:hAnsi="Arial"/>
          <w:color w:val="auto"/>
          <w:kern w:val="44"/>
          <w:szCs w:val="28"/>
          <w:highlight w:val="none"/>
        </w:rPr>
        <w:fldChar w:fldCharType="end"/>
      </w:r>
    </w:p>
    <w:p>
      <w:pPr>
        <w:pStyle w:val="28"/>
        <w:tabs>
          <w:tab w:val="right" w:leader="dot" w:pos="9070"/>
          <w:tab w:val="clear" w:pos="9060"/>
        </w:tabs>
        <w:rPr>
          <w:color w:val="auto"/>
          <w:highlight w:val="none"/>
        </w:rPr>
      </w:pPr>
      <w:r>
        <w:rPr>
          <w:rFonts w:ascii="Arial" w:hAnsi="Arial"/>
          <w:color w:val="auto"/>
          <w:kern w:val="44"/>
          <w:szCs w:val="28"/>
          <w:highlight w:val="none"/>
        </w:rPr>
        <w:fldChar w:fldCharType="end"/>
      </w: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37"/>
        <w:rPr>
          <w:color w:val="auto"/>
          <w:highlight w:val="none"/>
        </w:rPr>
      </w:pPr>
    </w:p>
    <w:p>
      <w:pPr>
        <w:pStyle w:val="5"/>
        <w:jc w:val="center"/>
        <w:rPr>
          <w:color w:val="auto"/>
          <w:highlight w:val="none"/>
        </w:rPr>
      </w:pPr>
      <w:r>
        <w:rPr>
          <w:rFonts w:hint="eastAsia"/>
          <w:color w:val="auto"/>
          <w:highlight w:val="none"/>
        </w:rPr>
        <w:br w:type="page"/>
      </w:r>
      <w:bookmarkStart w:id="0" w:name="_Toc1188"/>
      <w:bookmarkStart w:id="1" w:name="_Toc30213"/>
      <w:r>
        <w:rPr>
          <w:rFonts w:hint="eastAsia"/>
          <w:color w:val="auto"/>
          <w:highlight w:val="none"/>
        </w:rPr>
        <w:t>第一章</w:t>
      </w:r>
      <w:r>
        <w:rPr>
          <w:color w:val="auto"/>
          <w:highlight w:val="none"/>
        </w:rPr>
        <w:t xml:space="preserve">  </w:t>
      </w:r>
      <w:r>
        <w:rPr>
          <w:rFonts w:hint="eastAsia"/>
          <w:color w:val="auto"/>
          <w:highlight w:val="none"/>
        </w:rPr>
        <w:t>投标须知</w:t>
      </w:r>
      <w:bookmarkEnd w:id="0"/>
      <w:bookmarkEnd w:id="1"/>
    </w:p>
    <w:p>
      <w:pPr>
        <w:pStyle w:val="6"/>
        <w:ind w:left="0"/>
        <w:rPr>
          <w:color w:val="auto"/>
          <w:highlight w:val="none"/>
        </w:rPr>
      </w:pPr>
      <w:bookmarkStart w:id="2" w:name="_Toc30605"/>
      <w:bookmarkStart w:id="3" w:name="_Toc10333"/>
      <w:r>
        <w:rPr>
          <w:rFonts w:hint="eastAsia"/>
          <w:color w:val="auto"/>
          <w:highlight w:val="none"/>
        </w:rPr>
        <w:t>一、投标须知前附表</w:t>
      </w:r>
      <w:bookmarkEnd w:id="2"/>
      <w:bookmarkEnd w:id="3"/>
    </w:p>
    <w:p>
      <w:pPr>
        <w:pStyle w:val="7"/>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w:t>
      </w:r>
      <w:bookmarkStart w:id="4" w:name="OLE_LINK9"/>
      <w:bookmarkStart w:id="5" w:name="OLE_LINK12"/>
      <w:r>
        <w:rPr>
          <w:rFonts w:hint="eastAsia" w:ascii="宋体" w:hAnsi="宋体"/>
          <w:b/>
          <w:color w:val="auto"/>
          <w:sz w:val="24"/>
          <w:szCs w:val="24"/>
          <w:highlight w:val="none"/>
        </w:rPr>
        <w:t>GZZB2018-3</w:t>
      </w:r>
      <w:bookmarkEnd w:id="4"/>
      <w:r>
        <w:rPr>
          <w:rFonts w:hint="eastAsia" w:ascii="宋体" w:hAnsi="宋体"/>
          <w:b/>
          <w:color w:val="auto"/>
          <w:sz w:val="24"/>
          <w:szCs w:val="24"/>
          <w:highlight w:val="none"/>
        </w:rPr>
        <w:t>招标文件范本</w:t>
      </w:r>
      <w:bookmarkEnd w:id="5"/>
      <w:r>
        <w:rPr>
          <w:rFonts w:hint="eastAsia" w:ascii="宋体" w:hAnsi="宋体"/>
          <w:b/>
          <w:color w:val="auto"/>
          <w:sz w:val="24"/>
          <w:szCs w:val="24"/>
          <w:highlight w:val="none"/>
        </w:rPr>
        <w:t>，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8"/>
        <w:tblW w:w="9350" w:type="dxa"/>
        <w:tblInd w:w="1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2"/>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招标人（即发包人）：</w:t>
            </w:r>
            <w:r>
              <w:rPr>
                <w:rFonts w:hint="eastAsia" w:ascii="宋体" w:hAnsi="宋体"/>
                <w:color w:val="auto"/>
                <w:szCs w:val="21"/>
                <w:highlight w:val="none"/>
                <w:u w:val="single"/>
                <w:lang w:eastAsia="zh-CN"/>
              </w:rPr>
              <w:t>广东广建项目管理有限公司</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rPr>
                <w:rFonts w:ascii="宋体" w:hAnsi="宋体"/>
                <w:color w:val="auto"/>
                <w:szCs w:val="21"/>
                <w:highlight w:val="none"/>
              </w:rPr>
            </w:pPr>
            <w:r>
              <w:rPr>
                <w:rFonts w:hint="eastAsia" w:ascii="宋体" w:hAnsi="宋体"/>
                <w:color w:val="auto"/>
                <w:szCs w:val="21"/>
                <w:highlight w:val="none"/>
              </w:rPr>
              <w:t>招标代理：</w:t>
            </w:r>
            <w:r>
              <w:rPr>
                <w:rFonts w:hint="eastAsia" w:ascii="宋体" w:hAnsi="宋体"/>
                <w:color w:val="auto"/>
                <w:szCs w:val="21"/>
                <w:highlight w:val="none"/>
                <w:u w:val="single"/>
              </w:rPr>
              <w:t>广州市广州工程建设监理有限公司</w:t>
            </w:r>
            <w:r>
              <w:rPr>
                <w:rFonts w:ascii="宋体" w:hAnsi="宋体"/>
                <w:color w:val="auto"/>
                <w:szCs w:val="21"/>
                <w:highlight w:val="none"/>
                <w:u w:val="single"/>
              </w:rPr>
              <w:t xml:space="preserve">                                         </w:t>
            </w:r>
          </w:p>
          <w:p>
            <w:pPr>
              <w:rPr>
                <w:rFonts w:ascii="宋体" w:hAnsi="宋体"/>
                <w:color w:val="auto"/>
                <w:szCs w:val="21"/>
                <w:highlight w:val="none"/>
                <w:u w:val="single"/>
              </w:rPr>
            </w:pPr>
            <w:r>
              <w:rPr>
                <w:rFonts w:hint="eastAsia" w:ascii="宋体" w:hAnsi="宋体"/>
                <w:color w:val="auto"/>
                <w:szCs w:val="21"/>
                <w:highlight w:val="none"/>
              </w:rPr>
              <w:t>设计单位：</w:t>
            </w:r>
            <w:r>
              <w:rPr>
                <w:rFonts w:hint="eastAsia" w:ascii="宋体" w:hAnsi="宋体"/>
                <w:color w:val="auto"/>
                <w:szCs w:val="21"/>
                <w:highlight w:val="none"/>
                <w:u w:val="single"/>
              </w:rPr>
              <w:t>广州市城市规划勘测设计研究院</w:t>
            </w:r>
          </w:p>
          <w:p>
            <w:pPr>
              <w:rPr>
                <w:rFonts w:ascii="宋体" w:hAnsi="宋体"/>
                <w:color w:val="auto"/>
                <w:szCs w:val="21"/>
                <w:highlight w:val="none"/>
                <w:u w:val="single"/>
              </w:rPr>
            </w:pPr>
            <w:r>
              <w:rPr>
                <w:rFonts w:hint="eastAsia" w:ascii="宋体" w:hAnsi="宋体"/>
                <w:color w:val="auto"/>
                <w:szCs w:val="21"/>
                <w:highlight w:val="none"/>
              </w:rPr>
              <w:t>监理单位：</w:t>
            </w:r>
            <w:r>
              <w:rPr>
                <w:rFonts w:hint="eastAsia" w:ascii="宋体" w:hAnsi="宋体"/>
                <w:color w:val="auto"/>
                <w:szCs w:val="21"/>
                <w:highlight w:val="none"/>
                <w:lang w:val="en-US" w:eastAsia="zh-CN"/>
              </w:rPr>
              <w:t>/</w:t>
            </w:r>
            <w:r>
              <w:rPr>
                <w:rFonts w:ascii="宋体" w:hAnsi="宋体"/>
                <w:color w:val="auto"/>
                <w:szCs w:val="21"/>
                <w:highlight w:val="none"/>
                <w:u w:val="single"/>
              </w:rPr>
              <w:t xml:space="preserve">                                      </w:t>
            </w:r>
          </w:p>
          <w:p>
            <w:pPr>
              <w:rPr>
                <w:rFonts w:ascii="宋体" w:hAnsi="宋体"/>
                <w:color w:val="auto"/>
                <w:szCs w:val="21"/>
                <w:highlight w:val="none"/>
              </w:rPr>
            </w:pPr>
            <w:r>
              <w:rPr>
                <w:rFonts w:hint="eastAsia" w:ascii="宋体" w:hAnsi="宋体"/>
                <w:color w:val="auto"/>
                <w:szCs w:val="21"/>
                <w:highlight w:val="none"/>
              </w:rPr>
              <w:t>检测机构：</w:t>
            </w:r>
            <w:r>
              <w:rPr>
                <w:rFonts w:hint="eastAsia" w:ascii="宋体" w:hAnsi="宋体"/>
                <w:color w:val="auto"/>
                <w:szCs w:val="21"/>
                <w:highlight w:val="none"/>
                <w:lang w:val="en-US" w:eastAsia="zh-CN"/>
              </w:rPr>
              <w:t>/</w:t>
            </w:r>
            <w:r>
              <w:rPr>
                <w:rFonts w:hint="eastAsia" w:ascii="宋体" w:hAnsi="宋体"/>
                <w:color w:val="auto"/>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lang w:eastAsia="zh-CN"/>
              </w:rPr>
              <w:t>越秀区城市更新改造补短板项目（二期）——中心城区品质化提升项目（东山街老旧小区改造）施工总承包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lang w:eastAsia="zh-CN"/>
              </w:rPr>
              <w:t>广州市越秀区东山街道寺贝社区、达道北社区、达道南社区、幸福社区、明月社区、德安社区、乐景社区、五羊北社区、寺右一横路、寺右二横路及周边</w:t>
            </w:r>
            <w:r>
              <w:rPr>
                <w:rFonts w:ascii="宋体" w:hAnsi="宋体"/>
                <w:color w:val="auto"/>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pStyle w:val="7"/>
              <w:ind w:firstLine="0"/>
              <w:rPr>
                <w:color w:val="auto"/>
                <w:highlight w:val="none"/>
              </w:rPr>
            </w:pPr>
            <w:r>
              <w:rPr>
                <w:rFonts w:hint="eastAsia" w:ascii="宋体" w:hAnsi="宋体" w:eastAsia="宋体" w:cs="宋体"/>
                <w:bCs/>
                <w:color w:val="auto"/>
                <w:kern w:val="2"/>
                <w:sz w:val="21"/>
                <w:szCs w:val="21"/>
                <w:highlight w:val="none"/>
                <w:u w:val="single"/>
                <w:lang w:val="en-US" w:eastAsia="zh-CN"/>
              </w:rPr>
              <w:t>根据招标人提供的招标文件、工程量清单、施工图纸及现场实际情况，按招标人确认的施工图纸施工，本工程采用综合单价包干，工程量按实结算，措施项目费总价包干形式。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bCs/>
                <w:snapToGrid w:val="0"/>
                <w:color w:val="auto"/>
                <w:kern w:val="0"/>
                <w:szCs w:val="21"/>
                <w:highlight w:val="none"/>
                <w:u w:val="single"/>
              </w:rPr>
              <w:t>执行国家、省或行业现行的工程建设质量验收标准及规范，须达到合格验收质量等级标准。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pStyle w:val="16"/>
              <w:ind w:firstLine="0" w:firstLineChars="0"/>
              <w:rPr>
                <w:color w:val="auto"/>
                <w:szCs w:val="21"/>
                <w:highlight w:val="none"/>
              </w:rPr>
            </w:pPr>
            <w:r>
              <w:rPr>
                <w:rFonts w:hint="eastAsia"/>
                <w:color w:val="auto"/>
                <w:sz w:val="21"/>
                <w:szCs w:val="18"/>
                <w:highlight w:val="none"/>
              </w:rPr>
              <w:t>总工期：</w:t>
            </w:r>
            <w:r>
              <w:rPr>
                <w:rFonts w:hint="eastAsia"/>
                <w:color w:val="auto"/>
                <w:sz w:val="21"/>
                <w:szCs w:val="18"/>
                <w:highlight w:val="none"/>
                <w:u w:val="single"/>
                <w:lang w:val="en-US" w:eastAsia="zh-CN"/>
              </w:rPr>
              <w:t>16个月</w:t>
            </w:r>
            <w:r>
              <w:rPr>
                <w:rFonts w:hint="eastAsia"/>
                <w:color w:val="auto"/>
                <w:sz w:val="21"/>
                <w:szCs w:val="18"/>
                <w:highlight w:val="none"/>
              </w:rPr>
              <w:t>，</w:t>
            </w:r>
            <w:r>
              <w:rPr>
                <w:rFonts w:hint="eastAsia"/>
                <w:color w:val="auto"/>
                <w:sz w:val="21"/>
                <w:szCs w:val="21"/>
                <w:highlight w:val="none"/>
              </w:rPr>
              <w:t>具体开工时间以招标人通知为准。</w:t>
            </w:r>
            <w:r>
              <w:rPr>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lang w:val="en-US" w:eastAsia="zh-CN"/>
              </w:rPr>
              <w:t>区财政</w:t>
            </w:r>
            <w:r>
              <w:rPr>
                <w:rFonts w:hint="eastAsia" w:ascii="宋体" w:hAnsi="宋体"/>
                <w:color w:val="auto"/>
                <w:szCs w:val="21"/>
                <w:highlight w:val="none"/>
                <w:u w:val="single"/>
              </w:rPr>
              <w:t>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ascii="宋体" w:hAnsi="宋体"/>
                <w:color w:val="auto"/>
                <w:szCs w:val="21"/>
                <w:highlight w:val="none"/>
                <w:u w:val="single"/>
              </w:rPr>
              <w:t xml:space="preserve"> </w:t>
            </w:r>
            <w:r>
              <w:rPr>
                <w:rFonts w:hint="eastAsia" w:ascii="宋体" w:hAnsi="宋体"/>
                <w:color w:val="auto"/>
                <w:szCs w:val="21"/>
                <w:highlight w:val="none"/>
                <w:u w:val="single"/>
              </w:rPr>
              <w:t>90</w:t>
            </w:r>
            <w:r>
              <w:rPr>
                <w:rFonts w:ascii="宋体" w:hAnsi="宋体"/>
                <w:color w:val="auto"/>
                <w:szCs w:val="21"/>
                <w:highlight w:val="none"/>
                <w:u w:val="single"/>
              </w:rPr>
              <w:t xml:space="preserve"> </w:t>
            </w:r>
            <w:r>
              <w:rPr>
                <w:rFonts w:hint="eastAsia" w:ascii="宋体" w:hAnsi="宋体"/>
                <w:color w:val="auto"/>
                <w:szCs w:val="21"/>
                <w:highlight w:val="none"/>
              </w:rPr>
              <w:t>日历天。（从投标截止之日计起），如出现异议或投诉，则投标有效期自动延长至异议或投诉处理结束。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万元</w:t>
            </w:r>
            <w:r>
              <w:rPr>
                <w:rFonts w:hint="eastAsia" w:ascii="宋体" w:hAnsi="宋体"/>
                <w:color w:val="auto"/>
                <w:szCs w:val="21"/>
                <w:highlight w:val="none"/>
              </w:rPr>
              <w:t>人民币，缴纳时间在</w:t>
            </w:r>
            <w:r>
              <w:rPr>
                <w:rFonts w:hint="eastAsia" w:ascii="宋体" w:hAnsi="宋体"/>
                <w:color w:val="auto"/>
                <w:szCs w:val="21"/>
                <w:highlight w:val="none"/>
                <w:u w:val="single"/>
              </w:rPr>
              <w:t>本项目</w:t>
            </w:r>
            <w:r>
              <w:rPr>
                <w:rFonts w:hint="eastAsia" w:ascii="宋体" w:hAnsi="宋体"/>
                <w:color w:val="auto"/>
                <w:szCs w:val="21"/>
                <w:highlight w:val="none"/>
                <w:u w:val="single"/>
                <w:lang w:val="en-US" w:eastAsia="zh-CN"/>
              </w:rPr>
              <w:t>投标截止时间</w:t>
            </w:r>
            <w:r>
              <w:rPr>
                <w:rFonts w:hint="eastAsia" w:ascii="宋体" w:hAnsi="宋体"/>
                <w:color w:val="auto"/>
                <w:szCs w:val="21"/>
                <w:highlight w:val="none"/>
              </w:rPr>
              <w:t>之前。</w:t>
            </w:r>
          </w:p>
          <w:p>
            <w:pPr>
              <w:rPr>
                <w:rFonts w:ascii="宋体" w:hAnsi="宋体"/>
                <w:color w:val="auto"/>
                <w:szCs w:val="21"/>
                <w:highlight w:val="none"/>
              </w:rPr>
            </w:pPr>
            <w:r>
              <w:rPr>
                <w:rFonts w:hint="eastAsia" w:ascii="宋体" w:hAnsi="宋体"/>
                <w:color w:val="auto"/>
                <w:szCs w:val="21"/>
                <w:highlight w:val="none"/>
                <w:u w:val="single"/>
              </w:rPr>
              <w:t>注：投标保证金相关事宜详见招标文件投标须知</w:t>
            </w:r>
            <w:r>
              <w:rPr>
                <w:rFonts w:ascii="宋体" w:hAnsi="宋体"/>
                <w:color w:val="auto"/>
                <w:szCs w:val="21"/>
                <w:highlight w:val="none"/>
                <w:u w:val="single"/>
              </w:rPr>
              <w:t>16款。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2"/>
              <w:rPr>
                <w:rFonts w:ascii="宋体" w:hAnsi="宋体"/>
                <w:color w:val="auto"/>
                <w:szCs w:val="21"/>
                <w:highlight w:val="none"/>
              </w:rPr>
            </w:pPr>
            <w:r>
              <w:rPr>
                <w:rFonts w:hint="eastAsia" w:ascii="宋体" w:hAnsi="宋体"/>
                <w:color w:val="auto"/>
                <w:szCs w:val="21"/>
                <w:highlight w:val="none"/>
              </w:rPr>
              <w:t>招标人不集中组织，由投标人自行踏勘。</w:t>
            </w:r>
            <w:r>
              <w:rPr>
                <w:rFonts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rPr>
            </w:pPr>
            <w:r>
              <w:rPr>
                <w:rFonts w:hint="eastAsia" w:ascii="宋体" w:hAnsi="宋体" w:eastAsia="宋体" w:cs="宋体"/>
                <w:color w:val="auto"/>
                <w:szCs w:val="21"/>
              </w:rPr>
              <w:t>疑问提交时间：</w:t>
            </w:r>
            <w:r>
              <w:rPr>
                <w:rFonts w:hint="eastAsia" w:ascii="宋体" w:hAnsi="宋体" w:eastAsia="宋体" w:cs="宋体"/>
                <w:color w:val="auto"/>
                <w:szCs w:val="21"/>
                <w:u w:val="single"/>
                <w:lang w:val="en-US" w:eastAsia="zh-CN"/>
              </w:rPr>
              <w:t>2023</w:t>
            </w:r>
            <w:r>
              <w:rPr>
                <w:rFonts w:hint="eastAsia" w:ascii="宋体" w:hAnsi="宋体" w:eastAsia="宋体" w:cs="宋体"/>
                <w:color w:val="auto"/>
                <w:szCs w:val="21"/>
              </w:rPr>
              <w:t>年</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日</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时</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lang w:val="en-US" w:eastAsia="zh-CN"/>
              </w:rPr>
              <w:t>分</w:t>
            </w:r>
            <w:r>
              <w:rPr>
                <w:rFonts w:hint="eastAsia" w:ascii="宋体" w:hAnsi="宋体" w:eastAsia="宋体" w:cs="宋体"/>
                <w:color w:val="auto"/>
                <w:szCs w:val="21"/>
              </w:rPr>
              <w:t>前；</w:t>
            </w:r>
          </w:p>
          <w:p>
            <w:pPr>
              <w:rPr>
                <w:rFonts w:hint="eastAsia" w:ascii="宋体" w:hAnsi="宋体" w:eastAsia="宋体" w:cs="宋体"/>
                <w:color w:val="auto"/>
                <w:szCs w:val="21"/>
              </w:rPr>
            </w:pPr>
            <w:r>
              <w:rPr>
                <w:rFonts w:hint="eastAsia" w:ascii="宋体" w:hAnsi="宋体" w:eastAsia="宋体" w:cs="宋体"/>
                <w:color w:val="auto"/>
                <w:szCs w:val="21"/>
              </w:rPr>
              <w:t>形式：投标人的疑问通过</w:t>
            </w:r>
            <w:r>
              <w:rPr>
                <w:rFonts w:hint="eastAsia" w:ascii="宋体" w:hAnsi="宋体" w:eastAsia="宋体" w:cs="宋体"/>
                <w:color w:val="auto"/>
                <w:szCs w:val="21"/>
                <w:u w:val="single"/>
              </w:rPr>
              <w:t>广州公共资源交易中心</w:t>
            </w:r>
            <w:r>
              <w:rPr>
                <w:rFonts w:hint="eastAsia" w:ascii="宋体" w:hAnsi="宋体" w:eastAsia="宋体" w:cs="宋体"/>
                <w:color w:val="auto"/>
                <w:szCs w:val="21"/>
              </w:rPr>
              <w:t>交易平台提交。</w:t>
            </w:r>
          </w:p>
          <w:p>
            <w:pPr>
              <w:rPr>
                <w:rFonts w:hint="eastAsia" w:ascii="宋体" w:hAnsi="宋体" w:eastAsia="宋体" w:cs="宋体"/>
                <w:color w:val="auto"/>
                <w:szCs w:val="21"/>
                <w:u w:val="single"/>
              </w:rPr>
            </w:pPr>
            <w:r>
              <w:rPr>
                <w:rFonts w:hint="eastAsia" w:ascii="宋体" w:hAnsi="宋体" w:eastAsia="宋体" w:cs="宋体"/>
                <w:color w:val="auto"/>
                <w:szCs w:val="21"/>
              </w:rPr>
              <w:t>具体要求：按照交易平台关于全流程电子化项目的相关指南进行操作，详见：</w:t>
            </w:r>
            <w:r>
              <w:rPr>
                <w:rFonts w:hint="eastAsia" w:ascii="宋体" w:hAnsi="宋体" w:eastAsia="宋体" w:cs="宋体"/>
                <w:color w:val="auto"/>
                <w:szCs w:val="21"/>
                <w:u w:val="single"/>
              </w:rPr>
              <w:t>广州公共资源交易中心网站</w:t>
            </w:r>
            <w:r>
              <w:rPr>
                <w:rFonts w:hint="eastAsia" w:ascii="宋体" w:hAnsi="宋体" w:eastAsia="宋体" w:cs="宋体"/>
                <w:color w:val="auto"/>
                <w:szCs w:val="21"/>
              </w:rPr>
              <w:t>。</w:t>
            </w:r>
            <w:r>
              <w:rPr>
                <w:rFonts w:hint="eastAsia" w:ascii="宋体" w:hAnsi="宋体" w:eastAsia="宋体" w:cs="宋体"/>
                <w:color w:val="auto"/>
                <w:szCs w:val="21"/>
                <w:u w:val="single"/>
              </w:rPr>
              <w:t>提问一律不得署名。</w:t>
            </w:r>
          </w:p>
          <w:p>
            <w:pPr>
              <w:rPr>
                <w:rFonts w:ascii="宋体" w:hAnsi="宋体"/>
                <w:color w:val="auto"/>
                <w:szCs w:val="21"/>
                <w:highlight w:val="none"/>
              </w:rPr>
            </w:pPr>
            <w:r>
              <w:rPr>
                <w:rFonts w:hint="eastAsia" w:ascii="宋体" w:hAnsi="宋体" w:eastAsia="宋体" w:cs="宋体"/>
                <w:color w:val="auto"/>
                <w:szCs w:val="21"/>
                <w:highlight w:val="none"/>
                <w:u w:val="single"/>
              </w:rPr>
              <w:t>网上答疑的操作指南为：登陆广州公共资源交易中心网站-&gt;进入“我是投标人（供应商）”-&gt;“我的投标”-&gt;“招标答疑提问”查询项目并提问。</w:t>
            </w:r>
            <w:r>
              <w:rPr>
                <w:rFonts w:hint="eastAsia" w:ascii="宋体" w:hAnsi="宋体" w:eastAsia="宋体" w:cs="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color w:val="auto"/>
                <w:szCs w:val="21"/>
                <w:highlight w:val="none"/>
                <w:u w:val="single"/>
              </w:rPr>
              <w:t>20</w:t>
            </w:r>
            <w:r>
              <w:rPr>
                <w:rFonts w:hint="eastAsia" w:ascii="宋体" w:hAnsi="宋体"/>
                <w:color w:val="auto"/>
                <w:szCs w:val="21"/>
                <w:highlight w:val="none"/>
                <w:u w:val="single"/>
                <w:lang w:val="en-US" w:eastAsia="zh-CN"/>
              </w:rPr>
              <w:t>23</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rPr>
              <w:t>分（北京时间）。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（技术标和经济标同时开标）</w:t>
            </w:r>
          </w:p>
          <w:p>
            <w:pPr>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1、开标开始时间：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rPr>
              <w:t>分（与</w:t>
            </w:r>
            <w:r>
              <w:rPr>
                <w:rFonts w:ascii="宋体" w:hAnsi="宋体"/>
                <w:color w:val="auto"/>
                <w:szCs w:val="21"/>
                <w:highlight w:val="none"/>
              </w:rPr>
              <w:t>投标截止时间</w:t>
            </w:r>
            <w:r>
              <w:rPr>
                <w:rFonts w:hint="eastAsia" w:ascii="宋体" w:hAnsi="宋体"/>
                <w:color w:val="auto"/>
                <w:szCs w:val="21"/>
                <w:highlight w:val="none"/>
              </w:rPr>
              <w:t>为</w:t>
            </w:r>
            <w:r>
              <w:rPr>
                <w:rFonts w:ascii="宋体" w:hAnsi="宋体"/>
                <w:color w:val="auto"/>
                <w:szCs w:val="21"/>
                <w:highlight w:val="none"/>
              </w:rPr>
              <w:t>同一时间</w:t>
            </w:r>
            <w:r>
              <w:rPr>
                <w:rFonts w:hint="eastAsia" w:ascii="宋体" w:hAnsi="宋体"/>
                <w:color w:val="auto"/>
                <w:szCs w:val="21"/>
                <w:highlight w:val="none"/>
              </w:rPr>
              <w:t>），地点：</w:t>
            </w:r>
            <w:r>
              <w:rPr>
                <w:rFonts w:hint="eastAsia" w:ascii="宋体" w:hAnsi="宋体"/>
                <w:color w:val="auto"/>
                <w:szCs w:val="21"/>
                <w:highlight w:val="none"/>
                <w:u w:val="single"/>
              </w:rPr>
              <w:t>广州公共资源交易中心第</w:t>
            </w:r>
            <w:r>
              <w:rPr>
                <w:rFonts w:hint="eastAsia" w:ascii="宋体" w:hAnsi="宋体"/>
                <w:color w:val="auto"/>
                <w:highlight w:val="none"/>
                <w:u w:val="single"/>
              </w:rPr>
              <w:t xml:space="preserve">  开标室</w:t>
            </w: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投标人也可选择参加在线开标，具体按照交易平台相关指南进行操作。详见：广州公共资源交易中心网站。</w:t>
            </w:r>
          </w:p>
          <w:p>
            <w:pPr>
              <w:rPr>
                <w:rFonts w:ascii="宋体" w:hAnsi="宋体"/>
                <w:color w:val="auto"/>
                <w:szCs w:val="21"/>
                <w:highlight w:val="none"/>
              </w:rPr>
            </w:pPr>
            <w:r>
              <w:rPr>
                <w:rFonts w:hint="eastAsia" w:ascii="宋体" w:hAnsi="宋体"/>
                <w:color w:val="auto"/>
                <w:szCs w:val="21"/>
                <w:highlight w:val="none"/>
              </w:rPr>
              <w:t>注：投标文件解密问题。投标人只用执行一次解密，招标人执行解密次数根据招标文件开标次数确定。</w:t>
            </w:r>
          </w:p>
          <w:p>
            <w:pPr>
              <w:rPr>
                <w:rFonts w:ascii="宋体" w:hAnsi="宋体"/>
                <w:color w:val="auto"/>
                <w:highlight w:val="none"/>
              </w:rPr>
            </w:pPr>
            <w:r>
              <w:rPr>
                <w:rFonts w:hint="eastAsia" w:ascii="宋体" w:hAnsi="宋体"/>
                <w:color w:val="auto"/>
                <w:szCs w:val="21"/>
                <w:highlight w:val="none"/>
              </w:rPr>
              <w:t>2、递交投标文件备用光盘时间：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rPr>
              <w:t>分至</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rPr>
              <w:t>分；递交地点：</w:t>
            </w:r>
            <w:r>
              <w:rPr>
                <w:rFonts w:hint="eastAsia" w:ascii="宋体" w:hAnsi="宋体"/>
                <w:color w:val="auto"/>
                <w:szCs w:val="21"/>
                <w:highlight w:val="none"/>
                <w:u w:val="single"/>
              </w:rPr>
              <w:t>广州公共资源交易中心第</w:t>
            </w:r>
            <w:r>
              <w:rPr>
                <w:rFonts w:hint="eastAsia" w:ascii="宋体" w:hAnsi="宋体"/>
                <w:color w:val="auto"/>
                <w:highlight w:val="none"/>
                <w:u w:val="single"/>
              </w:rPr>
              <w:t xml:space="preserve">  开标室   </w:t>
            </w:r>
            <w:r>
              <w:rPr>
                <w:rFonts w:hint="eastAsia" w:ascii="宋体" w:hAnsi="宋体"/>
                <w:color w:val="auto"/>
                <w:highlight w:val="none"/>
              </w:rPr>
              <w:t>。</w:t>
            </w:r>
          </w:p>
          <w:p>
            <w:pPr>
              <w:rPr>
                <w:rFonts w:ascii="宋体" w:hAnsi="宋体"/>
                <w:color w:val="auto"/>
                <w:szCs w:val="21"/>
                <w:highlight w:val="none"/>
              </w:rPr>
            </w:pPr>
            <w:r>
              <w:rPr>
                <w:rFonts w:hint="eastAsia" w:ascii="宋体" w:hAnsi="宋体" w:cs="仿宋_GB2312"/>
                <w:color w:val="auto"/>
                <w:highlight w:val="none"/>
              </w:rPr>
              <w:t>上述时间及地点是否有改变，请密切留意</w:t>
            </w:r>
            <w:r>
              <w:rPr>
                <w:rFonts w:hint="eastAsia" w:ascii="宋体" w:hAnsi="宋体" w:cs="仿宋_GB2312"/>
                <w:color w:val="auto"/>
                <w:highlight w:val="none"/>
                <w:lang w:val="en-US" w:eastAsia="zh-CN"/>
              </w:rPr>
              <w:t>补充公告和</w:t>
            </w:r>
            <w:r>
              <w:rPr>
                <w:rFonts w:hint="eastAsia" w:ascii="宋体" w:hAnsi="宋体" w:cs="仿宋_GB2312"/>
                <w:color w:val="auto"/>
                <w:highlight w:val="none"/>
              </w:rPr>
              <w:t>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37"/>
              <w:ind w:firstLine="0"/>
              <w:rPr>
                <w:color w:val="auto"/>
                <w:highlight w:val="none"/>
              </w:rPr>
            </w:pPr>
            <w:r>
              <w:rPr>
                <w:rFonts w:hint="eastAsia" w:ascii="宋体" w:hAnsi="宋体"/>
                <w:color w:val="auto"/>
                <w:szCs w:val="21"/>
                <w:highlight w:val="none"/>
              </w:rPr>
              <w:t>方式一：选取方法</w:t>
            </w:r>
            <w:r>
              <w:rPr>
                <w:rFonts w:hint="eastAsia" w:ascii="宋体" w:hAnsi="宋体"/>
                <w:color w:val="auto"/>
                <w:szCs w:val="21"/>
                <w:highlight w:val="none"/>
                <w:u w:val="single"/>
              </w:rPr>
              <w:t xml:space="preserve"> </w:t>
            </w:r>
            <w:r>
              <w:rPr>
                <w:rFonts w:hint="eastAsia"/>
                <w:color w:val="auto"/>
                <w:highlight w:val="none"/>
                <w:u w:val="single"/>
              </w:rPr>
              <w:t>七</w:t>
            </w:r>
            <w:r>
              <w:rPr>
                <w:rFonts w:hint="eastAsia" w:ascii="宋体" w:hAnsi="宋体"/>
                <w:color w:val="auto"/>
                <w:szCs w:val="21"/>
                <w:highlight w:val="none"/>
                <w:u w:val="single"/>
              </w:rPr>
              <w:t xml:space="preserve"> </w:t>
            </w:r>
            <w:r>
              <w:rPr>
                <w:rFonts w:hint="eastAsia"/>
                <w:color w:val="auto"/>
                <w:highlight w:val="none"/>
              </w:rPr>
              <w:t>（适合综合评分法四，技术标与经济标同时开启）</w:t>
            </w:r>
          </w:p>
          <w:p>
            <w:pPr>
              <w:pStyle w:val="37"/>
              <w:ind w:firstLine="0"/>
              <w:rPr>
                <w:color w:val="auto"/>
                <w:highlight w:val="none"/>
              </w:rPr>
            </w:pPr>
            <w:r>
              <w:rPr>
                <w:rFonts w:hint="eastAsia" w:ascii="宋体" w:hAnsi="宋体"/>
                <w:color w:val="auto"/>
                <w:szCs w:val="21"/>
                <w:highlight w:val="none"/>
                <w:u w:val="single"/>
              </w:rPr>
              <w:t>投标人总得分（满分100）=</w:t>
            </w:r>
            <w:bookmarkStart w:id="6" w:name="OLE_LINK15"/>
            <w:r>
              <w:rPr>
                <w:rFonts w:hint="eastAsia" w:ascii="宋体" w:hAnsi="宋体"/>
                <w:color w:val="auto"/>
                <w:szCs w:val="21"/>
                <w:highlight w:val="none"/>
                <w:u w:val="single"/>
              </w:rPr>
              <w:t>技术得分</w:t>
            </w:r>
            <w:bookmarkEnd w:id="6"/>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20分</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＋经济得分</w:t>
            </w:r>
            <w:bookmarkStart w:id="7" w:name="OLE_LINK21"/>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100分</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w:t>
            </w:r>
            <w:bookmarkEnd w:id="7"/>
            <w:bookmarkStart w:id="8" w:name="OLE_LINK20"/>
            <w:r>
              <w:rPr>
                <w:rFonts w:hint="eastAsia" w:ascii="宋体" w:hAnsi="宋体"/>
                <w:color w:val="auto"/>
                <w:szCs w:val="21"/>
                <w:highlight w:val="none"/>
                <w:u w:val="single"/>
              </w:rPr>
              <w:t>经济得分权重（80%）</w:t>
            </w:r>
            <w:bookmarkEnd w:id="8"/>
            <w:r>
              <w:rPr>
                <w:rFonts w:hint="eastAsia" w:ascii="宋体" w:hAnsi="宋体"/>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rPr>
                <w:color w:val="auto"/>
                <w:highlight w:val="none"/>
              </w:rPr>
            </w:pPr>
            <w:r>
              <w:rPr>
                <w:color w:val="auto"/>
                <w:highlight w:val="none"/>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本项目最高投标限价为人民币</w:t>
            </w:r>
            <w:r>
              <w:rPr>
                <w:rFonts w:hint="eastAsia" w:ascii="宋体" w:hAnsi="宋体" w:cs="宋体"/>
                <w:color w:val="auto"/>
                <w:szCs w:val="21"/>
                <w:highlight w:val="none"/>
                <w:u w:val="single"/>
                <w:lang w:val="en-US" w:eastAsia="zh-CN"/>
              </w:rPr>
              <w:t>16379739.51</w:t>
            </w:r>
            <w:r>
              <w:rPr>
                <w:rFonts w:hint="eastAsia" w:ascii="宋体" w:hAnsi="宋体" w:cs="宋体"/>
                <w:color w:val="auto"/>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本项目绿色施工安全防护措施费为</w:t>
            </w:r>
            <w:r>
              <w:rPr>
                <w:rFonts w:hint="eastAsia" w:ascii="宋体" w:hAnsi="宋体"/>
                <w:color w:val="auto"/>
                <w:szCs w:val="21"/>
                <w:highlight w:val="none"/>
                <w:u w:val="single"/>
                <w:lang w:val="en-US" w:eastAsia="zh-CN"/>
              </w:rPr>
              <w:t>981718.55</w:t>
            </w:r>
            <w:r>
              <w:rPr>
                <w:rFonts w:hint="eastAsia" w:ascii="宋体" w:hAnsi="宋体"/>
                <w:color w:val="auto"/>
                <w:szCs w:val="21"/>
                <w:highlight w:val="none"/>
              </w:rPr>
              <w:t>元</w:t>
            </w:r>
            <w:r>
              <w:rPr>
                <w:rFonts w:hint="eastAsia" w:ascii="宋体" w:hAnsi="宋体" w:eastAsia="宋体" w:cs="宋体"/>
                <w:color w:val="auto"/>
                <w:szCs w:val="21"/>
                <w:highlight w:val="none"/>
              </w:rPr>
              <w:t>，暂列金额为</w:t>
            </w:r>
            <w:r>
              <w:rPr>
                <w:rFonts w:hint="eastAsia" w:ascii="宋体" w:hAnsi="宋体" w:eastAsia="宋体" w:cs="宋体"/>
                <w:color w:val="auto"/>
                <w:szCs w:val="21"/>
                <w:highlight w:val="none"/>
                <w:u w:val="single"/>
                <w:lang w:val="en-US" w:eastAsia="zh-CN"/>
              </w:rPr>
              <w:t>1219429.07</w:t>
            </w:r>
            <w:r>
              <w:rPr>
                <w:rFonts w:hint="eastAsia" w:ascii="宋体" w:hAnsi="宋体" w:eastAsia="宋体" w:cs="宋体"/>
                <w:color w:val="auto"/>
                <w:szCs w:val="21"/>
                <w:highlight w:val="none"/>
              </w:rPr>
              <w:t>元，暂估价为</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color w:val="auto"/>
                <w:szCs w:val="21"/>
                <w:highlight w:val="none"/>
              </w:rPr>
              <w:t>元。</w:t>
            </w:r>
            <w:r>
              <w:rPr>
                <w:rFonts w:hint="eastAsia" w:ascii="宋体" w:hAnsi="宋体"/>
                <w:color w:val="auto"/>
                <w:szCs w:val="21"/>
                <w:highlight w:val="none"/>
              </w:rPr>
              <w:t>。</w:t>
            </w:r>
          </w:p>
          <w:p>
            <w:pPr>
              <w:rPr>
                <w:rFonts w:ascii="宋体" w:hAnsi="宋体"/>
                <w:color w:val="auto"/>
                <w:szCs w:val="21"/>
                <w:highlight w:val="none"/>
              </w:rPr>
            </w:pPr>
            <w:r>
              <w:rPr>
                <w:rFonts w:hint="eastAsia" w:ascii="宋体" w:hAnsi="宋体"/>
                <w:color w:val="auto"/>
                <w:szCs w:val="21"/>
                <w:highlight w:val="none"/>
              </w:rPr>
              <w:t>（未按招标文件规定的金额填写的，由评标委员会按照招标文件规定的金额进行修正）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37"/>
              <w:ind w:firstLine="0"/>
              <w:rPr>
                <w:rFonts w:ascii="宋体" w:hAnsi="宋体"/>
                <w:color w:val="auto"/>
                <w:szCs w:val="21"/>
                <w:highlight w:val="none"/>
              </w:rPr>
            </w:pPr>
            <w:r>
              <w:rPr>
                <w:rFonts w:hint="eastAsia" w:ascii="宋体" w:hAnsi="宋体"/>
                <w:color w:val="auto"/>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工程成本警戒价为</w:t>
            </w:r>
            <w:r>
              <w:rPr>
                <w:rFonts w:hint="eastAsia" w:ascii="宋体" w:hAnsi="宋体"/>
                <w:color w:val="auto"/>
                <w:szCs w:val="21"/>
                <w:highlight w:val="none"/>
                <w:u w:val="single"/>
                <w:lang w:val="en-US" w:eastAsia="zh-CN"/>
              </w:rPr>
              <w:t>15396955.14</w:t>
            </w:r>
            <w:r>
              <w:rPr>
                <w:rFonts w:hint="eastAsia" w:ascii="宋体" w:hAnsi="宋体"/>
                <w:color w:val="auto"/>
                <w:szCs w:val="21"/>
                <w:highlight w:val="none"/>
              </w:rPr>
              <w:t>元（最高投标限价的</w:t>
            </w:r>
            <w:r>
              <w:rPr>
                <w:rFonts w:hint="eastAsia" w:ascii="宋体" w:hAnsi="宋体"/>
                <w:color w:val="auto"/>
                <w:szCs w:val="21"/>
                <w:highlight w:val="none"/>
                <w:lang w:val="en-US" w:eastAsia="zh-CN"/>
              </w:rPr>
              <w:t>94</w:t>
            </w:r>
            <w:r>
              <w:rPr>
                <w:rFonts w:hint="eastAsia"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ascii="宋体" w:hAnsi="宋体"/>
                <w:color w:val="auto"/>
                <w:szCs w:val="21"/>
                <w:highlight w:val="none"/>
                <w:u w:val="single"/>
              </w:rPr>
              <w:t xml:space="preserve"> </w:t>
            </w:r>
            <w:r>
              <w:rPr>
                <w:rFonts w:hint="eastAsia" w:ascii="宋体" w:hAnsi="宋体"/>
                <w:color w:val="auto"/>
                <w:szCs w:val="21"/>
                <w:highlight w:val="none"/>
                <w:u w:val="single"/>
              </w:rPr>
              <w:t>按合同条款相关约定调整。</w:t>
            </w:r>
            <w:r>
              <w:rPr>
                <w:rFonts w:ascii="宋体" w:hAnsi="宋体"/>
                <w:color w:val="auto"/>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■不允许；</w:t>
            </w:r>
          </w:p>
          <w:p>
            <w:pPr>
              <w:rPr>
                <w:rFonts w:ascii="宋体" w:hAnsi="宋体"/>
                <w:color w:val="auto"/>
                <w:kern w:val="0"/>
                <w:szCs w:val="21"/>
                <w:highlight w:val="none"/>
              </w:rPr>
            </w:pPr>
            <w:r>
              <w:rPr>
                <w:rFonts w:hint="eastAsia" w:ascii="宋体" w:hAnsi="宋体"/>
                <w:color w:val="auto"/>
                <w:kern w:val="0"/>
                <w:szCs w:val="21"/>
                <w:highlight w:val="none"/>
                <w:lang w:val="zh-CN"/>
              </w:rPr>
              <w:t>□允许：</w:t>
            </w:r>
          </w:p>
          <w:p>
            <w:pPr>
              <w:ind w:firstLine="840" w:firstLineChars="400"/>
              <w:rPr>
                <w:rFonts w:ascii="宋体" w:hAnsi="宋体"/>
                <w:color w:val="auto"/>
                <w:kern w:val="0"/>
                <w:szCs w:val="21"/>
                <w:highlight w:val="none"/>
                <w:lang w:val="zh-CN"/>
              </w:rPr>
            </w:pPr>
            <w:r>
              <w:rPr>
                <w:rFonts w:hint="eastAsia" w:ascii="宋体" w:hAnsi="宋体"/>
                <w:color w:val="auto"/>
                <w:kern w:val="0"/>
                <w:szCs w:val="21"/>
                <w:highlight w:val="none"/>
                <w:lang w:val="zh-CN"/>
              </w:rPr>
              <w:t>分包内容要求：</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分包金额要求：</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对分包人的资质要求：</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对分包人的其他要求：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color w:val="auto"/>
                <w:szCs w:val="21"/>
                <w:highlight w:val="none"/>
                <w:u w:val="single"/>
              </w:rPr>
              <w:t>广州公共资源交易中心网站</w:t>
            </w:r>
            <w:r>
              <w:rPr>
                <w:rFonts w:hint="eastAsia" w:ascii="宋体" w:hAnsi="宋体" w:cs="Courier New"/>
                <w:color w:val="auto"/>
                <w:szCs w:val="21"/>
                <w:highlight w:val="none"/>
              </w:rPr>
              <w:t xml:space="preserve">。  </w:t>
            </w:r>
          </w:p>
          <w:p>
            <w:pPr>
              <w:rPr>
                <w:rFonts w:ascii="宋体" w:hAnsi="宋体" w:cs="Courier New"/>
                <w:color w:val="auto"/>
                <w:szCs w:val="21"/>
                <w:highlight w:val="none"/>
              </w:rPr>
            </w:pPr>
            <w:r>
              <w:rPr>
                <w:rFonts w:hint="eastAsia" w:ascii="宋体" w:hAnsi="宋体" w:cs="Courier New"/>
                <w:color w:val="auto"/>
                <w:szCs w:val="21"/>
                <w:highlight w:val="none"/>
              </w:rPr>
              <w:t>2、提交投标文件</w:t>
            </w:r>
            <w:bookmarkStart w:id="9" w:name="OLE_LINK19"/>
            <w:r>
              <w:rPr>
                <w:rFonts w:hint="eastAsia" w:ascii="宋体" w:hAnsi="宋体" w:cs="Courier New"/>
                <w:color w:val="auto"/>
                <w:szCs w:val="21"/>
                <w:highlight w:val="none"/>
              </w:rPr>
              <w:t>光盘备用</w:t>
            </w:r>
            <w:bookmarkEnd w:id="9"/>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pPr>
              <w:rPr>
                <w:rFonts w:ascii="宋体" w:hAnsi="宋体" w:cs="Courier New"/>
                <w:color w:val="auto"/>
                <w:szCs w:val="21"/>
                <w:highlight w:val="none"/>
              </w:rPr>
            </w:pPr>
            <w:r>
              <w:rPr>
                <w:rFonts w:hint="eastAsia" w:ascii="宋体" w:hAnsi="宋体" w:cs="Courier New"/>
                <w:color w:val="auto"/>
                <w:szCs w:val="21"/>
                <w:highlight w:val="none"/>
              </w:rPr>
              <w:t>（1）</w:t>
            </w:r>
            <w:bookmarkStart w:id="10" w:name="OLE_LINK18"/>
            <w:r>
              <w:rPr>
                <w:rFonts w:hint="eastAsia" w:ascii="宋体" w:hAnsi="宋体" w:cs="Courier New"/>
                <w:color w:val="auto"/>
                <w:szCs w:val="21"/>
                <w:highlight w:val="none"/>
              </w:rPr>
              <w:t>投标文件解密失败的补救方案</w:t>
            </w:r>
            <w:bookmarkEnd w:id="10"/>
            <w:r>
              <w:rPr>
                <w:rFonts w:hint="eastAsia" w:ascii="宋体" w:hAnsi="宋体" w:cs="Courier New"/>
                <w:color w:val="auto"/>
                <w:szCs w:val="21"/>
                <w:highlight w:val="none"/>
              </w:rPr>
              <w:t>：</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bl>
    <w:p>
      <w:pPr>
        <w:spacing w:line="480" w:lineRule="auto"/>
        <w:jc w:val="center"/>
        <w:outlineLvl w:val="1"/>
        <w:rPr>
          <w:rFonts w:ascii="Arial" w:hAnsi="Arial"/>
          <w:b/>
          <w:color w:val="auto"/>
          <w:kern w:val="0"/>
          <w:sz w:val="24"/>
          <w:szCs w:val="24"/>
          <w:highlight w:val="none"/>
        </w:rPr>
      </w:pPr>
      <w:r>
        <w:rPr>
          <w:rFonts w:hint="eastAsia" w:ascii="Arial" w:hAnsi="Arial"/>
          <w:b/>
          <w:color w:val="auto"/>
          <w:kern w:val="0"/>
          <w:sz w:val="24"/>
          <w:szCs w:val="24"/>
          <w:highlight w:val="none"/>
        </w:rPr>
        <w:br w:type="page"/>
      </w:r>
      <w:bookmarkStart w:id="11" w:name="_Toc28952"/>
      <w:bookmarkStart w:id="12" w:name="_Toc32338"/>
      <w:r>
        <w:rPr>
          <w:rFonts w:hint="eastAsia" w:ascii="Arial" w:hAnsi="Arial"/>
          <w:b/>
          <w:color w:val="auto"/>
          <w:kern w:val="0"/>
          <w:sz w:val="24"/>
          <w:szCs w:val="24"/>
          <w:highlight w:val="none"/>
        </w:rPr>
        <w:t>二、投标须知修改表</w:t>
      </w:r>
      <w:bookmarkEnd w:id="11"/>
      <w:bookmarkEnd w:id="12"/>
    </w:p>
    <w:p>
      <w:pPr>
        <w:pStyle w:val="37"/>
        <w:spacing w:line="360" w:lineRule="auto"/>
        <w:rPr>
          <w:b/>
          <w:color w:val="auto"/>
          <w:szCs w:val="21"/>
          <w:highlight w:val="none"/>
        </w:rPr>
      </w:pPr>
      <w:r>
        <w:rPr>
          <w:rFonts w:hint="eastAsia"/>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480" w:lineRule="auto"/>
        <w:ind w:firstLine="472" w:firstLineChars="224"/>
        <w:rPr>
          <w:b/>
          <w:color w:val="auto"/>
          <w:szCs w:val="21"/>
          <w:highlight w:val="none"/>
        </w:rPr>
      </w:pPr>
      <w:r>
        <w:rPr>
          <w:rFonts w:hint="eastAsia"/>
          <w:b/>
          <w:color w:val="auto"/>
          <w:szCs w:val="21"/>
          <w:highlight w:val="none"/>
        </w:rPr>
        <w:t>条款号：8.1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bCs/>
          <w:color w:val="auto"/>
          <w:szCs w:val="21"/>
          <w:highlight w:val="none"/>
        </w:rPr>
        <w:t>投标人若对招标文件（包括招标图纸）中有疑问，可以书面形式通过        交易平台提交给招标人或招标代理人，提交形式见本须知前附表第16项。</w:t>
      </w:r>
    </w:p>
    <w:p>
      <w:pPr>
        <w:pBdr>
          <w:bottom w:val="single" w:color="auto" w:sz="6" w:space="1"/>
        </w:pBdr>
        <w:spacing w:line="360" w:lineRule="auto"/>
        <w:ind w:firstLine="527" w:firstLineChars="250"/>
        <w:rPr>
          <w:b w:val="0"/>
          <w:bCs/>
          <w:color w:val="auto"/>
          <w:szCs w:val="21"/>
          <w:highlight w:val="none"/>
        </w:rPr>
      </w:pPr>
      <w:r>
        <w:rPr>
          <w:rFonts w:hint="eastAsia"/>
          <w:b/>
          <w:color w:val="auto"/>
          <w:szCs w:val="21"/>
          <w:highlight w:val="none"/>
        </w:rPr>
        <w:t>现文：</w:t>
      </w:r>
      <w:r>
        <w:rPr>
          <w:rFonts w:hint="eastAsia"/>
          <w:bCs/>
          <w:color w:val="auto"/>
          <w:szCs w:val="21"/>
          <w:highlight w:val="none"/>
        </w:rPr>
        <w:t>项目答疑纪要采用网上答疑方式进行。投标人若对招标文件（包括招标图纸、清单、最高投标限价、合同条款）有疑问的，可在规定的时间内通过广州公共资源交易中心网站进入提问区域将问题提交给招标人或招标代理人，提交形式见本须知前附表第16项。</w:t>
      </w:r>
    </w:p>
    <w:p>
      <w:pPr>
        <w:spacing w:line="480" w:lineRule="auto"/>
        <w:ind w:firstLine="472" w:firstLineChars="224"/>
        <w:rPr>
          <w:b/>
          <w:color w:val="auto"/>
          <w:szCs w:val="21"/>
          <w:highlight w:val="none"/>
        </w:rPr>
      </w:pPr>
      <w:r>
        <w:rPr>
          <w:rFonts w:hint="eastAsia"/>
          <w:b/>
          <w:color w:val="auto"/>
          <w:szCs w:val="21"/>
          <w:highlight w:val="none"/>
        </w:rPr>
        <w:t>条款号：8.2</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bCs/>
          <w:color w:val="auto"/>
          <w:szCs w:val="21"/>
          <w:highlight w:val="none"/>
        </w:rPr>
        <w:t>招标答疑会会议纪要将在提交投标文件截止时间15日前在        交易平台 “项目答疑纪要”专区公开发布。答疑纪要一经在        交易平台发布，视作已发放给所有投标人。</w:t>
      </w:r>
    </w:p>
    <w:p>
      <w:pPr>
        <w:pBdr>
          <w:bottom w:val="single" w:color="auto" w:sz="6" w:space="1"/>
        </w:pBdr>
        <w:spacing w:line="360" w:lineRule="auto"/>
        <w:ind w:firstLine="527" w:firstLineChars="250"/>
        <w:rPr>
          <w:bCs/>
          <w:color w:val="auto"/>
          <w:szCs w:val="21"/>
          <w:highlight w:val="none"/>
        </w:rPr>
      </w:pPr>
      <w:r>
        <w:rPr>
          <w:rFonts w:hint="eastAsia"/>
          <w:b/>
          <w:color w:val="auto"/>
          <w:szCs w:val="21"/>
          <w:highlight w:val="none"/>
        </w:rPr>
        <w:t>现文：</w:t>
      </w:r>
      <w:r>
        <w:rPr>
          <w:rFonts w:hint="eastAsia"/>
          <w:bCs/>
          <w:color w:val="auto"/>
          <w:szCs w:val="21"/>
          <w:highlight w:val="none"/>
        </w:rPr>
        <w:t>招标答疑纪要将在提交投标文件截止时间</w:t>
      </w:r>
      <w:r>
        <w:rPr>
          <w:bCs/>
          <w:color w:val="auto"/>
          <w:szCs w:val="21"/>
          <w:highlight w:val="none"/>
        </w:rPr>
        <w:t>15</w:t>
      </w:r>
      <w:r>
        <w:rPr>
          <w:rFonts w:hint="eastAsia"/>
          <w:bCs/>
          <w:color w:val="auto"/>
          <w:szCs w:val="21"/>
          <w:highlight w:val="none"/>
        </w:rPr>
        <w:t>日前在广州公共资源交易中心交易平台</w:t>
      </w:r>
      <w:r>
        <w:rPr>
          <w:bCs/>
          <w:color w:val="auto"/>
          <w:szCs w:val="21"/>
          <w:highlight w:val="none"/>
        </w:rPr>
        <w:t xml:space="preserve"> </w:t>
      </w:r>
      <w:r>
        <w:rPr>
          <w:rFonts w:hint="eastAsia"/>
          <w:bCs/>
          <w:color w:val="auto"/>
          <w:szCs w:val="21"/>
          <w:highlight w:val="none"/>
        </w:rPr>
        <w:t>“项目答疑纪要”专区公开发布。答疑纪要一经在广州公共资源交易中心交易平台发布，视作已发放给所有投标人。</w:t>
      </w:r>
    </w:p>
    <w:p>
      <w:pPr>
        <w:spacing w:line="480" w:lineRule="auto"/>
        <w:ind w:firstLine="472" w:firstLineChars="224"/>
        <w:rPr>
          <w:b/>
          <w:color w:val="auto"/>
          <w:szCs w:val="21"/>
          <w:highlight w:val="none"/>
        </w:rPr>
      </w:pPr>
      <w:r>
        <w:rPr>
          <w:rFonts w:hint="eastAsia"/>
          <w:b/>
          <w:color w:val="auto"/>
          <w:szCs w:val="21"/>
          <w:highlight w:val="none"/>
        </w:rPr>
        <w:t>条款号：</w:t>
      </w:r>
      <w:r>
        <w:rPr>
          <w:b/>
          <w:color w:val="auto"/>
          <w:szCs w:val="21"/>
          <w:highlight w:val="none"/>
        </w:rPr>
        <w:t>8</w:t>
      </w:r>
      <w:r>
        <w:rPr>
          <w:rFonts w:hint="eastAsia"/>
          <w:b/>
          <w:color w:val="auto"/>
          <w:szCs w:val="21"/>
          <w:highlight w:val="none"/>
        </w:rPr>
        <w:t>.</w:t>
      </w:r>
      <w:r>
        <w:rPr>
          <w:b/>
          <w:color w:val="auto"/>
          <w:szCs w:val="21"/>
          <w:highlight w:val="none"/>
        </w:rPr>
        <w:t xml:space="preserve">3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bCs/>
          <w:color w:val="auto"/>
          <w:szCs w:val="21"/>
          <w:highlight w:val="none"/>
        </w:rPr>
        <w:t>答疑会会议纪要为招标文件的一部分。</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bCs/>
          <w:color w:val="auto"/>
          <w:szCs w:val="21"/>
          <w:highlight w:val="none"/>
        </w:rPr>
        <w:t>招标答疑纪要为招标文件的一部分</w:t>
      </w:r>
      <w:r>
        <w:rPr>
          <w:rFonts w:hint="eastAsia" w:ascii="宋体"/>
          <w:color w:val="auto"/>
          <w:szCs w:val="20"/>
          <w:highlight w:val="none"/>
        </w:rPr>
        <w:t>。</w:t>
      </w:r>
    </w:p>
    <w:p>
      <w:pPr>
        <w:spacing w:line="480" w:lineRule="auto"/>
        <w:ind w:firstLine="472" w:firstLineChars="224"/>
        <w:rPr>
          <w:b/>
          <w:color w:val="auto"/>
          <w:szCs w:val="21"/>
          <w:highlight w:val="none"/>
        </w:rPr>
      </w:pPr>
      <w:r>
        <w:rPr>
          <w:rFonts w:hint="eastAsia"/>
          <w:b/>
          <w:color w:val="auto"/>
          <w:szCs w:val="21"/>
          <w:highlight w:val="none"/>
        </w:rPr>
        <w:t>条款号：</w:t>
      </w:r>
      <w:r>
        <w:rPr>
          <w:b/>
          <w:color w:val="auto"/>
          <w:szCs w:val="21"/>
          <w:highlight w:val="none"/>
        </w:rPr>
        <w:t>8</w:t>
      </w:r>
      <w:r>
        <w:rPr>
          <w:rFonts w:hint="eastAsia"/>
          <w:b/>
          <w:color w:val="auto"/>
          <w:szCs w:val="21"/>
          <w:highlight w:val="none"/>
        </w:rPr>
        <w:t>.</w:t>
      </w:r>
      <w:r>
        <w:rPr>
          <w:b/>
          <w:color w:val="auto"/>
          <w:szCs w:val="21"/>
          <w:highlight w:val="none"/>
        </w:rPr>
        <w:t xml:space="preserve">4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bCs/>
          <w:color w:val="auto"/>
          <w:szCs w:val="21"/>
          <w:highlight w:val="none"/>
        </w:rPr>
        <w:t>若招标答疑会会议纪要与招标文件有矛盾，以答疑会议纪要最后发出的书面形式的文件为准。</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color w:val="auto"/>
          <w:highlight w:val="none"/>
        </w:rPr>
        <w:t>若招标答疑纪要与招标文件有矛盾，以广州公共资源交易中心交易平台最后发布的答疑纪要为准</w:t>
      </w:r>
      <w:r>
        <w:rPr>
          <w:rFonts w:hint="eastAsia" w:ascii="宋体"/>
          <w:color w:val="auto"/>
          <w:szCs w:val="20"/>
          <w:highlight w:val="none"/>
        </w:rPr>
        <w:t>。</w:t>
      </w:r>
    </w:p>
    <w:p>
      <w:pPr>
        <w:spacing w:line="480" w:lineRule="auto"/>
        <w:ind w:firstLine="472" w:firstLineChars="224"/>
        <w:rPr>
          <w:b/>
          <w:color w:val="auto"/>
          <w:szCs w:val="21"/>
          <w:highlight w:val="none"/>
        </w:rPr>
      </w:pPr>
      <w:r>
        <w:rPr>
          <w:rFonts w:hint="eastAsia"/>
          <w:b/>
          <w:color w:val="auto"/>
          <w:szCs w:val="21"/>
          <w:highlight w:val="none"/>
        </w:rPr>
        <w:t>条款号：9.2</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bCs/>
          <w:color w:val="auto"/>
          <w:szCs w:val="21"/>
          <w:highlight w:val="none"/>
        </w:rPr>
        <w:t>招标文件的澄清或修改将在        交易平台“项目答疑纪要”专区公开发布。答疑纪要一经在        交易平台发布，视作已发放给所有投标人，以        交易平台上网发布时间作为送达时间。</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color w:val="auto"/>
          <w:szCs w:val="20"/>
          <w:highlight w:val="none"/>
        </w:rPr>
        <w:t>招标文件的澄清或修改将在</w:t>
      </w:r>
      <w:r>
        <w:rPr>
          <w:rFonts w:hint="eastAsia"/>
          <w:color w:val="auto"/>
          <w:szCs w:val="21"/>
          <w:highlight w:val="none"/>
          <w:u w:val="single"/>
        </w:rPr>
        <w:t>广州公共资源交易中心</w:t>
      </w:r>
      <w:r>
        <w:rPr>
          <w:rFonts w:hint="eastAsia" w:ascii="宋体" w:hAnsi="宋体"/>
          <w:color w:val="auto"/>
          <w:szCs w:val="21"/>
          <w:highlight w:val="none"/>
        </w:rPr>
        <w:t>交易平台</w:t>
      </w:r>
      <w:r>
        <w:rPr>
          <w:rFonts w:hint="eastAsia" w:ascii="宋体"/>
          <w:color w:val="auto"/>
          <w:szCs w:val="20"/>
          <w:highlight w:val="none"/>
        </w:rPr>
        <w:t>“项目答疑纪要”专区公开发布。答疑纪要一经在</w:t>
      </w:r>
      <w:r>
        <w:rPr>
          <w:rFonts w:hint="eastAsia"/>
          <w:color w:val="auto"/>
          <w:szCs w:val="21"/>
          <w:highlight w:val="none"/>
          <w:u w:val="single"/>
        </w:rPr>
        <w:t>广州公共资源交易中心</w:t>
      </w:r>
      <w:r>
        <w:rPr>
          <w:rFonts w:hint="eastAsia" w:ascii="宋体" w:hAnsi="宋体"/>
          <w:color w:val="auto"/>
          <w:szCs w:val="21"/>
          <w:highlight w:val="none"/>
        </w:rPr>
        <w:t>交易平台</w:t>
      </w:r>
      <w:r>
        <w:rPr>
          <w:rFonts w:hint="eastAsia" w:ascii="宋体"/>
          <w:color w:val="auto"/>
          <w:szCs w:val="20"/>
          <w:highlight w:val="none"/>
        </w:rPr>
        <w:t>发布，视作已发放给所有投标人，以</w:t>
      </w:r>
      <w:r>
        <w:rPr>
          <w:rFonts w:hint="eastAsia"/>
          <w:color w:val="auto"/>
          <w:szCs w:val="21"/>
          <w:highlight w:val="none"/>
          <w:u w:val="single"/>
        </w:rPr>
        <w:t>广州公共资源交易中心</w:t>
      </w:r>
      <w:r>
        <w:rPr>
          <w:rFonts w:hint="eastAsia" w:ascii="宋体" w:hAnsi="宋体"/>
          <w:color w:val="auto"/>
          <w:szCs w:val="21"/>
          <w:highlight w:val="none"/>
        </w:rPr>
        <w:t>交易平台</w:t>
      </w:r>
      <w:r>
        <w:rPr>
          <w:rFonts w:hint="eastAsia" w:ascii="宋体"/>
          <w:color w:val="auto"/>
          <w:szCs w:val="20"/>
          <w:highlight w:val="none"/>
        </w:rPr>
        <w:t>上网发布时间作为送达时间。</w:t>
      </w:r>
    </w:p>
    <w:p>
      <w:pPr>
        <w:spacing w:line="480" w:lineRule="auto"/>
        <w:ind w:firstLine="472" w:firstLineChars="224"/>
        <w:rPr>
          <w:b/>
          <w:color w:val="auto"/>
          <w:szCs w:val="21"/>
          <w:highlight w:val="none"/>
        </w:rPr>
      </w:pPr>
      <w:r>
        <w:rPr>
          <w:rFonts w:hint="eastAsia"/>
          <w:b/>
          <w:color w:val="auto"/>
          <w:szCs w:val="21"/>
          <w:highlight w:val="none"/>
        </w:rPr>
        <w:t>条款号：9.4</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olor w:val="auto"/>
          <w:szCs w:val="20"/>
          <w:highlight w:val="none"/>
        </w:rPr>
        <w:t>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现文：</w:t>
      </w:r>
      <w:r>
        <w:rPr>
          <w:color w:val="auto"/>
          <w:highlight w:val="none"/>
        </w:rPr>
        <w:t>招标文件的澄清或修改在广州公共资源交易中心交易平台“建设工程→项目查询（日程安排、答疑纪要）”专区公开发布。当招标文件的澄清、修改、补充等在同一内容的表述不一致时，以最后发出的文件为准</w:t>
      </w:r>
      <w:r>
        <w:rPr>
          <w:rFonts w:hint="eastAsia" w:ascii="宋体" w:hAnsi="宋体"/>
          <w:color w:val="auto"/>
          <w:szCs w:val="20"/>
          <w:highlight w:val="none"/>
        </w:rPr>
        <w:t>。</w:t>
      </w:r>
    </w:p>
    <w:p>
      <w:pPr>
        <w:spacing w:line="480" w:lineRule="auto"/>
        <w:ind w:firstLine="472" w:firstLineChars="224"/>
        <w:rPr>
          <w:b/>
          <w:color w:val="auto"/>
          <w:szCs w:val="21"/>
          <w:highlight w:val="none"/>
        </w:rPr>
      </w:pPr>
      <w:r>
        <w:rPr>
          <w:rFonts w:hint="eastAsia"/>
          <w:b/>
          <w:color w:val="auto"/>
          <w:szCs w:val="21"/>
          <w:highlight w:val="none"/>
        </w:rPr>
        <w:t>条款号：11.2</w:t>
      </w:r>
      <w:r>
        <w:rPr>
          <w:b/>
          <w:color w:val="auto"/>
          <w:szCs w:val="21"/>
          <w:highlight w:val="none"/>
        </w:rPr>
        <w:t xml:space="preserve">             </w:t>
      </w:r>
      <w:r>
        <w:rPr>
          <w:rFonts w:hint="eastAsia"/>
          <w:b/>
          <w:color w:val="auto"/>
          <w:szCs w:val="21"/>
          <w:highlight w:val="none"/>
        </w:rPr>
        <w:t>修改类型：修改</w:t>
      </w:r>
    </w:p>
    <w:p>
      <w:pPr>
        <w:spacing w:line="360" w:lineRule="auto"/>
        <w:ind w:firstLine="472" w:firstLineChars="224"/>
        <w:rPr>
          <w:bCs/>
          <w:color w:val="auto"/>
          <w:szCs w:val="21"/>
          <w:highlight w:val="none"/>
        </w:rPr>
      </w:pPr>
      <w:r>
        <w:rPr>
          <w:rFonts w:hint="eastAsia"/>
          <w:b/>
          <w:color w:val="auto"/>
          <w:szCs w:val="21"/>
          <w:highlight w:val="none"/>
        </w:rPr>
        <w:t>原文：</w:t>
      </w:r>
      <w:r>
        <w:rPr>
          <w:rFonts w:hint="eastAsia"/>
          <w:bCs/>
          <w:color w:val="auto"/>
          <w:szCs w:val="21"/>
          <w:highlight w:val="none"/>
        </w:rPr>
        <w:t>投标文件技术标部分主要包括下列内容:</w:t>
      </w:r>
    </w:p>
    <w:p>
      <w:pPr>
        <w:spacing w:line="360" w:lineRule="auto"/>
        <w:ind w:firstLine="470" w:firstLineChars="224"/>
        <w:rPr>
          <w:bCs/>
          <w:color w:val="auto"/>
          <w:szCs w:val="21"/>
          <w:highlight w:val="none"/>
        </w:rPr>
      </w:pPr>
      <w:r>
        <w:rPr>
          <w:rFonts w:hint="eastAsia"/>
          <w:bCs/>
          <w:color w:val="auto"/>
          <w:szCs w:val="21"/>
          <w:highlight w:val="none"/>
        </w:rPr>
        <w:t>11.2.1 技术投标文件(按招标文件的要求填写)；</w:t>
      </w:r>
    </w:p>
    <w:p>
      <w:pPr>
        <w:spacing w:line="360" w:lineRule="auto"/>
        <w:ind w:firstLine="470" w:firstLineChars="224"/>
        <w:rPr>
          <w:bCs/>
          <w:color w:val="auto"/>
          <w:szCs w:val="21"/>
          <w:highlight w:val="none"/>
        </w:rPr>
      </w:pPr>
      <w:r>
        <w:rPr>
          <w:rFonts w:hint="eastAsia"/>
          <w:bCs/>
          <w:color w:val="auto"/>
          <w:szCs w:val="21"/>
          <w:highlight w:val="none"/>
        </w:rPr>
        <w:t>11.2.2 资格审查文件：</w:t>
      </w:r>
    </w:p>
    <w:p>
      <w:pPr>
        <w:spacing w:line="360" w:lineRule="auto"/>
        <w:ind w:firstLine="470" w:firstLineChars="224"/>
        <w:rPr>
          <w:bCs/>
          <w:color w:val="auto"/>
          <w:szCs w:val="21"/>
          <w:highlight w:val="none"/>
        </w:rPr>
      </w:pPr>
      <w:r>
        <w:rPr>
          <w:rFonts w:hint="eastAsia"/>
          <w:bCs/>
          <w:color w:val="auto"/>
          <w:szCs w:val="21"/>
          <w:highlight w:val="none"/>
        </w:rPr>
        <w:t xml:space="preserve">（1）投标人声明； </w:t>
      </w:r>
    </w:p>
    <w:p>
      <w:pPr>
        <w:spacing w:line="360" w:lineRule="auto"/>
        <w:ind w:firstLine="470" w:firstLineChars="224"/>
        <w:rPr>
          <w:bCs/>
          <w:color w:val="auto"/>
          <w:szCs w:val="21"/>
          <w:highlight w:val="none"/>
        </w:rPr>
      </w:pPr>
      <w:r>
        <w:rPr>
          <w:rFonts w:hint="eastAsia"/>
          <w:bCs/>
          <w:color w:val="auto"/>
          <w:szCs w:val="21"/>
          <w:highlight w:val="none"/>
        </w:rPr>
        <w:t>（2）法定代表人证明书、法定代表人签字或盖章的本投标文件授权委托证明书；</w:t>
      </w:r>
    </w:p>
    <w:p>
      <w:pPr>
        <w:spacing w:line="360" w:lineRule="auto"/>
        <w:ind w:firstLine="470" w:firstLineChars="224"/>
        <w:rPr>
          <w:bCs/>
          <w:color w:val="auto"/>
          <w:szCs w:val="21"/>
          <w:highlight w:val="none"/>
        </w:rPr>
      </w:pPr>
      <w:r>
        <w:rPr>
          <w:rFonts w:hint="eastAsia"/>
          <w:bCs/>
          <w:color w:val="auto"/>
          <w:szCs w:val="21"/>
          <w:highlight w:val="none"/>
        </w:rPr>
        <w:t>（3）企业营业执照（取自库内上传件）；</w:t>
      </w:r>
    </w:p>
    <w:p>
      <w:pPr>
        <w:spacing w:line="360" w:lineRule="auto"/>
        <w:ind w:firstLine="470" w:firstLineChars="224"/>
        <w:rPr>
          <w:bCs/>
          <w:color w:val="auto"/>
          <w:szCs w:val="21"/>
          <w:highlight w:val="none"/>
        </w:rPr>
      </w:pPr>
      <w:r>
        <w:rPr>
          <w:rFonts w:hint="eastAsia"/>
          <w:bCs/>
          <w:color w:val="auto"/>
          <w:szCs w:val="21"/>
          <w:highlight w:val="none"/>
        </w:rPr>
        <w:t>（4）企业资质证书（取自库内上传件）；</w:t>
      </w:r>
    </w:p>
    <w:p>
      <w:pPr>
        <w:spacing w:line="360" w:lineRule="auto"/>
        <w:ind w:firstLine="470" w:firstLineChars="224"/>
        <w:rPr>
          <w:bCs/>
          <w:color w:val="auto"/>
          <w:szCs w:val="21"/>
          <w:highlight w:val="none"/>
        </w:rPr>
      </w:pPr>
      <w:r>
        <w:rPr>
          <w:rFonts w:hint="eastAsia"/>
          <w:bCs/>
          <w:color w:val="auto"/>
          <w:szCs w:val="21"/>
          <w:highlight w:val="none"/>
        </w:rPr>
        <w:t>（5）建筑施工企业安全生产许可证（取自库内上传件）；</w:t>
      </w:r>
    </w:p>
    <w:p>
      <w:pPr>
        <w:spacing w:line="360" w:lineRule="auto"/>
        <w:ind w:firstLine="470" w:firstLineChars="224"/>
        <w:rPr>
          <w:bCs/>
          <w:color w:val="auto"/>
          <w:szCs w:val="21"/>
          <w:highlight w:val="none"/>
        </w:rPr>
      </w:pPr>
      <w:r>
        <w:rPr>
          <w:rFonts w:hint="eastAsia"/>
          <w:bCs/>
          <w:color w:val="auto"/>
          <w:szCs w:val="21"/>
          <w:highlight w:val="none"/>
        </w:rPr>
        <w:t>（6）项目负责人（按网上投标登记时选择拟投标的项目负责人）</w:t>
      </w:r>
    </w:p>
    <w:p>
      <w:pPr>
        <w:spacing w:line="360" w:lineRule="auto"/>
        <w:ind w:firstLine="470" w:firstLineChars="224"/>
        <w:rPr>
          <w:bCs/>
          <w:color w:val="auto"/>
          <w:szCs w:val="21"/>
          <w:highlight w:val="none"/>
        </w:rPr>
      </w:pPr>
      <w:r>
        <w:rPr>
          <w:rFonts w:hint="eastAsia"/>
          <w:bCs/>
          <w:color w:val="auto"/>
          <w:szCs w:val="21"/>
          <w:highlight w:val="none"/>
        </w:rPr>
        <w:t>（7）专职安全员（按网上投标登记时选择拟投标的专职安全员）</w:t>
      </w:r>
    </w:p>
    <w:p>
      <w:pPr>
        <w:spacing w:line="360" w:lineRule="auto"/>
        <w:ind w:firstLine="470" w:firstLineChars="224"/>
        <w:rPr>
          <w:bCs/>
          <w:color w:val="auto"/>
          <w:szCs w:val="21"/>
          <w:highlight w:val="none"/>
        </w:rPr>
      </w:pPr>
      <w:r>
        <w:rPr>
          <w:rFonts w:hint="eastAsia"/>
          <w:bCs/>
          <w:color w:val="auto"/>
          <w:szCs w:val="21"/>
          <w:highlight w:val="none"/>
        </w:rPr>
        <w:t>（8）拟委托技术负责人的相关证书、资料（具体要求由招标人明确）</w:t>
      </w:r>
    </w:p>
    <w:p>
      <w:pPr>
        <w:spacing w:line="360" w:lineRule="auto"/>
        <w:ind w:firstLine="470" w:firstLineChars="224"/>
        <w:rPr>
          <w:bCs/>
          <w:color w:val="auto"/>
          <w:szCs w:val="21"/>
          <w:highlight w:val="none"/>
        </w:rPr>
      </w:pPr>
      <w:r>
        <w:rPr>
          <w:rFonts w:hint="eastAsia"/>
          <w:bCs/>
          <w:color w:val="auto"/>
          <w:szCs w:val="21"/>
          <w:highlight w:val="none"/>
        </w:rPr>
        <w:t xml:space="preserve">（9）拟委派项目负责人的建造师注册证书（取自平台内上传件）； </w:t>
      </w:r>
    </w:p>
    <w:p>
      <w:pPr>
        <w:spacing w:line="360" w:lineRule="auto"/>
        <w:ind w:firstLine="470" w:firstLineChars="224"/>
        <w:rPr>
          <w:bCs/>
          <w:color w:val="auto"/>
          <w:szCs w:val="21"/>
          <w:highlight w:val="none"/>
        </w:rPr>
      </w:pPr>
      <w:r>
        <w:rPr>
          <w:rFonts w:hint="eastAsia"/>
          <w:bCs/>
          <w:color w:val="auto"/>
          <w:szCs w:val="21"/>
          <w:highlight w:val="none"/>
        </w:rPr>
        <w:t>（10）项目负责人安全生产考核合格证明或在有效期内的安全考核合格证书（B类）或建筑施工企业项目负责人安全生产考核合格证书（取自平台内上传件）；</w:t>
      </w:r>
    </w:p>
    <w:p>
      <w:pPr>
        <w:spacing w:line="360" w:lineRule="auto"/>
        <w:ind w:firstLine="470" w:firstLineChars="224"/>
        <w:rPr>
          <w:bCs/>
          <w:color w:val="auto"/>
          <w:szCs w:val="21"/>
          <w:highlight w:val="none"/>
        </w:rPr>
      </w:pPr>
      <w:r>
        <w:rPr>
          <w:rFonts w:hint="eastAsia"/>
          <w:bCs/>
          <w:color w:val="auto"/>
          <w:szCs w:val="21"/>
          <w:highlight w:val="none"/>
        </w:rPr>
        <w:t>（11）专职安全员须具有在有效期内的安全考核合格证书（C类）（取自库内上传件），或提供广东省建筑施工企业管理人员安全生产考核信息系统安全生产管理人员证书信息的网页截图；</w:t>
      </w:r>
    </w:p>
    <w:p>
      <w:pPr>
        <w:spacing w:line="360" w:lineRule="auto"/>
        <w:ind w:firstLine="470" w:firstLineChars="224"/>
        <w:rPr>
          <w:bCs/>
          <w:color w:val="auto"/>
          <w:szCs w:val="21"/>
          <w:highlight w:val="none"/>
        </w:rPr>
      </w:pPr>
      <w:r>
        <w:rPr>
          <w:rFonts w:hint="eastAsia"/>
          <w:bCs/>
          <w:color w:val="auto"/>
          <w:szCs w:val="21"/>
          <w:highlight w:val="none"/>
        </w:rPr>
        <w:t>（12）用于资格审查的业绩（设置业绩要求时选择此项，投标人须提供类似工程业绩的项目名称及项目编号，具体格式由招标人自定）；</w:t>
      </w:r>
    </w:p>
    <w:p>
      <w:pPr>
        <w:spacing w:line="360" w:lineRule="auto"/>
        <w:ind w:firstLine="470" w:firstLineChars="224"/>
        <w:rPr>
          <w:bCs/>
          <w:color w:val="auto"/>
          <w:szCs w:val="21"/>
          <w:highlight w:val="none"/>
        </w:rPr>
      </w:pPr>
      <w:r>
        <w:rPr>
          <w:rFonts w:hint="eastAsia"/>
          <w:bCs/>
          <w:color w:val="auto"/>
          <w:szCs w:val="21"/>
          <w:highlight w:val="none"/>
        </w:rPr>
        <w:t>（13）资格审查前，投标人须在广州市住房和城乡建设局建立企业诚信档案，拟担任本工程项目负责人须是本企业诚信档案中的在册人员。</w:t>
      </w:r>
    </w:p>
    <w:p>
      <w:pPr>
        <w:spacing w:line="360" w:lineRule="auto"/>
        <w:ind w:firstLine="470" w:firstLineChars="224"/>
        <w:rPr>
          <w:bCs/>
          <w:color w:val="auto"/>
          <w:szCs w:val="21"/>
          <w:highlight w:val="none"/>
        </w:rPr>
      </w:pPr>
      <w:r>
        <w:rPr>
          <w:rFonts w:hint="eastAsia"/>
          <w:bCs/>
          <w:color w:val="auto"/>
          <w:szCs w:val="21"/>
          <w:highlight w:val="none"/>
        </w:rPr>
        <w:t xml:space="preserve">（14）列明主办单位的联合体工作协议（采用联合体投标时需递交，投标人拟任本工程项目负责人应为联合体主办方诚信档案中的在册人员，联合体工作协议应明确约定各方拟承担的工作和责任）； </w:t>
      </w:r>
    </w:p>
    <w:p>
      <w:pPr>
        <w:spacing w:line="360" w:lineRule="auto"/>
        <w:ind w:firstLine="470" w:firstLineChars="224"/>
        <w:rPr>
          <w:bCs/>
          <w:color w:val="auto"/>
          <w:szCs w:val="21"/>
          <w:highlight w:val="none"/>
        </w:rPr>
      </w:pPr>
      <w:r>
        <w:rPr>
          <w:rFonts w:hint="eastAsia"/>
          <w:bCs/>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70" w:firstLineChars="224"/>
        <w:rPr>
          <w:bCs/>
          <w:color w:val="auto"/>
          <w:szCs w:val="21"/>
          <w:highlight w:val="none"/>
        </w:rPr>
      </w:pPr>
      <w:r>
        <w:rPr>
          <w:rFonts w:hint="eastAsia"/>
          <w:bCs/>
          <w:color w:val="auto"/>
          <w:szCs w:val="21"/>
          <w:highlight w:val="none"/>
        </w:rPr>
        <w:t>11.2.3项目管理机构配备。</w:t>
      </w:r>
    </w:p>
    <w:p>
      <w:pPr>
        <w:spacing w:line="360" w:lineRule="auto"/>
        <w:ind w:firstLine="470" w:firstLineChars="224"/>
        <w:rPr>
          <w:bCs/>
          <w:color w:val="auto"/>
          <w:szCs w:val="21"/>
          <w:highlight w:val="none"/>
        </w:rPr>
      </w:pPr>
      <w:r>
        <w:rPr>
          <w:rFonts w:hint="eastAsia"/>
          <w:bCs/>
          <w:color w:val="auto"/>
          <w:szCs w:val="21"/>
          <w:highlight w:val="none"/>
        </w:rPr>
        <w:t>（1）投标人应列出该项目工程的施工组织机构构成和画出机构框架图及其负责人；</w:t>
      </w:r>
    </w:p>
    <w:p>
      <w:pPr>
        <w:spacing w:line="360" w:lineRule="auto"/>
        <w:ind w:firstLine="470" w:firstLineChars="224"/>
        <w:rPr>
          <w:bCs/>
          <w:color w:val="auto"/>
          <w:szCs w:val="21"/>
          <w:highlight w:val="none"/>
        </w:rPr>
      </w:pPr>
      <w:r>
        <w:rPr>
          <w:rFonts w:hint="eastAsia"/>
          <w:bCs/>
          <w:color w:val="auto"/>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70" w:firstLineChars="224"/>
        <w:rPr>
          <w:bCs/>
          <w:color w:val="auto"/>
          <w:szCs w:val="21"/>
          <w:highlight w:val="none"/>
        </w:rPr>
      </w:pPr>
      <w:r>
        <w:rPr>
          <w:rFonts w:hint="eastAsia"/>
          <w:bCs/>
          <w:color w:val="auto"/>
          <w:szCs w:val="21"/>
          <w:highlight w:val="none"/>
        </w:rPr>
        <w:t>（3）其他辅助说明资料。</w:t>
      </w:r>
    </w:p>
    <w:p>
      <w:pPr>
        <w:spacing w:line="360" w:lineRule="auto"/>
        <w:ind w:firstLine="470" w:firstLineChars="224"/>
        <w:rPr>
          <w:bCs/>
          <w:color w:val="auto"/>
          <w:szCs w:val="21"/>
          <w:highlight w:val="none"/>
        </w:rPr>
      </w:pPr>
      <w:r>
        <w:rPr>
          <w:rFonts w:hint="eastAsia"/>
          <w:bCs/>
          <w:color w:val="auto"/>
          <w:szCs w:val="21"/>
          <w:highlight w:val="none"/>
        </w:rPr>
        <w:t>11.2.4投标人在广州市可使用适合本工程的机械设备（附：机械设备为自有或租赁的说明；及承诺机械设备如属于租赁的，其租赁是不属于重复租赁）。</w:t>
      </w:r>
    </w:p>
    <w:p>
      <w:pPr>
        <w:spacing w:line="360" w:lineRule="auto"/>
        <w:ind w:firstLine="470" w:firstLineChars="224"/>
        <w:rPr>
          <w:bCs/>
          <w:color w:val="auto"/>
          <w:szCs w:val="21"/>
          <w:highlight w:val="none"/>
        </w:rPr>
      </w:pPr>
      <w:r>
        <w:rPr>
          <w:rFonts w:hint="eastAsia"/>
          <w:bCs/>
          <w:color w:val="auto"/>
          <w:szCs w:val="21"/>
          <w:highlight w:val="none"/>
        </w:rPr>
        <w:t>11.2.5施工组织设计或施工方案。（投标人在编制施工组织设计或施工方案时应按照招标人提出的施工现场建筑垃圾源头减量的具体要求以及建筑垃圾综合利用产品的使用要求提供相应措施。）</w:t>
      </w:r>
    </w:p>
    <w:p>
      <w:pPr>
        <w:spacing w:line="360" w:lineRule="auto"/>
        <w:ind w:firstLine="470" w:firstLineChars="224"/>
        <w:rPr>
          <w:bCs/>
          <w:color w:val="auto"/>
          <w:szCs w:val="21"/>
          <w:highlight w:val="none"/>
        </w:rPr>
      </w:pPr>
      <w:r>
        <w:rPr>
          <w:rFonts w:hint="eastAsia"/>
          <w:bCs/>
          <w:color w:val="auto"/>
          <w:szCs w:val="21"/>
          <w:highlight w:val="none"/>
        </w:rPr>
        <w:t>11.2.6按照招标文件要求填写的《参与编制技术标投标文件人员名单》。</w:t>
      </w:r>
    </w:p>
    <w:p>
      <w:pPr>
        <w:spacing w:line="360" w:lineRule="auto"/>
        <w:ind w:firstLine="422" w:firstLineChars="200"/>
        <w:rPr>
          <w:rFonts w:ascii="宋体" w:hAnsi="宋体"/>
          <w:bCs/>
          <w:color w:val="auto"/>
          <w:szCs w:val="21"/>
          <w:highlight w:val="none"/>
        </w:rPr>
      </w:pPr>
      <w:r>
        <w:rPr>
          <w:rFonts w:hint="eastAsia"/>
          <w:b/>
          <w:color w:val="auto"/>
          <w:szCs w:val="21"/>
          <w:highlight w:val="none"/>
        </w:rPr>
        <w:t>现文：</w:t>
      </w:r>
      <w:r>
        <w:rPr>
          <w:rFonts w:hint="eastAsia" w:ascii="宋体" w:hAnsi="宋体"/>
          <w:bCs/>
          <w:color w:val="auto"/>
          <w:szCs w:val="21"/>
          <w:highlight w:val="none"/>
        </w:rPr>
        <w:t>投标文件技术标部分（含资格审查文件）主要包括下列内容</w:t>
      </w:r>
      <w:r>
        <w:rPr>
          <w:rFonts w:ascii="宋体" w:hAnsi="宋体"/>
          <w:bCs/>
          <w:color w:val="auto"/>
          <w:szCs w:val="21"/>
          <w:highlight w:val="none"/>
        </w:rPr>
        <w:t>:</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11.2.1 </w:t>
      </w:r>
      <w:r>
        <w:rPr>
          <w:rFonts w:hint="eastAsia" w:ascii="宋体"/>
          <w:bCs/>
          <w:color w:val="auto"/>
          <w:szCs w:val="21"/>
          <w:highlight w:val="none"/>
          <w:lang w:val="zh-CN"/>
        </w:rPr>
        <w:t>广州建设工程施工招标投标书</w:t>
      </w:r>
      <w:r>
        <w:rPr>
          <w:rFonts w:ascii="宋体" w:hAnsi="宋体"/>
          <w:color w:val="auto"/>
          <w:szCs w:val="21"/>
          <w:highlight w:val="none"/>
        </w:rPr>
        <w:t>(</w:t>
      </w:r>
      <w:r>
        <w:rPr>
          <w:rFonts w:hint="eastAsia" w:ascii="宋体" w:hAnsi="宋体"/>
          <w:color w:val="auto"/>
          <w:szCs w:val="21"/>
          <w:highlight w:val="none"/>
        </w:rPr>
        <w:t>格式见第四章投标文件格式</w:t>
      </w:r>
      <w:r>
        <w:rPr>
          <w:rFonts w:ascii="宋体" w:hAnsi="宋体"/>
          <w:color w:val="auto"/>
          <w:szCs w:val="21"/>
          <w:highlight w:val="none"/>
        </w:rPr>
        <w:t>)</w:t>
      </w:r>
      <w:r>
        <w:rPr>
          <w:rFonts w:hint="eastAsia" w:ascii="宋体"/>
          <w:bCs/>
          <w:color w:val="auto"/>
          <w:szCs w:val="21"/>
          <w:highlight w:val="none"/>
        </w:rPr>
        <w:t>；</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11.2.2 资格审查文件：</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（1）投标人声明； </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（2）法定代表人证明书、法定代表人签字或盖章的本投标文件授权委托证明书；</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（3）企业营业执照（取自平台内上传件）；</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（4）企业资质证书（取自平台内上传件）；</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（5）建筑施工企业安全生产许可证（取自平台内上传件）；</w:t>
      </w:r>
    </w:p>
    <w:p>
      <w:pPr>
        <w:spacing w:line="360" w:lineRule="auto"/>
        <w:ind w:firstLine="420" w:firstLineChars="200"/>
        <w:rPr>
          <w:rFonts w:ascii="宋体" w:hAnsi="宋体"/>
          <w:bCs/>
          <w:color w:val="auto"/>
          <w:szCs w:val="21"/>
          <w:highlight w:val="none"/>
        </w:rPr>
      </w:pPr>
      <w:r>
        <w:rPr>
          <w:rFonts w:hint="eastAsia" w:ascii="宋体"/>
          <w:bCs/>
          <w:color w:val="auto"/>
          <w:szCs w:val="21"/>
          <w:highlight w:val="none"/>
        </w:rPr>
        <w:t>（6）</w:t>
      </w:r>
      <w:r>
        <w:rPr>
          <w:rFonts w:hint="eastAsia" w:ascii="宋体" w:hAnsi="宋体"/>
          <w:bCs/>
          <w:color w:val="auto"/>
          <w:szCs w:val="21"/>
          <w:highlight w:val="none"/>
        </w:rPr>
        <w:t>项目负责人（按网上投标登记时选择拟投标的项目负责人）</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（7）专职安全员（按网上投标登记时选择拟投标的专职安全员）</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（8）拟委托技术负责人的职称证书；</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 xml:space="preserve">（9）拟委派项目负责人的建筑工程专业贰级或以上级别的注册建造师证书（取自平台内上传件）； </w:t>
      </w:r>
      <w:r>
        <w:rPr>
          <w:rFonts w:hint="eastAsia" w:ascii="宋体" w:hAnsi="宋体" w:cs="宋体"/>
          <w:bCs/>
          <w:color w:val="auto"/>
          <w:szCs w:val="21"/>
          <w:highlight w:val="none"/>
          <w:u w:val="single"/>
        </w:rPr>
        <w:t>注：打印建造师电子证书后，应在个人签名处手写本人签名再上传广州市住建行业信用平台，上传件未手写签名或与签名图像笔迹不一致的，该电子证书无效；</w:t>
      </w:r>
      <w:r>
        <w:rPr>
          <w:rFonts w:ascii="宋体" w:hAnsi="宋体" w:cs="宋体"/>
          <w:bCs/>
          <w:color w:val="auto"/>
          <w:szCs w:val="21"/>
          <w:highlight w:val="none"/>
          <w:u w:val="single"/>
        </w:rPr>
        <w:t xml:space="preserve"> </w:t>
      </w:r>
    </w:p>
    <w:p>
      <w:pPr>
        <w:spacing w:line="360" w:lineRule="auto"/>
        <w:ind w:firstLine="420" w:firstLineChars="200"/>
        <w:rPr>
          <w:rFonts w:hint="eastAsia" w:ascii="宋体"/>
          <w:bCs/>
          <w:color w:val="auto"/>
          <w:szCs w:val="21"/>
          <w:highlight w:val="none"/>
        </w:rPr>
      </w:pPr>
      <w:r>
        <w:rPr>
          <w:rFonts w:hint="eastAsia" w:ascii="宋体"/>
          <w:bCs/>
          <w:color w:val="auto"/>
          <w:szCs w:val="21"/>
          <w:highlight w:val="none"/>
        </w:rPr>
        <w:t>（10）</w:t>
      </w:r>
      <w:r>
        <w:rPr>
          <w:rFonts w:hint="eastAsia" w:ascii="宋体" w:hAnsi="Times New Roman" w:eastAsia="宋体"/>
          <w:bCs/>
          <w:color w:val="auto"/>
          <w:sz w:val="21"/>
          <w:szCs w:val="21"/>
          <w:highlight w:val="none"/>
        </w:rPr>
        <w:t>项目负责人持有安全</w:t>
      </w:r>
      <w:r>
        <w:rPr>
          <w:rFonts w:hint="eastAsia" w:ascii="宋体"/>
          <w:bCs/>
          <w:color w:val="auto"/>
          <w:sz w:val="21"/>
          <w:szCs w:val="21"/>
          <w:highlight w:val="none"/>
          <w:lang w:val="en-US" w:eastAsia="zh-CN"/>
        </w:rPr>
        <w:t>生产</w:t>
      </w:r>
      <w:r>
        <w:rPr>
          <w:rFonts w:hint="eastAsia" w:ascii="宋体" w:hAnsi="Times New Roman" w:eastAsia="宋体"/>
          <w:bCs/>
          <w:color w:val="auto"/>
          <w:sz w:val="21"/>
          <w:szCs w:val="21"/>
          <w:highlight w:val="none"/>
        </w:rPr>
        <w:t>考核合格证（B类）或建筑施工企业项目负责人安全生产考核合格证</w:t>
      </w:r>
      <w:r>
        <w:rPr>
          <w:rFonts w:hint="eastAsia" w:ascii="宋体" w:hAnsi="Times New Roman" w:eastAsia="宋体"/>
          <w:bCs/>
          <w:color w:val="auto"/>
          <w:sz w:val="21"/>
          <w:szCs w:val="21"/>
          <w:highlight w:val="none"/>
          <w:lang w:eastAsia="zh-CN"/>
        </w:rPr>
        <w:t>书</w:t>
      </w:r>
      <w:r>
        <w:rPr>
          <w:rFonts w:hint="eastAsia" w:ascii="宋体"/>
          <w:bCs/>
          <w:color w:val="auto"/>
          <w:szCs w:val="21"/>
          <w:highlight w:val="none"/>
        </w:rPr>
        <w:t>（取自平台内上传件）；</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（11）专职安全员须具有安全生产考核合格证（C类）或建筑施工企业专职安全生产管理人员安全生产考核合格证书</w:t>
      </w:r>
      <w:r>
        <w:rPr>
          <w:rFonts w:hint="eastAsia" w:ascii="宋体"/>
          <w:bCs/>
          <w:color w:val="auto"/>
          <w:szCs w:val="21"/>
          <w:highlight w:val="none"/>
          <w:lang w:eastAsia="zh-CN"/>
        </w:rPr>
        <w:t>（</w:t>
      </w:r>
      <w:r>
        <w:rPr>
          <w:rFonts w:hint="eastAsia" w:ascii="宋体"/>
          <w:bCs/>
          <w:color w:val="auto"/>
          <w:szCs w:val="21"/>
          <w:highlight w:val="none"/>
        </w:rPr>
        <w:t>C3类</w:t>
      </w:r>
      <w:r>
        <w:rPr>
          <w:rFonts w:hint="eastAsia" w:ascii="宋体"/>
          <w:bCs/>
          <w:color w:val="auto"/>
          <w:szCs w:val="21"/>
          <w:highlight w:val="none"/>
          <w:lang w:eastAsia="zh-CN"/>
        </w:rPr>
        <w:t>）</w:t>
      </w:r>
      <w:r>
        <w:rPr>
          <w:rFonts w:hint="eastAsia" w:ascii="宋体"/>
          <w:bCs/>
          <w:color w:val="auto"/>
          <w:szCs w:val="21"/>
          <w:highlight w:val="none"/>
        </w:rPr>
        <w:t>（取自平台内上传件）；</w:t>
      </w:r>
    </w:p>
    <w:p>
      <w:pPr>
        <w:spacing w:line="360" w:lineRule="auto"/>
        <w:ind w:firstLine="420" w:firstLineChars="200"/>
        <w:rPr>
          <w:rFonts w:ascii="宋体" w:hAnsi="宋体"/>
          <w:bCs/>
          <w:color w:val="auto"/>
          <w:szCs w:val="21"/>
          <w:highlight w:val="none"/>
        </w:rPr>
      </w:pPr>
      <w:r>
        <w:rPr>
          <w:rFonts w:hint="eastAsia" w:ascii="宋体"/>
          <w:bCs/>
          <w:color w:val="auto"/>
          <w:szCs w:val="21"/>
          <w:highlight w:val="none"/>
        </w:rPr>
        <w:t>（12）资格审查前，投标人须在广州市住建行业信用管理平台建立企业信用档案及拟担任本工程项目负责人、专职安全员须是本企业信用档案中的在册人员。</w:t>
      </w:r>
      <w:r>
        <w:rPr>
          <w:rFonts w:hint="eastAsia" w:ascii="宋体" w:hAnsi="宋体"/>
          <w:bCs/>
          <w:color w:val="auto"/>
          <w:szCs w:val="21"/>
          <w:highlight w:val="none"/>
        </w:rPr>
        <w:t xml:space="preserve"> </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（13）投标人认为应提供的其他资料。</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11.2.3 《施工项目管理团队人员信息表》、《主要人员简历表》（格式见第四章投标文件格式）</w:t>
      </w:r>
      <w:r>
        <w:rPr>
          <w:rFonts w:hint="eastAsia" w:ascii="宋体"/>
          <w:bCs/>
          <w:color w:val="auto"/>
          <w:szCs w:val="21"/>
          <w:highlight w:val="none"/>
          <w:lang w:eastAsia="zh-CN"/>
        </w:rPr>
        <w:t>及</w:t>
      </w:r>
      <w:r>
        <w:rPr>
          <w:rFonts w:hint="eastAsia" w:ascii="宋体"/>
          <w:bCs/>
          <w:color w:val="auto"/>
          <w:szCs w:val="21"/>
          <w:highlight w:val="none"/>
        </w:rPr>
        <w:t>技术标详细审查评分表</w:t>
      </w:r>
      <w:r>
        <w:rPr>
          <w:rFonts w:hint="eastAsia" w:ascii="宋体"/>
          <w:bCs/>
          <w:color w:val="auto"/>
          <w:szCs w:val="21"/>
          <w:highlight w:val="none"/>
          <w:lang w:eastAsia="zh-CN"/>
        </w:rPr>
        <w:t>中要求的其他资料（如有）</w:t>
      </w:r>
      <w:r>
        <w:rPr>
          <w:rFonts w:hint="eastAsia" w:ascii="宋体"/>
          <w:bCs/>
          <w:color w:val="auto"/>
          <w:szCs w:val="21"/>
          <w:highlight w:val="none"/>
        </w:rPr>
        <w:t>；</w:t>
      </w:r>
    </w:p>
    <w:p>
      <w:pPr>
        <w:tabs>
          <w:tab w:val="left" w:pos="1125"/>
        </w:tabs>
        <w:spacing w:line="360" w:lineRule="auto"/>
        <w:ind w:firstLine="420" w:firstLineChars="200"/>
        <w:rPr>
          <w:rFonts w:ascii="宋体"/>
          <w:bCs/>
          <w:color w:val="auto"/>
          <w:szCs w:val="21"/>
          <w:highlight w:val="none"/>
        </w:rPr>
      </w:pPr>
      <w:r>
        <w:rPr>
          <w:rFonts w:hint="eastAsia" w:ascii="宋体"/>
          <w:bCs/>
          <w:color w:val="auto"/>
          <w:szCs w:val="21"/>
          <w:highlight w:val="none"/>
        </w:rPr>
        <w:t>11.2.4 《投标函》（格式见第四章投标文件格式）；</w:t>
      </w:r>
    </w:p>
    <w:p>
      <w:pPr>
        <w:tabs>
          <w:tab w:val="left" w:pos="1125"/>
        </w:tabs>
        <w:spacing w:line="360" w:lineRule="auto"/>
        <w:ind w:firstLine="420" w:firstLineChars="200"/>
        <w:rPr>
          <w:rFonts w:ascii="宋体"/>
          <w:bCs/>
          <w:color w:val="auto"/>
          <w:szCs w:val="21"/>
          <w:highlight w:val="none"/>
        </w:rPr>
      </w:pPr>
      <w:r>
        <w:rPr>
          <w:rFonts w:hint="eastAsia" w:ascii="宋体"/>
          <w:bCs/>
          <w:color w:val="auto"/>
          <w:szCs w:val="21"/>
          <w:highlight w:val="none"/>
        </w:rPr>
        <w:t>11.2.5 《响应招标文件所附施工组织设计要点的承诺书》（格式见第四章投标文件格式）；</w:t>
      </w:r>
    </w:p>
    <w:p>
      <w:pPr>
        <w:pBdr>
          <w:bottom w:val="single" w:color="auto" w:sz="6" w:space="1"/>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11.2.</w:t>
      </w:r>
      <w:r>
        <w:rPr>
          <w:rFonts w:hint="eastAsia" w:ascii="宋体" w:hAnsi="宋体"/>
          <w:color w:val="auto"/>
          <w:szCs w:val="21"/>
          <w:highlight w:val="none"/>
          <w:lang w:val="en-US" w:eastAsia="zh-CN"/>
        </w:rPr>
        <w:t>6</w:t>
      </w:r>
      <w:r>
        <w:rPr>
          <w:rFonts w:hint="eastAsia" w:ascii="宋体" w:hAnsi="宋体"/>
          <w:color w:val="auto"/>
          <w:szCs w:val="21"/>
          <w:highlight w:val="none"/>
        </w:rPr>
        <w:t xml:space="preserve"> 《参与编制技术标投标文件人员名单》（格式见第四章投标文件格式）；</w:t>
      </w:r>
    </w:p>
    <w:p>
      <w:pPr>
        <w:pBdr>
          <w:bottom w:val="single" w:color="auto" w:sz="6" w:space="1"/>
        </w:pBdr>
        <w:spacing w:line="360" w:lineRule="auto"/>
        <w:ind w:firstLine="420" w:firstLineChars="200"/>
        <w:rPr>
          <w:rFonts w:hint="default" w:eastAsia="宋体"/>
          <w:b/>
          <w:color w:val="auto"/>
          <w:szCs w:val="21"/>
          <w:highlight w:val="none"/>
          <w:lang w:val="en-US" w:eastAsia="zh-CN"/>
        </w:rPr>
      </w:pPr>
      <w:r>
        <w:rPr>
          <w:rFonts w:hint="eastAsia" w:ascii="宋体" w:hAnsi="宋体"/>
          <w:color w:val="auto"/>
          <w:szCs w:val="21"/>
          <w:highlight w:val="none"/>
          <w:lang w:val="en-US" w:eastAsia="zh-CN"/>
        </w:rPr>
        <w:t>11.2.7其他资料。</w:t>
      </w:r>
    </w:p>
    <w:p>
      <w:pPr>
        <w:spacing w:line="480" w:lineRule="auto"/>
        <w:ind w:firstLine="472" w:firstLineChars="224"/>
        <w:rPr>
          <w:b/>
          <w:color w:val="auto"/>
          <w:szCs w:val="21"/>
          <w:highlight w:val="none"/>
        </w:rPr>
      </w:pPr>
      <w:r>
        <w:rPr>
          <w:rFonts w:hint="eastAsia"/>
          <w:b/>
          <w:color w:val="auto"/>
          <w:szCs w:val="21"/>
          <w:highlight w:val="none"/>
        </w:rPr>
        <w:t>条款号：11.3.</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bCs/>
          <w:color w:val="auto"/>
          <w:szCs w:val="20"/>
          <w:highlight w:val="none"/>
        </w:rPr>
      </w:pPr>
      <w:r>
        <w:rPr>
          <w:rFonts w:hint="eastAsia"/>
          <w:b/>
          <w:color w:val="auto"/>
          <w:szCs w:val="21"/>
          <w:highlight w:val="none"/>
        </w:rPr>
        <w:t>原文：</w:t>
      </w:r>
      <w:r>
        <w:rPr>
          <w:rFonts w:hint="eastAsia" w:ascii="宋体" w:hAnsi="宋体"/>
          <w:bCs/>
          <w:color w:val="auto"/>
          <w:szCs w:val="20"/>
          <w:highlight w:val="none"/>
        </w:rPr>
        <w:t>经济部分投标文件主要包括下列内容：</w:t>
      </w:r>
    </w:p>
    <w:p>
      <w:pPr>
        <w:spacing w:line="360" w:lineRule="auto"/>
        <w:ind w:firstLine="420" w:firstLineChars="200"/>
        <w:rPr>
          <w:rFonts w:ascii="宋体"/>
          <w:color w:val="auto"/>
          <w:szCs w:val="20"/>
          <w:highlight w:val="none"/>
        </w:rPr>
      </w:pPr>
      <w:r>
        <w:rPr>
          <w:rFonts w:ascii="宋体" w:hAnsi="宋体"/>
          <w:color w:val="auto"/>
          <w:szCs w:val="20"/>
          <w:highlight w:val="none"/>
        </w:rPr>
        <w:t xml:space="preserve">11.3.1 </w:t>
      </w:r>
      <w:r>
        <w:rPr>
          <w:rFonts w:hint="eastAsia" w:ascii="宋体" w:hAnsi="宋体"/>
          <w:color w:val="auto"/>
          <w:szCs w:val="20"/>
          <w:highlight w:val="none"/>
        </w:rPr>
        <w:t>经济投标文件</w:t>
      </w:r>
      <w:r>
        <w:rPr>
          <w:rFonts w:ascii="宋体" w:hAnsi="宋体"/>
          <w:color w:val="auto"/>
          <w:szCs w:val="20"/>
          <w:highlight w:val="none"/>
        </w:rPr>
        <w:t>(</w:t>
      </w:r>
      <w:r>
        <w:rPr>
          <w:rFonts w:hint="eastAsia" w:ascii="宋体" w:hAnsi="宋体"/>
          <w:color w:val="auto"/>
          <w:szCs w:val="20"/>
          <w:highlight w:val="none"/>
        </w:rPr>
        <w:t>按招标文件的要求填写</w:t>
      </w:r>
      <w:r>
        <w:rPr>
          <w:rFonts w:ascii="宋体" w:hAnsi="宋体"/>
          <w:color w:val="auto"/>
          <w:szCs w:val="20"/>
          <w:highlight w:val="none"/>
        </w:rPr>
        <w:t>)</w:t>
      </w:r>
      <w:r>
        <w:rPr>
          <w:rFonts w:hint="eastAsia" w:ascii="宋体" w:hAnsi="宋体"/>
          <w:color w:val="auto"/>
          <w:szCs w:val="20"/>
          <w:highlight w:val="none"/>
        </w:rPr>
        <w:t>。</w:t>
      </w:r>
    </w:p>
    <w:p>
      <w:pPr>
        <w:spacing w:line="360" w:lineRule="auto"/>
        <w:ind w:firstLine="420" w:firstLineChars="200"/>
        <w:rPr>
          <w:rFonts w:ascii="宋体"/>
          <w:color w:val="auto"/>
          <w:szCs w:val="20"/>
          <w:highlight w:val="none"/>
        </w:rPr>
      </w:pPr>
      <w:r>
        <w:rPr>
          <w:rFonts w:ascii="宋体" w:hAnsi="宋体"/>
          <w:color w:val="auto"/>
          <w:szCs w:val="20"/>
          <w:highlight w:val="none"/>
        </w:rPr>
        <w:t>11.3.2</w:t>
      </w:r>
      <w:r>
        <w:rPr>
          <w:rFonts w:hint="eastAsia" w:ascii="宋体" w:hAnsi="宋体"/>
          <w:color w:val="auto"/>
          <w:szCs w:val="20"/>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Cs w:val="21"/>
          <w:highlight w:val="none"/>
        </w:rPr>
        <w:t>其中包括如下：</w:t>
      </w:r>
      <w:r>
        <w:rPr>
          <w:rFonts w:ascii="宋体"/>
          <w:color w:val="auto"/>
          <w:szCs w:val="20"/>
          <w:highlight w:val="none"/>
        </w:rPr>
        <w:t xml:space="preserve"> </w:t>
      </w:r>
    </w:p>
    <w:p>
      <w:pPr>
        <w:spacing w:line="360" w:lineRule="auto"/>
        <w:ind w:firstLine="495" w:firstLineChars="236"/>
        <w:rPr>
          <w:rFonts w:ascii="宋体"/>
          <w:color w:val="auto"/>
          <w:szCs w:val="20"/>
          <w:highlight w:val="none"/>
        </w:rPr>
      </w:pPr>
      <w:r>
        <w:rPr>
          <w:rFonts w:hint="eastAsia" w:ascii="宋体" w:hAnsi="宋体"/>
          <w:color w:val="auto"/>
          <w:szCs w:val="20"/>
          <w:highlight w:val="none"/>
        </w:rPr>
        <w:t>（</w:t>
      </w:r>
      <w:r>
        <w:rPr>
          <w:rFonts w:ascii="宋体" w:hAnsi="宋体"/>
          <w:color w:val="auto"/>
          <w:szCs w:val="20"/>
          <w:highlight w:val="none"/>
        </w:rPr>
        <w:t>1</w:t>
      </w:r>
      <w:r>
        <w:rPr>
          <w:rFonts w:hint="eastAsia" w:ascii="宋体" w:hAnsi="宋体"/>
          <w:color w:val="auto"/>
          <w:szCs w:val="20"/>
          <w:highlight w:val="none"/>
        </w:rPr>
        <w:t>）投标总价封面、扉页；</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）总说明</w:t>
      </w:r>
    </w:p>
    <w:p>
      <w:pPr>
        <w:spacing w:line="360" w:lineRule="auto"/>
        <w:ind w:firstLine="495" w:firstLineChars="236"/>
        <w:rPr>
          <w:rFonts w:ascii="宋体"/>
          <w:color w:val="auto"/>
          <w:szCs w:val="21"/>
          <w:highlight w:val="none"/>
        </w:rPr>
      </w:pPr>
      <w:r>
        <w:rPr>
          <w:rFonts w:hint="eastAsia" w:ascii="宋体" w:hAnsi="宋体"/>
          <w:color w:val="auto"/>
          <w:szCs w:val="21"/>
          <w:highlight w:val="none"/>
        </w:rPr>
        <w:t>（3）工程项目投标报价汇总表；</w:t>
      </w:r>
    </w:p>
    <w:p>
      <w:pPr>
        <w:spacing w:line="360" w:lineRule="auto"/>
        <w:ind w:firstLine="495" w:firstLineChars="236"/>
        <w:rPr>
          <w:rFonts w:ascii="宋体" w:hAnsi="宋体"/>
          <w:color w:val="auto"/>
          <w:szCs w:val="21"/>
          <w:highlight w:val="none"/>
        </w:rPr>
      </w:pPr>
      <w:r>
        <w:rPr>
          <w:rFonts w:hint="eastAsia" w:ascii="宋体" w:hAnsi="宋体"/>
          <w:color w:val="auto"/>
          <w:szCs w:val="21"/>
          <w:highlight w:val="none"/>
        </w:rPr>
        <w:t>（4）单项工程投标报价汇总表；</w:t>
      </w:r>
    </w:p>
    <w:p>
      <w:pPr>
        <w:spacing w:line="360" w:lineRule="auto"/>
        <w:ind w:firstLine="495" w:firstLineChars="236"/>
        <w:rPr>
          <w:rFonts w:ascii="宋体"/>
          <w:color w:val="auto"/>
          <w:szCs w:val="21"/>
          <w:highlight w:val="none"/>
        </w:rPr>
      </w:pPr>
      <w:r>
        <w:rPr>
          <w:rFonts w:hint="eastAsia" w:ascii="宋体" w:hAnsi="宋体"/>
          <w:color w:val="auto"/>
          <w:szCs w:val="21"/>
          <w:highlight w:val="none"/>
        </w:rPr>
        <w:t>（5）单位工程投标报价汇总表；</w:t>
      </w:r>
    </w:p>
    <w:p>
      <w:pPr>
        <w:spacing w:line="360" w:lineRule="auto"/>
        <w:ind w:firstLine="495" w:firstLineChars="236"/>
        <w:rPr>
          <w:rFonts w:ascii="宋体"/>
          <w:color w:val="auto"/>
          <w:szCs w:val="21"/>
          <w:highlight w:val="none"/>
        </w:rPr>
      </w:pPr>
      <w:r>
        <w:rPr>
          <w:rFonts w:hint="eastAsia" w:ascii="宋体" w:hAnsi="宋体"/>
          <w:color w:val="auto"/>
          <w:szCs w:val="21"/>
          <w:highlight w:val="none"/>
        </w:rPr>
        <w:t>（6）分部分项工程清单与计价表；</w:t>
      </w:r>
    </w:p>
    <w:p>
      <w:pPr>
        <w:spacing w:line="360" w:lineRule="auto"/>
        <w:ind w:firstLine="495" w:firstLineChars="236"/>
        <w:rPr>
          <w:rFonts w:ascii="宋体"/>
          <w:color w:val="auto"/>
          <w:szCs w:val="21"/>
          <w:highlight w:val="none"/>
        </w:rPr>
      </w:pPr>
      <w:r>
        <w:rPr>
          <w:rFonts w:hint="eastAsia" w:ascii="宋体" w:hAnsi="宋体"/>
          <w:color w:val="auto"/>
          <w:szCs w:val="21"/>
          <w:highlight w:val="none"/>
        </w:rPr>
        <w:t>（7）单价措施项目清单与计价表；</w:t>
      </w:r>
    </w:p>
    <w:p>
      <w:pPr>
        <w:spacing w:line="360" w:lineRule="auto"/>
        <w:ind w:firstLine="495" w:firstLineChars="236"/>
        <w:rPr>
          <w:rFonts w:ascii="宋体"/>
          <w:color w:val="auto"/>
          <w:szCs w:val="21"/>
          <w:highlight w:val="none"/>
        </w:rPr>
      </w:pPr>
      <w:r>
        <w:rPr>
          <w:rFonts w:hint="eastAsia" w:ascii="宋体" w:hAnsi="宋体"/>
          <w:color w:val="auto"/>
          <w:szCs w:val="21"/>
          <w:highlight w:val="none"/>
        </w:rPr>
        <w:t>（8）总价措施项目清单与计价表；</w:t>
      </w:r>
    </w:p>
    <w:p>
      <w:pPr>
        <w:spacing w:line="360" w:lineRule="auto"/>
        <w:ind w:firstLine="495" w:firstLineChars="236"/>
        <w:rPr>
          <w:rFonts w:ascii="宋体"/>
          <w:color w:val="auto"/>
          <w:szCs w:val="21"/>
          <w:highlight w:val="none"/>
        </w:rPr>
      </w:pPr>
      <w:r>
        <w:rPr>
          <w:rFonts w:hint="eastAsia" w:ascii="宋体" w:hAnsi="宋体"/>
          <w:color w:val="auto"/>
          <w:szCs w:val="21"/>
          <w:highlight w:val="none"/>
        </w:rPr>
        <w:t>（9）综合单价分析表；</w:t>
      </w:r>
    </w:p>
    <w:p>
      <w:pPr>
        <w:spacing w:line="360" w:lineRule="auto"/>
        <w:ind w:firstLine="495" w:firstLineChars="236"/>
        <w:rPr>
          <w:rFonts w:ascii="宋体"/>
          <w:color w:val="auto"/>
          <w:szCs w:val="21"/>
          <w:highlight w:val="none"/>
        </w:rPr>
      </w:pPr>
      <w:r>
        <w:rPr>
          <w:rFonts w:hint="eastAsia" w:ascii="宋体" w:hAnsi="宋体"/>
          <w:color w:val="auto"/>
          <w:szCs w:val="21"/>
          <w:highlight w:val="none"/>
        </w:rPr>
        <w:t>（10）其他项目清单与计价汇总表；</w:t>
      </w:r>
    </w:p>
    <w:p>
      <w:pPr>
        <w:spacing w:line="360" w:lineRule="auto"/>
        <w:ind w:firstLine="495" w:firstLineChars="236"/>
        <w:rPr>
          <w:rFonts w:ascii="宋体"/>
          <w:color w:val="auto"/>
          <w:szCs w:val="21"/>
          <w:highlight w:val="none"/>
        </w:rPr>
      </w:pPr>
      <w:r>
        <w:rPr>
          <w:rFonts w:hint="eastAsia" w:ascii="宋体" w:hAnsi="宋体"/>
          <w:color w:val="auto"/>
          <w:szCs w:val="21"/>
          <w:highlight w:val="none"/>
        </w:rPr>
        <w:t>（11）暂列金额明细表；</w:t>
      </w:r>
    </w:p>
    <w:p>
      <w:pPr>
        <w:spacing w:line="360" w:lineRule="auto"/>
        <w:ind w:firstLine="495" w:firstLineChars="236"/>
        <w:rPr>
          <w:rFonts w:ascii="宋体"/>
          <w:color w:val="auto"/>
          <w:szCs w:val="21"/>
          <w:highlight w:val="none"/>
        </w:rPr>
      </w:pPr>
      <w:r>
        <w:rPr>
          <w:rFonts w:hint="eastAsia" w:ascii="宋体" w:hAnsi="宋体"/>
          <w:color w:val="auto"/>
          <w:szCs w:val="21"/>
          <w:highlight w:val="none"/>
        </w:rPr>
        <w:t>（12）材料（工程设备）暂估价明细表；</w:t>
      </w:r>
    </w:p>
    <w:p>
      <w:pPr>
        <w:spacing w:line="360" w:lineRule="auto"/>
        <w:ind w:firstLine="495" w:firstLineChars="236"/>
        <w:rPr>
          <w:rFonts w:ascii="宋体"/>
          <w:color w:val="auto"/>
          <w:szCs w:val="21"/>
          <w:highlight w:val="none"/>
        </w:rPr>
      </w:pPr>
      <w:r>
        <w:rPr>
          <w:rFonts w:hint="eastAsia" w:ascii="宋体" w:hAnsi="宋体"/>
          <w:color w:val="auto"/>
          <w:szCs w:val="21"/>
          <w:highlight w:val="none"/>
        </w:rPr>
        <w:t>（13）专业工程暂估价明细表；</w:t>
      </w:r>
    </w:p>
    <w:p>
      <w:pPr>
        <w:spacing w:line="360" w:lineRule="auto"/>
        <w:ind w:firstLine="495" w:firstLineChars="236"/>
        <w:rPr>
          <w:rFonts w:ascii="宋体"/>
          <w:color w:val="auto"/>
          <w:szCs w:val="21"/>
          <w:highlight w:val="none"/>
        </w:rPr>
      </w:pPr>
      <w:r>
        <w:rPr>
          <w:rFonts w:hint="eastAsia" w:ascii="宋体" w:hAnsi="宋体"/>
          <w:color w:val="auto"/>
          <w:szCs w:val="21"/>
          <w:highlight w:val="none"/>
        </w:rPr>
        <w:t>（14）计日工表；</w:t>
      </w:r>
    </w:p>
    <w:p>
      <w:pPr>
        <w:spacing w:line="360" w:lineRule="auto"/>
        <w:ind w:firstLine="495" w:firstLineChars="236"/>
        <w:rPr>
          <w:rFonts w:ascii="宋体"/>
          <w:color w:val="auto"/>
          <w:szCs w:val="21"/>
          <w:highlight w:val="none"/>
        </w:rPr>
      </w:pPr>
      <w:r>
        <w:rPr>
          <w:rFonts w:hint="eastAsia" w:ascii="宋体" w:hAnsi="宋体"/>
          <w:color w:val="auto"/>
          <w:szCs w:val="21"/>
          <w:highlight w:val="none"/>
        </w:rPr>
        <w:t>（15）总承包服务计价表；</w:t>
      </w:r>
    </w:p>
    <w:p>
      <w:pPr>
        <w:spacing w:line="360" w:lineRule="auto"/>
        <w:ind w:firstLine="495" w:firstLineChars="236"/>
        <w:rPr>
          <w:rFonts w:ascii="宋体"/>
          <w:color w:val="auto"/>
          <w:szCs w:val="21"/>
          <w:highlight w:val="none"/>
        </w:rPr>
      </w:pPr>
      <w:r>
        <w:rPr>
          <w:rFonts w:hint="eastAsia" w:ascii="宋体" w:hAnsi="宋体"/>
          <w:color w:val="auto"/>
          <w:szCs w:val="21"/>
          <w:highlight w:val="none"/>
        </w:rPr>
        <w:t>（16）规费和税金项目计价表；</w:t>
      </w:r>
    </w:p>
    <w:p>
      <w:pPr>
        <w:spacing w:line="360" w:lineRule="auto"/>
        <w:ind w:firstLine="420" w:firstLineChars="200"/>
        <w:rPr>
          <w:rFonts w:ascii="宋体"/>
          <w:color w:val="auto"/>
          <w:szCs w:val="20"/>
          <w:highlight w:val="none"/>
        </w:rPr>
      </w:pPr>
      <w:r>
        <w:rPr>
          <w:rFonts w:hint="eastAsia" w:ascii="宋体" w:hAnsi="宋体"/>
          <w:color w:val="auto"/>
          <w:szCs w:val="21"/>
          <w:highlight w:val="none"/>
        </w:rPr>
        <w:t xml:space="preserve"> （17）人工、主要材料和设备一览表</w:t>
      </w:r>
    </w:p>
    <w:p>
      <w:pPr>
        <w:tabs>
          <w:tab w:val="left" w:pos="1125"/>
        </w:tabs>
        <w:spacing w:line="360" w:lineRule="auto"/>
        <w:ind w:firstLine="420" w:firstLineChars="200"/>
        <w:rPr>
          <w:rFonts w:ascii="宋体" w:hAnsi="宋体"/>
          <w:color w:val="auto"/>
          <w:szCs w:val="20"/>
          <w:highlight w:val="none"/>
        </w:rPr>
      </w:pPr>
      <w:r>
        <w:rPr>
          <w:rFonts w:ascii="宋体" w:hAnsi="宋体"/>
          <w:color w:val="auto"/>
          <w:szCs w:val="20"/>
          <w:highlight w:val="none"/>
        </w:rPr>
        <w:t>11.3.</w:t>
      </w:r>
      <w:r>
        <w:rPr>
          <w:rFonts w:hint="eastAsia" w:ascii="宋体" w:hAnsi="宋体"/>
          <w:color w:val="auto"/>
          <w:szCs w:val="20"/>
          <w:highlight w:val="none"/>
        </w:rPr>
        <w:t>3按照</w:t>
      </w:r>
      <w:r>
        <w:rPr>
          <w:rFonts w:hint="eastAsia" w:ascii="宋体" w:hAnsi="宋体"/>
          <w:bCs/>
          <w:color w:val="auto"/>
          <w:szCs w:val="20"/>
          <w:highlight w:val="none"/>
        </w:rPr>
        <w:t>招标文件要求</w:t>
      </w:r>
      <w:r>
        <w:rPr>
          <w:rFonts w:hint="eastAsia" w:ascii="宋体" w:hAnsi="宋体"/>
          <w:color w:val="auto"/>
          <w:szCs w:val="20"/>
          <w:highlight w:val="none"/>
        </w:rPr>
        <w:t>填写的《参与编制经济标投标文件人员名单》。</w:t>
      </w:r>
    </w:p>
    <w:p>
      <w:pPr>
        <w:tabs>
          <w:tab w:val="left" w:pos="1125"/>
        </w:tabs>
        <w:spacing w:line="360" w:lineRule="auto"/>
        <w:ind w:firstLine="420" w:firstLineChars="200"/>
        <w:rPr>
          <w:b/>
          <w:color w:val="auto"/>
          <w:sz w:val="18"/>
          <w:szCs w:val="18"/>
          <w:highlight w:val="none"/>
        </w:rPr>
      </w:pPr>
      <w:r>
        <w:rPr>
          <w:rFonts w:hint="eastAsia" w:ascii="宋体" w:hAnsi="宋体"/>
          <w:color w:val="auto"/>
          <w:szCs w:val="20"/>
          <w:highlight w:val="none"/>
        </w:rPr>
        <w:t>11.3.4若投标人的投标报价低于工程成本警戒价的，投标人还须提供详细的施工组织设计、单价、措施性费用、单价分析表、主要材料价格表、投标人成本分析供评标委员会评审。</w:t>
      </w:r>
    </w:p>
    <w:p>
      <w:pPr>
        <w:spacing w:line="360" w:lineRule="auto"/>
        <w:ind w:firstLine="422" w:firstLineChars="200"/>
        <w:rPr>
          <w:rFonts w:ascii="宋体"/>
          <w:bCs/>
          <w:color w:val="auto"/>
          <w:szCs w:val="20"/>
          <w:highlight w:val="none"/>
        </w:rPr>
      </w:pPr>
      <w:r>
        <w:rPr>
          <w:rFonts w:hint="eastAsia"/>
          <w:b/>
          <w:color w:val="auto"/>
          <w:szCs w:val="21"/>
          <w:highlight w:val="none"/>
        </w:rPr>
        <w:t>现文：</w:t>
      </w:r>
      <w:r>
        <w:rPr>
          <w:rFonts w:hint="eastAsia" w:ascii="宋体" w:hAnsi="宋体"/>
          <w:bCs/>
          <w:color w:val="auto"/>
          <w:szCs w:val="20"/>
          <w:highlight w:val="none"/>
        </w:rPr>
        <w:t>经济部分投标文件主要包括下列内容：</w:t>
      </w:r>
    </w:p>
    <w:p>
      <w:pPr>
        <w:tabs>
          <w:tab w:val="left" w:pos="1125"/>
        </w:tabs>
        <w:spacing w:line="360" w:lineRule="auto"/>
        <w:ind w:firstLine="420" w:firstLineChars="200"/>
        <w:rPr>
          <w:rFonts w:hint="default" w:ascii="宋体" w:hAnsi="宋体" w:eastAsia="宋体"/>
          <w:color w:val="auto"/>
          <w:szCs w:val="20"/>
          <w:highlight w:val="none"/>
          <w:lang w:val="en-US" w:eastAsia="zh-CN"/>
        </w:rPr>
      </w:pPr>
      <w:r>
        <w:rPr>
          <w:rFonts w:ascii="宋体" w:hAnsi="宋体"/>
          <w:color w:val="auto"/>
          <w:szCs w:val="20"/>
          <w:highlight w:val="none"/>
        </w:rPr>
        <w:t>11.3.1</w:t>
      </w:r>
      <w:r>
        <w:rPr>
          <w:rFonts w:hint="eastAsia" w:ascii="宋体" w:hAnsi="宋体"/>
          <w:color w:val="auto"/>
          <w:szCs w:val="20"/>
          <w:highlight w:val="none"/>
          <w:lang w:val="en-US" w:eastAsia="zh-CN"/>
        </w:rPr>
        <w:t xml:space="preserve"> 广州建设工程施工招标投标书（经济标）(格式见第四章投标文件格式)</w:t>
      </w:r>
    </w:p>
    <w:p>
      <w:pPr>
        <w:tabs>
          <w:tab w:val="left" w:pos="1125"/>
        </w:tabs>
        <w:spacing w:line="360" w:lineRule="auto"/>
        <w:ind w:firstLine="420" w:firstLineChars="200"/>
        <w:rPr>
          <w:rFonts w:ascii="宋体" w:hAnsi="宋体"/>
          <w:color w:val="auto"/>
          <w:sz w:val="24"/>
          <w:highlight w:val="none"/>
        </w:rPr>
      </w:pPr>
      <w:r>
        <w:rPr>
          <w:rFonts w:ascii="宋体" w:hAnsi="宋体"/>
          <w:color w:val="auto"/>
          <w:szCs w:val="20"/>
          <w:highlight w:val="none"/>
        </w:rPr>
        <w:t>11.3.</w:t>
      </w:r>
      <w:r>
        <w:rPr>
          <w:rFonts w:hint="eastAsia" w:ascii="宋体" w:hAnsi="宋体"/>
          <w:color w:val="auto"/>
          <w:szCs w:val="20"/>
          <w:highlight w:val="none"/>
          <w:lang w:val="en-US" w:eastAsia="zh-CN"/>
        </w:rPr>
        <w:t>2</w:t>
      </w:r>
      <w:r>
        <w:rPr>
          <w:rFonts w:hint="eastAsia" w:ascii="宋体" w:hAnsi="宋体"/>
          <w:color w:val="auto"/>
          <w:szCs w:val="20"/>
          <w:highlight w:val="none"/>
        </w:rPr>
        <w:t xml:space="preserve">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征借地工作服务方案，结合企业成本、市场价格以及招标文件中载明的风险内容和范围等编制。（投标报价的工程量清单的组成、格式等由广州公共资源交易中心的投标文件管理软件自动生成）</w:t>
      </w:r>
    </w:p>
    <w:p>
      <w:pPr>
        <w:tabs>
          <w:tab w:val="left" w:pos="1125"/>
        </w:tabs>
        <w:spacing w:line="360" w:lineRule="auto"/>
        <w:ind w:firstLine="420" w:firstLineChars="200"/>
        <w:rPr>
          <w:rFonts w:ascii="宋体" w:hAnsi="宋体"/>
          <w:color w:val="auto"/>
          <w:szCs w:val="20"/>
          <w:highlight w:val="none"/>
        </w:rPr>
      </w:pPr>
      <w:r>
        <w:rPr>
          <w:rFonts w:hint="eastAsia" w:ascii="宋体" w:hAnsi="宋体"/>
          <w:color w:val="auto"/>
          <w:szCs w:val="20"/>
          <w:highlight w:val="none"/>
        </w:rPr>
        <w:t>11.3.</w:t>
      </w:r>
      <w:r>
        <w:rPr>
          <w:rFonts w:hint="eastAsia" w:ascii="宋体" w:hAnsi="宋体"/>
          <w:color w:val="auto"/>
          <w:szCs w:val="20"/>
          <w:highlight w:val="none"/>
          <w:lang w:val="en-US" w:eastAsia="zh-CN"/>
        </w:rPr>
        <w:t>3</w:t>
      </w:r>
      <w:r>
        <w:rPr>
          <w:rFonts w:hint="eastAsia" w:ascii="宋体" w:hAnsi="宋体"/>
          <w:color w:val="auto"/>
          <w:szCs w:val="20"/>
          <w:highlight w:val="none"/>
        </w:rPr>
        <w:t>按照招标文件要求填写的《参与编制经济标投标文件人员名单》</w:t>
      </w:r>
      <w:r>
        <w:rPr>
          <w:rFonts w:hint="eastAsia" w:ascii="宋体" w:hAnsi="宋体"/>
          <w:color w:val="auto"/>
          <w:szCs w:val="20"/>
          <w:highlight w:val="none"/>
          <w:lang w:eastAsia="zh-CN"/>
        </w:rPr>
        <w:t>、《对投标文件编制的承诺》（格式见第四章投标文件格式）</w:t>
      </w:r>
      <w:r>
        <w:rPr>
          <w:rFonts w:hint="eastAsia" w:ascii="宋体" w:hAnsi="宋体"/>
          <w:color w:val="auto"/>
          <w:szCs w:val="20"/>
          <w:highlight w:val="none"/>
        </w:rPr>
        <w:t>。</w:t>
      </w:r>
    </w:p>
    <w:p>
      <w:pPr>
        <w:pBdr>
          <w:bottom w:val="single" w:color="auto" w:sz="6" w:space="1"/>
        </w:pBdr>
        <w:spacing w:line="360" w:lineRule="auto"/>
        <w:ind w:firstLine="420" w:firstLineChars="200"/>
        <w:rPr>
          <w:b/>
          <w:color w:val="auto"/>
          <w:szCs w:val="21"/>
          <w:highlight w:val="none"/>
        </w:rPr>
      </w:pPr>
      <w:r>
        <w:rPr>
          <w:rFonts w:hint="eastAsia" w:ascii="宋体" w:hAnsi="宋体"/>
          <w:color w:val="auto"/>
          <w:szCs w:val="20"/>
          <w:highlight w:val="none"/>
        </w:rPr>
        <w:t>11.3.</w:t>
      </w:r>
      <w:r>
        <w:rPr>
          <w:rFonts w:hint="eastAsia" w:ascii="宋体" w:hAnsi="宋体"/>
          <w:color w:val="auto"/>
          <w:szCs w:val="20"/>
          <w:highlight w:val="none"/>
          <w:lang w:val="en-US" w:eastAsia="zh-CN"/>
        </w:rPr>
        <w:t>4</w:t>
      </w:r>
      <w:r>
        <w:rPr>
          <w:rFonts w:hint="eastAsia" w:ascii="宋体" w:hAnsi="宋体"/>
          <w:color w:val="auto"/>
          <w:szCs w:val="20"/>
          <w:highlight w:val="none"/>
        </w:rPr>
        <w:t>若投标人的投标报价低于工程成本警戒价的，投标人还须提供详细的施工组织设计、征借地工作服务方案、单价、措施性费用、单价分析表、主要材料价格表、投标人成本分析供评标委员会评审。</w:t>
      </w:r>
    </w:p>
    <w:p>
      <w:pPr>
        <w:spacing w:line="480" w:lineRule="auto"/>
        <w:ind w:firstLine="472" w:firstLineChars="224"/>
        <w:rPr>
          <w:b/>
          <w:color w:val="auto"/>
          <w:szCs w:val="21"/>
          <w:highlight w:val="none"/>
        </w:rPr>
      </w:pPr>
      <w:r>
        <w:rPr>
          <w:rFonts w:hint="eastAsia"/>
          <w:b/>
          <w:color w:val="auto"/>
          <w:szCs w:val="21"/>
          <w:highlight w:val="none"/>
        </w:rPr>
        <w:t>条款号：12.2</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olor w:val="auto"/>
          <w:szCs w:val="20"/>
          <w:highlight w:val="none"/>
        </w:rPr>
        <w:t>投标文件全部采用电子文档，投标文件所附证书证件均为原件扫描件，并采用单位数字证书，按招标文件要求在相应位置加盖电子印章。投标文件中需个人签字或盖章的，应手签后扫描上传。按照交易平台关于</w:t>
      </w:r>
      <w:r>
        <w:rPr>
          <w:rFonts w:hint="eastAsia"/>
          <w:color w:val="auto"/>
          <w:szCs w:val="21"/>
          <w:highlight w:val="none"/>
        </w:rPr>
        <w:t>全流程电子化项目的相关指南进行操作。详见：</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 xml:space="preserve"> 。</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color w:val="auto"/>
          <w:szCs w:val="21"/>
          <w:highlight w:val="none"/>
        </w:rPr>
        <w:t>投标文件全部采用电子文档，投标文件所附证书证件均为原件扫描件，并采用单位数字证书，按招标文件要求在相应位置加盖电子印章。投标文件中需个人签字或盖章的，应在线下完成后扫描上传。按照交易平台关于全流程电子化项目的相关指南进行操作。详见：广州公共资源交易中心网站。</w:t>
      </w:r>
    </w:p>
    <w:p>
      <w:pPr>
        <w:spacing w:line="480" w:lineRule="auto"/>
        <w:ind w:firstLine="472" w:firstLineChars="224"/>
        <w:rPr>
          <w:b/>
          <w:color w:val="auto"/>
          <w:szCs w:val="21"/>
          <w:highlight w:val="none"/>
        </w:rPr>
      </w:pPr>
      <w:r>
        <w:rPr>
          <w:rFonts w:hint="eastAsia"/>
          <w:b/>
          <w:color w:val="auto"/>
          <w:szCs w:val="21"/>
          <w:highlight w:val="none"/>
        </w:rPr>
        <w:t>条款号：12.3</w:t>
      </w:r>
      <w:r>
        <w:rPr>
          <w:b/>
          <w:color w:val="auto"/>
          <w:szCs w:val="21"/>
          <w:highlight w:val="none"/>
        </w:rPr>
        <w:t xml:space="preserve">             </w:t>
      </w:r>
      <w:r>
        <w:rPr>
          <w:rFonts w:hint="eastAsia"/>
          <w:b/>
          <w:color w:val="auto"/>
          <w:szCs w:val="21"/>
          <w:highlight w:val="none"/>
        </w:rPr>
        <w:t>修改类型：修改</w:t>
      </w:r>
    </w:p>
    <w:p>
      <w:pPr>
        <w:pStyle w:val="37"/>
        <w:spacing w:after="0" w:line="360" w:lineRule="auto"/>
        <w:ind w:firstLine="422" w:firstLineChars="200"/>
        <w:rPr>
          <w:rFonts w:ascii="宋体" w:hAnsi="宋体"/>
          <w:color w:val="auto"/>
          <w:szCs w:val="16"/>
          <w:highlight w:val="none"/>
        </w:rPr>
      </w:pPr>
      <w:r>
        <w:rPr>
          <w:rFonts w:hint="eastAsia"/>
          <w:b/>
          <w:color w:val="auto"/>
          <w:szCs w:val="21"/>
          <w:highlight w:val="none"/>
        </w:rPr>
        <w:t>原文：</w:t>
      </w:r>
      <w:r>
        <w:rPr>
          <w:rFonts w:hint="eastAsia" w:ascii="宋体" w:hAnsi="宋体"/>
          <w:bCs/>
          <w:color w:val="auto"/>
          <w:szCs w:val="21"/>
          <w:highlight w:val="none"/>
        </w:rPr>
        <w:t>投标文件应按</w:t>
      </w:r>
      <w:r>
        <w:rPr>
          <w:rFonts w:hint="eastAsia" w:ascii="宋体" w:hAnsi="宋体"/>
          <w:color w:val="auto"/>
          <w:szCs w:val="16"/>
          <w:highlight w:val="none"/>
        </w:rPr>
        <w:t>照交易平台关于全流程电子化项目的相关指南进行编制，详见：</w:t>
      </w:r>
      <w:r>
        <w:rPr>
          <w:color w:val="auto"/>
          <w:szCs w:val="21"/>
          <w:highlight w:val="none"/>
          <w:u w:val="single"/>
        </w:rPr>
        <w:t xml:space="preserve">       </w:t>
      </w:r>
      <w:r>
        <w:rPr>
          <w:rFonts w:hint="eastAsia"/>
          <w:color w:val="auto"/>
          <w:szCs w:val="21"/>
          <w:highlight w:val="none"/>
          <w:u w:val="single"/>
        </w:rPr>
        <w:t xml:space="preserve">     </w:t>
      </w:r>
      <w:r>
        <w:rPr>
          <w:rFonts w:hint="eastAsia" w:ascii="宋体" w:hAnsi="宋体"/>
          <w:color w:val="auto"/>
          <w:szCs w:val="16"/>
          <w:highlight w:val="none"/>
        </w:rPr>
        <w:t xml:space="preserve">。               </w:t>
      </w:r>
    </w:p>
    <w:p>
      <w:pPr>
        <w:spacing w:line="480" w:lineRule="auto"/>
        <w:ind w:firstLine="470" w:firstLineChars="224"/>
        <w:rPr>
          <w:b/>
          <w:color w:val="auto"/>
          <w:sz w:val="18"/>
          <w:szCs w:val="18"/>
          <w:highlight w:val="none"/>
        </w:rPr>
      </w:pPr>
      <w:r>
        <w:rPr>
          <w:rFonts w:hint="eastAsia" w:ascii="宋体" w:hAnsi="宋体"/>
          <w:bCs/>
          <w:color w:val="auto"/>
          <w:szCs w:val="21"/>
          <w:highlight w:val="none"/>
        </w:rPr>
        <w:t>如不按上述要求编制引起系统无法检索、读取相关信息的，其后果由投标人承担。</w:t>
      </w:r>
    </w:p>
    <w:p>
      <w:pPr>
        <w:pStyle w:val="37"/>
        <w:spacing w:after="0" w:line="360" w:lineRule="auto"/>
        <w:ind w:firstLine="422" w:firstLineChars="200"/>
        <w:rPr>
          <w:rFonts w:ascii="宋体" w:hAnsi="宋体"/>
          <w:color w:val="auto"/>
          <w:szCs w:val="16"/>
          <w:highlight w:val="none"/>
        </w:rPr>
      </w:pPr>
      <w:r>
        <w:rPr>
          <w:rFonts w:hint="eastAsia"/>
          <w:b/>
          <w:color w:val="auto"/>
          <w:szCs w:val="21"/>
          <w:highlight w:val="none"/>
        </w:rPr>
        <w:t>现文：</w:t>
      </w:r>
      <w:r>
        <w:rPr>
          <w:rFonts w:hint="eastAsia" w:ascii="宋体" w:hAnsi="宋体"/>
          <w:bCs/>
          <w:color w:val="auto"/>
          <w:szCs w:val="21"/>
          <w:highlight w:val="none"/>
        </w:rPr>
        <w:t>投标文件应按</w:t>
      </w:r>
      <w:r>
        <w:rPr>
          <w:rFonts w:hint="eastAsia" w:ascii="宋体" w:hAnsi="宋体"/>
          <w:color w:val="auto"/>
          <w:szCs w:val="16"/>
          <w:highlight w:val="none"/>
        </w:rPr>
        <w:t xml:space="preserve">照广州公共资源交易中心交易平台关于全流程电子化项目的相关指南进行编制，详见：广州公共资源交易中心网站。               </w:t>
      </w:r>
    </w:p>
    <w:p>
      <w:pPr>
        <w:pBdr>
          <w:bottom w:val="single" w:color="auto" w:sz="6" w:space="1"/>
        </w:pBdr>
        <w:spacing w:line="360" w:lineRule="auto"/>
        <w:ind w:firstLine="525" w:firstLineChars="250"/>
        <w:rPr>
          <w:b/>
          <w:color w:val="auto"/>
          <w:szCs w:val="21"/>
          <w:highlight w:val="none"/>
        </w:rPr>
      </w:pPr>
      <w:r>
        <w:rPr>
          <w:rFonts w:hint="eastAsia" w:ascii="宋体" w:hAnsi="宋体"/>
          <w:bCs/>
          <w:color w:val="auto"/>
          <w:szCs w:val="21"/>
          <w:highlight w:val="none"/>
        </w:rPr>
        <w:t>如不按上述要求编制引起系统无法检索、读取相关信息的，其后果由投标人承担。</w:t>
      </w:r>
    </w:p>
    <w:p>
      <w:pPr>
        <w:spacing w:line="480" w:lineRule="auto"/>
        <w:ind w:firstLine="472" w:firstLineChars="224"/>
        <w:rPr>
          <w:b/>
          <w:color w:val="auto"/>
          <w:szCs w:val="21"/>
          <w:highlight w:val="none"/>
        </w:rPr>
      </w:pPr>
      <w:r>
        <w:rPr>
          <w:rFonts w:hint="eastAsia"/>
          <w:b/>
          <w:color w:val="auto"/>
          <w:szCs w:val="21"/>
          <w:highlight w:val="none"/>
        </w:rPr>
        <w:t>条款号：13.1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olor w:val="auto"/>
          <w:szCs w:val="20"/>
          <w:highlight w:val="none"/>
        </w:rPr>
        <w:t>本工程的投标报价采用投标须知前附表第</w:t>
      </w:r>
      <w:r>
        <w:rPr>
          <w:rFonts w:ascii="宋体" w:hAnsi="宋体"/>
          <w:color w:val="auto"/>
          <w:szCs w:val="20"/>
          <w:highlight w:val="none"/>
        </w:rPr>
        <w:t>12</w:t>
      </w:r>
      <w:r>
        <w:rPr>
          <w:rFonts w:hint="eastAsia" w:ascii="宋体" w:hAnsi="宋体"/>
          <w:color w:val="auto"/>
          <w:szCs w:val="20"/>
          <w:highlight w:val="none"/>
        </w:rPr>
        <w:t>项所规定的方式。投标报价（含单价及总价）精确到“分”。</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现文：</w:t>
      </w:r>
      <w:r>
        <w:rPr>
          <w:rFonts w:hint="eastAsia" w:ascii="宋体" w:hAnsi="宋体"/>
          <w:color w:val="auto"/>
          <w:szCs w:val="20"/>
          <w:highlight w:val="none"/>
        </w:rPr>
        <w:t>本工程的投标报价采用投标须知前附表第</w:t>
      </w:r>
      <w:r>
        <w:rPr>
          <w:rFonts w:ascii="宋体" w:hAnsi="宋体"/>
          <w:color w:val="auto"/>
          <w:szCs w:val="20"/>
          <w:highlight w:val="none"/>
        </w:rPr>
        <w:t>12</w:t>
      </w:r>
      <w:r>
        <w:rPr>
          <w:rFonts w:hint="eastAsia" w:ascii="宋体" w:hAnsi="宋体"/>
          <w:color w:val="auto"/>
          <w:szCs w:val="20"/>
          <w:highlight w:val="none"/>
        </w:rPr>
        <w:t>项所规定的方式。投标文件中的大写金额和小写金额不一致的，以大写金额为准。投标报价（含单价及总价）精确到“分”。</w:t>
      </w:r>
    </w:p>
    <w:p>
      <w:pPr>
        <w:spacing w:line="480" w:lineRule="auto"/>
        <w:ind w:firstLine="472" w:firstLineChars="224"/>
        <w:rPr>
          <w:b/>
          <w:color w:val="auto"/>
          <w:szCs w:val="21"/>
          <w:highlight w:val="none"/>
        </w:rPr>
      </w:pPr>
      <w:r>
        <w:rPr>
          <w:rFonts w:hint="eastAsia"/>
          <w:b/>
          <w:color w:val="auto"/>
          <w:szCs w:val="21"/>
          <w:highlight w:val="none"/>
        </w:rPr>
        <w:t>条款号：16</w:t>
      </w:r>
      <w:r>
        <w:rPr>
          <w:rFonts w:hint="eastAsia"/>
          <w:b/>
          <w:color w:val="auto"/>
          <w:szCs w:val="21"/>
          <w:highlight w:val="none"/>
          <w:lang w:val="en-US" w:eastAsia="zh-CN"/>
        </w:rPr>
        <w:t>.1.1</w:t>
      </w:r>
      <w:r>
        <w:rPr>
          <w:b/>
          <w:color w:val="auto"/>
          <w:szCs w:val="21"/>
          <w:highlight w:val="none"/>
        </w:rPr>
        <w:t xml:space="preserve">             </w:t>
      </w:r>
      <w:r>
        <w:rPr>
          <w:rFonts w:hint="eastAsia"/>
          <w:b/>
          <w:color w:val="auto"/>
          <w:szCs w:val="21"/>
          <w:highlight w:val="none"/>
        </w:rPr>
        <w:t>修改类型：修改</w:t>
      </w:r>
    </w:p>
    <w:p>
      <w:pPr>
        <w:spacing w:after="0" w:line="360" w:lineRule="auto"/>
        <w:ind w:firstLine="424" w:firstLineChars="201"/>
        <w:rPr>
          <w:rFonts w:ascii="宋体" w:hAnsi="宋体"/>
          <w:color w:val="auto"/>
          <w:szCs w:val="21"/>
          <w:highlight w:val="none"/>
        </w:rPr>
      </w:pPr>
      <w:r>
        <w:rPr>
          <w:rFonts w:hint="eastAsia" w:ascii="宋体" w:hAnsi="宋体"/>
          <w:b/>
          <w:color w:val="auto"/>
          <w:szCs w:val="21"/>
          <w:highlight w:val="none"/>
        </w:rPr>
        <w:t>原文：</w:t>
      </w:r>
      <w:r>
        <w:rPr>
          <w:rFonts w:ascii="宋体" w:hAnsi="宋体"/>
          <w:color w:val="auto"/>
          <w:szCs w:val="21"/>
          <w:highlight w:val="none"/>
        </w:rPr>
        <w:t>采用现金或者支票形式提交的，投标保证金须从投标人的银行基本账户转出。</w:t>
      </w:r>
    </w:p>
    <w:p>
      <w:pPr>
        <w:pBdr>
          <w:bottom w:val="single" w:color="auto" w:sz="6" w:space="1"/>
        </w:pBdr>
        <w:spacing w:line="360" w:lineRule="auto"/>
        <w:ind w:firstLine="424" w:firstLineChars="201"/>
        <w:rPr>
          <w:rFonts w:ascii="宋体" w:hAnsi="宋体"/>
          <w:color w:val="auto"/>
          <w:szCs w:val="21"/>
          <w:highlight w:val="none"/>
        </w:rPr>
      </w:pPr>
      <w:r>
        <w:rPr>
          <w:rFonts w:hint="eastAsia" w:ascii="宋体" w:hAnsi="宋体"/>
          <w:b/>
          <w:color w:val="auto"/>
          <w:szCs w:val="21"/>
          <w:highlight w:val="none"/>
        </w:rPr>
        <w:t>现文：</w:t>
      </w:r>
      <w:r>
        <w:rPr>
          <w:rFonts w:ascii="宋体" w:hAnsi="宋体"/>
          <w:color w:val="auto"/>
          <w:szCs w:val="21"/>
          <w:highlight w:val="none"/>
        </w:rPr>
        <w:t>采用现金或者支票形式提交的，投标保证金须从投标人的银行基本账户转出</w:t>
      </w:r>
      <w:r>
        <w:rPr>
          <w:rFonts w:hint="eastAsia" w:ascii="宋体" w:hAnsi="宋体"/>
          <w:color w:val="auto"/>
          <w:szCs w:val="21"/>
          <w:highlight w:val="none"/>
          <w:u w:val="single"/>
        </w:rPr>
        <w:t>，由广州公共资源交易中心代收，缴纳情况以交易平台数据库记录的信息为准。具体操作要求详见广州公共资源交易中心有关指引，递交事宜请自行咨询交易中心。</w:t>
      </w:r>
    </w:p>
    <w:p>
      <w:pPr>
        <w:spacing w:line="480" w:lineRule="auto"/>
        <w:ind w:firstLine="472" w:firstLineChars="224"/>
        <w:rPr>
          <w:b/>
          <w:color w:val="auto"/>
          <w:szCs w:val="21"/>
          <w:highlight w:val="none"/>
        </w:rPr>
      </w:pPr>
      <w:r>
        <w:rPr>
          <w:rFonts w:hint="eastAsia"/>
          <w:b/>
          <w:color w:val="auto"/>
          <w:szCs w:val="21"/>
          <w:highlight w:val="none"/>
        </w:rPr>
        <w:t>条款号：16</w:t>
      </w:r>
      <w:r>
        <w:rPr>
          <w:rFonts w:hint="eastAsia"/>
          <w:b/>
          <w:color w:val="auto"/>
          <w:szCs w:val="21"/>
          <w:highlight w:val="none"/>
          <w:lang w:val="en-US" w:eastAsia="zh-CN"/>
        </w:rPr>
        <w:t>.1.3</w:t>
      </w:r>
      <w:r>
        <w:rPr>
          <w:b/>
          <w:color w:val="auto"/>
          <w:szCs w:val="21"/>
          <w:highlight w:val="none"/>
        </w:rPr>
        <w:t xml:space="preserve">             </w:t>
      </w:r>
      <w:r>
        <w:rPr>
          <w:rFonts w:hint="eastAsia"/>
          <w:b/>
          <w:color w:val="auto"/>
          <w:szCs w:val="21"/>
          <w:highlight w:val="none"/>
        </w:rPr>
        <w:t>修改类型：修改</w:t>
      </w:r>
    </w:p>
    <w:p>
      <w:pPr>
        <w:spacing w:line="360" w:lineRule="auto"/>
        <w:ind w:firstLine="424" w:firstLineChars="201"/>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b w:val="0"/>
          <w:bCs/>
          <w:color w:val="auto"/>
          <w:szCs w:val="21"/>
          <w:highlight w:val="none"/>
        </w:rPr>
        <w:t>采用电子形式的保函、担保或保证保险提交投标保证金的，应在招标文件中明确电子递交途径。</w:t>
      </w:r>
    </w:p>
    <w:p>
      <w:pPr>
        <w:pBdr>
          <w:bottom w:val="single" w:color="auto" w:sz="6" w:space="1"/>
        </w:pBdr>
        <w:spacing w:line="360" w:lineRule="auto"/>
        <w:ind w:firstLine="424" w:firstLineChars="201"/>
        <w:rPr>
          <w:rFonts w:ascii="宋体" w:hAnsi="宋体"/>
          <w:color w:val="auto"/>
          <w:szCs w:val="21"/>
          <w:highlight w:val="none"/>
        </w:rPr>
      </w:pPr>
      <w:r>
        <w:rPr>
          <w:rFonts w:hint="eastAsia" w:ascii="宋体" w:hAnsi="宋体"/>
          <w:b/>
          <w:bCs/>
          <w:color w:val="auto"/>
          <w:szCs w:val="21"/>
          <w:highlight w:val="none"/>
          <w:lang w:val="en-US" w:eastAsia="zh-CN"/>
        </w:rPr>
        <w:t>现文：</w:t>
      </w:r>
      <w:r>
        <w:rPr>
          <w:rFonts w:ascii="宋体" w:hAnsi="宋体"/>
          <w:color w:val="auto"/>
          <w:szCs w:val="21"/>
          <w:highlight w:val="none"/>
        </w:rPr>
        <w:t>采用电子形式的保函、担保或保证保险提交投标保证金的，</w:t>
      </w:r>
      <w:r>
        <w:rPr>
          <w:rFonts w:hint="eastAsia" w:ascii="宋体" w:hAnsi="宋体"/>
          <w:color w:val="auto"/>
          <w:szCs w:val="21"/>
          <w:highlight w:val="none"/>
          <w:u w:val="single"/>
        </w:rPr>
        <w:t>具体操作要求详见广州公共资源交易中心有关指引，递交事宜请自行咨询交易中心。</w:t>
      </w:r>
    </w:p>
    <w:p>
      <w:pPr>
        <w:spacing w:line="480" w:lineRule="auto"/>
        <w:ind w:firstLine="472" w:firstLineChars="224"/>
        <w:rPr>
          <w:b/>
          <w:color w:val="auto"/>
          <w:szCs w:val="21"/>
          <w:highlight w:val="none"/>
        </w:rPr>
      </w:pPr>
      <w:r>
        <w:rPr>
          <w:rFonts w:hint="eastAsia"/>
          <w:b/>
          <w:color w:val="auto"/>
          <w:szCs w:val="21"/>
          <w:highlight w:val="none"/>
        </w:rPr>
        <w:t>条款号：16</w:t>
      </w:r>
      <w:r>
        <w:rPr>
          <w:rFonts w:hint="eastAsia"/>
          <w:b/>
          <w:color w:val="auto"/>
          <w:szCs w:val="21"/>
          <w:highlight w:val="none"/>
          <w:lang w:val="en-US" w:eastAsia="zh-CN"/>
        </w:rPr>
        <w:t>.2</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424" w:firstLineChars="201"/>
        <w:rPr>
          <w:rFonts w:hint="eastAsia" w:ascii="宋体" w:hAnsi="宋体" w:eastAsia="宋体"/>
          <w:color w:val="auto"/>
          <w:szCs w:val="21"/>
          <w:highlight w:val="none"/>
          <w:lang w:val="en-US" w:eastAsia="zh-CN"/>
        </w:rPr>
      </w:pPr>
      <w:r>
        <w:rPr>
          <w:rFonts w:hint="eastAsia" w:ascii="宋体" w:hAnsi="宋体"/>
          <w:b/>
          <w:bCs/>
          <w:color w:val="auto"/>
          <w:szCs w:val="21"/>
          <w:highlight w:val="none"/>
          <w:lang w:val="en-US" w:eastAsia="zh-CN"/>
        </w:rPr>
        <w:t>原文：</w:t>
      </w:r>
      <w:r>
        <w:rPr>
          <w:rFonts w:hint="eastAsia" w:ascii="宋体" w:hAnsi="宋体"/>
          <w:color w:val="auto"/>
          <w:szCs w:val="21"/>
          <w:highlight w:val="none"/>
          <w:lang w:val="en-US" w:eastAsia="zh-CN"/>
        </w:rPr>
        <w:t>开标时投标人没有按要求提供投标保证金的，其投标文件将被否决；未按招标文件要求提交符合免予提供投标保证金相关证明材料，且未提交投标保证金的投标人，视为未按要求提供投标保证金。</w:t>
      </w:r>
    </w:p>
    <w:p>
      <w:pPr>
        <w:pBdr>
          <w:bottom w:val="single" w:color="auto" w:sz="6" w:space="1"/>
        </w:pBdr>
        <w:spacing w:line="360" w:lineRule="auto"/>
        <w:ind w:firstLine="424" w:firstLineChars="201"/>
        <w:rPr>
          <w:rFonts w:ascii="宋体" w:hAnsi="宋体"/>
          <w:color w:val="auto"/>
          <w:szCs w:val="21"/>
          <w:highlight w:val="none"/>
        </w:rPr>
      </w:pPr>
      <w:r>
        <w:rPr>
          <w:rFonts w:hint="eastAsia" w:ascii="宋体" w:hAnsi="宋体"/>
          <w:b/>
          <w:bCs/>
          <w:color w:val="auto"/>
          <w:szCs w:val="21"/>
          <w:highlight w:val="none"/>
          <w:lang w:val="en-US" w:eastAsia="zh-CN"/>
        </w:rPr>
        <w:t>现文：</w:t>
      </w:r>
      <w:r>
        <w:rPr>
          <w:rFonts w:ascii="宋体" w:hAnsi="宋体"/>
          <w:color w:val="auto"/>
          <w:szCs w:val="21"/>
          <w:highlight w:val="none"/>
        </w:rPr>
        <w:t>开标时投标人没有按要求提供投标保证金的，其投标文件将被否决</w:t>
      </w:r>
      <w:r>
        <w:rPr>
          <w:rFonts w:hint="eastAsia" w:ascii="宋体" w:hAnsi="宋体"/>
          <w:color w:val="auto"/>
          <w:szCs w:val="21"/>
          <w:highlight w:val="none"/>
        </w:rPr>
        <w:t>。</w:t>
      </w:r>
    </w:p>
    <w:p>
      <w:pPr>
        <w:spacing w:line="480" w:lineRule="auto"/>
        <w:ind w:firstLine="472" w:firstLineChars="224"/>
        <w:rPr>
          <w:b/>
          <w:color w:val="auto"/>
          <w:szCs w:val="21"/>
          <w:highlight w:val="none"/>
        </w:rPr>
      </w:pPr>
      <w:r>
        <w:rPr>
          <w:rFonts w:hint="eastAsia"/>
          <w:b/>
          <w:color w:val="auto"/>
          <w:szCs w:val="21"/>
          <w:highlight w:val="none"/>
        </w:rPr>
        <w:t>条款号：16</w:t>
      </w:r>
      <w:r>
        <w:rPr>
          <w:rFonts w:hint="eastAsia"/>
          <w:b/>
          <w:color w:val="auto"/>
          <w:szCs w:val="21"/>
          <w:highlight w:val="none"/>
          <w:lang w:val="en-US" w:eastAsia="zh-CN"/>
        </w:rPr>
        <w:t>.4</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424" w:firstLineChars="201"/>
        <w:rPr>
          <w:rFonts w:hint="eastAsia" w:ascii="宋体" w:hAnsi="宋体" w:eastAsia="宋体"/>
          <w:color w:val="auto"/>
          <w:szCs w:val="21"/>
          <w:highlight w:val="none"/>
          <w:lang w:val="en-US" w:eastAsia="zh-CN"/>
        </w:rPr>
      </w:pPr>
      <w:r>
        <w:rPr>
          <w:rFonts w:hint="eastAsia" w:ascii="宋体" w:hAnsi="宋体"/>
          <w:b/>
          <w:bCs/>
          <w:color w:val="auto"/>
          <w:szCs w:val="21"/>
          <w:highlight w:val="none"/>
          <w:lang w:val="en-US" w:eastAsia="zh-CN"/>
        </w:rPr>
        <w:t>原文：</w:t>
      </w:r>
    </w:p>
    <w:p>
      <w:pPr>
        <w:pBdr>
          <w:bottom w:val="single" w:color="auto" w:sz="6" w:space="1"/>
        </w:pBdr>
        <w:spacing w:line="360" w:lineRule="auto"/>
        <w:ind w:firstLine="422" w:firstLineChars="201"/>
        <w:rPr>
          <w:rFonts w:hint="eastAsia" w:ascii="宋体" w:hAnsi="宋体"/>
          <w:color w:val="auto"/>
          <w:szCs w:val="21"/>
          <w:highlight w:val="none"/>
        </w:rPr>
      </w:pPr>
      <w:r>
        <w:rPr>
          <w:rFonts w:hint="eastAsia" w:ascii="宋体" w:hAnsi="宋体"/>
          <w:color w:val="auto"/>
          <w:szCs w:val="21"/>
          <w:highlight w:val="none"/>
        </w:rPr>
        <w:t>16.4如有下列情况之一的，招标人可以不予退还投标保证金（是否退还投标保证金由招标人在招标文件中规定）：</w:t>
      </w:r>
    </w:p>
    <w:p>
      <w:pPr>
        <w:pBdr>
          <w:bottom w:val="single" w:color="auto" w:sz="6" w:space="1"/>
        </w:pBdr>
        <w:spacing w:line="360" w:lineRule="auto"/>
        <w:ind w:firstLine="422" w:firstLineChars="201"/>
        <w:rPr>
          <w:rFonts w:hint="eastAsia" w:ascii="宋体" w:hAnsi="宋体"/>
          <w:color w:val="auto"/>
          <w:szCs w:val="21"/>
          <w:highlight w:val="none"/>
        </w:rPr>
      </w:pPr>
      <w:r>
        <w:rPr>
          <w:rFonts w:hint="eastAsia" w:ascii="宋体" w:hAnsi="宋体"/>
          <w:color w:val="auto"/>
          <w:szCs w:val="21"/>
          <w:highlight w:val="none"/>
        </w:rPr>
        <w:t>16.4.1因投标人原因造成投标文件未解密的；</w:t>
      </w:r>
    </w:p>
    <w:p>
      <w:pPr>
        <w:pBdr>
          <w:bottom w:val="single" w:color="auto" w:sz="6" w:space="1"/>
        </w:pBdr>
        <w:spacing w:line="360" w:lineRule="auto"/>
        <w:ind w:firstLine="422" w:firstLineChars="201"/>
        <w:rPr>
          <w:rFonts w:hint="eastAsia" w:ascii="宋体" w:hAnsi="宋体"/>
          <w:color w:val="auto"/>
          <w:szCs w:val="21"/>
          <w:highlight w:val="none"/>
        </w:rPr>
      </w:pPr>
      <w:r>
        <w:rPr>
          <w:rFonts w:hint="eastAsia" w:ascii="宋体" w:hAnsi="宋体"/>
          <w:color w:val="auto"/>
          <w:szCs w:val="21"/>
          <w:highlight w:val="none"/>
        </w:rPr>
        <w:t>16.4.2投标人在投标有效期内撤销投标文件；</w:t>
      </w:r>
    </w:p>
    <w:p>
      <w:pPr>
        <w:pBdr>
          <w:bottom w:val="single" w:color="auto" w:sz="6" w:space="1"/>
        </w:pBdr>
        <w:spacing w:line="360" w:lineRule="auto"/>
        <w:ind w:firstLine="422" w:firstLineChars="201"/>
        <w:rPr>
          <w:rFonts w:hint="eastAsia" w:ascii="宋体" w:hAnsi="宋体"/>
          <w:color w:val="auto"/>
          <w:szCs w:val="21"/>
          <w:highlight w:val="none"/>
        </w:rPr>
      </w:pPr>
      <w:r>
        <w:rPr>
          <w:rFonts w:hint="eastAsia" w:ascii="宋体" w:hAnsi="宋体"/>
          <w:color w:val="auto"/>
          <w:szCs w:val="21"/>
          <w:highlight w:val="none"/>
        </w:rPr>
        <w:t>16.4.3中标人未能在规定期限内按要求提交履约担保；</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16.4.4中标人未能在规定期限内签署合同协议。</w:t>
      </w:r>
    </w:p>
    <w:p>
      <w:pPr>
        <w:pBdr>
          <w:bottom w:val="single" w:color="auto" w:sz="6" w:space="1"/>
        </w:pBdr>
        <w:spacing w:line="360" w:lineRule="auto"/>
        <w:ind w:firstLine="424" w:firstLineChars="201"/>
        <w:rPr>
          <w:rFonts w:hint="eastAsia" w:ascii="宋体" w:hAnsi="宋体"/>
          <w:color w:val="auto"/>
          <w:szCs w:val="21"/>
          <w:highlight w:val="none"/>
          <w:lang w:val="en-US" w:eastAsia="zh-CN"/>
        </w:rPr>
      </w:pPr>
      <w:r>
        <w:rPr>
          <w:rFonts w:hint="eastAsia" w:ascii="宋体" w:hAnsi="宋体"/>
          <w:b/>
          <w:bCs/>
          <w:color w:val="auto"/>
          <w:szCs w:val="21"/>
          <w:highlight w:val="none"/>
          <w:lang w:val="en-US" w:eastAsia="zh-CN"/>
        </w:rPr>
        <w:t>现文：</w:t>
      </w:r>
    </w:p>
    <w:p>
      <w:pPr>
        <w:pBdr>
          <w:bottom w:val="single" w:color="auto" w:sz="6" w:space="1"/>
        </w:pBdr>
        <w:spacing w:line="360" w:lineRule="auto"/>
        <w:ind w:firstLine="422" w:firstLineChars="201"/>
        <w:rPr>
          <w:rFonts w:ascii="宋体" w:hAnsi="宋体"/>
          <w:color w:val="auto"/>
          <w:szCs w:val="21"/>
          <w:highlight w:val="none"/>
        </w:rPr>
      </w:pPr>
      <w:r>
        <w:rPr>
          <w:rFonts w:ascii="宋体" w:hAnsi="宋体"/>
          <w:color w:val="auto"/>
          <w:szCs w:val="21"/>
          <w:highlight w:val="none"/>
        </w:rPr>
        <w:t>16.4如有下列情况之一的，招标人不予退还投标保证金</w:t>
      </w:r>
      <w:r>
        <w:rPr>
          <w:rFonts w:hint="eastAsia" w:ascii="宋体" w:hAnsi="宋体"/>
          <w:color w:val="auto"/>
          <w:szCs w:val="21"/>
          <w:highlight w:val="none"/>
        </w:rPr>
        <w:t>：</w:t>
      </w:r>
    </w:p>
    <w:p>
      <w:pPr>
        <w:pBdr>
          <w:bottom w:val="single" w:color="auto" w:sz="6" w:space="1"/>
        </w:pBdr>
        <w:spacing w:line="360" w:lineRule="auto"/>
        <w:ind w:firstLine="422" w:firstLineChars="201"/>
        <w:rPr>
          <w:rFonts w:ascii="宋体" w:hAnsi="宋体"/>
          <w:color w:val="auto"/>
          <w:szCs w:val="21"/>
          <w:highlight w:val="none"/>
        </w:rPr>
      </w:pPr>
      <w:r>
        <w:rPr>
          <w:rFonts w:ascii="宋体" w:hAnsi="宋体"/>
          <w:color w:val="auto"/>
          <w:szCs w:val="21"/>
          <w:highlight w:val="none"/>
        </w:rPr>
        <w:t>16.4.1因投标人原因造成投标文件未解密的；</w:t>
      </w:r>
    </w:p>
    <w:p>
      <w:pPr>
        <w:pBdr>
          <w:bottom w:val="single" w:color="auto" w:sz="6" w:space="1"/>
        </w:pBdr>
        <w:spacing w:line="360" w:lineRule="auto"/>
        <w:ind w:firstLine="422" w:firstLineChars="201"/>
        <w:rPr>
          <w:rFonts w:ascii="宋体" w:hAnsi="宋体"/>
          <w:color w:val="auto"/>
          <w:szCs w:val="21"/>
          <w:highlight w:val="none"/>
        </w:rPr>
      </w:pPr>
      <w:r>
        <w:rPr>
          <w:rFonts w:ascii="宋体" w:hAnsi="宋体"/>
          <w:color w:val="auto"/>
          <w:szCs w:val="21"/>
          <w:highlight w:val="none"/>
        </w:rPr>
        <w:t>16.4.2投标人在投标有效期内撤销投标文件；</w:t>
      </w:r>
    </w:p>
    <w:p>
      <w:pPr>
        <w:pBdr>
          <w:bottom w:val="single" w:color="auto" w:sz="6" w:space="1"/>
        </w:pBdr>
        <w:spacing w:line="360" w:lineRule="auto"/>
        <w:ind w:firstLine="422" w:firstLineChars="201"/>
        <w:rPr>
          <w:rFonts w:ascii="宋体" w:hAnsi="宋体"/>
          <w:color w:val="auto"/>
          <w:szCs w:val="21"/>
          <w:highlight w:val="none"/>
        </w:rPr>
      </w:pPr>
      <w:r>
        <w:rPr>
          <w:rFonts w:ascii="宋体" w:hAnsi="宋体"/>
          <w:color w:val="auto"/>
          <w:szCs w:val="21"/>
          <w:highlight w:val="none"/>
        </w:rPr>
        <w:t>16.4.3中标人未能在规定期限内按要求提交履约担保；</w:t>
      </w:r>
    </w:p>
    <w:p>
      <w:pPr>
        <w:pBdr>
          <w:bottom w:val="single" w:color="auto" w:sz="6" w:space="1"/>
        </w:pBdr>
        <w:spacing w:line="360" w:lineRule="auto"/>
        <w:ind w:firstLine="422" w:firstLineChars="201"/>
        <w:rPr>
          <w:rFonts w:ascii="宋体" w:hAnsi="宋体"/>
          <w:color w:val="auto"/>
          <w:szCs w:val="21"/>
          <w:highlight w:val="none"/>
        </w:rPr>
      </w:pPr>
      <w:r>
        <w:rPr>
          <w:rFonts w:ascii="宋体" w:hAnsi="宋体"/>
          <w:color w:val="auto"/>
          <w:szCs w:val="21"/>
          <w:highlight w:val="none"/>
        </w:rPr>
        <w:t>16.4.4中标人未能在规定期限内签署合同协议。</w:t>
      </w:r>
    </w:p>
    <w:p>
      <w:pPr>
        <w:spacing w:line="480" w:lineRule="auto"/>
        <w:ind w:firstLine="472" w:firstLineChars="224"/>
        <w:rPr>
          <w:b/>
          <w:color w:val="auto"/>
          <w:szCs w:val="21"/>
          <w:highlight w:val="none"/>
        </w:rPr>
      </w:pPr>
      <w:r>
        <w:rPr>
          <w:rFonts w:hint="eastAsia"/>
          <w:b/>
          <w:color w:val="auto"/>
          <w:szCs w:val="21"/>
          <w:highlight w:val="none"/>
        </w:rPr>
        <w:t>条款号：16</w:t>
      </w:r>
      <w:r>
        <w:rPr>
          <w:rFonts w:hint="eastAsia"/>
          <w:b/>
          <w:color w:val="auto"/>
          <w:szCs w:val="21"/>
          <w:highlight w:val="none"/>
          <w:lang w:val="en-US" w:eastAsia="zh-CN"/>
        </w:rPr>
        <w:t>.5</w:t>
      </w:r>
      <w:r>
        <w:rPr>
          <w:b/>
          <w:color w:val="auto"/>
          <w:szCs w:val="21"/>
          <w:highlight w:val="none"/>
        </w:rPr>
        <w:t xml:space="preserve">             </w:t>
      </w:r>
      <w:r>
        <w:rPr>
          <w:rFonts w:hint="eastAsia"/>
          <w:b/>
          <w:color w:val="auto"/>
          <w:szCs w:val="21"/>
          <w:highlight w:val="none"/>
        </w:rPr>
        <w:t>修改类型：修改</w:t>
      </w:r>
    </w:p>
    <w:p>
      <w:pPr>
        <w:pBdr>
          <w:bottom w:val="single" w:color="auto" w:sz="6" w:space="1"/>
        </w:pBdr>
        <w:spacing w:line="360" w:lineRule="auto"/>
        <w:ind w:firstLine="424" w:firstLineChars="201"/>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原文：</w:t>
      </w:r>
    </w:p>
    <w:p>
      <w:pPr>
        <w:pBdr>
          <w:bottom w:val="single" w:color="auto" w:sz="6" w:space="1"/>
        </w:pBdr>
        <w:spacing w:line="360" w:lineRule="auto"/>
        <w:ind w:firstLine="422" w:firstLineChars="201"/>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16.5投标人如存在下列情况之一的，将被拒绝在一定时期内参与招标人后续工程投标（拒绝时限需在招标文件中明确）：</w:t>
      </w:r>
    </w:p>
    <w:p>
      <w:pPr>
        <w:pBdr>
          <w:bottom w:val="single" w:color="auto" w:sz="6" w:space="1"/>
        </w:pBdr>
        <w:spacing w:line="360" w:lineRule="auto"/>
        <w:ind w:firstLine="422" w:firstLineChars="201"/>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16.5.1投标人存在16.4条款所列情形且投标人提交的保函、担保或保证保险无法兑付的；</w:t>
      </w:r>
    </w:p>
    <w:p>
      <w:pPr>
        <w:pBdr>
          <w:bottom w:val="single" w:color="auto" w:sz="6" w:space="1"/>
        </w:pBdr>
        <w:spacing w:line="360" w:lineRule="auto"/>
        <w:ind w:firstLine="422" w:firstLineChars="201"/>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16.5.2采用非电子形式提交投标保证金的投标人存在16.4条款所列情形，且未按招标人要求补交银行保函、专业工程担保公司担保或保证保险原件的；</w:t>
      </w:r>
    </w:p>
    <w:p>
      <w:pPr>
        <w:pBdr>
          <w:bottom w:val="single" w:color="auto" w:sz="6" w:space="1"/>
        </w:pBdr>
        <w:spacing w:line="360" w:lineRule="auto"/>
        <w:ind w:firstLine="422" w:firstLineChars="201"/>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16.5.3按招标文件要求免于提供投标保证金的投标人存在16.4条款所列情形，且未按招标人要求补交投标保证金的；</w:t>
      </w:r>
    </w:p>
    <w:p>
      <w:pPr>
        <w:pBdr>
          <w:bottom w:val="single" w:color="auto" w:sz="6" w:space="1"/>
        </w:pBdr>
        <w:spacing w:line="360" w:lineRule="auto"/>
        <w:ind w:firstLine="422" w:firstLineChars="201"/>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16.5.3按招标文件要求免于提供投标保证金的投标人存在16.4条款所列情形的。</w:t>
      </w:r>
    </w:p>
    <w:p>
      <w:pPr>
        <w:pBdr>
          <w:bottom w:val="single" w:color="auto" w:sz="6" w:space="1"/>
        </w:pBdr>
        <w:spacing w:line="360" w:lineRule="auto"/>
        <w:ind w:firstLine="422" w:firstLineChars="201"/>
        <w:rPr>
          <w:rFonts w:hint="eastAsia" w:ascii="宋体" w:hAnsi="宋体" w:eastAsia="宋体"/>
          <w:b w:val="0"/>
          <w:bCs w:val="0"/>
          <w:color w:val="auto"/>
          <w:szCs w:val="21"/>
          <w:highlight w:val="none"/>
          <w:lang w:val="en-US" w:eastAsia="zh-CN"/>
        </w:rPr>
      </w:pPr>
      <w:r>
        <w:rPr>
          <w:rFonts w:hint="eastAsia" w:ascii="宋体" w:hAnsi="宋体"/>
          <w:b w:val="0"/>
          <w:bCs w:val="0"/>
          <w:color w:val="auto"/>
          <w:szCs w:val="21"/>
          <w:highlight w:val="none"/>
          <w:lang w:val="en-US" w:eastAsia="zh-CN"/>
        </w:rPr>
        <w:t>注：16.5.3款由招标人二选一，需在招标文件中明确。</w:t>
      </w:r>
    </w:p>
    <w:p>
      <w:pPr>
        <w:pBdr>
          <w:bottom w:val="single" w:color="auto" w:sz="6" w:space="1"/>
        </w:pBdr>
        <w:spacing w:line="360" w:lineRule="auto"/>
        <w:ind w:firstLine="424" w:firstLineChars="201"/>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现文：</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b w:val="0"/>
          <w:bCs w:val="0"/>
          <w:color w:val="auto"/>
          <w:szCs w:val="21"/>
          <w:highlight w:val="none"/>
          <w:lang w:val="en-US" w:eastAsia="zh-CN"/>
        </w:rPr>
        <w:t>16.5</w:t>
      </w:r>
      <w:r>
        <w:rPr>
          <w:rFonts w:ascii="宋体" w:hAnsi="宋体"/>
          <w:color w:val="auto"/>
          <w:szCs w:val="21"/>
          <w:highlight w:val="none"/>
        </w:rPr>
        <w:t>投标人如存在下列情况之一的，将被拒绝在</w:t>
      </w:r>
      <w:r>
        <w:rPr>
          <w:rFonts w:hint="eastAsia" w:ascii="宋体" w:hAnsi="宋体"/>
          <w:color w:val="auto"/>
          <w:szCs w:val="21"/>
          <w:highlight w:val="none"/>
        </w:rPr>
        <w:t>一年</w:t>
      </w:r>
      <w:r>
        <w:rPr>
          <w:rFonts w:ascii="宋体" w:hAnsi="宋体"/>
          <w:color w:val="auto"/>
          <w:szCs w:val="21"/>
          <w:highlight w:val="none"/>
        </w:rPr>
        <w:t>内</w:t>
      </w:r>
      <w:r>
        <w:rPr>
          <w:rFonts w:hint="eastAsia" w:ascii="宋体" w:hAnsi="宋体"/>
          <w:color w:val="auto"/>
          <w:szCs w:val="21"/>
          <w:highlight w:val="none"/>
        </w:rPr>
        <w:t>参与招标人后续工程投标：</w:t>
      </w:r>
    </w:p>
    <w:p>
      <w:pPr>
        <w:pBdr>
          <w:bottom w:val="single" w:color="auto" w:sz="6" w:space="1"/>
        </w:pBdr>
        <w:spacing w:line="360" w:lineRule="auto"/>
        <w:ind w:firstLine="422" w:firstLineChars="201"/>
        <w:rPr>
          <w:rFonts w:ascii="宋体" w:hAnsi="宋体"/>
          <w:color w:val="auto"/>
          <w:szCs w:val="21"/>
          <w:highlight w:val="none"/>
        </w:rPr>
      </w:pPr>
      <w:r>
        <w:rPr>
          <w:rFonts w:ascii="宋体" w:hAnsi="宋体"/>
          <w:color w:val="auto"/>
          <w:szCs w:val="21"/>
          <w:highlight w:val="none"/>
        </w:rPr>
        <w:t>16.5.1投标人存在16.4条款所列情形且投标人提交的保函、担保或保证保险无法兑付的；</w:t>
      </w:r>
    </w:p>
    <w:p>
      <w:pPr>
        <w:pBdr>
          <w:bottom w:val="single" w:color="auto" w:sz="6" w:space="1"/>
        </w:pBdr>
        <w:spacing w:line="360" w:lineRule="auto"/>
        <w:ind w:firstLine="422" w:firstLineChars="201"/>
        <w:rPr>
          <w:rFonts w:ascii="宋体" w:hAnsi="宋体"/>
          <w:color w:val="auto"/>
          <w:szCs w:val="21"/>
          <w:highlight w:val="none"/>
        </w:rPr>
      </w:pPr>
      <w:r>
        <w:rPr>
          <w:rFonts w:ascii="宋体" w:hAnsi="宋体"/>
          <w:color w:val="auto"/>
          <w:szCs w:val="21"/>
          <w:highlight w:val="none"/>
        </w:rPr>
        <w:t>16.5.2采用非电子形式提交投标保证金的投标人存在16.4条款所列情形，且未按招标人要求补交银行保函、专业工程担保公司担保或保证保险原件的</w:t>
      </w:r>
      <w:r>
        <w:rPr>
          <w:rFonts w:hint="eastAsia" w:ascii="宋体" w:hAnsi="宋体"/>
          <w:color w:val="auto"/>
          <w:szCs w:val="21"/>
          <w:highlight w:val="none"/>
        </w:rPr>
        <w:t>。</w:t>
      </w:r>
    </w:p>
    <w:p>
      <w:pPr>
        <w:spacing w:line="480" w:lineRule="auto"/>
        <w:ind w:firstLine="472" w:firstLineChars="224"/>
        <w:rPr>
          <w:b/>
          <w:color w:val="auto"/>
          <w:szCs w:val="21"/>
          <w:highlight w:val="none"/>
        </w:rPr>
      </w:pPr>
      <w:r>
        <w:rPr>
          <w:rFonts w:hint="eastAsia"/>
          <w:b/>
          <w:color w:val="auto"/>
          <w:szCs w:val="21"/>
          <w:highlight w:val="none"/>
        </w:rPr>
        <w:t>条款号：17.1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olor w:val="auto"/>
          <w:szCs w:val="20"/>
          <w:highlight w:val="none"/>
        </w:rPr>
        <w:t>投标人应采用单位数字证书，按招标文件要求在相应位置加盖电子印章。投标文件中需个人签字或盖章的，应手签后扫描上传。按照交易平台关于全流程电子化项目的相关指南进行操作。详见：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color w:val="auto"/>
          <w:szCs w:val="20"/>
          <w:highlight w:val="none"/>
          <w:u w:val="single"/>
        </w:rPr>
        <w:t xml:space="preserve">            </w:t>
      </w:r>
      <w:r>
        <w:rPr>
          <w:rFonts w:hint="eastAsia" w:ascii="宋体" w:hAnsi="宋体"/>
          <w:color w:val="auto"/>
          <w:szCs w:val="20"/>
          <w:highlight w:val="none"/>
        </w:rPr>
        <w:t xml:space="preserve"> 。</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现文：</w:t>
      </w:r>
      <w:r>
        <w:rPr>
          <w:rFonts w:hint="eastAsia"/>
          <w:bCs/>
          <w:color w:val="auto"/>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color w:val="auto"/>
          <w:szCs w:val="20"/>
          <w:highlight w:val="none"/>
        </w:rPr>
        <w:t>详见：广州公共资源交易中心网站。</w:t>
      </w:r>
    </w:p>
    <w:p>
      <w:pPr>
        <w:spacing w:line="480" w:lineRule="auto"/>
        <w:ind w:firstLine="472" w:firstLineChars="224"/>
        <w:rPr>
          <w:b/>
          <w:color w:val="auto"/>
          <w:szCs w:val="21"/>
          <w:highlight w:val="none"/>
        </w:rPr>
      </w:pPr>
      <w:r>
        <w:rPr>
          <w:rFonts w:hint="eastAsia"/>
          <w:b/>
          <w:color w:val="auto"/>
          <w:szCs w:val="21"/>
          <w:highlight w:val="none"/>
        </w:rPr>
        <w:t>条款号：18.1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bCs/>
          <w:color w:val="auto"/>
          <w:szCs w:val="21"/>
          <w:highlight w:val="none"/>
        </w:rPr>
        <w:t>递交的电子投标文件（不含备用光盘）必须进行加密。按照交易平台关于全流程电子化项目的相关指南进行操作。详见：            。</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现文：</w:t>
      </w:r>
      <w:r>
        <w:rPr>
          <w:rFonts w:hint="eastAsia" w:ascii="宋体" w:hAnsi="宋体"/>
          <w:bCs/>
          <w:color w:val="auto"/>
          <w:szCs w:val="20"/>
          <w:highlight w:val="none"/>
        </w:rPr>
        <w:t>递交的电子投标文件（不含备用光盘）必须进行加密。按照广州公共资源交易中心交易平台关于</w:t>
      </w:r>
      <w:r>
        <w:rPr>
          <w:rFonts w:hint="eastAsia"/>
          <w:color w:val="auto"/>
          <w:szCs w:val="21"/>
          <w:highlight w:val="none"/>
        </w:rPr>
        <w:t>全流程电子化项目的相关指南进行操作。详见：广州公共资源交易中心网站。</w:t>
      </w:r>
    </w:p>
    <w:p>
      <w:pPr>
        <w:spacing w:line="480" w:lineRule="auto"/>
        <w:ind w:firstLine="472" w:firstLineChars="224"/>
        <w:rPr>
          <w:b/>
          <w:color w:val="auto"/>
          <w:szCs w:val="21"/>
          <w:highlight w:val="none"/>
        </w:rPr>
      </w:pPr>
      <w:r>
        <w:rPr>
          <w:rFonts w:hint="eastAsia"/>
          <w:b/>
          <w:color w:val="auto"/>
          <w:szCs w:val="21"/>
          <w:highlight w:val="none"/>
        </w:rPr>
        <w:t>条款号：18.2</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bCs/>
          <w:color w:val="auto"/>
          <w:szCs w:val="20"/>
          <w:highlight w:val="none"/>
        </w:rPr>
        <w:t>未按要求加密的投标文件，</w:t>
      </w:r>
      <w:r>
        <w:rPr>
          <w:color w:val="auto"/>
          <w:szCs w:val="21"/>
          <w:highlight w:val="none"/>
          <w:u w:val="single"/>
        </w:rPr>
        <w:t xml:space="preserve">        </w:t>
      </w:r>
      <w:r>
        <w:rPr>
          <w:rFonts w:hint="eastAsia" w:ascii="宋体" w:hAnsi="宋体"/>
          <w:color w:val="auto"/>
          <w:szCs w:val="21"/>
          <w:highlight w:val="none"/>
        </w:rPr>
        <w:t>交易平台</w:t>
      </w:r>
      <w:r>
        <w:rPr>
          <w:rFonts w:hint="eastAsia" w:ascii="宋体"/>
          <w:bCs/>
          <w:color w:val="auto"/>
          <w:szCs w:val="20"/>
          <w:highlight w:val="none"/>
        </w:rPr>
        <w:t>将予以拒收。</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现文：</w:t>
      </w:r>
      <w:r>
        <w:rPr>
          <w:rFonts w:hint="eastAsia" w:ascii="宋体"/>
          <w:bCs/>
          <w:color w:val="auto"/>
          <w:szCs w:val="20"/>
          <w:highlight w:val="none"/>
        </w:rPr>
        <w:t>未按要求加密的投标文件，</w:t>
      </w:r>
      <w:r>
        <w:rPr>
          <w:rFonts w:hint="eastAsia"/>
          <w:color w:val="auto"/>
          <w:szCs w:val="21"/>
          <w:highlight w:val="none"/>
          <w:u w:val="single"/>
        </w:rPr>
        <w:t>广州公共资源交易中心</w:t>
      </w:r>
      <w:r>
        <w:rPr>
          <w:rFonts w:hint="eastAsia" w:ascii="宋体" w:hAnsi="宋体"/>
          <w:color w:val="auto"/>
          <w:szCs w:val="21"/>
          <w:highlight w:val="none"/>
        </w:rPr>
        <w:t>交易平台</w:t>
      </w:r>
      <w:r>
        <w:rPr>
          <w:rFonts w:hint="eastAsia" w:ascii="宋体"/>
          <w:bCs/>
          <w:color w:val="auto"/>
          <w:szCs w:val="20"/>
          <w:highlight w:val="none"/>
        </w:rPr>
        <w:t>将予以拒收。</w:t>
      </w:r>
    </w:p>
    <w:p>
      <w:pPr>
        <w:spacing w:line="480" w:lineRule="auto"/>
        <w:ind w:firstLine="472" w:firstLineChars="224"/>
        <w:rPr>
          <w:b/>
          <w:color w:val="auto"/>
          <w:szCs w:val="21"/>
          <w:highlight w:val="none"/>
        </w:rPr>
      </w:pPr>
      <w:r>
        <w:rPr>
          <w:rFonts w:hint="eastAsia"/>
          <w:b/>
          <w:color w:val="auto"/>
          <w:szCs w:val="21"/>
          <w:highlight w:val="none"/>
        </w:rPr>
        <w:t>条款号：19</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bCs/>
          <w:color w:val="auto"/>
          <w:szCs w:val="20"/>
          <w:highlight w:val="none"/>
        </w:rPr>
      </w:pPr>
      <w:r>
        <w:rPr>
          <w:rFonts w:hint="eastAsia"/>
          <w:b/>
          <w:color w:val="auto"/>
          <w:szCs w:val="21"/>
          <w:highlight w:val="none"/>
        </w:rPr>
        <w:t>原文：</w:t>
      </w:r>
      <w:r>
        <w:rPr>
          <w:rFonts w:ascii="宋体" w:hAnsi="宋体"/>
          <w:bCs/>
          <w:color w:val="auto"/>
          <w:szCs w:val="20"/>
          <w:highlight w:val="none"/>
        </w:rPr>
        <w:t>1</w:t>
      </w:r>
      <w:r>
        <w:rPr>
          <w:rFonts w:hint="eastAsia" w:ascii="宋体" w:hAnsi="宋体"/>
          <w:bCs/>
          <w:color w:val="auto"/>
          <w:szCs w:val="20"/>
          <w:highlight w:val="none"/>
        </w:rPr>
        <w:t>9</w:t>
      </w:r>
      <w:r>
        <w:rPr>
          <w:rFonts w:ascii="宋体" w:hAnsi="宋体"/>
          <w:bCs/>
          <w:color w:val="auto"/>
          <w:szCs w:val="20"/>
          <w:highlight w:val="none"/>
        </w:rPr>
        <w:t>.</w:t>
      </w:r>
      <w:r>
        <w:rPr>
          <w:rFonts w:hint="eastAsia" w:ascii="宋体" w:hAnsi="宋体"/>
          <w:bCs/>
          <w:color w:val="auto"/>
          <w:szCs w:val="20"/>
          <w:highlight w:val="none"/>
        </w:rPr>
        <w:t>1投标人通过</w:t>
      </w:r>
      <w:r>
        <w:rPr>
          <w:color w:val="auto"/>
          <w:szCs w:val="21"/>
          <w:highlight w:val="none"/>
          <w:u w:val="single"/>
        </w:rPr>
        <w:t xml:space="preserve">        </w:t>
      </w:r>
      <w:r>
        <w:rPr>
          <w:rFonts w:hint="eastAsia" w:ascii="宋体" w:hAnsi="宋体"/>
          <w:color w:val="auto"/>
          <w:szCs w:val="21"/>
          <w:highlight w:val="none"/>
        </w:rPr>
        <w:t>交易平台</w:t>
      </w:r>
      <w:r>
        <w:rPr>
          <w:rFonts w:hint="eastAsia" w:ascii="宋体" w:hAnsi="宋体"/>
          <w:color w:val="auto"/>
          <w:szCs w:val="20"/>
          <w:highlight w:val="none"/>
        </w:rPr>
        <w:t>递交电子投标文件。</w:t>
      </w:r>
    </w:p>
    <w:p>
      <w:pPr>
        <w:spacing w:line="360" w:lineRule="auto"/>
        <w:ind w:firstLine="420" w:firstLineChars="200"/>
        <w:rPr>
          <w:rFonts w:ascii="宋体"/>
          <w:bCs/>
          <w:color w:val="auto"/>
          <w:szCs w:val="20"/>
          <w:highlight w:val="none"/>
        </w:rPr>
      </w:pPr>
      <w:r>
        <w:rPr>
          <w:rFonts w:ascii="宋体" w:hAnsi="宋体"/>
          <w:bCs/>
          <w:color w:val="auto"/>
          <w:szCs w:val="20"/>
          <w:highlight w:val="none"/>
        </w:rPr>
        <w:t>1</w:t>
      </w:r>
      <w:r>
        <w:rPr>
          <w:rFonts w:hint="eastAsia" w:ascii="宋体" w:hAnsi="宋体"/>
          <w:bCs/>
          <w:color w:val="auto"/>
          <w:szCs w:val="20"/>
          <w:highlight w:val="none"/>
        </w:rPr>
        <w:t>9</w:t>
      </w:r>
      <w:r>
        <w:rPr>
          <w:rFonts w:ascii="宋体" w:hAnsi="宋体"/>
          <w:bCs/>
          <w:color w:val="auto"/>
          <w:szCs w:val="20"/>
          <w:highlight w:val="none"/>
        </w:rPr>
        <w:t>.</w:t>
      </w:r>
      <w:r>
        <w:rPr>
          <w:rFonts w:hint="eastAsia" w:ascii="宋体" w:hAnsi="宋体"/>
          <w:bCs/>
          <w:color w:val="auto"/>
          <w:szCs w:val="20"/>
          <w:highlight w:val="none"/>
        </w:rPr>
        <w:t>2投标人完成电子</w:t>
      </w:r>
      <w:r>
        <w:rPr>
          <w:rFonts w:hint="eastAsia" w:ascii="宋体" w:hAnsi="宋体"/>
          <w:color w:val="auto"/>
          <w:szCs w:val="20"/>
          <w:highlight w:val="none"/>
        </w:rPr>
        <w:t>投标文件</w:t>
      </w:r>
      <w:r>
        <w:rPr>
          <w:rFonts w:hint="eastAsia" w:ascii="宋体" w:hAnsi="宋体"/>
          <w:bCs/>
          <w:color w:val="auto"/>
          <w:szCs w:val="20"/>
          <w:highlight w:val="none"/>
        </w:rPr>
        <w:t>上传后，</w:t>
      </w:r>
      <w:r>
        <w:rPr>
          <w:color w:val="auto"/>
          <w:szCs w:val="21"/>
          <w:highlight w:val="none"/>
          <w:u w:val="single"/>
        </w:rPr>
        <w:t xml:space="preserve">        </w:t>
      </w:r>
      <w:r>
        <w:rPr>
          <w:rFonts w:hint="eastAsia" w:ascii="宋体" w:hAnsi="宋体"/>
          <w:color w:val="auto"/>
          <w:szCs w:val="21"/>
          <w:highlight w:val="none"/>
        </w:rPr>
        <w:t>交易平台</w:t>
      </w:r>
      <w:r>
        <w:rPr>
          <w:rFonts w:hint="eastAsia" w:ascii="宋体" w:hAnsi="宋体"/>
          <w:color w:val="auto"/>
          <w:szCs w:val="20"/>
          <w:highlight w:val="none"/>
        </w:rPr>
        <w:t>即时向投标人发出递交回执通知。递交时间以递交回执通知载明的传输完成时间为准。</w:t>
      </w:r>
    </w:p>
    <w:p>
      <w:pPr>
        <w:spacing w:line="360" w:lineRule="auto"/>
        <w:ind w:firstLine="420" w:firstLineChars="200"/>
        <w:rPr>
          <w:rFonts w:ascii="宋体" w:hAnsi="宋体"/>
          <w:color w:val="auto"/>
          <w:szCs w:val="20"/>
          <w:highlight w:val="none"/>
        </w:rPr>
      </w:pPr>
      <w:r>
        <w:rPr>
          <w:rFonts w:ascii="宋体" w:hAnsi="宋体"/>
          <w:bCs/>
          <w:color w:val="auto"/>
          <w:szCs w:val="20"/>
          <w:highlight w:val="none"/>
        </w:rPr>
        <w:t>1</w:t>
      </w:r>
      <w:r>
        <w:rPr>
          <w:rFonts w:hint="eastAsia" w:ascii="宋体" w:hAnsi="宋体"/>
          <w:bCs/>
          <w:color w:val="auto"/>
          <w:szCs w:val="20"/>
          <w:highlight w:val="none"/>
        </w:rPr>
        <w:t>9</w:t>
      </w:r>
      <w:r>
        <w:rPr>
          <w:rFonts w:ascii="宋体" w:hAnsi="宋体"/>
          <w:bCs/>
          <w:color w:val="auto"/>
          <w:szCs w:val="20"/>
          <w:highlight w:val="none"/>
        </w:rPr>
        <w:t>.</w:t>
      </w:r>
      <w:r>
        <w:rPr>
          <w:rFonts w:hint="eastAsia" w:ascii="宋体" w:hAnsi="宋体"/>
          <w:bCs/>
          <w:color w:val="auto"/>
          <w:szCs w:val="20"/>
          <w:highlight w:val="none"/>
        </w:rPr>
        <w:t>3</w:t>
      </w:r>
      <w:r>
        <w:rPr>
          <w:rFonts w:hint="eastAsia"/>
          <w:bCs/>
          <w:color w:val="auto"/>
          <w:szCs w:val="21"/>
          <w:highlight w:val="none"/>
        </w:rPr>
        <w:t>逾期送达的</w:t>
      </w:r>
      <w:r>
        <w:rPr>
          <w:rFonts w:hint="eastAsia" w:ascii="宋体" w:hAnsi="宋体"/>
          <w:bCs/>
          <w:color w:val="auto"/>
          <w:szCs w:val="20"/>
          <w:highlight w:val="none"/>
        </w:rPr>
        <w:t>电子投标文件，</w:t>
      </w:r>
      <w:r>
        <w:rPr>
          <w:color w:val="auto"/>
          <w:szCs w:val="21"/>
          <w:highlight w:val="none"/>
          <w:u w:val="single"/>
        </w:rPr>
        <w:t xml:space="preserve">        </w:t>
      </w:r>
      <w:r>
        <w:rPr>
          <w:rFonts w:hint="eastAsia" w:ascii="宋体" w:hAnsi="宋体"/>
          <w:color w:val="auto"/>
          <w:szCs w:val="21"/>
          <w:highlight w:val="none"/>
        </w:rPr>
        <w:t>交易平台</w:t>
      </w:r>
      <w:r>
        <w:rPr>
          <w:rFonts w:hint="eastAsia" w:ascii="宋体" w:hAnsi="宋体"/>
          <w:color w:val="auto"/>
          <w:szCs w:val="20"/>
          <w:highlight w:val="none"/>
        </w:rPr>
        <w:t>将予以拒收。</w:t>
      </w:r>
    </w:p>
    <w:p>
      <w:pPr>
        <w:spacing w:line="360" w:lineRule="auto"/>
        <w:ind w:firstLine="420" w:firstLineChars="200"/>
        <w:rPr>
          <w:rFonts w:ascii="宋体"/>
          <w:color w:val="auto"/>
          <w:szCs w:val="20"/>
          <w:highlight w:val="none"/>
        </w:rPr>
      </w:pPr>
      <w:r>
        <w:rPr>
          <w:rFonts w:ascii="宋体" w:hAnsi="宋体"/>
          <w:color w:val="auto"/>
          <w:szCs w:val="20"/>
          <w:highlight w:val="none"/>
        </w:rPr>
        <w:t>19.</w:t>
      </w:r>
      <w:r>
        <w:rPr>
          <w:rFonts w:hint="eastAsia" w:ascii="宋体" w:hAnsi="宋体"/>
          <w:color w:val="auto"/>
          <w:szCs w:val="20"/>
          <w:highlight w:val="none"/>
        </w:rPr>
        <w:t>4</w:t>
      </w:r>
      <w:r>
        <w:rPr>
          <w:rFonts w:ascii="宋体" w:hAnsi="宋体"/>
          <w:color w:val="auto"/>
          <w:szCs w:val="20"/>
          <w:highlight w:val="none"/>
        </w:rPr>
        <w:t xml:space="preserve"> </w:t>
      </w:r>
      <w:r>
        <w:rPr>
          <w:rFonts w:hint="eastAsia" w:ascii="宋体" w:hAnsi="宋体"/>
          <w:color w:val="auto"/>
          <w:szCs w:val="21"/>
          <w:highlight w:val="none"/>
        </w:rPr>
        <w:t>投标截止前，</w:t>
      </w:r>
      <w:r>
        <w:rPr>
          <w:rFonts w:hint="eastAsia"/>
          <w:color w:val="auto"/>
          <w:szCs w:val="21"/>
          <w:highlight w:val="none"/>
        </w:rPr>
        <w:t>招标人拒绝接收符合条件的投标文件，投标人可向招标投标监督机构投诉。</w:t>
      </w:r>
    </w:p>
    <w:p>
      <w:pPr>
        <w:spacing w:line="360" w:lineRule="auto"/>
        <w:ind w:firstLine="420" w:firstLineChars="200"/>
        <w:rPr>
          <w:rFonts w:ascii="宋体" w:hAnsi="宋体"/>
          <w:color w:val="auto"/>
          <w:szCs w:val="20"/>
          <w:highlight w:val="none"/>
        </w:rPr>
      </w:pPr>
      <w:r>
        <w:rPr>
          <w:rFonts w:ascii="宋体" w:hAnsi="宋体"/>
          <w:color w:val="auto"/>
          <w:szCs w:val="20"/>
          <w:highlight w:val="none"/>
        </w:rPr>
        <w:t>19.</w:t>
      </w:r>
      <w:r>
        <w:rPr>
          <w:rFonts w:hint="eastAsia" w:ascii="宋体" w:hAnsi="宋体"/>
          <w:color w:val="auto"/>
          <w:szCs w:val="20"/>
          <w:highlight w:val="none"/>
        </w:rPr>
        <w:t>5如技术标和经济标先后分别开启，</w:t>
      </w:r>
      <w:r>
        <w:rPr>
          <w:color w:val="auto"/>
          <w:szCs w:val="21"/>
          <w:highlight w:val="none"/>
          <w:u w:val="single"/>
        </w:rPr>
        <w:t xml:space="preserve">        </w:t>
      </w:r>
      <w:r>
        <w:rPr>
          <w:rFonts w:hint="eastAsia" w:ascii="宋体" w:hAnsi="宋体"/>
          <w:color w:val="auto"/>
          <w:szCs w:val="21"/>
          <w:highlight w:val="none"/>
        </w:rPr>
        <w:t>交易平台</w:t>
      </w:r>
      <w:r>
        <w:rPr>
          <w:rFonts w:hint="eastAsia" w:ascii="宋体" w:hAnsi="宋体"/>
          <w:color w:val="auto"/>
          <w:szCs w:val="20"/>
          <w:highlight w:val="none"/>
        </w:rPr>
        <w:t>将按招标文件规定的时间分别开启技术标和经济标。</w:t>
      </w:r>
    </w:p>
    <w:p>
      <w:pPr>
        <w:spacing w:line="360" w:lineRule="auto"/>
        <w:ind w:firstLine="422" w:firstLineChars="200"/>
        <w:rPr>
          <w:rFonts w:ascii="宋体"/>
          <w:bCs/>
          <w:color w:val="auto"/>
          <w:szCs w:val="20"/>
          <w:highlight w:val="none"/>
        </w:rPr>
      </w:pPr>
      <w:r>
        <w:rPr>
          <w:rFonts w:hint="eastAsia"/>
          <w:b/>
          <w:color w:val="auto"/>
          <w:szCs w:val="21"/>
          <w:highlight w:val="none"/>
        </w:rPr>
        <w:t>现文：</w:t>
      </w:r>
      <w:r>
        <w:rPr>
          <w:rFonts w:ascii="宋体" w:hAnsi="宋体"/>
          <w:bCs/>
          <w:color w:val="auto"/>
          <w:szCs w:val="20"/>
          <w:highlight w:val="none"/>
        </w:rPr>
        <w:t>1</w:t>
      </w:r>
      <w:r>
        <w:rPr>
          <w:rFonts w:hint="eastAsia" w:ascii="宋体" w:hAnsi="宋体"/>
          <w:bCs/>
          <w:color w:val="auto"/>
          <w:szCs w:val="20"/>
          <w:highlight w:val="none"/>
        </w:rPr>
        <w:t>9</w:t>
      </w:r>
      <w:r>
        <w:rPr>
          <w:rFonts w:ascii="宋体" w:hAnsi="宋体"/>
          <w:bCs/>
          <w:color w:val="auto"/>
          <w:szCs w:val="20"/>
          <w:highlight w:val="none"/>
        </w:rPr>
        <w:t>.</w:t>
      </w:r>
      <w:r>
        <w:rPr>
          <w:rFonts w:hint="eastAsia" w:ascii="宋体" w:hAnsi="宋体"/>
          <w:bCs/>
          <w:color w:val="auto"/>
          <w:szCs w:val="20"/>
          <w:highlight w:val="none"/>
        </w:rPr>
        <w:t>1投标人通过</w:t>
      </w:r>
      <w:r>
        <w:rPr>
          <w:rFonts w:hint="eastAsia"/>
          <w:color w:val="auto"/>
          <w:szCs w:val="21"/>
          <w:highlight w:val="none"/>
          <w:u w:val="single"/>
        </w:rPr>
        <w:t>广州公共资源交易中心</w:t>
      </w:r>
      <w:r>
        <w:rPr>
          <w:rFonts w:hint="eastAsia" w:ascii="宋体" w:hAnsi="宋体"/>
          <w:color w:val="auto"/>
          <w:szCs w:val="21"/>
          <w:highlight w:val="none"/>
        </w:rPr>
        <w:t>交易平台</w:t>
      </w:r>
      <w:r>
        <w:rPr>
          <w:rFonts w:hint="eastAsia" w:ascii="宋体" w:hAnsi="宋体"/>
          <w:color w:val="auto"/>
          <w:szCs w:val="20"/>
          <w:highlight w:val="none"/>
        </w:rPr>
        <w:t>递交电子投标文件。</w:t>
      </w:r>
    </w:p>
    <w:p>
      <w:pPr>
        <w:spacing w:line="360" w:lineRule="auto"/>
        <w:ind w:firstLine="420" w:firstLineChars="200"/>
        <w:rPr>
          <w:rFonts w:ascii="宋体"/>
          <w:bCs/>
          <w:color w:val="auto"/>
          <w:szCs w:val="20"/>
          <w:highlight w:val="none"/>
        </w:rPr>
      </w:pPr>
      <w:r>
        <w:rPr>
          <w:rFonts w:ascii="宋体" w:hAnsi="宋体"/>
          <w:bCs/>
          <w:color w:val="auto"/>
          <w:szCs w:val="20"/>
          <w:highlight w:val="none"/>
        </w:rPr>
        <w:t>1</w:t>
      </w:r>
      <w:r>
        <w:rPr>
          <w:rFonts w:hint="eastAsia" w:ascii="宋体" w:hAnsi="宋体"/>
          <w:bCs/>
          <w:color w:val="auto"/>
          <w:szCs w:val="20"/>
          <w:highlight w:val="none"/>
        </w:rPr>
        <w:t>9</w:t>
      </w:r>
      <w:r>
        <w:rPr>
          <w:rFonts w:ascii="宋体" w:hAnsi="宋体"/>
          <w:bCs/>
          <w:color w:val="auto"/>
          <w:szCs w:val="20"/>
          <w:highlight w:val="none"/>
        </w:rPr>
        <w:t>.</w:t>
      </w:r>
      <w:r>
        <w:rPr>
          <w:rFonts w:hint="eastAsia" w:ascii="宋体" w:hAnsi="宋体"/>
          <w:bCs/>
          <w:color w:val="auto"/>
          <w:szCs w:val="20"/>
          <w:highlight w:val="none"/>
        </w:rPr>
        <w:t>2投标人完成电子</w:t>
      </w:r>
      <w:r>
        <w:rPr>
          <w:rFonts w:hint="eastAsia" w:ascii="宋体" w:hAnsi="宋体"/>
          <w:color w:val="auto"/>
          <w:szCs w:val="20"/>
          <w:highlight w:val="none"/>
        </w:rPr>
        <w:t>投标文件</w:t>
      </w:r>
      <w:r>
        <w:rPr>
          <w:rFonts w:hint="eastAsia" w:ascii="宋体" w:hAnsi="宋体"/>
          <w:bCs/>
          <w:color w:val="auto"/>
          <w:szCs w:val="20"/>
          <w:highlight w:val="none"/>
        </w:rPr>
        <w:t>上传后，</w:t>
      </w:r>
      <w:r>
        <w:rPr>
          <w:rFonts w:hint="eastAsia"/>
          <w:color w:val="auto"/>
          <w:szCs w:val="21"/>
          <w:highlight w:val="none"/>
          <w:u w:val="single"/>
        </w:rPr>
        <w:t>广州公共资源交易中心</w:t>
      </w:r>
      <w:r>
        <w:rPr>
          <w:rFonts w:hint="eastAsia" w:ascii="宋体" w:hAnsi="宋体"/>
          <w:color w:val="auto"/>
          <w:szCs w:val="21"/>
          <w:highlight w:val="none"/>
        </w:rPr>
        <w:t>交易平台</w:t>
      </w:r>
      <w:r>
        <w:rPr>
          <w:rFonts w:hint="eastAsia" w:ascii="宋体" w:hAnsi="宋体"/>
          <w:color w:val="auto"/>
          <w:szCs w:val="20"/>
          <w:highlight w:val="none"/>
        </w:rPr>
        <w:t>即时向投标人发出递交回执通知。递交时间以递交回执通知载明的传输完成时间为准。</w:t>
      </w:r>
    </w:p>
    <w:p>
      <w:pPr>
        <w:spacing w:line="360" w:lineRule="auto"/>
        <w:ind w:firstLine="420" w:firstLineChars="200"/>
        <w:rPr>
          <w:rFonts w:ascii="宋体" w:hAnsi="宋体"/>
          <w:color w:val="auto"/>
          <w:szCs w:val="20"/>
          <w:highlight w:val="none"/>
        </w:rPr>
      </w:pPr>
      <w:r>
        <w:rPr>
          <w:rFonts w:ascii="宋体" w:hAnsi="宋体"/>
          <w:bCs/>
          <w:color w:val="auto"/>
          <w:szCs w:val="20"/>
          <w:highlight w:val="none"/>
        </w:rPr>
        <w:t>1</w:t>
      </w:r>
      <w:r>
        <w:rPr>
          <w:rFonts w:hint="eastAsia" w:ascii="宋体" w:hAnsi="宋体"/>
          <w:bCs/>
          <w:color w:val="auto"/>
          <w:szCs w:val="20"/>
          <w:highlight w:val="none"/>
        </w:rPr>
        <w:t>9</w:t>
      </w:r>
      <w:r>
        <w:rPr>
          <w:rFonts w:ascii="宋体" w:hAnsi="宋体"/>
          <w:bCs/>
          <w:color w:val="auto"/>
          <w:szCs w:val="20"/>
          <w:highlight w:val="none"/>
        </w:rPr>
        <w:t>.</w:t>
      </w:r>
      <w:r>
        <w:rPr>
          <w:rFonts w:hint="eastAsia" w:ascii="宋体" w:hAnsi="宋体"/>
          <w:bCs/>
          <w:color w:val="auto"/>
          <w:szCs w:val="20"/>
          <w:highlight w:val="none"/>
        </w:rPr>
        <w:t>3</w:t>
      </w:r>
      <w:r>
        <w:rPr>
          <w:rFonts w:hint="eastAsia"/>
          <w:bCs/>
          <w:color w:val="auto"/>
          <w:szCs w:val="21"/>
          <w:highlight w:val="none"/>
        </w:rPr>
        <w:t>逾期送达的</w:t>
      </w:r>
      <w:r>
        <w:rPr>
          <w:rFonts w:hint="eastAsia" w:ascii="宋体" w:hAnsi="宋体"/>
          <w:bCs/>
          <w:color w:val="auto"/>
          <w:szCs w:val="20"/>
          <w:highlight w:val="none"/>
        </w:rPr>
        <w:t>电子投标文件，</w:t>
      </w:r>
      <w:r>
        <w:rPr>
          <w:rFonts w:hint="eastAsia"/>
          <w:color w:val="auto"/>
          <w:szCs w:val="21"/>
          <w:highlight w:val="none"/>
          <w:u w:val="single"/>
        </w:rPr>
        <w:t>广州公共资源交易中心</w:t>
      </w:r>
      <w:r>
        <w:rPr>
          <w:rFonts w:hint="eastAsia" w:ascii="宋体" w:hAnsi="宋体"/>
          <w:color w:val="auto"/>
          <w:szCs w:val="21"/>
          <w:highlight w:val="none"/>
        </w:rPr>
        <w:t>交易平台</w:t>
      </w:r>
      <w:r>
        <w:rPr>
          <w:rFonts w:hint="eastAsia" w:ascii="宋体" w:hAnsi="宋体"/>
          <w:color w:val="auto"/>
          <w:szCs w:val="20"/>
          <w:highlight w:val="none"/>
        </w:rPr>
        <w:t>将予以拒收。</w:t>
      </w:r>
    </w:p>
    <w:p>
      <w:pPr>
        <w:pBdr>
          <w:bottom w:val="single" w:color="auto" w:sz="6" w:space="1"/>
        </w:pBdr>
        <w:ind w:firstLine="420" w:firstLineChars="200"/>
        <w:rPr>
          <w:b/>
          <w:color w:val="auto"/>
          <w:szCs w:val="21"/>
          <w:highlight w:val="none"/>
        </w:rPr>
      </w:pPr>
      <w:r>
        <w:rPr>
          <w:rFonts w:ascii="宋体" w:hAnsi="宋体"/>
          <w:color w:val="auto"/>
          <w:szCs w:val="20"/>
          <w:highlight w:val="none"/>
        </w:rPr>
        <w:t>19.</w:t>
      </w:r>
      <w:r>
        <w:rPr>
          <w:rFonts w:hint="eastAsia" w:ascii="宋体" w:hAnsi="宋体"/>
          <w:color w:val="auto"/>
          <w:szCs w:val="20"/>
          <w:highlight w:val="none"/>
        </w:rPr>
        <w:t>4</w:t>
      </w:r>
      <w:r>
        <w:rPr>
          <w:rFonts w:ascii="宋体" w:hAnsi="宋体"/>
          <w:color w:val="auto"/>
          <w:szCs w:val="20"/>
          <w:highlight w:val="none"/>
        </w:rPr>
        <w:t xml:space="preserve"> </w:t>
      </w:r>
      <w:r>
        <w:rPr>
          <w:rFonts w:hint="eastAsia" w:ascii="宋体" w:hAnsi="宋体"/>
          <w:color w:val="auto"/>
          <w:szCs w:val="21"/>
          <w:highlight w:val="none"/>
        </w:rPr>
        <w:t>投标截止前，</w:t>
      </w:r>
      <w:r>
        <w:rPr>
          <w:rFonts w:hint="eastAsia"/>
          <w:color w:val="auto"/>
          <w:szCs w:val="21"/>
          <w:highlight w:val="none"/>
        </w:rPr>
        <w:t>招标人拒绝接收符合条件的投标文件，投标人可向招标投标监督机构投诉。</w:t>
      </w:r>
    </w:p>
    <w:p>
      <w:pPr>
        <w:spacing w:line="480" w:lineRule="auto"/>
        <w:ind w:firstLine="472" w:firstLineChars="224"/>
        <w:rPr>
          <w:b/>
          <w:color w:val="auto"/>
          <w:szCs w:val="21"/>
          <w:highlight w:val="none"/>
        </w:rPr>
      </w:pPr>
      <w:r>
        <w:rPr>
          <w:rFonts w:hint="eastAsia"/>
          <w:b/>
          <w:color w:val="auto"/>
          <w:szCs w:val="21"/>
          <w:highlight w:val="none"/>
        </w:rPr>
        <w:t>条款号：21.1</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olor w:val="auto"/>
          <w:szCs w:val="20"/>
          <w:highlight w:val="none"/>
        </w:rPr>
        <w:t>本须知前附表第</w:t>
      </w:r>
      <w:r>
        <w:rPr>
          <w:rFonts w:ascii="宋体" w:hAnsi="宋体"/>
          <w:color w:val="auto"/>
          <w:szCs w:val="20"/>
          <w:highlight w:val="none"/>
        </w:rPr>
        <w:t>1</w:t>
      </w:r>
      <w:r>
        <w:rPr>
          <w:rFonts w:hint="eastAsia" w:ascii="宋体" w:hAnsi="宋体"/>
          <w:color w:val="auto"/>
          <w:szCs w:val="20"/>
          <w:highlight w:val="none"/>
        </w:rPr>
        <w:t>7项规定的投标截止时间</w:t>
      </w:r>
      <w:r>
        <w:rPr>
          <w:rFonts w:hint="eastAsia"/>
          <w:bCs/>
          <w:color w:val="auto"/>
          <w:szCs w:val="21"/>
          <w:highlight w:val="none"/>
        </w:rPr>
        <w:t>后送达的</w:t>
      </w:r>
      <w:r>
        <w:rPr>
          <w:rFonts w:hint="eastAsia" w:ascii="宋体" w:hAnsi="宋体"/>
          <w:bCs/>
          <w:color w:val="auto"/>
          <w:szCs w:val="20"/>
          <w:highlight w:val="none"/>
        </w:rPr>
        <w:t>电子投标文件，</w:t>
      </w:r>
      <w:r>
        <w:rPr>
          <w:color w:val="auto"/>
          <w:szCs w:val="21"/>
          <w:highlight w:val="none"/>
          <w:u w:val="single"/>
        </w:rPr>
        <w:t xml:space="preserve">       </w:t>
      </w:r>
      <w:r>
        <w:rPr>
          <w:rFonts w:hint="eastAsia" w:ascii="宋体" w:hAnsi="宋体"/>
          <w:color w:val="auto"/>
          <w:szCs w:val="21"/>
          <w:highlight w:val="none"/>
        </w:rPr>
        <w:t>交易平台</w:t>
      </w:r>
      <w:r>
        <w:rPr>
          <w:rFonts w:hint="eastAsia" w:ascii="宋体" w:hAnsi="宋体"/>
          <w:color w:val="auto"/>
          <w:szCs w:val="20"/>
          <w:highlight w:val="none"/>
        </w:rPr>
        <w:t>将予以拒收。</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现文：</w:t>
      </w:r>
      <w:r>
        <w:rPr>
          <w:rFonts w:hint="eastAsia" w:ascii="宋体" w:hAnsi="宋体"/>
          <w:color w:val="auto"/>
          <w:szCs w:val="20"/>
          <w:highlight w:val="none"/>
        </w:rPr>
        <w:t>本须知前附表第</w:t>
      </w:r>
      <w:r>
        <w:rPr>
          <w:rFonts w:ascii="宋体" w:hAnsi="宋体"/>
          <w:color w:val="auto"/>
          <w:szCs w:val="20"/>
          <w:highlight w:val="none"/>
        </w:rPr>
        <w:t>1</w:t>
      </w:r>
      <w:r>
        <w:rPr>
          <w:rFonts w:hint="eastAsia" w:ascii="宋体" w:hAnsi="宋体"/>
          <w:color w:val="auto"/>
          <w:szCs w:val="20"/>
          <w:highlight w:val="none"/>
        </w:rPr>
        <w:t>7项规定的投标截止时间</w:t>
      </w:r>
      <w:r>
        <w:rPr>
          <w:rFonts w:hint="eastAsia"/>
          <w:bCs/>
          <w:color w:val="auto"/>
          <w:szCs w:val="21"/>
          <w:highlight w:val="none"/>
        </w:rPr>
        <w:t>后送达的</w:t>
      </w:r>
      <w:r>
        <w:rPr>
          <w:rFonts w:hint="eastAsia" w:ascii="宋体" w:hAnsi="宋体"/>
          <w:bCs/>
          <w:color w:val="auto"/>
          <w:szCs w:val="20"/>
          <w:highlight w:val="none"/>
        </w:rPr>
        <w:t>电子投标文件，</w:t>
      </w:r>
      <w:r>
        <w:rPr>
          <w:rFonts w:hint="eastAsia"/>
          <w:color w:val="auto"/>
          <w:szCs w:val="21"/>
          <w:highlight w:val="none"/>
          <w:u w:val="single"/>
        </w:rPr>
        <w:t>广州公共资源交易中心</w:t>
      </w:r>
      <w:r>
        <w:rPr>
          <w:rFonts w:hint="eastAsia" w:ascii="宋体" w:hAnsi="宋体"/>
          <w:color w:val="auto"/>
          <w:szCs w:val="21"/>
          <w:highlight w:val="none"/>
        </w:rPr>
        <w:t>交易平台</w:t>
      </w:r>
      <w:r>
        <w:rPr>
          <w:rFonts w:hint="eastAsia" w:ascii="宋体" w:hAnsi="宋体"/>
          <w:color w:val="auto"/>
          <w:szCs w:val="20"/>
          <w:highlight w:val="none"/>
        </w:rPr>
        <w:t>将予以拒收。</w:t>
      </w:r>
    </w:p>
    <w:p>
      <w:pPr>
        <w:spacing w:line="480" w:lineRule="auto"/>
        <w:ind w:firstLine="472" w:firstLineChars="224"/>
        <w:rPr>
          <w:b/>
          <w:color w:val="auto"/>
          <w:szCs w:val="21"/>
          <w:highlight w:val="none"/>
        </w:rPr>
      </w:pPr>
      <w:r>
        <w:rPr>
          <w:rFonts w:hint="eastAsia"/>
          <w:b/>
          <w:color w:val="auto"/>
          <w:szCs w:val="21"/>
          <w:highlight w:val="none"/>
        </w:rPr>
        <w:t xml:space="preserve">条款号：27.1 </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olor w:val="auto"/>
          <w:szCs w:val="20"/>
          <w:highlight w:val="none"/>
        </w:rPr>
        <w:t>招标人将在</w:t>
      </w:r>
      <w:r>
        <w:rPr>
          <w:color w:val="auto"/>
          <w:szCs w:val="21"/>
          <w:highlight w:val="none"/>
          <w:u w:val="single"/>
        </w:rPr>
        <w:t xml:space="preserve">        </w:t>
      </w:r>
      <w:r>
        <w:rPr>
          <w:rFonts w:hint="eastAsia" w:ascii="宋体" w:hAnsi="宋体"/>
          <w:color w:val="auto"/>
          <w:szCs w:val="21"/>
          <w:highlight w:val="none"/>
        </w:rPr>
        <w:t>交易平台</w:t>
      </w:r>
      <w:r>
        <w:rPr>
          <w:rFonts w:hint="eastAsia" w:ascii="宋体" w:hAnsi="宋体"/>
          <w:color w:val="auto"/>
          <w:szCs w:val="20"/>
          <w:highlight w:val="none"/>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现文：</w:t>
      </w:r>
      <w:r>
        <w:rPr>
          <w:rFonts w:hint="eastAsia" w:ascii="宋体" w:hAnsi="宋体"/>
          <w:color w:val="auto"/>
          <w:szCs w:val="20"/>
          <w:highlight w:val="none"/>
        </w:rPr>
        <w:t>招标人将在</w:t>
      </w:r>
      <w:r>
        <w:rPr>
          <w:rFonts w:hint="eastAsia"/>
          <w:color w:val="auto"/>
          <w:szCs w:val="21"/>
          <w:highlight w:val="none"/>
          <w:u w:val="single"/>
        </w:rPr>
        <w:t>广州公共资源交易中心</w:t>
      </w:r>
      <w:r>
        <w:rPr>
          <w:rFonts w:hint="eastAsia" w:ascii="宋体" w:hAnsi="宋体"/>
          <w:color w:val="auto"/>
          <w:szCs w:val="21"/>
          <w:highlight w:val="none"/>
        </w:rPr>
        <w:t>交易平台</w:t>
      </w:r>
      <w:r>
        <w:rPr>
          <w:rFonts w:hint="eastAsia" w:ascii="宋体" w:hAnsi="宋体"/>
          <w:color w:val="auto"/>
          <w:szCs w:val="20"/>
          <w:highlight w:val="none"/>
        </w:rPr>
        <w:t>、广东省招标投标监管网、中国招标投标公共服务平台和广州发展电子采购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480" w:lineRule="auto"/>
        <w:ind w:firstLine="472" w:firstLineChars="224"/>
        <w:rPr>
          <w:b/>
          <w:color w:val="auto"/>
          <w:szCs w:val="21"/>
          <w:highlight w:val="none"/>
        </w:rPr>
      </w:pPr>
      <w:r>
        <w:rPr>
          <w:rFonts w:hint="eastAsia"/>
          <w:b/>
          <w:color w:val="auto"/>
          <w:szCs w:val="21"/>
          <w:highlight w:val="none"/>
        </w:rPr>
        <w:t>条款号：27.4</w:t>
      </w:r>
      <w:r>
        <w:rPr>
          <w:b/>
          <w:color w:val="auto"/>
          <w:szCs w:val="21"/>
          <w:highlight w:val="none"/>
        </w:rPr>
        <w:t xml:space="preserve">             </w:t>
      </w:r>
      <w:r>
        <w:rPr>
          <w:rFonts w:hint="eastAsia"/>
          <w:b/>
          <w:color w:val="auto"/>
          <w:szCs w:val="21"/>
          <w:highlight w:val="none"/>
        </w:rPr>
        <w:t>修改类型：修改</w:t>
      </w:r>
    </w:p>
    <w:p>
      <w:pPr>
        <w:spacing w:line="48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olor w:val="auto"/>
          <w:szCs w:val="20"/>
          <w:highlight w:val="none"/>
        </w:rPr>
        <w:t>在产生中标候选人后，招标人将中标候选人的投标文件商务部分文件的所有内容（包括人员、业绩、奖项等资料）在</w:t>
      </w:r>
      <w:r>
        <w:rPr>
          <w:color w:val="auto"/>
          <w:szCs w:val="21"/>
          <w:highlight w:val="none"/>
          <w:u w:val="single"/>
        </w:rPr>
        <w:t xml:space="preserve">        </w:t>
      </w:r>
      <w:r>
        <w:rPr>
          <w:rFonts w:hint="eastAsia" w:ascii="宋体" w:hAnsi="宋体"/>
          <w:color w:val="auto"/>
          <w:szCs w:val="21"/>
          <w:highlight w:val="none"/>
        </w:rPr>
        <w:t>交易平台和广东省招标投标监管网</w:t>
      </w:r>
      <w:r>
        <w:rPr>
          <w:rFonts w:hint="eastAsia" w:ascii="宋体" w:hAnsi="宋体"/>
          <w:color w:val="auto"/>
          <w:szCs w:val="20"/>
          <w:highlight w:val="none"/>
        </w:rPr>
        <w:t>公开。</w:t>
      </w:r>
    </w:p>
    <w:p>
      <w:pPr>
        <w:pBdr>
          <w:bottom w:val="single" w:color="auto" w:sz="6" w:space="1"/>
        </w:pBdr>
        <w:spacing w:line="360" w:lineRule="auto"/>
        <w:ind w:firstLine="527" w:firstLineChars="250"/>
        <w:rPr>
          <w:b/>
          <w:color w:val="auto"/>
          <w:szCs w:val="21"/>
          <w:highlight w:val="none"/>
        </w:rPr>
      </w:pPr>
      <w:r>
        <w:rPr>
          <w:rFonts w:hint="eastAsia"/>
          <w:b/>
          <w:color w:val="auto"/>
          <w:szCs w:val="21"/>
          <w:highlight w:val="none"/>
        </w:rPr>
        <w:t>现文：</w:t>
      </w:r>
      <w:r>
        <w:rPr>
          <w:rFonts w:hint="eastAsia" w:ascii="宋体" w:hAnsi="宋体"/>
          <w:color w:val="auto"/>
          <w:szCs w:val="20"/>
          <w:highlight w:val="none"/>
        </w:rPr>
        <w:t>在产生中标候选人后，招标人将中标候选人的投标文件商务部分文件的所有内容（包括人员、业绩、奖项等资料）在</w:t>
      </w:r>
      <w:r>
        <w:rPr>
          <w:rFonts w:hint="eastAsia"/>
          <w:color w:val="auto"/>
          <w:szCs w:val="21"/>
          <w:highlight w:val="none"/>
          <w:u w:val="single"/>
        </w:rPr>
        <w:t>广州公共资源交易中心</w:t>
      </w:r>
      <w:r>
        <w:rPr>
          <w:rFonts w:hint="eastAsia" w:ascii="宋体" w:hAnsi="宋体"/>
          <w:color w:val="auto"/>
          <w:szCs w:val="21"/>
          <w:highlight w:val="none"/>
        </w:rPr>
        <w:t>交易平台和广东省招标投标监管网</w:t>
      </w:r>
      <w:r>
        <w:rPr>
          <w:rFonts w:hint="eastAsia" w:ascii="宋体" w:hAnsi="宋体"/>
          <w:color w:val="auto"/>
          <w:szCs w:val="20"/>
          <w:highlight w:val="none"/>
        </w:rPr>
        <w:t>公开。</w:t>
      </w:r>
    </w:p>
    <w:p>
      <w:pPr>
        <w:spacing w:line="480" w:lineRule="auto"/>
        <w:ind w:firstLine="472" w:firstLineChars="224"/>
        <w:rPr>
          <w:b/>
          <w:color w:val="auto"/>
          <w:szCs w:val="21"/>
          <w:highlight w:val="none"/>
        </w:rPr>
      </w:pPr>
      <w:r>
        <w:rPr>
          <w:rFonts w:hint="eastAsia"/>
          <w:b/>
          <w:color w:val="auto"/>
          <w:szCs w:val="21"/>
          <w:highlight w:val="none"/>
        </w:rPr>
        <w:t>条款号：29</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s="宋体"/>
          <w:b/>
          <w:bCs/>
          <w:color w:val="auto"/>
          <w:szCs w:val="21"/>
          <w:highlight w:val="none"/>
        </w:rPr>
      </w:pPr>
      <w:r>
        <w:rPr>
          <w:rFonts w:hint="eastAsia"/>
          <w:b/>
          <w:color w:val="auto"/>
          <w:szCs w:val="21"/>
          <w:highlight w:val="none"/>
        </w:rPr>
        <w:t>原文：</w:t>
      </w:r>
      <w:r>
        <w:rPr>
          <w:rFonts w:hint="eastAsia" w:ascii="宋体" w:hAnsi="宋体" w:cs="宋体"/>
          <w:b/>
          <w:bCs/>
          <w:color w:val="auto"/>
          <w:szCs w:val="21"/>
          <w:highlight w:val="none"/>
        </w:rPr>
        <w:t>29．履约担保</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29.1 在收到中标通知书后的</w:t>
      </w:r>
      <w:r>
        <w:rPr>
          <w:rFonts w:hint="eastAsia" w:ascii="宋体" w:hAnsi="宋体" w:cs="宋体"/>
          <w:b/>
          <w:color w:val="auto"/>
          <w:szCs w:val="21"/>
          <w:highlight w:val="none"/>
        </w:rPr>
        <w:t>15日</w:t>
      </w:r>
      <w:r>
        <w:rPr>
          <w:rFonts w:hint="eastAsia" w:ascii="宋体" w:hAnsi="宋体" w:cs="宋体"/>
          <w:color w:val="auto"/>
          <w:szCs w:val="21"/>
          <w:highlight w:val="none"/>
        </w:rPr>
        <w:t>内，中标人应按本须知前附表第20项的规定向招标人提交履约担保；如果中标人的履约担保是以银行保函的形式提供，则该银行保函应由在中国注册且营业地点在广州行政辖区内的银行开具。</w:t>
      </w:r>
    </w:p>
    <w:p>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2" w:firstLineChars="200"/>
        <w:rPr>
          <w:rFonts w:ascii="宋体" w:hAnsi="宋体" w:cs="宋体"/>
          <w:b/>
          <w:bCs/>
          <w:color w:val="auto"/>
          <w:szCs w:val="21"/>
          <w:highlight w:val="none"/>
        </w:rPr>
      </w:pPr>
      <w:r>
        <w:rPr>
          <w:rFonts w:hint="eastAsia"/>
          <w:b/>
          <w:color w:val="auto"/>
          <w:szCs w:val="21"/>
          <w:highlight w:val="none"/>
        </w:rPr>
        <w:t>现文：</w:t>
      </w:r>
      <w:r>
        <w:rPr>
          <w:rFonts w:hint="eastAsia" w:ascii="宋体" w:hAnsi="宋体" w:cs="宋体"/>
          <w:b/>
          <w:bCs/>
          <w:color w:val="auto"/>
          <w:szCs w:val="21"/>
          <w:highlight w:val="none"/>
        </w:rPr>
        <w:t>29．履约担保</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29.1 在</w:t>
      </w:r>
      <w:r>
        <w:rPr>
          <w:rFonts w:hint="eastAsia" w:ascii="宋体" w:hAnsi="宋体" w:cs="宋体"/>
          <w:color w:val="auto"/>
          <w:kern w:val="0"/>
          <w:szCs w:val="21"/>
          <w:highlight w:val="none"/>
          <w:u w:val="single"/>
        </w:rPr>
        <w:t>合同签订之日起</w:t>
      </w:r>
      <w:r>
        <w:rPr>
          <w:rFonts w:hint="eastAsia" w:ascii="宋体" w:hAnsi="宋体" w:cs="宋体"/>
          <w:color w:val="auto"/>
          <w:kern w:val="0"/>
          <w:szCs w:val="21"/>
          <w:highlight w:val="none"/>
          <w:u w:val="single"/>
          <w:lang w:val="en-US" w:eastAsia="zh-CN"/>
        </w:rPr>
        <w:t>1</w:t>
      </w:r>
      <w:r>
        <w:rPr>
          <w:rFonts w:hint="eastAsia" w:ascii="宋体" w:hAnsi="宋体" w:cs="宋体"/>
          <w:color w:val="auto"/>
          <w:kern w:val="0"/>
          <w:szCs w:val="21"/>
          <w:highlight w:val="none"/>
          <w:u w:val="single"/>
        </w:rPr>
        <w:t>5日内</w:t>
      </w:r>
      <w:r>
        <w:rPr>
          <w:rFonts w:hint="eastAsia" w:ascii="宋体" w:hAnsi="宋体" w:cs="宋体"/>
          <w:color w:val="auto"/>
          <w:szCs w:val="21"/>
          <w:highlight w:val="none"/>
        </w:rPr>
        <w:t>，中标人应按本须知前附表第20项的规定向招标人提交履约担保。</w:t>
      </w:r>
    </w:p>
    <w:p>
      <w:pPr>
        <w:pBdr>
          <w:bottom w:val="single" w:color="auto" w:sz="6" w:space="1"/>
        </w:pBdr>
        <w:spacing w:line="360" w:lineRule="auto"/>
        <w:ind w:firstLine="525" w:firstLineChars="250"/>
        <w:rPr>
          <w:rFonts w:ascii="宋体" w:hAnsi="宋体" w:cs="宋体"/>
          <w:b/>
          <w:color w:val="auto"/>
          <w:szCs w:val="21"/>
          <w:highlight w:val="none"/>
        </w:rPr>
      </w:pPr>
      <w:r>
        <w:rPr>
          <w:rFonts w:hint="eastAsia" w:ascii="宋体" w:hAnsi="宋体" w:cs="宋体"/>
          <w:color w:val="auto"/>
          <w:szCs w:val="21"/>
          <w:highlight w:val="none"/>
        </w:rPr>
        <w:t>29.2</w:t>
      </w:r>
      <w:r>
        <w:rPr>
          <w:rFonts w:hint="eastAsia" w:ascii="宋体" w:hAnsi="宋体" w:cs="宋体"/>
          <w:color w:val="auto"/>
          <w:kern w:val="0"/>
          <w:szCs w:val="21"/>
          <w:highlight w:val="none"/>
          <w:u w:val="single"/>
        </w:rPr>
        <w:t>合同签订之日起</w:t>
      </w:r>
      <w:r>
        <w:rPr>
          <w:rFonts w:hint="eastAsia" w:ascii="宋体" w:hAnsi="宋体" w:cs="宋体"/>
          <w:color w:val="auto"/>
          <w:kern w:val="0"/>
          <w:szCs w:val="21"/>
          <w:highlight w:val="none"/>
          <w:u w:val="single"/>
          <w:lang w:val="en-US" w:eastAsia="zh-CN"/>
        </w:rPr>
        <w:t>1</w:t>
      </w:r>
      <w:r>
        <w:rPr>
          <w:rFonts w:hint="eastAsia" w:ascii="宋体" w:hAnsi="宋体" w:cs="宋体"/>
          <w:color w:val="auto"/>
          <w:kern w:val="0"/>
          <w:szCs w:val="21"/>
          <w:highlight w:val="none"/>
          <w:u w:val="single"/>
        </w:rPr>
        <w:t>5日内</w:t>
      </w:r>
      <w:r>
        <w:rPr>
          <w:rFonts w:hint="eastAsia" w:ascii="宋体" w:hAnsi="宋体" w:cs="宋体"/>
          <w:color w:val="auto"/>
          <w:szCs w:val="21"/>
          <w:highlight w:val="none"/>
        </w:rPr>
        <w:t>，中标人未按上款的规定提交履约担保，</w:t>
      </w:r>
      <w:r>
        <w:rPr>
          <w:rFonts w:hint="eastAsia" w:ascii="宋体" w:hAnsi="宋体" w:cs="宋体"/>
          <w:color w:val="auto"/>
          <w:szCs w:val="21"/>
        </w:rPr>
        <w:t>招标人将解除中标通知书及合同，</w:t>
      </w:r>
      <w:r>
        <w:rPr>
          <w:rFonts w:hint="eastAsia" w:ascii="宋体" w:hAnsi="宋体" w:cs="宋体"/>
          <w:color w:val="auto"/>
          <w:szCs w:val="21"/>
          <w:highlight w:val="none"/>
        </w:rPr>
        <w:t>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6"/>
        <w:outlineLvl w:val="0"/>
        <w:rPr>
          <w:rFonts w:hint="eastAsia" w:ascii="宋体" w:hAnsi="宋体" w:eastAsia="宋体" w:cs="宋体"/>
          <w:color w:val="auto"/>
        </w:rPr>
      </w:pPr>
      <w:r>
        <w:rPr>
          <w:color w:val="auto"/>
          <w:highlight w:val="none"/>
        </w:rPr>
        <w:br w:type="page"/>
      </w:r>
      <w:bookmarkStart w:id="13" w:name="_Toc28162"/>
      <w:bookmarkStart w:id="14" w:name="_Toc21525492"/>
      <w:bookmarkStart w:id="15" w:name="_Toc26392"/>
      <w:bookmarkStart w:id="16" w:name="_Toc2272548"/>
      <w:bookmarkStart w:id="17" w:name="_Toc11619"/>
      <w:r>
        <w:rPr>
          <w:rFonts w:hint="eastAsia" w:ascii="宋体" w:hAnsi="宋体" w:eastAsia="宋体" w:cs="宋体"/>
          <w:color w:val="auto"/>
        </w:rPr>
        <w:t>三、投标须知通用条款</w:t>
      </w:r>
      <w:bookmarkEnd w:id="13"/>
      <w:bookmarkEnd w:id="14"/>
      <w:bookmarkEnd w:id="15"/>
      <w:bookmarkEnd w:id="16"/>
    </w:p>
    <w:p>
      <w:pPr>
        <w:pStyle w:val="8"/>
        <w:spacing w:before="156" w:after="156"/>
        <w:rPr>
          <w:rFonts w:hint="eastAsia" w:ascii="宋体" w:hAnsi="宋体" w:eastAsia="宋体" w:cs="宋体"/>
          <w:color w:val="auto"/>
        </w:rPr>
      </w:pPr>
      <w:bookmarkStart w:id="18" w:name="_Toc21525493"/>
      <w:bookmarkStart w:id="19" w:name="_Toc2272549"/>
      <w:bookmarkStart w:id="20" w:name="_Toc6132"/>
      <w:r>
        <w:rPr>
          <w:rFonts w:hint="eastAsia" w:ascii="宋体" w:hAnsi="宋体" w:eastAsia="宋体" w:cs="宋体"/>
          <w:color w:val="auto"/>
        </w:rPr>
        <w:t>（一）总则</w:t>
      </w:r>
      <w:bookmarkEnd w:id="18"/>
      <w:bookmarkEnd w:id="19"/>
      <w:bookmarkEnd w:id="20"/>
    </w:p>
    <w:p>
      <w:pPr>
        <w:pStyle w:val="37"/>
        <w:spacing w:after="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1、定义</w:t>
      </w:r>
    </w:p>
    <w:p>
      <w:pPr>
        <w:pStyle w:val="37"/>
        <w:spacing w:after="0" w:line="360" w:lineRule="auto"/>
        <w:ind w:firstLine="480" w:firstLineChars="200"/>
        <w:rPr>
          <w:rFonts w:hint="eastAsia" w:ascii="宋体" w:hAnsi="宋体" w:eastAsia="宋体" w:cs="宋体"/>
          <w:b/>
          <w:bCs/>
          <w:color w:val="auto"/>
          <w:sz w:val="24"/>
        </w:rPr>
      </w:pPr>
      <w:r>
        <w:rPr>
          <w:rFonts w:hint="eastAsia" w:ascii="宋体" w:hAnsi="宋体" w:eastAsia="宋体" w:cs="宋体"/>
          <w:color w:val="auto"/>
          <w:sz w:val="24"/>
        </w:rPr>
        <w:t>本招标文件使用的下列词语具有如下规定的意义：</w:t>
      </w:r>
    </w:p>
    <w:p>
      <w:pPr>
        <w:pStyle w:val="37"/>
        <w:spacing w:after="0" w:line="360" w:lineRule="auto"/>
        <w:ind w:firstLine="480" w:firstLineChars="200"/>
        <w:rPr>
          <w:rFonts w:hint="eastAsia" w:ascii="宋体" w:hAnsi="宋体" w:eastAsia="宋体" w:cs="宋体"/>
          <w:b/>
          <w:bCs/>
          <w:color w:val="auto"/>
          <w:sz w:val="24"/>
          <w:u w:val="single"/>
        </w:rPr>
      </w:pPr>
      <w:r>
        <w:rPr>
          <w:rFonts w:hint="eastAsia" w:ascii="宋体" w:hAnsi="宋体" w:eastAsia="宋体" w:cs="宋体"/>
          <w:color w:val="auto"/>
          <w:sz w:val="24"/>
        </w:rPr>
        <w:t>（1）“招标人”（即发包人）、“项目建设管理单位”（或称“项目代建单位”）、“招标代理”、“设计单位”、“监理单位”均已在投标须知前附表中列明。</w:t>
      </w:r>
    </w:p>
    <w:p>
      <w:pPr>
        <w:pStyle w:val="37"/>
        <w:spacing w:after="0"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 xml:space="preserve">（2）“投标人”指向招标人提交投标文件的当事人。   </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（3）“承包人”指其投标被招标人接受并与其签订承包合同的当事人。</w:t>
      </w:r>
    </w:p>
    <w:p>
      <w:pPr>
        <w:pStyle w:val="37"/>
        <w:spacing w:after="0"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（4）“招标文件”指由招标代理发出的本文件（包括全部章节、附件）及招标答疑会会议纪要和</w:t>
      </w:r>
      <w:r>
        <w:rPr>
          <w:rFonts w:hint="eastAsia" w:ascii="宋体" w:hAnsi="宋体" w:eastAsia="宋体" w:cs="宋体"/>
          <w:bCs/>
          <w:color w:val="auto"/>
          <w:sz w:val="24"/>
        </w:rPr>
        <w:t>招标文件的澄清与修改</w:t>
      </w:r>
      <w:r>
        <w:rPr>
          <w:rFonts w:hint="eastAsia" w:ascii="宋体" w:hAnsi="宋体" w:eastAsia="宋体" w:cs="宋体"/>
          <w:color w:val="auto"/>
          <w:sz w:val="24"/>
        </w:rPr>
        <w:t>文件。</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（5）“投标文件”指投标人根据本项目招标文件向招标人提交的全部文件。</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（6）“书面形式”指打字或印刷的文件和数据电文（包括电报、电传、传真、电子数据交换和电子邮件）。</w:t>
      </w:r>
    </w:p>
    <w:p>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2、招标说明</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2.1本招标工程项目按照《中华人民共和国招标投标法》等有关法律、行政法规、规章和规范性文件，通过招标方式选定承包人。</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2.2工程名称、建设地点、建设规模、承包方式、质量标准、招标范围、工期要求等均在投标须知前附表中列明。</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2.3设计说明：详见招标图纸。</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2.4工程施工特点：详见招标图纸。</w:t>
      </w:r>
    </w:p>
    <w:p>
      <w:pPr>
        <w:tabs>
          <w:tab w:val="left" w:pos="105"/>
        </w:tabs>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3．资金来源</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3.1本招标工程项目资金来源见投标须知前附表第9项</w:t>
      </w:r>
    </w:p>
    <w:p>
      <w:pPr>
        <w:tabs>
          <w:tab w:val="left" w:pos="105"/>
        </w:tabs>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4．合格投标人的条件</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4.1详见本项目招标公告</w:t>
      </w:r>
    </w:p>
    <w:p>
      <w:pPr>
        <w:tabs>
          <w:tab w:val="left" w:pos="105"/>
        </w:tabs>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5．踏勘现场</w:t>
      </w:r>
    </w:p>
    <w:p>
      <w:pPr>
        <w:spacing w:line="360" w:lineRule="auto"/>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5.1 投标人应按本投标须知前附表第15项所述时间和要求对工程现场及周围环境进行踏勘，</w:t>
      </w:r>
      <w:r>
        <w:rPr>
          <w:rFonts w:hint="eastAsia" w:ascii="宋体" w:hAnsi="宋体" w:eastAsia="宋体" w:cs="宋体"/>
          <w:color w:val="auto"/>
          <w:sz w:val="24"/>
        </w:rPr>
        <w:t>投标人应充分重视和仔细地进行这种考察，</w:t>
      </w:r>
      <w:r>
        <w:rPr>
          <w:rFonts w:hint="eastAsia" w:ascii="宋体" w:hAnsi="宋体" w:eastAsia="宋体" w:cs="宋体"/>
          <w:bCs/>
          <w:color w:val="auto"/>
          <w:sz w:val="24"/>
        </w:rPr>
        <w:t>以便投标人获取</w:t>
      </w:r>
      <w:r>
        <w:rPr>
          <w:rFonts w:hint="eastAsia" w:ascii="宋体" w:hAnsi="宋体" w:eastAsia="宋体" w:cs="宋体"/>
          <w:color w:val="auto"/>
          <w:sz w:val="24"/>
        </w:rPr>
        <w:t>那些须投标人自己负责的</w:t>
      </w:r>
      <w:r>
        <w:rPr>
          <w:rFonts w:hint="eastAsia" w:ascii="宋体" w:hAnsi="宋体" w:eastAsia="宋体" w:cs="宋体"/>
          <w:bCs/>
          <w:color w:val="auto"/>
          <w:sz w:val="24"/>
        </w:rPr>
        <w:t>有关编制投标文件和签署合同所涉及现场所有的资料。</w:t>
      </w:r>
      <w:r>
        <w:rPr>
          <w:rFonts w:hint="eastAsia" w:ascii="宋体" w:hAnsi="宋体" w:eastAsia="宋体" w:cs="宋体"/>
          <w:color w:val="auto"/>
          <w:sz w:val="24"/>
        </w:rPr>
        <w:t>一旦中标，这种考察即被认为其结果已在中标文件中得到充分反映。考察现场的费用由投标人自己承担。</w:t>
      </w:r>
    </w:p>
    <w:p>
      <w:pPr>
        <w:tabs>
          <w:tab w:val="left" w:pos="105"/>
        </w:tabs>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5.2 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5.3 经招标人允许，投标人可为踏勘目的进入招标人的项目现场。</w:t>
      </w:r>
      <w:r>
        <w:rPr>
          <w:rFonts w:hint="eastAsia" w:ascii="宋体" w:hAnsi="宋体" w:eastAsia="宋体" w:cs="宋体"/>
          <w:color w:val="auto"/>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eastAsia="宋体" w:cs="宋体"/>
          <w:bCs/>
          <w:color w:val="auto"/>
          <w:sz w:val="24"/>
        </w:rPr>
        <w:t>投标人不得因此使招标人承担有关的责任和蒙受损失。</w:t>
      </w:r>
    </w:p>
    <w:p>
      <w:pPr>
        <w:tabs>
          <w:tab w:val="left" w:pos="105"/>
        </w:tabs>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6．投标费用</w:t>
      </w:r>
    </w:p>
    <w:p>
      <w:pPr>
        <w:tabs>
          <w:tab w:val="left" w:pos="105"/>
        </w:tabs>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6.1</w:t>
      </w:r>
      <w:r>
        <w:rPr>
          <w:rFonts w:hint="eastAsia" w:ascii="宋体" w:hAnsi="宋体" w:eastAsia="宋体" w:cs="宋体"/>
          <w:color w:val="auto"/>
          <w:sz w:val="24"/>
        </w:rPr>
        <w:t>不论投标结果如何，投标人应承担</w:t>
      </w:r>
      <w:r>
        <w:rPr>
          <w:rFonts w:hint="eastAsia" w:ascii="宋体" w:hAnsi="宋体" w:eastAsia="宋体" w:cs="宋体"/>
          <w:bCs/>
          <w:color w:val="auto"/>
          <w:sz w:val="24"/>
        </w:rPr>
        <w:t>自身</w:t>
      </w:r>
      <w:r>
        <w:rPr>
          <w:rFonts w:hint="eastAsia" w:ascii="宋体" w:hAnsi="宋体" w:eastAsia="宋体" w:cs="宋体"/>
          <w:color w:val="auto"/>
          <w:sz w:val="24"/>
        </w:rPr>
        <w:t>因投标文件编制、递交及其他</w:t>
      </w:r>
      <w:r>
        <w:rPr>
          <w:rFonts w:hint="eastAsia" w:ascii="宋体" w:hAnsi="宋体" w:eastAsia="宋体" w:cs="宋体"/>
          <w:bCs/>
          <w:color w:val="auto"/>
          <w:sz w:val="24"/>
        </w:rPr>
        <w:t>参加本招标活动</w:t>
      </w:r>
      <w:r>
        <w:rPr>
          <w:rFonts w:hint="eastAsia" w:ascii="宋体" w:hAnsi="宋体" w:eastAsia="宋体" w:cs="宋体"/>
          <w:color w:val="auto"/>
          <w:sz w:val="24"/>
        </w:rPr>
        <w:t>所涉及的一切费用，招标人对上述费用不负任何责任。</w:t>
      </w:r>
    </w:p>
    <w:p>
      <w:pPr>
        <w:pStyle w:val="8"/>
        <w:spacing w:before="156" w:after="156"/>
        <w:rPr>
          <w:rFonts w:hint="eastAsia" w:ascii="宋体" w:hAnsi="宋体" w:eastAsia="宋体" w:cs="宋体"/>
          <w:color w:val="auto"/>
        </w:rPr>
      </w:pPr>
      <w:bookmarkStart w:id="21" w:name="_Toc21525494"/>
      <w:bookmarkStart w:id="22" w:name="_Toc2272550"/>
      <w:bookmarkStart w:id="23" w:name="_Toc23686"/>
      <w:r>
        <w:rPr>
          <w:rFonts w:hint="eastAsia" w:ascii="宋体" w:hAnsi="宋体" w:eastAsia="宋体" w:cs="宋体"/>
          <w:color w:val="auto"/>
        </w:rPr>
        <w:t>（二）招标文件</w:t>
      </w:r>
      <w:bookmarkEnd w:id="21"/>
      <w:bookmarkEnd w:id="22"/>
      <w:bookmarkEnd w:id="23"/>
    </w:p>
    <w:p>
      <w:pPr>
        <w:tabs>
          <w:tab w:val="left" w:pos="105"/>
        </w:tabs>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7.招标文件的组成</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bCs/>
          <w:color w:val="auto"/>
          <w:sz w:val="24"/>
        </w:rPr>
        <w:t>7.1</w:t>
      </w:r>
      <w:r>
        <w:rPr>
          <w:rFonts w:hint="eastAsia" w:ascii="宋体" w:hAnsi="宋体" w:eastAsia="宋体" w:cs="宋体"/>
          <w:color w:val="auto"/>
          <w:sz w:val="24"/>
        </w:rPr>
        <w:t>本招标文件包括下列文件，以及所有按本须知第8条发出的招标答疑会会议纪要和按本须知第9条发出的澄清或修改：</w:t>
      </w:r>
    </w:p>
    <w:p>
      <w:pPr>
        <w:pStyle w:val="37"/>
        <w:spacing w:after="0" w:line="360" w:lineRule="auto"/>
        <w:ind w:left="-2" w:firstLine="480" w:firstLineChars="200"/>
        <w:rPr>
          <w:rFonts w:hint="eastAsia" w:ascii="宋体" w:hAnsi="宋体" w:eastAsia="宋体" w:cs="宋体"/>
          <w:color w:val="auto"/>
          <w:sz w:val="24"/>
        </w:rPr>
      </w:pPr>
      <w:r>
        <w:rPr>
          <w:rFonts w:hint="eastAsia" w:ascii="宋体" w:hAnsi="宋体" w:eastAsia="宋体" w:cs="宋体"/>
          <w:bCs/>
          <w:color w:val="auto"/>
          <w:sz w:val="24"/>
        </w:rPr>
        <w:t xml:space="preserve">第一章  </w:t>
      </w:r>
      <w:r>
        <w:rPr>
          <w:rFonts w:hint="eastAsia" w:ascii="宋体" w:hAnsi="宋体" w:eastAsia="宋体" w:cs="宋体"/>
          <w:color w:val="auto"/>
          <w:sz w:val="24"/>
        </w:rPr>
        <w:t>投标须知</w:t>
      </w:r>
    </w:p>
    <w:p>
      <w:pPr>
        <w:pStyle w:val="37"/>
        <w:spacing w:after="0" w:line="360" w:lineRule="auto"/>
        <w:ind w:left="-2" w:firstLine="480" w:firstLineChars="200"/>
        <w:rPr>
          <w:rFonts w:hint="eastAsia" w:ascii="宋体" w:hAnsi="宋体" w:eastAsia="宋体" w:cs="宋体"/>
          <w:color w:val="auto"/>
          <w:sz w:val="24"/>
        </w:rPr>
      </w:pPr>
      <w:r>
        <w:rPr>
          <w:rFonts w:hint="eastAsia" w:ascii="宋体" w:hAnsi="宋体" w:eastAsia="宋体" w:cs="宋体"/>
          <w:bCs/>
          <w:color w:val="auto"/>
          <w:sz w:val="24"/>
        </w:rPr>
        <w:t xml:space="preserve">第二章  </w:t>
      </w:r>
      <w:r>
        <w:rPr>
          <w:rFonts w:hint="eastAsia" w:ascii="宋体" w:hAnsi="宋体" w:eastAsia="宋体" w:cs="宋体"/>
          <w:color w:val="auto"/>
          <w:sz w:val="24"/>
        </w:rPr>
        <w:t>开标、评标及定标办法</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第三章  合同条款</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bCs/>
          <w:color w:val="auto"/>
          <w:sz w:val="24"/>
        </w:rPr>
        <w:t xml:space="preserve">第四章  </w:t>
      </w:r>
      <w:r>
        <w:rPr>
          <w:rFonts w:hint="eastAsia" w:ascii="宋体" w:hAnsi="宋体" w:eastAsia="宋体" w:cs="宋体"/>
          <w:color w:val="auto"/>
          <w:sz w:val="24"/>
        </w:rPr>
        <w:t>投标文件格式</w:t>
      </w:r>
    </w:p>
    <w:p>
      <w:pPr>
        <w:pStyle w:val="37"/>
        <w:spacing w:after="0" w:line="360" w:lineRule="auto"/>
        <w:ind w:left="-2" w:firstLine="480" w:firstLineChars="200"/>
        <w:rPr>
          <w:rFonts w:hint="eastAsia" w:ascii="宋体" w:hAnsi="宋体" w:eastAsia="宋体" w:cs="宋体"/>
          <w:color w:val="auto"/>
          <w:sz w:val="24"/>
        </w:rPr>
      </w:pPr>
      <w:r>
        <w:rPr>
          <w:rFonts w:hint="eastAsia" w:ascii="宋体" w:hAnsi="宋体" w:eastAsia="宋体" w:cs="宋体"/>
          <w:bCs/>
          <w:color w:val="auto"/>
          <w:sz w:val="24"/>
        </w:rPr>
        <w:t xml:space="preserve">第五章  </w:t>
      </w:r>
      <w:r>
        <w:rPr>
          <w:rFonts w:hint="eastAsia" w:ascii="宋体" w:hAnsi="宋体" w:eastAsia="宋体" w:cs="宋体"/>
          <w:color w:val="auto"/>
          <w:sz w:val="24"/>
        </w:rPr>
        <w:t>技术条件（工程建设标准）（另册）</w:t>
      </w:r>
    </w:p>
    <w:p>
      <w:pPr>
        <w:pStyle w:val="37"/>
        <w:spacing w:after="0" w:line="360" w:lineRule="auto"/>
        <w:ind w:left="-2" w:firstLine="480" w:firstLineChars="200"/>
        <w:rPr>
          <w:rFonts w:hint="eastAsia" w:ascii="宋体" w:hAnsi="宋体" w:eastAsia="宋体" w:cs="宋体"/>
          <w:color w:val="auto"/>
          <w:sz w:val="24"/>
        </w:rPr>
      </w:pPr>
      <w:r>
        <w:rPr>
          <w:rFonts w:hint="eastAsia" w:ascii="宋体" w:hAnsi="宋体" w:eastAsia="宋体" w:cs="宋体"/>
          <w:bCs/>
          <w:color w:val="auto"/>
          <w:sz w:val="24"/>
        </w:rPr>
        <w:t xml:space="preserve">第六章  </w:t>
      </w:r>
      <w:r>
        <w:rPr>
          <w:rFonts w:hint="eastAsia" w:ascii="宋体" w:hAnsi="宋体" w:eastAsia="宋体" w:cs="宋体"/>
          <w:color w:val="auto"/>
          <w:sz w:val="24"/>
        </w:rPr>
        <w:t>图纸及勘察资料（另册）</w:t>
      </w:r>
    </w:p>
    <w:p>
      <w:pPr>
        <w:pStyle w:val="37"/>
        <w:spacing w:after="0" w:line="360" w:lineRule="auto"/>
        <w:ind w:left="-2" w:firstLine="480" w:firstLineChars="200"/>
        <w:rPr>
          <w:rFonts w:hint="eastAsia" w:ascii="宋体" w:hAnsi="宋体" w:eastAsia="宋体" w:cs="宋体"/>
          <w:color w:val="auto"/>
          <w:sz w:val="24"/>
        </w:rPr>
      </w:pPr>
      <w:r>
        <w:rPr>
          <w:rFonts w:hint="eastAsia" w:ascii="宋体" w:hAnsi="宋体" w:eastAsia="宋体" w:cs="宋体"/>
          <w:bCs/>
          <w:color w:val="auto"/>
          <w:sz w:val="24"/>
        </w:rPr>
        <w:t>第七章  招标</w:t>
      </w:r>
      <w:r>
        <w:rPr>
          <w:rFonts w:hint="eastAsia" w:ascii="宋体" w:hAnsi="宋体" w:eastAsia="宋体" w:cs="宋体"/>
          <w:color w:val="auto"/>
          <w:sz w:val="24"/>
        </w:rPr>
        <w:t>工程量清单（另册）</w:t>
      </w:r>
    </w:p>
    <w:p>
      <w:pPr>
        <w:pStyle w:val="37"/>
        <w:spacing w:after="0" w:line="360" w:lineRule="auto"/>
        <w:ind w:left="-2" w:firstLine="480" w:firstLineChars="200"/>
        <w:rPr>
          <w:rFonts w:hint="eastAsia" w:ascii="宋体" w:hAnsi="宋体" w:eastAsia="宋体" w:cs="宋体"/>
          <w:color w:val="auto"/>
          <w:sz w:val="24"/>
        </w:rPr>
      </w:pPr>
      <w:r>
        <w:rPr>
          <w:rFonts w:hint="eastAsia" w:ascii="宋体" w:hAnsi="宋体" w:eastAsia="宋体" w:cs="宋体"/>
          <w:color w:val="auto"/>
          <w:sz w:val="24"/>
        </w:rPr>
        <w:t>第八章  最高投标限价</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注：招标人应在技术条件（工程建设标准）中明确施工现场建筑垃圾源头减量的具体要求和建筑垃圾综合利用产品的使用要求。</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7.3 投标人一旦中标，招标文件的内容对招标人和中标人双方均有约束力。</w:t>
      </w:r>
    </w:p>
    <w:p>
      <w:pPr>
        <w:pStyle w:val="37"/>
        <w:spacing w:after="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8．招标答疑</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8.1 投标人若对招标文件（包括招标图纸）中有疑问，可以书面形式</w:t>
      </w:r>
      <w:r>
        <w:rPr>
          <w:rFonts w:hint="eastAsia" w:ascii="宋体" w:hAnsi="宋体" w:eastAsia="宋体" w:cs="宋体"/>
          <w:color w:val="auto"/>
          <w:sz w:val="24"/>
          <w:szCs w:val="24"/>
        </w:rPr>
        <w:t>通过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交易平台提交</w:t>
      </w:r>
      <w:r>
        <w:rPr>
          <w:rFonts w:hint="eastAsia" w:ascii="宋体" w:hAnsi="宋体" w:eastAsia="宋体" w:cs="宋体"/>
          <w:color w:val="auto"/>
          <w:sz w:val="24"/>
        </w:rPr>
        <w:t>给招标人或招标代理人，提交形式见本须知前附表第16项。</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8.2招标答疑会会议纪要将在提交投标文件截止时间15日前在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交易平台</w:t>
      </w:r>
      <w:r>
        <w:rPr>
          <w:rFonts w:hint="eastAsia" w:ascii="宋体" w:hAnsi="宋体" w:eastAsia="宋体" w:cs="宋体"/>
          <w:color w:val="auto"/>
          <w:sz w:val="24"/>
        </w:rPr>
        <w:t xml:space="preserve"> “项目答疑纪要”专区公开发布。答疑纪要一经在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交易平台</w:t>
      </w:r>
      <w:r>
        <w:rPr>
          <w:rFonts w:hint="eastAsia" w:ascii="宋体" w:hAnsi="宋体" w:eastAsia="宋体" w:cs="宋体"/>
          <w:color w:val="auto"/>
          <w:sz w:val="24"/>
        </w:rPr>
        <w:t>发布，视作已发放给所有投标人。</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8.3答疑会会议纪要为招标文件的一部分。</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8.4若招标答疑会会议纪要与招标文件有矛盾，以答疑会议纪要最后发出的书面形式的文件为准。</w:t>
      </w:r>
    </w:p>
    <w:p>
      <w:pPr>
        <w:pStyle w:val="37"/>
        <w:spacing w:after="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9.招标文件的澄清与修改</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9.1招标文件发出后,在提交投标文件截止时间15日前，招标人可对招标文件进行必要的澄清或修改。</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9.2招标文件的澄清或修改将在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交易平台</w:t>
      </w:r>
      <w:r>
        <w:rPr>
          <w:rFonts w:hint="eastAsia" w:ascii="宋体" w:hAnsi="宋体" w:eastAsia="宋体" w:cs="宋体"/>
          <w:color w:val="auto"/>
          <w:sz w:val="24"/>
        </w:rPr>
        <w:t>“项目答疑纪要”专区公开发布。答疑纪要一经在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交易平台</w:t>
      </w:r>
      <w:r>
        <w:rPr>
          <w:rFonts w:hint="eastAsia" w:ascii="宋体" w:hAnsi="宋体" w:eastAsia="宋体" w:cs="宋体"/>
          <w:color w:val="auto"/>
          <w:sz w:val="24"/>
        </w:rPr>
        <w:t>发布，视作已发放给所有投标人，以</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交易平台</w:t>
      </w:r>
      <w:r>
        <w:rPr>
          <w:rFonts w:hint="eastAsia" w:ascii="宋体" w:hAnsi="宋体" w:eastAsia="宋体" w:cs="宋体"/>
          <w:color w:val="auto"/>
          <w:sz w:val="24"/>
        </w:rPr>
        <w:t>上网发布时间作为送达时间。</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9.3招标文件的修改内容为招标文件的组成部分。</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9.4招标文件的澄清或修改均以书面形式明确的内容为准。当招标文件的澄清、修改、补充等在同一内容的表述不一致时，以最后发出的书面形式的文件为准。</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spacing w:before="156" w:after="156"/>
        <w:rPr>
          <w:rFonts w:hint="eastAsia" w:ascii="宋体" w:hAnsi="宋体" w:eastAsia="宋体" w:cs="宋体"/>
          <w:color w:val="auto"/>
        </w:rPr>
      </w:pPr>
      <w:bookmarkStart w:id="24" w:name="_Toc32594"/>
      <w:bookmarkStart w:id="25" w:name="_Toc21525495"/>
      <w:bookmarkStart w:id="26" w:name="_Toc2272551"/>
      <w:r>
        <w:rPr>
          <w:rFonts w:hint="eastAsia" w:ascii="宋体" w:hAnsi="宋体" w:eastAsia="宋体" w:cs="宋体"/>
          <w:color w:val="auto"/>
        </w:rPr>
        <w:t>（三）投标文件的编制</w:t>
      </w:r>
      <w:bookmarkEnd w:id="24"/>
      <w:bookmarkEnd w:id="25"/>
      <w:bookmarkEnd w:id="26"/>
    </w:p>
    <w:p>
      <w:pPr>
        <w:pStyle w:val="37"/>
        <w:spacing w:after="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10．投标文件的语言及度量衡单位</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10.1 投标文件和与投标有关的所有文件均应使用中文。</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10.2 除工程规范另有规定外，投标文件使用的度量衡单位，均采用中华人民共和国法定计量单位。</w:t>
      </w:r>
    </w:p>
    <w:p>
      <w:pPr>
        <w:pStyle w:val="37"/>
        <w:spacing w:after="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11．投标文件的组成</w:t>
      </w:r>
    </w:p>
    <w:p>
      <w:pPr>
        <w:pStyle w:val="37"/>
        <w:spacing w:after="0" w:line="360" w:lineRule="auto"/>
        <w:ind w:firstLine="480" w:firstLineChars="200"/>
        <w:rPr>
          <w:rFonts w:hint="eastAsia" w:ascii="宋体" w:hAnsi="宋体" w:eastAsia="宋体" w:cs="宋体"/>
          <w:b/>
          <w:color w:val="auto"/>
          <w:sz w:val="24"/>
        </w:rPr>
      </w:pPr>
      <w:r>
        <w:rPr>
          <w:rFonts w:hint="eastAsia" w:ascii="宋体" w:hAnsi="宋体" w:eastAsia="宋体" w:cs="宋体"/>
          <w:color w:val="auto"/>
          <w:sz w:val="24"/>
        </w:rPr>
        <w:t>11.1 投标文件由技术部分（含资格审查文件）和经济部分二部分投标文件组成</w:t>
      </w:r>
      <w:r>
        <w:rPr>
          <w:rFonts w:hint="eastAsia" w:ascii="宋体" w:hAnsi="宋体" w:eastAsia="宋体" w:cs="宋体"/>
          <w:b/>
          <w:color w:val="auto"/>
          <w:sz w:val="24"/>
        </w:rPr>
        <w:t>。</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11.2投标文件技术标部分主要包括下列内容:</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11.2.1 技术投标文件</w:t>
      </w:r>
      <w:r>
        <w:rPr>
          <w:rFonts w:hint="eastAsia" w:ascii="宋体" w:hAnsi="宋体" w:eastAsia="宋体" w:cs="宋体"/>
          <w:color w:val="auto"/>
          <w:sz w:val="24"/>
        </w:rPr>
        <w:t>(按招标文件的要求填写)</w:t>
      </w:r>
      <w:r>
        <w:rPr>
          <w:rFonts w:hint="eastAsia" w:ascii="宋体" w:hAnsi="宋体" w:eastAsia="宋体" w:cs="宋体"/>
          <w:bCs/>
          <w:color w:val="auto"/>
          <w:sz w:val="24"/>
        </w:rPr>
        <w:t>；</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11.2.2 资格审查文件：</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 xml:space="preserve">（1）投标人声明； </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（2）法定代表人证明书、法定代表人签字或盖章的本投标文件授权委托证明书；</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（3）企业营业执照（取自平台内上传件）；</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（4）企业资质证书（取自平台内上传件）；</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（5）建筑施工企业安全生产许可证（取自平台内上传件）；</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rPr>
        <w:t>（6）</w:t>
      </w:r>
      <w:r>
        <w:rPr>
          <w:rFonts w:hint="eastAsia" w:ascii="宋体" w:hAnsi="宋体" w:eastAsia="宋体" w:cs="宋体"/>
          <w:bCs/>
          <w:color w:val="auto"/>
          <w:sz w:val="24"/>
          <w:szCs w:val="24"/>
        </w:rPr>
        <w:t>项目负责人（按网上投标登记时选择拟投标的项目负责人）</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（7）专职安全员（按网上投标登记时选择拟投标的专职安全员）</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（8）拟委托技术负责人的相关证书、资料（具体要求由招标人明确）</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 xml:space="preserve">（9）拟委派项目负责人的建造师注册证书（取自平台内上传件）； </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（10）项目负责人安全</w:t>
      </w:r>
      <w:r>
        <w:rPr>
          <w:rFonts w:hint="eastAsia" w:ascii="宋体" w:hAnsi="宋体" w:cs="宋体"/>
          <w:bCs/>
          <w:color w:val="auto"/>
          <w:sz w:val="24"/>
          <w:lang w:val="en-US" w:eastAsia="zh-CN"/>
        </w:rPr>
        <w:t>生产</w:t>
      </w:r>
      <w:r>
        <w:rPr>
          <w:rFonts w:hint="eastAsia" w:ascii="宋体" w:hAnsi="宋体" w:eastAsia="宋体" w:cs="宋体"/>
          <w:bCs/>
          <w:color w:val="auto"/>
          <w:sz w:val="24"/>
        </w:rPr>
        <w:t>考核合格证明或在有效期内的安全考核合格证书（B类）或建筑施工企业项目负责人安全生产考核合格证书（取自平台内上传件）</w:t>
      </w:r>
      <w:r>
        <w:rPr>
          <w:rFonts w:hint="eastAsia" w:ascii="宋体" w:hAnsi="宋体" w:eastAsia="宋体" w:cs="宋体"/>
          <w:bCs/>
          <w:color w:val="auto"/>
          <w:sz w:val="24"/>
          <w:szCs w:val="24"/>
        </w:rPr>
        <w:t>；</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rPr>
        <w:t>（11）专职安全员须具有在有效期内的安全考核合格证书（C类）或建筑施工企业专职安全生产管理人员安全生产考核合格证书</w:t>
      </w:r>
      <w:r>
        <w:rPr>
          <w:rFonts w:hint="eastAsia" w:ascii="宋体" w:hAnsi="宋体" w:eastAsia="宋体" w:cs="宋体"/>
          <w:bCs/>
          <w:color w:val="auto"/>
          <w:sz w:val="24"/>
          <w:szCs w:val="24"/>
        </w:rPr>
        <w:t>（取自平台内上传件）；</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（12）用于资格审查的业绩（设置业绩要求时选择此项，投标人</w:t>
      </w:r>
      <w:r>
        <w:rPr>
          <w:rFonts w:hint="eastAsia" w:ascii="宋体" w:hAnsi="宋体" w:eastAsia="宋体" w:cs="宋体"/>
          <w:color w:val="auto"/>
          <w:sz w:val="24"/>
        </w:rPr>
        <w:t>须提供类似工程业绩的项目名称及项目编号，具体格式由招标人自定</w:t>
      </w:r>
      <w:r>
        <w:rPr>
          <w:rFonts w:hint="eastAsia" w:ascii="宋体" w:hAnsi="宋体" w:eastAsia="宋体" w:cs="宋体"/>
          <w:bCs/>
          <w:color w:val="auto"/>
          <w:sz w:val="24"/>
          <w:szCs w:val="24"/>
        </w:rPr>
        <w:t>）；</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（14）列明主办单位的联合体工作协议（采用联合体投标时需递交，投标人拟任本工程项目负责人应为联合体主办方信用档案中的在册人员，</w:t>
      </w:r>
      <w:r>
        <w:rPr>
          <w:rFonts w:hint="eastAsia" w:ascii="宋体" w:hAnsi="宋体" w:eastAsia="宋体" w:cs="宋体"/>
          <w:color w:val="auto"/>
          <w:sz w:val="24"/>
          <w:szCs w:val="24"/>
        </w:rPr>
        <w:t>联合体工作协议应明确约定各方拟承担的工作和责任</w:t>
      </w:r>
      <w:r>
        <w:rPr>
          <w:rFonts w:hint="eastAsia" w:ascii="宋体" w:hAnsi="宋体" w:eastAsia="宋体" w:cs="宋体"/>
          <w:bCs/>
          <w:color w:val="auto"/>
          <w:sz w:val="24"/>
          <w:szCs w:val="24"/>
        </w:rPr>
        <w:t xml:space="preserve">）； </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szCs w:val="24"/>
        </w:rPr>
        <w:t>（15）</w:t>
      </w:r>
      <w:r>
        <w:rPr>
          <w:rFonts w:hint="eastAsia" w:ascii="宋体" w:hAnsi="宋体" w:eastAsia="宋体" w:cs="宋体"/>
          <w:color w:val="auto"/>
          <w:sz w:val="24"/>
          <w:szCs w:val="24"/>
        </w:rPr>
        <w:t>投标人具有在广州地区可使用适合本工程的机械设备的证明文件（</w:t>
      </w:r>
      <w:r>
        <w:rPr>
          <w:rFonts w:hint="eastAsia" w:ascii="宋体" w:hAnsi="宋体" w:eastAsia="宋体" w:cs="宋体"/>
          <w:color w:val="auto"/>
          <w:sz w:val="24"/>
        </w:rPr>
        <w:t>提供沥青摊铺机自有发票或权属证明及设备现场全貌彩照（彩照须能反映其规格型号）</w:t>
      </w:r>
      <w:r>
        <w:rPr>
          <w:rFonts w:hint="eastAsia" w:ascii="宋体" w:hAnsi="宋体" w:eastAsia="宋体" w:cs="宋体"/>
          <w:color w:val="auto"/>
          <w:sz w:val="24"/>
          <w:szCs w:val="24"/>
        </w:rPr>
        <w:t>）。（含有市政道路面层沥青摊铺且沥青摊铺占预计发包价50%或以上的大、中修市政公用工程需提供该项内容的证明文件）。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11.2.3项目管理机构配备。</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（1）投标人应列出该项目工程的施工组织机构构成和画出机构框架图及其负责人；</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（2）投标人应详细列出该施工组织机构中主要成员的名单、简历资料、职务职称和在本项目中拟担任的职务等资料，并附上有关证明材料扫描件；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（3）其他辅助说明资料。</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11.2.4投标人在广州市可使用适合本工程的机械设备（附：机械设备为自有或租赁的说明；及承诺机械设备如属于租赁的，其租赁是不属于重复租赁）。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11.2.5施工组织设计或施工方案。（投标人在编制施工组织设计或施工方案时应按照招标人提出的施工现场建筑垃圾源头减量的具体要求以及建筑垃圾综合利用产品的使用要求提供相应措施。）</w:t>
      </w:r>
    </w:p>
    <w:p>
      <w:pPr>
        <w:tabs>
          <w:tab w:val="left" w:pos="112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11.2.6按照</w:t>
      </w:r>
      <w:r>
        <w:rPr>
          <w:rFonts w:hint="eastAsia" w:ascii="宋体" w:hAnsi="宋体" w:eastAsia="宋体" w:cs="宋体"/>
          <w:bCs/>
          <w:color w:val="auto"/>
          <w:sz w:val="24"/>
        </w:rPr>
        <w:t>招标文件要求</w:t>
      </w:r>
      <w:r>
        <w:rPr>
          <w:rFonts w:hint="eastAsia" w:ascii="宋体" w:hAnsi="宋体" w:eastAsia="宋体" w:cs="宋体"/>
          <w:color w:val="auto"/>
          <w:sz w:val="24"/>
        </w:rPr>
        <w:t>填写的《参与编制技术标投标文件人员名单》。</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11.3 经济部分投标文件主要包括下列内容：</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11.3.1 经济投标文件(按招标文件的要求填写)。</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eastAsia="宋体" w:cs="宋体"/>
          <w:color w:val="auto"/>
          <w:sz w:val="24"/>
          <w:szCs w:val="24"/>
        </w:rPr>
        <w:t>其中包括如下：</w:t>
      </w:r>
      <w:r>
        <w:rPr>
          <w:rFonts w:hint="eastAsia" w:ascii="宋体" w:hAnsi="宋体" w:eastAsia="宋体" w:cs="宋体"/>
          <w:color w:val="auto"/>
          <w:sz w:val="24"/>
        </w:rPr>
        <w:t xml:space="preserve"> </w:t>
      </w:r>
    </w:p>
    <w:p>
      <w:pPr>
        <w:spacing w:line="360" w:lineRule="auto"/>
        <w:ind w:firstLine="566" w:firstLineChars="236"/>
        <w:rPr>
          <w:rFonts w:hint="eastAsia" w:ascii="宋体" w:hAnsi="宋体" w:eastAsia="宋体" w:cs="宋体"/>
          <w:color w:val="auto"/>
          <w:sz w:val="24"/>
        </w:rPr>
      </w:pPr>
      <w:r>
        <w:rPr>
          <w:rFonts w:hint="eastAsia" w:ascii="宋体" w:hAnsi="宋体" w:eastAsia="宋体" w:cs="宋体"/>
          <w:color w:val="auto"/>
          <w:sz w:val="24"/>
        </w:rPr>
        <w:t>（1）投标总价封面、扉页；</w:t>
      </w:r>
    </w:p>
    <w:p>
      <w:pPr>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（2）总说明</w:t>
      </w:r>
    </w:p>
    <w:p>
      <w:pPr>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（3）工程项目投标报价汇总表；</w:t>
      </w:r>
    </w:p>
    <w:p>
      <w:pPr>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（4）单项工程投标报价汇总表；</w:t>
      </w:r>
    </w:p>
    <w:p>
      <w:pPr>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（5）单位工程投标报价汇总表；</w:t>
      </w:r>
    </w:p>
    <w:p>
      <w:pPr>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（6）分部分项工程清单与计价表；</w:t>
      </w:r>
    </w:p>
    <w:p>
      <w:pPr>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（7）单价措施项目清单与计价表；</w:t>
      </w:r>
    </w:p>
    <w:p>
      <w:pPr>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（8）总价措施项目清单与计价表；</w:t>
      </w:r>
    </w:p>
    <w:p>
      <w:pPr>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（9）综合单价分析表；</w:t>
      </w:r>
    </w:p>
    <w:p>
      <w:pPr>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（10）其他项目清单与计价汇总表；</w:t>
      </w:r>
    </w:p>
    <w:p>
      <w:pPr>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（11）暂列金额明细表；</w:t>
      </w:r>
    </w:p>
    <w:p>
      <w:pPr>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（12）材料（工程设备）暂估价明细表；</w:t>
      </w:r>
    </w:p>
    <w:p>
      <w:pPr>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（13）专业工程暂估价明细表；</w:t>
      </w:r>
    </w:p>
    <w:p>
      <w:pPr>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（14）计日工表；</w:t>
      </w:r>
    </w:p>
    <w:p>
      <w:pPr>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（15）总承包服务计价表；</w:t>
      </w:r>
    </w:p>
    <w:p>
      <w:pPr>
        <w:spacing w:line="360" w:lineRule="auto"/>
        <w:ind w:firstLine="566" w:firstLineChars="236"/>
        <w:rPr>
          <w:rFonts w:hint="eastAsia" w:ascii="宋体" w:hAnsi="宋体" w:eastAsia="宋体" w:cs="宋体"/>
          <w:color w:val="auto"/>
          <w:sz w:val="24"/>
          <w:szCs w:val="24"/>
        </w:rPr>
      </w:pPr>
      <w:r>
        <w:rPr>
          <w:rFonts w:hint="eastAsia" w:ascii="宋体" w:hAnsi="宋体" w:eastAsia="宋体" w:cs="宋体"/>
          <w:color w:val="auto"/>
          <w:sz w:val="24"/>
          <w:szCs w:val="24"/>
        </w:rPr>
        <w:t>（16）规费和税金项目计价表；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szCs w:val="24"/>
        </w:rPr>
        <w:t xml:space="preserve"> （17）人工、主要材料和设备一览表</w:t>
      </w:r>
    </w:p>
    <w:p>
      <w:pPr>
        <w:tabs>
          <w:tab w:val="left" w:pos="112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11.3.3按照</w:t>
      </w:r>
      <w:r>
        <w:rPr>
          <w:rFonts w:hint="eastAsia" w:ascii="宋体" w:hAnsi="宋体" w:eastAsia="宋体" w:cs="宋体"/>
          <w:bCs/>
          <w:color w:val="auto"/>
          <w:sz w:val="24"/>
        </w:rPr>
        <w:t>招标文件要求</w:t>
      </w:r>
      <w:r>
        <w:rPr>
          <w:rFonts w:hint="eastAsia" w:ascii="宋体" w:hAnsi="宋体" w:eastAsia="宋体" w:cs="宋体"/>
          <w:color w:val="auto"/>
          <w:sz w:val="24"/>
        </w:rPr>
        <w:t>填写的《参与编制经济标投标文件人员名单》。</w:t>
      </w:r>
    </w:p>
    <w:p>
      <w:pPr>
        <w:tabs>
          <w:tab w:val="left" w:pos="1125"/>
        </w:tabs>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11.3.4若投标人的投标报价低于工程成本警戒价的，投标人还须提供详细的施工组织设计、单价、措施性费用、单价分析表、主要材料价格表、投标人成本分析供评标委员会评审。</w:t>
      </w:r>
    </w:p>
    <w:p>
      <w:pPr>
        <w:pStyle w:val="37"/>
        <w:spacing w:after="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12．投标文件格式</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12.1 投标文件包括本须知第11条中规定的内容，投标人提交的投标文件应当使用招标文件所提供的投标文件全部格式（表格可以按同样格式扩展）。</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ascii="宋体" w:hAnsi="宋体" w:eastAsia="宋体" w:cs="宋体"/>
          <w:color w:val="auto"/>
          <w:sz w:val="24"/>
          <w:szCs w:val="24"/>
        </w:rPr>
        <w:t>全流程电子化项目的相关指南进行操作。详见：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12.3 </w:t>
      </w:r>
      <w:r>
        <w:rPr>
          <w:rFonts w:hint="eastAsia" w:ascii="宋体" w:hAnsi="宋体" w:eastAsia="宋体" w:cs="宋体"/>
          <w:bCs/>
          <w:color w:val="auto"/>
          <w:sz w:val="24"/>
          <w:szCs w:val="24"/>
        </w:rPr>
        <w:t>投标文件应按</w:t>
      </w:r>
      <w:r>
        <w:rPr>
          <w:rFonts w:hint="eastAsia" w:ascii="宋体" w:hAnsi="宋体" w:eastAsia="宋体" w:cs="宋体"/>
          <w:color w:val="auto"/>
          <w:sz w:val="24"/>
        </w:rPr>
        <w:t>照交易平台关于全流程电子化项目的相关指南进行编制，详见：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rPr>
        <w:t xml:space="preserve">。               </w:t>
      </w:r>
    </w:p>
    <w:p>
      <w:pPr>
        <w:pStyle w:val="37"/>
        <w:spacing w:after="0" w:line="360" w:lineRule="auto"/>
        <w:ind w:firstLine="0"/>
        <w:rPr>
          <w:rFonts w:hint="eastAsia" w:ascii="宋体" w:hAnsi="宋体" w:eastAsia="宋体" w:cs="宋体"/>
          <w:color w:val="auto"/>
          <w:sz w:val="24"/>
        </w:rPr>
      </w:pPr>
      <w:r>
        <w:rPr>
          <w:rFonts w:hint="eastAsia" w:ascii="宋体" w:hAnsi="宋体" w:eastAsia="宋体" w:cs="宋体"/>
          <w:bCs/>
          <w:color w:val="auto"/>
          <w:sz w:val="24"/>
          <w:szCs w:val="24"/>
        </w:rPr>
        <w:t>如不按上述要求编制引起系统无法检索、读取相关信息的，其后果由投标人承担。</w:t>
      </w:r>
    </w:p>
    <w:p>
      <w:pPr>
        <w:pStyle w:val="37"/>
        <w:spacing w:after="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13．投标报价及造价承包和变更结算方式</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13.1 本工程的投标报价采用投标须知前附表第12项所规定的方式。投标报价（含单价及总价）精确到“分”。</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eastAsia="宋体" w:cs="宋体"/>
          <w:color w:val="auto"/>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13.5.1中标的投标文件工程量清单中已有相同项目的适用综合单价，则沿用；</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13.5.3 中标的投标文件工程量清单中没有相同项目或类似项目的，如可套取相关定额，则以相关定额为基数下浮计算单价,下浮率为中标价</w:t>
      </w:r>
      <w:r>
        <w:rPr>
          <w:rFonts w:hint="eastAsia" w:ascii="宋体" w:hAnsi="宋体" w:eastAsia="宋体" w:cs="宋体"/>
          <w:color w:val="auto"/>
          <w:sz w:val="24"/>
          <w:szCs w:val="24"/>
        </w:rPr>
        <w:t>相对于最高投标限价的下</w:t>
      </w:r>
      <w:r>
        <w:rPr>
          <w:rFonts w:hint="eastAsia" w:ascii="宋体" w:hAnsi="宋体" w:eastAsia="宋体" w:cs="宋体"/>
          <w:color w:val="auto"/>
          <w:sz w:val="24"/>
        </w:rPr>
        <w:t>浮率（下浮率=(</w:t>
      </w:r>
      <w:r>
        <w:rPr>
          <w:rFonts w:hint="eastAsia" w:ascii="宋体" w:hAnsi="宋体" w:eastAsia="宋体" w:cs="宋体"/>
          <w:color w:val="auto"/>
          <w:sz w:val="24"/>
          <w:szCs w:val="24"/>
        </w:rPr>
        <w:t>最高投标限价</w:t>
      </w:r>
      <w:r>
        <w:rPr>
          <w:rFonts w:hint="eastAsia" w:ascii="宋体" w:hAnsi="宋体" w:eastAsia="宋体" w:cs="宋体"/>
          <w:color w:val="auto"/>
          <w:sz w:val="24"/>
        </w:rPr>
        <w:t>-中标价)/</w:t>
      </w:r>
      <w:r>
        <w:rPr>
          <w:rFonts w:hint="eastAsia" w:ascii="宋体" w:hAnsi="宋体" w:eastAsia="宋体" w:cs="宋体"/>
          <w:color w:val="auto"/>
          <w:sz w:val="24"/>
          <w:szCs w:val="24"/>
        </w:rPr>
        <w:t xml:space="preserve"> 最高投标限价</w:t>
      </w:r>
      <w:r>
        <w:rPr>
          <w:rFonts w:hint="eastAsia" w:ascii="宋体" w:hAnsi="宋体" w:eastAsia="宋体" w:cs="宋体"/>
          <w:color w:val="auto"/>
          <w:sz w:val="24"/>
        </w:rPr>
        <w:t>）。</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13.5.4 如相关定额没有相应子目的，其计价方式由招标人在本招标文件第三章中另行规定。未规定的，中标后双方协商约定。</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13.6暂列金额、暂估价</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暂估价是指招标人在工程量清单中提供的用于支付必然发生但暂时不能确定价格的材料的单价以及专业工程的金额。</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13.7投标人可先到工地踏勘以充分了解工地位置、情况、道路、储存空间、装卸限制及任何其他足以影响承包价的情况，任何因忽视或误解工地情况而导致的索赔或工期延长申请将不被批准。</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37"/>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rPr>
        <w:t>13.9</w:t>
      </w:r>
      <w:r>
        <w:rPr>
          <w:rFonts w:hint="eastAsia" w:ascii="宋体" w:hAnsi="宋体" w:eastAsia="宋体" w:cs="宋体"/>
          <w:color w:val="auto"/>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37"/>
        <w:spacing w:after="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14．投标货币</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14.1 本工程投标报价采用的币种为人民币。</w:t>
      </w:r>
    </w:p>
    <w:p>
      <w:pPr>
        <w:pStyle w:val="37"/>
        <w:spacing w:after="0" w:line="360" w:lineRule="auto"/>
        <w:ind w:firstLine="482" w:firstLineChars="200"/>
        <w:rPr>
          <w:rFonts w:hint="eastAsia" w:ascii="宋体" w:hAnsi="宋体" w:eastAsia="宋体" w:cs="宋体"/>
          <w:color w:val="auto"/>
          <w:sz w:val="24"/>
        </w:rPr>
      </w:pPr>
      <w:r>
        <w:rPr>
          <w:rFonts w:hint="eastAsia" w:ascii="宋体" w:hAnsi="宋体" w:eastAsia="宋体" w:cs="宋体"/>
          <w:b/>
          <w:bCs/>
          <w:color w:val="auto"/>
          <w:sz w:val="24"/>
        </w:rPr>
        <w:t>15．投标有效期</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15.1 投标有效期见投标须知前附表第13项所规定的期限，在此期限内，凡符合本招标文件要求的投标文件均保持有效。</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37"/>
        <w:spacing w:after="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16．投标保证金</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16.1投标人应按投标须知前附表第14项所述金额和时间递交</w:t>
      </w:r>
      <w:r>
        <w:rPr>
          <w:rFonts w:hint="eastAsia" w:ascii="宋体" w:hAnsi="宋体" w:eastAsia="宋体" w:cs="宋体"/>
          <w:bCs/>
          <w:color w:val="auto"/>
          <w:sz w:val="24"/>
        </w:rPr>
        <w:t>投标保证金</w:t>
      </w:r>
      <w:r>
        <w:rPr>
          <w:rFonts w:hint="eastAsia" w:ascii="宋体" w:hAnsi="宋体" w:eastAsia="宋体" w:cs="宋体"/>
          <w:color w:val="auto"/>
          <w:sz w:val="24"/>
        </w:rPr>
        <w:t>。招标人应当允许投标人自主选择现金、银行保函、保证保险、专业工程担保公司担保等方式缴纳投标保证金。</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16.1.1 采用现金或者支票形式提交的，投标保证金须从投标人的银行基本账户转出。</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16.1.3 采用电子形式的保函、担保或保证保险提交投标保证金的，应在招标文件中明确电子递交途径。</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16.3投标保证金应依据法律法规的相关规定退还。</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16.4如有下列情况之一的，招标人可以不予退还投标保证金（是否退还投标保证金由招标人在招标文件中规定）：</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16.4.1因投标人原因造成投标文件未解密的；</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16.4.2投标人在投标有效期内撤销投标文件；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16.4.3中标人未能在规定期限内按要求提交履约担保；</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16.4.4中标人未能在规定期限内签署合同协议。</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16.5投标人如存在下列情况之一的，将被拒绝在一定时期内参与招标人后续工程投标（拒绝时限需在招标文件中明确）：</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16.5.1投标人存在16.4条款所列情形且投标人提交的保函、担保或保证保险无法兑付的；</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16.5.3按招标文件要求免于提供投标保证金的投标人存在16.4条款所列情形，且未按招标人要求补交投标保证金的；</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16.5.3按招标文件要求免于提供投标保证金的投标人存在16.4条款所列情形的。</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注：16.5.3款由招标人二选一，需在招标文件中明确。</w:t>
      </w:r>
    </w:p>
    <w:p>
      <w:pPr>
        <w:pStyle w:val="37"/>
        <w:spacing w:after="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17．投标文件的签署</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pPr>
        <w:pStyle w:val="8"/>
        <w:spacing w:before="156" w:after="156"/>
        <w:rPr>
          <w:rFonts w:hint="eastAsia" w:ascii="宋体" w:hAnsi="宋体" w:eastAsia="宋体" w:cs="宋体"/>
          <w:color w:val="auto"/>
        </w:rPr>
      </w:pPr>
      <w:bookmarkStart w:id="27" w:name="_Toc2272552"/>
      <w:bookmarkStart w:id="28" w:name="_Toc9111"/>
      <w:bookmarkStart w:id="29" w:name="_Toc21525496"/>
      <w:r>
        <w:rPr>
          <w:rFonts w:hint="eastAsia" w:ascii="宋体" w:hAnsi="宋体" w:eastAsia="宋体" w:cs="宋体"/>
          <w:color w:val="auto"/>
        </w:rPr>
        <w:t>（四）投标文件的提交</w:t>
      </w:r>
      <w:bookmarkEnd w:id="27"/>
      <w:bookmarkEnd w:id="28"/>
      <w:bookmarkEnd w:id="29"/>
    </w:p>
    <w:p>
      <w:pPr>
        <w:pStyle w:val="37"/>
        <w:spacing w:after="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18．</w:t>
      </w:r>
      <w:r>
        <w:rPr>
          <w:rFonts w:hint="eastAsia" w:ascii="宋体" w:hAnsi="宋体" w:eastAsia="宋体" w:cs="宋体"/>
          <w:b/>
          <w:color w:val="auto"/>
          <w:sz w:val="24"/>
          <w:szCs w:val="24"/>
        </w:rPr>
        <w:t>投标文件的密封和标记</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18.1递交的电子投标文件（不含备用光盘）必须进行加密。按照交易平台关于</w:t>
      </w:r>
      <w:r>
        <w:rPr>
          <w:rFonts w:hint="eastAsia" w:ascii="宋体" w:hAnsi="宋体" w:eastAsia="宋体" w:cs="宋体"/>
          <w:color w:val="auto"/>
          <w:sz w:val="24"/>
          <w:szCs w:val="24"/>
        </w:rPr>
        <w:t>全流程电子化项目的相关指南进行操作。详见：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18.2 未按要求加密的投标文件，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交易平台</w:t>
      </w:r>
      <w:r>
        <w:rPr>
          <w:rFonts w:hint="eastAsia" w:ascii="宋体" w:hAnsi="宋体" w:eastAsia="宋体" w:cs="宋体"/>
          <w:bCs/>
          <w:color w:val="auto"/>
          <w:sz w:val="24"/>
        </w:rPr>
        <w:t>将予以拒收。</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19．投标文件的递交和接收</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19.1投标人通过</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交易平台</w:t>
      </w:r>
      <w:r>
        <w:rPr>
          <w:rFonts w:hint="eastAsia" w:ascii="宋体" w:hAnsi="宋体" w:eastAsia="宋体" w:cs="宋体"/>
          <w:color w:val="auto"/>
          <w:sz w:val="24"/>
        </w:rPr>
        <w:t>递交电子投标文件。</w:t>
      </w:r>
    </w:p>
    <w:p>
      <w:pPr>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19.2投标人完成电子</w:t>
      </w:r>
      <w:r>
        <w:rPr>
          <w:rFonts w:hint="eastAsia" w:ascii="宋体" w:hAnsi="宋体" w:eastAsia="宋体" w:cs="宋体"/>
          <w:color w:val="auto"/>
          <w:sz w:val="24"/>
        </w:rPr>
        <w:t>投标文件</w:t>
      </w:r>
      <w:r>
        <w:rPr>
          <w:rFonts w:hint="eastAsia" w:ascii="宋体" w:hAnsi="宋体" w:eastAsia="宋体" w:cs="宋体"/>
          <w:bCs/>
          <w:color w:val="auto"/>
          <w:sz w:val="24"/>
        </w:rPr>
        <w:t>上传后，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交易平台</w:t>
      </w:r>
      <w:r>
        <w:rPr>
          <w:rFonts w:hint="eastAsia" w:ascii="宋体" w:hAnsi="宋体" w:eastAsia="宋体" w:cs="宋体"/>
          <w:color w:val="auto"/>
          <w:sz w:val="24"/>
        </w:rPr>
        <w:t>即时向投标人发出递交回执通知。递交时间以递交回执通知载明的传输完成时间为准。</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bCs/>
          <w:color w:val="auto"/>
          <w:sz w:val="24"/>
        </w:rPr>
        <w:t>19.3</w:t>
      </w:r>
      <w:r>
        <w:rPr>
          <w:rFonts w:hint="eastAsia" w:ascii="宋体" w:hAnsi="宋体" w:eastAsia="宋体" w:cs="宋体"/>
          <w:bCs/>
          <w:color w:val="auto"/>
          <w:sz w:val="24"/>
          <w:szCs w:val="24"/>
        </w:rPr>
        <w:t>逾期送达的</w:t>
      </w:r>
      <w:r>
        <w:rPr>
          <w:rFonts w:hint="eastAsia" w:ascii="宋体" w:hAnsi="宋体" w:eastAsia="宋体" w:cs="宋体"/>
          <w:bCs/>
          <w:color w:val="auto"/>
          <w:sz w:val="24"/>
        </w:rPr>
        <w:t>电子投标文件，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交易平台</w:t>
      </w:r>
      <w:r>
        <w:rPr>
          <w:rFonts w:hint="eastAsia" w:ascii="宋体" w:hAnsi="宋体" w:eastAsia="宋体" w:cs="宋体"/>
          <w:color w:val="auto"/>
          <w:sz w:val="24"/>
        </w:rPr>
        <w:t>将予以拒收。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19.4 </w:t>
      </w:r>
      <w:r>
        <w:rPr>
          <w:rFonts w:hint="eastAsia" w:ascii="宋体" w:hAnsi="宋体" w:eastAsia="宋体" w:cs="宋体"/>
          <w:color w:val="auto"/>
          <w:sz w:val="24"/>
          <w:szCs w:val="24"/>
        </w:rPr>
        <w:t>投标截止前，招标人拒绝接收符合条件的投标文件，投标人可向招标投标监督机构投诉。</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19.5如技术标和经济标先后分别开启，</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交易平台</w:t>
      </w:r>
      <w:r>
        <w:rPr>
          <w:rFonts w:hint="eastAsia" w:ascii="宋体" w:hAnsi="宋体" w:eastAsia="宋体" w:cs="宋体"/>
          <w:color w:val="auto"/>
          <w:sz w:val="24"/>
        </w:rPr>
        <w:t>将按招标文件规定的时间分别开启技术标和经济标。</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20．投标文件提交的截止时间</w:t>
      </w:r>
    </w:p>
    <w:p>
      <w:pPr>
        <w:spacing w:line="360" w:lineRule="auto"/>
        <w:ind w:firstLine="480" w:firstLineChars="200"/>
        <w:rPr>
          <w:rFonts w:hint="eastAsia" w:ascii="宋体" w:hAnsi="宋体" w:eastAsia="宋体" w:cs="宋体"/>
          <w:b/>
          <w:bCs/>
          <w:color w:val="auto"/>
          <w:sz w:val="24"/>
        </w:rPr>
      </w:pPr>
      <w:r>
        <w:rPr>
          <w:rFonts w:hint="eastAsia" w:ascii="宋体" w:hAnsi="宋体" w:eastAsia="宋体" w:cs="宋体"/>
          <w:color w:val="auto"/>
          <w:sz w:val="24"/>
        </w:rPr>
        <w:t>20.1投标人应在投标须知前附表第17项所述的时间前提交投标文件。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20.2招标人可按本须知第9条规定以招标文件修改的方式，酌情延长提交投标文件的截止时间。在此情况下，投标人的所有权利和义务以及投标人受制约的截止时间，均以延长后新的投标截止时间为准。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20.3 到投标截止时间止，招标人收到的投标文件少于3家的，招标人将重新组织招标</w:t>
      </w:r>
      <w:r>
        <w:rPr>
          <w:rFonts w:hint="eastAsia" w:ascii="宋体" w:hAnsi="宋体" w:eastAsia="宋体" w:cs="宋体"/>
          <w:color w:val="auto"/>
          <w:sz w:val="24"/>
          <w:szCs w:val="24"/>
        </w:rPr>
        <w:t>（当N个标段同时招标且不允许兼中时，若有效投标人不足N+2家，则重新组织招标）</w:t>
      </w:r>
      <w:r>
        <w:rPr>
          <w:rFonts w:hint="eastAsia" w:ascii="宋体" w:hAnsi="宋体" w:eastAsia="宋体" w:cs="宋体"/>
          <w:color w:val="auto"/>
          <w:sz w:val="24"/>
        </w:rPr>
        <w:t>。</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21．迟交的投标文件</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21.1 本须知前附表第17项规定的投标截止时间</w:t>
      </w:r>
      <w:r>
        <w:rPr>
          <w:rFonts w:hint="eastAsia" w:ascii="宋体" w:hAnsi="宋体" w:eastAsia="宋体" w:cs="宋体"/>
          <w:bCs/>
          <w:color w:val="auto"/>
          <w:sz w:val="24"/>
          <w:szCs w:val="24"/>
        </w:rPr>
        <w:t>后送达的</w:t>
      </w:r>
      <w:r>
        <w:rPr>
          <w:rFonts w:hint="eastAsia" w:ascii="宋体" w:hAnsi="宋体" w:eastAsia="宋体" w:cs="宋体"/>
          <w:bCs/>
          <w:color w:val="auto"/>
          <w:sz w:val="24"/>
        </w:rPr>
        <w:t>电子投标文件，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交易平台</w:t>
      </w:r>
      <w:r>
        <w:rPr>
          <w:rFonts w:hint="eastAsia" w:ascii="宋体" w:hAnsi="宋体" w:eastAsia="宋体" w:cs="宋体"/>
          <w:color w:val="auto"/>
          <w:sz w:val="24"/>
        </w:rPr>
        <w:t>将予以拒收。</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22．投标文件的修改与撤回</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22.1在规定的投标截止时间前，投标人可以修改或撤回已递交的投标文件，但应以书面形式通知招标人。</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22.2投标人修改或撤回已递交的投标文件，需在</w:t>
      </w:r>
      <w:r>
        <w:rPr>
          <w:rFonts w:hint="eastAsia" w:ascii="宋体" w:hAnsi="宋体" w:eastAsia="宋体" w:cs="宋体"/>
          <w:color w:val="auto"/>
          <w:sz w:val="24"/>
        </w:rPr>
        <w:t>交易平台发出修改或撤回</w:t>
      </w:r>
      <w:r>
        <w:rPr>
          <w:rFonts w:hint="eastAsia" w:ascii="宋体" w:hAnsi="宋体" w:eastAsia="宋体" w:cs="宋体"/>
          <w:color w:val="auto"/>
          <w:sz w:val="24"/>
          <w:szCs w:val="24"/>
        </w:rPr>
        <w:t>通知，并按要求加盖电子印章。</w:t>
      </w:r>
      <w:r>
        <w:rPr>
          <w:rFonts w:hint="eastAsia" w:ascii="宋体" w:hAnsi="宋体" w:eastAsia="宋体" w:cs="宋体"/>
          <w:bCs/>
          <w:iCs/>
          <w:color w:val="auto"/>
          <w:sz w:val="24"/>
          <w:szCs w:val="24"/>
        </w:rPr>
        <w:t>电子招标投标交易平台收到通知后，</w:t>
      </w:r>
      <w:r>
        <w:rPr>
          <w:rFonts w:hint="eastAsia" w:ascii="宋体" w:hAnsi="宋体" w:eastAsia="宋体" w:cs="宋体"/>
          <w:color w:val="auto"/>
          <w:sz w:val="24"/>
          <w:szCs w:val="24"/>
        </w:rPr>
        <w:t>即时向投标人发出确认回执通知。</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22.3修改后再次递交的，按19点的规定执行。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22.4 在投标截止时间之后，投标人不得补充、修改和更换投标文件。</w:t>
      </w:r>
    </w:p>
    <w:p>
      <w:pPr>
        <w:pStyle w:val="8"/>
        <w:spacing w:before="156" w:after="156"/>
        <w:rPr>
          <w:rFonts w:hint="eastAsia" w:ascii="宋体" w:hAnsi="宋体" w:eastAsia="宋体" w:cs="宋体"/>
          <w:color w:val="auto"/>
        </w:rPr>
      </w:pPr>
      <w:bookmarkStart w:id="30" w:name="_Toc2272553"/>
      <w:bookmarkStart w:id="31" w:name="_Toc21525497"/>
      <w:bookmarkStart w:id="32" w:name="_Toc13881"/>
      <w:r>
        <w:rPr>
          <w:rFonts w:hint="eastAsia" w:ascii="宋体" w:hAnsi="宋体" w:eastAsia="宋体" w:cs="宋体"/>
          <w:color w:val="auto"/>
        </w:rPr>
        <w:t>（五）开标、评标、定标及合同签定</w:t>
      </w:r>
      <w:bookmarkEnd w:id="30"/>
      <w:bookmarkEnd w:id="31"/>
      <w:bookmarkEnd w:id="32"/>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23、开标。</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详见第二章开标、评标及定标办法</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24．评标过程的保密</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24.1 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24.2 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25．投标文件的澄清，计算错误的修正</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详见招标文件第二章开标、评标及定标办法</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26．投标文件的评审、比较和否决</w:t>
      </w:r>
    </w:p>
    <w:p>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rPr>
        <w:t>详见招标文件第二章开标、评标及定标办法。</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27．中标通知书</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27.1招标人将在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交易平台</w:t>
      </w:r>
      <w:r>
        <w:rPr>
          <w:rFonts w:hint="eastAsia" w:ascii="宋体" w:hAnsi="宋体" w:eastAsia="宋体" w:cs="宋体"/>
          <w:color w:val="auto"/>
          <w:sz w:val="24"/>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27.2招标人应当自确定中标人后，向招标投标监管机构提交招标投标情况的书面报告；经招投标监管机构备案后，方可发出中标通知书。</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27.3中标人必须在收到中标通知书后24小时之内以书面形式回复招标人，确认收到。</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27.4在产生中标候选人后，招标人将中标候选人的投标文件商务部分文件的所有内容（包括人员、业绩、奖项等资料）在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交易平台和广东省招标投标监管网</w:t>
      </w:r>
      <w:r>
        <w:rPr>
          <w:rFonts w:hint="eastAsia" w:ascii="宋体" w:hAnsi="宋体" w:eastAsia="宋体" w:cs="宋体"/>
          <w:color w:val="auto"/>
          <w:sz w:val="24"/>
        </w:rPr>
        <w:t>公开。</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28．合同协议书的签订</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28.1 招标人与中标人将于中标通知书发出之日起30日内，按照招标文件和中标人的投标文件商定和签订合同，招标人和中标人不得再行订立背离合同实质性内容的其他协议。</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28.3非经招标人同意，中标人在投标过程中使用的银行名称及帐号至完成竣工结算不得变更，否则招标人有权停止工程款项的拔付及至解除合同，由此造成的一切责任由中标人承担。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28.4招标人支付工程款时，中标人应按规定开具发票。</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29．履约担保</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29.1 在收到中标通知书后的</w:t>
      </w:r>
      <w:r>
        <w:rPr>
          <w:rFonts w:hint="eastAsia" w:ascii="宋体" w:hAnsi="宋体" w:eastAsia="宋体" w:cs="宋体"/>
          <w:b/>
          <w:color w:val="auto"/>
          <w:sz w:val="24"/>
        </w:rPr>
        <w:t>15日</w:t>
      </w:r>
      <w:r>
        <w:rPr>
          <w:rFonts w:hint="eastAsia" w:ascii="宋体" w:hAnsi="宋体" w:eastAsia="宋体" w:cs="宋体"/>
          <w:color w:val="auto"/>
          <w:sz w:val="24"/>
        </w:rPr>
        <w:t>内，中标人应按本须知前附表第20项的规定向招标人提交履约担保。</w:t>
      </w:r>
    </w:p>
    <w:p>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30．合同生效</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30.1在合同双方全权代表在合同协议书上签字，并分别加盖双方单位的公章后，合同正式生效。</w:t>
      </w:r>
    </w:p>
    <w:p>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31．其它费用</w:t>
      </w:r>
    </w:p>
    <w:p>
      <w:pPr>
        <w:pStyle w:val="37"/>
        <w:spacing w:after="0"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rPr>
        <w:t>32．腐败与欺诈行为</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在招标和合同实施期间，招标人要求投标人和承包人遵守最高的道德标准。</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32．1对本条款的规定，特定义如下词汇：</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1）、“腐败行为”是指在招标或合同执行期间，通过提供、给予、接受或索要任何有价值的东西，从而影响招标人有关人员工作的行为；</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32．2如果投标人被认定在本招标的竞争中有腐败或欺诈行为，则会被取消投标资格。</w:t>
      </w:r>
    </w:p>
    <w:p>
      <w:pPr>
        <w:pStyle w:val="37"/>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32.3投标人如在本项目中存在串通投标、弄虚作假</w:t>
      </w:r>
      <w:r>
        <w:rPr>
          <w:rFonts w:hint="eastAsia" w:ascii="宋体" w:hAnsi="宋体" w:cs="宋体"/>
          <w:color w:val="auto"/>
          <w:sz w:val="24"/>
          <w:lang w:val="en-US" w:eastAsia="zh-CN"/>
        </w:rPr>
        <w:t>骗取中标</w:t>
      </w:r>
      <w:r>
        <w:rPr>
          <w:rFonts w:hint="eastAsia" w:ascii="宋体" w:hAnsi="宋体" w:eastAsia="宋体" w:cs="宋体"/>
          <w:color w:val="auto"/>
          <w:sz w:val="24"/>
        </w:rPr>
        <w:t>、行贿情形的，中标无效，行政监督部门将对其违法行为进行政处罚。该投标人将被招标人列入黑名单并限制其参与招标人后续项目的投标。</w:t>
      </w:r>
    </w:p>
    <w:bookmarkEnd w:id="17"/>
    <w:p>
      <w:pPr>
        <w:pStyle w:val="5"/>
        <w:jc w:val="center"/>
        <w:rPr>
          <w:b/>
          <w:bCs/>
          <w:color w:val="auto"/>
          <w:highlight w:val="none"/>
        </w:rPr>
      </w:pPr>
      <w:r>
        <w:rPr>
          <w:rFonts w:ascii="宋体"/>
          <w:color w:val="auto"/>
          <w:sz w:val="24"/>
          <w:highlight w:val="none"/>
        </w:rPr>
        <w:br w:type="page"/>
      </w:r>
      <w:bookmarkStart w:id="33" w:name="_Toc18062"/>
      <w:bookmarkStart w:id="34" w:name="_Toc20404"/>
      <w:r>
        <w:rPr>
          <w:rFonts w:hint="eastAsia"/>
          <w:b/>
          <w:bCs/>
          <w:color w:val="auto"/>
          <w:highlight w:val="none"/>
        </w:rPr>
        <w:t>第二章</w:t>
      </w:r>
      <w:r>
        <w:rPr>
          <w:b/>
          <w:bCs/>
          <w:color w:val="auto"/>
          <w:highlight w:val="none"/>
        </w:rPr>
        <w:t xml:space="preserve">  </w:t>
      </w:r>
      <w:r>
        <w:rPr>
          <w:rFonts w:hint="eastAsia"/>
          <w:b/>
          <w:bCs/>
          <w:color w:val="auto"/>
          <w:highlight w:val="none"/>
        </w:rPr>
        <w:t>开标、评标及定标办法</w:t>
      </w:r>
      <w:bookmarkEnd w:id="33"/>
      <w:bookmarkEnd w:id="34"/>
    </w:p>
    <w:p>
      <w:pPr>
        <w:pStyle w:val="6"/>
        <w:ind w:left="0"/>
        <w:rPr>
          <w:color w:val="auto"/>
          <w:highlight w:val="none"/>
        </w:rPr>
      </w:pPr>
      <w:bookmarkStart w:id="35" w:name="_Toc24596"/>
      <w:bookmarkStart w:id="36" w:name="_Toc12518"/>
      <w:r>
        <w:rPr>
          <w:rFonts w:hint="eastAsia"/>
          <w:color w:val="auto"/>
          <w:sz w:val="28"/>
          <w:szCs w:val="28"/>
          <w:highlight w:val="none"/>
        </w:rPr>
        <w:t>一、</w:t>
      </w:r>
      <w:r>
        <w:rPr>
          <w:rFonts w:hint="eastAsia"/>
          <w:color w:val="auto"/>
          <w:highlight w:val="none"/>
        </w:rPr>
        <w:t>开标、评标及定标办法修改表</w:t>
      </w:r>
      <w:bookmarkEnd w:id="35"/>
      <w:bookmarkEnd w:id="36"/>
    </w:p>
    <w:p>
      <w:pPr>
        <w:pStyle w:val="37"/>
        <w:spacing w:after="0" w:line="360" w:lineRule="auto"/>
        <w:rPr>
          <w:b/>
          <w:color w:val="auto"/>
          <w:szCs w:val="21"/>
          <w:highlight w:val="none"/>
        </w:rPr>
      </w:pPr>
      <w:r>
        <w:rPr>
          <w:rFonts w:hint="eastAsia"/>
          <w:b/>
          <w:color w:val="auto"/>
          <w:szCs w:val="21"/>
          <w:highlight w:val="none"/>
        </w:rPr>
        <w:t>声明：本</w:t>
      </w:r>
      <w:r>
        <w:rPr>
          <w:rFonts w:hint="eastAsia"/>
          <w:b/>
          <w:color w:val="auto"/>
          <w:highlight w:val="none"/>
        </w:rPr>
        <w:t>开标、评标及定标办法使用GZZB2018-3招标文件范本的开标、评标及定标办法通用条款，与该通用条款不同之处，均在本表中列明，并以现文为准，原</w:t>
      </w:r>
      <w:r>
        <w:rPr>
          <w:rFonts w:hint="eastAsia"/>
          <w:b/>
          <w:color w:val="auto"/>
          <w:szCs w:val="21"/>
          <w:highlight w:val="none"/>
        </w:rPr>
        <w:t>文不再有效。本招标文件中不再转录</w:t>
      </w:r>
      <w:r>
        <w:rPr>
          <w:rFonts w:hint="eastAsia"/>
          <w:b/>
          <w:color w:val="auto"/>
          <w:highlight w:val="none"/>
        </w:rPr>
        <w:t>开标、评标及定标办法</w:t>
      </w:r>
      <w:r>
        <w:rPr>
          <w:rFonts w:hint="eastAsia"/>
          <w:b/>
          <w:color w:val="auto"/>
          <w:szCs w:val="21"/>
          <w:highlight w:val="none"/>
        </w:rPr>
        <w:t>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color w:val="auto"/>
          <w:highlight w:val="none"/>
        </w:rPr>
        <w:t>http://zfcj.gz.gov.cn/</w:t>
      </w:r>
      <w:r>
        <w:rPr>
          <w:rStyle w:val="46"/>
          <w:rFonts w:hint="eastAsia"/>
          <w:b/>
          <w:color w:val="auto"/>
          <w:szCs w:val="21"/>
          <w:highlight w:val="none"/>
        </w:rPr>
        <w:t>）下载GZZB2018-3</w:t>
      </w:r>
      <w:r>
        <w:rPr>
          <w:rStyle w:val="46"/>
          <w:rFonts w:hint="eastAsia"/>
          <w:b/>
          <w:color w:val="auto"/>
          <w:szCs w:val="21"/>
          <w:highlight w:val="none"/>
        </w:rPr>
        <w:fldChar w:fldCharType="end"/>
      </w:r>
      <w:r>
        <w:rPr>
          <w:rFonts w:hint="eastAsia"/>
          <w:b/>
          <w:color w:val="auto"/>
          <w:szCs w:val="21"/>
          <w:highlight w:val="none"/>
        </w:rPr>
        <w:t>范本查阅。</w:t>
      </w:r>
    </w:p>
    <w:p>
      <w:pPr>
        <w:spacing w:line="480" w:lineRule="auto"/>
        <w:ind w:firstLine="472" w:firstLineChars="224"/>
        <w:rPr>
          <w:b/>
          <w:color w:val="auto"/>
          <w:szCs w:val="21"/>
          <w:highlight w:val="none"/>
        </w:rPr>
      </w:pPr>
      <w:r>
        <w:rPr>
          <w:rFonts w:hint="eastAsia"/>
          <w:b/>
          <w:color w:val="auto"/>
          <w:szCs w:val="21"/>
          <w:highlight w:val="none"/>
        </w:rPr>
        <w:t>条款号：36.1</w:t>
      </w:r>
      <w:r>
        <w:rPr>
          <w:b/>
          <w:color w:val="auto"/>
          <w:szCs w:val="21"/>
          <w:highlight w:val="none"/>
        </w:rPr>
        <w:t xml:space="preserve">             </w:t>
      </w:r>
      <w:r>
        <w:rPr>
          <w:rFonts w:hint="eastAsia"/>
          <w:b/>
          <w:color w:val="auto"/>
          <w:szCs w:val="21"/>
          <w:highlight w:val="none"/>
        </w:rPr>
        <w:t>修改类型：修改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olor w:val="auto"/>
          <w:szCs w:val="21"/>
          <w:highlight w:val="none"/>
        </w:rPr>
        <w:t>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olor w:val="auto"/>
          <w:szCs w:val="21"/>
          <w:highlight w:val="none"/>
        </w:rPr>
        <w:t>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480" w:lineRule="auto"/>
        <w:ind w:firstLine="472" w:firstLineChars="224"/>
        <w:rPr>
          <w:b/>
          <w:color w:val="auto"/>
          <w:szCs w:val="21"/>
          <w:highlight w:val="none"/>
        </w:rPr>
      </w:pPr>
      <w:r>
        <w:rPr>
          <w:rFonts w:hint="eastAsia"/>
          <w:b/>
          <w:color w:val="auto"/>
          <w:szCs w:val="21"/>
          <w:highlight w:val="none"/>
        </w:rPr>
        <w:t>条款号：36.3</w:t>
      </w:r>
      <w:r>
        <w:rPr>
          <w:b/>
          <w:color w:val="auto"/>
          <w:szCs w:val="21"/>
          <w:highlight w:val="none"/>
        </w:rPr>
        <w:t xml:space="preserve">             </w:t>
      </w:r>
      <w:r>
        <w:rPr>
          <w:rFonts w:hint="eastAsia"/>
          <w:b/>
          <w:color w:val="auto"/>
          <w:szCs w:val="21"/>
          <w:highlight w:val="none"/>
        </w:rPr>
        <w:t>修改类型：删除</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olor w:val="auto"/>
          <w:szCs w:val="21"/>
          <w:highlight w:val="none"/>
        </w:rPr>
        <w:t>根据投标须知前附表第19项，如需抽取某一种评标办法供评标时使用的，应在开标前抽取。首先对招标文件中约定的若干种评标方法进行编号，再随机抽取某一编号，该编号所对应的评标办法供评标时使用。</w:t>
      </w:r>
    </w:p>
    <w:p>
      <w:pPr>
        <w:pBdr>
          <w:bottom w:val="single" w:color="auto" w:sz="6" w:space="1"/>
        </w:pBdr>
        <w:spacing w:line="360" w:lineRule="auto"/>
        <w:rPr>
          <w:rFonts w:ascii="宋体" w:hAnsi="宋体" w:cs="宋体"/>
          <w:b/>
          <w:szCs w:val="21"/>
        </w:rPr>
      </w:pPr>
    </w:p>
    <w:p>
      <w:pPr>
        <w:spacing w:line="360" w:lineRule="auto"/>
        <w:ind w:firstLine="472" w:firstLineChars="224"/>
        <w:rPr>
          <w:rFonts w:ascii="宋体" w:hAnsi="宋体" w:cs="宋体"/>
          <w:b/>
          <w:szCs w:val="21"/>
        </w:rPr>
      </w:pPr>
      <w:r>
        <w:rPr>
          <w:rFonts w:hint="eastAsia" w:ascii="宋体" w:hAnsi="宋体" w:cs="宋体"/>
          <w:b/>
          <w:szCs w:val="21"/>
        </w:rPr>
        <w:t>条款号：36.4                                                   修改类型：修改</w:t>
      </w:r>
    </w:p>
    <w:p>
      <w:pPr>
        <w:spacing w:line="360" w:lineRule="auto"/>
        <w:ind w:firstLine="422" w:firstLineChars="200"/>
        <w:rPr>
          <w:rFonts w:ascii="宋体" w:hAnsi="宋体" w:cs="宋体"/>
          <w:bCs/>
          <w:szCs w:val="21"/>
        </w:rPr>
      </w:pPr>
      <w:r>
        <w:rPr>
          <w:rFonts w:hint="eastAsia" w:ascii="宋体" w:hAnsi="宋体" w:cs="宋体"/>
          <w:b/>
          <w:szCs w:val="21"/>
        </w:rPr>
        <w:t>原文：</w:t>
      </w:r>
      <w:r>
        <w:rPr>
          <w:rFonts w:hint="eastAsia" w:ascii="宋体" w:hAnsi="宋体" w:cs="宋体"/>
          <w:bCs/>
          <w:szCs w:val="21"/>
        </w:rPr>
        <w:t>36.4若递交投标文件的投标人不足3家，则重新组织招标。（当N个标段同时招标且不允许兼中时，若有效投标人不足N+2家，则重新组织招标）。</w:t>
      </w:r>
    </w:p>
    <w:p>
      <w:pPr>
        <w:pBdr>
          <w:bottom w:val="single" w:color="auto" w:sz="6" w:space="1"/>
        </w:pBdr>
        <w:spacing w:line="360" w:lineRule="auto"/>
        <w:ind w:firstLine="472" w:firstLineChars="224"/>
        <w:rPr>
          <w:rFonts w:ascii="宋体" w:hAnsi="宋体" w:cs="宋体"/>
          <w:bCs/>
          <w:szCs w:val="21"/>
        </w:rPr>
      </w:pPr>
      <w:r>
        <w:rPr>
          <w:rFonts w:hint="eastAsia" w:ascii="宋体" w:hAnsi="宋体" w:cs="宋体"/>
          <w:b/>
          <w:szCs w:val="21"/>
        </w:rPr>
        <w:t>现文：</w:t>
      </w:r>
      <w:r>
        <w:rPr>
          <w:rFonts w:hint="eastAsia" w:ascii="宋体" w:hAnsi="宋体" w:cs="宋体"/>
          <w:bCs/>
          <w:szCs w:val="21"/>
        </w:rPr>
        <w:t>36.4若递交投标文件的投标人不足3家，则重新组织招标。</w:t>
      </w:r>
    </w:p>
    <w:p>
      <w:pPr>
        <w:spacing w:line="480" w:lineRule="auto"/>
        <w:ind w:firstLine="472" w:firstLineChars="224"/>
        <w:rPr>
          <w:b/>
          <w:color w:val="auto"/>
          <w:szCs w:val="21"/>
          <w:highlight w:val="none"/>
        </w:rPr>
      </w:pPr>
      <w:r>
        <w:rPr>
          <w:rFonts w:hint="eastAsia"/>
          <w:b/>
          <w:color w:val="auto"/>
          <w:szCs w:val="21"/>
          <w:highlight w:val="none"/>
        </w:rPr>
        <w:t>条款号：36.5.1</w:t>
      </w:r>
      <w:r>
        <w:rPr>
          <w:b/>
          <w:color w:val="auto"/>
          <w:szCs w:val="21"/>
          <w:highlight w:val="none"/>
        </w:rPr>
        <w:t xml:space="preserve">             </w:t>
      </w:r>
      <w:r>
        <w:rPr>
          <w:rFonts w:hint="eastAsia"/>
          <w:b/>
          <w:color w:val="auto"/>
          <w:szCs w:val="21"/>
          <w:highlight w:val="none"/>
        </w:rPr>
        <w:t>修改类型：修改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olor w:val="auto"/>
          <w:szCs w:val="20"/>
          <w:highlight w:val="none"/>
        </w:rPr>
        <w:t>在投标截止时间后半小时内，投标人通过</w:t>
      </w:r>
      <w:r>
        <w:rPr>
          <w:color w:val="auto"/>
          <w:szCs w:val="21"/>
          <w:highlight w:val="none"/>
          <w:u w:val="single"/>
        </w:rPr>
        <w:t xml:space="preserve">        </w:t>
      </w:r>
      <w:r>
        <w:rPr>
          <w:rFonts w:hint="eastAsia" w:ascii="宋体" w:hAnsi="宋体"/>
          <w:color w:val="auto"/>
          <w:szCs w:val="21"/>
          <w:highlight w:val="none"/>
        </w:rPr>
        <w:t>交易平台</w:t>
      </w:r>
      <w:r>
        <w:rPr>
          <w:rFonts w:hint="eastAsia" w:ascii="宋体" w:hAnsi="宋体"/>
          <w:color w:val="auto"/>
          <w:szCs w:val="20"/>
          <w:highlight w:val="none"/>
        </w:rPr>
        <w:t>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60" w:lineRule="auto"/>
        <w:ind w:firstLine="527" w:firstLineChars="250"/>
        <w:rPr>
          <w:rFonts w:hint="eastAsia" w:ascii="宋体" w:hAnsi="宋体"/>
          <w:color w:val="auto"/>
          <w:szCs w:val="20"/>
          <w:highlight w:val="none"/>
        </w:rPr>
      </w:pPr>
      <w:r>
        <w:rPr>
          <w:rFonts w:hint="eastAsia"/>
          <w:b/>
          <w:color w:val="auto"/>
          <w:szCs w:val="21"/>
          <w:highlight w:val="none"/>
        </w:rPr>
        <w:t>现文：</w:t>
      </w:r>
      <w:r>
        <w:rPr>
          <w:rFonts w:hint="eastAsia" w:ascii="宋体" w:hAnsi="宋体"/>
          <w:color w:val="auto"/>
          <w:szCs w:val="20"/>
          <w:highlight w:val="none"/>
        </w:rPr>
        <w:t>在投标截止时间后半小时内，投标人通过</w:t>
      </w:r>
      <w:r>
        <w:rPr>
          <w:rFonts w:hint="eastAsia"/>
          <w:color w:val="auto"/>
          <w:szCs w:val="21"/>
          <w:highlight w:val="none"/>
          <w:u w:val="single"/>
        </w:rPr>
        <w:t>广州公共资源交易中心</w:t>
      </w:r>
      <w:r>
        <w:rPr>
          <w:rFonts w:hint="eastAsia" w:ascii="宋体" w:hAnsi="宋体"/>
          <w:color w:val="auto"/>
          <w:szCs w:val="21"/>
          <w:highlight w:val="none"/>
        </w:rPr>
        <w:t>交易平台</w:t>
      </w:r>
      <w:r>
        <w:rPr>
          <w:rFonts w:hint="eastAsia" w:ascii="宋体" w:hAnsi="宋体"/>
          <w:color w:val="auto"/>
          <w:szCs w:val="20"/>
          <w:highlight w:val="none"/>
        </w:rPr>
        <w:t>对已递交的电子投标文件进行解密。投标人完成解密后，再由招标人</w:t>
      </w:r>
      <w:r>
        <w:rPr>
          <w:rFonts w:hint="eastAsia" w:ascii="宋体" w:hAnsi="宋体"/>
          <w:color w:val="auto"/>
          <w:szCs w:val="20"/>
          <w:highlight w:val="none"/>
          <w:u w:val="single"/>
        </w:rPr>
        <w:t>或招标代理机构</w:t>
      </w:r>
      <w:r>
        <w:rPr>
          <w:rFonts w:hint="eastAsia" w:ascii="宋体" w:hAnsi="宋体"/>
          <w:color w:val="auto"/>
          <w:szCs w:val="20"/>
          <w:highlight w:val="none"/>
        </w:rPr>
        <w:t>进行解密。解密完成后，公布招标项目名称、投标人名称、投标保证金的递交情况、投标报价、工期及其他内容；</w:t>
      </w:r>
    </w:p>
    <w:p>
      <w:pPr>
        <w:spacing w:line="400" w:lineRule="exact"/>
        <w:ind w:firstLine="472"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bCs w:val="0"/>
          <w:color w:val="auto"/>
          <w:szCs w:val="21"/>
          <w:highlight w:val="none"/>
        </w:rPr>
        <w:t xml:space="preserve"> 36.5.3  </w:t>
      </w:r>
      <w:r>
        <w:rPr>
          <w:rFonts w:hint="eastAsia" w:ascii="宋体" w:hAnsi="宋体" w:eastAsia="宋体" w:cs="宋体"/>
          <w:b/>
          <w:color w:val="auto"/>
          <w:szCs w:val="21"/>
          <w:highlight w:val="none"/>
        </w:rPr>
        <w:t xml:space="preserve">         修改类型：修改</w:t>
      </w:r>
    </w:p>
    <w:p>
      <w:pP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36.5.3投标人代表、招标人代表、监标人、记录人等有关人员在开标记录上签字确认；若有关人员不签字的，不影响开标程序；</w:t>
      </w:r>
    </w:p>
    <w:p>
      <w:pPr>
        <w:pBdr>
          <w:bottom w:val="single" w:color="auto" w:sz="6" w:space="1"/>
        </w:pBdr>
        <w:spacing w:line="400" w:lineRule="exact"/>
        <w:ind w:firstLine="472" w:firstLineChars="224"/>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36.5.3投标人代表、招标人代表、监标人、记录人等有关人员在开标记录上签字确认；若有关人员不签字的，不影响开标程序；</w:t>
      </w:r>
      <w:r>
        <w:rPr>
          <w:rFonts w:hint="eastAsia" w:ascii="宋体" w:hAnsi="宋体" w:eastAsia="宋体" w:cs="宋体"/>
          <w:color w:val="auto"/>
          <w:szCs w:val="21"/>
          <w:highlight w:val="none"/>
          <w:u w:val="single"/>
        </w:rPr>
        <w:t>若投标人不参加开标会的，或不签字确认的，视同该投标人认可开标结果。</w:t>
      </w:r>
    </w:p>
    <w:p>
      <w:pPr>
        <w:spacing w:line="480" w:lineRule="auto"/>
        <w:ind w:firstLine="472" w:firstLineChars="224"/>
        <w:rPr>
          <w:b/>
          <w:color w:val="auto"/>
          <w:szCs w:val="21"/>
          <w:highlight w:val="none"/>
        </w:rPr>
      </w:pPr>
      <w:r>
        <w:rPr>
          <w:rFonts w:hint="eastAsia"/>
          <w:b/>
          <w:color w:val="auto"/>
          <w:szCs w:val="21"/>
          <w:highlight w:val="none"/>
        </w:rPr>
        <w:t>条款号：38.1</w:t>
      </w:r>
      <w:r>
        <w:rPr>
          <w:b/>
          <w:color w:val="auto"/>
          <w:szCs w:val="21"/>
          <w:highlight w:val="none"/>
        </w:rPr>
        <w:t xml:space="preserve">             </w:t>
      </w:r>
      <w:r>
        <w:rPr>
          <w:rFonts w:hint="eastAsia"/>
          <w:b/>
          <w:color w:val="auto"/>
          <w:szCs w:val="21"/>
          <w:highlight w:val="none"/>
        </w:rPr>
        <w:t>修改类型：修改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olor w:val="auto"/>
          <w:szCs w:val="21"/>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olor w:val="auto"/>
          <w:szCs w:val="21"/>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宋体" w:hAnsi="宋体"/>
          <w:color w:val="auto"/>
          <w:szCs w:val="21"/>
          <w:highlight w:val="none"/>
          <w:u w:val="single"/>
        </w:rPr>
        <w:t>、对同类问题表述不一致、有明显文字和计算错误的内容以及细微偏差</w:t>
      </w:r>
      <w:r>
        <w:rPr>
          <w:rFonts w:hint="eastAsia" w:ascii="宋体" w:hAnsi="宋体"/>
          <w:color w:val="auto"/>
          <w:szCs w:val="21"/>
          <w:highlight w:val="none"/>
        </w:rPr>
        <w:t>的内容作出澄清。</w:t>
      </w:r>
    </w:p>
    <w:p>
      <w:pPr>
        <w:spacing w:line="360" w:lineRule="auto"/>
        <w:ind w:firstLine="472" w:firstLineChars="224"/>
        <w:rPr>
          <w:b/>
          <w:color w:val="auto"/>
          <w:szCs w:val="21"/>
          <w:highlight w:val="none"/>
        </w:rPr>
      </w:pPr>
      <w:r>
        <w:rPr>
          <w:rFonts w:hint="eastAsia"/>
          <w:b/>
          <w:color w:val="auto"/>
          <w:szCs w:val="21"/>
          <w:highlight w:val="none"/>
        </w:rPr>
        <w:t>条款号：39.3</w:t>
      </w:r>
      <w:r>
        <w:rPr>
          <w:b/>
          <w:color w:val="auto"/>
          <w:szCs w:val="21"/>
          <w:highlight w:val="none"/>
        </w:rPr>
        <w:t xml:space="preserve">             </w:t>
      </w:r>
      <w:r>
        <w:rPr>
          <w:rFonts w:hint="eastAsia"/>
          <w:b/>
          <w:color w:val="auto"/>
          <w:szCs w:val="21"/>
          <w:highlight w:val="none"/>
        </w:rPr>
        <w:t>修改类型：修改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olor w:val="auto"/>
          <w:szCs w:val="21"/>
          <w:highlight w:val="none"/>
        </w:rPr>
        <w:t>排名第一的中标候选人放弃中标、或因不可抗力提出不能履行合同，或者招标文件规定应当提交履约担保而在规定的期限内未能提交的，</w:t>
      </w:r>
      <w:r>
        <w:rPr>
          <w:rFonts w:hint="eastAsia" w:ascii="宋体" w:hAnsi="宋体"/>
          <w:color w:val="auto"/>
          <w:szCs w:val="21"/>
          <w:highlight w:val="none"/>
          <w:u w:val="single"/>
        </w:rPr>
        <w:t>或经核查发现委派的项目负责人已在其他在建项目中担任本职务的，</w:t>
      </w:r>
      <w:r>
        <w:rPr>
          <w:rFonts w:hint="eastAsia" w:ascii="宋体" w:hAnsi="宋体"/>
          <w:color w:val="auto"/>
          <w:szCs w:val="21"/>
          <w:highlight w:val="none"/>
        </w:rPr>
        <w:t>招标人可以确定排名第二的中标候选人为中标人。</w:t>
      </w:r>
    </w:p>
    <w:p>
      <w:pPr>
        <w:spacing w:line="360" w:lineRule="auto"/>
        <w:ind w:firstLine="422" w:firstLineChars="200"/>
        <w:jc w:val="left"/>
        <w:rPr>
          <w:rFonts w:ascii="宋体" w:hAnsi="宋体" w:cs="宋体"/>
          <w:b/>
          <w:szCs w:val="21"/>
        </w:rPr>
      </w:pPr>
      <w:r>
        <w:rPr>
          <w:rFonts w:hint="eastAsia" w:ascii="宋体" w:hAnsi="宋体" w:cs="宋体"/>
          <w:b/>
          <w:szCs w:val="21"/>
        </w:rPr>
        <w:t xml:space="preserve">条款号：（二）开标评标办法程序和细则                             修改类型：删除                                              </w:t>
      </w:r>
    </w:p>
    <w:p>
      <w:pPr>
        <w:pBdr>
          <w:bottom w:val="single" w:color="auto" w:sz="6" w:space="1"/>
        </w:pBdr>
        <w:spacing w:line="360" w:lineRule="auto"/>
        <w:ind w:firstLine="527" w:firstLineChars="250"/>
        <w:rPr>
          <w:rFonts w:hint="eastAsia" w:ascii="宋体" w:hAnsi="宋体"/>
          <w:color w:val="auto"/>
          <w:szCs w:val="21"/>
          <w:highlight w:val="none"/>
        </w:rPr>
      </w:pPr>
      <w:r>
        <w:rPr>
          <w:rFonts w:hint="eastAsia" w:ascii="宋体" w:hAnsi="宋体" w:cs="宋体"/>
          <w:b/>
          <w:szCs w:val="21"/>
        </w:rPr>
        <w:t>原文：</w:t>
      </w:r>
      <w:r>
        <w:rPr>
          <w:rFonts w:hint="eastAsia" w:ascii="宋体" w:hAnsi="宋体" w:cs="宋体"/>
          <w:bCs/>
          <w:szCs w:val="21"/>
        </w:rPr>
        <w:t>注：以下七种评标办法所述企业综合诚信评价分数即投标截止当日广州市工程招标代理行业协会网站上公布的企业综合诚信评价60日诚信分</w:t>
      </w:r>
      <w:r>
        <w:rPr>
          <w:rFonts w:hint="eastAsia" w:ascii="宋体" w:hAnsi="宋体"/>
          <w:color w:val="auto"/>
          <w:szCs w:val="21"/>
          <w:highlight w:val="none"/>
        </w:rPr>
        <w:t>。</w:t>
      </w:r>
    </w:p>
    <w:p>
      <w:pPr>
        <w:pBdr>
          <w:bottom w:val="single" w:color="auto" w:sz="6" w:space="1"/>
        </w:pBdr>
        <w:spacing w:line="360" w:lineRule="auto"/>
        <w:ind w:firstLine="527" w:firstLineChars="250"/>
        <w:rPr>
          <w:rFonts w:hint="eastAsia" w:ascii="宋体" w:hAnsi="宋体" w:cs="宋体"/>
        </w:rPr>
      </w:pPr>
      <w:r>
        <w:rPr>
          <w:rFonts w:hint="eastAsia" w:ascii="宋体" w:hAnsi="宋体" w:cs="宋体"/>
          <w:b/>
          <w:szCs w:val="21"/>
        </w:rPr>
        <w:t>原文：</w:t>
      </w:r>
      <w:r>
        <w:rPr>
          <w:rFonts w:hint="eastAsia" w:ascii="宋体" w:hAnsi="宋体" w:cs="宋体"/>
        </w:rPr>
        <w:t>可选办法一（适合综合评分法一，技术标与经济标先后分别开启）</w:t>
      </w:r>
    </w:p>
    <w:p>
      <w:pPr>
        <w:pBdr>
          <w:bottom w:val="single" w:color="auto" w:sz="6" w:space="1"/>
        </w:pBdr>
        <w:spacing w:line="360" w:lineRule="auto"/>
        <w:ind w:firstLine="527" w:firstLineChars="250"/>
        <w:rPr>
          <w:rFonts w:hint="eastAsia" w:ascii="宋体" w:hAnsi="宋体" w:cs="宋体"/>
        </w:rPr>
      </w:pPr>
      <w:r>
        <w:rPr>
          <w:rFonts w:hint="eastAsia" w:ascii="宋体" w:hAnsi="宋体" w:cs="宋体"/>
          <w:b/>
          <w:szCs w:val="21"/>
        </w:rPr>
        <w:t>原文：</w:t>
      </w:r>
      <w:r>
        <w:rPr>
          <w:rFonts w:hint="eastAsia" w:ascii="宋体" w:hAnsi="宋体" w:cs="宋体"/>
        </w:rPr>
        <w:t>可选办法二（适合综合评分法一，技术标与经济标同时开启）</w:t>
      </w:r>
    </w:p>
    <w:p>
      <w:pPr>
        <w:pBdr>
          <w:bottom w:val="single" w:color="auto" w:sz="6" w:space="1"/>
        </w:pBdr>
        <w:spacing w:line="360" w:lineRule="auto"/>
        <w:ind w:firstLine="527" w:firstLineChars="250"/>
        <w:rPr>
          <w:rFonts w:hint="eastAsia" w:ascii="宋体" w:hAnsi="宋体" w:cs="宋体"/>
        </w:rPr>
      </w:pPr>
      <w:r>
        <w:rPr>
          <w:rFonts w:hint="eastAsia" w:ascii="宋体" w:hAnsi="宋体" w:cs="宋体"/>
          <w:b/>
          <w:szCs w:val="21"/>
        </w:rPr>
        <w:t>原文：</w:t>
      </w:r>
      <w:r>
        <w:rPr>
          <w:rFonts w:hint="eastAsia" w:ascii="宋体" w:hAnsi="宋体" w:cs="宋体"/>
        </w:rPr>
        <w:t>可选办法三（适合综合评分法二，技术标与经济标先后分别开启）</w:t>
      </w:r>
    </w:p>
    <w:p>
      <w:pPr>
        <w:pBdr>
          <w:bottom w:val="single" w:color="auto" w:sz="6" w:space="1"/>
        </w:pBdr>
        <w:spacing w:line="360" w:lineRule="auto"/>
        <w:ind w:firstLine="527" w:firstLineChars="250"/>
        <w:rPr>
          <w:rFonts w:hint="eastAsia" w:ascii="宋体" w:hAnsi="宋体" w:cs="宋体"/>
        </w:rPr>
      </w:pPr>
      <w:r>
        <w:rPr>
          <w:rFonts w:hint="eastAsia" w:ascii="宋体" w:hAnsi="宋体" w:cs="宋体"/>
          <w:b/>
          <w:szCs w:val="21"/>
        </w:rPr>
        <w:t>原文：</w:t>
      </w:r>
      <w:r>
        <w:rPr>
          <w:rFonts w:hint="eastAsia" w:ascii="宋体" w:hAnsi="宋体" w:cs="宋体"/>
        </w:rPr>
        <w:t>可选办法四（适合综合评分法二，技术标与经济标同时开启）</w:t>
      </w:r>
    </w:p>
    <w:p>
      <w:pPr>
        <w:pBdr>
          <w:bottom w:val="single" w:color="auto" w:sz="6" w:space="1"/>
        </w:pBdr>
        <w:spacing w:line="360" w:lineRule="auto"/>
        <w:ind w:firstLine="527" w:firstLineChars="250"/>
        <w:rPr>
          <w:rFonts w:hint="eastAsia" w:ascii="宋体" w:hAnsi="宋体" w:cs="宋体"/>
        </w:rPr>
      </w:pPr>
      <w:r>
        <w:rPr>
          <w:rFonts w:hint="eastAsia" w:ascii="宋体" w:hAnsi="宋体" w:cs="宋体"/>
          <w:b/>
          <w:szCs w:val="21"/>
        </w:rPr>
        <w:t>原文：</w:t>
      </w:r>
      <w:r>
        <w:rPr>
          <w:rFonts w:hint="eastAsia" w:ascii="宋体" w:hAnsi="宋体" w:cs="宋体"/>
        </w:rPr>
        <w:t>可选办法五（适合综合评分法三，技术标与经济标先后分别开启）</w:t>
      </w:r>
    </w:p>
    <w:p>
      <w:pPr>
        <w:pBdr>
          <w:bottom w:val="single" w:color="auto" w:sz="6" w:space="1"/>
        </w:pBdr>
        <w:spacing w:line="360" w:lineRule="auto"/>
        <w:ind w:firstLine="527" w:firstLineChars="250"/>
        <w:rPr>
          <w:rFonts w:hint="eastAsia" w:ascii="宋体" w:hAnsi="宋体" w:cs="宋体"/>
        </w:rPr>
      </w:pPr>
      <w:r>
        <w:rPr>
          <w:rFonts w:hint="eastAsia" w:ascii="宋体" w:hAnsi="宋体" w:cs="宋体"/>
          <w:b/>
          <w:szCs w:val="21"/>
        </w:rPr>
        <w:t>原文：</w:t>
      </w:r>
      <w:r>
        <w:rPr>
          <w:rFonts w:hint="eastAsia" w:ascii="宋体" w:hAnsi="宋体" w:cs="宋体"/>
        </w:rPr>
        <w:t>可选办法六（适合综合评分法三，技术标与经济标同时开启）</w:t>
      </w:r>
    </w:p>
    <w:p>
      <w:pPr>
        <w:pBdr>
          <w:bottom w:val="single" w:color="auto" w:sz="6" w:space="1"/>
        </w:pBdr>
        <w:spacing w:line="360" w:lineRule="auto"/>
        <w:ind w:firstLine="527" w:firstLineChars="250"/>
        <w:rPr>
          <w:b/>
          <w:color w:val="auto"/>
          <w:szCs w:val="21"/>
          <w:highlight w:val="none"/>
        </w:rPr>
      </w:pPr>
      <w:r>
        <w:rPr>
          <w:rFonts w:hint="eastAsia" w:ascii="宋体" w:hAnsi="宋体" w:cs="宋体"/>
          <w:b/>
          <w:szCs w:val="21"/>
        </w:rPr>
        <w:t>原文：</w:t>
      </w:r>
      <w:r>
        <w:rPr>
          <w:rFonts w:hint="eastAsia" w:ascii="宋体" w:hAnsi="宋体" w:cs="宋体"/>
        </w:rPr>
        <w:t>可选办法八（适合经评审的最低投标价法，技术标与经济标同时开启）</w:t>
      </w:r>
    </w:p>
    <w:p>
      <w:pPr>
        <w:spacing w:line="480" w:lineRule="auto"/>
        <w:ind w:firstLine="472" w:firstLineChars="224"/>
        <w:rPr>
          <w:b/>
          <w:color w:val="auto"/>
          <w:szCs w:val="21"/>
          <w:highlight w:val="none"/>
        </w:rPr>
      </w:pPr>
      <w:r>
        <w:rPr>
          <w:rFonts w:hint="eastAsia"/>
          <w:b/>
          <w:color w:val="auto"/>
          <w:szCs w:val="21"/>
          <w:highlight w:val="none"/>
        </w:rPr>
        <w:t>条款号：41.1</w:t>
      </w:r>
      <w:r>
        <w:rPr>
          <w:b/>
          <w:color w:val="auto"/>
          <w:szCs w:val="21"/>
          <w:highlight w:val="none"/>
        </w:rPr>
        <w:t xml:space="preserve">             </w:t>
      </w:r>
      <w:r>
        <w:rPr>
          <w:rFonts w:hint="eastAsia"/>
          <w:b/>
          <w:color w:val="auto"/>
          <w:szCs w:val="21"/>
          <w:highlight w:val="none"/>
        </w:rPr>
        <w:t>修改类型：修改</w:t>
      </w:r>
    </w:p>
    <w:p>
      <w:pPr>
        <w:spacing w:line="360" w:lineRule="auto"/>
        <w:ind w:firstLine="472" w:firstLineChars="224"/>
        <w:rPr>
          <w:b/>
          <w:color w:val="auto"/>
          <w:sz w:val="18"/>
          <w:szCs w:val="18"/>
          <w:highlight w:val="none"/>
        </w:rPr>
      </w:pPr>
      <w:r>
        <w:rPr>
          <w:rFonts w:hint="eastAsia"/>
          <w:b/>
          <w:color w:val="auto"/>
          <w:szCs w:val="21"/>
          <w:highlight w:val="none"/>
        </w:rPr>
        <w:t>原文：</w:t>
      </w:r>
      <w:r>
        <w:rPr>
          <w:rFonts w:hint="eastAsia" w:ascii="宋体" w:hAnsi="宋体"/>
          <w:color w:val="auto"/>
          <w:szCs w:val="21"/>
          <w:highlight w:val="none"/>
        </w:rPr>
        <w:t>开标由招标人主持；</w:t>
      </w:r>
    </w:p>
    <w:p>
      <w:pPr>
        <w:pBdr>
          <w:bottom w:val="single" w:color="auto" w:sz="6" w:space="1"/>
        </w:pBdr>
        <w:spacing w:line="360" w:lineRule="auto"/>
        <w:ind w:firstLine="527" w:firstLineChars="250"/>
        <w:rPr>
          <w:rFonts w:hint="eastAsia" w:ascii="宋体"/>
          <w:color w:val="auto"/>
          <w:szCs w:val="21"/>
          <w:highlight w:val="none"/>
        </w:rPr>
      </w:pPr>
      <w:r>
        <w:rPr>
          <w:rFonts w:hint="eastAsia"/>
          <w:b/>
          <w:color w:val="auto"/>
          <w:szCs w:val="21"/>
          <w:highlight w:val="none"/>
        </w:rPr>
        <w:t>现文：</w:t>
      </w:r>
      <w:r>
        <w:rPr>
          <w:rFonts w:hint="eastAsia" w:ascii="宋体"/>
          <w:color w:val="auto"/>
          <w:szCs w:val="21"/>
          <w:highlight w:val="none"/>
          <w:u w:val="none"/>
        </w:rPr>
        <w:t>开标由招标人</w:t>
      </w:r>
      <w:r>
        <w:rPr>
          <w:rFonts w:hint="eastAsia" w:ascii="宋体"/>
          <w:color w:val="auto"/>
          <w:szCs w:val="21"/>
          <w:highlight w:val="none"/>
          <w:u w:val="single"/>
        </w:rPr>
        <w:t>或招标代理</w:t>
      </w:r>
      <w:r>
        <w:rPr>
          <w:rFonts w:hint="eastAsia" w:ascii="宋体"/>
          <w:color w:val="auto"/>
          <w:szCs w:val="21"/>
          <w:highlight w:val="none"/>
          <w:u w:val="none"/>
        </w:rPr>
        <w:t>主持</w:t>
      </w:r>
      <w:r>
        <w:rPr>
          <w:rFonts w:hint="eastAsia" w:ascii="宋体"/>
          <w:color w:val="auto"/>
          <w:szCs w:val="21"/>
          <w:highlight w:val="none"/>
        </w:rPr>
        <w:t>；</w:t>
      </w:r>
    </w:p>
    <w:p>
      <w:pPr>
        <w:spacing w:line="480" w:lineRule="auto"/>
        <w:ind w:firstLine="472" w:firstLineChars="224"/>
        <w:rPr>
          <w:b/>
          <w:color w:val="auto"/>
          <w:szCs w:val="21"/>
          <w:highlight w:val="none"/>
        </w:rPr>
      </w:pPr>
      <w:r>
        <w:rPr>
          <w:rFonts w:hint="eastAsia"/>
          <w:b/>
          <w:color w:val="auto"/>
          <w:szCs w:val="21"/>
          <w:highlight w:val="none"/>
        </w:rPr>
        <w:t>条款号：41.2.1</w:t>
      </w:r>
      <w:r>
        <w:rPr>
          <w:b/>
          <w:color w:val="auto"/>
          <w:szCs w:val="21"/>
          <w:highlight w:val="none"/>
        </w:rPr>
        <w:t xml:space="preserve">             </w:t>
      </w:r>
      <w:r>
        <w:rPr>
          <w:rFonts w:hint="eastAsia"/>
          <w:b/>
          <w:color w:val="auto"/>
          <w:szCs w:val="21"/>
          <w:highlight w:val="none"/>
        </w:rPr>
        <w:t>修改类型：修改</w:t>
      </w:r>
    </w:p>
    <w:p>
      <w:pPr>
        <w:spacing w:line="360" w:lineRule="auto"/>
        <w:ind w:firstLine="472" w:firstLineChars="224"/>
        <w:rPr>
          <w:b/>
          <w:color w:val="auto"/>
          <w:sz w:val="18"/>
          <w:szCs w:val="18"/>
          <w:highlight w:val="none"/>
        </w:rPr>
      </w:pPr>
      <w:r>
        <w:rPr>
          <w:rFonts w:hint="eastAsia"/>
          <w:b/>
          <w:color w:val="auto"/>
          <w:szCs w:val="21"/>
          <w:highlight w:val="none"/>
        </w:rPr>
        <w:t>原文：</w:t>
      </w:r>
      <w:r>
        <w:rPr>
          <w:rFonts w:hint="eastAsia" w:ascii="宋体" w:hAnsi="宋体"/>
          <w:color w:val="auto"/>
          <w:szCs w:val="21"/>
          <w:highlight w:val="none"/>
        </w:rPr>
        <w:t>投标截止期前，各投标人递交投标文件（包括技术标投标文件、经济标投标文件）至</w:t>
      </w:r>
      <w:r>
        <w:rPr>
          <w:color w:val="auto"/>
          <w:szCs w:val="21"/>
          <w:highlight w:val="none"/>
          <w:u w:val="single"/>
        </w:rPr>
        <w:t xml:space="preserve">        </w:t>
      </w:r>
      <w:r>
        <w:rPr>
          <w:rFonts w:hint="eastAsia" w:ascii="宋体" w:hAnsi="宋体"/>
          <w:color w:val="auto"/>
          <w:szCs w:val="21"/>
          <w:highlight w:val="none"/>
        </w:rPr>
        <w:t>交易平台。有关投标文件提交的事项详见第一章投标须知。</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color w:val="auto"/>
          <w:szCs w:val="21"/>
          <w:highlight w:val="none"/>
        </w:rPr>
        <w:t>投标截止期前，各投标人递交投标文件（包括技术标（含资格审查文件）投标文件、经济标投标文件）至</w:t>
      </w:r>
      <w:r>
        <w:rPr>
          <w:rFonts w:hint="eastAsia" w:ascii="宋体"/>
          <w:color w:val="auto"/>
          <w:szCs w:val="21"/>
          <w:highlight w:val="none"/>
          <w:u w:val="single"/>
        </w:rPr>
        <w:t>广州公共资源交易中心</w:t>
      </w:r>
      <w:r>
        <w:rPr>
          <w:rFonts w:hint="eastAsia" w:ascii="宋体"/>
          <w:color w:val="auto"/>
          <w:szCs w:val="21"/>
          <w:highlight w:val="none"/>
        </w:rPr>
        <w:t>交易平台。有关投标文件提交的事项详见第一章投标须知。</w:t>
      </w:r>
    </w:p>
    <w:p>
      <w:pPr>
        <w:spacing w:line="480" w:lineRule="auto"/>
        <w:ind w:firstLine="472" w:firstLineChars="224"/>
        <w:rPr>
          <w:b/>
          <w:color w:val="auto"/>
          <w:szCs w:val="21"/>
          <w:highlight w:val="none"/>
        </w:rPr>
      </w:pPr>
      <w:r>
        <w:rPr>
          <w:rFonts w:hint="eastAsia"/>
          <w:b/>
          <w:color w:val="auto"/>
          <w:szCs w:val="21"/>
          <w:highlight w:val="none"/>
        </w:rPr>
        <w:t>条款号：41.2.2</w:t>
      </w:r>
      <w:r>
        <w:rPr>
          <w:b/>
          <w:color w:val="auto"/>
          <w:szCs w:val="21"/>
          <w:highlight w:val="none"/>
        </w:rPr>
        <w:t xml:space="preserve">             </w:t>
      </w:r>
      <w:r>
        <w:rPr>
          <w:rFonts w:hint="eastAsia"/>
          <w:b/>
          <w:color w:val="auto"/>
          <w:szCs w:val="21"/>
          <w:highlight w:val="none"/>
        </w:rPr>
        <w:t>修改类型：删除</w:t>
      </w:r>
    </w:p>
    <w:p>
      <w:pPr>
        <w:pBdr>
          <w:bottom w:val="single" w:color="auto" w:sz="6" w:space="1"/>
        </w:pBdr>
        <w:spacing w:line="360" w:lineRule="auto"/>
        <w:ind w:firstLine="527" w:firstLineChars="250"/>
        <w:rPr>
          <w:rFonts w:hint="eastAsia" w:ascii="宋体"/>
          <w:color w:val="auto"/>
          <w:szCs w:val="21"/>
          <w:highlight w:val="none"/>
        </w:rPr>
      </w:pPr>
      <w:r>
        <w:rPr>
          <w:rFonts w:hint="eastAsia"/>
          <w:b/>
          <w:color w:val="auto"/>
          <w:szCs w:val="21"/>
          <w:highlight w:val="none"/>
        </w:rPr>
        <w:t>原文：</w:t>
      </w:r>
      <w:r>
        <w:rPr>
          <w:rFonts w:hint="eastAsia" w:ascii="宋体"/>
          <w:color w:val="auto"/>
          <w:szCs w:val="21"/>
          <w:highlight w:val="none"/>
        </w:rPr>
        <w:t>开标前，首先由招标人随机抽取确定该工程计算评标参考价的等分点值X。</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条款号：41.3             修改类型：修改</w:t>
      </w:r>
    </w:p>
    <w:p>
      <w:pPr>
        <w:spacing w:line="360" w:lineRule="auto"/>
        <w:ind w:firstLine="472" w:firstLineChars="224"/>
        <w:rPr>
          <w:rFonts w:ascii="宋体" w:hAnsi="宋体" w:cs="宋体"/>
          <w:b/>
          <w:color w:val="auto"/>
          <w:sz w:val="18"/>
          <w:szCs w:val="18"/>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41.3招标人对开标过程进行记录，并存档备查，投标人在技术标开标记录上签字。</w:t>
      </w:r>
    </w:p>
    <w:p>
      <w:pPr>
        <w:pBdr>
          <w:bottom w:val="single" w:color="auto" w:sz="6" w:space="1"/>
        </w:pBdr>
        <w:spacing w:line="360" w:lineRule="auto"/>
        <w:ind w:firstLine="527" w:firstLineChars="250"/>
        <w:rPr>
          <w:color w:val="auto"/>
          <w:sz w:val="18"/>
          <w:szCs w:val="20"/>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41.3招标人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对开标过程进行记录，并存档备查，投标人在开标记录上签字</w:t>
      </w:r>
      <w:r>
        <w:rPr>
          <w:rFonts w:hint="eastAsia" w:ascii="宋体" w:hAnsi="宋体" w:cs="宋体"/>
          <w:color w:val="auto"/>
          <w:szCs w:val="21"/>
          <w:highlight w:val="none"/>
          <w:u w:val="single"/>
        </w:rPr>
        <w:t>，投标人未签字且未提出异议的将被视为默认开标结果</w:t>
      </w:r>
      <w:r>
        <w:rPr>
          <w:rFonts w:hint="eastAsia" w:ascii="宋体"/>
          <w:color w:val="auto"/>
          <w:szCs w:val="21"/>
          <w:highlight w:val="none"/>
        </w:rPr>
        <w:t>。</w:t>
      </w:r>
    </w:p>
    <w:p>
      <w:pPr>
        <w:spacing w:line="480" w:lineRule="auto"/>
        <w:ind w:firstLine="472" w:firstLineChars="224"/>
        <w:rPr>
          <w:b/>
          <w:color w:val="auto"/>
          <w:szCs w:val="21"/>
          <w:highlight w:val="none"/>
        </w:rPr>
      </w:pPr>
      <w:r>
        <w:rPr>
          <w:rFonts w:hint="eastAsia"/>
          <w:b/>
          <w:color w:val="auto"/>
          <w:szCs w:val="21"/>
          <w:highlight w:val="none"/>
        </w:rPr>
        <w:t>条款号：42.2</w:t>
      </w:r>
      <w:r>
        <w:rPr>
          <w:b/>
          <w:color w:val="auto"/>
          <w:szCs w:val="21"/>
          <w:highlight w:val="none"/>
        </w:rPr>
        <w:t xml:space="preserve">             </w:t>
      </w:r>
      <w:r>
        <w:rPr>
          <w:rFonts w:hint="eastAsia"/>
          <w:b/>
          <w:color w:val="auto"/>
          <w:szCs w:val="21"/>
          <w:highlight w:val="none"/>
        </w:rPr>
        <w:t>修改类型：修改</w:t>
      </w:r>
    </w:p>
    <w:p>
      <w:pPr>
        <w:spacing w:line="360" w:lineRule="auto"/>
        <w:ind w:firstLine="422" w:firstLineChars="200"/>
        <w:rPr>
          <w:rFonts w:ascii="宋体" w:hAnsi="宋体"/>
          <w:color w:val="auto"/>
          <w:szCs w:val="21"/>
          <w:highlight w:val="none"/>
        </w:rPr>
      </w:pPr>
      <w:r>
        <w:rPr>
          <w:rFonts w:hint="eastAsia"/>
          <w:b/>
          <w:color w:val="auto"/>
          <w:szCs w:val="21"/>
          <w:highlight w:val="none"/>
        </w:rPr>
        <w:t>原文：</w:t>
      </w:r>
      <w:r>
        <w:rPr>
          <w:rFonts w:hint="eastAsia" w:ascii="宋体" w:hAnsi="宋体"/>
          <w:color w:val="auto"/>
          <w:szCs w:val="21"/>
          <w:highlight w:val="none"/>
        </w:rPr>
        <w:t>评标委员会的组成：方式</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napToGrid w:val="0"/>
        <w:spacing w:line="360" w:lineRule="auto"/>
        <w:ind w:firstLine="420" w:firstLineChars="200"/>
        <w:rPr>
          <w:rFonts w:ascii="宋体"/>
          <w:color w:val="auto"/>
          <w:szCs w:val="21"/>
          <w:highlight w:val="none"/>
        </w:rPr>
      </w:pPr>
      <w:r>
        <w:rPr>
          <w:rFonts w:hint="eastAsia" w:ascii="宋体"/>
          <w:color w:val="auto"/>
          <w:szCs w:val="21"/>
          <w:highlight w:val="none"/>
        </w:rPr>
        <w:t>方式一：评标委员会为综合评标委员会，负责资格审查及评标工作。</w:t>
      </w:r>
    </w:p>
    <w:p>
      <w:pPr>
        <w:spacing w:line="360" w:lineRule="auto"/>
        <w:ind w:firstLine="470" w:firstLineChars="224"/>
        <w:rPr>
          <w:b/>
          <w:color w:val="auto"/>
          <w:sz w:val="15"/>
          <w:szCs w:val="15"/>
          <w:highlight w:val="none"/>
        </w:rPr>
      </w:pPr>
      <w:r>
        <w:rPr>
          <w:rFonts w:hint="eastAsia" w:ascii="宋体"/>
          <w:color w:val="auto"/>
          <w:szCs w:val="21"/>
          <w:highlight w:val="none"/>
        </w:rPr>
        <w:t>方式二：评标委员会由技术评审组和经济评审组组成。其中：资格审查及技术评审由技术评标组负责，经济评审由经济评审组负责。</w:t>
      </w:r>
    </w:p>
    <w:p>
      <w:pPr>
        <w:pStyle w:val="37"/>
        <w:tabs>
          <w:tab w:val="left" w:pos="7380"/>
        </w:tabs>
        <w:snapToGrid w:val="0"/>
        <w:spacing w:after="0" w:line="360" w:lineRule="auto"/>
        <w:ind w:firstLine="422" w:firstLineChars="200"/>
        <w:rPr>
          <w:rFonts w:ascii="宋体"/>
          <w:color w:val="auto"/>
          <w:szCs w:val="21"/>
          <w:highlight w:val="none"/>
        </w:rPr>
      </w:pPr>
      <w:r>
        <w:rPr>
          <w:rFonts w:hint="eastAsia"/>
          <w:b/>
          <w:color w:val="auto"/>
          <w:szCs w:val="21"/>
          <w:highlight w:val="none"/>
        </w:rPr>
        <w:t>现文：</w:t>
      </w:r>
      <w:r>
        <w:rPr>
          <w:rFonts w:hint="eastAsia" w:ascii="宋体"/>
          <w:color w:val="auto"/>
          <w:szCs w:val="21"/>
          <w:highlight w:val="none"/>
        </w:rPr>
        <w:t>评标委员会的组成：方式</w:t>
      </w:r>
      <w:r>
        <w:rPr>
          <w:rFonts w:hint="eastAsia" w:ascii="宋体"/>
          <w:color w:val="auto"/>
          <w:szCs w:val="21"/>
          <w:highlight w:val="none"/>
          <w:u w:val="single"/>
        </w:rPr>
        <w:t xml:space="preserve"> 一 </w:t>
      </w:r>
      <w:r>
        <w:rPr>
          <w:rFonts w:hint="eastAsia" w:ascii="宋体"/>
          <w:color w:val="auto"/>
          <w:szCs w:val="21"/>
          <w:highlight w:val="none"/>
        </w:rPr>
        <w:t>。</w:t>
      </w:r>
    </w:p>
    <w:p>
      <w:pPr>
        <w:pBdr>
          <w:bottom w:val="none" w:color="auto" w:sz="0" w:space="0"/>
        </w:pBdr>
        <w:snapToGrid w:val="0"/>
        <w:spacing w:line="360" w:lineRule="auto"/>
        <w:ind w:firstLine="420" w:firstLineChars="200"/>
        <w:rPr>
          <w:color w:val="auto"/>
          <w:sz w:val="18"/>
          <w:szCs w:val="20"/>
          <w:highlight w:val="none"/>
        </w:rPr>
      </w:pPr>
      <w:r>
        <w:rPr>
          <w:rFonts w:hint="eastAsia" w:ascii="宋体"/>
          <w:color w:val="auto"/>
          <w:szCs w:val="21"/>
          <w:highlight w:val="none"/>
        </w:rPr>
        <w:t>方式一：评标委员会为综合评标委员会，负责资格审查及评标工作。</w:t>
      </w:r>
    </w:p>
    <w:p>
      <w:pPr>
        <w:pStyle w:val="37"/>
        <w:spacing w:after="0" w:line="460" w:lineRule="exact"/>
        <w:ind w:firstLine="422" w:firstLineChars="200"/>
        <w:rPr>
          <w:rFonts w:ascii="宋体" w:hAnsi="宋体" w:cs="宋体"/>
          <w:szCs w:val="21"/>
        </w:rPr>
      </w:pPr>
      <w:r>
        <w:rPr>
          <w:rFonts w:hint="eastAsia" w:ascii="宋体" w:hAnsi="宋体" w:cs="宋体"/>
          <w:b/>
          <w:szCs w:val="21"/>
        </w:rPr>
        <w:t>条款号：</w:t>
      </w:r>
      <w:r>
        <w:rPr>
          <w:rFonts w:hint="eastAsia" w:ascii="宋体" w:hAnsi="宋体" w:cs="宋体"/>
          <w:b/>
          <w:bCs/>
          <w:szCs w:val="21"/>
        </w:rPr>
        <w:t>43.6</w:t>
      </w:r>
      <w:r>
        <w:rPr>
          <w:rFonts w:hint="eastAsia" w:ascii="宋体" w:hAnsi="宋体" w:cs="宋体"/>
          <w:b/>
          <w:bCs/>
          <w:szCs w:val="21"/>
          <w:lang w:val="en-US" w:eastAsia="zh-CN"/>
        </w:rPr>
        <w:t xml:space="preserve">            </w:t>
      </w:r>
      <w:r>
        <w:rPr>
          <w:rFonts w:hint="eastAsia" w:ascii="宋体" w:hAnsi="宋体" w:cs="宋体"/>
          <w:b/>
          <w:szCs w:val="21"/>
        </w:rPr>
        <w:t>修改类型：修改</w:t>
      </w:r>
    </w:p>
    <w:p>
      <w:pPr>
        <w:spacing w:line="46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szCs w:val="21"/>
        </w:rPr>
        <w:t>43.6</w:t>
      </w:r>
      <w:r>
        <w:rPr>
          <w:rFonts w:hint="eastAsia" w:ascii="宋体" w:hAnsi="宋体" w:cs="宋体"/>
          <w:bCs/>
          <w:szCs w:val="21"/>
        </w:rPr>
        <w:t>资格审查合格的投标人少于3名的（当N个标段同时招标且不允许兼中时，资格审查合格的投标人少于N+2名），则本项目招标失败。</w:t>
      </w:r>
    </w:p>
    <w:p>
      <w:pPr>
        <w:pBdr>
          <w:bottom w:val="single" w:color="auto" w:sz="6" w:space="1"/>
        </w:pBdr>
        <w:spacing w:line="460" w:lineRule="exact"/>
        <w:ind w:firstLine="413" w:firstLineChars="196"/>
        <w:rPr>
          <w:rFonts w:ascii="宋体" w:hAnsi="宋体" w:cs="宋体"/>
          <w:szCs w:val="21"/>
          <w:u w:val="single"/>
        </w:rPr>
      </w:pPr>
      <w:r>
        <w:rPr>
          <w:rFonts w:hint="eastAsia" w:ascii="宋体" w:hAnsi="宋体" w:cs="宋体"/>
          <w:b/>
          <w:szCs w:val="21"/>
        </w:rPr>
        <w:t>现文：</w:t>
      </w:r>
      <w:r>
        <w:rPr>
          <w:rFonts w:hint="eastAsia" w:ascii="宋体" w:hAnsi="宋体" w:cs="宋体"/>
          <w:szCs w:val="21"/>
        </w:rPr>
        <w:t>43.6</w:t>
      </w:r>
      <w:r>
        <w:rPr>
          <w:rFonts w:hint="eastAsia" w:ascii="宋体" w:hAnsi="宋体" w:cs="宋体"/>
          <w:bCs/>
          <w:szCs w:val="21"/>
          <w:u w:val="single"/>
        </w:rPr>
        <w:t>资格审查合格的投标人少于3名的，则本项目招标失败</w:t>
      </w:r>
      <w:r>
        <w:rPr>
          <w:rFonts w:hint="eastAsia" w:ascii="宋体" w:hAnsi="宋体" w:cs="宋体"/>
          <w:bCs/>
          <w:szCs w:val="21"/>
        </w:rPr>
        <w:t>。</w:t>
      </w:r>
    </w:p>
    <w:p>
      <w:pPr>
        <w:pStyle w:val="37"/>
        <w:spacing w:after="0" w:line="460" w:lineRule="exact"/>
        <w:ind w:firstLine="422" w:firstLineChars="200"/>
        <w:rPr>
          <w:rFonts w:ascii="宋体" w:hAnsi="宋体" w:cs="宋体"/>
          <w:szCs w:val="21"/>
        </w:rPr>
      </w:pPr>
      <w:r>
        <w:rPr>
          <w:rFonts w:hint="eastAsia" w:ascii="宋体" w:hAnsi="宋体" w:cs="宋体"/>
          <w:b/>
          <w:szCs w:val="21"/>
        </w:rPr>
        <w:t>条款号：44.1</w:t>
      </w:r>
      <w:r>
        <w:rPr>
          <w:rFonts w:hint="eastAsia" w:ascii="宋体" w:hAnsi="宋体" w:cs="宋体"/>
          <w:b/>
          <w:szCs w:val="21"/>
          <w:lang w:val="en-US" w:eastAsia="zh-CN"/>
        </w:rPr>
        <w:t xml:space="preserve">            </w:t>
      </w:r>
      <w:r>
        <w:rPr>
          <w:rFonts w:hint="eastAsia" w:ascii="宋体" w:hAnsi="宋体" w:cs="宋体"/>
          <w:b/>
          <w:szCs w:val="21"/>
        </w:rPr>
        <w:t>修改类型：修改</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eastAsia="宋体" w:cs="宋体"/>
          <w:bCs/>
          <w:color w:val="auto"/>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Bdr>
          <w:bottom w:val="single" w:color="auto" w:sz="6" w:space="1"/>
        </w:pBdr>
        <w:spacing w:line="460" w:lineRule="exact"/>
        <w:ind w:firstLine="413" w:firstLineChars="196"/>
        <w:rPr>
          <w:rFonts w:ascii="宋体" w:hAnsi="宋体" w:cs="宋体"/>
          <w:bCs/>
          <w:szCs w:val="21"/>
          <w:u w:val="single"/>
        </w:rPr>
      </w:pPr>
      <w:r>
        <w:rPr>
          <w:rFonts w:hint="eastAsia" w:ascii="宋体" w:hAnsi="宋体" w:cs="宋体"/>
          <w:b/>
          <w:szCs w:val="21"/>
        </w:rPr>
        <w:t>现文：</w:t>
      </w:r>
      <w:r>
        <w:rPr>
          <w:rFonts w:hint="eastAsia" w:ascii="宋体" w:hAnsi="宋体" w:cs="宋体"/>
          <w:bCs/>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w:t>
      </w:r>
      <w:r>
        <w:rPr>
          <w:rFonts w:hint="eastAsia" w:ascii="宋体" w:hAnsi="宋体" w:cs="宋体"/>
          <w:bCs/>
          <w:szCs w:val="21"/>
          <w:u w:val="single"/>
        </w:rPr>
        <w:t>若通过技术标有效性审查的投标人不足</w:t>
      </w:r>
      <w:r>
        <w:rPr>
          <w:rFonts w:hint="eastAsia" w:ascii="宋体" w:hAnsi="宋体" w:cs="宋体"/>
          <w:bCs/>
          <w:szCs w:val="21"/>
          <w:u w:val="single"/>
          <w:lang w:val="en-US" w:eastAsia="zh-CN"/>
        </w:rPr>
        <w:t>3名</w:t>
      </w:r>
      <w:r>
        <w:rPr>
          <w:rFonts w:hint="eastAsia" w:ascii="宋体" w:hAnsi="宋体" w:cs="宋体"/>
          <w:bCs/>
          <w:szCs w:val="21"/>
          <w:u w:val="single"/>
        </w:rPr>
        <w:t>，则本项目招标失败。</w:t>
      </w:r>
      <w:r>
        <w:rPr>
          <w:rFonts w:hint="eastAsia" w:ascii="宋体" w:hAnsi="宋体" w:cs="宋体"/>
          <w:bCs/>
          <w:szCs w:val="21"/>
          <w:u w:val="none"/>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72" w:firstLineChars="224"/>
        <w:rPr>
          <w:rFonts w:hint="eastAsia"/>
          <w:b/>
          <w:color w:val="auto"/>
          <w:szCs w:val="21"/>
          <w:highlight w:val="none"/>
        </w:rPr>
      </w:pPr>
      <w:r>
        <w:rPr>
          <w:rFonts w:hint="eastAsia"/>
          <w:b/>
          <w:bCs/>
          <w:color w:val="auto"/>
          <w:sz w:val="21"/>
        </w:rPr>
        <w:t xml:space="preserve">条款号: </w:t>
      </w:r>
      <w:r>
        <w:rPr>
          <w:b/>
          <w:bCs/>
          <w:color w:val="auto"/>
          <w:sz w:val="21"/>
        </w:rPr>
        <w:t>44.2</w:t>
      </w:r>
      <w:r>
        <w:rPr>
          <w:rFonts w:hint="eastAsia"/>
          <w:b/>
          <w:bCs/>
          <w:color w:val="auto"/>
          <w:sz w:val="21"/>
        </w:rPr>
        <w:t xml:space="preserve">               修改类型：修改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ascii="宋体"/>
          <w:color w:val="auto"/>
          <w:szCs w:val="21"/>
          <w:highlight w:val="none"/>
        </w:rPr>
        <w:t>技术标详细审查评分：评标委员会按照附表四《技术标详细审查评分表》的标准，对通过技术标有效性审查的投标文件技术标进行详细审查，评出技术分，得分四舍五入精确到小数点后两位。</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color w:val="auto"/>
          <w:szCs w:val="21"/>
          <w:highlight w:val="none"/>
        </w:rPr>
        <w:t>技术标详细审查评分：评标委员会按照附表四《技术标详细审查评分表》的标准，对通过技术标有效性审查的投标文件技术标进行详细审查，评出技术分，投标人的技术分为各评委评分的算术平均值，得分四舍五入精确到小数点后两位。</w:t>
      </w:r>
    </w:p>
    <w:p>
      <w:pPr>
        <w:spacing w:line="480" w:lineRule="auto"/>
        <w:ind w:firstLine="472" w:firstLineChars="224"/>
        <w:rPr>
          <w:b/>
          <w:color w:val="auto"/>
          <w:szCs w:val="21"/>
          <w:highlight w:val="none"/>
        </w:rPr>
      </w:pPr>
      <w:r>
        <w:rPr>
          <w:rFonts w:hint="eastAsia"/>
          <w:b/>
          <w:color w:val="auto"/>
          <w:szCs w:val="21"/>
          <w:highlight w:val="none"/>
        </w:rPr>
        <w:t>条款号：45.1</w:t>
      </w:r>
      <w:r>
        <w:rPr>
          <w:b/>
          <w:color w:val="auto"/>
          <w:szCs w:val="21"/>
          <w:highlight w:val="none"/>
        </w:rPr>
        <w:t xml:space="preserve">             </w:t>
      </w:r>
      <w:r>
        <w:rPr>
          <w:rFonts w:hint="eastAsia"/>
          <w:b/>
          <w:color w:val="auto"/>
          <w:szCs w:val="21"/>
          <w:highlight w:val="none"/>
        </w:rPr>
        <w:t>修改类型：修改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olor w:val="auto"/>
          <w:szCs w:val="21"/>
          <w:highlight w:val="none"/>
        </w:rPr>
        <w:t>若通过技术标有效性审查的投标人中</w:t>
      </w:r>
      <w:r>
        <w:rPr>
          <w:rFonts w:hint="eastAsia" w:ascii="宋体" w:hAnsi="宋体"/>
          <w:color w:val="auto"/>
          <w:szCs w:val="21"/>
          <w:highlight w:val="none"/>
          <w:lang w:val="en-US" w:eastAsia="zh-CN"/>
        </w:rPr>
        <w:t>所</w:t>
      </w:r>
      <w:r>
        <w:rPr>
          <w:rFonts w:hint="eastAsia" w:ascii="宋体" w:hAnsi="宋体"/>
          <w:color w:val="auto"/>
          <w:szCs w:val="21"/>
          <w:highlight w:val="none"/>
        </w:rPr>
        <w:t>有投标报价均大于等于最高投标限价*D%（D的取值范围为[94,100],由招标人自主确定）的（具体金额为：</w:t>
      </w:r>
      <w:r>
        <w:rPr>
          <w:rFonts w:hint="eastAsia" w:ascii="宋体" w:hAnsi="宋体"/>
          <w:color w:val="auto"/>
          <w:szCs w:val="21"/>
          <w:highlight w:val="none"/>
          <w:u w:val="single"/>
        </w:rPr>
        <w:t xml:space="preserve">      </w:t>
      </w:r>
      <w:r>
        <w:rPr>
          <w:rFonts w:hint="eastAsia" w:ascii="宋体" w:hAnsi="宋体"/>
          <w:color w:val="auto"/>
          <w:szCs w:val="21"/>
          <w:highlight w:val="none"/>
        </w:rPr>
        <w:t>元），则本项目招标失败，由招标人依法重新招标。</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olor w:val="auto"/>
          <w:szCs w:val="21"/>
          <w:highlight w:val="none"/>
        </w:rPr>
        <w:t>若通过技术标有效性审查的投标人中</w:t>
      </w:r>
      <w:r>
        <w:rPr>
          <w:rFonts w:hint="eastAsia" w:ascii="宋体" w:hAnsi="宋体"/>
          <w:color w:val="auto"/>
          <w:szCs w:val="21"/>
          <w:highlight w:val="none"/>
          <w:lang w:val="en-US" w:eastAsia="zh-CN"/>
        </w:rPr>
        <w:t>所</w:t>
      </w:r>
      <w:r>
        <w:rPr>
          <w:rFonts w:hint="eastAsia" w:ascii="宋体" w:hAnsi="宋体"/>
          <w:color w:val="auto"/>
          <w:szCs w:val="21"/>
          <w:highlight w:val="none"/>
        </w:rPr>
        <w:t>有投标报价均大于等于最高投标限价*</w:t>
      </w:r>
      <w:r>
        <w:rPr>
          <w:rFonts w:hint="eastAsia" w:ascii="宋体" w:hAnsi="宋体"/>
          <w:color w:val="auto"/>
          <w:szCs w:val="21"/>
          <w:highlight w:val="none"/>
          <w:lang w:val="en-US" w:eastAsia="zh-CN"/>
        </w:rPr>
        <w:t>100</w:t>
      </w:r>
      <w:r>
        <w:rPr>
          <w:rFonts w:hint="eastAsia" w:ascii="宋体" w:hAnsi="宋体"/>
          <w:color w:val="auto"/>
          <w:szCs w:val="21"/>
          <w:highlight w:val="none"/>
        </w:rPr>
        <w:t>%（D的取值范围为[94,100],由招标人自主确定）的（具体金额为：</w:t>
      </w:r>
      <w:r>
        <w:rPr>
          <w:rFonts w:hint="eastAsia" w:ascii="宋体" w:hAnsi="宋体" w:cs="宋体"/>
          <w:color w:val="auto"/>
          <w:szCs w:val="21"/>
          <w:highlight w:val="none"/>
          <w:u w:val="single"/>
          <w:lang w:val="en-US" w:eastAsia="zh-CN"/>
        </w:rPr>
        <w:t>16379739.51</w:t>
      </w:r>
      <w:r>
        <w:rPr>
          <w:rFonts w:hint="eastAsia" w:ascii="宋体" w:hAnsi="宋体"/>
          <w:color w:val="auto"/>
          <w:szCs w:val="21"/>
          <w:highlight w:val="none"/>
        </w:rPr>
        <w:t>元），则本项目招标失败，由招标人依法重新招标。</w:t>
      </w:r>
    </w:p>
    <w:p>
      <w:pPr>
        <w:spacing w:line="480" w:lineRule="auto"/>
        <w:ind w:firstLine="472" w:firstLineChars="224"/>
        <w:rPr>
          <w:b/>
          <w:color w:val="auto"/>
          <w:szCs w:val="21"/>
          <w:highlight w:val="none"/>
        </w:rPr>
      </w:pPr>
      <w:r>
        <w:rPr>
          <w:rFonts w:hint="eastAsia"/>
          <w:b/>
          <w:color w:val="auto"/>
          <w:szCs w:val="21"/>
          <w:highlight w:val="none"/>
        </w:rPr>
        <w:t>条款号：45.2</w:t>
      </w:r>
      <w:r>
        <w:rPr>
          <w:b/>
          <w:color w:val="auto"/>
          <w:szCs w:val="21"/>
          <w:highlight w:val="none"/>
        </w:rPr>
        <w:t xml:space="preserve">             </w:t>
      </w:r>
      <w:r>
        <w:rPr>
          <w:rFonts w:hint="eastAsia"/>
          <w:b/>
          <w:color w:val="auto"/>
          <w:szCs w:val="21"/>
          <w:highlight w:val="none"/>
        </w:rPr>
        <w:t>修改类型：修改</w:t>
      </w:r>
    </w:p>
    <w:p>
      <w:pPr>
        <w:pStyle w:val="37"/>
        <w:tabs>
          <w:tab w:val="left" w:pos="7380"/>
        </w:tabs>
        <w:snapToGrid w:val="0"/>
        <w:spacing w:after="0" w:line="360" w:lineRule="auto"/>
        <w:ind w:firstLine="422" w:firstLineChars="200"/>
        <w:rPr>
          <w:rFonts w:ascii="宋体"/>
          <w:color w:val="auto"/>
          <w:szCs w:val="21"/>
          <w:highlight w:val="none"/>
        </w:rPr>
      </w:pPr>
      <w:r>
        <w:rPr>
          <w:rFonts w:hint="eastAsia"/>
          <w:b/>
          <w:color w:val="auto"/>
          <w:szCs w:val="21"/>
          <w:highlight w:val="none"/>
        </w:rPr>
        <w:t>原文：</w:t>
      </w:r>
      <w:r>
        <w:rPr>
          <w:rFonts w:hint="eastAsia" w:ascii="宋体" w:hAnsi="宋体"/>
          <w:color w:val="auto"/>
          <w:szCs w:val="21"/>
          <w:highlight w:val="none"/>
        </w:rPr>
        <w:t>按方法</w:t>
      </w:r>
      <w:r>
        <w:rPr>
          <w:rFonts w:hint="eastAsia" w:ascii="宋体" w:hAnsi="宋体"/>
          <w:color w:val="auto"/>
          <w:szCs w:val="21"/>
          <w:highlight w:val="none"/>
          <w:u w:val="single"/>
        </w:rPr>
        <w:t xml:space="preserve">    </w:t>
      </w:r>
      <w:r>
        <w:rPr>
          <w:rFonts w:hint="eastAsia" w:ascii="宋体" w:hAnsi="宋体"/>
          <w:color w:val="auto"/>
          <w:szCs w:val="21"/>
          <w:highlight w:val="none"/>
        </w:rPr>
        <w:t>计算评标参考价：</w:t>
      </w:r>
    </w:p>
    <w:p>
      <w:pPr>
        <w:widowControl/>
        <w:spacing w:line="360" w:lineRule="auto"/>
        <w:ind w:firstLine="422" w:firstLineChars="200"/>
        <w:rPr>
          <w:rFonts w:ascii="宋体" w:hAnsi="宋体"/>
          <w:b/>
          <w:bCs/>
          <w:color w:val="auto"/>
          <w:kern w:val="0"/>
          <w:szCs w:val="21"/>
          <w:highlight w:val="none"/>
        </w:rPr>
      </w:pPr>
      <w:r>
        <w:rPr>
          <w:rFonts w:hint="eastAsia" w:ascii="宋体" w:hAnsi="宋体" w:cs="仿宋"/>
          <w:b/>
          <w:bCs/>
          <w:color w:val="auto"/>
          <w:kern w:val="0"/>
          <w:szCs w:val="21"/>
          <w:highlight w:val="none"/>
        </w:rPr>
        <w:t>方法一：加权平均法</w:t>
      </w:r>
      <w:bookmarkStart w:id="92" w:name="_GoBack"/>
      <w:bookmarkEnd w:id="92"/>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技术标或技术标加诚信得分（具体由招标人自定）前</w:t>
      </w:r>
      <w:r>
        <w:rPr>
          <w:rFonts w:ascii="宋体" w:hAnsi="宋体" w:cs="仿宋"/>
          <w:color w:val="auto"/>
          <w:szCs w:val="21"/>
          <w:highlight w:val="none"/>
        </w:rPr>
        <w:t>N</w:t>
      </w:r>
      <w:r>
        <w:rPr>
          <w:rFonts w:hint="eastAsia" w:ascii="宋体" w:hAnsi="宋体" w:cs="仿宋"/>
          <w:color w:val="auto"/>
          <w:szCs w:val="21"/>
          <w:highlight w:val="none"/>
        </w:rPr>
        <w:t>名（N≥5，具体由招标人自定）的经济报价加权平均，计算评标参考价。公式如下：</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评标参考价</w:t>
      </w:r>
      <w:r>
        <w:rPr>
          <w:rFonts w:ascii="宋体" w:hAnsi="宋体" w:cs="仿宋"/>
          <w:color w:val="auto"/>
          <w:szCs w:val="21"/>
          <w:highlight w:val="none"/>
        </w:rPr>
        <w:t>=</w:t>
      </w:r>
      <w:r>
        <w:rPr>
          <w:rFonts w:hint="eastAsia" w:ascii="宋体" w:hAnsi="宋体" w:cs="仿宋"/>
          <w:color w:val="auto"/>
          <w:szCs w:val="21"/>
          <w:highlight w:val="none"/>
        </w:rPr>
        <w:t>Σ（投标人的投标报价</w:t>
      </w:r>
      <w:r>
        <w:rPr>
          <w:rFonts w:ascii="宋体" w:hAnsi="宋体" w:cs="仿宋"/>
          <w:color w:val="auto"/>
          <w:szCs w:val="21"/>
          <w:highlight w:val="none"/>
        </w:rPr>
        <w:t>*</w:t>
      </w:r>
      <w:r>
        <w:rPr>
          <w:rFonts w:hint="eastAsia" w:ascii="宋体" w:hAnsi="宋体" w:cs="仿宋"/>
          <w:color w:val="auto"/>
          <w:szCs w:val="21"/>
          <w:highlight w:val="none"/>
        </w:rPr>
        <w:t>报价权重）。</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其中：报价权重的计算方法为：将</w:t>
      </w:r>
      <w:r>
        <w:rPr>
          <w:rFonts w:ascii="宋体" w:hAnsi="宋体" w:cs="仿宋"/>
          <w:color w:val="auto"/>
          <w:szCs w:val="21"/>
          <w:highlight w:val="none"/>
        </w:rPr>
        <w:t>N</w:t>
      </w:r>
      <w:r>
        <w:rPr>
          <w:rFonts w:hint="eastAsia" w:ascii="宋体" w:hAnsi="宋体" w:cs="仿宋"/>
          <w:color w:val="auto"/>
          <w:szCs w:val="21"/>
          <w:highlight w:val="none"/>
        </w:rPr>
        <w:t>名投标人按技术分由高至低进行排序，第一名投标人的权重为（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szCs w:val="21"/>
          <w:highlight w:val="none"/>
        </w:rPr>
        <w:drawing>
          <wp:inline distT="0" distB="0" distL="114300" distR="114300">
            <wp:extent cx="381000" cy="447675"/>
            <wp:effectExtent l="0" t="0" r="0" b="8890"/>
            <wp:docPr id="43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图片 7"/>
                    <pic:cNvPicPr>
                      <a:picLocks noChangeAspect="1"/>
                    </pic:cNvPicPr>
                  </pic:nvPicPr>
                  <pic:blipFill>
                    <a:blip r:embed="rId25">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szCs w:val="21"/>
          <w:highlight w:val="none"/>
        </w:rPr>
        <w:drawing>
          <wp:inline distT="0" distB="0" distL="114300" distR="114300">
            <wp:extent cx="381000" cy="447675"/>
            <wp:effectExtent l="0" t="0" r="0" b="8890"/>
            <wp:docPr id="44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图片 8"/>
                    <pic:cNvPicPr>
                      <a:picLocks noChangeAspect="1"/>
                    </pic:cNvPicPr>
                  </pic:nvPicPr>
                  <pic:blipFill>
                    <a:blip r:embed="rId25">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），第二名投标人的权重为（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0" b="0"/>
            <wp:docPr id="44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图片 9"/>
                    <pic:cNvPicPr>
                      <a:picLocks noChangeAspect="1"/>
                    </pic:cNvPicPr>
                  </pic:nvPicPr>
                  <pic:blipFill>
                    <a:blip r:embed="rId2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0" b="0"/>
            <wp:docPr id="44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图片 10"/>
                    <pic:cNvPicPr>
                      <a:picLocks noChangeAspect="1"/>
                    </pic:cNvPicPr>
                  </pic:nvPicPr>
                  <pic:blipFill>
                    <a:blip r:embed="rId2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），以此类推，最后一名投标人的权重为（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0" b="0"/>
            <wp:docPr id="44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图片 11"/>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0" b="0"/>
            <wp:docPr id="44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图片 12"/>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w:t>
      </w:r>
    </w:p>
    <w:p>
      <w:pPr>
        <w:widowControl/>
        <w:spacing w:line="360" w:lineRule="auto"/>
        <w:ind w:firstLine="422" w:firstLineChars="200"/>
        <w:rPr>
          <w:rFonts w:ascii="宋体" w:hAnsi="宋体"/>
          <w:b/>
          <w:bCs/>
          <w:color w:val="auto"/>
          <w:kern w:val="0"/>
          <w:szCs w:val="21"/>
          <w:highlight w:val="none"/>
        </w:rPr>
      </w:pPr>
      <w:r>
        <w:rPr>
          <w:rFonts w:hint="eastAsia" w:ascii="宋体" w:hAnsi="宋体" w:cs="仿宋"/>
          <w:b/>
          <w:bCs/>
          <w:color w:val="auto"/>
          <w:kern w:val="0"/>
          <w:szCs w:val="21"/>
          <w:highlight w:val="none"/>
        </w:rPr>
        <w:t>方法二：区间抽取法</w:t>
      </w:r>
    </w:p>
    <w:p>
      <w:pPr>
        <w:widowControl/>
        <w:snapToGrid w:val="0"/>
        <w:spacing w:line="360" w:lineRule="auto"/>
        <w:ind w:firstLine="420" w:firstLineChars="200"/>
        <w:rPr>
          <w:rFonts w:ascii="宋体" w:hAnsi="宋体"/>
          <w:color w:val="auto"/>
          <w:kern w:val="0"/>
          <w:szCs w:val="21"/>
          <w:highlight w:val="none"/>
        </w:rPr>
      </w:pPr>
      <w:r>
        <w:rPr>
          <w:rFonts w:hint="eastAsia" w:ascii="宋体" w:hAnsi="宋体" w:cs="仿宋"/>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ascii="宋体" w:hAnsi="宋体"/>
          <w:color w:val="auto"/>
          <w:kern w:val="0"/>
          <w:szCs w:val="21"/>
          <w:highlight w:val="none"/>
          <w:vertAlign w:val="subscript"/>
        </w:rPr>
      </w:pPr>
      <w:r>
        <w:rPr>
          <w:rFonts w:hint="eastAsia" w:ascii="宋体" w:hAnsi="宋体" w:cs="仿宋"/>
          <w:color w:val="auto"/>
          <w:kern w:val="0"/>
          <w:szCs w:val="21"/>
          <w:highlight w:val="none"/>
        </w:rPr>
        <w:t>评标参考价</w:t>
      </w:r>
      <w:r>
        <w:rPr>
          <w:rFonts w:ascii="宋体" w:hAnsi="宋体" w:cs="仿宋"/>
          <w:color w:val="auto"/>
          <w:kern w:val="0"/>
          <w:szCs w:val="21"/>
          <w:highlight w:val="none"/>
        </w:rPr>
        <w:t>=</w:t>
      </w:r>
      <w:r>
        <w:rPr>
          <w:rFonts w:hint="eastAsia" w:ascii="宋体" w:hAnsi="宋体" w:cs="仿宋"/>
          <w:color w:val="auto"/>
          <w:kern w:val="0"/>
          <w:szCs w:val="21"/>
          <w:highlight w:val="none"/>
        </w:rPr>
        <w:t>（</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高</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低</w:t>
      </w:r>
      <w:r>
        <w:rPr>
          <w:rFonts w:hint="eastAsia" w:ascii="宋体" w:hAnsi="宋体" w:cs="仿宋"/>
          <w:color w:val="auto"/>
          <w:kern w:val="0"/>
          <w:szCs w:val="21"/>
          <w:highlight w:val="none"/>
        </w:rPr>
        <w:t>）</w:t>
      </w:r>
      <w:r>
        <w:rPr>
          <w:rFonts w:ascii="宋体" w:hAnsi="宋体" w:cs="仿宋"/>
          <w:color w:val="auto"/>
          <w:kern w:val="0"/>
          <w:szCs w:val="21"/>
          <w:highlight w:val="none"/>
        </w:rPr>
        <w:t>/100*</w:t>
      </w:r>
      <w:r>
        <w:rPr>
          <w:rFonts w:hint="eastAsia" w:ascii="宋体" w:hAnsi="宋体" w:cs="仿宋"/>
          <w:color w:val="auto"/>
          <w:kern w:val="0"/>
          <w:szCs w:val="21"/>
          <w:highlight w:val="none"/>
        </w:rPr>
        <w:t>Ｘ</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低</w:t>
      </w:r>
    </w:p>
    <w:p>
      <w:pPr>
        <w:widowControl/>
        <w:snapToGrid w:val="0"/>
        <w:spacing w:line="360" w:lineRule="auto"/>
        <w:ind w:firstLine="420" w:firstLineChars="200"/>
        <w:rPr>
          <w:rFonts w:ascii="宋体" w:hAnsi="宋体"/>
          <w:color w:val="auto"/>
          <w:szCs w:val="21"/>
          <w:highlight w:val="none"/>
        </w:rPr>
      </w:pPr>
      <w:r>
        <w:rPr>
          <w:rFonts w:ascii="宋体" w:hAnsi="宋体" w:cs="仿宋"/>
          <w:color w:val="auto"/>
          <w:szCs w:val="21"/>
          <w:highlight w:val="none"/>
        </w:rPr>
        <w:t>Q</w:t>
      </w:r>
      <w:r>
        <w:rPr>
          <w:rFonts w:hint="eastAsia" w:ascii="宋体" w:hAnsi="宋体" w:cs="仿宋"/>
          <w:color w:val="auto"/>
          <w:szCs w:val="21"/>
          <w:highlight w:val="none"/>
          <w:vertAlign w:val="subscript"/>
        </w:rPr>
        <w:t>低</w:t>
      </w:r>
      <w:r>
        <w:rPr>
          <w:rFonts w:hint="eastAsia" w:ascii="宋体" w:hAnsi="宋体" w:cs="仿宋"/>
          <w:color w:val="auto"/>
          <w:szCs w:val="21"/>
          <w:highlight w:val="none"/>
        </w:rPr>
        <w:t>：为达到或超过技术标及格分数线的投标人最低报价与工程成本警示价两者中的较高值；</w:t>
      </w:r>
    </w:p>
    <w:p>
      <w:pPr>
        <w:spacing w:line="360" w:lineRule="auto"/>
        <w:ind w:firstLine="420" w:firstLineChars="200"/>
        <w:rPr>
          <w:rFonts w:ascii="宋体" w:hAnsi="宋体" w:cs="仿宋"/>
          <w:color w:val="auto"/>
          <w:szCs w:val="21"/>
          <w:highlight w:val="none"/>
        </w:rPr>
      </w:pP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高</w:t>
      </w:r>
      <w:r>
        <w:rPr>
          <w:rFonts w:hint="eastAsia" w:ascii="宋体" w:hAnsi="宋体" w:cs="仿宋"/>
          <w:color w:val="auto"/>
          <w:szCs w:val="21"/>
          <w:highlight w:val="none"/>
        </w:rPr>
        <w:t>：为（最高投标限价</w:t>
      </w:r>
      <w:r>
        <w:rPr>
          <w:rFonts w:ascii="宋体" w:hAnsi="宋体" w:cs="仿宋"/>
          <w:color w:val="auto"/>
          <w:szCs w:val="21"/>
          <w:highlight w:val="none"/>
        </w:rPr>
        <w:t>*D%</w:t>
      </w:r>
      <w:r>
        <w:rPr>
          <w:rFonts w:hint="eastAsia" w:ascii="宋体" w:hAnsi="宋体" w:cs="仿宋"/>
          <w:color w:val="auto"/>
          <w:szCs w:val="21"/>
          <w:highlight w:val="none"/>
        </w:rPr>
        <w:t>）（</w:t>
      </w:r>
      <w:r>
        <w:rPr>
          <w:rFonts w:ascii="宋体" w:hAnsi="宋体" w:cs="仿宋"/>
          <w:color w:val="auto"/>
          <w:szCs w:val="21"/>
          <w:highlight w:val="none"/>
        </w:rPr>
        <w:t>D</w:t>
      </w:r>
      <w:r>
        <w:rPr>
          <w:rFonts w:hint="eastAsia" w:ascii="宋体" w:hAnsi="宋体" w:cs="仿宋"/>
          <w:color w:val="auto"/>
          <w:szCs w:val="21"/>
          <w:highlight w:val="none"/>
        </w:rPr>
        <w:t>的取值范围为</w:t>
      </w:r>
      <w:r>
        <w:rPr>
          <w:rFonts w:ascii="宋体" w:hAnsi="宋体" w:cs="仿宋"/>
          <w:color w:val="auto"/>
          <w:szCs w:val="21"/>
          <w:highlight w:val="none"/>
        </w:rPr>
        <w:t>[94,100],</w:t>
      </w:r>
      <w:r>
        <w:rPr>
          <w:rFonts w:hint="eastAsia" w:ascii="宋体" w:hAnsi="宋体" w:cs="仿宋"/>
          <w:color w:val="auto"/>
          <w:szCs w:val="21"/>
          <w:highlight w:val="none"/>
        </w:rPr>
        <w:t>由招标人自定）</w:t>
      </w:r>
    </w:p>
    <w:p>
      <w:pPr>
        <w:spacing w:line="360" w:lineRule="auto"/>
        <w:ind w:firstLine="470" w:firstLineChars="224"/>
        <w:rPr>
          <w:b/>
          <w:color w:val="auto"/>
          <w:sz w:val="18"/>
          <w:szCs w:val="18"/>
          <w:highlight w:val="none"/>
        </w:rPr>
      </w:pPr>
      <w:r>
        <w:rPr>
          <w:rFonts w:ascii="宋体" w:hAnsi="宋体" w:cs="仿宋"/>
          <w:color w:val="auto"/>
          <w:szCs w:val="21"/>
          <w:highlight w:val="none"/>
        </w:rPr>
        <w:t>X:</w:t>
      </w:r>
      <w:r>
        <w:rPr>
          <w:rFonts w:hint="eastAsia" w:ascii="宋体" w:hAnsi="宋体" w:cs="仿宋"/>
          <w:color w:val="auto"/>
          <w:szCs w:val="21"/>
          <w:highlight w:val="none"/>
        </w:rPr>
        <w:t>为等分点值，从</w:t>
      </w:r>
      <w:r>
        <w:rPr>
          <w:rFonts w:ascii="宋体" w:hAnsi="宋体" w:cs="仿宋"/>
          <w:color w:val="auto"/>
          <w:szCs w:val="21"/>
          <w:highlight w:val="none"/>
        </w:rPr>
        <w:t>[0,100]</w:t>
      </w:r>
      <w:r>
        <w:rPr>
          <w:rFonts w:hint="eastAsia" w:ascii="宋体" w:hAnsi="宋体" w:cs="仿宋"/>
          <w:color w:val="auto"/>
          <w:szCs w:val="21"/>
          <w:highlight w:val="none"/>
        </w:rPr>
        <w:t>整数中随机抽取</w:t>
      </w:r>
    </w:p>
    <w:p>
      <w:pPr>
        <w:pStyle w:val="37"/>
        <w:tabs>
          <w:tab w:val="left" w:pos="7380"/>
        </w:tabs>
        <w:snapToGrid w:val="0"/>
        <w:spacing w:after="0" w:line="360" w:lineRule="auto"/>
        <w:ind w:firstLine="422" w:firstLineChars="200"/>
        <w:rPr>
          <w:rFonts w:ascii="宋体"/>
          <w:color w:val="auto"/>
          <w:szCs w:val="21"/>
          <w:highlight w:val="none"/>
        </w:rPr>
      </w:pPr>
      <w:r>
        <w:rPr>
          <w:rFonts w:hint="eastAsia"/>
          <w:b/>
          <w:color w:val="auto"/>
          <w:szCs w:val="21"/>
          <w:highlight w:val="none"/>
        </w:rPr>
        <w:t>现文：</w:t>
      </w:r>
      <w:r>
        <w:rPr>
          <w:rFonts w:hint="eastAsia" w:ascii="宋体" w:hAnsi="宋体"/>
          <w:color w:val="auto"/>
          <w:szCs w:val="21"/>
          <w:highlight w:val="none"/>
        </w:rPr>
        <w:t>按方法</w:t>
      </w:r>
      <w:r>
        <w:rPr>
          <w:rFonts w:hint="eastAsia" w:ascii="宋体" w:hAnsi="宋体"/>
          <w:color w:val="auto"/>
          <w:szCs w:val="21"/>
          <w:highlight w:val="none"/>
          <w:u w:val="single"/>
        </w:rPr>
        <w:t xml:space="preserve"> 一 </w:t>
      </w:r>
      <w:r>
        <w:rPr>
          <w:rFonts w:hint="eastAsia" w:ascii="宋体" w:hAnsi="宋体"/>
          <w:color w:val="auto"/>
          <w:szCs w:val="21"/>
          <w:highlight w:val="none"/>
        </w:rPr>
        <w:t>计算评标参考价：</w:t>
      </w:r>
    </w:p>
    <w:p>
      <w:pPr>
        <w:widowControl/>
        <w:spacing w:line="360" w:lineRule="auto"/>
        <w:ind w:firstLine="422" w:firstLineChars="200"/>
        <w:rPr>
          <w:rFonts w:ascii="宋体" w:hAnsi="宋体"/>
          <w:b/>
          <w:bCs/>
          <w:color w:val="auto"/>
          <w:kern w:val="0"/>
          <w:szCs w:val="21"/>
          <w:highlight w:val="none"/>
        </w:rPr>
      </w:pPr>
      <w:r>
        <w:rPr>
          <w:rFonts w:hint="eastAsia" w:ascii="宋体" w:hAnsi="宋体" w:cs="仿宋"/>
          <w:b/>
          <w:bCs/>
          <w:color w:val="auto"/>
          <w:kern w:val="0"/>
          <w:szCs w:val="21"/>
          <w:highlight w:val="none"/>
        </w:rPr>
        <w:t>方法一：加权平均法</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技术标前 5 名（N≥5，具体由招标人自定）的经济报价加权平均，计算评标参考价；若通过经济标有效性审查的投标单位不足5家，以投标单位家数为N值，计算评标参考价。公式如下：</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评标参考价</w:t>
      </w:r>
      <w:r>
        <w:rPr>
          <w:rFonts w:ascii="宋体" w:hAnsi="宋体" w:cs="仿宋"/>
          <w:color w:val="auto"/>
          <w:szCs w:val="21"/>
          <w:highlight w:val="none"/>
        </w:rPr>
        <w:t>=</w:t>
      </w:r>
      <w:r>
        <w:rPr>
          <w:rFonts w:hint="eastAsia" w:ascii="宋体" w:hAnsi="宋体" w:cs="仿宋"/>
          <w:color w:val="auto"/>
          <w:szCs w:val="21"/>
          <w:highlight w:val="none"/>
        </w:rPr>
        <w:t>Σ（投标人的投标报价</w:t>
      </w:r>
      <w:r>
        <w:rPr>
          <w:rFonts w:ascii="宋体" w:hAnsi="宋体" w:cs="仿宋"/>
          <w:color w:val="auto"/>
          <w:szCs w:val="21"/>
          <w:highlight w:val="none"/>
        </w:rPr>
        <w:t>*</w:t>
      </w:r>
      <w:r>
        <w:rPr>
          <w:rFonts w:hint="eastAsia" w:ascii="宋体" w:hAnsi="宋体" w:cs="仿宋"/>
          <w:color w:val="auto"/>
          <w:szCs w:val="21"/>
          <w:highlight w:val="none"/>
        </w:rPr>
        <w:t>报价权重）。</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其中：报价权重的计算方法为：将</w:t>
      </w:r>
      <w:r>
        <w:rPr>
          <w:rFonts w:ascii="宋体" w:hAnsi="宋体" w:cs="仿宋"/>
          <w:color w:val="auto"/>
          <w:szCs w:val="21"/>
          <w:highlight w:val="none"/>
        </w:rPr>
        <w:t>N</w:t>
      </w:r>
      <w:r>
        <w:rPr>
          <w:rFonts w:hint="eastAsia" w:ascii="宋体" w:hAnsi="宋体" w:cs="仿宋"/>
          <w:color w:val="auto"/>
          <w:szCs w:val="21"/>
          <w:highlight w:val="none"/>
        </w:rPr>
        <w:t>名投标人按技术分由高至低进行排序，第一名投标人的权重为（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szCs w:val="21"/>
          <w:highlight w:val="none"/>
        </w:rPr>
        <w:drawing>
          <wp:inline distT="0" distB="0" distL="114300" distR="114300">
            <wp:extent cx="381000" cy="447675"/>
            <wp:effectExtent l="0" t="0" r="0" b="8890"/>
            <wp:docPr id="44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图片 13"/>
                    <pic:cNvPicPr>
                      <a:picLocks noChangeAspect="1"/>
                    </pic:cNvPicPr>
                  </pic:nvPicPr>
                  <pic:blipFill>
                    <a:blip r:embed="rId25">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szCs w:val="21"/>
          <w:highlight w:val="none"/>
        </w:rPr>
        <w:drawing>
          <wp:inline distT="0" distB="0" distL="114300" distR="114300">
            <wp:extent cx="381000" cy="447675"/>
            <wp:effectExtent l="0" t="0" r="0" b="8890"/>
            <wp:docPr id="44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图片 14"/>
                    <pic:cNvPicPr>
                      <a:picLocks noChangeAspect="1"/>
                    </pic:cNvPicPr>
                  </pic:nvPicPr>
                  <pic:blipFill>
                    <a:blip r:embed="rId25">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），第二名投标人的权重为（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0" b="0"/>
            <wp:docPr id="44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图片 15"/>
                    <pic:cNvPicPr>
                      <a:picLocks noChangeAspect="1"/>
                    </pic:cNvPicPr>
                  </pic:nvPicPr>
                  <pic:blipFill>
                    <a:blip r:embed="rId2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0" b="0"/>
            <wp:docPr id="44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图片 16"/>
                    <pic:cNvPicPr>
                      <a:picLocks noChangeAspect="1"/>
                    </pic:cNvPicPr>
                  </pic:nvPicPr>
                  <pic:blipFill>
                    <a:blip r:embed="rId2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），以此类推，最后一名投标人的权重为（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0" b="0"/>
            <wp:docPr id="44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图片 17"/>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0" b="0"/>
            <wp:docPr id="45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图片 18"/>
                    <pic:cNvPicPr>
                      <a:picLocks noChangeAspect="1"/>
                    </pic:cNvPicPr>
                  </pic:nvPicPr>
                  <pic:blipFill>
                    <a:blip r:embed="rId2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w:t>
      </w:r>
    </w:p>
    <w:p>
      <w:pPr>
        <w:widowControl/>
        <w:spacing w:line="360" w:lineRule="auto"/>
        <w:ind w:firstLine="420" w:firstLineChars="200"/>
        <w:rPr>
          <w:rFonts w:ascii="宋体" w:hAnsi="宋体" w:cs="仿宋"/>
          <w:strike/>
          <w:color w:val="auto"/>
          <w:szCs w:val="21"/>
          <w:highlight w:val="none"/>
        </w:rPr>
      </w:pPr>
      <w:r>
        <w:rPr>
          <w:rFonts w:hint="eastAsia" w:ascii="宋体" w:hAnsi="宋体" w:cs="仿宋"/>
          <w:color w:val="auto"/>
          <w:szCs w:val="21"/>
          <w:highlight w:val="none"/>
        </w:rPr>
        <w:t>技术得分相同的，以投标总报价低的排名靠前；技术得分与投标总报价均相同的投标人，由评标委员会采用记名投票方式，确定技术得分的排名。记名投票方式确定技术得分排名的具体操作步</w:t>
      </w:r>
    </w:p>
    <w:p>
      <w:pPr>
        <w:pBdr>
          <w:bottom w:val="single" w:color="auto" w:sz="6" w:space="1"/>
        </w:pBdr>
        <w:spacing w:line="360" w:lineRule="auto"/>
        <w:ind w:firstLine="0" w:firstLineChars="0"/>
        <w:rPr>
          <w:color w:val="auto"/>
          <w:highlight w:val="none"/>
        </w:rPr>
      </w:pPr>
      <w:r>
        <w:rPr>
          <w:rFonts w:hint="eastAsia" w:ascii="宋体" w:hAnsi="宋体" w:cs="仿宋"/>
          <w:color w:val="auto"/>
          <w:szCs w:val="21"/>
          <w:highlight w:val="none"/>
        </w:rPr>
        <w:t>骤为：由评标委员会对出现该情况的投标人进行编号，然后通过记名投票方式，以得票多的排前确定排名。</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kern w:val="0"/>
          <w:szCs w:val="21"/>
          <w:highlight w:val="none"/>
        </w:rPr>
        <w:t>4</w:t>
      </w:r>
      <w:r>
        <w:rPr>
          <w:rFonts w:ascii="宋体" w:hAnsi="宋体" w:cs="宋体"/>
          <w:b/>
          <w:color w:val="auto"/>
          <w:kern w:val="0"/>
          <w:szCs w:val="21"/>
          <w:highlight w:val="none"/>
        </w:rPr>
        <w:t>5</w:t>
      </w:r>
      <w:r>
        <w:rPr>
          <w:rFonts w:hint="eastAsia" w:ascii="宋体" w:hAnsi="宋体" w:cs="宋体"/>
          <w:b/>
          <w:color w:val="auto"/>
          <w:kern w:val="0"/>
          <w:szCs w:val="21"/>
          <w:highlight w:val="none"/>
        </w:rPr>
        <w:t>.3</w:t>
      </w:r>
      <w:r>
        <w:rPr>
          <w:rFonts w:hint="eastAsia" w:ascii="宋体" w:hAnsi="宋体" w:cs="宋体"/>
          <w:b/>
          <w:color w:val="auto"/>
          <w:szCs w:val="21"/>
          <w:highlight w:val="none"/>
        </w:rPr>
        <w:t xml:space="preserve">             </w:t>
      </w:r>
      <w:r>
        <w:rPr>
          <w:rFonts w:ascii="宋体" w:hAnsi="宋体" w:cs="宋体"/>
          <w:b/>
          <w:color w:val="auto"/>
          <w:szCs w:val="21"/>
          <w:highlight w:val="none"/>
        </w:rPr>
        <w:t xml:space="preserve">  </w:t>
      </w:r>
      <w:r>
        <w:rPr>
          <w:rFonts w:hint="eastAsia" w:ascii="宋体" w:hAnsi="宋体" w:cs="宋体"/>
          <w:b/>
          <w:color w:val="auto"/>
          <w:szCs w:val="21"/>
          <w:highlight w:val="none"/>
        </w:rPr>
        <w:t xml:space="preserve">       修改类型：修改</w:t>
      </w:r>
    </w:p>
    <w:p>
      <w:pP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kern w:val="0"/>
          <w:szCs w:val="21"/>
          <w:highlight w:val="none"/>
        </w:rPr>
        <w:t>45.3当标价等于评标参考价时得100分，标价每高于评标参考价1%，扣1.5分，每低于评标参考价1%，扣1分，扣至0分为止，得出经济分，精确到小数点后两位。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422" w:firstLineChars="20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w:t>
      </w:r>
      <w:r>
        <w:rPr>
          <w:rFonts w:hint="eastAsia" w:ascii="宋体" w:hAnsi="宋体" w:cs="宋体"/>
          <w:color w:val="auto"/>
          <w:kern w:val="0"/>
          <w:szCs w:val="21"/>
          <w:highlight w:val="none"/>
        </w:rPr>
        <w:t>45.3当标价等于评标参考价时得100分，标价每高于评标参考价1%，扣</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0.3</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分，每低于评标参考价1%，扣</w:t>
      </w:r>
      <w:r>
        <w:rPr>
          <w:rFonts w:ascii="宋体" w:hAnsi="宋体" w:cs="宋体"/>
          <w:color w:val="auto"/>
          <w:kern w:val="0"/>
          <w:szCs w:val="21"/>
          <w:highlight w:val="none"/>
          <w:u w:val="single"/>
        </w:rPr>
        <w:t xml:space="preserve"> 0.</w:t>
      </w:r>
      <w:r>
        <w:rPr>
          <w:rFonts w:hint="eastAsia" w:ascii="宋体" w:hAnsi="宋体" w:cs="宋体"/>
          <w:color w:val="auto"/>
          <w:kern w:val="0"/>
          <w:szCs w:val="21"/>
          <w:highlight w:val="none"/>
          <w:u w:val="single"/>
          <w:lang w:val="en-US" w:eastAsia="zh-CN"/>
        </w:rPr>
        <w:t>2</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分，扣至0分为止，得出经济分，精确到小数点后两位。</w:t>
      </w:r>
    </w:p>
    <w:p>
      <w:pPr>
        <w:spacing w:line="480" w:lineRule="auto"/>
        <w:ind w:firstLine="472" w:firstLineChars="224"/>
        <w:rPr>
          <w:b/>
          <w:color w:val="auto"/>
          <w:szCs w:val="21"/>
          <w:highlight w:val="none"/>
        </w:rPr>
      </w:pPr>
      <w:r>
        <w:rPr>
          <w:rFonts w:hint="eastAsia"/>
          <w:b/>
          <w:color w:val="auto"/>
          <w:szCs w:val="21"/>
          <w:highlight w:val="none"/>
        </w:rPr>
        <w:t>条款号：45.4</w:t>
      </w:r>
      <w:r>
        <w:rPr>
          <w:b/>
          <w:color w:val="auto"/>
          <w:szCs w:val="21"/>
          <w:highlight w:val="none"/>
        </w:rPr>
        <w:t xml:space="preserve">             </w:t>
      </w:r>
      <w:r>
        <w:rPr>
          <w:rFonts w:hint="eastAsia"/>
          <w:b/>
          <w:color w:val="auto"/>
          <w:szCs w:val="21"/>
          <w:highlight w:val="none"/>
        </w:rPr>
        <w:t>修改类型：修改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ascii="宋体"/>
          <w:color w:val="auto"/>
          <w:szCs w:val="21"/>
          <w:highlight w:val="none"/>
        </w:rPr>
        <w:t>计算通过技术标有效性审查的投标人总得分。投标人总得分=（技术得分×技术得分权重</w:t>
      </w:r>
      <w:r>
        <w:rPr>
          <w:rFonts w:hint="eastAsia" w:ascii="宋体" w:cs="宋体"/>
          <w:color w:val="auto"/>
          <w:szCs w:val="21"/>
          <w:highlight w:val="none"/>
        </w:rPr>
        <w:t>＋</w:t>
      </w:r>
      <w:r>
        <w:rPr>
          <w:rFonts w:hint="eastAsia" w:ascii="宋体"/>
          <w:color w:val="auto"/>
          <w:szCs w:val="21"/>
          <w:highlight w:val="none"/>
        </w:rPr>
        <w:t>经济得分×经济得分权重）×（1-综合诚信评价分数权重）</w:t>
      </w:r>
      <w:r>
        <w:rPr>
          <w:rFonts w:hint="eastAsia" w:ascii="宋体" w:cs="宋体"/>
          <w:color w:val="auto"/>
          <w:szCs w:val="21"/>
          <w:highlight w:val="none"/>
        </w:rPr>
        <w:t>＋</w:t>
      </w:r>
      <w:r>
        <w:rPr>
          <w:rFonts w:hint="eastAsia" w:ascii="宋体"/>
          <w:color w:val="auto"/>
          <w:szCs w:val="21"/>
          <w:highlight w:val="none"/>
        </w:rPr>
        <w:t>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color w:val="auto"/>
          <w:szCs w:val="21"/>
          <w:highlight w:val="none"/>
        </w:rPr>
        <w:t>计算通过技术标有效性审查的投标人总得分。</w:t>
      </w:r>
      <w:r>
        <w:rPr>
          <w:rFonts w:hint="eastAsia" w:ascii="宋体"/>
          <w:color w:val="auto"/>
          <w:szCs w:val="21"/>
          <w:highlight w:val="none"/>
          <w:u w:val="single"/>
        </w:rPr>
        <w:t>投标人总得分=技术得分</w:t>
      </w:r>
      <w:r>
        <w:rPr>
          <w:rFonts w:hint="eastAsia" w:ascii="宋体"/>
          <w:color w:val="auto"/>
          <w:szCs w:val="21"/>
          <w:highlight w:val="none"/>
          <w:u w:val="single"/>
          <w:lang w:eastAsia="zh-CN"/>
        </w:rPr>
        <w:t>（</w:t>
      </w:r>
      <w:r>
        <w:rPr>
          <w:rFonts w:hint="eastAsia" w:ascii="宋体"/>
          <w:color w:val="auto"/>
          <w:szCs w:val="21"/>
          <w:highlight w:val="none"/>
          <w:u w:val="single"/>
          <w:lang w:val="en-US" w:eastAsia="zh-CN"/>
        </w:rPr>
        <w:t>满分20分</w:t>
      </w:r>
      <w:r>
        <w:rPr>
          <w:rFonts w:hint="eastAsia" w:ascii="宋体"/>
          <w:color w:val="auto"/>
          <w:szCs w:val="21"/>
          <w:highlight w:val="none"/>
          <w:u w:val="single"/>
          <w:lang w:eastAsia="zh-CN"/>
        </w:rPr>
        <w:t>）</w:t>
      </w:r>
      <w:r>
        <w:rPr>
          <w:rFonts w:hint="eastAsia" w:ascii="宋体"/>
          <w:color w:val="auto"/>
          <w:szCs w:val="21"/>
          <w:highlight w:val="none"/>
          <w:u w:val="single"/>
        </w:rPr>
        <w:t>＋经济得分</w:t>
      </w:r>
      <w:bookmarkStart w:id="37" w:name="OLE_LINK5"/>
      <w:r>
        <w:rPr>
          <w:rFonts w:hint="eastAsia" w:ascii="宋体"/>
          <w:color w:val="auto"/>
          <w:szCs w:val="21"/>
          <w:highlight w:val="none"/>
          <w:u w:val="single"/>
          <w:lang w:eastAsia="zh-CN"/>
        </w:rPr>
        <w:t>（</w:t>
      </w:r>
      <w:r>
        <w:rPr>
          <w:rFonts w:hint="eastAsia" w:ascii="宋体"/>
          <w:color w:val="auto"/>
          <w:szCs w:val="21"/>
          <w:highlight w:val="none"/>
          <w:u w:val="single"/>
          <w:lang w:val="en-US" w:eastAsia="zh-CN"/>
        </w:rPr>
        <w:t>满分100分</w:t>
      </w:r>
      <w:r>
        <w:rPr>
          <w:rFonts w:hint="eastAsia" w:ascii="宋体"/>
          <w:color w:val="auto"/>
          <w:szCs w:val="21"/>
          <w:highlight w:val="none"/>
          <w:u w:val="single"/>
          <w:lang w:eastAsia="zh-CN"/>
        </w:rPr>
        <w:t>）</w:t>
      </w:r>
      <w:r>
        <w:rPr>
          <w:rFonts w:hint="eastAsia" w:ascii="宋体"/>
          <w:color w:val="auto"/>
          <w:szCs w:val="21"/>
          <w:highlight w:val="none"/>
          <w:u w:val="single"/>
        </w:rPr>
        <w:t>×经济得分权重（80%）</w:t>
      </w:r>
      <w:bookmarkEnd w:id="37"/>
      <w:r>
        <w:rPr>
          <w:rFonts w:hint="eastAsia" w:ascii="宋体"/>
          <w:color w:val="auto"/>
          <w:szCs w:val="21"/>
          <w:highlight w:val="none"/>
        </w:rPr>
        <w:t>。技术、经济得分权重按投标须知前附表的规定执行。总得分四舍五入保留两位小数。</w:t>
      </w:r>
    </w:p>
    <w:p>
      <w:pPr>
        <w:spacing w:line="480" w:lineRule="auto"/>
        <w:ind w:firstLine="472" w:firstLineChars="224"/>
        <w:rPr>
          <w:b/>
          <w:color w:val="auto"/>
          <w:szCs w:val="21"/>
          <w:highlight w:val="none"/>
        </w:rPr>
      </w:pPr>
      <w:r>
        <w:rPr>
          <w:rFonts w:hint="eastAsia"/>
          <w:b/>
          <w:color w:val="auto"/>
          <w:szCs w:val="21"/>
          <w:highlight w:val="none"/>
        </w:rPr>
        <w:t>条款号：48</w:t>
      </w:r>
      <w:r>
        <w:rPr>
          <w:b/>
          <w:color w:val="auto"/>
          <w:szCs w:val="21"/>
          <w:highlight w:val="none"/>
        </w:rPr>
        <w:t xml:space="preserve">             </w:t>
      </w:r>
      <w:r>
        <w:rPr>
          <w:rFonts w:hint="eastAsia"/>
          <w:b/>
          <w:color w:val="auto"/>
          <w:szCs w:val="21"/>
          <w:highlight w:val="none"/>
        </w:rPr>
        <w:t>修改类型：修改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olor w:val="auto"/>
          <w:szCs w:val="21"/>
          <w:highlight w:val="none"/>
        </w:rPr>
        <w:t>评标委员会应在通过投标文件经济标有效性审查的投标人中，按步骤45.4确定的投标人第二阶段排序，推荐前</w:t>
      </w:r>
      <w:r>
        <w:rPr>
          <w:rFonts w:ascii="宋体" w:hAnsi="宋体"/>
          <w:color w:val="auto"/>
          <w:szCs w:val="21"/>
          <w:highlight w:val="none"/>
        </w:rPr>
        <w:t>3</w:t>
      </w:r>
      <w:r>
        <w:rPr>
          <w:rFonts w:hint="eastAsia" w:ascii="宋体" w:hAnsi="宋体"/>
          <w:color w:val="auto"/>
          <w:szCs w:val="21"/>
          <w:highlight w:val="none"/>
        </w:rPr>
        <w:t>名依次为第一中标候选人至第三中标候选人</w:t>
      </w:r>
      <w:r>
        <w:rPr>
          <w:rFonts w:ascii="宋体" w:hAnsi="宋体"/>
          <w:color w:val="auto"/>
          <w:szCs w:val="21"/>
          <w:highlight w:val="none"/>
        </w:rPr>
        <w:t>,</w:t>
      </w:r>
      <w:r>
        <w:rPr>
          <w:rFonts w:hint="eastAsia" w:ascii="宋体" w:hAnsi="宋体"/>
          <w:color w:val="auto"/>
          <w:szCs w:val="21"/>
          <w:highlight w:val="none"/>
        </w:rPr>
        <w:t>并编制评标报告。</w:t>
      </w:r>
    </w:p>
    <w:p>
      <w:pPr>
        <w:pBdr>
          <w:bottom w:val="single" w:color="auto" w:sz="6" w:space="1"/>
        </w:pBdr>
        <w:spacing w:line="360" w:lineRule="auto"/>
        <w:ind w:firstLine="527" w:firstLineChars="250"/>
        <w:rPr>
          <w:rFonts w:hint="eastAsia" w:ascii="宋体" w:hAnsi="宋体"/>
          <w:color w:val="auto"/>
          <w:szCs w:val="21"/>
          <w:highlight w:val="none"/>
        </w:rPr>
      </w:pPr>
      <w:r>
        <w:rPr>
          <w:rFonts w:hint="eastAsia"/>
          <w:b/>
          <w:color w:val="auto"/>
          <w:szCs w:val="21"/>
          <w:highlight w:val="none"/>
        </w:rPr>
        <w:t>现文：</w:t>
      </w:r>
      <w:r>
        <w:rPr>
          <w:rFonts w:hint="eastAsia" w:ascii="宋体" w:hAnsi="宋体"/>
          <w:color w:val="auto"/>
          <w:szCs w:val="21"/>
          <w:highlight w:val="none"/>
        </w:rPr>
        <w:t>评标委员会应在通过投标文件经济标有效性审查的投标人中，按步骤45.4确定的投标人</w:t>
      </w:r>
      <w:r>
        <w:rPr>
          <w:rFonts w:hint="eastAsia" w:ascii="宋体" w:hAnsi="宋体"/>
          <w:color w:val="auto"/>
          <w:szCs w:val="21"/>
          <w:highlight w:val="none"/>
          <w:u w:val="single"/>
        </w:rPr>
        <w:t>总得分</w:t>
      </w:r>
      <w:r>
        <w:rPr>
          <w:rFonts w:hint="eastAsia" w:ascii="宋体" w:hAnsi="宋体"/>
          <w:color w:val="auto"/>
          <w:szCs w:val="21"/>
          <w:highlight w:val="none"/>
        </w:rPr>
        <w:t>排序，推荐前</w:t>
      </w:r>
      <w:r>
        <w:rPr>
          <w:rFonts w:ascii="宋体" w:hAnsi="宋体"/>
          <w:color w:val="auto"/>
          <w:szCs w:val="21"/>
          <w:highlight w:val="none"/>
        </w:rPr>
        <w:t>3</w:t>
      </w:r>
      <w:r>
        <w:rPr>
          <w:rFonts w:hint="eastAsia" w:ascii="宋体" w:hAnsi="宋体"/>
          <w:color w:val="auto"/>
          <w:szCs w:val="21"/>
          <w:highlight w:val="none"/>
        </w:rPr>
        <w:t>名依次为第一中标候选人至第三中标候选人</w:t>
      </w:r>
      <w:r>
        <w:rPr>
          <w:rFonts w:ascii="宋体" w:hAnsi="宋体"/>
          <w:color w:val="auto"/>
          <w:szCs w:val="21"/>
          <w:highlight w:val="none"/>
        </w:rPr>
        <w:t>,</w:t>
      </w:r>
      <w:r>
        <w:rPr>
          <w:rFonts w:hint="eastAsia" w:ascii="宋体" w:hAnsi="宋体"/>
          <w:color w:val="auto"/>
          <w:szCs w:val="21"/>
          <w:highlight w:val="none"/>
        </w:rPr>
        <w:t>并编制评标报告。</w:t>
      </w:r>
    </w:p>
    <w:p>
      <w:pPr>
        <w:pStyle w:val="37"/>
        <w:spacing w:after="0" w:line="460" w:lineRule="exact"/>
        <w:rPr>
          <w:rFonts w:ascii="宋体" w:hAnsi="宋体" w:cs="宋体"/>
          <w:szCs w:val="21"/>
        </w:rPr>
      </w:pPr>
      <w:r>
        <w:rPr>
          <w:rFonts w:hint="eastAsia" w:ascii="宋体" w:hAnsi="宋体" w:cs="宋体"/>
          <w:b/>
          <w:szCs w:val="21"/>
        </w:rPr>
        <w:t>条款号：49 修改类型：修改</w:t>
      </w:r>
    </w:p>
    <w:p>
      <w:pPr>
        <w:spacing w:line="460" w:lineRule="exact"/>
        <w:ind w:firstLine="413" w:firstLineChars="196"/>
        <w:rPr>
          <w:rFonts w:ascii="宋体" w:hAnsi="宋体" w:cs="宋体"/>
          <w:szCs w:val="21"/>
        </w:rPr>
      </w:pPr>
      <w:r>
        <w:rPr>
          <w:rFonts w:hint="eastAsia" w:ascii="宋体" w:hAnsi="宋体" w:cs="宋体"/>
          <w:b/>
          <w:szCs w:val="21"/>
        </w:rPr>
        <w:t>原文：</w:t>
      </w:r>
      <w:r>
        <w:rPr>
          <w:rFonts w:hint="eastAsia" w:ascii="宋体" w:hAnsi="宋体" w:cs="宋体"/>
          <w:bCs/>
          <w:szCs w:val="21"/>
        </w:rPr>
        <w:t>49.若通过经济标有效性审查的投标人不足三家，应当依法重新招标。（当N个标段同时招标且不允许兼中时，若有效投标人不足N+2家，应当依法重新招标）</w:t>
      </w:r>
    </w:p>
    <w:p>
      <w:pPr>
        <w:pBdr>
          <w:bottom w:val="single" w:color="auto" w:sz="6" w:space="1"/>
        </w:pBdr>
        <w:spacing w:line="460" w:lineRule="exact"/>
        <w:ind w:firstLine="413" w:firstLineChars="196"/>
      </w:pPr>
      <w:r>
        <w:rPr>
          <w:rFonts w:hint="eastAsia" w:ascii="宋体" w:hAnsi="宋体" w:cs="宋体"/>
          <w:b/>
          <w:szCs w:val="21"/>
        </w:rPr>
        <w:t>现文：</w:t>
      </w:r>
      <w:r>
        <w:rPr>
          <w:rFonts w:hint="eastAsia" w:ascii="宋体" w:hAnsi="宋体" w:cs="宋体"/>
          <w:bCs/>
          <w:szCs w:val="21"/>
          <w:u w:val="single"/>
        </w:rPr>
        <w:t>49.若通过经济标有效性审查的投标人不足三家，应当依法重新招标。</w:t>
      </w:r>
    </w:p>
    <w:p>
      <w:pPr>
        <w:pBdr>
          <w:top w:val="single" w:color="auto" w:sz="4" w:space="1"/>
        </w:pBd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条款号：附表一《资格审查表》                    修改类型：修改</w:t>
      </w:r>
    </w:p>
    <w:p>
      <w:pPr>
        <w:spacing w:line="360" w:lineRule="auto"/>
        <w:ind w:firstLine="424" w:firstLineChars="201"/>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详见GZZB2018-3招标文件范本</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见后附：附表一《资格审查表》</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条款号：附表二 《技术标有效性审查表》           修改类型：修改</w:t>
      </w:r>
    </w:p>
    <w:p>
      <w:pPr>
        <w:spacing w:line="360" w:lineRule="auto"/>
        <w:ind w:firstLine="424" w:firstLineChars="201"/>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详见GZZB2018-3招标文件范本</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见后附：附表二《技术标有效性审查表》</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条款号：附表三《经济标有效性审查表》              修改类型：修改</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详见GZZB2018-3招标文件范本</w:t>
      </w:r>
    </w:p>
    <w:p>
      <w:pPr>
        <w:pBdr>
          <w:bottom w:val="single" w:color="auto" w:sz="6" w:space="1"/>
        </w:pBd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见后附：附表三《经济标有效性审查表》</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 xml:space="preserve">条款号：附表四《技术标详细审查评分表》            修改类型：修改  </w:t>
      </w:r>
    </w:p>
    <w:p>
      <w:pPr>
        <w:spacing w:line="360" w:lineRule="auto"/>
        <w:ind w:firstLine="424" w:firstLineChars="201"/>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详见GZZB2018-3招标文件范本</w:t>
      </w:r>
    </w:p>
    <w:p>
      <w:pPr>
        <w:pBdr>
          <w:bottom w:val="single" w:color="auto" w:sz="6" w:space="1"/>
        </w:pBd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见后附：附表四《技术标详细审查评分表》</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条款号：附表五《经济标评分表》                    修改类型：修改</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详见GZZB2018-3招标文件范本</w:t>
      </w:r>
    </w:p>
    <w:p>
      <w:pPr>
        <w:pBdr>
          <w:bottom w:val="single" w:color="auto" w:sz="6" w:space="1"/>
        </w:pBdr>
        <w:spacing w:line="360" w:lineRule="auto"/>
        <w:ind w:firstLine="424" w:firstLineChars="201"/>
        <w:rPr>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见后附：附表五《经济标评分表》</w:t>
      </w: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rPr>
          <w:color w:val="auto"/>
          <w:highlight w:val="none"/>
        </w:rPr>
      </w:pPr>
      <w:r>
        <w:rPr>
          <w:rFonts w:hint="eastAsia"/>
          <w:b/>
          <w:color w:val="auto"/>
          <w:szCs w:val="21"/>
          <w:highlight w:val="none"/>
        </w:rPr>
        <w:t>（以下无正文）</w:t>
      </w:r>
    </w:p>
    <w:p>
      <w:pPr>
        <w:rPr>
          <w:color w:val="auto"/>
          <w:highlight w:val="none"/>
        </w:rPr>
      </w:pPr>
      <w:r>
        <w:rPr>
          <w:rFonts w:hint="eastAsia"/>
          <w:color w:val="auto"/>
          <w:highlight w:val="none"/>
        </w:rPr>
        <w:br w:type="page"/>
      </w:r>
    </w:p>
    <w:p>
      <w:pPr>
        <w:pStyle w:val="6"/>
        <w:ind w:firstLine="525"/>
        <w:rPr>
          <w:color w:val="auto"/>
          <w:highlight w:val="none"/>
        </w:rPr>
      </w:pPr>
      <w:bookmarkStart w:id="38" w:name="_Toc26030"/>
      <w:bookmarkStart w:id="39" w:name="_Toc10583"/>
      <w:r>
        <w:rPr>
          <w:rFonts w:hint="eastAsia"/>
          <w:color w:val="auto"/>
          <w:highlight w:val="none"/>
        </w:rPr>
        <w:t>二、开标、评标及定标办法</w:t>
      </w:r>
      <w:r>
        <w:rPr>
          <w:rFonts w:hint="eastAsia"/>
          <w:color w:val="auto"/>
          <w:szCs w:val="30"/>
          <w:highlight w:val="none"/>
        </w:rPr>
        <w:t>通用条款</w:t>
      </w:r>
      <w:bookmarkEnd w:id="38"/>
      <w:bookmarkEnd w:id="39"/>
    </w:p>
    <w:p>
      <w:pPr>
        <w:spacing w:beforeLines="50" w:afterLines="50"/>
        <w:jc w:val="center"/>
        <w:rPr>
          <w:b/>
          <w:sz w:val="24"/>
          <w:szCs w:val="24"/>
        </w:rPr>
      </w:pPr>
      <w:bookmarkStart w:id="40" w:name="_Toc6408"/>
      <w:r>
        <w:rPr>
          <w:rFonts w:hint="eastAsia"/>
          <w:b/>
          <w:sz w:val="24"/>
          <w:szCs w:val="24"/>
        </w:rPr>
        <w:t>（一）总则</w:t>
      </w:r>
    </w:p>
    <w:p>
      <w:pPr>
        <w:spacing w:line="360" w:lineRule="auto"/>
        <w:ind w:firstLine="480" w:firstLineChars="200"/>
        <w:rPr>
          <w:rFonts w:ascii="宋体" w:hAnsi="宋体"/>
          <w:sz w:val="24"/>
          <w:szCs w:val="24"/>
        </w:rPr>
      </w:pPr>
      <w:r>
        <w:rPr>
          <w:rFonts w:ascii="宋体" w:hAnsi="宋体"/>
          <w:sz w:val="24"/>
          <w:szCs w:val="24"/>
        </w:rPr>
        <w:t>35</w:t>
      </w:r>
      <w:r>
        <w:rPr>
          <w:rFonts w:hint="eastAsia" w:ascii="宋体" w:hAnsi="宋体"/>
          <w:sz w:val="24"/>
          <w:szCs w:val="24"/>
        </w:rPr>
        <w:t>.开标、评标及定标所依据的规则</w:t>
      </w:r>
    </w:p>
    <w:p>
      <w:pPr>
        <w:spacing w:line="360" w:lineRule="auto"/>
        <w:ind w:firstLine="480" w:firstLineChars="200"/>
        <w:rPr>
          <w:rFonts w:ascii="宋体" w:hAnsi="宋体"/>
          <w:sz w:val="24"/>
          <w:szCs w:val="24"/>
        </w:rPr>
      </w:pPr>
      <w:r>
        <w:rPr>
          <w:rFonts w:ascii="宋体" w:hAnsi="宋体"/>
          <w:sz w:val="24"/>
          <w:szCs w:val="24"/>
        </w:rPr>
        <w:t>35.1</w:t>
      </w:r>
      <w:r>
        <w:rPr>
          <w:rFonts w:hint="eastAsia" w:ascii="宋体" w:hAnsi="宋体"/>
          <w:sz w:val="24"/>
          <w:szCs w:val="24"/>
        </w:rPr>
        <w:t>《中华人民共和国招标投标法》；</w:t>
      </w:r>
    </w:p>
    <w:p>
      <w:pPr>
        <w:spacing w:line="360" w:lineRule="auto"/>
        <w:ind w:firstLine="480" w:firstLineChars="200"/>
        <w:rPr>
          <w:rFonts w:ascii="宋体" w:hAnsi="宋体"/>
          <w:sz w:val="24"/>
          <w:szCs w:val="24"/>
        </w:rPr>
      </w:pPr>
      <w:r>
        <w:rPr>
          <w:rFonts w:ascii="宋体" w:hAnsi="宋体"/>
          <w:sz w:val="24"/>
          <w:szCs w:val="24"/>
        </w:rPr>
        <w:t>35.2</w:t>
      </w:r>
      <w:r>
        <w:rPr>
          <w:rFonts w:hint="eastAsia" w:ascii="宋体" w:hAnsi="宋体"/>
          <w:sz w:val="24"/>
          <w:szCs w:val="24"/>
        </w:rPr>
        <w:t>《中华人民共和国招标投标法实施条例》；</w:t>
      </w:r>
    </w:p>
    <w:p>
      <w:pPr>
        <w:spacing w:line="360" w:lineRule="auto"/>
        <w:ind w:firstLine="480" w:firstLineChars="200"/>
        <w:rPr>
          <w:rFonts w:ascii="宋体" w:hAnsi="宋体"/>
          <w:sz w:val="24"/>
          <w:szCs w:val="24"/>
        </w:rPr>
      </w:pPr>
      <w:r>
        <w:rPr>
          <w:rFonts w:ascii="宋体" w:hAnsi="宋体"/>
          <w:sz w:val="24"/>
          <w:szCs w:val="24"/>
        </w:rPr>
        <w:t>35.3</w:t>
      </w:r>
      <w:r>
        <w:rPr>
          <w:rFonts w:hint="eastAsia" w:ascii="宋体" w:hAnsi="宋体"/>
          <w:sz w:val="24"/>
          <w:szCs w:val="24"/>
        </w:rPr>
        <w:t>《评标委员会和评标方法暂行规定》（七部委第</w:t>
      </w:r>
      <w:r>
        <w:rPr>
          <w:rFonts w:ascii="宋体" w:hAnsi="宋体"/>
          <w:sz w:val="24"/>
          <w:szCs w:val="24"/>
        </w:rPr>
        <w:t>12</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35.4</w:t>
      </w:r>
      <w:r>
        <w:rPr>
          <w:rFonts w:hint="eastAsia" w:ascii="宋体" w:hAnsi="宋体"/>
          <w:sz w:val="24"/>
          <w:szCs w:val="24"/>
        </w:rPr>
        <w:t>《工程建设项目施工招标投标办法》（七部委</w:t>
      </w:r>
      <w:r>
        <w:rPr>
          <w:rFonts w:ascii="宋体" w:hAnsi="宋体"/>
          <w:sz w:val="24"/>
          <w:szCs w:val="24"/>
        </w:rPr>
        <w:t>2003</w:t>
      </w:r>
      <w:r>
        <w:rPr>
          <w:rFonts w:hint="eastAsia" w:ascii="宋体" w:hAnsi="宋体"/>
          <w:sz w:val="24"/>
          <w:szCs w:val="24"/>
        </w:rPr>
        <w:t>年第</w:t>
      </w:r>
      <w:r>
        <w:rPr>
          <w:rFonts w:ascii="宋体" w:hAnsi="宋体"/>
          <w:sz w:val="24"/>
          <w:szCs w:val="24"/>
        </w:rPr>
        <w:t>30</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35.5</w:t>
      </w:r>
      <w:r>
        <w:rPr>
          <w:rFonts w:hint="eastAsia" w:ascii="宋体" w:hAnsi="宋体"/>
          <w:sz w:val="24"/>
          <w:szCs w:val="24"/>
        </w:rPr>
        <w:t>《广东省实施〈中华人民共和国招标投标法〉办法》；</w:t>
      </w:r>
    </w:p>
    <w:p>
      <w:pPr>
        <w:spacing w:line="360" w:lineRule="auto"/>
        <w:ind w:firstLine="480" w:firstLineChars="200"/>
        <w:rPr>
          <w:rFonts w:ascii="宋体" w:hAnsi="宋体"/>
          <w:sz w:val="24"/>
          <w:szCs w:val="24"/>
        </w:rPr>
      </w:pPr>
      <w:r>
        <w:rPr>
          <w:rFonts w:ascii="宋体" w:hAnsi="宋体"/>
          <w:sz w:val="24"/>
          <w:szCs w:val="24"/>
        </w:rPr>
        <w:t>35.6</w:t>
      </w:r>
      <w:r>
        <w:rPr>
          <w:rFonts w:hint="eastAsia" w:ascii="宋体" w:hAnsi="宋体"/>
          <w:sz w:val="24"/>
          <w:szCs w:val="24"/>
        </w:rPr>
        <w:t>《房屋建筑和市政基础设施工程施工招标投标管理办法》（建设部令第</w:t>
      </w:r>
      <w:r>
        <w:rPr>
          <w:rFonts w:ascii="宋体" w:hAnsi="宋体"/>
          <w:sz w:val="24"/>
          <w:szCs w:val="24"/>
        </w:rPr>
        <w:t>89</w:t>
      </w:r>
      <w:r>
        <w:rPr>
          <w:rFonts w:hint="eastAsia" w:ascii="宋体" w:hAnsi="宋体"/>
          <w:sz w:val="24"/>
          <w:szCs w:val="24"/>
        </w:rPr>
        <w:t>号）</w:t>
      </w:r>
    </w:p>
    <w:p>
      <w:pPr>
        <w:spacing w:line="360" w:lineRule="auto"/>
        <w:ind w:firstLine="480" w:firstLineChars="200"/>
        <w:rPr>
          <w:rFonts w:ascii="宋体" w:hAnsi="宋体"/>
          <w:sz w:val="24"/>
          <w:szCs w:val="24"/>
        </w:rPr>
      </w:pPr>
      <w:r>
        <w:rPr>
          <w:rFonts w:ascii="宋体" w:hAnsi="宋体"/>
          <w:sz w:val="24"/>
          <w:szCs w:val="24"/>
        </w:rPr>
        <w:t>35.7</w:t>
      </w:r>
      <w:r>
        <w:rPr>
          <w:rFonts w:hint="eastAsia" w:ascii="宋体" w:hAnsi="宋体"/>
          <w:sz w:val="24"/>
          <w:szCs w:val="24"/>
        </w:rPr>
        <w:t>《广东省加强建设工程招标投标监督管理的若干规定》（粤发[2004]4号）；</w:t>
      </w:r>
    </w:p>
    <w:p>
      <w:pPr>
        <w:spacing w:line="360" w:lineRule="auto"/>
        <w:ind w:firstLine="480" w:firstLineChars="200"/>
        <w:rPr>
          <w:rFonts w:ascii="宋体" w:hAnsi="宋体"/>
          <w:sz w:val="24"/>
          <w:szCs w:val="24"/>
        </w:rPr>
      </w:pPr>
      <w:r>
        <w:rPr>
          <w:rFonts w:ascii="宋体" w:hAnsi="宋体"/>
          <w:sz w:val="24"/>
          <w:szCs w:val="24"/>
        </w:rPr>
        <w:t>35.</w:t>
      </w:r>
      <w:r>
        <w:rPr>
          <w:rFonts w:hint="eastAsia" w:ascii="宋体" w:hAnsi="宋体"/>
          <w:sz w:val="24"/>
          <w:szCs w:val="24"/>
        </w:rPr>
        <w:t>8《广州市工程建设项目招标投标管理办法》（穗府办规〔2017〕5号）。</w:t>
      </w:r>
    </w:p>
    <w:p>
      <w:pPr>
        <w:spacing w:line="360" w:lineRule="auto"/>
        <w:ind w:firstLine="480" w:firstLineChars="200"/>
        <w:rPr>
          <w:rFonts w:ascii="宋体" w:hAnsi="宋体"/>
          <w:sz w:val="24"/>
          <w:szCs w:val="24"/>
        </w:rPr>
      </w:pPr>
      <w:r>
        <w:rPr>
          <w:rFonts w:hint="eastAsia" w:ascii="宋体" w:hAnsi="宋体"/>
          <w:sz w:val="24"/>
          <w:szCs w:val="24"/>
        </w:rPr>
        <w:t>35.9本项目招标文件。</w:t>
      </w:r>
    </w:p>
    <w:p>
      <w:pPr>
        <w:spacing w:line="360" w:lineRule="auto"/>
        <w:ind w:firstLine="480" w:firstLineChars="200"/>
        <w:rPr>
          <w:rFonts w:ascii="宋体" w:hAnsi="宋体"/>
          <w:sz w:val="24"/>
          <w:szCs w:val="24"/>
        </w:rPr>
      </w:pPr>
      <w:r>
        <w:rPr>
          <w:rFonts w:ascii="宋体" w:hAnsi="宋体"/>
          <w:sz w:val="24"/>
          <w:szCs w:val="24"/>
        </w:rPr>
        <w:t>36</w:t>
      </w:r>
      <w:r>
        <w:rPr>
          <w:rFonts w:hint="eastAsia" w:ascii="宋体" w:hAnsi="宋体"/>
          <w:sz w:val="24"/>
          <w:szCs w:val="24"/>
        </w:rPr>
        <w:t>.开标</w:t>
      </w:r>
    </w:p>
    <w:p>
      <w:pPr>
        <w:spacing w:line="360" w:lineRule="auto"/>
        <w:ind w:firstLine="480" w:firstLineChars="200"/>
        <w:rPr>
          <w:rFonts w:ascii="宋体" w:hAnsi="宋体"/>
          <w:sz w:val="24"/>
          <w:szCs w:val="24"/>
        </w:rPr>
      </w:pPr>
      <w:r>
        <w:rPr>
          <w:rFonts w:ascii="宋体" w:hAnsi="宋体"/>
          <w:sz w:val="24"/>
          <w:szCs w:val="24"/>
        </w:rPr>
        <w:t xml:space="preserve">36.1 </w:t>
      </w:r>
      <w:r>
        <w:rPr>
          <w:rFonts w:hint="eastAsia" w:ascii="宋体" w:hAnsi="宋体"/>
          <w:sz w:val="24"/>
          <w:szCs w:val="24"/>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sz w:val="24"/>
          <w:szCs w:val="24"/>
        </w:rPr>
      </w:pPr>
      <w:r>
        <w:rPr>
          <w:rFonts w:ascii="宋体" w:hAnsi="宋体"/>
          <w:sz w:val="24"/>
          <w:szCs w:val="24"/>
        </w:rPr>
        <w:t>36.2</w:t>
      </w:r>
      <w:r>
        <w:rPr>
          <w:rFonts w:hint="eastAsia" w:ascii="宋体" w:hAnsi="宋体"/>
          <w:sz w:val="24"/>
          <w:szCs w:val="24"/>
        </w:rPr>
        <w:t xml:space="preserve"> 招标人在招标文件要求提交投标文件的截止时间前收到的投标文件，开标时都当众予以解密、公布。</w:t>
      </w:r>
    </w:p>
    <w:p>
      <w:pPr>
        <w:spacing w:line="360" w:lineRule="auto"/>
        <w:ind w:firstLine="480" w:firstLineChars="200"/>
        <w:rPr>
          <w:rFonts w:ascii="宋体" w:hAnsi="宋体"/>
          <w:sz w:val="24"/>
          <w:szCs w:val="24"/>
        </w:rPr>
      </w:pPr>
      <w:r>
        <w:rPr>
          <w:rFonts w:hint="eastAsia" w:ascii="宋体" w:hAnsi="宋体"/>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sz w:val="24"/>
          <w:szCs w:val="24"/>
        </w:rPr>
      </w:pPr>
      <w:r>
        <w:rPr>
          <w:rFonts w:hint="eastAsia" w:ascii="宋体" w:hAnsi="宋体"/>
          <w:sz w:val="24"/>
          <w:szCs w:val="24"/>
        </w:rPr>
        <w:t>36.4若递交投标文件的投标人不足3家，则重新组织招标。（当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p>
    <w:p>
      <w:pPr>
        <w:spacing w:line="360" w:lineRule="auto"/>
        <w:ind w:firstLine="480" w:firstLineChars="200"/>
        <w:rPr>
          <w:rFonts w:ascii="宋体" w:hAnsi="宋体"/>
          <w:sz w:val="24"/>
        </w:rPr>
      </w:pPr>
      <w:r>
        <w:rPr>
          <w:rFonts w:hint="eastAsia" w:ascii="宋体" w:hAnsi="宋体"/>
          <w:sz w:val="24"/>
        </w:rPr>
        <w:t>36.5按下列程序进行开标：</w:t>
      </w:r>
    </w:p>
    <w:p>
      <w:pPr>
        <w:spacing w:line="360" w:lineRule="auto"/>
        <w:ind w:firstLine="480" w:firstLineChars="200"/>
        <w:rPr>
          <w:rFonts w:ascii="宋体" w:hAnsi="宋体"/>
          <w:sz w:val="24"/>
        </w:rPr>
      </w:pPr>
      <w:r>
        <w:rPr>
          <w:rFonts w:hint="eastAsia" w:ascii="宋体" w:hAnsi="宋体"/>
          <w:sz w:val="24"/>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ascii="宋体" w:hAnsi="宋体"/>
          <w:sz w:val="24"/>
        </w:rPr>
      </w:pPr>
      <w:r>
        <w:rPr>
          <w:rFonts w:hint="eastAsia" w:ascii="宋体" w:hAnsi="宋体"/>
          <w:sz w:val="24"/>
        </w:rPr>
        <w:t>36.5.2备用光盘的读取按投标须知前附表第36项的规定执行；</w:t>
      </w:r>
    </w:p>
    <w:p>
      <w:pPr>
        <w:spacing w:line="360" w:lineRule="auto"/>
        <w:ind w:firstLine="480" w:firstLineChars="200"/>
        <w:rPr>
          <w:rFonts w:ascii="宋体" w:hAnsi="宋体"/>
          <w:sz w:val="24"/>
        </w:rPr>
      </w:pPr>
      <w:r>
        <w:rPr>
          <w:rFonts w:hint="eastAsia" w:ascii="宋体" w:hAnsi="宋体"/>
          <w:sz w:val="24"/>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sz w:val="24"/>
        </w:rPr>
      </w:pPr>
      <w:r>
        <w:rPr>
          <w:rFonts w:hint="eastAsia" w:ascii="宋体" w:hAnsi="宋体"/>
          <w:sz w:val="24"/>
        </w:rPr>
        <w:t>36.5.4开标结束。</w:t>
      </w:r>
    </w:p>
    <w:p>
      <w:pPr>
        <w:spacing w:line="360" w:lineRule="auto"/>
        <w:ind w:firstLine="480" w:firstLineChars="200"/>
        <w:rPr>
          <w:rFonts w:ascii="宋体" w:hAnsi="宋体"/>
          <w:sz w:val="24"/>
        </w:rPr>
      </w:pPr>
      <w:r>
        <w:rPr>
          <w:rFonts w:hint="eastAsia" w:ascii="宋体" w:hAnsi="宋体"/>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sz w:val="24"/>
        </w:rPr>
      </w:pPr>
      <w:r>
        <w:rPr>
          <w:rFonts w:hint="eastAsia" w:ascii="宋体" w:hAnsi="宋体"/>
          <w:sz w:val="24"/>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.评标</w:t>
      </w:r>
    </w:p>
    <w:p>
      <w:pPr>
        <w:spacing w:line="360" w:lineRule="auto"/>
        <w:ind w:firstLine="480" w:firstLineChars="200"/>
        <w:rPr>
          <w:rFonts w:ascii="宋体" w:hAnsi="宋体"/>
          <w:sz w:val="24"/>
          <w:szCs w:val="24"/>
        </w:rPr>
      </w:pPr>
      <w:r>
        <w:rPr>
          <w:rFonts w:ascii="宋体" w:hAnsi="宋体"/>
          <w:sz w:val="24"/>
          <w:szCs w:val="24"/>
        </w:rPr>
        <w:t>37.1</w:t>
      </w:r>
      <w:r>
        <w:rPr>
          <w:rFonts w:hint="eastAsia" w:ascii="宋体" w:hAnsi="宋体"/>
          <w:sz w:val="24"/>
          <w:szCs w:val="24"/>
        </w:rPr>
        <w:t>评标委员会由招标人依法组建。</w:t>
      </w:r>
    </w:p>
    <w:p>
      <w:pPr>
        <w:spacing w:line="360" w:lineRule="auto"/>
        <w:ind w:firstLine="480" w:firstLineChars="200"/>
        <w:rPr>
          <w:rFonts w:ascii="宋体" w:hAnsi="宋体"/>
          <w:sz w:val="24"/>
          <w:szCs w:val="24"/>
        </w:rPr>
      </w:pPr>
      <w:r>
        <w:rPr>
          <w:rFonts w:ascii="宋体" w:hAnsi="宋体"/>
          <w:sz w:val="24"/>
          <w:szCs w:val="24"/>
        </w:rPr>
        <w:t>37.2</w:t>
      </w:r>
      <w:r>
        <w:rPr>
          <w:rFonts w:hint="eastAsia" w:ascii="宋体" w:hAnsi="宋体"/>
          <w:sz w:val="24"/>
          <w:szCs w:val="24"/>
        </w:rPr>
        <w:t>评标委员会的职责及守则：</w:t>
      </w:r>
    </w:p>
    <w:p>
      <w:pPr>
        <w:spacing w:line="360" w:lineRule="auto"/>
        <w:ind w:firstLine="480" w:firstLineChars="200"/>
        <w:rPr>
          <w:rFonts w:ascii="宋体" w:hAnsi="宋体"/>
          <w:sz w:val="24"/>
          <w:szCs w:val="24"/>
        </w:rPr>
      </w:pPr>
      <w:r>
        <w:rPr>
          <w:rFonts w:ascii="宋体" w:hAnsi="宋体"/>
          <w:sz w:val="24"/>
          <w:szCs w:val="24"/>
        </w:rPr>
        <w:t>37.2.1</w:t>
      </w:r>
      <w:r>
        <w:rPr>
          <w:rFonts w:hint="eastAsia" w:ascii="宋体" w:hAnsi="宋体"/>
          <w:sz w:val="24"/>
          <w:szCs w:val="24"/>
        </w:rPr>
        <w:t>根据评标细则，对</w:t>
      </w:r>
      <w:r>
        <w:rPr>
          <w:rFonts w:hint="eastAsia" w:ascii="宋体" w:hAnsi="宋体"/>
          <w:sz w:val="24"/>
        </w:rPr>
        <w:t>投标文件</w:t>
      </w:r>
      <w:r>
        <w:rPr>
          <w:rFonts w:hint="eastAsia" w:ascii="宋体" w:hAnsi="宋体"/>
          <w:sz w:val="24"/>
          <w:szCs w:val="24"/>
        </w:rPr>
        <w:t>进行认真评审，完成评审报告；</w:t>
      </w:r>
    </w:p>
    <w:p>
      <w:pPr>
        <w:spacing w:line="360" w:lineRule="auto"/>
        <w:ind w:firstLine="480" w:firstLineChars="200"/>
        <w:rPr>
          <w:rFonts w:ascii="宋体" w:hAnsi="宋体"/>
          <w:sz w:val="24"/>
          <w:szCs w:val="24"/>
        </w:rPr>
      </w:pPr>
      <w:r>
        <w:rPr>
          <w:rFonts w:ascii="宋体" w:hAnsi="宋体"/>
          <w:sz w:val="24"/>
          <w:szCs w:val="24"/>
        </w:rPr>
        <w:t>37.2.2</w:t>
      </w:r>
      <w:r>
        <w:rPr>
          <w:rFonts w:hint="eastAsia" w:ascii="宋体" w:hAnsi="宋体"/>
          <w:sz w:val="24"/>
          <w:szCs w:val="24"/>
        </w:rPr>
        <w:t>向招标人报告评审意见，推荐合格的中标候选人。</w:t>
      </w:r>
    </w:p>
    <w:p>
      <w:pPr>
        <w:spacing w:line="360" w:lineRule="auto"/>
        <w:ind w:firstLine="480" w:firstLineChars="200"/>
        <w:rPr>
          <w:rFonts w:ascii="宋体" w:hAnsi="宋体"/>
          <w:sz w:val="24"/>
          <w:szCs w:val="24"/>
        </w:rPr>
      </w:pPr>
      <w:r>
        <w:rPr>
          <w:rFonts w:ascii="宋体" w:hAnsi="宋体"/>
          <w:bCs/>
          <w:sz w:val="24"/>
          <w:szCs w:val="24"/>
        </w:rPr>
        <w:t>37.2.3</w:t>
      </w:r>
      <w:r>
        <w:rPr>
          <w:rFonts w:hint="eastAsia" w:ascii="宋体" w:hAnsi="宋体"/>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sz w:val="24"/>
          <w:szCs w:val="24"/>
        </w:rPr>
      </w:pPr>
      <w:r>
        <w:rPr>
          <w:rFonts w:ascii="宋体" w:hAnsi="宋体"/>
          <w:sz w:val="24"/>
          <w:szCs w:val="24"/>
        </w:rPr>
        <w:t>37.2.4</w:t>
      </w:r>
      <w:r>
        <w:rPr>
          <w:rFonts w:hint="eastAsia" w:ascii="宋体" w:hAnsi="宋体"/>
          <w:sz w:val="24"/>
          <w:szCs w:val="24"/>
        </w:rPr>
        <w:t>全体参与评标人员：</w:t>
      </w:r>
    </w:p>
    <w:p>
      <w:pPr>
        <w:spacing w:line="360" w:lineRule="auto"/>
        <w:ind w:firstLine="480" w:firstLineChars="200"/>
        <w:rPr>
          <w:rFonts w:ascii="宋体" w:hAnsi="宋体"/>
          <w:sz w:val="24"/>
          <w:szCs w:val="24"/>
        </w:rPr>
      </w:pPr>
      <w:r>
        <w:rPr>
          <w:rFonts w:ascii="宋体" w:hAnsi="宋体"/>
          <w:sz w:val="24"/>
          <w:szCs w:val="24"/>
        </w:rPr>
        <w:t xml:space="preserve">37.2.4.1 </w:t>
      </w:r>
      <w:r>
        <w:rPr>
          <w:rFonts w:hint="eastAsia" w:ascii="宋体" w:hAnsi="宋体"/>
          <w:sz w:val="24"/>
          <w:szCs w:val="24"/>
        </w:rPr>
        <w:t>必须遵守评标纪律、不得泄密；</w:t>
      </w:r>
    </w:p>
    <w:p>
      <w:pPr>
        <w:spacing w:line="360" w:lineRule="auto"/>
        <w:ind w:firstLine="480" w:firstLineChars="200"/>
        <w:rPr>
          <w:rFonts w:ascii="宋体" w:hAnsi="宋体"/>
          <w:sz w:val="24"/>
          <w:szCs w:val="24"/>
        </w:rPr>
      </w:pPr>
      <w:r>
        <w:rPr>
          <w:rFonts w:ascii="宋体" w:hAnsi="宋体"/>
          <w:sz w:val="24"/>
          <w:szCs w:val="24"/>
        </w:rPr>
        <w:t xml:space="preserve">37.2.4.2 </w:t>
      </w:r>
      <w:r>
        <w:rPr>
          <w:rFonts w:hint="eastAsia" w:ascii="宋体" w:hAnsi="宋体"/>
          <w:sz w:val="24"/>
          <w:szCs w:val="24"/>
        </w:rPr>
        <w:t>必须公正、不得循私；</w:t>
      </w:r>
    </w:p>
    <w:p>
      <w:pPr>
        <w:spacing w:line="360" w:lineRule="auto"/>
        <w:ind w:firstLine="480" w:firstLineChars="200"/>
        <w:rPr>
          <w:rFonts w:ascii="宋体" w:hAnsi="宋体"/>
          <w:sz w:val="24"/>
          <w:szCs w:val="24"/>
        </w:rPr>
      </w:pPr>
      <w:r>
        <w:rPr>
          <w:rFonts w:ascii="宋体" w:hAnsi="宋体"/>
          <w:sz w:val="24"/>
          <w:szCs w:val="24"/>
        </w:rPr>
        <w:t xml:space="preserve">37.2.4.3 </w:t>
      </w:r>
      <w:r>
        <w:rPr>
          <w:rFonts w:hint="eastAsia" w:ascii="宋体" w:hAnsi="宋体"/>
          <w:sz w:val="24"/>
          <w:szCs w:val="24"/>
        </w:rPr>
        <w:t>必须科学、不得草率；</w:t>
      </w:r>
    </w:p>
    <w:p>
      <w:pPr>
        <w:spacing w:line="360" w:lineRule="auto"/>
        <w:ind w:firstLine="480" w:firstLineChars="200"/>
        <w:rPr>
          <w:rFonts w:ascii="宋体" w:hAnsi="宋体"/>
          <w:sz w:val="24"/>
          <w:szCs w:val="24"/>
        </w:rPr>
      </w:pPr>
      <w:r>
        <w:rPr>
          <w:rFonts w:ascii="宋体" w:hAnsi="宋体"/>
          <w:sz w:val="24"/>
          <w:szCs w:val="24"/>
        </w:rPr>
        <w:t xml:space="preserve">37.2.4.4 </w:t>
      </w:r>
      <w:r>
        <w:rPr>
          <w:rFonts w:hint="eastAsia" w:ascii="宋体" w:hAnsi="宋体"/>
          <w:sz w:val="24"/>
          <w:szCs w:val="24"/>
        </w:rPr>
        <w:t>必须客观、不得带有成见；</w:t>
      </w:r>
    </w:p>
    <w:p>
      <w:pPr>
        <w:spacing w:line="360" w:lineRule="auto"/>
        <w:ind w:firstLine="480" w:firstLineChars="200"/>
        <w:rPr>
          <w:rFonts w:ascii="宋体" w:hAnsi="宋体"/>
          <w:sz w:val="24"/>
          <w:szCs w:val="24"/>
        </w:rPr>
      </w:pPr>
      <w:r>
        <w:rPr>
          <w:rFonts w:ascii="宋体" w:hAnsi="宋体"/>
          <w:sz w:val="24"/>
          <w:szCs w:val="24"/>
        </w:rPr>
        <w:t xml:space="preserve">37.2.4.5 </w:t>
      </w:r>
      <w:r>
        <w:rPr>
          <w:rFonts w:hint="eastAsia" w:ascii="宋体" w:hAnsi="宋体"/>
          <w:sz w:val="24"/>
          <w:szCs w:val="24"/>
        </w:rPr>
        <w:t>必须平等、不得强加于人；</w:t>
      </w:r>
    </w:p>
    <w:p>
      <w:pPr>
        <w:spacing w:line="360" w:lineRule="auto"/>
        <w:ind w:firstLine="480" w:firstLineChars="200"/>
        <w:rPr>
          <w:rFonts w:ascii="宋体" w:hAnsi="宋体"/>
          <w:sz w:val="24"/>
          <w:szCs w:val="24"/>
        </w:rPr>
      </w:pPr>
      <w:r>
        <w:rPr>
          <w:rFonts w:ascii="宋体" w:hAnsi="宋体"/>
          <w:sz w:val="24"/>
          <w:szCs w:val="24"/>
        </w:rPr>
        <w:t xml:space="preserve">37.2.4.6 </w:t>
      </w:r>
      <w:r>
        <w:rPr>
          <w:rFonts w:hint="eastAsia" w:ascii="宋体" w:hAnsi="宋体"/>
          <w:sz w:val="24"/>
          <w:szCs w:val="24"/>
        </w:rPr>
        <w:t>必须严谨、不得随意马虎。</w:t>
      </w:r>
    </w:p>
    <w:p>
      <w:pPr>
        <w:spacing w:line="360" w:lineRule="auto"/>
        <w:ind w:firstLine="480" w:firstLineChars="200"/>
        <w:rPr>
          <w:rFonts w:ascii="宋体" w:hAnsi="宋体"/>
          <w:sz w:val="24"/>
          <w:szCs w:val="24"/>
        </w:rPr>
      </w:pPr>
      <w:r>
        <w:rPr>
          <w:rFonts w:ascii="宋体" w:hAnsi="宋体"/>
          <w:sz w:val="24"/>
          <w:szCs w:val="24"/>
        </w:rPr>
        <w:t xml:space="preserve">37.3 </w:t>
      </w:r>
      <w:r>
        <w:rPr>
          <w:rFonts w:hint="eastAsia" w:ascii="宋体" w:hAnsi="宋体"/>
          <w:sz w:val="24"/>
          <w:szCs w:val="24"/>
        </w:rPr>
        <w:t>评标结束后，评标委员会递交评标报告并依法推荐中标候选人。</w:t>
      </w:r>
    </w:p>
    <w:p>
      <w:pPr>
        <w:spacing w:line="360" w:lineRule="auto"/>
        <w:ind w:firstLine="480" w:firstLineChars="200"/>
        <w:rPr>
          <w:rFonts w:ascii="宋体" w:hAnsi="宋体"/>
          <w:sz w:val="24"/>
          <w:szCs w:val="24"/>
        </w:rPr>
      </w:pPr>
      <w:r>
        <w:rPr>
          <w:rFonts w:ascii="宋体" w:hAnsi="宋体"/>
          <w:sz w:val="24"/>
          <w:szCs w:val="24"/>
        </w:rPr>
        <w:t>38</w:t>
      </w:r>
      <w:r>
        <w:rPr>
          <w:rFonts w:hint="eastAsia" w:ascii="宋体" w:hAnsi="宋体"/>
          <w:sz w:val="24"/>
          <w:szCs w:val="24"/>
        </w:rPr>
        <w:t>.投标文件的澄清</w:t>
      </w:r>
    </w:p>
    <w:p>
      <w:pPr>
        <w:spacing w:line="360" w:lineRule="auto"/>
        <w:ind w:firstLine="480" w:firstLineChars="200"/>
        <w:rPr>
          <w:rFonts w:ascii="宋体" w:hAnsi="宋体"/>
          <w:sz w:val="24"/>
          <w:szCs w:val="24"/>
        </w:rPr>
      </w:pPr>
      <w:r>
        <w:rPr>
          <w:rFonts w:ascii="宋体" w:hAnsi="宋体"/>
          <w:sz w:val="24"/>
          <w:szCs w:val="24"/>
        </w:rPr>
        <w:t>38.1</w:t>
      </w:r>
      <w:r>
        <w:rPr>
          <w:rFonts w:hint="eastAsia" w:ascii="宋体" w:hAnsi="宋体"/>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sz w:val="24"/>
          <w:szCs w:val="24"/>
        </w:rPr>
      </w:pPr>
      <w:r>
        <w:rPr>
          <w:rFonts w:ascii="宋体" w:hAnsi="宋体"/>
          <w:sz w:val="24"/>
          <w:szCs w:val="24"/>
        </w:rPr>
        <w:t xml:space="preserve">38.2 </w:t>
      </w:r>
      <w:r>
        <w:rPr>
          <w:rFonts w:hint="eastAsia" w:ascii="宋体" w:hAnsi="宋体"/>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sz w:val="24"/>
          <w:szCs w:val="24"/>
        </w:rPr>
      </w:pPr>
      <w:r>
        <w:rPr>
          <w:rFonts w:ascii="宋体" w:hAnsi="宋体"/>
          <w:sz w:val="24"/>
          <w:szCs w:val="24"/>
        </w:rPr>
        <w:t xml:space="preserve">38.3 </w:t>
      </w:r>
      <w:r>
        <w:rPr>
          <w:rFonts w:hint="eastAsia" w:ascii="宋体" w:hAnsi="宋体"/>
          <w:sz w:val="24"/>
          <w:szCs w:val="24"/>
        </w:rPr>
        <w:t>评标委员会或评标委员会专业评审组成员均应当阅读投标人的澄清，但应独立参考澄清对投标文件进行评审。</w:t>
      </w:r>
    </w:p>
    <w:p>
      <w:pPr>
        <w:spacing w:line="360" w:lineRule="auto"/>
        <w:ind w:firstLine="480" w:firstLineChars="200"/>
        <w:rPr>
          <w:rFonts w:ascii="宋体" w:hAnsi="宋体"/>
          <w:sz w:val="24"/>
          <w:szCs w:val="24"/>
        </w:rPr>
      </w:pPr>
      <w:r>
        <w:rPr>
          <w:rFonts w:ascii="宋体" w:hAnsi="宋体"/>
          <w:sz w:val="24"/>
          <w:szCs w:val="24"/>
        </w:rPr>
        <w:t>38.4</w:t>
      </w:r>
      <w:r>
        <w:rPr>
          <w:rFonts w:hint="eastAsia" w:ascii="宋体" w:hAnsi="宋体"/>
          <w:sz w:val="24"/>
          <w:szCs w:val="24"/>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sz w:val="24"/>
          <w:szCs w:val="24"/>
        </w:rPr>
      </w:pPr>
      <w:r>
        <w:rPr>
          <w:rFonts w:hint="eastAsia" w:ascii="宋体" w:hAnsi="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sz w:val="24"/>
          <w:szCs w:val="24"/>
        </w:rPr>
      </w:pPr>
      <w:r>
        <w:rPr>
          <w:rFonts w:ascii="宋体" w:hAnsi="宋体"/>
          <w:sz w:val="24"/>
          <w:szCs w:val="24"/>
        </w:rPr>
        <w:t>39</w:t>
      </w:r>
      <w:r>
        <w:rPr>
          <w:rFonts w:hint="eastAsia" w:ascii="宋体" w:hAnsi="宋体"/>
          <w:sz w:val="24"/>
          <w:szCs w:val="24"/>
        </w:rPr>
        <w:t>.定标</w:t>
      </w:r>
    </w:p>
    <w:p>
      <w:pPr>
        <w:spacing w:line="360" w:lineRule="auto"/>
        <w:ind w:firstLine="480" w:firstLineChars="200"/>
        <w:rPr>
          <w:rFonts w:ascii="宋体" w:hAnsi="宋体"/>
          <w:sz w:val="24"/>
          <w:szCs w:val="24"/>
        </w:rPr>
      </w:pPr>
      <w:r>
        <w:rPr>
          <w:rFonts w:ascii="宋体" w:hAnsi="宋体"/>
          <w:sz w:val="24"/>
          <w:szCs w:val="24"/>
        </w:rPr>
        <w:t xml:space="preserve">39.1 </w:t>
      </w:r>
      <w:r>
        <w:rPr>
          <w:rFonts w:hint="eastAsia" w:ascii="宋体" w:hAnsi="宋体"/>
          <w:sz w:val="24"/>
          <w:szCs w:val="24"/>
        </w:rPr>
        <w:t>招标人根据评标委员会递交的评标报告，最终审定中标人。</w:t>
      </w:r>
    </w:p>
    <w:p>
      <w:pPr>
        <w:spacing w:line="360" w:lineRule="auto"/>
        <w:ind w:firstLine="480" w:firstLineChars="200"/>
        <w:rPr>
          <w:rFonts w:ascii="宋体" w:hAnsi="宋体"/>
          <w:sz w:val="24"/>
          <w:szCs w:val="24"/>
        </w:rPr>
      </w:pPr>
      <w:r>
        <w:rPr>
          <w:rFonts w:ascii="宋体" w:hAnsi="宋体"/>
          <w:sz w:val="24"/>
          <w:szCs w:val="24"/>
        </w:rPr>
        <w:t xml:space="preserve">39.2 </w:t>
      </w:r>
      <w:r>
        <w:rPr>
          <w:rFonts w:hint="eastAsia" w:ascii="宋体" w:hAnsi="宋体"/>
          <w:sz w:val="24"/>
          <w:szCs w:val="24"/>
        </w:rPr>
        <w:t>依法必须进行公开招标的项目，招标人应当确定排名第一的中标候选人为中标人。</w:t>
      </w:r>
    </w:p>
    <w:p>
      <w:pPr>
        <w:spacing w:line="360" w:lineRule="auto"/>
        <w:ind w:firstLine="480" w:firstLineChars="200"/>
        <w:rPr>
          <w:rFonts w:ascii="宋体" w:hAnsi="宋体"/>
          <w:sz w:val="24"/>
          <w:szCs w:val="24"/>
        </w:rPr>
      </w:pPr>
      <w:r>
        <w:rPr>
          <w:rFonts w:ascii="宋体" w:hAnsi="宋体"/>
          <w:sz w:val="24"/>
          <w:szCs w:val="24"/>
        </w:rPr>
        <w:t>39.3</w:t>
      </w:r>
      <w:r>
        <w:rPr>
          <w:rFonts w:hint="eastAsia" w:ascii="宋体" w:hAnsi="宋体"/>
          <w:sz w:val="24"/>
          <w:szCs w:val="24"/>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sz w:val="24"/>
          <w:szCs w:val="24"/>
        </w:rPr>
      </w:pPr>
      <w:r>
        <w:rPr>
          <w:rFonts w:ascii="宋体" w:hAnsi="宋体"/>
          <w:sz w:val="24"/>
          <w:szCs w:val="24"/>
        </w:rPr>
        <w:t>39.4</w:t>
      </w:r>
      <w:r>
        <w:rPr>
          <w:rFonts w:hint="eastAsia" w:ascii="宋体" w:hAnsi="宋体"/>
          <w:sz w:val="24"/>
          <w:szCs w:val="24"/>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sz w:val="24"/>
          <w:szCs w:val="24"/>
        </w:rPr>
      </w:pPr>
      <w:r>
        <w:rPr>
          <w:rFonts w:hint="eastAsia" w:ascii="宋体" w:hAnsi="宋体"/>
          <w:sz w:val="24"/>
          <w:szCs w:val="24"/>
        </w:rPr>
        <w:t>39.5 重新评标的，评标信息（含业绩、奖项等）仍以投标截止时投标人的信息为准。因特殊原因需要延长投标有效期，投标人拒绝延长投标有效期的，仍参与评标，但不被推荐为中标候选人。</w:t>
      </w:r>
    </w:p>
    <w:p>
      <w:pPr>
        <w:spacing w:beforeLines="50" w:afterLines="50"/>
        <w:jc w:val="center"/>
        <w:rPr>
          <w:b/>
          <w:sz w:val="24"/>
          <w:szCs w:val="24"/>
        </w:rPr>
      </w:pPr>
      <w:bookmarkStart w:id="41" w:name="_Toc2272558"/>
      <w:bookmarkEnd w:id="41"/>
      <w:r>
        <w:rPr>
          <w:rFonts w:hint="eastAsia"/>
          <w:b/>
          <w:sz w:val="24"/>
          <w:szCs w:val="24"/>
        </w:rPr>
        <w:t>（二）开标评标办法程序和细则</w:t>
      </w:r>
    </w:p>
    <w:p>
      <w:pPr>
        <w:spacing w:line="360" w:lineRule="auto"/>
        <w:ind w:firstLine="480" w:firstLineChars="200"/>
        <w:rPr>
          <w:rFonts w:ascii="宋体" w:hAnsi="宋体"/>
          <w:dstrike/>
          <w:sz w:val="24"/>
          <w:szCs w:val="24"/>
        </w:rPr>
      </w:pPr>
      <w:r>
        <w:rPr>
          <w:rFonts w:hint="eastAsia" w:ascii="宋体" w:hAnsi="宋体"/>
          <w:dstrike/>
          <w:sz w:val="24"/>
          <w:szCs w:val="24"/>
        </w:rPr>
        <w:t>注：以下七种评标办法所述企业综合诚信评价分数即投标截止当日广州市工程招标代理行业协会网站上公布的企业综合诚信评价</w:t>
      </w:r>
      <w:r>
        <w:rPr>
          <w:rFonts w:ascii="宋体" w:hAnsi="宋体"/>
          <w:dstrike/>
          <w:sz w:val="24"/>
          <w:szCs w:val="24"/>
        </w:rPr>
        <w:t>60</w:t>
      </w:r>
      <w:r>
        <w:rPr>
          <w:rFonts w:hint="eastAsia" w:ascii="宋体" w:hAnsi="宋体"/>
          <w:dstrike/>
          <w:sz w:val="24"/>
          <w:szCs w:val="24"/>
        </w:rPr>
        <w:t>日诚信分。</w:t>
      </w:r>
    </w:p>
    <w:p>
      <w:pPr>
        <w:snapToGrid w:val="0"/>
        <w:spacing w:line="360" w:lineRule="auto"/>
        <w:ind w:firstLine="480" w:firstLineChars="200"/>
        <w:rPr>
          <w:rFonts w:hint="eastAsia" w:ascii="宋体"/>
          <w:sz w:val="24"/>
          <w:szCs w:val="24"/>
        </w:rPr>
      </w:pPr>
      <w:bookmarkStart w:id="42" w:name="_Toc2272564"/>
      <w:bookmarkEnd w:id="42"/>
      <w:r>
        <w:rPr>
          <w:rFonts w:hint="eastAsia" w:ascii="宋体"/>
          <w:sz w:val="24"/>
          <w:szCs w:val="24"/>
        </w:rPr>
        <w:t>可选办法七（适合综合评分法四，技术标与经济标同时开启）</w:t>
      </w:r>
    </w:p>
    <w:p>
      <w:pPr>
        <w:snapToGrid w:val="0"/>
        <w:spacing w:line="360" w:lineRule="auto"/>
        <w:ind w:firstLine="480" w:firstLineChars="200"/>
        <w:rPr>
          <w:rFonts w:ascii="宋体"/>
          <w:sz w:val="24"/>
          <w:szCs w:val="24"/>
        </w:rPr>
      </w:pPr>
      <w:r>
        <w:rPr>
          <w:rFonts w:hint="eastAsia" w:ascii="宋体"/>
          <w:sz w:val="24"/>
          <w:szCs w:val="24"/>
        </w:rPr>
        <w:t>40．开标和评标程序</w:t>
      </w:r>
    </w:p>
    <w:p>
      <w:pPr>
        <w:snapToGrid w:val="0"/>
        <w:spacing w:line="360" w:lineRule="auto"/>
        <w:ind w:firstLine="480" w:firstLineChars="200"/>
        <w:rPr>
          <w:rFonts w:ascii="宋体"/>
          <w:sz w:val="24"/>
          <w:szCs w:val="24"/>
        </w:rPr>
      </w:pPr>
      <w:r>
        <w:rPr>
          <w:rFonts w:hint="eastAsia" w:ascii="宋体"/>
          <w:sz w:val="24"/>
          <w:szCs w:val="24"/>
        </w:rPr>
        <w:t>40.1技术标（含资格审查文件）与经济标投标文件同时公开开标；</w:t>
      </w:r>
    </w:p>
    <w:p>
      <w:pPr>
        <w:snapToGrid w:val="0"/>
        <w:spacing w:line="360" w:lineRule="auto"/>
        <w:ind w:firstLine="480" w:firstLineChars="200"/>
        <w:rPr>
          <w:rFonts w:ascii="宋体"/>
          <w:sz w:val="24"/>
          <w:szCs w:val="24"/>
        </w:rPr>
      </w:pPr>
      <w:r>
        <w:rPr>
          <w:rFonts w:hint="eastAsia" w:ascii="宋体"/>
          <w:sz w:val="24"/>
          <w:szCs w:val="24"/>
        </w:rPr>
        <w:t>40.2由评标委员会对所有已公开开标的投标人进行资格审查；</w:t>
      </w:r>
    </w:p>
    <w:p>
      <w:pPr>
        <w:snapToGrid w:val="0"/>
        <w:spacing w:line="360" w:lineRule="auto"/>
        <w:ind w:firstLine="480" w:firstLineChars="200"/>
        <w:rPr>
          <w:rFonts w:ascii="宋体"/>
          <w:sz w:val="24"/>
          <w:szCs w:val="24"/>
        </w:rPr>
      </w:pPr>
      <w:r>
        <w:rPr>
          <w:rFonts w:hint="eastAsia" w:ascii="宋体"/>
          <w:sz w:val="24"/>
          <w:szCs w:val="24"/>
        </w:rPr>
        <w:t>40.3技术标投标文件有效性审查；</w:t>
      </w:r>
    </w:p>
    <w:p>
      <w:pPr>
        <w:snapToGrid w:val="0"/>
        <w:spacing w:line="360" w:lineRule="auto"/>
        <w:ind w:firstLine="480" w:firstLineChars="200"/>
        <w:rPr>
          <w:rFonts w:ascii="宋体"/>
          <w:sz w:val="24"/>
          <w:szCs w:val="24"/>
        </w:rPr>
      </w:pPr>
      <w:r>
        <w:rPr>
          <w:rFonts w:hint="eastAsia" w:ascii="宋体"/>
          <w:sz w:val="24"/>
          <w:szCs w:val="24"/>
        </w:rPr>
        <w:t>40.4技术标详细审查评分；</w:t>
      </w:r>
    </w:p>
    <w:p>
      <w:pPr>
        <w:snapToGrid w:val="0"/>
        <w:spacing w:line="360" w:lineRule="auto"/>
        <w:ind w:firstLine="480" w:firstLineChars="200"/>
        <w:rPr>
          <w:rFonts w:ascii="宋体"/>
          <w:sz w:val="24"/>
          <w:szCs w:val="24"/>
        </w:rPr>
      </w:pPr>
      <w:r>
        <w:rPr>
          <w:rFonts w:hint="eastAsia" w:ascii="宋体"/>
          <w:sz w:val="24"/>
          <w:szCs w:val="24"/>
        </w:rPr>
        <w:t>40.5经济标详细审查评分；</w:t>
      </w:r>
    </w:p>
    <w:p>
      <w:pPr>
        <w:snapToGrid w:val="0"/>
        <w:spacing w:line="360" w:lineRule="auto"/>
        <w:ind w:firstLine="480" w:firstLineChars="200"/>
        <w:rPr>
          <w:rFonts w:ascii="宋体"/>
          <w:sz w:val="24"/>
          <w:szCs w:val="24"/>
        </w:rPr>
      </w:pPr>
      <w:r>
        <w:rPr>
          <w:rFonts w:hint="eastAsia" w:ascii="宋体"/>
          <w:sz w:val="24"/>
          <w:szCs w:val="24"/>
        </w:rPr>
        <w:t>40.6评标委员会按照投标人总得分由高至低排序；</w:t>
      </w:r>
    </w:p>
    <w:p>
      <w:pPr>
        <w:snapToGrid w:val="0"/>
        <w:spacing w:line="360" w:lineRule="auto"/>
        <w:ind w:firstLine="480" w:firstLineChars="200"/>
        <w:rPr>
          <w:rFonts w:ascii="宋体"/>
          <w:sz w:val="24"/>
          <w:szCs w:val="24"/>
        </w:rPr>
      </w:pPr>
      <w:r>
        <w:rPr>
          <w:rFonts w:hint="eastAsia" w:ascii="宋体"/>
          <w:sz w:val="24"/>
          <w:szCs w:val="24"/>
        </w:rPr>
        <w:t>40.7经济标投标文件有效性审查；</w:t>
      </w:r>
    </w:p>
    <w:p>
      <w:pPr>
        <w:snapToGrid w:val="0"/>
        <w:spacing w:line="360" w:lineRule="auto"/>
        <w:ind w:firstLine="480" w:firstLineChars="200"/>
        <w:rPr>
          <w:rFonts w:ascii="宋体"/>
          <w:szCs w:val="21"/>
        </w:rPr>
      </w:pPr>
      <w:r>
        <w:rPr>
          <w:rFonts w:hint="eastAsia" w:ascii="宋体"/>
          <w:sz w:val="24"/>
          <w:szCs w:val="24"/>
        </w:rPr>
        <w:t>40.8评标委员会按排序向招标人推荐中标候选人名单，并递交资格审查报告及评标报告。</w:t>
      </w:r>
    </w:p>
    <w:p>
      <w:pPr>
        <w:snapToGrid w:val="0"/>
        <w:spacing w:line="360" w:lineRule="auto"/>
        <w:ind w:firstLine="480" w:firstLineChars="200"/>
        <w:rPr>
          <w:rFonts w:ascii="宋体"/>
          <w:sz w:val="24"/>
          <w:szCs w:val="24"/>
        </w:rPr>
      </w:pPr>
      <w:r>
        <w:rPr>
          <w:rFonts w:hint="eastAsia" w:ascii="宋体"/>
          <w:sz w:val="24"/>
          <w:szCs w:val="24"/>
        </w:rPr>
        <w:t>41．开标细则</w:t>
      </w:r>
    </w:p>
    <w:p>
      <w:pPr>
        <w:snapToGrid w:val="0"/>
        <w:spacing w:line="360" w:lineRule="auto"/>
        <w:ind w:firstLine="480" w:firstLineChars="200"/>
        <w:rPr>
          <w:rFonts w:ascii="宋体"/>
          <w:sz w:val="24"/>
          <w:szCs w:val="24"/>
        </w:rPr>
      </w:pPr>
      <w:r>
        <w:rPr>
          <w:rFonts w:hint="eastAsia" w:ascii="宋体"/>
          <w:sz w:val="24"/>
          <w:szCs w:val="24"/>
        </w:rPr>
        <w:t>41.1开标由招标人主持；</w:t>
      </w:r>
    </w:p>
    <w:p>
      <w:pPr>
        <w:snapToGrid w:val="0"/>
        <w:spacing w:line="360" w:lineRule="auto"/>
        <w:ind w:firstLine="480" w:firstLineChars="200"/>
        <w:rPr>
          <w:rFonts w:ascii="宋体"/>
          <w:sz w:val="24"/>
          <w:szCs w:val="24"/>
        </w:rPr>
      </w:pPr>
      <w:r>
        <w:rPr>
          <w:rFonts w:hint="eastAsia" w:ascii="宋体"/>
          <w:sz w:val="24"/>
          <w:szCs w:val="24"/>
        </w:rPr>
        <w:t>41.2 细则</w:t>
      </w:r>
    </w:p>
    <w:p>
      <w:pPr>
        <w:snapToGrid w:val="0"/>
        <w:spacing w:line="360" w:lineRule="auto"/>
        <w:ind w:firstLine="480" w:firstLineChars="200"/>
        <w:rPr>
          <w:rFonts w:ascii="宋体"/>
          <w:sz w:val="24"/>
          <w:szCs w:val="24"/>
        </w:rPr>
      </w:pPr>
      <w:r>
        <w:rPr>
          <w:rFonts w:hint="eastAsia" w:ascii="宋体"/>
          <w:sz w:val="24"/>
          <w:szCs w:val="24"/>
        </w:rPr>
        <w:t xml:space="preserve">41.2.1投标截止期前，各投标人递交投标文件（包括技术标投标文件、经济标投标文件）至交易平台。有关投标文件提交的事项详见第一章投标须知。 </w:t>
      </w:r>
    </w:p>
    <w:p>
      <w:pPr>
        <w:snapToGrid w:val="0"/>
        <w:spacing w:line="360" w:lineRule="auto"/>
        <w:ind w:firstLine="480" w:firstLineChars="200"/>
        <w:rPr>
          <w:rFonts w:ascii="宋体"/>
          <w:sz w:val="24"/>
          <w:szCs w:val="24"/>
        </w:rPr>
      </w:pPr>
      <w:r>
        <w:rPr>
          <w:rFonts w:hint="eastAsia" w:ascii="宋体"/>
          <w:sz w:val="24"/>
          <w:szCs w:val="24"/>
        </w:rPr>
        <w:t>41.2.2开标前，首先由招标人随机抽取确定该工程计算评标参考价的等分点值X。</w:t>
      </w:r>
    </w:p>
    <w:p>
      <w:pPr>
        <w:snapToGrid w:val="0"/>
        <w:spacing w:line="360" w:lineRule="auto"/>
        <w:ind w:firstLine="480" w:firstLineChars="200"/>
        <w:rPr>
          <w:rFonts w:ascii="宋体"/>
          <w:sz w:val="24"/>
          <w:szCs w:val="24"/>
        </w:rPr>
      </w:pPr>
      <w:r>
        <w:rPr>
          <w:rFonts w:hint="eastAsia" w:ascii="宋体"/>
          <w:sz w:val="24"/>
          <w:szCs w:val="24"/>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sz w:val="24"/>
          <w:szCs w:val="24"/>
        </w:rPr>
      </w:pPr>
      <w:r>
        <w:rPr>
          <w:rFonts w:hint="eastAsia" w:ascii="宋体"/>
          <w:sz w:val="24"/>
          <w:szCs w:val="24"/>
        </w:rPr>
        <w:t xml:space="preserve">41.2.4按36.5.1的规定完成解密后，公布下列内容，并予以记录，记录提交评标委员会评审： </w:t>
      </w:r>
    </w:p>
    <w:p>
      <w:pPr>
        <w:snapToGrid w:val="0"/>
        <w:spacing w:line="360" w:lineRule="auto"/>
        <w:ind w:firstLine="480" w:firstLineChars="200"/>
        <w:rPr>
          <w:rFonts w:ascii="宋体"/>
          <w:sz w:val="24"/>
          <w:szCs w:val="24"/>
        </w:rPr>
      </w:pPr>
      <w:r>
        <w:rPr>
          <w:rFonts w:hint="eastAsia" w:ascii="宋体"/>
          <w:sz w:val="24"/>
          <w:szCs w:val="24"/>
        </w:rPr>
        <w:t>41.2.4.1开标时，公布：a、投标人名称；b、</w:t>
      </w:r>
      <w:r>
        <w:rPr>
          <w:rFonts w:hint="eastAsia" w:ascii="宋体" w:hAnsi="宋体"/>
          <w:sz w:val="24"/>
        </w:rPr>
        <w:t>投标文件</w:t>
      </w:r>
      <w:r>
        <w:rPr>
          <w:rFonts w:hint="eastAsia" w:asci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sz w:val="24"/>
          <w:szCs w:val="24"/>
        </w:rPr>
      </w:pPr>
      <w:r>
        <w:rPr>
          <w:rFonts w:hint="eastAsia" w:ascii="宋体"/>
          <w:sz w:val="24"/>
          <w:szCs w:val="24"/>
        </w:rPr>
        <w:t>41.3招标人对开标过程进行记录，并存档备查，投标人在技术标开标记录上签字。</w:t>
      </w:r>
    </w:p>
    <w:p>
      <w:pPr>
        <w:snapToGrid w:val="0"/>
        <w:spacing w:line="360" w:lineRule="auto"/>
        <w:ind w:firstLine="480" w:firstLineChars="200"/>
        <w:rPr>
          <w:rFonts w:ascii="宋体"/>
          <w:sz w:val="24"/>
          <w:szCs w:val="24"/>
        </w:rPr>
      </w:pPr>
      <w:r>
        <w:rPr>
          <w:rFonts w:hint="eastAsia" w:ascii="宋体"/>
          <w:sz w:val="24"/>
          <w:szCs w:val="24"/>
        </w:rPr>
        <w:t>41.4 招标人将上述符合要求的投标文件，送至评标委员会进行评审。</w:t>
      </w:r>
    </w:p>
    <w:p>
      <w:pPr>
        <w:pStyle w:val="37"/>
        <w:tabs>
          <w:tab w:val="left" w:pos="7380"/>
        </w:tabs>
        <w:snapToGrid w:val="0"/>
        <w:spacing w:after="0" w:line="360" w:lineRule="auto"/>
        <w:ind w:firstLine="480" w:firstLineChars="200"/>
        <w:rPr>
          <w:rFonts w:ascii="宋体"/>
          <w:sz w:val="24"/>
          <w:szCs w:val="24"/>
        </w:rPr>
      </w:pPr>
      <w:r>
        <w:rPr>
          <w:rFonts w:hint="eastAsia" w:ascii="宋体"/>
          <w:sz w:val="24"/>
          <w:szCs w:val="24"/>
        </w:rPr>
        <w:t>42. 资格审查及评标细则</w:t>
      </w:r>
    </w:p>
    <w:p>
      <w:pPr>
        <w:pStyle w:val="37"/>
        <w:tabs>
          <w:tab w:val="left" w:pos="7380"/>
        </w:tabs>
        <w:snapToGrid w:val="0"/>
        <w:spacing w:after="0" w:line="360" w:lineRule="auto"/>
        <w:ind w:firstLine="480" w:firstLineChars="200"/>
        <w:rPr>
          <w:rFonts w:ascii="宋体"/>
          <w:sz w:val="24"/>
          <w:szCs w:val="24"/>
        </w:rPr>
      </w:pPr>
      <w:r>
        <w:rPr>
          <w:rFonts w:hint="eastAsia" w:ascii="宋体"/>
          <w:sz w:val="24"/>
          <w:szCs w:val="24"/>
        </w:rPr>
        <w:t>42.1资格审查及评标均由招标人依法组建的评标委员会负责。</w:t>
      </w:r>
    </w:p>
    <w:p>
      <w:pPr>
        <w:pStyle w:val="37"/>
        <w:tabs>
          <w:tab w:val="left" w:pos="7380"/>
        </w:tabs>
        <w:snapToGrid w:val="0"/>
        <w:spacing w:after="0" w:line="360" w:lineRule="auto"/>
        <w:ind w:firstLine="480" w:firstLineChars="200"/>
        <w:rPr>
          <w:rFonts w:ascii="宋体"/>
          <w:sz w:val="24"/>
          <w:szCs w:val="24"/>
        </w:rPr>
      </w:pPr>
      <w:r>
        <w:rPr>
          <w:rFonts w:hint="eastAsia" w:ascii="宋体"/>
          <w:sz w:val="24"/>
          <w:szCs w:val="24"/>
        </w:rPr>
        <w:t>42.2评标委员会的组成：方式。</w:t>
      </w:r>
    </w:p>
    <w:p>
      <w:pPr>
        <w:snapToGrid w:val="0"/>
        <w:spacing w:line="360" w:lineRule="auto"/>
        <w:ind w:firstLine="480" w:firstLineChars="200"/>
        <w:rPr>
          <w:rFonts w:ascii="宋体"/>
          <w:sz w:val="24"/>
          <w:szCs w:val="24"/>
        </w:rPr>
      </w:pPr>
      <w:r>
        <w:rPr>
          <w:rFonts w:hint="eastAsia" w:ascii="宋体"/>
          <w:sz w:val="24"/>
          <w:szCs w:val="24"/>
        </w:rPr>
        <w:t>方式一：评标委员会为综合评标委员会，负责资格审查及评标工作。</w:t>
      </w:r>
    </w:p>
    <w:p>
      <w:pPr>
        <w:pStyle w:val="37"/>
        <w:tabs>
          <w:tab w:val="left" w:pos="7380"/>
        </w:tabs>
        <w:snapToGrid w:val="0"/>
        <w:spacing w:after="0" w:line="360" w:lineRule="auto"/>
        <w:rPr>
          <w:rFonts w:ascii="宋体"/>
          <w:sz w:val="24"/>
          <w:szCs w:val="24"/>
        </w:rPr>
      </w:pPr>
      <w:r>
        <w:rPr>
          <w:rFonts w:hint="eastAsia" w:ascii="宋体"/>
          <w:sz w:val="24"/>
          <w:szCs w:val="24"/>
        </w:rPr>
        <w:t>方式二：评标委员会由技术评审组和经济评审组组成。其中：资格审查及技术评审由技术评标组负责，经济评审由经济评审组负责。</w:t>
      </w:r>
    </w:p>
    <w:p>
      <w:pPr>
        <w:pStyle w:val="37"/>
        <w:tabs>
          <w:tab w:val="left" w:pos="7380"/>
        </w:tabs>
        <w:snapToGrid w:val="0"/>
        <w:spacing w:after="0" w:line="360" w:lineRule="auto"/>
        <w:ind w:firstLine="480" w:firstLineChars="200"/>
        <w:rPr>
          <w:rFonts w:ascii="宋体"/>
          <w:sz w:val="24"/>
          <w:szCs w:val="24"/>
        </w:rPr>
      </w:pPr>
      <w:r>
        <w:rPr>
          <w:rFonts w:hint="eastAsia" w:ascii="宋体"/>
          <w:sz w:val="24"/>
          <w:szCs w:val="24"/>
        </w:rPr>
        <w:t>43．投标人资格审查</w:t>
      </w:r>
    </w:p>
    <w:p>
      <w:pPr>
        <w:pStyle w:val="37"/>
        <w:tabs>
          <w:tab w:val="left" w:pos="7380"/>
        </w:tabs>
        <w:snapToGrid w:val="0"/>
        <w:spacing w:after="0" w:line="360" w:lineRule="auto"/>
        <w:ind w:firstLine="480" w:firstLineChars="200"/>
        <w:rPr>
          <w:rFonts w:ascii="宋体"/>
          <w:sz w:val="24"/>
          <w:szCs w:val="24"/>
        </w:rPr>
      </w:pPr>
      <w:r>
        <w:rPr>
          <w:rFonts w:hint="eastAsia" w:ascii="宋体"/>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b/>
          <w:bCs/>
          <w:sz w:val="24"/>
          <w:szCs w:val="24"/>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37"/>
        <w:tabs>
          <w:tab w:val="left" w:pos="7380"/>
        </w:tabs>
        <w:snapToGrid w:val="0"/>
        <w:spacing w:after="0" w:line="360" w:lineRule="auto"/>
        <w:ind w:firstLine="480" w:firstLineChars="200"/>
        <w:rPr>
          <w:rFonts w:ascii="宋体"/>
          <w:sz w:val="24"/>
          <w:szCs w:val="24"/>
        </w:rPr>
      </w:pPr>
      <w:r>
        <w:rPr>
          <w:rFonts w:hint="eastAsia" w:ascii="宋体"/>
          <w:sz w:val="24"/>
          <w:szCs w:val="24"/>
        </w:rPr>
        <w:t>43.2汇总资格审查情况，编写资格审查报告。</w:t>
      </w:r>
    </w:p>
    <w:p>
      <w:pPr>
        <w:pStyle w:val="37"/>
        <w:tabs>
          <w:tab w:val="left" w:pos="7380"/>
        </w:tabs>
        <w:snapToGrid w:val="0"/>
        <w:spacing w:after="0" w:line="360" w:lineRule="auto"/>
        <w:ind w:firstLine="480" w:firstLineChars="200"/>
        <w:rPr>
          <w:rFonts w:ascii="宋体"/>
          <w:sz w:val="24"/>
          <w:szCs w:val="24"/>
        </w:rPr>
      </w:pPr>
      <w:r>
        <w:rPr>
          <w:rFonts w:hint="eastAsia" w:ascii="宋体"/>
          <w:sz w:val="24"/>
          <w:szCs w:val="24"/>
        </w:rPr>
        <w:t>43.3资格审查不合格的投标文件不参加下一阶段的评标，不参与评标参考价的计算。</w:t>
      </w:r>
    </w:p>
    <w:p>
      <w:pPr>
        <w:pStyle w:val="37"/>
        <w:tabs>
          <w:tab w:val="left" w:pos="7380"/>
        </w:tabs>
        <w:snapToGrid w:val="0"/>
        <w:spacing w:after="0" w:line="360" w:lineRule="auto"/>
        <w:ind w:firstLine="480" w:firstLineChars="200"/>
        <w:rPr>
          <w:rFonts w:ascii="宋体"/>
          <w:sz w:val="24"/>
          <w:szCs w:val="24"/>
        </w:rPr>
      </w:pPr>
      <w:r>
        <w:rPr>
          <w:rFonts w:hint="eastAsia" w:ascii="宋体"/>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7"/>
        <w:tabs>
          <w:tab w:val="left" w:pos="7380"/>
        </w:tabs>
        <w:snapToGrid w:val="0"/>
        <w:spacing w:after="0" w:line="360" w:lineRule="auto"/>
        <w:ind w:firstLine="480" w:firstLineChars="200"/>
        <w:rPr>
          <w:rFonts w:ascii="宋体"/>
          <w:sz w:val="24"/>
          <w:szCs w:val="24"/>
        </w:rPr>
      </w:pPr>
      <w:r>
        <w:rPr>
          <w:rFonts w:hint="eastAsia" w:ascii="宋体"/>
          <w:sz w:val="24"/>
          <w:szCs w:val="24"/>
        </w:rPr>
        <w:t>43.5资审合格后，投标人的资格发生变化而不满足投标人合格条件，在发出中标通知书前，资格问题仍未解决的，招标人将取消其中标资格。</w:t>
      </w:r>
    </w:p>
    <w:p>
      <w:pPr>
        <w:pStyle w:val="37"/>
        <w:tabs>
          <w:tab w:val="left" w:pos="7380"/>
        </w:tabs>
        <w:snapToGrid w:val="0"/>
        <w:spacing w:after="0" w:line="360" w:lineRule="auto"/>
        <w:ind w:firstLine="480" w:firstLineChars="200"/>
        <w:rPr>
          <w:rFonts w:ascii="宋体"/>
          <w:sz w:val="24"/>
          <w:szCs w:val="24"/>
        </w:rPr>
      </w:pPr>
      <w:r>
        <w:rPr>
          <w:rFonts w:hint="eastAsia" w:ascii="宋体"/>
          <w:sz w:val="24"/>
          <w:szCs w:val="24"/>
        </w:rPr>
        <w:t>43.6资格审查合格的投标人少于3名的（当N个标段同时招标且不允许兼中时，资格审查合格的投标人少于N+2名），则本项目招标失败。</w:t>
      </w:r>
    </w:p>
    <w:p>
      <w:pPr>
        <w:pStyle w:val="37"/>
        <w:tabs>
          <w:tab w:val="left" w:pos="7380"/>
        </w:tabs>
        <w:snapToGrid w:val="0"/>
        <w:spacing w:after="0" w:line="360" w:lineRule="auto"/>
        <w:ind w:firstLine="480" w:firstLineChars="200"/>
        <w:rPr>
          <w:rFonts w:ascii="宋体"/>
          <w:sz w:val="24"/>
          <w:szCs w:val="24"/>
        </w:rPr>
      </w:pPr>
      <w:r>
        <w:rPr>
          <w:rFonts w:hint="eastAsia" w:ascii="宋体"/>
          <w:sz w:val="24"/>
          <w:szCs w:val="24"/>
        </w:rPr>
        <w:t>44．技术标评审</w:t>
      </w:r>
    </w:p>
    <w:p>
      <w:pPr>
        <w:pStyle w:val="37"/>
        <w:tabs>
          <w:tab w:val="left" w:pos="7380"/>
        </w:tabs>
        <w:snapToGrid w:val="0"/>
        <w:spacing w:after="0" w:line="360" w:lineRule="auto"/>
        <w:ind w:firstLine="480" w:firstLineChars="200"/>
        <w:rPr>
          <w:rFonts w:ascii="宋体"/>
          <w:sz w:val="24"/>
          <w:szCs w:val="24"/>
        </w:rPr>
      </w:pPr>
      <w:r>
        <w:rPr>
          <w:rFonts w:hint="eastAsia" w:ascii="宋体"/>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b/>
          <w:bCs/>
          <w:sz w:val="24"/>
          <w:szCs w:val="24"/>
        </w:rPr>
        <w:t>评委发现投标文件中含义不明确、对同类问题表述不一致、有明显文字和计算错误的，应当要求投标人作必要的澄清、说明后再判定投标人是否通过有效性审查，不得直接否决投标。</w:t>
      </w:r>
    </w:p>
    <w:p>
      <w:pPr>
        <w:pStyle w:val="37"/>
        <w:tabs>
          <w:tab w:val="left" w:pos="7380"/>
        </w:tabs>
        <w:snapToGrid w:val="0"/>
        <w:spacing w:after="0" w:line="360" w:lineRule="auto"/>
        <w:ind w:firstLine="480" w:firstLineChars="200"/>
        <w:rPr>
          <w:rFonts w:ascii="宋体"/>
          <w:sz w:val="24"/>
          <w:szCs w:val="24"/>
        </w:rPr>
      </w:pPr>
      <w:r>
        <w:rPr>
          <w:rFonts w:hint="eastAsia" w:ascii="宋体"/>
          <w:sz w:val="24"/>
          <w:szCs w:val="24"/>
        </w:rPr>
        <w:t>44.2技术标详细审查评分：评标委员会按照附表四《技术标详细审查评分表》的标准，对通过技术标有效性审查的投标文件技术标进行详细审查，评出技术分，得分四舍五入精确到小数点后两位。</w:t>
      </w:r>
    </w:p>
    <w:p>
      <w:pPr>
        <w:pStyle w:val="37"/>
        <w:tabs>
          <w:tab w:val="left" w:pos="7380"/>
        </w:tabs>
        <w:snapToGrid w:val="0"/>
        <w:spacing w:after="0" w:line="360" w:lineRule="auto"/>
        <w:ind w:firstLine="480" w:firstLineChars="200"/>
        <w:rPr>
          <w:rFonts w:ascii="宋体"/>
          <w:sz w:val="24"/>
          <w:szCs w:val="24"/>
        </w:rPr>
      </w:pPr>
      <w:r>
        <w:rPr>
          <w:rFonts w:hint="eastAsia" w:ascii="宋体"/>
          <w:sz w:val="24"/>
          <w:szCs w:val="24"/>
        </w:rPr>
        <w:t>45．经济标评审和得分汇总</w:t>
      </w:r>
    </w:p>
    <w:p>
      <w:pPr>
        <w:pStyle w:val="37"/>
        <w:tabs>
          <w:tab w:val="left" w:pos="7380"/>
        </w:tabs>
        <w:snapToGrid w:val="0"/>
        <w:spacing w:after="0" w:line="360" w:lineRule="auto"/>
        <w:ind w:firstLine="480" w:firstLineChars="200"/>
        <w:rPr>
          <w:rFonts w:ascii="宋体" w:hAnsi="宋体"/>
          <w:sz w:val="24"/>
          <w:szCs w:val="24"/>
        </w:rPr>
      </w:pPr>
      <w:r>
        <w:rPr>
          <w:rFonts w:hint="eastAsia" w:ascii="宋体" w:hAnsi="宋体"/>
          <w:sz w:val="24"/>
          <w:szCs w:val="24"/>
        </w:rPr>
        <w:t>45.1若通过技术标有效性审查的投标人中所有投标报价均大于等于最高投标限价*D%（D的取值范围为[94,100],由招标人自主确定）的（具体金额为：元），则本项目招标失败，由招标人依法重新招标。</w:t>
      </w:r>
    </w:p>
    <w:p>
      <w:pPr>
        <w:pStyle w:val="37"/>
        <w:tabs>
          <w:tab w:val="left" w:pos="7380"/>
        </w:tabs>
        <w:snapToGrid w:val="0"/>
        <w:spacing w:after="0" w:line="360" w:lineRule="auto"/>
        <w:ind w:firstLine="480" w:firstLineChars="200"/>
        <w:rPr>
          <w:rFonts w:ascii="宋体"/>
          <w:sz w:val="24"/>
          <w:szCs w:val="24"/>
        </w:rPr>
      </w:pPr>
      <w:r>
        <w:rPr>
          <w:rFonts w:hint="eastAsia" w:ascii="宋体" w:hAnsi="宋体"/>
          <w:sz w:val="24"/>
          <w:szCs w:val="24"/>
        </w:rPr>
        <w:t xml:space="preserve"> 45.2按方法计算评标参考价：</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方法一：加权平均法</w:t>
      </w:r>
    </w:p>
    <w:p>
      <w:pPr>
        <w:spacing w:line="360" w:lineRule="auto"/>
        <w:ind w:firstLine="480" w:firstLineChars="200"/>
        <w:rPr>
          <w:rFonts w:ascii="宋体" w:hAnsi="宋体" w:cs="仿宋"/>
          <w:sz w:val="24"/>
          <w:szCs w:val="24"/>
        </w:rPr>
      </w:pPr>
      <w:r>
        <w:rPr>
          <w:rFonts w:hint="eastAsia" w:ascii="宋体" w:hAnsi="宋体" w:cs="仿宋"/>
          <w:sz w:val="24"/>
          <w:szCs w:val="24"/>
        </w:rPr>
        <w:t>技术标或技术标加诚信得分（具体由招标人自定）前</w:t>
      </w:r>
      <w:r>
        <w:rPr>
          <w:rFonts w:ascii="宋体" w:hAnsi="宋体" w:cs="仿宋"/>
          <w:sz w:val="24"/>
          <w:szCs w:val="24"/>
        </w:rPr>
        <w:t>N</w:t>
      </w:r>
      <w:r>
        <w:rPr>
          <w:rFonts w:hint="eastAsia" w:ascii="宋体" w:hAnsi="宋体" w:cs="仿宋"/>
          <w:sz w:val="24"/>
          <w:szCs w:val="24"/>
        </w:rPr>
        <w:t>名（N≥5，具体由招标人自定）的经济报价加权平均，计算评标参考价。公式如下：</w:t>
      </w:r>
    </w:p>
    <w:p>
      <w:pPr>
        <w:spacing w:line="360" w:lineRule="auto"/>
        <w:ind w:firstLine="480" w:firstLineChars="200"/>
        <w:rPr>
          <w:rFonts w:ascii="宋体" w:hAnsi="宋体" w:cs="仿宋"/>
          <w:sz w:val="24"/>
          <w:szCs w:val="24"/>
        </w:rPr>
      </w:pPr>
      <w:r>
        <w:rPr>
          <w:rFonts w:hint="eastAsia" w:ascii="宋体" w:hAnsi="宋体" w:cs="仿宋"/>
          <w:sz w:val="24"/>
          <w:szCs w:val="24"/>
        </w:rPr>
        <w:t>评标参考价</w:t>
      </w:r>
      <w:r>
        <w:rPr>
          <w:rFonts w:ascii="宋体" w:hAnsi="宋体" w:cs="仿宋"/>
          <w:sz w:val="24"/>
          <w:szCs w:val="24"/>
        </w:rPr>
        <w:t>=</w:t>
      </w:r>
      <w:r>
        <w:rPr>
          <w:rFonts w:hint="eastAsia" w:ascii="宋体" w:hAnsi="宋体" w:cs="仿宋"/>
          <w:sz w:val="24"/>
          <w:szCs w:val="24"/>
        </w:rPr>
        <w:t>Σ（投标人的投标报价</w:t>
      </w:r>
      <w:r>
        <w:rPr>
          <w:rFonts w:ascii="宋体" w:hAnsi="宋体" w:cs="仿宋"/>
          <w:sz w:val="24"/>
          <w:szCs w:val="24"/>
        </w:rPr>
        <w:t>*</w:t>
      </w:r>
      <w:r>
        <w:rPr>
          <w:rFonts w:hint="eastAsia" w:ascii="宋体" w:hAnsi="宋体" w:cs="仿宋"/>
          <w:sz w:val="24"/>
          <w:szCs w:val="24"/>
        </w:rPr>
        <w:t>报价权重）。</w:t>
      </w:r>
    </w:p>
    <w:p>
      <w:pPr>
        <w:spacing w:line="360" w:lineRule="auto"/>
        <w:ind w:firstLine="480" w:firstLineChars="200"/>
        <w:rPr>
          <w:rFonts w:ascii="宋体" w:hAnsi="宋体" w:cs="仿宋"/>
          <w:sz w:val="24"/>
          <w:szCs w:val="24"/>
        </w:rPr>
      </w:pPr>
      <w:r>
        <w:rPr>
          <w:rFonts w:hint="eastAsia" w:ascii="宋体" w:hAnsi="宋体" w:cs="仿宋"/>
          <w:sz w:val="24"/>
          <w:szCs w:val="24"/>
        </w:rPr>
        <w:t>其中：报价权重的计算方法为：将</w:t>
      </w:r>
      <w:r>
        <w:rPr>
          <w:rFonts w:ascii="宋体" w:hAnsi="宋体" w:cs="仿宋"/>
          <w:sz w:val="24"/>
          <w:szCs w:val="24"/>
        </w:rPr>
        <w:t>N</w:t>
      </w:r>
      <w:r>
        <w:rPr>
          <w:rFonts w:hint="eastAsia" w:ascii="宋体" w:hAnsi="宋体" w:cs="仿宋"/>
          <w:sz w:val="24"/>
          <w:szCs w:val="24"/>
        </w:rPr>
        <w:t>名投标人按技术分由高至低进行排序，第一名投标人的权重为（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sz w:val="24"/>
          <w:szCs w:val="24"/>
        </w:rPr>
        <w:drawing>
          <wp:inline distT="0" distB="0" distL="0" distR="0">
            <wp:extent cx="381000" cy="447675"/>
            <wp:effectExtent l="0" t="0" r="0" b="9525"/>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ln>
                      <a:noFill/>
                    </a:ln>
                  </pic:spPr>
                </pic:pic>
              </a:graphicData>
            </a:graphic>
          </wp:inline>
        </w:drawing>
      </w:r>
      <w:r>
        <w:rPr>
          <w:rFonts w:ascii="宋体" w:hAnsi="宋体" w:cs="仿宋"/>
          <w:sz w:val="24"/>
          <w:szCs w:val="24"/>
        </w:rPr>
        <w:fldChar w:fldCharType="separate"/>
      </w:r>
      <w:r>
        <w:rPr>
          <w:rFonts w:ascii="宋体" w:hAnsi="宋体"/>
          <w:sz w:val="24"/>
          <w:szCs w:val="24"/>
        </w:rPr>
        <w:drawing>
          <wp:inline distT="0" distB="0" distL="0" distR="0">
            <wp:extent cx="381000" cy="447675"/>
            <wp:effectExtent l="0" t="0" r="0" b="9525"/>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），第二名投标人的权重为（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6350" b="635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6350" b="635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），以此类推，最后一名投标人的权重为（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6350" b="635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6350" b="635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方法二：区间抽取法</w:t>
      </w:r>
    </w:p>
    <w:p>
      <w:pPr>
        <w:widowControl/>
        <w:snapToGrid w:val="0"/>
        <w:spacing w:line="360" w:lineRule="auto"/>
        <w:ind w:firstLine="480" w:firstLineChars="200"/>
        <w:rPr>
          <w:rFonts w:ascii="宋体" w:hAnsi="宋体"/>
          <w:kern w:val="0"/>
          <w:sz w:val="24"/>
          <w:szCs w:val="24"/>
        </w:rPr>
      </w:pPr>
      <w:r>
        <w:rPr>
          <w:rFonts w:hint="eastAsia" w:ascii="宋体" w:hAnsi="宋体" w:cs="仿宋"/>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kern w:val="0"/>
          <w:sz w:val="24"/>
          <w:szCs w:val="24"/>
          <w:vertAlign w:val="subscript"/>
        </w:rPr>
      </w:pPr>
      <w:r>
        <w:rPr>
          <w:rFonts w:hint="eastAsia" w:ascii="宋体" w:hAnsi="宋体" w:cs="仿宋"/>
          <w:kern w:val="0"/>
          <w:sz w:val="24"/>
          <w:szCs w:val="24"/>
        </w:rPr>
        <w:t>评标参考价</w:t>
      </w:r>
      <w:r>
        <w:rPr>
          <w:rFonts w:ascii="宋体" w:hAnsi="宋体" w:cs="仿宋"/>
          <w:kern w:val="0"/>
          <w:sz w:val="24"/>
          <w:szCs w:val="24"/>
        </w:rPr>
        <w:t>=</w:t>
      </w:r>
      <w:r>
        <w:rPr>
          <w:rFonts w:hint="eastAsia" w:ascii="宋体" w:hAnsi="宋体" w:cs="仿宋"/>
          <w:kern w:val="0"/>
          <w:sz w:val="24"/>
          <w:szCs w:val="24"/>
        </w:rPr>
        <w:t>（</w:t>
      </w:r>
      <w:r>
        <w:rPr>
          <w:rFonts w:ascii="宋体" w:hAnsi="宋体" w:cs="仿宋"/>
          <w:kern w:val="0"/>
          <w:sz w:val="24"/>
          <w:szCs w:val="24"/>
        </w:rPr>
        <w:t>Q</w:t>
      </w:r>
      <w:r>
        <w:rPr>
          <w:rFonts w:hint="eastAsia" w:ascii="宋体" w:hAnsi="宋体" w:cs="仿宋"/>
          <w:kern w:val="0"/>
          <w:sz w:val="24"/>
          <w:szCs w:val="24"/>
          <w:vertAlign w:val="subscript"/>
        </w:rPr>
        <w:t>高</w:t>
      </w:r>
      <w:r>
        <w:rPr>
          <w:rFonts w:ascii="宋体" w:hAnsi="宋体" w:cs="仿宋"/>
          <w:kern w:val="0"/>
          <w:sz w:val="24"/>
          <w:szCs w:val="24"/>
        </w:rPr>
        <w:t>-Q</w:t>
      </w:r>
      <w:r>
        <w:rPr>
          <w:rFonts w:hint="eastAsia" w:ascii="宋体" w:hAnsi="宋体" w:cs="仿宋"/>
          <w:kern w:val="0"/>
          <w:sz w:val="24"/>
          <w:szCs w:val="24"/>
          <w:vertAlign w:val="subscript"/>
        </w:rPr>
        <w:t>低</w:t>
      </w:r>
      <w:r>
        <w:rPr>
          <w:rFonts w:hint="eastAsia" w:ascii="宋体" w:hAnsi="宋体" w:cs="仿宋"/>
          <w:kern w:val="0"/>
          <w:sz w:val="24"/>
          <w:szCs w:val="24"/>
        </w:rPr>
        <w:t>）</w:t>
      </w:r>
      <w:r>
        <w:rPr>
          <w:rFonts w:ascii="宋体" w:hAnsi="宋体" w:cs="仿宋"/>
          <w:kern w:val="0"/>
          <w:sz w:val="24"/>
          <w:szCs w:val="24"/>
        </w:rPr>
        <w:t>/100*</w:t>
      </w:r>
      <w:r>
        <w:rPr>
          <w:rFonts w:hint="eastAsia" w:ascii="宋体" w:hAnsi="宋体" w:cs="仿宋"/>
          <w:kern w:val="0"/>
          <w:sz w:val="24"/>
          <w:szCs w:val="24"/>
        </w:rPr>
        <w:t>Ｘ</w:t>
      </w:r>
      <w:r>
        <w:rPr>
          <w:rFonts w:ascii="宋体" w:hAnsi="宋体" w:cs="仿宋"/>
          <w:kern w:val="0"/>
          <w:sz w:val="24"/>
          <w:szCs w:val="24"/>
        </w:rPr>
        <w:t>+Q</w:t>
      </w:r>
      <w:r>
        <w:rPr>
          <w:rFonts w:hint="eastAsia" w:ascii="宋体" w:hAnsi="宋体" w:cs="仿宋"/>
          <w:kern w:val="0"/>
          <w:sz w:val="24"/>
          <w:szCs w:val="24"/>
          <w:vertAlign w:val="subscript"/>
        </w:rPr>
        <w:t>低</w:t>
      </w:r>
    </w:p>
    <w:p>
      <w:pPr>
        <w:widowControl/>
        <w:snapToGrid w:val="0"/>
        <w:spacing w:line="360" w:lineRule="auto"/>
        <w:ind w:firstLine="480" w:firstLineChars="200"/>
        <w:rPr>
          <w:rFonts w:ascii="宋体" w:hAnsi="宋体"/>
          <w:sz w:val="24"/>
          <w:szCs w:val="24"/>
        </w:rPr>
      </w:pPr>
      <w:r>
        <w:rPr>
          <w:rFonts w:ascii="宋体" w:hAnsi="宋体" w:cs="仿宋"/>
          <w:sz w:val="24"/>
          <w:szCs w:val="24"/>
        </w:rPr>
        <w:t>Q</w:t>
      </w:r>
      <w:r>
        <w:rPr>
          <w:rFonts w:hint="eastAsia" w:ascii="宋体" w:hAnsi="宋体" w:cs="仿宋"/>
          <w:sz w:val="24"/>
          <w:szCs w:val="24"/>
          <w:vertAlign w:val="subscript"/>
        </w:rPr>
        <w:t>低</w:t>
      </w:r>
      <w:r>
        <w:rPr>
          <w:rFonts w:hint="eastAsia" w:ascii="宋体" w:hAnsi="宋体" w:cs="仿宋"/>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sz w:val="24"/>
          <w:szCs w:val="24"/>
        </w:rPr>
      </w:pPr>
      <w:r>
        <w:rPr>
          <w:rFonts w:ascii="宋体" w:hAnsi="宋体" w:cs="仿宋"/>
          <w:kern w:val="0"/>
          <w:sz w:val="24"/>
          <w:szCs w:val="24"/>
        </w:rPr>
        <w:t>Q</w:t>
      </w:r>
      <w:r>
        <w:rPr>
          <w:rFonts w:hint="eastAsia" w:ascii="宋体" w:hAnsi="宋体" w:cs="仿宋"/>
          <w:kern w:val="0"/>
          <w:sz w:val="24"/>
          <w:szCs w:val="24"/>
          <w:vertAlign w:val="subscript"/>
        </w:rPr>
        <w:t>高</w:t>
      </w:r>
      <w:r>
        <w:rPr>
          <w:rFonts w:hint="eastAsia" w:ascii="宋体" w:hAnsi="宋体" w:cs="仿宋"/>
          <w:sz w:val="24"/>
          <w:szCs w:val="24"/>
        </w:rPr>
        <w:t>：为（最高投标限价</w:t>
      </w:r>
      <w:r>
        <w:rPr>
          <w:rFonts w:ascii="宋体" w:hAnsi="宋体" w:cs="仿宋"/>
          <w:sz w:val="24"/>
          <w:szCs w:val="24"/>
        </w:rPr>
        <w:t>*D%</w:t>
      </w:r>
      <w:r>
        <w:rPr>
          <w:rFonts w:hint="eastAsia" w:ascii="宋体" w:hAnsi="宋体" w:cs="仿宋"/>
          <w:sz w:val="24"/>
          <w:szCs w:val="24"/>
        </w:rPr>
        <w:t>）（</w:t>
      </w:r>
      <w:r>
        <w:rPr>
          <w:rFonts w:ascii="宋体" w:hAnsi="宋体" w:cs="仿宋"/>
          <w:sz w:val="24"/>
          <w:szCs w:val="24"/>
        </w:rPr>
        <w:t>D</w:t>
      </w:r>
      <w:r>
        <w:rPr>
          <w:rFonts w:hint="eastAsia" w:ascii="宋体" w:hAnsi="宋体" w:cs="仿宋"/>
          <w:sz w:val="24"/>
          <w:szCs w:val="24"/>
        </w:rPr>
        <w:t>的取值范围为</w:t>
      </w:r>
      <w:r>
        <w:rPr>
          <w:rFonts w:ascii="宋体" w:hAnsi="宋体" w:cs="仿宋"/>
          <w:sz w:val="24"/>
          <w:szCs w:val="24"/>
        </w:rPr>
        <w:t>[94,100],</w:t>
      </w:r>
      <w:r>
        <w:rPr>
          <w:rFonts w:hint="eastAsia" w:ascii="宋体" w:hAnsi="宋体" w:cs="仿宋"/>
          <w:sz w:val="24"/>
          <w:szCs w:val="24"/>
        </w:rPr>
        <w:t>由招标人自定）</w:t>
      </w:r>
    </w:p>
    <w:p>
      <w:pPr>
        <w:spacing w:line="360" w:lineRule="auto"/>
        <w:ind w:firstLine="480" w:firstLineChars="200"/>
        <w:rPr>
          <w:rFonts w:ascii="宋体" w:hAnsi="宋体"/>
          <w:sz w:val="24"/>
          <w:szCs w:val="24"/>
        </w:rPr>
      </w:pPr>
      <w:r>
        <w:rPr>
          <w:rFonts w:ascii="宋体" w:hAnsi="宋体" w:cs="仿宋"/>
          <w:sz w:val="24"/>
          <w:szCs w:val="24"/>
        </w:rPr>
        <w:t>X:</w:t>
      </w:r>
      <w:r>
        <w:rPr>
          <w:rFonts w:hint="eastAsia" w:ascii="宋体" w:hAnsi="宋体" w:cs="仿宋"/>
          <w:sz w:val="24"/>
          <w:szCs w:val="24"/>
        </w:rPr>
        <w:t>为等分点值，在开标前从</w:t>
      </w:r>
      <w:r>
        <w:rPr>
          <w:rFonts w:ascii="宋体" w:hAnsi="宋体" w:cs="仿宋"/>
          <w:sz w:val="24"/>
          <w:szCs w:val="24"/>
        </w:rPr>
        <w:t>[0,100]</w:t>
      </w:r>
      <w:r>
        <w:rPr>
          <w:rFonts w:hint="eastAsia" w:ascii="宋体" w:hAnsi="宋体" w:cs="仿宋"/>
          <w:sz w:val="24"/>
          <w:szCs w:val="24"/>
        </w:rPr>
        <w:t>整数中随机抽取</w:t>
      </w:r>
    </w:p>
    <w:p>
      <w:pPr>
        <w:spacing w:line="360" w:lineRule="auto"/>
        <w:ind w:firstLine="480" w:firstLineChars="200"/>
        <w:rPr>
          <w:rFonts w:ascii="宋体" w:hAnsi="宋体"/>
          <w:sz w:val="24"/>
          <w:szCs w:val="24"/>
        </w:rPr>
      </w:pPr>
      <w:r>
        <w:rPr>
          <w:rFonts w:hint="eastAsia" w:ascii="宋体" w:hAnsi="宋体" w:cs="宋体"/>
          <w:kern w:val="0"/>
          <w:sz w:val="24"/>
          <w:szCs w:val="24"/>
        </w:rPr>
        <w:t>45.3</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ascii="宋体" w:hAnsi="宋体"/>
          <w:sz w:val="24"/>
          <w:szCs w:val="24"/>
        </w:rPr>
        <w:t>1.5</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ascii="宋体" w:hAnsi="宋体"/>
          <w:sz w:val="24"/>
          <w:szCs w:val="24"/>
        </w:rPr>
        <w:t>1</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分为止，得出经济分，精确到小数点后两位。</w:t>
      </w:r>
    </w:p>
    <w:p>
      <w:pPr>
        <w:pStyle w:val="37"/>
        <w:tabs>
          <w:tab w:val="left" w:pos="7380"/>
        </w:tabs>
        <w:snapToGrid w:val="0"/>
        <w:spacing w:after="0" w:line="360" w:lineRule="auto"/>
        <w:ind w:firstLine="480" w:firstLineChars="200"/>
        <w:rPr>
          <w:rFonts w:ascii="宋体"/>
          <w:sz w:val="24"/>
          <w:szCs w:val="24"/>
        </w:rPr>
      </w:pPr>
      <w:r>
        <w:rPr>
          <w:rFonts w:hint="eastAsia" w:ascii="宋体" w:hAnsi="宋体"/>
          <w:sz w:val="24"/>
          <w:szCs w:val="24"/>
        </w:rPr>
        <w:t>45.4</w:t>
      </w:r>
      <w:r>
        <w:rPr>
          <w:rFonts w:hint="eastAsia" w:ascii="宋体"/>
          <w:sz w:val="24"/>
          <w:szCs w:val="24"/>
        </w:rPr>
        <w:t>计算通过技术标有效性审查的投标人总得分。投标人总得分=（技术得分×技术得分权重</w:t>
      </w:r>
      <w:r>
        <w:rPr>
          <w:rFonts w:hint="eastAsia" w:ascii="宋体" w:cs="宋体"/>
          <w:sz w:val="24"/>
          <w:szCs w:val="24"/>
        </w:rPr>
        <w:t>＋</w:t>
      </w:r>
      <w:r>
        <w:rPr>
          <w:rFonts w:hint="eastAsia" w:ascii="宋体"/>
          <w:sz w:val="24"/>
          <w:szCs w:val="24"/>
        </w:rPr>
        <w:t>经济得分×经济得分权重）×（1-综合诚信评价分数权重）</w:t>
      </w:r>
      <w:r>
        <w:rPr>
          <w:rFonts w:hint="eastAsia" w:ascii="宋体" w:cs="宋体"/>
          <w:sz w:val="24"/>
          <w:szCs w:val="24"/>
        </w:rPr>
        <w:t>＋</w:t>
      </w:r>
      <w:r>
        <w:rPr>
          <w:rFonts w:hint="eastAsia" w:ascii="宋体"/>
          <w:sz w:val="24"/>
          <w:szCs w:val="24"/>
        </w:rPr>
        <w:t>综合诚信评价排名得分×综合诚信评价分数权重）。技术、经济得分权重按投标须知前附表的规定执行。总得分四舍五入保留两位小数。</w:t>
      </w:r>
    </w:p>
    <w:p>
      <w:pPr>
        <w:pStyle w:val="37"/>
        <w:tabs>
          <w:tab w:val="left" w:pos="7380"/>
        </w:tabs>
        <w:snapToGrid w:val="0"/>
        <w:spacing w:after="0" w:line="360" w:lineRule="auto"/>
        <w:ind w:firstLine="480" w:firstLineChars="200"/>
        <w:rPr>
          <w:rFonts w:ascii="宋体" w:hAnsi="宋体"/>
          <w:sz w:val="24"/>
          <w:szCs w:val="24"/>
        </w:rPr>
      </w:pPr>
      <w:r>
        <w:rPr>
          <w:rFonts w:hint="eastAsia" w:ascii="宋体" w:hAnsi="宋体"/>
          <w:sz w:val="24"/>
          <w:szCs w:val="24"/>
        </w:rPr>
        <w:t>46.经济标的有效性审查</w:t>
      </w:r>
    </w:p>
    <w:p>
      <w:pPr>
        <w:spacing w:line="360" w:lineRule="auto"/>
        <w:ind w:firstLine="480" w:firstLineChars="200"/>
        <w:rPr>
          <w:rFonts w:ascii="宋体" w:hAnsi="宋体"/>
          <w:sz w:val="24"/>
          <w:szCs w:val="24"/>
        </w:rPr>
      </w:pPr>
      <w:r>
        <w:rPr>
          <w:rFonts w:hint="eastAsia" w:ascii="宋体" w:hAnsi="宋体"/>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b/>
          <w:bCs/>
          <w:sz w:val="24"/>
          <w:szCs w:val="24"/>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6.2.1如果数字表示的金额和用文字表示的金额不一致时，应以文字表示的金额为准；</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6.2.2经算术复核的投标人报价与其投标报价不一致时，按就低不就高原则确定其最终报价；</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8.评标委员会应在通过投标文件经济标有效性审查的投标人中，按步骤45.4确定的投标人第二阶段排序，推荐前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spacing w:line="360" w:lineRule="auto"/>
        <w:ind w:firstLine="480" w:firstLineChars="200"/>
        <w:rPr>
          <w:rFonts w:ascii="宋体" w:hAnsi="宋体"/>
          <w:sz w:val="24"/>
          <w:szCs w:val="24"/>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1906" w:h="16838"/>
          <w:pgMar w:top="1134" w:right="1418" w:bottom="1247" w:left="1418" w:header="851" w:footer="907" w:gutter="0"/>
          <w:pgNumType w:fmt="decimal" w:start="1"/>
          <w:cols w:space="425" w:num="1"/>
          <w:titlePg/>
          <w:docGrid w:type="lines" w:linePitch="312" w:charSpace="0"/>
        </w:sectPr>
      </w:pPr>
      <w:r>
        <w:rPr>
          <w:rFonts w:ascii="宋体" w:hAnsi="宋体"/>
          <w:sz w:val="24"/>
          <w:szCs w:val="24"/>
        </w:rPr>
        <w:t>4</w:t>
      </w:r>
      <w:r>
        <w:rPr>
          <w:rFonts w:hint="eastAsia" w:ascii="宋体" w:hAnsi="宋体"/>
          <w:sz w:val="24"/>
          <w:szCs w:val="24"/>
        </w:rPr>
        <w:t>9.若通过经济标有效性审查的投标人不足三家，应当依法重新招标。（当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bookmarkEnd w:id="40"/>
    <w:p>
      <w:pPr>
        <w:widowControl/>
        <w:snapToGrid w:val="0"/>
        <w:spacing w:line="360" w:lineRule="auto"/>
        <w:ind w:right="102"/>
        <w:jc w:val="left"/>
        <w:rPr>
          <w:rFonts w:ascii="宋体"/>
          <w:color w:val="auto"/>
          <w:szCs w:val="21"/>
          <w:highlight w:val="none"/>
        </w:rPr>
      </w:pPr>
      <w:r>
        <w:rPr>
          <w:rFonts w:hint="eastAsia" w:ascii="宋体" w:hAnsi="宋体"/>
          <w:color w:val="auto"/>
          <w:szCs w:val="21"/>
          <w:highlight w:val="none"/>
        </w:rPr>
        <w:t>附表一：</w:t>
      </w:r>
    </w:p>
    <w:p>
      <w:pPr>
        <w:jc w:val="center"/>
        <w:outlineLvl w:val="2"/>
        <w:rPr>
          <w:b/>
          <w:color w:val="auto"/>
          <w:sz w:val="32"/>
          <w:szCs w:val="32"/>
          <w:highlight w:val="none"/>
        </w:rPr>
      </w:pPr>
      <w:bookmarkStart w:id="43" w:name="_Toc2333"/>
      <w:bookmarkStart w:id="44" w:name="_Toc2545"/>
      <w:r>
        <w:rPr>
          <w:rFonts w:hint="eastAsia"/>
          <w:b/>
          <w:color w:val="auto"/>
          <w:sz w:val="32"/>
          <w:szCs w:val="32"/>
          <w:highlight w:val="none"/>
        </w:rPr>
        <w:t>资格审查表</w:t>
      </w:r>
      <w:bookmarkEnd w:id="43"/>
      <w:bookmarkEnd w:id="44"/>
    </w:p>
    <w:p>
      <w:pPr>
        <w:spacing w:line="480" w:lineRule="auto"/>
        <w:rPr>
          <w:color w:val="auto"/>
          <w:sz w:val="24"/>
          <w:szCs w:val="24"/>
          <w:highlight w:val="none"/>
        </w:rPr>
      </w:pPr>
      <w:r>
        <w:rPr>
          <w:rFonts w:hint="eastAsia"/>
          <w:color w:val="auto"/>
          <w:sz w:val="24"/>
          <w:szCs w:val="24"/>
          <w:highlight w:val="none"/>
        </w:rPr>
        <w:t>工程名称：</w:t>
      </w:r>
    </w:p>
    <w:p>
      <w:pPr>
        <w:spacing w:line="480" w:lineRule="auto"/>
        <w:rPr>
          <w:color w:val="auto"/>
          <w:sz w:val="24"/>
          <w:szCs w:val="24"/>
          <w:highlight w:val="none"/>
        </w:rPr>
      </w:pPr>
      <w:r>
        <w:rPr>
          <w:rFonts w:hint="eastAsia"/>
          <w:color w:val="auto"/>
          <w:sz w:val="24"/>
          <w:szCs w:val="24"/>
          <w:highlight w:val="none"/>
        </w:rPr>
        <w:t>投标人名称：</w:t>
      </w:r>
    </w:p>
    <w:tbl>
      <w:tblPr>
        <w:tblStyle w:val="38"/>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营业执照在广州市住建行业信用管理平台内的上传件</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投标人均持有建设行政主管部门颁发的企业资质证书及安全生产许可证；投标人资质符合公告要求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资质证书及安全生产许可证在广州市住建行业信用管理平台内的上传件；</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4</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建筑工程专业贰级或以上级别的注册建造师证书在广州市住建行业信用管理平台内的上传件。</w:t>
            </w:r>
            <w:r>
              <w:rPr>
                <w:rFonts w:hint="eastAsia" w:ascii="宋体" w:hAnsi="宋体"/>
                <w:color w:val="auto"/>
                <w:szCs w:val="21"/>
                <w:highlight w:val="none"/>
                <w:u w:val="single"/>
              </w:rPr>
              <w:t>（注：打印建造师电子证书后，应在个人签名处手写本人签名再上传广州市住建行业信用平台，上传件未手写签名或与签名图像笔迹不一致的，该电子证书无效。）</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5</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持有项目负责人安全</w:t>
            </w:r>
            <w:r>
              <w:rPr>
                <w:rFonts w:hint="eastAsia" w:ascii="宋体" w:hAnsi="宋体"/>
                <w:color w:val="auto"/>
                <w:szCs w:val="21"/>
                <w:highlight w:val="none"/>
                <w:lang w:val="en-US" w:eastAsia="zh-CN"/>
              </w:rPr>
              <w:t>生产</w:t>
            </w:r>
            <w:r>
              <w:rPr>
                <w:rFonts w:hint="eastAsia" w:ascii="宋体" w:hAnsi="宋体"/>
                <w:color w:val="auto"/>
                <w:szCs w:val="21"/>
                <w:highlight w:val="none"/>
              </w:rPr>
              <w:t>考核合格证（</w:t>
            </w:r>
            <w:r>
              <w:rPr>
                <w:rFonts w:ascii="宋体" w:hAnsi="宋体"/>
                <w:color w:val="auto"/>
                <w:szCs w:val="21"/>
                <w:highlight w:val="none"/>
              </w:rPr>
              <w:t>B</w:t>
            </w:r>
            <w:r>
              <w:rPr>
                <w:rFonts w:hint="eastAsia" w:ascii="宋体" w:hAnsi="宋体"/>
                <w:color w:val="auto"/>
                <w:szCs w:val="21"/>
                <w:highlight w:val="none"/>
              </w:rPr>
              <w:t>类）或建筑施工企业项目负责人安全生产考核合格证书</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项目负责人安全</w:t>
            </w:r>
            <w:r>
              <w:rPr>
                <w:rFonts w:hint="eastAsia" w:ascii="宋体" w:hAnsi="宋体"/>
                <w:color w:val="auto"/>
                <w:szCs w:val="21"/>
                <w:highlight w:val="none"/>
                <w:lang w:val="en-US" w:eastAsia="zh-CN"/>
              </w:rPr>
              <w:t>生产</w:t>
            </w:r>
            <w:r>
              <w:rPr>
                <w:rFonts w:hint="eastAsia" w:ascii="宋体" w:hAnsi="宋体"/>
                <w:color w:val="auto"/>
                <w:szCs w:val="21"/>
                <w:highlight w:val="none"/>
              </w:rPr>
              <w:t>考核合格证（B</w:t>
            </w:r>
            <w:r>
              <w:rPr>
                <w:rFonts w:hint="eastAsia" w:ascii="宋体" w:hAnsi="宋体"/>
                <w:color w:val="auto"/>
                <w:szCs w:val="21"/>
                <w:highlight w:val="none"/>
                <w:lang w:val="en-US" w:eastAsia="zh-CN"/>
              </w:rPr>
              <w:t>类</w:t>
            </w:r>
            <w:r>
              <w:rPr>
                <w:rFonts w:hint="eastAsia" w:ascii="宋体" w:hAnsi="宋体"/>
                <w:color w:val="auto"/>
                <w:szCs w:val="21"/>
                <w:highlight w:val="none"/>
              </w:rPr>
              <w:t>）或建筑施工企业项目负责人安全生产考核合格证书在广州市住建行业信用管理平台内上传件</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拟委托技术负责人的职称证书（须提供证书原件扫描件）</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专职安全员须具有安全生产考核合格证（</w:t>
            </w:r>
            <w:r>
              <w:rPr>
                <w:rFonts w:ascii="宋体" w:hAnsi="宋体"/>
                <w:color w:val="auto"/>
                <w:szCs w:val="21"/>
                <w:highlight w:val="none"/>
              </w:rPr>
              <w:t>C</w:t>
            </w:r>
            <w:r>
              <w:rPr>
                <w:rFonts w:hint="eastAsia" w:ascii="宋体" w:hAnsi="宋体"/>
                <w:color w:val="auto"/>
                <w:szCs w:val="21"/>
                <w:highlight w:val="none"/>
              </w:rPr>
              <w:t>类）或建筑施工企业专职安全生产管理人员安全生产考核合格证书</w:t>
            </w:r>
            <w:r>
              <w:rPr>
                <w:rFonts w:hint="eastAsia" w:ascii="宋体" w:hAnsi="宋体"/>
                <w:color w:val="auto"/>
                <w:szCs w:val="21"/>
                <w:highlight w:val="none"/>
                <w:lang w:eastAsia="zh-CN"/>
              </w:rPr>
              <w:t>（</w:t>
            </w:r>
            <w:r>
              <w:rPr>
                <w:rFonts w:hint="eastAsia" w:ascii="宋体" w:hAnsi="宋体"/>
                <w:color w:val="auto"/>
                <w:szCs w:val="21"/>
                <w:highlight w:val="none"/>
              </w:rPr>
              <w:t>C3类</w:t>
            </w:r>
            <w:r>
              <w:rPr>
                <w:rFonts w:hint="eastAsia" w:ascii="宋体" w:hAnsi="宋体"/>
                <w:color w:val="auto"/>
                <w:szCs w:val="21"/>
                <w:highlight w:val="none"/>
                <w:lang w:eastAsia="zh-CN"/>
              </w:rPr>
              <w:t>）</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专职安全员的安全生产考核合格证（</w:t>
            </w:r>
            <w:r>
              <w:rPr>
                <w:rFonts w:ascii="宋体" w:hAnsi="宋体"/>
                <w:color w:val="auto"/>
                <w:szCs w:val="21"/>
                <w:highlight w:val="none"/>
              </w:rPr>
              <w:t>C</w:t>
            </w:r>
            <w:r>
              <w:rPr>
                <w:rFonts w:hint="eastAsia" w:ascii="宋体" w:hAnsi="宋体"/>
                <w:color w:val="auto"/>
                <w:szCs w:val="21"/>
                <w:highlight w:val="none"/>
              </w:rPr>
              <w:t>类）或建筑施工企业专职安全生产管理人员安全生产考核合格证书</w:t>
            </w:r>
            <w:r>
              <w:rPr>
                <w:rFonts w:hint="eastAsia" w:ascii="宋体" w:hAnsi="宋体"/>
                <w:color w:val="auto"/>
                <w:szCs w:val="21"/>
                <w:highlight w:val="none"/>
                <w:lang w:eastAsia="zh-CN"/>
              </w:rPr>
              <w:t>（</w:t>
            </w:r>
            <w:r>
              <w:rPr>
                <w:rFonts w:hint="eastAsia" w:ascii="宋体" w:hAnsi="宋体"/>
                <w:color w:val="auto"/>
                <w:szCs w:val="21"/>
                <w:highlight w:val="none"/>
              </w:rPr>
              <w:t>C3类</w:t>
            </w:r>
            <w:r>
              <w:rPr>
                <w:rFonts w:hint="eastAsia" w:ascii="宋体" w:hAnsi="宋体"/>
                <w:color w:val="auto"/>
                <w:szCs w:val="21"/>
                <w:highlight w:val="none"/>
                <w:lang w:eastAsia="zh-CN"/>
              </w:rPr>
              <w:t>）</w:t>
            </w:r>
            <w:r>
              <w:rPr>
                <w:rFonts w:hint="eastAsia" w:ascii="宋体" w:hAnsi="宋体"/>
                <w:color w:val="auto"/>
                <w:szCs w:val="21"/>
                <w:highlight w:val="none"/>
              </w:rPr>
              <w:t>在广州市住建行业信用管理平台内上传件</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8</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9</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lang w:val="en-US" w:eastAsia="zh-CN"/>
              </w:rPr>
              <w:t>网上投标</w:t>
            </w:r>
            <w:r>
              <w:rPr>
                <w:rFonts w:hint="eastAsia" w:ascii="宋体" w:hAnsi="宋体"/>
                <w:color w:val="auto"/>
                <w:szCs w:val="21"/>
                <w:highlight w:val="none"/>
              </w:rPr>
              <w:t>时选择拟投标的项目负责人、资格审查文件中拟委派的技术负责人及投标人声明</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10</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本项目不接受联合体投标</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bookmarkStart w:id="45" w:name="OLE_LINK1"/>
            <w:r>
              <w:rPr>
                <w:rFonts w:hint="eastAsia" w:ascii="宋体" w:hAnsi="宋体"/>
                <w:color w:val="auto"/>
                <w:szCs w:val="21"/>
                <w:highlight w:val="none"/>
              </w:rPr>
              <w:t>无联合体进行投标</w:t>
            </w:r>
            <w:bookmarkEnd w:id="45"/>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资格审查前，投标人须在广州市住建行业信用管理平台建立企业信用档案及拟担任本工程项目负责人、专职安全员须是本企业信用档案中的在册人员</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投标人在广州市住建行业信用管理平台内内企业信用档案的企业和人员信息</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投标人未出现以下情形：与其它投标人的单位负责人为同一人或者存在控股、管理关系的（按投标人提供的《投标人声明》第八条内容进行评审）。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投标人未被列入拖欠农民工工资失信联合惩戒对象名单</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投标人无需提供</w:t>
            </w:r>
            <w:r>
              <w:rPr>
                <w:rFonts w:hint="default" w:ascii="宋体" w:hAnsi="宋体"/>
                <w:color w:val="auto"/>
                <w:szCs w:val="21"/>
                <w:highlight w:val="none"/>
                <w:lang w:val="en-US"/>
              </w:rPr>
              <w:t>资料，按交易系统比对的结果进行评审</w:t>
            </w:r>
          </w:p>
        </w:tc>
        <w:tc>
          <w:tcPr>
            <w:tcW w:w="118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bl>
    <w:p>
      <w:pPr>
        <w:spacing w:line="240" w:lineRule="auto"/>
        <w:ind w:firstLine="470" w:firstLineChars="224"/>
        <w:rPr>
          <w:rFonts w:ascii="宋体"/>
          <w:color w:val="auto"/>
          <w:szCs w:val="21"/>
          <w:highlight w:val="none"/>
        </w:rPr>
      </w:pPr>
      <w:r>
        <w:rPr>
          <w:rFonts w:hint="eastAsia" w:ascii="宋体" w:hAnsi="宋体"/>
          <w:color w:val="auto"/>
          <w:szCs w:val="21"/>
          <w:highlight w:val="none"/>
        </w:rPr>
        <w:t>备注：</w:t>
      </w:r>
    </w:p>
    <w:p>
      <w:pPr>
        <w:spacing w:line="240" w:lineRule="auto"/>
        <w:ind w:firstLine="470" w:firstLineChars="224"/>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、每一项目符合的打“○”，不符合的打“×”；</w:t>
      </w:r>
      <w:r>
        <w:rPr>
          <w:rFonts w:ascii="宋体" w:hAnsi="宋体"/>
          <w:color w:val="auto"/>
          <w:szCs w:val="21"/>
          <w:highlight w:val="none"/>
        </w:rPr>
        <w:t xml:space="preserve"> </w:t>
      </w:r>
    </w:p>
    <w:p>
      <w:pPr>
        <w:spacing w:line="240" w:lineRule="auto"/>
        <w:ind w:firstLine="470" w:firstLineChars="224"/>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、若评委意见不一致时，则按少数服从多数的原则，作出评审结论。汇总后，出现一个“×”的结论为“不通过”。</w:t>
      </w:r>
    </w:p>
    <w:p>
      <w:pPr>
        <w:spacing w:line="240" w:lineRule="auto"/>
        <w:ind w:firstLine="470" w:firstLineChars="224"/>
        <w:rPr>
          <w:rFonts w:ascii="宋体" w:hAnsi="宋体" w:eastAsia="宋体" w:cs="Times New Roman"/>
          <w:color w:val="auto"/>
          <w:szCs w:val="21"/>
          <w:highlight w:val="none"/>
        </w:rPr>
      </w:pPr>
      <w:r>
        <w:rPr>
          <w:rFonts w:hint="default" w:ascii="宋体" w:hAnsi="宋体"/>
          <w:color w:val="auto"/>
          <w:szCs w:val="21"/>
          <w:highlight w:val="none"/>
        </w:rPr>
        <w:t>3.</w:t>
      </w:r>
      <w:r>
        <w:rPr>
          <w:rFonts w:ascii="宋体" w:hAnsi="宋体"/>
          <w:color w:val="auto"/>
          <w:szCs w:val="21"/>
          <w:highlight w:val="none"/>
        </w:rPr>
        <w:t>不得将</w:t>
      </w:r>
      <w:r>
        <w:rPr>
          <w:rFonts w:hint="default" w:ascii="宋体" w:hAnsi="宋体"/>
          <w:color w:val="auto"/>
          <w:szCs w:val="21"/>
          <w:highlight w:val="none"/>
        </w:rPr>
        <w:t>文件顺序、</w:t>
      </w:r>
      <w:r>
        <w:rPr>
          <w:rFonts w:ascii="宋体" w:hAnsi="宋体"/>
          <w:color w:val="auto"/>
          <w:szCs w:val="21"/>
          <w:highlight w:val="none"/>
        </w:rPr>
        <w:t>明显的文字错误等列为否</w:t>
      </w:r>
      <w:r>
        <w:rPr>
          <w:rFonts w:hint="default" w:ascii="宋体" w:hAnsi="宋体"/>
          <w:color w:val="auto"/>
          <w:szCs w:val="21"/>
          <w:highlight w:val="none"/>
        </w:rPr>
        <w:t>决</w:t>
      </w:r>
      <w:r>
        <w:rPr>
          <w:rFonts w:ascii="宋体" w:hAnsi="宋体"/>
          <w:color w:val="auto"/>
          <w:szCs w:val="21"/>
          <w:highlight w:val="none"/>
        </w:rPr>
        <w:t>投标的</w:t>
      </w:r>
      <w:r>
        <w:rPr>
          <w:rFonts w:hint="default" w:ascii="宋体" w:hAnsi="宋体"/>
          <w:color w:val="auto"/>
          <w:szCs w:val="21"/>
          <w:highlight w:val="none"/>
        </w:rPr>
        <w:t>情形。评委</w:t>
      </w:r>
      <w:r>
        <w:rPr>
          <w:rFonts w:ascii="宋体" w:hAnsi="宋体"/>
          <w:color w:val="auto"/>
          <w:szCs w:val="21"/>
          <w:highlight w:val="none"/>
        </w:rPr>
        <w:t>发现</w:t>
      </w:r>
      <w:r>
        <w:rPr>
          <w:rFonts w:hint="default" w:ascii="宋体" w:hAnsi="宋体"/>
          <w:color w:val="auto"/>
          <w:szCs w:val="21"/>
          <w:highlight w:val="none"/>
        </w:rPr>
        <w:t>资格审查文件</w:t>
      </w:r>
      <w:r>
        <w:rPr>
          <w:rFonts w:ascii="宋体" w:hAnsi="宋体"/>
          <w:color w:val="auto"/>
          <w:szCs w:val="21"/>
          <w:highlight w:val="none"/>
        </w:rPr>
        <w:t>中</w:t>
      </w:r>
      <w:r>
        <w:rPr>
          <w:rFonts w:hint="default" w:ascii="宋体" w:hAnsi="宋体"/>
          <w:color w:val="auto"/>
          <w:szCs w:val="21"/>
          <w:highlight w:val="none"/>
        </w:rPr>
        <w:t>含义不明确</w:t>
      </w:r>
      <w:r>
        <w:rPr>
          <w:rFonts w:ascii="宋体" w:hAnsi="宋体"/>
          <w:color w:val="auto"/>
          <w:szCs w:val="21"/>
          <w:highlight w:val="none"/>
        </w:rPr>
        <w:t>、对同类问题表述不一致、有明显</w:t>
      </w:r>
      <w:r>
        <w:rPr>
          <w:rFonts w:hint="default" w:ascii="宋体" w:hAnsi="宋体"/>
          <w:color w:val="auto"/>
          <w:szCs w:val="21"/>
          <w:highlight w:val="none"/>
        </w:rPr>
        <w:t>文字</w:t>
      </w:r>
      <w:r>
        <w:rPr>
          <w:rFonts w:ascii="宋体" w:hAnsi="宋体"/>
          <w:color w:val="auto"/>
          <w:szCs w:val="21"/>
          <w:highlight w:val="none"/>
        </w:rPr>
        <w:t>和计算错误的，应当</w:t>
      </w:r>
      <w:r>
        <w:rPr>
          <w:rFonts w:hint="default" w:ascii="宋体" w:hAnsi="宋体"/>
          <w:color w:val="auto"/>
          <w:szCs w:val="21"/>
          <w:highlight w:val="none"/>
        </w:rPr>
        <w:t>要求</w:t>
      </w:r>
      <w:r>
        <w:rPr>
          <w:rFonts w:ascii="宋体" w:hAnsi="宋体"/>
          <w:color w:val="auto"/>
          <w:szCs w:val="21"/>
          <w:highlight w:val="none"/>
        </w:rPr>
        <w:t>投标人作必要的澄清、说明</w:t>
      </w:r>
      <w:r>
        <w:rPr>
          <w:rFonts w:hint="default" w:ascii="宋体" w:hAnsi="宋体"/>
          <w:color w:val="auto"/>
          <w:szCs w:val="21"/>
          <w:highlight w:val="none"/>
        </w:rPr>
        <w:t>后再判定投标人是否通过资格审查</w:t>
      </w:r>
      <w:r>
        <w:rPr>
          <w:rFonts w:ascii="宋体" w:hAnsi="宋体"/>
          <w:color w:val="auto"/>
          <w:szCs w:val="21"/>
          <w:highlight w:val="none"/>
        </w:rPr>
        <w:t>，不得直接</w:t>
      </w:r>
      <w:r>
        <w:rPr>
          <w:rFonts w:hint="default" w:ascii="宋体" w:hAnsi="宋体"/>
          <w:color w:val="auto"/>
          <w:szCs w:val="21"/>
          <w:highlight w:val="none"/>
        </w:rPr>
        <w:t>认定其不通过资格审查。</w:t>
      </w:r>
    </w:p>
    <w:p>
      <w:pPr>
        <w:spacing w:line="240" w:lineRule="auto"/>
        <w:ind w:firstLine="470" w:firstLineChars="224"/>
        <w:jc w:val="left"/>
        <w:rPr>
          <w:rFonts w:ascii="宋体" w:hAnsi="宋体" w:eastAsia="宋体" w:cs="Times New Roman"/>
          <w:color w:val="auto"/>
          <w:szCs w:val="21"/>
          <w:highlight w:val="none"/>
        </w:rPr>
        <w:sectPr>
          <w:footerReference r:id="rId16" w:type="first"/>
          <w:footerReference r:id="rId15" w:type="default"/>
          <w:endnotePr>
            <w:numFmt w:val="decimal"/>
          </w:endnotePr>
          <w:pgSz w:w="11906" w:h="16838"/>
          <w:pgMar w:top="1134" w:right="1418" w:bottom="1247" w:left="1418" w:header="851" w:footer="907" w:gutter="0"/>
          <w:pgNumType w:fmt="decimal"/>
          <w:cols w:space="720" w:num="1"/>
          <w:docGrid w:type="lines" w:linePitch="312" w:charSpace="0"/>
        </w:sectPr>
      </w:pPr>
      <w:r>
        <w:rPr>
          <w:rFonts w:hint="eastAsia"/>
          <w:kern w:val="0"/>
          <w:szCs w:val="21"/>
        </w:rPr>
        <w:t>评委签名：                                  日期：</w:t>
      </w:r>
    </w:p>
    <w:p>
      <w:pPr>
        <w:rPr>
          <w:color w:val="auto"/>
          <w:szCs w:val="21"/>
          <w:highlight w:val="none"/>
        </w:rPr>
      </w:pPr>
      <w:r>
        <w:rPr>
          <w:rFonts w:hint="eastAsia"/>
          <w:color w:val="auto"/>
          <w:szCs w:val="21"/>
          <w:highlight w:val="none"/>
        </w:rPr>
        <w:t>附表二</w:t>
      </w:r>
    </w:p>
    <w:p>
      <w:pPr>
        <w:jc w:val="center"/>
        <w:outlineLvl w:val="2"/>
        <w:rPr>
          <w:b/>
          <w:color w:val="auto"/>
          <w:sz w:val="36"/>
          <w:szCs w:val="36"/>
          <w:highlight w:val="none"/>
        </w:rPr>
      </w:pPr>
      <w:bookmarkStart w:id="46" w:name="_Toc14534"/>
      <w:bookmarkStart w:id="47" w:name="_Toc17204"/>
      <w:r>
        <w:rPr>
          <w:rFonts w:hint="eastAsia"/>
          <w:b/>
          <w:color w:val="auto"/>
          <w:sz w:val="36"/>
          <w:szCs w:val="36"/>
          <w:highlight w:val="none"/>
        </w:rPr>
        <w:t>技术标有效性审查表</w:t>
      </w:r>
      <w:bookmarkEnd w:id="46"/>
      <w:bookmarkEnd w:id="47"/>
    </w:p>
    <w:p>
      <w:pPr>
        <w:rPr>
          <w:color w:val="auto"/>
          <w:szCs w:val="21"/>
          <w:highlight w:val="none"/>
        </w:rPr>
      </w:pPr>
      <w:r>
        <w:rPr>
          <w:rFonts w:hint="eastAsia"/>
          <w:color w:val="auto"/>
          <w:szCs w:val="21"/>
          <w:highlight w:val="none"/>
        </w:rPr>
        <w:t>工程名称：</w:t>
      </w:r>
    </w:p>
    <w:tbl>
      <w:tblPr>
        <w:tblStyle w:val="38"/>
        <w:tblW w:w="14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5158"/>
        <w:gridCol w:w="1350"/>
        <w:gridCol w:w="1416"/>
        <w:gridCol w:w="1400"/>
        <w:gridCol w:w="1584"/>
        <w:gridCol w:w="1500"/>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5158"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投标人</w:t>
            </w: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3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1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515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不能满足完成投标项目工期的；</w:t>
            </w:r>
          </w:p>
        </w:tc>
        <w:tc>
          <w:tcPr>
            <w:tcW w:w="13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1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515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不符合招标文件及有关技术规格、质量要求、检验标准和方法的；</w:t>
            </w:r>
          </w:p>
        </w:tc>
        <w:tc>
          <w:tcPr>
            <w:tcW w:w="13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1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3</w:t>
            </w:r>
          </w:p>
        </w:tc>
        <w:tc>
          <w:tcPr>
            <w:tcW w:w="515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投标文件中没有有效的法定代表人证明书，或由委托代理人签署的投标文件中没有法定代表人授权书；</w:t>
            </w:r>
          </w:p>
        </w:tc>
        <w:tc>
          <w:tcPr>
            <w:tcW w:w="13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1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4</w:t>
            </w:r>
          </w:p>
        </w:tc>
        <w:tc>
          <w:tcPr>
            <w:tcW w:w="515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w:t>
            </w:r>
          </w:p>
        </w:tc>
        <w:tc>
          <w:tcPr>
            <w:tcW w:w="13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1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5</w:t>
            </w:r>
          </w:p>
        </w:tc>
        <w:tc>
          <w:tcPr>
            <w:tcW w:w="515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3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41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4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5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5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151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6</w:t>
            </w:r>
          </w:p>
        </w:tc>
        <w:tc>
          <w:tcPr>
            <w:tcW w:w="515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3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1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7</w:t>
            </w:r>
          </w:p>
        </w:tc>
        <w:tc>
          <w:tcPr>
            <w:tcW w:w="515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投标人未按要求提交投标保证金的</w:t>
            </w:r>
          </w:p>
        </w:tc>
        <w:tc>
          <w:tcPr>
            <w:tcW w:w="13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1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8</w:t>
            </w:r>
          </w:p>
        </w:tc>
        <w:tc>
          <w:tcPr>
            <w:tcW w:w="515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投标人与</w:t>
            </w:r>
            <w:r>
              <w:rPr>
                <w:rFonts w:hint="eastAsia" w:ascii="宋体" w:hAnsi="宋体"/>
                <w:color w:val="auto"/>
                <w:szCs w:val="21"/>
                <w:highlight w:val="none"/>
                <w:lang w:val="en-US" w:eastAsia="zh-CN"/>
              </w:rPr>
              <w:t>本项目</w:t>
            </w:r>
            <w:r>
              <w:rPr>
                <w:rFonts w:hint="eastAsia" w:ascii="宋体" w:hAnsi="宋体"/>
                <w:color w:val="auto"/>
                <w:szCs w:val="21"/>
                <w:highlight w:val="none"/>
              </w:rPr>
              <w:t>其他投标人加密打包投标文件电脑机器特征码一致的(以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35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16"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00"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1519"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auto"/>
          <w:szCs w:val="21"/>
          <w:highlight w:val="none"/>
        </w:rPr>
      </w:pPr>
      <w:r>
        <w:rPr>
          <w:rFonts w:hint="eastAsia" w:ascii="宋体" w:hAnsi="宋体"/>
          <w:color w:val="auto"/>
          <w:szCs w:val="21"/>
          <w:highlight w:val="none"/>
        </w:rPr>
        <w:t xml:space="preserve">    2</w:t>
      </w:r>
      <w:r>
        <w:rPr>
          <w:rFonts w:ascii="宋体" w:hAnsi="宋体"/>
          <w:color w:val="auto"/>
          <w:szCs w:val="21"/>
          <w:highlight w:val="none"/>
        </w:rPr>
        <w:t>.</w:t>
      </w:r>
      <w:r>
        <w:rPr>
          <w:rFonts w:hint="eastAsia" w:ascii="宋体" w:hAnsi="宋体"/>
          <w:color w:val="auto"/>
          <w:szCs w:val="21"/>
          <w:highlight w:val="none"/>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ascii="宋体" w:hAnsi="宋体"/>
          <w:color w:val="auto"/>
          <w:szCs w:val="21"/>
          <w:highlight w:val="none"/>
        </w:rPr>
      </w:pPr>
      <w:r>
        <w:rPr>
          <w:rFonts w:hint="eastAsia" w:ascii="宋体" w:hAnsi="宋体"/>
          <w:color w:val="auto"/>
          <w:szCs w:val="21"/>
          <w:highlight w:val="none"/>
        </w:rPr>
        <w:t xml:space="preserve">    3</w:t>
      </w:r>
      <w:r>
        <w:rPr>
          <w:rFonts w:ascii="宋体" w:hAnsi="宋体"/>
          <w:color w:val="auto"/>
          <w:szCs w:val="21"/>
          <w:highlight w:val="none"/>
        </w:rPr>
        <w:t>.</w:t>
      </w:r>
      <w:r>
        <w:rPr>
          <w:rFonts w:hint="eastAsia" w:ascii="宋体" w:hAnsi="宋体"/>
          <w:color w:val="auto"/>
          <w:szCs w:val="21"/>
          <w:highlight w:val="none"/>
        </w:rPr>
        <w:t>凡出现以上任何一项情形，结论均为无效，否则就为有效。</w:t>
      </w:r>
    </w:p>
    <w:p>
      <w:pPr>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ind w:firstLine="630" w:firstLineChars="300"/>
        <w:rPr>
          <w:rFonts w:hint="eastAsia" w:ascii="宋体" w:hAnsi="宋体" w:eastAsia="宋体"/>
          <w:color w:val="auto"/>
          <w:szCs w:val="21"/>
          <w:highlight w:val="none"/>
          <w:lang w:val="en-US" w:eastAsia="zh-CN"/>
        </w:rPr>
      </w:pPr>
      <w:r>
        <w:rPr>
          <w:rFonts w:hint="eastAsia" w:ascii="宋体" w:hAnsi="宋体"/>
          <w:color w:val="auto"/>
          <w:szCs w:val="21"/>
          <w:highlight w:val="none"/>
        </w:rPr>
        <w:t>评委签名：</w:t>
      </w:r>
      <w:r>
        <w:rPr>
          <w:rFonts w:hint="eastAsia" w:ascii="宋体" w:hAnsi="宋体"/>
          <w:color w:val="auto"/>
          <w:szCs w:val="21"/>
          <w:highlight w:val="none"/>
          <w:lang w:val="en-US" w:eastAsia="zh-CN"/>
        </w:rPr>
        <w:t xml:space="preserve">                                   日期：</w:t>
      </w:r>
    </w:p>
    <w:p>
      <w:pPr>
        <w:rPr>
          <w:color w:val="auto"/>
          <w:szCs w:val="21"/>
          <w:highlight w:val="none"/>
        </w:rPr>
      </w:pPr>
      <w:r>
        <w:rPr>
          <w:color w:val="auto"/>
          <w:highlight w:val="none"/>
        </w:rPr>
        <w:br w:type="page"/>
      </w:r>
      <w:r>
        <w:rPr>
          <w:rFonts w:hint="eastAsia"/>
          <w:color w:val="auto"/>
          <w:szCs w:val="21"/>
          <w:highlight w:val="none"/>
        </w:rPr>
        <w:t>附表三</w:t>
      </w:r>
    </w:p>
    <w:p>
      <w:pPr>
        <w:jc w:val="center"/>
        <w:outlineLvl w:val="2"/>
        <w:rPr>
          <w:b/>
          <w:color w:val="auto"/>
          <w:sz w:val="36"/>
          <w:szCs w:val="36"/>
          <w:highlight w:val="none"/>
        </w:rPr>
      </w:pPr>
      <w:bookmarkStart w:id="48" w:name="_Toc30681"/>
      <w:bookmarkStart w:id="49" w:name="_Toc875"/>
      <w:r>
        <w:rPr>
          <w:rFonts w:hint="eastAsia"/>
          <w:b/>
          <w:color w:val="auto"/>
          <w:sz w:val="36"/>
          <w:szCs w:val="36"/>
          <w:highlight w:val="none"/>
        </w:rPr>
        <w:t>经济标有效性审查表</w:t>
      </w:r>
      <w:bookmarkEnd w:id="48"/>
      <w:bookmarkEnd w:id="49"/>
    </w:p>
    <w:p>
      <w:pPr>
        <w:rPr>
          <w:color w:val="auto"/>
          <w:szCs w:val="21"/>
          <w:highlight w:val="none"/>
        </w:rPr>
      </w:pPr>
      <w:r>
        <w:rPr>
          <w:rFonts w:hint="eastAsia"/>
          <w:color w:val="auto"/>
          <w:szCs w:val="21"/>
          <w:highlight w:val="none"/>
        </w:rPr>
        <w:t>工程名称：</w:t>
      </w:r>
    </w:p>
    <w:tbl>
      <w:tblPr>
        <w:tblStyle w:val="38"/>
        <w:tblW w:w="15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830"/>
        <w:gridCol w:w="1223"/>
        <w:gridCol w:w="1290"/>
        <w:gridCol w:w="950"/>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6830"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投标人</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评审内容</w:t>
            </w:r>
          </w:p>
        </w:tc>
        <w:tc>
          <w:tcPr>
            <w:tcW w:w="12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w:t>
            </w:r>
          </w:p>
        </w:tc>
        <w:tc>
          <w:tcPr>
            <w:tcW w:w="683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2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w:t>
            </w:r>
          </w:p>
        </w:tc>
        <w:tc>
          <w:tcPr>
            <w:tcW w:w="683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投标报价高于最高投标限价的；</w:t>
            </w:r>
          </w:p>
        </w:tc>
        <w:tc>
          <w:tcPr>
            <w:tcW w:w="12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w:t>
            </w:r>
          </w:p>
        </w:tc>
        <w:tc>
          <w:tcPr>
            <w:tcW w:w="68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auto"/>
                <w:szCs w:val="21"/>
                <w:highlight w:val="none"/>
              </w:rPr>
            </w:pPr>
            <w:r>
              <w:rPr>
                <w:rFonts w:hint="eastAsia" w:ascii="宋体" w:hAnsi="宋体"/>
                <w:color w:val="auto"/>
                <w:szCs w:val="21"/>
                <w:highlight w:val="none"/>
              </w:rPr>
              <w:t>投标报价低于成本的；</w:t>
            </w:r>
          </w:p>
        </w:tc>
        <w:tc>
          <w:tcPr>
            <w:tcW w:w="12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4</w:t>
            </w:r>
          </w:p>
        </w:tc>
        <w:tc>
          <w:tcPr>
            <w:tcW w:w="683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p>
        </w:tc>
        <w:tc>
          <w:tcPr>
            <w:tcW w:w="12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5</w:t>
            </w:r>
          </w:p>
        </w:tc>
        <w:tc>
          <w:tcPr>
            <w:tcW w:w="683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w:t>
            </w:r>
          </w:p>
        </w:tc>
        <w:tc>
          <w:tcPr>
            <w:tcW w:w="12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6</w:t>
            </w:r>
          </w:p>
        </w:tc>
        <w:tc>
          <w:tcPr>
            <w:tcW w:w="683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2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7</w:t>
            </w:r>
          </w:p>
        </w:tc>
        <w:tc>
          <w:tcPr>
            <w:tcW w:w="683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2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8</w:t>
            </w:r>
          </w:p>
        </w:tc>
        <w:tc>
          <w:tcPr>
            <w:tcW w:w="683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2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9</w:t>
            </w:r>
          </w:p>
        </w:tc>
        <w:tc>
          <w:tcPr>
            <w:tcW w:w="683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12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32"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68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投标人与本项目其他投标人的投标文件工程量清单编制机器样件信息一致的（以</w:t>
            </w:r>
            <w:r>
              <w:rPr>
                <w:rFonts w:hint="eastAsia" w:ascii="宋体" w:hAnsi="宋体"/>
                <w:color w:val="auto"/>
                <w:szCs w:val="21"/>
                <w:highlight w:val="none"/>
                <w:u w:val="single"/>
                <w:lang w:eastAsia="zh-CN"/>
              </w:rPr>
              <w:t>广州公共资源交易中心</w:t>
            </w:r>
            <w:r>
              <w:rPr>
                <w:rFonts w:hint="eastAsia" w:ascii="宋体" w:hAnsi="宋体"/>
                <w:color w:val="auto"/>
                <w:szCs w:val="21"/>
                <w:highlight w:val="none"/>
                <w:u w:val="none"/>
                <w:lang w:eastAsia="zh-CN"/>
              </w:rPr>
              <w:t>交易平台评标系统的检索信息为准</w:t>
            </w:r>
            <w:r>
              <w:rPr>
                <w:rFonts w:hint="eastAsia" w:ascii="宋体" w:hAnsi="宋体"/>
                <w:color w:val="auto"/>
                <w:szCs w:val="21"/>
                <w:highlight w:val="none"/>
                <w:lang w:eastAsia="zh-CN"/>
              </w:rPr>
              <w:t>）</w:t>
            </w:r>
          </w:p>
        </w:tc>
        <w:tc>
          <w:tcPr>
            <w:tcW w:w="12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29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ind w:firstLine="458"/>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w:t>
      </w:r>
    </w:p>
    <w:p>
      <w:pPr>
        <w:ind w:firstLine="458"/>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凡出现以上任何一项情形，结论均为无效，否则就为有效。</w:t>
      </w:r>
    </w:p>
    <w:p>
      <w:pPr>
        <w:ind w:firstLine="458"/>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ind w:firstLine="458"/>
      </w:pPr>
      <w:r>
        <w:rPr>
          <w:rFonts w:hint="eastAsia" w:ascii="宋体" w:hAnsi="宋体" w:eastAsia="宋体" w:cs="Times New Roman"/>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37"/>
        <w:ind w:firstLine="458"/>
        <w:rPr>
          <w:rFonts w:hint="eastAsia" w:ascii="宋体" w:hAnsi="宋体" w:eastAsia="宋体"/>
          <w:color w:val="auto"/>
          <w:szCs w:val="21"/>
          <w:highlight w:val="none"/>
          <w:lang w:val="en-US" w:eastAsia="zh-CN"/>
        </w:rPr>
        <w:sectPr>
          <w:endnotePr>
            <w:numFmt w:val="decimal"/>
          </w:endnotePr>
          <w:pgSz w:w="16838" w:h="11906" w:orient="landscape"/>
          <w:pgMar w:top="1418" w:right="1247" w:bottom="1418" w:left="1134" w:header="851" w:footer="907" w:gutter="0"/>
          <w:pgNumType w:fmt="decimal"/>
          <w:cols w:space="720" w:num="1"/>
          <w:titlePg/>
          <w:docGrid w:type="lines" w:linePitch="312" w:charSpace="0"/>
        </w:sectPr>
      </w:pPr>
      <w:r>
        <w:rPr>
          <w:rFonts w:hint="eastAsia" w:ascii="宋体" w:hAnsi="宋体"/>
          <w:color w:val="auto"/>
          <w:szCs w:val="21"/>
          <w:highlight w:val="none"/>
        </w:rPr>
        <w:t>评委签名：</w:t>
      </w:r>
      <w:r>
        <w:rPr>
          <w:rFonts w:hint="eastAsia" w:ascii="宋体" w:hAnsi="宋体"/>
          <w:color w:val="auto"/>
          <w:szCs w:val="21"/>
          <w:highlight w:val="none"/>
          <w:lang w:val="en-US" w:eastAsia="zh-CN"/>
        </w:rPr>
        <w:t xml:space="preserve">                                         日期：</w:t>
      </w:r>
    </w:p>
    <w:p>
      <w:pPr>
        <w:jc w:val="left"/>
        <w:rPr>
          <w:color w:val="auto"/>
          <w:szCs w:val="21"/>
          <w:highlight w:val="none"/>
        </w:rPr>
      </w:pPr>
      <w:r>
        <w:rPr>
          <w:rFonts w:hint="eastAsia"/>
          <w:color w:val="auto"/>
          <w:szCs w:val="21"/>
          <w:highlight w:val="none"/>
        </w:rPr>
        <w:t xml:space="preserve">附表四                                      </w:t>
      </w:r>
    </w:p>
    <w:p>
      <w:pPr>
        <w:jc w:val="center"/>
        <w:outlineLvl w:val="2"/>
        <w:rPr>
          <w:rFonts w:ascii="宋体" w:hAnsi="宋体"/>
          <w:color w:val="auto"/>
          <w:highlight w:val="none"/>
        </w:rPr>
      </w:pPr>
      <w:bookmarkStart w:id="50" w:name="_Toc15528"/>
      <w:bookmarkStart w:id="51" w:name="_Toc25779"/>
      <w:r>
        <w:rPr>
          <w:rFonts w:hint="eastAsia" w:ascii="宋体" w:hAnsi="宋体"/>
          <w:b/>
          <w:color w:val="auto"/>
          <w:sz w:val="36"/>
          <w:szCs w:val="36"/>
          <w:highlight w:val="none"/>
        </w:rPr>
        <w:t>技术标详细审查评分表</w:t>
      </w:r>
      <w:bookmarkEnd w:id="50"/>
      <w:bookmarkEnd w:id="51"/>
    </w:p>
    <w:tbl>
      <w:tblPr>
        <w:tblStyle w:val="38"/>
        <w:tblW w:w="14856"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7"/>
        <w:gridCol w:w="650"/>
        <w:gridCol w:w="12074"/>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blHeader/>
          <w:jc w:val="center"/>
        </w:trPr>
        <w:tc>
          <w:tcPr>
            <w:tcW w:w="1065"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jc w:val="center"/>
              <w:rPr>
                <w:rFonts w:ascii="宋体" w:hAnsi="宋体"/>
                <w:color w:val="auto"/>
                <w:szCs w:val="21"/>
                <w:highlight w:val="none"/>
              </w:rPr>
            </w:pPr>
            <w:r>
              <w:rPr>
                <w:rFonts w:hint="eastAsia" w:ascii="宋体" w:hAnsi="宋体"/>
                <w:color w:val="auto"/>
                <w:szCs w:val="21"/>
                <w:highlight w:val="none"/>
              </w:rPr>
              <w:t>评分项目</w:t>
            </w:r>
          </w:p>
        </w:tc>
        <w:tc>
          <w:tcPr>
            <w:tcW w:w="10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auto"/>
                <w:szCs w:val="21"/>
                <w:highlight w:val="none"/>
              </w:rPr>
            </w:pPr>
            <w:r>
              <w:rPr>
                <w:rFonts w:hint="eastAsia" w:ascii="宋体" w:hAnsi="宋体"/>
                <w:color w:val="auto"/>
                <w:szCs w:val="21"/>
                <w:highlight w:val="none"/>
              </w:rPr>
              <w:t>评分内容</w:t>
            </w:r>
          </w:p>
        </w:tc>
        <w:tc>
          <w:tcPr>
            <w:tcW w:w="650"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auto"/>
                <w:szCs w:val="21"/>
                <w:highlight w:val="none"/>
              </w:rPr>
            </w:pPr>
            <w:r>
              <w:rPr>
                <w:rFonts w:hint="eastAsia" w:ascii="宋体" w:hAnsi="宋体"/>
                <w:color w:val="auto"/>
                <w:szCs w:val="21"/>
                <w:highlight w:val="none"/>
              </w:rPr>
              <w:t>分值</w:t>
            </w:r>
          </w:p>
        </w:tc>
        <w:tc>
          <w:tcPr>
            <w:tcW w:w="12074"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color w:val="auto"/>
                <w:szCs w:val="21"/>
                <w:highlight w:val="none"/>
              </w:rPr>
            </w:pPr>
            <w:r>
              <w:rPr>
                <w:rFonts w:hint="eastAsia" w:ascii="宋体" w:hAnsi="宋体"/>
                <w:color w:val="auto"/>
                <w:szCs w:val="21"/>
                <w:highlight w:val="none"/>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1065" w:type="dxa"/>
            <w:tcBorders>
              <w:top w:val="single" w:color="auto" w:sz="4" w:space="0"/>
              <w:left w:val="single" w:color="auto" w:sz="8" w:space="0"/>
              <w:right w:val="single" w:color="auto" w:sz="4" w:space="0"/>
            </w:tcBorders>
            <w:vAlign w:val="center"/>
          </w:tcPr>
          <w:p>
            <w:pPr>
              <w:pStyle w:val="19"/>
              <w:rPr>
                <w:rFonts w:hint="eastAsia" w:ascii="宋体" w:hAnsi="宋体" w:eastAsia="宋体" w:cs="宋体"/>
                <w:color w:val="auto"/>
                <w:szCs w:val="21"/>
                <w:highlight w:val="none"/>
              </w:rPr>
            </w:pPr>
            <w:r>
              <w:rPr>
                <w:rFonts w:hint="eastAsia" w:ascii="宋体" w:hAnsi="宋体" w:eastAsia="宋体" w:cs="宋体"/>
                <w:szCs w:val="21"/>
                <w:highlight w:val="none"/>
              </w:rPr>
              <w:t>项目管理机构能力</w:t>
            </w:r>
          </w:p>
        </w:tc>
        <w:tc>
          <w:tcPr>
            <w:tcW w:w="1067" w:type="dxa"/>
            <w:tcBorders>
              <w:top w:val="single" w:color="auto" w:sz="4" w:space="0"/>
              <w:left w:val="single" w:color="auto" w:sz="4" w:space="0"/>
              <w:right w:val="single" w:color="auto" w:sz="4" w:space="0"/>
            </w:tcBorders>
            <w:vAlign w:val="center"/>
          </w:tcPr>
          <w:p>
            <w:pPr>
              <w:pStyle w:val="135"/>
              <w:jc w:val="center"/>
              <w:rPr>
                <w:rFonts w:hint="eastAsia" w:ascii="宋体" w:hAnsi="宋体" w:eastAsia="宋体" w:cs="宋体"/>
                <w:color w:val="auto"/>
                <w:kern w:val="2"/>
                <w:sz w:val="21"/>
                <w:szCs w:val="21"/>
                <w:highlight w:val="none"/>
                <w:lang w:eastAsia="zh-CN"/>
              </w:rPr>
            </w:pPr>
          </w:p>
          <w:p>
            <w:pPr>
              <w:pStyle w:val="135"/>
              <w:jc w:val="center"/>
              <w:rPr>
                <w:rFonts w:hint="eastAsia" w:ascii="宋体" w:hAnsi="宋体" w:eastAsia="宋体" w:cs="宋体"/>
                <w:color w:val="auto"/>
                <w:kern w:val="2"/>
                <w:sz w:val="21"/>
                <w:szCs w:val="21"/>
                <w:highlight w:val="none"/>
              </w:rPr>
            </w:pPr>
          </w:p>
          <w:p>
            <w:pPr>
              <w:pStyle w:val="135"/>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项目管理机构</w:t>
            </w:r>
          </w:p>
          <w:p>
            <w:pPr>
              <w:tabs>
                <w:tab w:val="left" w:pos="360"/>
              </w:tabs>
              <w:snapToGrid w:val="0"/>
              <w:jc w:val="center"/>
              <w:rPr>
                <w:rFonts w:hint="eastAsia" w:ascii="宋体" w:hAnsi="宋体" w:eastAsia="宋体" w:cs="宋体"/>
                <w:color w:val="auto"/>
                <w:kern w:val="2"/>
                <w:sz w:val="21"/>
                <w:szCs w:val="21"/>
                <w:highlight w:val="none"/>
                <w:lang w:val="en-US" w:eastAsia="zh-CN" w:bidi="ar-SA"/>
              </w:rPr>
            </w:pPr>
          </w:p>
          <w:p>
            <w:pPr>
              <w:tabs>
                <w:tab w:val="left" w:pos="360"/>
              </w:tabs>
              <w:snapToGrid w:val="0"/>
              <w:jc w:val="center"/>
              <w:rPr>
                <w:rFonts w:hint="eastAsia" w:ascii="宋体" w:hAnsi="宋体" w:eastAsia="宋体" w:cs="宋体"/>
                <w:color w:val="auto"/>
                <w:kern w:val="2"/>
                <w:sz w:val="21"/>
                <w:szCs w:val="21"/>
                <w:highlight w:val="none"/>
                <w:lang w:val="en-US" w:eastAsia="zh-CN"/>
              </w:rPr>
            </w:pPr>
          </w:p>
        </w:tc>
        <w:tc>
          <w:tcPr>
            <w:tcW w:w="650" w:type="dxa"/>
            <w:tcBorders>
              <w:top w:val="single" w:color="auto" w:sz="4" w:space="0"/>
              <w:left w:val="single" w:color="auto" w:sz="4" w:space="0"/>
              <w:right w:val="single" w:color="auto" w:sz="4" w:space="0"/>
            </w:tcBorders>
            <w:vAlign w:val="center"/>
          </w:tcPr>
          <w:p>
            <w:pPr>
              <w:tabs>
                <w:tab w:val="left" w:pos="360"/>
              </w:tabs>
              <w:snapToGrid w:val="0"/>
              <w:jc w:val="center"/>
              <w:rPr>
                <w:rFonts w:hint="eastAsia" w:ascii="宋体" w:hAnsi="宋体" w:eastAsia="宋体" w:cs="宋体"/>
                <w:color w:val="auto"/>
                <w:kern w:val="2"/>
                <w:sz w:val="21"/>
                <w:szCs w:val="21"/>
                <w:highlight w:val="none"/>
                <w:lang w:val="en-US" w:eastAsia="zh-CN"/>
              </w:rPr>
            </w:pPr>
          </w:p>
          <w:p>
            <w:pPr>
              <w:tabs>
                <w:tab w:val="left" w:pos="360"/>
              </w:tabs>
              <w:snapToGrid w:val="0"/>
              <w:jc w:val="center"/>
              <w:rPr>
                <w:rFonts w:hint="eastAsia" w:ascii="宋体" w:hAnsi="宋体" w:eastAsia="宋体" w:cs="宋体"/>
                <w:color w:val="auto"/>
                <w:sz w:val="21"/>
                <w:szCs w:val="21"/>
                <w:highlight w:val="none"/>
              </w:rPr>
            </w:pPr>
          </w:p>
          <w:p>
            <w:pPr>
              <w:tabs>
                <w:tab w:val="left" w:pos="360"/>
              </w:tabs>
              <w:snapToGrid w:val="0"/>
              <w:jc w:val="center"/>
              <w:rPr>
                <w:rFonts w:hint="eastAsia" w:ascii="宋体" w:hAnsi="宋体" w:eastAsia="宋体" w:cs="宋体"/>
                <w:color w:val="auto"/>
                <w:sz w:val="21"/>
                <w:szCs w:val="21"/>
                <w:highlight w:val="none"/>
              </w:rPr>
            </w:pPr>
            <w:r>
              <w:rPr>
                <w:rFonts w:hint="eastAsia" w:ascii="宋体" w:hAnsi="宋体" w:eastAsia="宋体" w:cs="宋体"/>
                <w:kern w:val="2"/>
                <w:sz w:val="21"/>
                <w:szCs w:val="21"/>
                <w:highlight w:val="none"/>
                <w:lang w:val="en-US" w:eastAsia="zh-CN"/>
              </w:rPr>
              <w:t>14</w:t>
            </w:r>
          </w:p>
          <w:p>
            <w:pPr>
              <w:tabs>
                <w:tab w:val="left" w:pos="360"/>
              </w:tabs>
              <w:snapToGrid w:val="0"/>
              <w:jc w:val="center"/>
              <w:rPr>
                <w:rFonts w:hint="eastAsia" w:ascii="宋体" w:hAnsi="宋体" w:eastAsia="宋体" w:cs="宋体"/>
                <w:color w:val="auto"/>
                <w:sz w:val="21"/>
                <w:szCs w:val="21"/>
                <w:highlight w:val="none"/>
              </w:rPr>
            </w:pPr>
          </w:p>
          <w:p>
            <w:pPr>
              <w:tabs>
                <w:tab w:val="left" w:pos="360"/>
              </w:tabs>
              <w:snapToGrid w:val="0"/>
              <w:jc w:val="center"/>
              <w:rPr>
                <w:rFonts w:hint="eastAsia" w:ascii="宋体" w:hAnsi="宋体" w:eastAsia="宋体" w:cs="宋体"/>
                <w:color w:val="auto"/>
                <w:kern w:val="2"/>
                <w:sz w:val="21"/>
                <w:szCs w:val="21"/>
                <w:highlight w:val="none"/>
                <w:lang w:val="en-US" w:eastAsia="zh-CN" w:bidi="ar-SA"/>
              </w:rPr>
            </w:pPr>
          </w:p>
          <w:p>
            <w:pPr>
              <w:tabs>
                <w:tab w:val="left" w:pos="360"/>
              </w:tabs>
              <w:snapToGrid w:val="0"/>
              <w:jc w:val="center"/>
              <w:rPr>
                <w:rFonts w:hint="eastAsia" w:ascii="宋体" w:hAnsi="宋体" w:eastAsia="宋体" w:cs="宋体"/>
                <w:color w:val="auto"/>
                <w:kern w:val="2"/>
                <w:sz w:val="21"/>
                <w:szCs w:val="21"/>
                <w:highlight w:val="none"/>
                <w:lang w:val="en-US" w:eastAsia="zh-CN"/>
              </w:rPr>
            </w:pPr>
          </w:p>
        </w:tc>
        <w:tc>
          <w:tcPr>
            <w:tcW w:w="12074"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snapToGrid w:val="0"/>
              <w:spacing w:beforeLines="20" w:afterLines="20"/>
              <w:ind w:left="-48" w:leftChars="-23"/>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项目管理机构人员配备满足附表四附件《投标人投入主要</w:t>
            </w:r>
            <w:r>
              <w:rPr>
                <w:rFonts w:hint="eastAsia" w:ascii="宋体" w:hAnsi="宋体" w:eastAsia="宋体" w:cs="宋体"/>
                <w:color w:val="auto"/>
                <w:kern w:val="2"/>
                <w:sz w:val="21"/>
                <w:szCs w:val="21"/>
                <w:highlight w:val="none"/>
                <w:lang w:val="en-US" w:eastAsia="zh-CN"/>
              </w:rPr>
              <w:t>骨干</w:t>
            </w:r>
            <w:r>
              <w:rPr>
                <w:rFonts w:hint="eastAsia" w:ascii="宋体" w:hAnsi="宋体" w:eastAsia="宋体" w:cs="宋体"/>
                <w:color w:val="auto"/>
                <w:kern w:val="2"/>
                <w:sz w:val="21"/>
                <w:szCs w:val="21"/>
                <w:highlight w:val="none"/>
              </w:rPr>
              <w:t>人员</w:t>
            </w:r>
            <w:r>
              <w:rPr>
                <w:rFonts w:hint="eastAsia" w:ascii="宋体" w:hAnsi="宋体" w:eastAsia="宋体" w:cs="宋体"/>
                <w:color w:val="auto"/>
                <w:kern w:val="2"/>
                <w:sz w:val="21"/>
                <w:szCs w:val="21"/>
                <w:highlight w:val="none"/>
                <w:lang w:val="en-US" w:eastAsia="zh-CN"/>
              </w:rPr>
              <w:t>基本</w:t>
            </w:r>
            <w:r>
              <w:rPr>
                <w:rFonts w:hint="eastAsia" w:ascii="宋体" w:hAnsi="宋体" w:eastAsia="宋体" w:cs="宋体"/>
                <w:color w:val="auto"/>
                <w:kern w:val="2"/>
                <w:sz w:val="21"/>
                <w:szCs w:val="21"/>
                <w:highlight w:val="none"/>
              </w:rPr>
              <w:t>表》的得基础分</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分，不满足《投标人投入主要</w:t>
            </w:r>
            <w:r>
              <w:rPr>
                <w:rFonts w:hint="eastAsia" w:ascii="宋体" w:hAnsi="宋体" w:eastAsia="宋体" w:cs="宋体"/>
                <w:color w:val="auto"/>
                <w:kern w:val="2"/>
                <w:sz w:val="21"/>
                <w:szCs w:val="21"/>
                <w:highlight w:val="none"/>
                <w:lang w:val="en-US" w:eastAsia="zh-CN"/>
              </w:rPr>
              <w:t>骨干</w:t>
            </w:r>
            <w:r>
              <w:rPr>
                <w:rFonts w:hint="eastAsia" w:ascii="宋体" w:hAnsi="宋体" w:eastAsia="宋体" w:cs="宋体"/>
                <w:color w:val="auto"/>
                <w:kern w:val="2"/>
                <w:sz w:val="21"/>
                <w:szCs w:val="21"/>
                <w:highlight w:val="none"/>
              </w:rPr>
              <w:t>人员</w:t>
            </w:r>
            <w:r>
              <w:rPr>
                <w:rFonts w:hint="eastAsia" w:ascii="宋体" w:hAnsi="宋体" w:eastAsia="宋体" w:cs="宋体"/>
                <w:color w:val="auto"/>
                <w:kern w:val="2"/>
                <w:sz w:val="21"/>
                <w:szCs w:val="21"/>
                <w:highlight w:val="none"/>
                <w:lang w:val="en-US" w:eastAsia="zh-CN"/>
              </w:rPr>
              <w:t>基本</w:t>
            </w:r>
            <w:r>
              <w:rPr>
                <w:rFonts w:hint="eastAsia" w:ascii="宋体" w:hAnsi="宋体" w:eastAsia="宋体" w:cs="宋体"/>
                <w:color w:val="auto"/>
                <w:kern w:val="2"/>
                <w:sz w:val="21"/>
                <w:szCs w:val="21"/>
                <w:highlight w:val="none"/>
              </w:rPr>
              <w:t>表》的本项得0分。在满足《投标人投入主要</w:t>
            </w:r>
            <w:r>
              <w:rPr>
                <w:rFonts w:hint="eastAsia" w:ascii="宋体" w:hAnsi="宋体" w:eastAsia="宋体" w:cs="宋体"/>
                <w:color w:val="auto"/>
                <w:kern w:val="2"/>
                <w:sz w:val="21"/>
                <w:szCs w:val="21"/>
                <w:highlight w:val="none"/>
                <w:lang w:val="en-US" w:eastAsia="zh-CN"/>
              </w:rPr>
              <w:t>骨干</w:t>
            </w:r>
            <w:r>
              <w:rPr>
                <w:rFonts w:hint="eastAsia" w:ascii="宋体" w:hAnsi="宋体" w:eastAsia="宋体" w:cs="宋体"/>
                <w:color w:val="auto"/>
                <w:kern w:val="2"/>
                <w:sz w:val="21"/>
                <w:szCs w:val="21"/>
                <w:highlight w:val="none"/>
              </w:rPr>
              <w:t>人员</w:t>
            </w:r>
            <w:r>
              <w:rPr>
                <w:rFonts w:hint="eastAsia" w:ascii="宋体" w:hAnsi="宋体" w:eastAsia="宋体" w:cs="宋体"/>
                <w:color w:val="auto"/>
                <w:kern w:val="2"/>
                <w:sz w:val="21"/>
                <w:szCs w:val="21"/>
                <w:highlight w:val="none"/>
                <w:lang w:val="en-US" w:eastAsia="zh-CN"/>
              </w:rPr>
              <w:t>基本</w:t>
            </w:r>
            <w:r>
              <w:rPr>
                <w:rFonts w:hint="eastAsia" w:ascii="宋体" w:hAnsi="宋体" w:eastAsia="宋体" w:cs="宋体"/>
                <w:color w:val="auto"/>
                <w:kern w:val="2"/>
                <w:sz w:val="21"/>
                <w:szCs w:val="21"/>
                <w:highlight w:val="none"/>
              </w:rPr>
              <w:t>表》的基础上：</w:t>
            </w:r>
          </w:p>
          <w:p>
            <w:pPr>
              <w:widowControl/>
              <w:numPr>
                <w:ilvl w:val="0"/>
                <w:numId w:val="0"/>
              </w:numPr>
              <w:snapToGrid w:val="0"/>
              <w:spacing w:beforeLines="20" w:afterLines="20"/>
              <w:ind w:left="-48" w:leftChars="-23"/>
              <w:jc w:val="left"/>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rPr>
              <w:t>(1)</w:t>
            </w:r>
            <w:r>
              <w:rPr>
                <w:rFonts w:hint="eastAsia" w:ascii="宋体" w:hAnsi="宋体" w:eastAsia="宋体" w:cs="宋体"/>
                <w:b/>
                <w:bCs/>
                <w:color w:val="auto"/>
                <w:kern w:val="2"/>
                <w:sz w:val="21"/>
                <w:szCs w:val="21"/>
                <w:highlight w:val="none"/>
                <w:lang w:val="en-US" w:eastAsia="zh-CN"/>
              </w:rPr>
              <w:t>项目负责人（1分）：</w:t>
            </w:r>
          </w:p>
          <w:p>
            <w:pPr>
              <w:widowControl/>
              <w:numPr>
                <w:ilvl w:val="0"/>
                <w:numId w:val="0"/>
              </w:numPr>
              <w:snapToGrid w:val="0"/>
              <w:spacing w:beforeLines="20" w:afterLines="20"/>
              <w:ind w:left="-48" w:leftChars="-23"/>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①</w:t>
            </w:r>
            <w:r>
              <w:rPr>
                <w:rFonts w:hint="eastAsia" w:ascii="宋体" w:hAnsi="宋体" w:eastAsia="宋体" w:cs="宋体"/>
                <w:color w:val="auto"/>
                <w:kern w:val="2"/>
                <w:sz w:val="21"/>
                <w:szCs w:val="21"/>
                <w:highlight w:val="none"/>
                <w:lang w:val="en-US" w:eastAsia="zh-CN"/>
              </w:rPr>
              <w:t>从事项目</w:t>
            </w:r>
            <w:r>
              <w:rPr>
                <w:rFonts w:hint="eastAsia" w:ascii="宋体" w:hAnsi="宋体" w:eastAsia="宋体" w:cs="宋体"/>
                <w:color w:val="auto"/>
                <w:kern w:val="2"/>
                <w:sz w:val="21"/>
                <w:szCs w:val="21"/>
                <w:highlight w:val="none"/>
              </w:rPr>
              <w:t>管理经验</w:t>
            </w:r>
            <w:r>
              <w:rPr>
                <w:rFonts w:hint="eastAsia" w:ascii="宋体" w:hAnsi="宋体" w:eastAsia="宋体" w:cs="宋体"/>
                <w:color w:val="auto"/>
                <w:kern w:val="2"/>
                <w:sz w:val="21"/>
                <w:szCs w:val="21"/>
                <w:highlight w:val="none"/>
                <w:lang w:val="en-US" w:eastAsia="zh-CN"/>
              </w:rPr>
              <w:t>25</w:t>
            </w:r>
            <w:r>
              <w:rPr>
                <w:rFonts w:hint="eastAsia" w:ascii="宋体" w:hAnsi="宋体" w:eastAsia="宋体" w:cs="宋体"/>
                <w:color w:val="auto"/>
                <w:kern w:val="2"/>
                <w:sz w:val="21"/>
                <w:szCs w:val="21"/>
                <w:highlight w:val="none"/>
              </w:rPr>
              <w:t>年(或以上)的，</w:t>
            </w:r>
            <w:r>
              <w:rPr>
                <w:rFonts w:hint="eastAsia" w:ascii="宋体" w:hAnsi="宋体" w:eastAsia="宋体" w:cs="宋体"/>
                <w:color w:val="auto"/>
                <w:kern w:val="2"/>
                <w:sz w:val="21"/>
                <w:szCs w:val="21"/>
                <w:highlight w:val="none"/>
                <w:lang w:val="en-US" w:eastAsia="zh-CN"/>
              </w:rPr>
              <w:t>得0.5</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val="en-US" w:eastAsia="zh-CN"/>
              </w:rPr>
              <w:t>10～24年的，得0.25分；不足10</w:t>
            </w:r>
            <w:r>
              <w:rPr>
                <w:rFonts w:hint="eastAsia" w:ascii="宋体" w:hAnsi="宋体" w:eastAsia="宋体" w:cs="宋体"/>
                <w:color w:val="auto"/>
                <w:kern w:val="2"/>
                <w:sz w:val="21"/>
                <w:szCs w:val="21"/>
                <w:highlight w:val="none"/>
              </w:rPr>
              <w:t>年的，</w:t>
            </w:r>
            <w:r>
              <w:rPr>
                <w:rFonts w:hint="eastAsia" w:ascii="宋体" w:hAnsi="宋体" w:eastAsia="宋体" w:cs="宋体"/>
                <w:color w:val="auto"/>
                <w:kern w:val="2"/>
                <w:sz w:val="21"/>
                <w:szCs w:val="21"/>
                <w:highlight w:val="none"/>
                <w:lang w:val="en-US" w:eastAsia="zh-CN"/>
              </w:rPr>
              <w:t>得0.1</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w:t>
            </w:r>
          </w:p>
          <w:p>
            <w:pPr>
              <w:widowControl/>
              <w:numPr>
                <w:ilvl w:val="0"/>
                <w:numId w:val="0"/>
              </w:numPr>
              <w:snapToGrid w:val="0"/>
              <w:spacing w:beforeLines="20" w:afterLines="20"/>
              <w:ind w:left="-48" w:leftChars="-23"/>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②20</w:t>
            </w:r>
            <w:r>
              <w:rPr>
                <w:rFonts w:hint="eastAsia" w:ascii="宋体" w:hAnsi="宋体" w:eastAsia="宋体" w:cs="宋体"/>
                <w:color w:val="auto"/>
                <w:kern w:val="2"/>
                <w:sz w:val="21"/>
                <w:szCs w:val="21"/>
                <w:highlight w:val="none"/>
                <w:lang w:eastAsia="zh-CN"/>
              </w:rPr>
              <w:t>2</w:t>
            </w:r>
            <w:r>
              <w:rPr>
                <w:rFonts w:hint="eastAsia" w:ascii="宋体" w:hAnsi="宋体" w:eastAsia="宋体" w:cs="宋体"/>
                <w:color w:val="auto"/>
                <w:kern w:val="2"/>
                <w:sz w:val="21"/>
                <w:szCs w:val="21"/>
                <w:highlight w:val="none"/>
                <w:lang w:val="en-US" w:eastAsia="zh-CN"/>
              </w:rPr>
              <w:t>0</w:t>
            </w:r>
            <w:r>
              <w:rPr>
                <w:rFonts w:hint="eastAsia" w:ascii="宋体" w:hAnsi="宋体" w:eastAsia="宋体" w:cs="宋体"/>
                <w:color w:val="auto"/>
                <w:kern w:val="2"/>
                <w:sz w:val="21"/>
                <w:szCs w:val="21"/>
                <w:highlight w:val="none"/>
              </w:rPr>
              <w:t>年1月1日至投标截止时间止，</w:t>
            </w:r>
            <w:r>
              <w:rPr>
                <w:rFonts w:hint="eastAsia" w:ascii="宋体" w:hAnsi="宋体" w:eastAsia="宋体" w:cs="宋体"/>
                <w:color w:val="auto"/>
                <w:kern w:val="2"/>
                <w:sz w:val="21"/>
                <w:szCs w:val="21"/>
                <w:highlight w:val="none"/>
                <w:lang w:val="en-US" w:eastAsia="zh-CN"/>
              </w:rPr>
              <w:t>担任</w:t>
            </w:r>
            <w:r>
              <w:rPr>
                <w:rFonts w:hint="eastAsia" w:ascii="宋体" w:hAnsi="宋体" w:eastAsia="宋体" w:cs="宋体"/>
                <w:color w:val="auto"/>
                <w:kern w:val="2"/>
                <w:sz w:val="21"/>
                <w:szCs w:val="21"/>
                <w:highlight w:val="none"/>
                <w:lang w:eastAsia="zh-CN"/>
              </w:rPr>
              <w:t>项目负责人</w:t>
            </w:r>
            <w:r>
              <w:rPr>
                <w:rFonts w:hint="eastAsia" w:ascii="宋体" w:hAnsi="宋体" w:eastAsia="宋体" w:cs="宋体"/>
                <w:color w:val="auto"/>
                <w:kern w:val="2"/>
                <w:sz w:val="21"/>
                <w:szCs w:val="21"/>
                <w:highlight w:val="none"/>
              </w:rPr>
              <w:t>完成过质量合格的</w:t>
            </w:r>
            <w:r>
              <w:rPr>
                <w:rFonts w:hint="eastAsia" w:ascii="宋体" w:hAnsi="宋体" w:eastAsia="宋体" w:cs="宋体"/>
                <w:color w:val="auto"/>
                <w:kern w:val="2"/>
                <w:sz w:val="21"/>
                <w:szCs w:val="21"/>
                <w:highlight w:val="none"/>
                <w:lang w:val="en-US" w:eastAsia="zh-CN"/>
              </w:rPr>
              <w:t>建筑工程施工总承包业绩</w:t>
            </w:r>
            <w:r>
              <w:rPr>
                <w:rFonts w:hint="eastAsia" w:ascii="宋体" w:hAnsi="宋体" w:eastAsia="宋体" w:cs="宋体"/>
                <w:color w:val="auto"/>
                <w:kern w:val="2"/>
                <w:sz w:val="21"/>
                <w:szCs w:val="21"/>
                <w:highlight w:val="none"/>
              </w:rPr>
              <w:t>的，每项得</w:t>
            </w:r>
            <w:r>
              <w:rPr>
                <w:rFonts w:hint="eastAsia" w:ascii="宋体" w:hAnsi="宋体" w:eastAsia="宋体" w:cs="宋体"/>
                <w:color w:val="auto"/>
                <w:kern w:val="2"/>
                <w:sz w:val="21"/>
                <w:szCs w:val="21"/>
                <w:highlight w:val="none"/>
                <w:lang w:val="en-US" w:eastAsia="zh-CN"/>
              </w:rPr>
              <w:t>0.5</w:t>
            </w:r>
            <w:r>
              <w:rPr>
                <w:rFonts w:hint="eastAsia" w:ascii="宋体" w:hAnsi="宋体" w:eastAsia="宋体" w:cs="宋体"/>
                <w:color w:val="auto"/>
                <w:kern w:val="2"/>
                <w:sz w:val="21"/>
                <w:szCs w:val="21"/>
                <w:highlight w:val="none"/>
              </w:rPr>
              <w:t>分，最多得</w:t>
            </w:r>
            <w:r>
              <w:rPr>
                <w:rFonts w:hint="eastAsia" w:ascii="宋体" w:hAnsi="宋体" w:eastAsia="宋体" w:cs="宋体"/>
                <w:color w:val="auto"/>
                <w:kern w:val="2"/>
                <w:sz w:val="21"/>
                <w:szCs w:val="21"/>
                <w:highlight w:val="none"/>
                <w:lang w:val="en-US" w:eastAsia="zh-CN"/>
              </w:rPr>
              <w:t xml:space="preserve">0.5 </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w:t>
            </w:r>
          </w:p>
          <w:p>
            <w:pPr>
              <w:widowControl/>
              <w:numPr>
                <w:ilvl w:val="0"/>
                <w:numId w:val="0"/>
              </w:numPr>
              <w:snapToGrid w:val="0"/>
              <w:spacing w:beforeLines="20" w:afterLines="20"/>
              <w:ind w:left="-48" w:leftChars="-23"/>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2</w:t>
            </w:r>
            <w:r>
              <w:rPr>
                <w:rFonts w:hint="eastAsia" w:ascii="宋体" w:hAnsi="宋体" w:eastAsia="宋体" w:cs="宋体"/>
                <w:b/>
                <w:bCs/>
                <w:color w:val="auto"/>
                <w:kern w:val="2"/>
                <w:sz w:val="21"/>
                <w:szCs w:val="21"/>
                <w:highlight w:val="none"/>
              </w:rPr>
              <w:t>)技术负责人</w:t>
            </w:r>
            <w:r>
              <w:rPr>
                <w:rFonts w:hint="eastAsia" w:ascii="宋体" w:hAnsi="宋体" w:eastAsia="宋体" w:cs="宋体"/>
                <w:b/>
                <w:bCs/>
                <w:color w:val="auto"/>
                <w:kern w:val="2"/>
                <w:sz w:val="21"/>
                <w:szCs w:val="21"/>
                <w:highlight w:val="none"/>
                <w:lang w:eastAsia="zh-CN"/>
              </w:rPr>
              <w:t>（</w:t>
            </w:r>
            <w:r>
              <w:rPr>
                <w:rFonts w:hint="eastAsia" w:ascii="宋体" w:hAnsi="宋体" w:cs="宋体"/>
                <w:b/>
                <w:bCs/>
                <w:color w:val="auto"/>
                <w:kern w:val="2"/>
                <w:sz w:val="21"/>
                <w:szCs w:val="21"/>
                <w:highlight w:val="none"/>
                <w:lang w:val="en-US" w:eastAsia="zh-CN"/>
              </w:rPr>
              <w:t>1.5</w:t>
            </w:r>
            <w:r>
              <w:rPr>
                <w:rFonts w:hint="eastAsia" w:ascii="宋体" w:hAnsi="宋体" w:eastAsia="宋体" w:cs="宋体"/>
                <w:b/>
                <w:bCs/>
                <w:color w:val="auto"/>
                <w:kern w:val="2"/>
                <w:sz w:val="21"/>
                <w:szCs w:val="21"/>
                <w:highlight w:val="none"/>
                <w:lang w:val="en-US" w:eastAsia="zh-CN"/>
              </w:rPr>
              <w:t>分</w:t>
            </w: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rPr>
              <w:t>：</w:t>
            </w:r>
          </w:p>
          <w:p>
            <w:pPr>
              <w:widowControl/>
              <w:numPr>
                <w:ilvl w:val="0"/>
                <w:numId w:val="0"/>
              </w:numPr>
              <w:snapToGrid w:val="0"/>
              <w:spacing w:beforeLines="20" w:afterLines="20"/>
              <w:ind w:left="-48" w:leftChars="-23"/>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取得建筑工程相关专业高级工程师(或以上)职称</w:t>
            </w:r>
            <w:r>
              <w:rPr>
                <w:rFonts w:hint="eastAsia" w:ascii="宋体" w:hAnsi="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val="en-US" w:eastAsia="zh-CN"/>
              </w:rPr>
              <w:t>年（或以上）的，得1</w:t>
            </w:r>
            <w:r>
              <w:rPr>
                <w:rFonts w:hint="eastAsia" w:ascii="宋体"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en-US" w:eastAsia="zh-CN"/>
              </w:rPr>
              <w:t>分；</w:t>
            </w:r>
            <w:r>
              <w:rPr>
                <w:rFonts w:hint="eastAsia" w:ascii="宋体" w:hAnsi="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en-US" w:eastAsia="zh-CN"/>
              </w:rPr>
              <w:t>年的，得</w:t>
            </w:r>
            <w:r>
              <w:rPr>
                <w:rFonts w:hint="eastAsia" w:ascii="宋体" w:hAnsi="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en-US" w:eastAsia="zh-CN"/>
              </w:rPr>
              <w:t>分；不足</w:t>
            </w:r>
            <w:r>
              <w:rPr>
                <w:rFonts w:hint="eastAsia" w:ascii="宋体"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en-US" w:eastAsia="zh-CN"/>
              </w:rPr>
              <w:t>年的，得0.</w:t>
            </w:r>
            <w:r>
              <w:rPr>
                <w:rFonts w:hint="eastAsia" w:ascii="宋体"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en-US" w:eastAsia="zh-CN"/>
              </w:rPr>
              <w:t>分</w:t>
            </w:r>
            <w:r>
              <w:rPr>
                <w:rFonts w:hint="eastAsia" w:ascii="宋体" w:hAnsi="宋体" w:eastAsia="宋体" w:cs="宋体"/>
                <w:color w:val="auto"/>
                <w:kern w:val="2"/>
                <w:sz w:val="21"/>
                <w:szCs w:val="21"/>
                <w:highlight w:val="none"/>
                <w:lang w:eastAsia="zh-CN"/>
              </w:rPr>
              <w:t>。</w:t>
            </w:r>
          </w:p>
          <w:p>
            <w:pPr>
              <w:widowControl/>
              <w:numPr>
                <w:ilvl w:val="0"/>
                <w:numId w:val="0"/>
              </w:numPr>
              <w:snapToGrid w:val="0"/>
              <w:spacing w:beforeLines="20" w:afterLines="20"/>
              <w:ind w:left="-48" w:leftChars="-23"/>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3</w:t>
            </w:r>
            <w:r>
              <w:rPr>
                <w:rFonts w:hint="eastAsia" w:ascii="宋体" w:hAnsi="宋体" w:eastAsia="宋体" w:cs="宋体"/>
                <w:b/>
                <w:bCs/>
                <w:color w:val="auto"/>
                <w:kern w:val="2"/>
                <w:sz w:val="21"/>
                <w:szCs w:val="21"/>
                <w:highlight w:val="none"/>
              </w:rPr>
              <w:t>)安全负责人</w:t>
            </w: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lang w:val="en-US" w:eastAsia="zh-CN"/>
              </w:rPr>
              <w:t>1分</w:t>
            </w: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rPr>
              <w:t>：</w:t>
            </w:r>
          </w:p>
          <w:p>
            <w:pPr>
              <w:widowControl/>
              <w:numPr>
                <w:ilvl w:val="0"/>
                <w:numId w:val="0"/>
              </w:numPr>
              <w:snapToGrid w:val="0"/>
              <w:spacing w:beforeLines="20" w:afterLines="20"/>
              <w:ind w:left="-48" w:leftChars="-23"/>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①</w:t>
            </w:r>
            <w:r>
              <w:rPr>
                <w:rFonts w:hint="eastAsia" w:ascii="宋体" w:hAnsi="宋体" w:eastAsia="宋体" w:cs="宋体"/>
                <w:color w:val="auto"/>
                <w:kern w:val="2"/>
                <w:sz w:val="21"/>
                <w:szCs w:val="21"/>
                <w:highlight w:val="none"/>
              </w:rPr>
              <w:t>取得建筑施工安全类别注册安全工程师</w:t>
            </w:r>
            <w:r>
              <w:rPr>
                <w:rFonts w:hint="eastAsia" w:ascii="宋体" w:hAnsi="宋体" w:eastAsia="宋体" w:cs="宋体"/>
                <w:color w:val="auto"/>
                <w:kern w:val="2"/>
                <w:sz w:val="21"/>
                <w:szCs w:val="21"/>
                <w:highlight w:val="none"/>
                <w:lang w:val="en-US" w:eastAsia="zh-CN"/>
              </w:rPr>
              <w:t>资格</w:t>
            </w:r>
            <w:r>
              <w:rPr>
                <w:rFonts w:hint="eastAsia" w:ascii="宋体" w:hAnsi="宋体" w:eastAsia="宋体" w:cs="宋体"/>
                <w:color w:val="auto"/>
                <w:kern w:val="2"/>
                <w:sz w:val="21"/>
                <w:szCs w:val="21"/>
                <w:highlight w:val="none"/>
                <w:lang w:eastAsia="zh-CN"/>
              </w:rPr>
              <w:t>年限</w:t>
            </w:r>
            <w:r>
              <w:rPr>
                <w:rFonts w:hint="eastAsia" w:ascii="宋体" w:hAnsi="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val="en-US" w:eastAsia="zh-CN"/>
              </w:rPr>
              <w:t>年（或以上）的，</w:t>
            </w:r>
            <w:r>
              <w:rPr>
                <w:rFonts w:hint="eastAsia" w:ascii="宋体" w:hAnsi="宋体" w:eastAsia="宋体" w:cs="宋体"/>
                <w:color w:val="auto"/>
                <w:kern w:val="2"/>
                <w:sz w:val="21"/>
                <w:szCs w:val="21"/>
                <w:highlight w:val="none"/>
              </w:rPr>
              <w:t>得</w:t>
            </w:r>
            <w:r>
              <w:rPr>
                <w:rFonts w:hint="eastAsia" w:ascii="宋体" w:hAnsi="宋体" w:eastAsia="宋体" w:cs="宋体"/>
                <w:color w:val="auto"/>
                <w:kern w:val="2"/>
                <w:sz w:val="21"/>
                <w:szCs w:val="21"/>
                <w:highlight w:val="none"/>
                <w:lang w:val="en-US" w:eastAsia="zh-CN"/>
              </w:rPr>
              <w:t>0.5</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en-US" w:eastAsia="zh-CN"/>
              </w:rPr>
              <w:t>年的，</w:t>
            </w:r>
            <w:r>
              <w:rPr>
                <w:rFonts w:hint="eastAsia" w:ascii="宋体" w:hAnsi="宋体" w:eastAsia="宋体" w:cs="宋体"/>
                <w:color w:val="auto"/>
                <w:kern w:val="2"/>
                <w:sz w:val="21"/>
                <w:szCs w:val="21"/>
                <w:highlight w:val="none"/>
              </w:rPr>
              <w:t>得</w:t>
            </w:r>
            <w:r>
              <w:rPr>
                <w:rFonts w:hint="eastAsia" w:ascii="宋体" w:hAnsi="宋体" w:eastAsia="宋体" w:cs="宋体"/>
                <w:color w:val="auto"/>
                <w:kern w:val="2"/>
                <w:sz w:val="21"/>
                <w:szCs w:val="21"/>
                <w:highlight w:val="none"/>
                <w:lang w:val="en-US" w:eastAsia="zh-CN"/>
              </w:rPr>
              <w:t>0.25</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val="en-US" w:eastAsia="zh-CN"/>
              </w:rPr>
              <w:t>；不足</w:t>
            </w:r>
            <w:r>
              <w:rPr>
                <w:rFonts w:hint="eastAsia" w:ascii="宋体"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en-US" w:eastAsia="zh-CN"/>
              </w:rPr>
              <w:t>年的，得0.1分</w:t>
            </w:r>
            <w:r>
              <w:rPr>
                <w:rFonts w:hint="eastAsia" w:ascii="宋体" w:hAnsi="宋体" w:eastAsia="宋体" w:cs="宋体"/>
                <w:color w:val="auto"/>
                <w:kern w:val="2"/>
                <w:sz w:val="21"/>
                <w:szCs w:val="21"/>
                <w:highlight w:val="none"/>
                <w:lang w:eastAsia="zh-CN"/>
              </w:rPr>
              <w:t>。</w:t>
            </w:r>
          </w:p>
          <w:p>
            <w:pPr>
              <w:widowControl/>
              <w:numPr>
                <w:ilvl w:val="0"/>
                <w:numId w:val="0"/>
              </w:numPr>
              <w:snapToGrid w:val="0"/>
              <w:spacing w:beforeLines="20" w:afterLines="20"/>
              <w:ind w:left="-48" w:leftChars="-23"/>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②</w:t>
            </w:r>
            <w:r>
              <w:rPr>
                <w:rFonts w:hint="eastAsia" w:ascii="宋体" w:hAnsi="宋体" w:eastAsia="宋体" w:cs="宋体"/>
                <w:color w:val="auto"/>
                <w:kern w:val="2"/>
                <w:sz w:val="21"/>
                <w:szCs w:val="21"/>
                <w:highlight w:val="none"/>
              </w:rPr>
              <w:t>取得建筑施工</w:t>
            </w:r>
            <w:r>
              <w:rPr>
                <w:rFonts w:hint="eastAsia" w:ascii="宋体" w:hAnsi="宋体" w:eastAsia="宋体" w:cs="宋体"/>
                <w:color w:val="auto"/>
                <w:kern w:val="2"/>
                <w:sz w:val="21"/>
                <w:szCs w:val="21"/>
                <w:highlight w:val="none"/>
                <w:lang w:eastAsia="zh-CN"/>
              </w:rPr>
              <w:t>类</w:t>
            </w:r>
            <w:r>
              <w:rPr>
                <w:rFonts w:hint="eastAsia" w:ascii="宋体" w:hAnsi="宋体" w:eastAsia="宋体" w:cs="宋体"/>
                <w:color w:val="auto"/>
                <w:kern w:val="2"/>
                <w:sz w:val="21"/>
                <w:szCs w:val="21"/>
                <w:highlight w:val="none"/>
              </w:rPr>
              <w:t>专业高级工程师(或以上)职称</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或以上</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的</w:t>
            </w:r>
            <w:r>
              <w:rPr>
                <w:rFonts w:hint="eastAsia" w:ascii="宋体" w:hAnsi="宋体" w:eastAsia="宋体" w:cs="宋体"/>
                <w:color w:val="auto"/>
                <w:kern w:val="2"/>
                <w:sz w:val="21"/>
                <w:szCs w:val="21"/>
                <w:highlight w:val="none"/>
              </w:rPr>
              <w:t>，得</w:t>
            </w:r>
            <w:r>
              <w:rPr>
                <w:rFonts w:hint="eastAsia" w:ascii="宋体" w:hAnsi="宋体" w:eastAsia="宋体" w:cs="宋体"/>
                <w:color w:val="auto"/>
                <w:kern w:val="2"/>
                <w:sz w:val="21"/>
                <w:szCs w:val="21"/>
                <w:highlight w:val="none"/>
                <w:lang w:val="en-US" w:eastAsia="zh-CN"/>
              </w:rPr>
              <w:t>0.5</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不足5</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lang w:val="en-US" w:eastAsia="zh-CN"/>
              </w:rPr>
              <w:t>的，得0.25分；</w:t>
            </w:r>
            <w:r>
              <w:rPr>
                <w:rFonts w:hint="eastAsia" w:ascii="宋体" w:hAnsi="宋体" w:cs="宋体"/>
                <w:color w:val="auto"/>
                <w:kern w:val="2"/>
                <w:sz w:val="21"/>
                <w:szCs w:val="21"/>
                <w:highlight w:val="none"/>
                <w:lang w:val="en-US" w:eastAsia="zh-CN"/>
              </w:rPr>
              <w:t>具有</w:t>
            </w:r>
            <w:r>
              <w:rPr>
                <w:rFonts w:hint="eastAsia" w:ascii="宋体" w:hAnsi="宋体" w:eastAsia="宋体" w:cs="宋体"/>
                <w:color w:val="auto"/>
                <w:kern w:val="2"/>
                <w:sz w:val="21"/>
                <w:szCs w:val="21"/>
                <w:highlight w:val="none"/>
              </w:rPr>
              <w:t>建筑施工</w:t>
            </w:r>
            <w:r>
              <w:rPr>
                <w:rFonts w:hint="eastAsia" w:ascii="宋体" w:hAnsi="宋体" w:eastAsia="宋体" w:cs="宋体"/>
                <w:color w:val="auto"/>
                <w:kern w:val="2"/>
                <w:sz w:val="21"/>
                <w:szCs w:val="21"/>
                <w:highlight w:val="none"/>
                <w:lang w:eastAsia="zh-CN"/>
              </w:rPr>
              <w:t>类</w:t>
            </w:r>
            <w:r>
              <w:rPr>
                <w:rFonts w:hint="eastAsia" w:ascii="宋体" w:hAnsi="宋体" w:eastAsia="宋体" w:cs="宋体"/>
                <w:color w:val="auto"/>
                <w:kern w:val="2"/>
                <w:sz w:val="21"/>
                <w:szCs w:val="21"/>
                <w:highlight w:val="none"/>
              </w:rPr>
              <w:t>专业</w:t>
            </w:r>
            <w:r>
              <w:rPr>
                <w:rFonts w:hint="eastAsia" w:ascii="宋体" w:hAnsi="宋体" w:eastAsia="宋体" w:cs="宋体"/>
                <w:color w:val="auto"/>
                <w:kern w:val="2"/>
                <w:sz w:val="21"/>
                <w:szCs w:val="21"/>
                <w:highlight w:val="none"/>
                <w:lang w:val="en-US" w:eastAsia="zh-CN"/>
              </w:rPr>
              <w:t>中级</w:t>
            </w:r>
            <w:r>
              <w:rPr>
                <w:rFonts w:hint="eastAsia" w:ascii="宋体" w:hAnsi="宋体" w:eastAsia="宋体" w:cs="宋体"/>
                <w:color w:val="auto"/>
                <w:kern w:val="2"/>
                <w:sz w:val="21"/>
                <w:szCs w:val="21"/>
                <w:highlight w:val="none"/>
              </w:rPr>
              <w:t>工程师职称</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得0.</w:t>
            </w:r>
            <w:r>
              <w:rPr>
                <w:rFonts w:hint="eastAsia" w:ascii="宋体" w:hAnsi="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en-US" w:eastAsia="zh-CN"/>
              </w:rPr>
              <w:t>分。</w:t>
            </w:r>
          </w:p>
          <w:p>
            <w:pPr>
              <w:widowControl/>
              <w:numPr>
                <w:ilvl w:val="0"/>
                <w:numId w:val="0"/>
              </w:numPr>
              <w:snapToGrid w:val="0"/>
              <w:spacing w:beforeLines="20" w:afterLines="20"/>
              <w:ind w:left="-48" w:leftChars="-23"/>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rPr>
              <w:t>(4)质量负责人（1分）：</w:t>
            </w:r>
          </w:p>
          <w:p>
            <w:pPr>
              <w:widowControl/>
              <w:numPr>
                <w:ilvl w:val="0"/>
                <w:numId w:val="0"/>
              </w:numPr>
              <w:snapToGrid w:val="0"/>
              <w:spacing w:beforeLines="20" w:afterLines="20"/>
              <w:ind w:left="-48" w:leftChars="-23"/>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取得</w:t>
            </w:r>
            <w:r>
              <w:rPr>
                <w:rFonts w:hint="eastAsia" w:ascii="宋体" w:hAnsi="宋体" w:eastAsia="宋体" w:cs="宋体"/>
                <w:color w:val="auto"/>
                <w:kern w:val="2"/>
                <w:sz w:val="21"/>
                <w:szCs w:val="21"/>
                <w:highlight w:val="none"/>
                <w:lang w:val="en-US" w:eastAsia="zh-CN"/>
              </w:rPr>
              <w:t>建筑装饰施工</w:t>
            </w:r>
            <w:r>
              <w:rPr>
                <w:rFonts w:hint="eastAsia" w:ascii="宋体" w:hAnsi="宋体" w:eastAsia="宋体" w:cs="宋体"/>
                <w:color w:val="auto"/>
                <w:kern w:val="2"/>
                <w:sz w:val="21"/>
                <w:szCs w:val="21"/>
                <w:highlight w:val="none"/>
                <w:lang w:eastAsia="zh-CN"/>
              </w:rPr>
              <w:t>类</w:t>
            </w:r>
            <w:r>
              <w:rPr>
                <w:rFonts w:hint="eastAsia" w:ascii="宋体" w:hAnsi="宋体" w:eastAsia="宋体" w:cs="宋体"/>
                <w:color w:val="auto"/>
                <w:kern w:val="2"/>
                <w:sz w:val="21"/>
                <w:szCs w:val="21"/>
                <w:highlight w:val="none"/>
                <w:lang w:val="en-US" w:eastAsia="zh-CN"/>
              </w:rPr>
              <w:t>专业高级工程师(或以上)职称5</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或以上</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的，得1分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不足</w:t>
            </w:r>
            <w:r>
              <w:rPr>
                <w:rFonts w:hint="eastAsia" w:ascii="宋体"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lang w:val="en-US" w:eastAsia="zh-CN"/>
              </w:rPr>
              <w:t>的，得</w:t>
            </w:r>
            <w:r>
              <w:rPr>
                <w:rFonts w:hint="eastAsia" w:ascii="宋体" w:hAnsi="宋体" w:cs="宋体"/>
                <w:color w:val="auto"/>
                <w:kern w:val="2"/>
                <w:sz w:val="21"/>
                <w:szCs w:val="21"/>
                <w:highlight w:val="none"/>
                <w:lang w:val="en-US" w:eastAsia="zh-CN"/>
              </w:rPr>
              <w:t>0.5</w:t>
            </w:r>
            <w:r>
              <w:rPr>
                <w:rFonts w:hint="eastAsia" w:ascii="宋体" w:hAnsi="宋体" w:eastAsia="宋体" w:cs="宋体"/>
                <w:color w:val="auto"/>
                <w:kern w:val="2"/>
                <w:sz w:val="21"/>
                <w:szCs w:val="21"/>
                <w:highlight w:val="none"/>
                <w:lang w:val="en-US" w:eastAsia="zh-CN"/>
              </w:rPr>
              <w:t>分。</w:t>
            </w:r>
          </w:p>
          <w:p>
            <w:pPr>
              <w:widowControl/>
              <w:numPr>
                <w:ilvl w:val="0"/>
                <w:numId w:val="0"/>
              </w:numPr>
              <w:snapToGrid w:val="0"/>
              <w:spacing w:beforeLines="20" w:afterLines="20"/>
              <w:ind w:left="-48" w:leftChars="-23"/>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5</w:t>
            </w:r>
            <w:r>
              <w:rPr>
                <w:rFonts w:hint="eastAsia" w:ascii="宋体" w:hAnsi="宋体" w:eastAsia="宋体" w:cs="宋体"/>
                <w:b/>
                <w:bCs/>
                <w:color w:val="auto"/>
                <w:kern w:val="2"/>
                <w:sz w:val="21"/>
                <w:szCs w:val="21"/>
                <w:highlight w:val="none"/>
              </w:rPr>
              <w:t>)造价负责人</w:t>
            </w: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lang w:val="en-US" w:eastAsia="zh-CN"/>
              </w:rPr>
              <w:t>1分</w:t>
            </w: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rPr>
              <w:t>：</w:t>
            </w:r>
          </w:p>
          <w:p>
            <w:pPr>
              <w:widowControl/>
              <w:numPr>
                <w:ilvl w:val="0"/>
                <w:numId w:val="0"/>
              </w:numPr>
              <w:snapToGrid w:val="0"/>
              <w:spacing w:beforeLines="20" w:afterLines="20"/>
              <w:ind w:left="-48" w:leftChars="-23"/>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取得工程造价类专业高级工程师(或以上)职称5年（或以上）的，得1分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不足</w:t>
            </w:r>
            <w:r>
              <w:rPr>
                <w:rFonts w:hint="eastAsia" w:ascii="宋体"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lang w:val="en-US" w:eastAsia="zh-CN"/>
              </w:rPr>
              <w:t>的，得0.</w:t>
            </w:r>
            <w:r>
              <w:rPr>
                <w:rFonts w:hint="eastAsia" w:ascii="宋体"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en-US" w:eastAsia="zh-CN"/>
              </w:rPr>
              <w:t>分；</w:t>
            </w:r>
            <w:r>
              <w:rPr>
                <w:rFonts w:hint="eastAsia" w:ascii="宋体" w:hAnsi="宋体" w:cs="宋体"/>
                <w:color w:val="auto"/>
                <w:kern w:val="2"/>
                <w:sz w:val="21"/>
                <w:szCs w:val="21"/>
                <w:highlight w:val="none"/>
                <w:lang w:val="en-US" w:eastAsia="zh-CN"/>
              </w:rPr>
              <w:t>具有</w:t>
            </w:r>
            <w:r>
              <w:rPr>
                <w:rFonts w:hint="eastAsia" w:ascii="宋体" w:hAnsi="宋体" w:eastAsia="宋体" w:cs="宋体"/>
                <w:color w:val="auto"/>
                <w:kern w:val="2"/>
                <w:sz w:val="21"/>
                <w:szCs w:val="21"/>
                <w:highlight w:val="none"/>
                <w:lang w:val="en-US" w:eastAsia="zh-CN"/>
              </w:rPr>
              <w:t>工程造价类专业中级</w:t>
            </w:r>
            <w:r>
              <w:rPr>
                <w:rFonts w:hint="eastAsia" w:ascii="宋体" w:hAnsi="宋体" w:eastAsia="宋体" w:cs="宋体"/>
                <w:color w:val="auto"/>
                <w:kern w:val="2"/>
                <w:sz w:val="21"/>
                <w:szCs w:val="21"/>
                <w:highlight w:val="none"/>
              </w:rPr>
              <w:t>工程师职称</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得0.</w:t>
            </w:r>
            <w:r>
              <w:rPr>
                <w:rFonts w:hint="eastAsia" w:ascii="宋体" w:hAnsi="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en-US" w:eastAsia="zh-CN"/>
              </w:rPr>
              <w:t>分。</w:t>
            </w:r>
          </w:p>
          <w:p>
            <w:pPr>
              <w:widowControl/>
              <w:numPr>
                <w:ilvl w:val="0"/>
                <w:numId w:val="0"/>
              </w:numPr>
              <w:snapToGrid w:val="0"/>
              <w:spacing w:beforeLines="20" w:afterLines="20"/>
              <w:ind w:left="-48" w:leftChars="-23"/>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eastAsia="zh-CN"/>
              </w:rPr>
              <w:t>6</w:t>
            </w:r>
            <w:r>
              <w:rPr>
                <w:rFonts w:hint="eastAsia" w:ascii="宋体" w:hAnsi="宋体" w:eastAsia="宋体" w:cs="宋体"/>
                <w:b/>
                <w:bCs/>
                <w:color w:val="auto"/>
                <w:kern w:val="2"/>
                <w:sz w:val="21"/>
                <w:szCs w:val="21"/>
                <w:highlight w:val="none"/>
              </w:rPr>
              <w:t>)</w:t>
            </w:r>
            <w:r>
              <w:rPr>
                <w:rFonts w:hint="eastAsia" w:ascii="宋体" w:hAnsi="宋体" w:cs="宋体"/>
                <w:b/>
                <w:bCs/>
                <w:color w:val="auto"/>
                <w:kern w:val="2"/>
                <w:sz w:val="21"/>
                <w:szCs w:val="21"/>
                <w:highlight w:val="none"/>
                <w:lang w:val="en-US" w:eastAsia="zh-CN"/>
              </w:rPr>
              <w:t>深化</w:t>
            </w:r>
            <w:r>
              <w:rPr>
                <w:rFonts w:hint="eastAsia" w:ascii="宋体" w:hAnsi="宋体" w:eastAsia="宋体" w:cs="宋体"/>
                <w:b/>
                <w:bCs/>
                <w:color w:val="auto"/>
                <w:kern w:val="2"/>
                <w:sz w:val="21"/>
                <w:szCs w:val="21"/>
                <w:highlight w:val="none"/>
                <w:lang w:eastAsia="zh-CN"/>
              </w:rPr>
              <w:t>设计负责人（</w:t>
            </w:r>
            <w:r>
              <w:rPr>
                <w:rFonts w:hint="eastAsia" w:ascii="宋体" w:hAnsi="宋体" w:eastAsia="宋体" w:cs="宋体"/>
                <w:b/>
                <w:bCs/>
                <w:color w:val="auto"/>
                <w:kern w:val="2"/>
                <w:sz w:val="21"/>
                <w:szCs w:val="21"/>
                <w:highlight w:val="none"/>
                <w:lang w:val="en-US" w:eastAsia="zh-CN"/>
              </w:rPr>
              <w:t>1</w:t>
            </w:r>
            <w:r>
              <w:rPr>
                <w:rFonts w:hint="eastAsia" w:ascii="宋体" w:hAnsi="宋体" w:eastAsia="宋体" w:cs="宋体"/>
                <w:b/>
                <w:bCs/>
                <w:color w:val="auto"/>
                <w:kern w:val="2"/>
                <w:sz w:val="21"/>
                <w:szCs w:val="21"/>
                <w:highlight w:val="none"/>
                <w:lang w:eastAsia="zh-CN"/>
              </w:rPr>
              <w:t>分）：</w:t>
            </w:r>
            <w:r>
              <w:rPr>
                <w:rFonts w:hint="eastAsia" w:ascii="宋体" w:hAnsi="宋体" w:eastAsia="宋体" w:cs="宋体"/>
                <w:color w:val="auto"/>
                <w:kern w:val="2"/>
                <w:sz w:val="21"/>
                <w:szCs w:val="21"/>
                <w:highlight w:val="none"/>
              </w:rPr>
              <w:t>取得</w:t>
            </w:r>
            <w:r>
              <w:rPr>
                <w:rFonts w:hint="eastAsia" w:ascii="宋体" w:hAnsi="宋体" w:eastAsia="宋体" w:cs="宋体"/>
                <w:color w:val="auto"/>
                <w:kern w:val="2"/>
                <w:sz w:val="21"/>
                <w:szCs w:val="21"/>
                <w:highlight w:val="none"/>
                <w:lang w:eastAsia="zh-CN"/>
              </w:rPr>
              <w:t>建筑装饰设计类</w:t>
            </w:r>
            <w:r>
              <w:rPr>
                <w:rFonts w:hint="eastAsia" w:ascii="宋体" w:hAnsi="宋体" w:eastAsia="宋体" w:cs="宋体"/>
                <w:color w:val="auto"/>
                <w:kern w:val="2"/>
                <w:sz w:val="21"/>
                <w:szCs w:val="21"/>
                <w:highlight w:val="none"/>
              </w:rPr>
              <w:t>专业高级工程师(或以上)职称</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或以上</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的，</w:t>
            </w:r>
            <w:r>
              <w:rPr>
                <w:rFonts w:hint="eastAsia" w:ascii="宋体" w:hAnsi="宋体" w:eastAsia="宋体" w:cs="宋体"/>
                <w:color w:val="auto"/>
                <w:kern w:val="2"/>
                <w:sz w:val="21"/>
                <w:szCs w:val="21"/>
                <w:highlight w:val="none"/>
                <w:lang w:eastAsia="zh-CN"/>
              </w:rPr>
              <w:t>得</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不足</w:t>
            </w:r>
            <w:r>
              <w:rPr>
                <w:rFonts w:hint="eastAsia" w:ascii="宋体"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lang w:val="en-US" w:eastAsia="zh-CN"/>
              </w:rPr>
              <w:t>的，得0.</w:t>
            </w:r>
            <w:r>
              <w:rPr>
                <w:rFonts w:hint="eastAsia" w:ascii="宋体"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en-US" w:eastAsia="zh-CN"/>
              </w:rPr>
              <w:t>分。</w:t>
            </w:r>
          </w:p>
          <w:p>
            <w:pPr>
              <w:widowControl/>
              <w:numPr>
                <w:ilvl w:val="0"/>
                <w:numId w:val="0"/>
              </w:numPr>
              <w:snapToGrid w:val="0"/>
              <w:spacing w:beforeLines="20" w:afterLines="20"/>
              <w:ind w:left="-48" w:leftChars="-23"/>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(7)上述（1）～（6）项的各负责人（1</w:t>
            </w:r>
            <w:r>
              <w:rPr>
                <w:rFonts w:hint="eastAsia" w:ascii="宋体" w:hAnsi="宋体" w:cs="宋体"/>
                <w:b/>
                <w:bCs/>
                <w:color w:val="auto"/>
                <w:kern w:val="2"/>
                <w:sz w:val="21"/>
                <w:szCs w:val="21"/>
                <w:highlight w:val="none"/>
                <w:lang w:val="en-US" w:eastAsia="zh-CN"/>
              </w:rPr>
              <w:t>.5</w:t>
            </w:r>
            <w:r>
              <w:rPr>
                <w:rFonts w:hint="eastAsia" w:ascii="宋体" w:hAnsi="宋体" w:eastAsia="宋体" w:cs="宋体"/>
                <w:b/>
                <w:bCs/>
                <w:color w:val="auto"/>
                <w:kern w:val="2"/>
                <w:sz w:val="21"/>
                <w:szCs w:val="21"/>
                <w:highlight w:val="none"/>
                <w:lang w:val="en-US" w:eastAsia="zh-CN"/>
              </w:rPr>
              <w:t>分）</w:t>
            </w:r>
            <w:r>
              <w:rPr>
                <w:rFonts w:hint="eastAsia" w:ascii="宋体" w:hAnsi="宋体" w:eastAsia="宋体" w:cs="宋体"/>
                <w:color w:val="auto"/>
                <w:kern w:val="2"/>
                <w:sz w:val="21"/>
                <w:szCs w:val="21"/>
                <w:highlight w:val="none"/>
                <w:lang w:val="en-US" w:eastAsia="zh-CN"/>
              </w:rPr>
              <w:t>，在2020年1月1日至投标截止时间止，任意一人</w:t>
            </w:r>
            <w:r>
              <w:rPr>
                <w:rFonts w:hint="eastAsia" w:ascii="宋体" w:hAnsi="宋体" w:cs="宋体"/>
                <w:color w:val="auto"/>
                <w:kern w:val="2"/>
                <w:sz w:val="21"/>
                <w:szCs w:val="21"/>
                <w:highlight w:val="none"/>
                <w:lang w:val="en-US" w:eastAsia="zh-CN"/>
              </w:rPr>
              <w:t>有</w:t>
            </w:r>
            <w:r>
              <w:rPr>
                <w:rFonts w:hint="eastAsia" w:ascii="宋体" w:hAnsi="宋体" w:cs="宋体"/>
                <w:color w:val="auto"/>
                <w:szCs w:val="21"/>
                <w:lang w:val="en-US" w:eastAsia="zh-CN"/>
              </w:rPr>
              <w:t>担任</w:t>
            </w:r>
            <w:r>
              <w:rPr>
                <w:rFonts w:hint="eastAsia" w:ascii="宋体" w:hAnsi="宋体" w:cs="宋体"/>
                <w:color w:val="auto"/>
                <w:szCs w:val="21"/>
              </w:rPr>
              <w:t>小组成员，获得过项目技术创新QC成果（部优以上）的</w:t>
            </w:r>
            <w:r>
              <w:rPr>
                <w:rFonts w:hint="eastAsia" w:ascii="宋体" w:hAnsi="宋体" w:eastAsia="宋体" w:cs="宋体"/>
                <w:color w:val="auto"/>
                <w:kern w:val="2"/>
                <w:sz w:val="21"/>
                <w:szCs w:val="21"/>
                <w:highlight w:val="none"/>
                <w:lang w:val="en-US" w:eastAsia="zh-CN"/>
              </w:rPr>
              <w:t>，加</w:t>
            </w:r>
            <w:r>
              <w:rPr>
                <w:rFonts w:hint="eastAsia" w:ascii="宋体" w:hAnsi="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lang w:val="en-US" w:eastAsia="zh-CN"/>
              </w:rPr>
              <w:t>分，最多得</w:t>
            </w:r>
            <w:r>
              <w:rPr>
                <w:rFonts w:hint="eastAsia" w:ascii="宋体" w:hAnsi="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lang w:val="en-US" w:eastAsia="zh-CN"/>
              </w:rPr>
              <w:t>分</w:t>
            </w:r>
            <w:r>
              <w:rPr>
                <w:rFonts w:hint="eastAsia" w:ascii="宋体" w:hAnsi="宋体" w:cs="宋体"/>
                <w:color w:val="auto"/>
                <w:kern w:val="2"/>
                <w:sz w:val="21"/>
                <w:szCs w:val="21"/>
                <w:highlight w:val="none"/>
                <w:lang w:val="en-US" w:eastAsia="zh-CN"/>
              </w:rPr>
              <w:t>；</w:t>
            </w:r>
            <w:r>
              <w:rPr>
                <w:rFonts w:hint="eastAsia" w:ascii="宋体" w:hAnsi="宋体" w:cs="宋体"/>
                <w:color w:val="auto"/>
                <w:szCs w:val="21"/>
              </w:rPr>
              <w:t>获得过项目技术创新QC成果（</w:t>
            </w:r>
            <w:r>
              <w:rPr>
                <w:rFonts w:hint="eastAsia" w:ascii="宋体" w:hAnsi="宋体" w:cs="宋体"/>
                <w:color w:val="auto"/>
                <w:szCs w:val="21"/>
                <w:lang w:val="en-US" w:eastAsia="zh-CN"/>
              </w:rPr>
              <w:t>省市级</w:t>
            </w:r>
            <w:r>
              <w:rPr>
                <w:rFonts w:hint="eastAsia" w:ascii="宋体" w:hAnsi="宋体" w:cs="宋体"/>
                <w:color w:val="auto"/>
                <w:szCs w:val="21"/>
              </w:rPr>
              <w:t>）的</w:t>
            </w:r>
            <w:r>
              <w:rPr>
                <w:rFonts w:hint="eastAsia" w:ascii="宋体" w:hAnsi="宋体" w:eastAsia="宋体" w:cs="宋体"/>
                <w:color w:val="auto"/>
                <w:kern w:val="2"/>
                <w:sz w:val="21"/>
                <w:szCs w:val="21"/>
                <w:highlight w:val="none"/>
                <w:lang w:val="en-US" w:eastAsia="zh-CN"/>
              </w:rPr>
              <w:t>，加</w:t>
            </w:r>
            <w:r>
              <w:rPr>
                <w:rFonts w:hint="eastAsia" w:ascii="宋体" w:hAnsi="宋体" w:cs="宋体"/>
                <w:color w:val="auto"/>
                <w:kern w:val="2"/>
                <w:sz w:val="21"/>
                <w:szCs w:val="21"/>
                <w:highlight w:val="none"/>
                <w:lang w:val="en-US" w:eastAsia="zh-CN"/>
              </w:rPr>
              <w:t>0.5</w:t>
            </w:r>
            <w:r>
              <w:rPr>
                <w:rFonts w:hint="eastAsia" w:ascii="宋体" w:hAnsi="宋体" w:eastAsia="宋体" w:cs="宋体"/>
                <w:color w:val="auto"/>
                <w:kern w:val="2"/>
                <w:sz w:val="21"/>
                <w:szCs w:val="21"/>
                <w:highlight w:val="none"/>
                <w:lang w:val="en-US" w:eastAsia="zh-CN"/>
              </w:rPr>
              <w:t>分，最多得</w:t>
            </w:r>
            <w:r>
              <w:rPr>
                <w:rFonts w:hint="eastAsia" w:ascii="宋体" w:hAnsi="宋体" w:cs="宋体"/>
                <w:color w:val="auto"/>
                <w:kern w:val="2"/>
                <w:sz w:val="21"/>
                <w:szCs w:val="21"/>
                <w:highlight w:val="none"/>
                <w:lang w:val="en-US" w:eastAsia="zh-CN"/>
              </w:rPr>
              <w:t>0.5</w:t>
            </w:r>
            <w:r>
              <w:rPr>
                <w:rFonts w:hint="eastAsia" w:ascii="宋体" w:hAnsi="宋体" w:eastAsia="宋体" w:cs="宋体"/>
                <w:color w:val="auto"/>
                <w:kern w:val="2"/>
                <w:sz w:val="21"/>
                <w:szCs w:val="21"/>
                <w:highlight w:val="none"/>
                <w:lang w:val="en-US" w:eastAsia="zh-CN"/>
              </w:rPr>
              <w:t>分。</w:t>
            </w:r>
          </w:p>
          <w:p>
            <w:pPr>
              <w:widowControl/>
              <w:numPr>
                <w:ilvl w:val="0"/>
                <w:numId w:val="0"/>
              </w:numPr>
              <w:snapToGrid w:val="0"/>
              <w:spacing w:beforeLines="20" w:afterLines="20"/>
              <w:ind w:left="-48" w:leftChars="-23"/>
              <w:jc w:val="left"/>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8</w:t>
            </w: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eastAsia="zh-CN"/>
              </w:rPr>
              <w:t>测量</w:t>
            </w:r>
            <w:r>
              <w:rPr>
                <w:rFonts w:hint="eastAsia" w:ascii="宋体" w:hAnsi="宋体" w:eastAsia="宋体" w:cs="宋体"/>
                <w:b/>
                <w:bCs/>
                <w:color w:val="auto"/>
                <w:kern w:val="2"/>
                <w:sz w:val="21"/>
                <w:szCs w:val="21"/>
                <w:highlight w:val="none"/>
              </w:rPr>
              <w:t>工程师（</w:t>
            </w:r>
            <w:r>
              <w:rPr>
                <w:rFonts w:hint="eastAsia" w:ascii="宋体" w:hAnsi="宋体" w:eastAsia="宋体" w:cs="宋体"/>
                <w:b/>
                <w:bCs/>
                <w:color w:val="auto"/>
                <w:kern w:val="2"/>
                <w:sz w:val="21"/>
                <w:szCs w:val="21"/>
                <w:highlight w:val="none"/>
                <w:lang w:val="en-US" w:eastAsia="zh-CN"/>
              </w:rPr>
              <w:t>1</w:t>
            </w:r>
            <w:r>
              <w:rPr>
                <w:rFonts w:hint="eastAsia" w:ascii="宋体" w:hAnsi="宋体" w:eastAsia="宋体" w:cs="宋体"/>
                <w:b/>
                <w:bCs/>
                <w:color w:val="auto"/>
                <w:kern w:val="2"/>
                <w:sz w:val="21"/>
                <w:szCs w:val="21"/>
                <w:highlight w:val="none"/>
              </w:rPr>
              <w:t>分）：</w:t>
            </w:r>
            <w:r>
              <w:rPr>
                <w:rFonts w:hint="eastAsia" w:ascii="宋体" w:hAnsi="宋体" w:eastAsia="宋体" w:cs="宋体"/>
                <w:color w:val="auto"/>
                <w:kern w:val="2"/>
                <w:sz w:val="21"/>
                <w:szCs w:val="21"/>
                <w:highlight w:val="none"/>
              </w:rPr>
              <w:t>取得</w:t>
            </w:r>
            <w:r>
              <w:rPr>
                <w:rFonts w:hint="eastAsia" w:ascii="宋体" w:hAnsi="宋体" w:eastAsia="宋体" w:cs="宋体"/>
                <w:color w:val="auto"/>
                <w:kern w:val="2"/>
                <w:sz w:val="21"/>
                <w:szCs w:val="21"/>
                <w:highlight w:val="none"/>
                <w:lang w:eastAsia="zh-CN"/>
              </w:rPr>
              <w:t>测量</w:t>
            </w:r>
            <w:r>
              <w:rPr>
                <w:rFonts w:hint="eastAsia" w:ascii="宋体" w:hAnsi="宋体" w:eastAsia="宋体" w:cs="宋体"/>
                <w:color w:val="auto"/>
                <w:kern w:val="2"/>
                <w:sz w:val="21"/>
                <w:szCs w:val="21"/>
                <w:highlight w:val="none"/>
              </w:rPr>
              <w:t>专业高级工程师(或以上)职称2年</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或以上</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的，</w:t>
            </w:r>
            <w:r>
              <w:rPr>
                <w:rFonts w:hint="eastAsia" w:ascii="宋体" w:hAnsi="宋体" w:eastAsia="宋体" w:cs="宋体"/>
                <w:color w:val="auto"/>
                <w:kern w:val="2"/>
                <w:sz w:val="21"/>
                <w:szCs w:val="21"/>
                <w:highlight w:val="none"/>
                <w:lang w:eastAsia="zh-CN"/>
              </w:rPr>
              <w:t>得</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不足</w:t>
            </w:r>
            <w:r>
              <w:rPr>
                <w:rFonts w:hint="eastAsia" w:ascii="宋体" w:hAnsi="宋体" w:eastAsia="宋体" w:cs="宋体"/>
                <w:color w:val="auto"/>
                <w:kern w:val="2"/>
                <w:sz w:val="21"/>
                <w:szCs w:val="21"/>
                <w:highlight w:val="none"/>
              </w:rPr>
              <w:t>2年的，</w:t>
            </w:r>
            <w:r>
              <w:rPr>
                <w:rFonts w:hint="eastAsia" w:ascii="宋体" w:hAnsi="宋体" w:eastAsia="宋体" w:cs="宋体"/>
                <w:color w:val="auto"/>
                <w:kern w:val="2"/>
                <w:sz w:val="21"/>
                <w:szCs w:val="21"/>
                <w:highlight w:val="none"/>
                <w:lang w:eastAsia="zh-CN"/>
              </w:rPr>
              <w:t>得</w:t>
            </w:r>
            <w:r>
              <w:rPr>
                <w:rFonts w:hint="eastAsia" w:ascii="宋体" w:hAnsi="宋体" w:eastAsia="宋体" w:cs="宋体"/>
                <w:color w:val="auto"/>
                <w:kern w:val="2"/>
                <w:sz w:val="21"/>
                <w:szCs w:val="21"/>
                <w:highlight w:val="none"/>
                <w:lang w:val="en-US" w:eastAsia="zh-CN"/>
              </w:rPr>
              <w:t>0.5</w:t>
            </w:r>
            <w:r>
              <w:rPr>
                <w:rFonts w:hint="eastAsia" w:ascii="宋体" w:hAnsi="宋体" w:eastAsia="宋体" w:cs="宋体"/>
                <w:color w:val="auto"/>
                <w:kern w:val="2"/>
                <w:sz w:val="21"/>
                <w:szCs w:val="21"/>
                <w:highlight w:val="none"/>
              </w:rPr>
              <w:t>分。</w:t>
            </w:r>
          </w:p>
          <w:p>
            <w:pPr>
              <w:widowControl/>
              <w:numPr>
                <w:ilvl w:val="0"/>
                <w:numId w:val="0"/>
              </w:numPr>
              <w:snapToGrid w:val="0"/>
              <w:spacing w:beforeLines="20" w:afterLines="20"/>
              <w:ind w:left="-48" w:leftChars="-23"/>
              <w:jc w:val="left"/>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9</w:t>
            </w:r>
            <w:r>
              <w:rPr>
                <w:rFonts w:hint="eastAsia" w:ascii="宋体" w:hAnsi="宋体" w:eastAsia="宋体" w:cs="宋体"/>
                <w:b/>
                <w:bCs/>
                <w:color w:val="auto"/>
                <w:kern w:val="2"/>
                <w:sz w:val="21"/>
                <w:szCs w:val="21"/>
                <w:highlight w:val="none"/>
              </w:rPr>
              <w:t>)装修工程师</w:t>
            </w: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lang w:val="en-US" w:eastAsia="zh-CN"/>
              </w:rPr>
              <w:t>2分</w:t>
            </w: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rPr>
              <w:t>：</w:t>
            </w:r>
            <w:r>
              <w:rPr>
                <w:rFonts w:hint="eastAsia" w:ascii="宋体" w:hAnsi="宋体" w:eastAsia="宋体" w:cs="宋体"/>
                <w:color w:val="auto"/>
                <w:kern w:val="2"/>
                <w:sz w:val="21"/>
                <w:szCs w:val="21"/>
                <w:highlight w:val="none"/>
              </w:rPr>
              <w:t>取得建筑装饰施工</w:t>
            </w:r>
            <w:r>
              <w:rPr>
                <w:rFonts w:hint="eastAsia" w:ascii="宋体" w:hAnsi="宋体" w:eastAsia="宋体" w:cs="宋体"/>
                <w:color w:val="auto"/>
                <w:kern w:val="2"/>
                <w:sz w:val="21"/>
                <w:szCs w:val="21"/>
                <w:highlight w:val="none"/>
                <w:lang w:eastAsia="zh-CN"/>
              </w:rPr>
              <w:t>类</w:t>
            </w:r>
            <w:r>
              <w:rPr>
                <w:rFonts w:hint="eastAsia" w:ascii="宋体" w:hAnsi="宋体" w:eastAsia="宋体" w:cs="宋体"/>
                <w:color w:val="auto"/>
                <w:kern w:val="2"/>
                <w:sz w:val="21"/>
                <w:szCs w:val="21"/>
                <w:highlight w:val="none"/>
              </w:rPr>
              <w:t>专业高级工程师(或以上)职称</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或以上）的</w:t>
            </w:r>
            <w:r>
              <w:rPr>
                <w:rFonts w:hint="eastAsia" w:ascii="宋体" w:hAnsi="宋体" w:eastAsia="宋体" w:cs="宋体"/>
                <w:color w:val="auto"/>
                <w:kern w:val="2"/>
                <w:sz w:val="21"/>
                <w:szCs w:val="21"/>
                <w:highlight w:val="none"/>
              </w:rPr>
              <w:t>，每人</w:t>
            </w:r>
            <w:r>
              <w:rPr>
                <w:rFonts w:hint="eastAsia" w:ascii="宋体" w:hAnsi="宋体" w:eastAsia="宋体" w:cs="宋体"/>
                <w:color w:val="auto"/>
                <w:kern w:val="2"/>
                <w:sz w:val="21"/>
                <w:szCs w:val="21"/>
                <w:highlight w:val="none"/>
                <w:lang w:eastAsia="zh-CN"/>
              </w:rPr>
              <w:t>得</w:t>
            </w:r>
            <w:r>
              <w:rPr>
                <w:rFonts w:hint="eastAsia" w:ascii="宋体" w:hAnsi="宋体" w:eastAsia="宋体" w:cs="宋体"/>
                <w:color w:val="auto"/>
                <w:kern w:val="2"/>
                <w:sz w:val="21"/>
                <w:szCs w:val="21"/>
                <w:highlight w:val="none"/>
              </w:rPr>
              <w:t>0.</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不足2</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lang w:val="en-US" w:eastAsia="zh-CN"/>
              </w:rPr>
              <w:t>的</w:t>
            </w:r>
            <w:r>
              <w:rPr>
                <w:rFonts w:hint="eastAsia" w:ascii="宋体" w:hAnsi="宋体" w:eastAsia="宋体" w:cs="宋体"/>
                <w:color w:val="auto"/>
                <w:kern w:val="2"/>
                <w:sz w:val="21"/>
                <w:szCs w:val="21"/>
                <w:highlight w:val="none"/>
              </w:rPr>
              <w:t>，每人</w:t>
            </w:r>
            <w:r>
              <w:rPr>
                <w:rFonts w:hint="eastAsia" w:ascii="宋体" w:hAnsi="宋体" w:eastAsia="宋体" w:cs="宋体"/>
                <w:color w:val="auto"/>
                <w:kern w:val="2"/>
                <w:sz w:val="21"/>
                <w:szCs w:val="21"/>
                <w:highlight w:val="none"/>
                <w:lang w:eastAsia="zh-CN"/>
              </w:rPr>
              <w:t>得</w:t>
            </w:r>
            <w:r>
              <w:rPr>
                <w:rFonts w:hint="eastAsia" w:ascii="宋体" w:hAnsi="宋体" w:eastAsia="宋体" w:cs="宋体"/>
                <w:color w:val="auto"/>
                <w:kern w:val="2"/>
                <w:sz w:val="21"/>
                <w:szCs w:val="21"/>
                <w:highlight w:val="none"/>
              </w:rPr>
              <w:t>0.</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分。</w:t>
            </w:r>
          </w:p>
          <w:p>
            <w:pPr>
              <w:widowControl/>
              <w:snapToGrid w:val="0"/>
              <w:spacing w:beforeLines="20" w:afterLines="20"/>
              <w:ind w:left="-48" w:leftChars="-23"/>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10</w:t>
            </w: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造价</w:t>
            </w:r>
            <w:r>
              <w:rPr>
                <w:rFonts w:hint="eastAsia" w:ascii="宋体" w:hAnsi="宋体" w:eastAsia="宋体" w:cs="宋体"/>
                <w:b/>
                <w:bCs/>
                <w:color w:val="auto"/>
                <w:kern w:val="2"/>
                <w:sz w:val="21"/>
                <w:szCs w:val="21"/>
                <w:highlight w:val="none"/>
              </w:rPr>
              <w:t>工程师</w:t>
            </w: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lang w:val="en-US" w:eastAsia="zh-CN"/>
              </w:rPr>
              <w:t>1分</w:t>
            </w: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rPr>
              <w:t>：</w:t>
            </w:r>
          </w:p>
          <w:p>
            <w:pPr>
              <w:widowControl/>
              <w:snapToGrid w:val="0"/>
              <w:spacing w:beforeLines="20" w:afterLines="20"/>
              <w:ind w:left="-48" w:leftChars="-23"/>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土建专业</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r>
              <w:rPr>
                <w:rFonts w:hint="eastAsia" w:ascii="宋体" w:hAnsi="宋体" w:eastAsia="宋体" w:cs="宋体"/>
                <w:kern w:val="2"/>
                <w:sz w:val="21"/>
                <w:szCs w:val="21"/>
                <w:highlight w:val="none"/>
                <w:lang w:val="en-US" w:eastAsia="zh-CN"/>
              </w:rPr>
              <w:t>具有工程造价类专业工程师(或以上)职称且取得该职称</w:t>
            </w:r>
            <w:r>
              <w:rPr>
                <w:rFonts w:hint="eastAsia" w:ascii="宋体" w:hAnsi="宋体" w:eastAsia="宋体" w:cs="宋体"/>
                <w:kern w:val="2"/>
                <w:sz w:val="21"/>
                <w:szCs w:val="21"/>
                <w:highlight w:val="none"/>
              </w:rPr>
              <w:t>2年</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或以上</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的</w:t>
            </w:r>
            <w:r>
              <w:rPr>
                <w:rFonts w:hint="eastAsia" w:ascii="宋体" w:hAnsi="宋体" w:eastAsia="宋体" w:cs="宋体"/>
                <w:kern w:val="2"/>
                <w:sz w:val="21"/>
                <w:szCs w:val="21"/>
                <w:highlight w:val="none"/>
                <w:lang w:val="en-US" w:eastAsia="zh-CN"/>
              </w:rPr>
              <w:t>，得0.5分；不足</w:t>
            </w:r>
            <w:r>
              <w:rPr>
                <w:rFonts w:hint="eastAsia" w:ascii="宋体" w:hAnsi="宋体" w:eastAsia="宋体" w:cs="宋体"/>
                <w:kern w:val="2"/>
                <w:sz w:val="21"/>
                <w:szCs w:val="21"/>
                <w:highlight w:val="none"/>
              </w:rPr>
              <w:t>2年的</w:t>
            </w:r>
            <w:r>
              <w:rPr>
                <w:rFonts w:hint="eastAsia" w:ascii="宋体" w:hAnsi="宋体" w:eastAsia="宋体" w:cs="宋体"/>
                <w:kern w:val="2"/>
                <w:sz w:val="21"/>
                <w:szCs w:val="21"/>
                <w:highlight w:val="none"/>
                <w:lang w:val="en-US" w:eastAsia="zh-CN"/>
              </w:rPr>
              <w:t>，得0.25分。</w:t>
            </w:r>
          </w:p>
          <w:p>
            <w:pPr>
              <w:widowControl/>
              <w:numPr>
                <w:ilvl w:val="0"/>
                <w:numId w:val="0"/>
              </w:numPr>
              <w:snapToGrid w:val="0"/>
              <w:spacing w:beforeLines="20" w:afterLines="20"/>
              <w:ind w:left="-48" w:leftChars="-23"/>
              <w:jc w:val="left"/>
              <w:rPr>
                <w:rFonts w:hint="eastAsia" w:ascii="宋体" w:hAnsi="宋体" w:eastAsia="宋体" w:cs="宋体"/>
                <w:color w:val="auto"/>
                <w:kern w:val="2"/>
                <w:sz w:val="21"/>
                <w:szCs w:val="21"/>
                <w:highlight w:val="none"/>
              </w:rPr>
            </w:pPr>
            <w:r>
              <w:rPr>
                <w:rFonts w:hint="eastAsia" w:ascii="宋体" w:hAnsi="宋体" w:eastAsia="宋体" w:cs="宋体"/>
                <w:sz w:val="21"/>
                <w:szCs w:val="21"/>
                <w:highlight w:val="none"/>
              </w:rPr>
              <w:t>安装专业</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1人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r>
              <w:rPr>
                <w:rFonts w:hint="eastAsia" w:ascii="宋体" w:hAnsi="宋体" w:eastAsia="宋体" w:cs="宋体"/>
                <w:kern w:val="2"/>
                <w:sz w:val="21"/>
                <w:szCs w:val="21"/>
                <w:highlight w:val="none"/>
                <w:lang w:val="en-US" w:eastAsia="zh-CN"/>
              </w:rPr>
              <w:t>具有工程造价类专业工程师(或以上)职称且取得该职称</w:t>
            </w:r>
            <w:r>
              <w:rPr>
                <w:rFonts w:hint="eastAsia" w:ascii="宋体" w:hAnsi="宋体" w:eastAsia="宋体" w:cs="宋体"/>
                <w:kern w:val="2"/>
                <w:sz w:val="21"/>
                <w:szCs w:val="21"/>
                <w:highlight w:val="none"/>
              </w:rPr>
              <w:t>2年</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或以上</w:t>
            </w:r>
            <w:r>
              <w:rPr>
                <w:rFonts w:hint="eastAsia" w:ascii="宋体" w:hAnsi="宋体" w:eastAsia="宋体" w:cs="宋体"/>
                <w:kern w:val="2"/>
                <w:sz w:val="21"/>
                <w:szCs w:val="21"/>
                <w:highlight w:val="none"/>
                <w:lang w:eastAsia="zh-CN"/>
              </w:rPr>
              <w:t>）</w:t>
            </w:r>
            <w:r>
              <w:rPr>
                <w:rFonts w:hint="eastAsia" w:ascii="宋体" w:hAnsi="宋体" w:eastAsia="宋体" w:cs="宋体"/>
                <w:kern w:val="2"/>
                <w:sz w:val="21"/>
                <w:szCs w:val="21"/>
                <w:highlight w:val="none"/>
              </w:rPr>
              <w:t>的</w:t>
            </w:r>
            <w:r>
              <w:rPr>
                <w:rFonts w:hint="eastAsia" w:ascii="宋体" w:hAnsi="宋体" w:eastAsia="宋体" w:cs="宋体"/>
                <w:kern w:val="2"/>
                <w:sz w:val="21"/>
                <w:szCs w:val="21"/>
                <w:highlight w:val="none"/>
                <w:lang w:val="en-US" w:eastAsia="zh-CN"/>
              </w:rPr>
              <w:t>，得0.5分；不足</w:t>
            </w:r>
            <w:r>
              <w:rPr>
                <w:rFonts w:hint="eastAsia" w:ascii="宋体" w:hAnsi="宋体" w:eastAsia="宋体" w:cs="宋体"/>
                <w:kern w:val="2"/>
                <w:sz w:val="21"/>
                <w:szCs w:val="21"/>
                <w:highlight w:val="none"/>
              </w:rPr>
              <w:t>2年的</w:t>
            </w:r>
            <w:r>
              <w:rPr>
                <w:rFonts w:hint="eastAsia" w:ascii="宋体" w:hAnsi="宋体" w:eastAsia="宋体" w:cs="宋体"/>
                <w:kern w:val="2"/>
                <w:sz w:val="21"/>
                <w:szCs w:val="21"/>
                <w:highlight w:val="none"/>
                <w:lang w:val="en-US" w:eastAsia="zh-CN"/>
              </w:rPr>
              <w:t>，得0.25分。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065" w:type="dxa"/>
            <w:vMerge w:val="restart"/>
            <w:tcBorders>
              <w:left w:val="single" w:color="auto" w:sz="8" w:space="0"/>
              <w:right w:val="single" w:color="auto" w:sz="4" w:space="0"/>
            </w:tcBorders>
            <w:vAlign w:val="center"/>
          </w:tcPr>
          <w:p>
            <w:pPr>
              <w:autoSpaceDE w:val="0"/>
              <w:autoSpaceDN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企业资信</w:t>
            </w:r>
          </w:p>
        </w:tc>
        <w:tc>
          <w:tcPr>
            <w:tcW w:w="106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eastAsia="zh-CN"/>
              </w:rPr>
              <w:t>类似</w:t>
            </w:r>
            <w:r>
              <w:rPr>
                <w:rFonts w:hint="eastAsia" w:ascii="宋体" w:hAnsi="宋体" w:eastAsia="宋体" w:cs="宋体"/>
                <w:color w:val="auto"/>
                <w:szCs w:val="21"/>
                <w:highlight w:val="none"/>
              </w:rPr>
              <w:t>业绩</w:t>
            </w:r>
          </w:p>
        </w:tc>
        <w:tc>
          <w:tcPr>
            <w:tcW w:w="6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w:t>
            </w:r>
          </w:p>
        </w:tc>
        <w:tc>
          <w:tcPr>
            <w:tcW w:w="120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自20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val="zh-CN"/>
              </w:rPr>
              <w:t>年1月1日至投标截止时间止，投标人完成过</w:t>
            </w:r>
            <w:r>
              <w:rPr>
                <w:rFonts w:hint="eastAsia" w:ascii="宋体" w:hAnsi="宋体" w:eastAsia="宋体" w:cs="宋体"/>
                <w:color w:val="auto"/>
                <w:sz w:val="21"/>
                <w:szCs w:val="21"/>
                <w:highlight w:val="none"/>
                <w:lang w:val="zh-CN" w:eastAsia="zh-CN"/>
              </w:rPr>
              <w:t>质量合格的</w:t>
            </w:r>
            <w:r>
              <w:rPr>
                <w:rFonts w:hint="eastAsia" w:ascii="宋体" w:hAnsi="宋体" w:eastAsia="宋体" w:cs="宋体"/>
                <w:color w:val="auto"/>
                <w:sz w:val="21"/>
                <w:szCs w:val="21"/>
                <w:highlight w:val="none"/>
                <w:lang w:val="zh-CN"/>
              </w:rPr>
              <w:t>建筑工程施工总承包项目业绩：</w:t>
            </w:r>
          </w:p>
          <w:p>
            <w:pPr>
              <w:autoSpaceDE w:val="0"/>
              <w:autoSpaceDN w:val="0"/>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累计</w:t>
            </w:r>
            <w:r>
              <w:rPr>
                <w:rFonts w:hint="eastAsia" w:ascii="宋体" w:hAnsi="宋体" w:eastAsia="宋体" w:cs="宋体"/>
                <w:color w:val="auto"/>
                <w:sz w:val="21"/>
                <w:szCs w:val="21"/>
                <w:highlight w:val="none"/>
              </w:rPr>
              <w:t>完成</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项</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rPr>
              <w:t>以上的，得2.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pPr>
              <w:autoSpaceDE w:val="0"/>
              <w:autoSpaceDN w:val="0"/>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累计</w:t>
            </w:r>
            <w:r>
              <w:rPr>
                <w:rFonts w:hint="eastAsia" w:ascii="宋体" w:hAnsi="宋体" w:eastAsia="宋体" w:cs="宋体"/>
                <w:color w:val="auto"/>
                <w:sz w:val="21"/>
                <w:szCs w:val="21"/>
                <w:highlight w:val="none"/>
              </w:rPr>
              <w:t>完成</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highlight w:val="none"/>
              </w:rPr>
              <w:t>项的，得1.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pPr>
              <w:autoSpaceDE w:val="0"/>
              <w:autoSpaceDN w:val="0"/>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累计</w:t>
            </w:r>
            <w:r>
              <w:rPr>
                <w:rFonts w:hint="eastAsia" w:ascii="宋体" w:hAnsi="宋体" w:eastAsia="宋体" w:cs="宋体"/>
                <w:color w:val="auto"/>
                <w:sz w:val="21"/>
                <w:szCs w:val="21"/>
                <w:highlight w:val="none"/>
              </w:rPr>
              <w:t>完成</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项的，得</w:t>
            </w:r>
            <w:r>
              <w:rPr>
                <w:rFonts w:hint="eastAsia" w:ascii="宋体" w:hAnsi="宋体" w:eastAsia="宋体" w:cs="宋体"/>
                <w:color w:val="auto"/>
                <w:sz w:val="21"/>
                <w:szCs w:val="21"/>
                <w:highlight w:val="none"/>
                <w:lang w:val="en-US" w:eastAsia="zh-CN"/>
              </w:rPr>
              <w:t>0.9</w:t>
            </w:r>
            <w:r>
              <w:rPr>
                <w:rFonts w:hint="eastAsia" w:ascii="宋体" w:hAnsi="宋体" w:eastAsia="宋体" w:cs="宋体"/>
                <w:color w:val="auto"/>
                <w:sz w:val="21"/>
                <w:szCs w:val="21"/>
                <w:highlight w:val="none"/>
              </w:rPr>
              <w:t>分；</w:t>
            </w:r>
          </w:p>
          <w:p>
            <w:pPr>
              <w:autoSpaceDE w:val="0"/>
              <w:autoSpaceDN w:val="0"/>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累计</w:t>
            </w:r>
            <w:r>
              <w:rPr>
                <w:rFonts w:hint="eastAsia" w:ascii="宋体" w:hAnsi="宋体" w:eastAsia="宋体" w:cs="宋体"/>
                <w:color w:val="auto"/>
                <w:sz w:val="21"/>
                <w:szCs w:val="21"/>
                <w:highlight w:val="none"/>
              </w:rPr>
              <w:t>完成</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项（含）的，得0.</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autoSpaceDE w:val="0"/>
              <w:autoSpaceDN w:val="0"/>
              <w:adjustRightInd w:val="0"/>
              <w:snapToGrid w:val="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累计</w:t>
            </w:r>
            <w:r>
              <w:rPr>
                <w:rFonts w:hint="eastAsia" w:ascii="宋体" w:hAnsi="宋体" w:eastAsia="宋体" w:cs="宋体"/>
                <w:color w:val="auto"/>
                <w:sz w:val="21"/>
                <w:szCs w:val="21"/>
                <w:highlight w:val="none"/>
              </w:rPr>
              <w:t>完成</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项（含）的，得0.</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autoSpaceDE w:val="0"/>
              <w:autoSpaceDN w:val="0"/>
              <w:adjustRightInd w:val="0"/>
              <w:snapToGrid w:val="0"/>
              <w:jc w:val="left"/>
              <w:rPr>
                <w:rFonts w:hint="eastAsia" w:ascii="宋体" w:hAnsi="宋体" w:eastAsia="宋体" w:cs="宋体"/>
                <w:color w:val="auto"/>
                <w:sz w:val="21"/>
                <w:szCs w:val="21"/>
                <w:highlight w:val="none"/>
                <w:lang w:val="zh-TW"/>
              </w:rPr>
            </w:pPr>
            <w:r>
              <w:rPr>
                <w:rFonts w:hint="eastAsia" w:ascii="宋体" w:hAnsi="宋体" w:eastAsia="宋体" w:cs="宋体"/>
                <w:color w:val="auto"/>
                <w:sz w:val="21"/>
                <w:szCs w:val="21"/>
                <w:highlight w:val="none"/>
                <w:lang w:eastAsia="zh-CN"/>
              </w:rPr>
              <w:t>不符合上述条件的，得</w:t>
            </w:r>
            <w:r>
              <w:rPr>
                <w:rFonts w:hint="eastAsia" w:ascii="宋体" w:hAnsi="宋体" w:eastAsia="宋体" w:cs="宋体"/>
                <w:color w:val="auto"/>
                <w:sz w:val="21"/>
                <w:szCs w:val="21"/>
                <w:highlight w:val="none"/>
                <w:lang w:val="en-US" w:eastAsia="zh-CN"/>
              </w:rPr>
              <w:t>0分。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1065" w:type="dxa"/>
            <w:vMerge w:val="continue"/>
            <w:tcBorders>
              <w:left w:val="single" w:color="auto" w:sz="8" w:space="0"/>
              <w:right w:val="single" w:color="auto" w:sz="4" w:space="0"/>
            </w:tcBorders>
            <w:vAlign w:val="center"/>
          </w:tcPr>
          <w:p>
            <w:pPr>
              <w:autoSpaceDE w:val="0"/>
              <w:autoSpaceDN w:val="0"/>
              <w:adjustRightInd w:val="0"/>
              <w:snapToGrid w:val="0"/>
              <w:jc w:val="center"/>
              <w:rPr>
                <w:rFonts w:hint="eastAsia" w:ascii="宋体" w:hAnsi="宋体" w:eastAsia="宋体" w:cs="宋体"/>
                <w:color w:val="auto"/>
                <w:szCs w:val="21"/>
                <w:highlight w:val="none"/>
              </w:rPr>
            </w:pPr>
          </w:p>
        </w:tc>
        <w:tc>
          <w:tcPr>
            <w:tcW w:w="1067"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jc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工程研发能力</w:t>
            </w:r>
          </w:p>
        </w:tc>
        <w:tc>
          <w:tcPr>
            <w:tcW w:w="650"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1.6</w:t>
            </w:r>
          </w:p>
        </w:tc>
        <w:tc>
          <w:tcPr>
            <w:tcW w:w="120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自2020年1月1日至投标截止时间止，投标人作为主编（或参编）单位编制过工程类的国家或地方或行业标准：</w:t>
            </w:r>
          </w:p>
          <w:p>
            <w:pPr>
              <w:autoSpaceDE w:val="0"/>
              <w:autoSpaceDN w:val="0"/>
              <w:adjustRightInd w:val="0"/>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1）国家标准，每部得0.8分，最高得0.8分；</w:t>
            </w:r>
          </w:p>
          <w:p>
            <w:pPr>
              <w:autoSpaceDE w:val="0"/>
              <w:autoSpaceDN w:val="0"/>
              <w:adjustRightInd w:val="0"/>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2）地方或行业标准，每部得0.2分，最高得0.4分。</w:t>
            </w:r>
          </w:p>
          <w:p>
            <w:pPr>
              <w:autoSpaceDE w:val="0"/>
              <w:autoSpaceDN w:val="0"/>
              <w:adjustRightInd w:val="0"/>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本小项最多得0.8分。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1065" w:type="dxa"/>
            <w:vMerge w:val="continue"/>
            <w:tcBorders>
              <w:left w:val="single" w:color="auto" w:sz="8" w:space="0"/>
              <w:right w:val="single" w:color="auto" w:sz="4" w:space="0"/>
            </w:tcBorders>
            <w:vAlign w:val="center"/>
          </w:tcPr>
          <w:p>
            <w:pPr>
              <w:autoSpaceDE w:val="0"/>
              <w:autoSpaceDN w:val="0"/>
              <w:adjustRightInd w:val="0"/>
              <w:snapToGrid w:val="0"/>
              <w:jc w:val="center"/>
              <w:rPr>
                <w:rFonts w:hint="eastAsia" w:ascii="宋体" w:hAnsi="宋体" w:eastAsia="宋体" w:cs="宋体"/>
              </w:rPr>
            </w:pPr>
          </w:p>
        </w:tc>
        <w:tc>
          <w:tcPr>
            <w:tcW w:w="1067" w:type="dxa"/>
            <w:vMerge w:val="continue"/>
            <w:tcBorders>
              <w:left w:val="single" w:color="auto" w:sz="4" w:space="0"/>
              <w:right w:val="single" w:color="auto" w:sz="4" w:space="0"/>
            </w:tcBorders>
            <w:vAlign w:val="center"/>
          </w:tcPr>
          <w:p>
            <w:pPr>
              <w:autoSpaceDE w:val="0"/>
              <w:autoSpaceDN w:val="0"/>
              <w:adjustRightInd w:val="0"/>
              <w:snapToGrid w:val="0"/>
              <w:jc w:val="center"/>
              <w:rPr>
                <w:rFonts w:hint="eastAsia" w:ascii="宋体" w:hAnsi="宋体" w:eastAsia="宋体" w:cs="宋体"/>
              </w:rPr>
            </w:pPr>
          </w:p>
        </w:tc>
        <w:tc>
          <w:tcPr>
            <w:tcW w:w="650" w:type="dxa"/>
            <w:vMerge w:val="continue"/>
            <w:tcBorders>
              <w:left w:val="single" w:color="auto" w:sz="4" w:space="0"/>
              <w:right w:val="single" w:color="auto" w:sz="4" w:space="0"/>
            </w:tcBorders>
            <w:vAlign w:val="center"/>
          </w:tcPr>
          <w:p>
            <w:pPr>
              <w:autoSpaceDE w:val="0"/>
              <w:autoSpaceDN w:val="0"/>
              <w:adjustRightInd w:val="0"/>
              <w:snapToGrid w:val="0"/>
              <w:jc w:val="center"/>
              <w:rPr>
                <w:rFonts w:hint="eastAsia" w:ascii="宋体" w:hAnsi="宋体" w:eastAsia="宋体" w:cs="宋体"/>
              </w:rPr>
            </w:pPr>
          </w:p>
        </w:tc>
        <w:tc>
          <w:tcPr>
            <w:tcW w:w="12074" w:type="dxa"/>
            <w:tcBorders>
              <w:top w:val="single" w:color="auto" w:sz="4" w:space="0"/>
              <w:left w:val="single" w:color="auto" w:sz="4" w:space="0"/>
              <w:bottom w:val="single" w:color="auto" w:sz="4" w:space="0"/>
              <w:right w:val="single" w:color="auto" w:sz="4" w:space="0"/>
            </w:tcBorders>
            <w:vAlign w:val="center"/>
          </w:tcPr>
          <w:p>
            <w:pPr>
              <w:numPr>
                <w:ilvl w:val="-1"/>
                <w:numId w:val="0"/>
              </w:numPr>
              <w:autoSpaceDE w:val="0"/>
              <w:autoSpaceDN w:val="0"/>
              <w:adjustRightInd w:val="0"/>
              <w:snapToGrid w:val="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自2020年1月1日至投标截止时间止，投标人获得过“技术创新QC成果（部优以上）”奖项的，每项得0.4分，最多得0.8分</w:t>
            </w:r>
            <w:r>
              <w:rPr>
                <w:rFonts w:hint="eastAsia" w:ascii="宋体" w:hAnsi="宋体" w:cs="宋体"/>
                <w:color w:val="auto"/>
                <w:sz w:val="21"/>
                <w:szCs w:val="21"/>
                <w:highlight w:val="none"/>
                <w:lang w:val="en-US" w:eastAsia="zh-CN"/>
              </w:rPr>
              <w:t>；</w:t>
            </w:r>
          </w:p>
          <w:p>
            <w:pPr>
              <w:numPr>
                <w:ilvl w:val="-1"/>
                <w:numId w:val="0"/>
              </w:numPr>
              <w:autoSpaceDE w:val="0"/>
              <w:autoSpaceDN w:val="0"/>
              <w:adjustRightInd w:val="0"/>
              <w:snapToGrid w:val="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2）自2020年1月1日至投标截止时间止，投标人获得过“技术创新QC成果（省市级）”奖项的，每项得0.1分，最多得0.4分。</w:t>
            </w:r>
          </w:p>
          <w:p>
            <w:pPr>
              <w:autoSpaceDE w:val="0"/>
              <w:autoSpaceDN w:val="0"/>
              <w:adjustRightInd w:val="0"/>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本小项最多得0.8分。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065" w:type="dxa"/>
            <w:vMerge w:val="continue"/>
            <w:tcBorders>
              <w:left w:val="single" w:color="auto" w:sz="8" w:space="0"/>
              <w:right w:val="single" w:color="auto" w:sz="4" w:space="0"/>
            </w:tcBorders>
            <w:vAlign w:val="center"/>
          </w:tcPr>
          <w:p>
            <w:pPr>
              <w:autoSpaceDE w:val="0"/>
              <w:autoSpaceDN w:val="0"/>
              <w:adjustRightInd w:val="0"/>
              <w:snapToGrid w:val="0"/>
              <w:jc w:val="center"/>
              <w:rPr>
                <w:rFonts w:hint="eastAsia" w:ascii="宋体" w:hAnsi="宋体" w:eastAsia="宋体" w:cs="宋体"/>
                <w:color w:val="auto"/>
                <w:szCs w:val="21"/>
                <w:highlight w:val="none"/>
              </w:rPr>
            </w:pPr>
          </w:p>
        </w:tc>
        <w:tc>
          <w:tcPr>
            <w:tcW w:w="1067" w:type="dxa"/>
            <w:tcBorders>
              <w:top w:val="single" w:color="auto" w:sz="4" w:space="0"/>
              <w:left w:val="single" w:color="auto" w:sz="4" w:space="0"/>
              <w:right w:val="single" w:color="auto" w:sz="4" w:space="0"/>
            </w:tcBorders>
            <w:vAlign w:val="center"/>
          </w:tcPr>
          <w:p>
            <w:pPr>
              <w:widowControl/>
              <w:autoSpaceDE/>
              <w:autoSpaceDN/>
              <w:adjustRightInd/>
              <w:snapToGrid/>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工程获奖</w:t>
            </w:r>
          </w:p>
        </w:tc>
        <w:tc>
          <w:tcPr>
            <w:tcW w:w="650" w:type="dxa"/>
            <w:tcBorders>
              <w:top w:val="single" w:color="auto" w:sz="4" w:space="0"/>
              <w:left w:val="single" w:color="auto" w:sz="4" w:space="0"/>
              <w:right w:val="single" w:color="auto" w:sz="4" w:space="0"/>
            </w:tcBorders>
            <w:vAlign w:val="center"/>
          </w:tcPr>
          <w:p>
            <w:pPr>
              <w:autoSpaceDE w:val="0"/>
              <w:autoSpaceDN w:val="0"/>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0.9</w:t>
            </w:r>
          </w:p>
        </w:tc>
        <w:tc>
          <w:tcPr>
            <w:tcW w:w="120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TW" w:eastAsia="zh-CN"/>
              </w:rPr>
              <w:t>自2020年1月1日至投标截止时间止，投标人承建的建筑工程施工总承包项目业绩，获得市级（或以上）工程质量奖项的，每项得0.</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TW" w:eastAsia="zh-CN"/>
              </w:rPr>
              <w:t>分，最多得0.</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val="zh-TW" w:eastAsia="zh-CN"/>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65" w:type="dxa"/>
            <w:vMerge w:val="continue"/>
            <w:tcBorders>
              <w:left w:val="single" w:color="auto" w:sz="8" w:space="0"/>
              <w:bottom w:val="single" w:color="auto" w:sz="4" w:space="0"/>
              <w:right w:val="single" w:color="auto" w:sz="4" w:space="0"/>
            </w:tcBorders>
            <w:vAlign w:val="center"/>
          </w:tcPr>
          <w:p>
            <w:pPr>
              <w:autoSpaceDE w:val="0"/>
              <w:autoSpaceDN w:val="0"/>
              <w:adjustRightInd w:val="0"/>
              <w:snapToGrid w:val="0"/>
              <w:jc w:val="center"/>
              <w:rPr>
                <w:rFonts w:hint="eastAsia" w:ascii="宋体" w:hAnsi="宋体" w:eastAsia="宋体" w:cs="宋体"/>
                <w:color w:val="auto"/>
                <w:szCs w:val="21"/>
                <w:highlight w:val="none"/>
              </w:rPr>
            </w:pPr>
          </w:p>
        </w:tc>
        <w:tc>
          <w:tcPr>
            <w:tcW w:w="1067" w:type="dxa"/>
            <w:tcBorders>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第三方评价</w:t>
            </w:r>
          </w:p>
        </w:tc>
        <w:tc>
          <w:tcPr>
            <w:tcW w:w="650" w:type="dxa"/>
            <w:tcBorders>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0.7</w:t>
            </w:r>
          </w:p>
        </w:tc>
        <w:tc>
          <w:tcPr>
            <w:tcW w:w="120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宋体" w:hAnsi="宋体" w:eastAsia="宋体" w:cs="宋体"/>
                <w:color w:val="auto"/>
                <w:sz w:val="21"/>
                <w:szCs w:val="21"/>
                <w:highlight w:val="none"/>
                <w:lang w:val="zh-TW" w:eastAsia="zh-CN"/>
              </w:rPr>
            </w:pPr>
            <w:r>
              <w:rPr>
                <w:rFonts w:hint="eastAsia" w:ascii="宋体" w:hAnsi="宋体" w:eastAsia="宋体" w:cs="宋体"/>
                <w:color w:val="auto"/>
                <w:sz w:val="21"/>
                <w:szCs w:val="21"/>
                <w:highlight w:val="none"/>
                <w:lang w:val="zh-TW" w:eastAsia="zh-CN"/>
              </w:rPr>
              <w:t>截止至2022年度（须包含2022年度），投标人获得税务机关评定为“纳税信用A级纳税人”的次数：</w:t>
            </w:r>
          </w:p>
          <w:p>
            <w:pPr>
              <w:autoSpaceDE w:val="0"/>
              <w:autoSpaceDN w:val="0"/>
              <w:adjustRightInd w:val="0"/>
              <w:snapToGrid w:val="0"/>
              <w:jc w:val="left"/>
              <w:rPr>
                <w:rFonts w:hint="eastAsia" w:ascii="宋体" w:hAnsi="宋体" w:eastAsia="宋体" w:cs="宋体"/>
                <w:color w:val="auto"/>
                <w:sz w:val="21"/>
                <w:szCs w:val="21"/>
                <w:highlight w:val="none"/>
                <w:lang w:val="zh-TW" w:eastAsia="zh-CN"/>
              </w:rPr>
            </w:pPr>
            <w:r>
              <w:rPr>
                <w:rFonts w:hint="eastAsia" w:ascii="宋体" w:hAnsi="宋体" w:eastAsia="宋体" w:cs="宋体"/>
                <w:color w:val="auto"/>
                <w:sz w:val="21"/>
                <w:szCs w:val="21"/>
                <w:highlight w:val="none"/>
                <w:lang w:val="zh-TW" w:eastAsia="zh-CN"/>
              </w:rPr>
              <w:t>1）连续获得5次以上（不含5次）的，得0.</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TW" w:eastAsia="zh-CN"/>
              </w:rPr>
              <w:t>分；</w:t>
            </w:r>
          </w:p>
          <w:p>
            <w:pPr>
              <w:autoSpaceDE w:val="0"/>
              <w:autoSpaceDN w:val="0"/>
              <w:adjustRightInd w:val="0"/>
              <w:snapToGrid w:val="0"/>
              <w:jc w:val="left"/>
              <w:rPr>
                <w:rFonts w:hint="eastAsia" w:ascii="宋体" w:hAnsi="宋体" w:eastAsia="宋体" w:cs="宋体"/>
                <w:color w:val="auto"/>
                <w:sz w:val="21"/>
                <w:szCs w:val="21"/>
                <w:highlight w:val="none"/>
                <w:lang w:val="zh-TW" w:eastAsia="zh-CN"/>
              </w:rPr>
            </w:pPr>
            <w:r>
              <w:rPr>
                <w:rFonts w:hint="eastAsia" w:ascii="宋体" w:hAnsi="宋体" w:eastAsia="宋体" w:cs="宋体"/>
                <w:color w:val="auto"/>
                <w:sz w:val="21"/>
                <w:szCs w:val="21"/>
                <w:highlight w:val="none"/>
                <w:lang w:val="zh-TW" w:eastAsia="zh-CN"/>
              </w:rPr>
              <w:t>2）连续获得5次（含）的，得0.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TW" w:eastAsia="zh-CN"/>
              </w:rPr>
              <w:t>分；</w:t>
            </w:r>
          </w:p>
          <w:p>
            <w:pPr>
              <w:autoSpaceDE w:val="0"/>
              <w:autoSpaceDN w:val="0"/>
              <w:adjustRightInd w:val="0"/>
              <w:snapToGrid w:val="0"/>
              <w:jc w:val="left"/>
              <w:rPr>
                <w:rFonts w:hint="eastAsia" w:ascii="宋体" w:hAnsi="宋体" w:eastAsia="宋体" w:cs="宋体"/>
                <w:color w:val="auto"/>
                <w:sz w:val="21"/>
                <w:szCs w:val="21"/>
                <w:highlight w:val="none"/>
                <w:lang w:val="zh-TW" w:eastAsia="zh-CN"/>
              </w:rPr>
            </w:pPr>
            <w:r>
              <w:rPr>
                <w:rFonts w:hint="eastAsia" w:ascii="宋体" w:hAnsi="宋体" w:eastAsia="宋体" w:cs="宋体"/>
                <w:color w:val="auto"/>
                <w:sz w:val="21"/>
                <w:szCs w:val="21"/>
                <w:highlight w:val="none"/>
                <w:lang w:val="zh-TW" w:eastAsia="zh-CN"/>
              </w:rPr>
              <w:t>3）连续获得4次（含）的，得0.2分；</w:t>
            </w:r>
          </w:p>
          <w:p>
            <w:pPr>
              <w:autoSpaceDE w:val="0"/>
              <w:autoSpaceDN w:val="0"/>
              <w:adjustRightInd w:val="0"/>
              <w:snapToGrid w:val="0"/>
              <w:jc w:val="left"/>
              <w:rPr>
                <w:rFonts w:hint="eastAsia" w:ascii="宋体" w:hAnsi="宋体" w:eastAsia="宋体" w:cs="宋体"/>
                <w:color w:val="auto"/>
                <w:sz w:val="21"/>
                <w:szCs w:val="21"/>
                <w:highlight w:val="none"/>
                <w:lang w:val="zh-TW" w:eastAsia="zh-CN"/>
              </w:rPr>
            </w:pPr>
            <w:r>
              <w:rPr>
                <w:rFonts w:hint="eastAsia" w:ascii="宋体" w:hAnsi="宋体" w:eastAsia="宋体" w:cs="宋体"/>
                <w:color w:val="auto"/>
                <w:sz w:val="21"/>
                <w:szCs w:val="21"/>
                <w:highlight w:val="none"/>
                <w:lang w:val="zh-TW" w:eastAsia="zh-CN"/>
              </w:rPr>
              <w:t>4）连续获得1-3次（含）的，得0.1分；</w:t>
            </w:r>
          </w:p>
          <w:p>
            <w:pPr>
              <w:autoSpaceDE w:val="0"/>
              <w:autoSpaceDN w:val="0"/>
              <w:adjustRightInd w:val="0"/>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TW" w:eastAsia="zh-CN"/>
              </w:rPr>
              <w:t>其他情况不得分。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2132" w:type="dxa"/>
            <w:gridSpan w:val="2"/>
            <w:tcBorders>
              <w:top w:val="single" w:color="auto" w:sz="4" w:space="0"/>
              <w:left w:val="single" w:color="auto" w:sz="8" w:space="0"/>
              <w:bottom w:val="single" w:color="auto" w:sz="4" w:space="0"/>
              <w:right w:val="single" w:color="auto" w:sz="4" w:space="0"/>
            </w:tcBorders>
            <w:vAlign w:val="center"/>
          </w:tcPr>
          <w:p>
            <w:pPr>
              <w:autoSpaceDE w:val="0"/>
              <w:autoSpaceDN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6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20分</w:t>
            </w:r>
          </w:p>
        </w:tc>
        <w:tc>
          <w:tcPr>
            <w:tcW w:w="120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left"/>
              <w:rPr>
                <w:rFonts w:hint="eastAsia" w:ascii="宋体" w:hAnsi="宋体" w:eastAsia="宋体" w:cs="宋体"/>
                <w:color w:val="auto"/>
                <w:szCs w:val="21"/>
                <w:highlight w:val="none"/>
              </w:rPr>
            </w:pPr>
          </w:p>
        </w:tc>
      </w:tr>
    </w:tbl>
    <w:p>
      <w:pPr>
        <w:spacing w:line="360" w:lineRule="exact"/>
        <w:rPr>
          <w:rFonts w:hint="eastAsia" w:ascii="宋体" w:hAnsi="宋体" w:cs="宋体"/>
          <w:color w:val="auto"/>
          <w:sz w:val="18"/>
          <w:szCs w:val="18"/>
          <w:highlight w:val="none"/>
          <w:lang w:val="en-US" w:eastAsia="zh-CN"/>
        </w:rPr>
      </w:pPr>
      <w:r>
        <w:rPr>
          <w:rFonts w:hint="eastAsia" w:ascii="宋体" w:hAnsi="宋体" w:eastAsia="宋体" w:cs="宋体"/>
          <w:color w:val="auto"/>
          <w:szCs w:val="21"/>
          <w:highlight w:val="none"/>
          <w:lang w:val="en-US" w:eastAsia="zh-CN"/>
        </w:rPr>
        <w:t>注：</w:t>
      </w: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①项目管理机构人员</w:t>
      </w:r>
      <w:r>
        <w:rPr>
          <w:rFonts w:hint="eastAsia" w:ascii="宋体" w:hAnsi="宋体" w:eastAsia="宋体" w:cs="宋体"/>
          <w:color w:val="auto"/>
          <w:sz w:val="18"/>
          <w:szCs w:val="18"/>
          <w:highlight w:val="none"/>
          <w:lang w:val="en-US" w:eastAsia="zh-CN"/>
        </w:rPr>
        <w:t>有年限要求的以相应证书的发证时间起计（其中：从事项目</w:t>
      </w:r>
      <w:r>
        <w:rPr>
          <w:rFonts w:hint="eastAsia" w:ascii="宋体" w:hAnsi="宋体" w:eastAsia="宋体" w:cs="宋体"/>
          <w:color w:val="auto"/>
          <w:sz w:val="18"/>
          <w:szCs w:val="18"/>
          <w:highlight w:val="none"/>
        </w:rPr>
        <w:t>管</w:t>
      </w:r>
      <w:r>
        <w:rPr>
          <w:rFonts w:hint="eastAsia" w:ascii="宋体" w:hAnsi="宋体" w:cs="宋体"/>
          <w:color w:val="auto"/>
          <w:sz w:val="18"/>
          <w:szCs w:val="18"/>
          <w:highlight w:val="none"/>
        </w:rPr>
        <w:t>理经验</w:t>
      </w:r>
      <w:r>
        <w:rPr>
          <w:rFonts w:hint="eastAsia" w:ascii="宋体" w:hAnsi="宋体" w:cs="宋体"/>
          <w:color w:val="auto"/>
          <w:sz w:val="18"/>
          <w:szCs w:val="18"/>
          <w:highlight w:val="none"/>
          <w:lang w:val="en-US" w:eastAsia="zh-CN"/>
        </w:rPr>
        <w:t>以大专或以上学历的毕业时间开始计算，</w:t>
      </w:r>
      <w:r>
        <w:rPr>
          <w:rFonts w:hint="eastAsia" w:ascii="宋体" w:hAnsi="宋体" w:cs="宋体"/>
          <w:color w:val="auto"/>
          <w:sz w:val="18"/>
          <w:szCs w:val="18"/>
          <w:highlight w:val="none"/>
        </w:rPr>
        <w:t>注册安全工程师</w:t>
      </w:r>
      <w:r>
        <w:rPr>
          <w:rFonts w:hint="eastAsia" w:ascii="宋体" w:hAnsi="宋体" w:cs="宋体"/>
          <w:color w:val="auto"/>
          <w:sz w:val="18"/>
          <w:szCs w:val="18"/>
          <w:highlight w:val="none"/>
          <w:lang w:val="en-US" w:eastAsia="zh-CN"/>
        </w:rPr>
        <w:t>以取得注册安全工程师的执业资格的批准日期开始计算，职称年限以职称证书的发证（或授予）时间开始计算）；</w:t>
      </w:r>
      <w:r>
        <w:rPr>
          <w:rFonts w:hint="eastAsia" w:ascii="宋体" w:hAnsi="宋体" w:cs="宋体"/>
          <w:color w:val="auto"/>
          <w:sz w:val="18"/>
          <w:szCs w:val="18"/>
          <w:highlight w:val="none"/>
        </w:rPr>
        <w:t>②</w:t>
      </w:r>
      <w:r>
        <w:rPr>
          <w:rFonts w:hint="eastAsia" w:ascii="宋体" w:hAnsi="宋体" w:cs="宋体"/>
          <w:color w:val="auto"/>
          <w:sz w:val="18"/>
          <w:szCs w:val="18"/>
          <w:highlight w:val="none"/>
          <w:lang w:val="en-US" w:eastAsia="zh-CN"/>
        </w:rPr>
        <w:t>相关负责人“技术创新QC成果（部优以上）”获奖信息取自广州市住建行业信用管理平台。投标人须提供广州市住建行业信用管理平台的网页信息截图（网页信息截图须能清晰显示带有“住建行业信用管理平台”名称，并至少包含“项目基本信息”、“奖项信息”信息）和获奖证书上传件，获奖证书上须有该人员的姓名。技术创新QC成果只计算建筑工程类的项目，其他非建筑工程类项目，如：路桥、铁路、水利、电力、化工、冶金、市政等获奖不参与计分。时间以获奖证书的发证时间为准。不符合条件或未提交上述证明材料的不得分。“技术创新QC成果（省市级）”奖项须提供获奖证书扫描件，获奖证书上须有该人员的姓名。技术创新QC成果只计算建筑工程类的项目，其他非建筑工程类项目，如：路桥、铁路、水利、电力、化工、冶金、市政等获奖不参与计分。时间以获奖证书的发证时间为准。不符合条件或未提交上述证明材料的不得分。</w:t>
      </w:r>
    </w:p>
    <w:p>
      <w:pPr>
        <w:spacing w:line="360" w:lineRule="exact"/>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lang w:eastAsia="zh-CN"/>
        </w:rPr>
        <w:t>、所有人员（不含投标人的子公司或母公司人员，含分公司）须提供相关证明资料和</w:t>
      </w:r>
      <w:r>
        <w:rPr>
          <w:rFonts w:hint="eastAsia" w:ascii="宋体" w:hAnsi="宋体" w:cs="宋体"/>
          <w:color w:val="auto"/>
          <w:sz w:val="18"/>
          <w:szCs w:val="18"/>
          <w:highlight w:val="none"/>
          <w:lang w:val="en-US" w:eastAsia="zh-CN"/>
        </w:rPr>
        <w:t>最近</w:t>
      </w:r>
      <w:r>
        <w:rPr>
          <w:rFonts w:hint="eastAsia" w:ascii="宋体" w:hAnsi="宋体" w:cs="宋体"/>
          <w:color w:val="auto"/>
          <w:sz w:val="18"/>
          <w:szCs w:val="18"/>
          <w:highlight w:val="none"/>
          <w:lang w:eastAsia="zh-CN"/>
        </w:rPr>
        <w:t>一个月（</w:t>
      </w:r>
      <w:r>
        <w:rPr>
          <w:rFonts w:hint="eastAsia" w:ascii="宋体" w:hAnsi="宋体" w:cs="宋体"/>
          <w:color w:val="auto"/>
          <w:sz w:val="18"/>
          <w:szCs w:val="18"/>
          <w:highlight w:val="none"/>
          <w:lang w:val="en-US" w:eastAsia="zh-CN"/>
        </w:rPr>
        <w:t>2023年7月</w:t>
      </w:r>
      <w:r>
        <w:rPr>
          <w:rFonts w:hint="eastAsia" w:ascii="宋体" w:hAnsi="宋体" w:cs="宋体"/>
          <w:color w:val="auto"/>
          <w:sz w:val="18"/>
          <w:szCs w:val="18"/>
          <w:highlight w:val="none"/>
          <w:lang w:eastAsia="zh-CN"/>
        </w:rPr>
        <w:t>）在投标单位缴纳社保的证明材料扫描件。</w:t>
      </w:r>
    </w:p>
    <w:p>
      <w:pPr>
        <w:spacing w:line="360" w:lineRule="exact"/>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3、企业业绩（含人员）：</w:t>
      </w:r>
      <w:r>
        <w:rPr>
          <w:rFonts w:hint="eastAsia" w:ascii="宋体" w:hAnsi="宋体"/>
          <w:color w:val="000000"/>
          <w:sz w:val="18"/>
          <w:szCs w:val="18"/>
          <w:highlight w:val="none"/>
        </w:rPr>
        <w:t>业绩取自广州市住建行业信用管理平台</w:t>
      </w:r>
      <w:r>
        <w:rPr>
          <w:rFonts w:hint="eastAsia" w:ascii="宋体" w:hAnsi="宋体"/>
          <w:color w:val="000000"/>
          <w:sz w:val="18"/>
          <w:szCs w:val="18"/>
          <w:highlight w:val="none"/>
          <w:lang w:eastAsia="zh-CN"/>
        </w:rPr>
        <w:t>，</w:t>
      </w:r>
      <w:r>
        <w:rPr>
          <w:rFonts w:hint="eastAsia" w:ascii="宋体" w:hAnsi="宋体" w:cs="宋体"/>
          <w:color w:val="auto"/>
          <w:sz w:val="18"/>
          <w:szCs w:val="18"/>
          <w:highlight w:val="none"/>
        </w:rPr>
        <w:t>投标人须提供类似工程业绩的项目名称及业绩在广州市住建行业信用管理平台中项目编号网页截图（网页截图须包含广州市住建行业信用管理平台中的“项目基本信息”、“工程规模”、“验收材料”、“工程对应的企业资质”栏）。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投标文件中不需重复提交相关业绩上传件）。（1）用于本项目投标的类似业绩，在平台中“工程对应的企业资质”栏中须登记有与本项目要求相对应的资质【具体资质要求：建筑工程施工总承包（原房屋建筑工程施工总承包）】。（2）技术指标需在广州市住建行业信用管理平台内业绩上传件中反映。（3）完成时间以竣工验收文件为准。验收文件至少具有建设单位、设计、施工和监理单位盖章。（4）平台内业绩上传件不符合上述要求的或登记的工程资质内容与施工合同等业绩证明资料不相符的，该项业绩不予认定。</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5</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若为人员业绩，</w:t>
      </w:r>
      <w:r>
        <w:rPr>
          <w:rFonts w:hint="eastAsia" w:ascii="宋体" w:hAnsi="宋体" w:cs="宋体"/>
          <w:color w:val="auto"/>
          <w:sz w:val="18"/>
          <w:szCs w:val="18"/>
          <w:highlight w:val="none"/>
          <w:lang w:eastAsia="zh-CN"/>
        </w:rPr>
        <w:t>投标人须提交</w:t>
      </w:r>
      <w:r>
        <w:rPr>
          <w:rFonts w:hint="eastAsia" w:ascii="宋体" w:hAnsi="宋体" w:cs="宋体"/>
          <w:color w:val="auto"/>
          <w:sz w:val="18"/>
          <w:szCs w:val="18"/>
          <w:highlight w:val="none"/>
        </w:rPr>
        <w:t>广州市住建行业信用管理平台投标文件中相关业绩上传件</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在平台中“工程对应的企业资质”栏中须登记有与本项目要求相对应的资质【具体资质要求：建筑工程施工总承包（原房屋建筑工程施工总承包）】</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竣工验收文件资料需体现</w:t>
      </w:r>
      <w:r>
        <w:rPr>
          <w:rFonts w:hint="eastAsia" w:ascii="宋体" w:hAnsi="宋体" w:cs="宋体"/>
          <w:color w:val="auto"/>
          <w:sz w:val="18"/>
          <w:szCs w:val="18"/>
          <w:highlight w:val="none"/>
          <w:lang w:eastAsia="zh-CN"/>
        </w:rPr>
        <w:t>该</w:t>
      </w:r>
      <w:r>
        <w:rPr>
          <w:rFonts w:hint="eastAsia" w:ascii="宋体" w:hAnsi="宋体" w:cs="宋体"/>
          <w:color w:val="auto"/>
          <w:sz w:val="18"/>
          <w:szCs w:val="18"/>
          <w:highlight w:val="none"/>
        </w:rPr>
        <w:t>人员担任的岗位及姓名等相关信息，否则不得分。</w:t>
      </w:r>
    </w:p>
    <w:p>
      <w:pPr>
        <w:spacing w:line="360" w:lineRule="exact"/>
        <w:rPr>
          <w:rFonts w:hint="eastAsia" w:ascii="宋体" w:hAnsi="宋体"/>
          <w:color w:val="000000"/>
          <w:sz w:val="18"/>
          <w:szCs w:val="18"/>
          <w:highlight w:val="none"/>
        </w:rPr>
      </w:pPr>
      <w:r>
        <w:rPr>
          <w:rFonts w:hint="eastAsia" w:ascii="宋体" w:hAnsi="宋体" w:cs="宋体"/>
          <w:color w:val="auto"/>
          <w:sz w:val="18"/>
          <w:szCs w:val="18"/>
          <w:highlight w:val="none"/>
          <w:lang w:val="en-US" w:eastAsia="zh-CN"/>
        </w:rPr>
        <w:t>4</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工程业绩获奖：</w:t>
      </w:r>
      <w:r>
        <w:rPr>
          <w:rFonts w:hint="eastAsia" w:ascii="宋体" w:hAnsi="宋体"/>
          <w:color w:val="000000"/>
          <w:sz w:val="18"/>
          <w:szCs w:val="18"/>
          <w:highlight w:val="none"/>
        </w:rPr>
        <w:t>奖项业绩可取自广州市住建行业信用管理平台或提供获奖证书原件彩色扫描件。（1）时间以获奖证书颁发时间为准。（2）</w:t>
      </w:r>
      <w:r>
        <w:rPr>
          <w:rFonts w:hint="eastAsia" w:ascii="宋体" w:hAnsi="宋体" w:cs="宋体"/>
          <w:color w:val="auto"/>
          <w:sz w:val="18"/>
          <w:szCs w:val="18"/>
          <w:highlight w:val="none"/>
        </w:rPr>
        <w:t>国家级工程质量奖项包括:中国建设工程鲁班奖、国家优质工程金质奖、国家优质工程奖、中国土木工程詹天佑奖、中国（全国）建筑工程装饰奖等，省或市级奖项是指由省或市人民政府或行业行政主管部门或行业协会(或其所属专业分会)颁发的工程质量奖，</w:t>
      </w:r>
      <w:r>
        <w:rPr>
          <w:rFonts w:hint="eastAsia" w:ascii="宋体" w:hAnsi="宋体"/>
          <w:color w:val="000000"/>
          <w:sz w:val="18"/>
          <w:szCs w:val="18"/>
          <w:highlight w:val="none"/>
        </w:rPr>
        <w:t>其他机构颁发的获奖证书不予认定；如获奖证书为相关行业协会颁发的，须同时提供该行业协会在中国社会组织公共服务平台（网址：http://www.chinanpo.gov.cn/ ）登记信息查询结果的网页截图并加盖投标人企业电子印章。（3）同一工程项目获得多个奖项的，只计算其符合要求的最高奖项得分，不重复计分。</w:t>
      </w:r>
    </w:p>
    <w:p>
      <w:pPr>
        <w:spacing w:line="360" w:lineRule="exact"/>
        <w:rPr>
          <w:rFonts w:hint="eastAsia" w:ascii="宋体" w:hAnsi="宋体"/>
          <w:color w:val="000000"/>
          <w:sz w:val="18"/>
          <w:szCs w:val="18"/>
          <w:highlight w:val="none"/>
        </w:rPr>
      </w:pPr>
      <w:r>
        <w:rPr>
          <w:rFonts w:hint="eastAsia" w:ascii="宋体" w:hAnsi="宋体"/>
          <w:color w:val="000000"/>
          <w:sz w:val="18"/>
          <w:szCs w:val="18"/>
          <w:highlight w:val="none"/>
        </w:rPr>
        <w:t>①奖项业绩取自广州市住建行业信用管理平台</w:t>
      </w:r>
      <w:r>
        <w:rPr>
          <w:rFonts w:ascii="宋体" w:hAnsi="宋体"/>
          <w:color w:val="000000"/>
          <w:sz w:val="18"/>
          <w:szCs w:val="18"/>
          <w:highlight w:val="none"/>
        </w:rPr>
        <w:t>的，</w:t>
      </w:r>
      <w:r>
        <w:rPr>
          <w:rFonts w:hint="eastAsia" w:ascii="宋体" w:hAnsi="宋体"/>
          <w:color w:val="000000"/>
          <w:sz w:val="18"/>
          <w:szCs w:val="18"/>
          <w:highlight w:val="none"/>
        </w:rPr>
        <w:t>投标人须提供获奖工程业绩的项目名称及业绩在广州市住建行业信用管理平台中项目编号、相应业绩在广州市住建行业信用管理平台的网页信息截图</w:t>
      </w:r>
      <w:r>
        <w:rPr>
          <w:rFonts w:hint="eastAsia" w:ascii="宋体" w:hAnsi="宋体" w:cs="宋体"/>
          <w:color w:val="000000"/>
          <w:kern w:val="0"/>
          <w:sz w:val="18"/>
          <w:szCs w:val="18"/>
          <w:highlight w:val="none"/>
          <w:u w:val="single"/>
        </w:rPr>
        <w:t>（投标文件中可不需重复提交相关业绩上传件）</w:t>
      </w:r>
      <w:r>
        <w:rPr>
          <w:rFonts w:hint="eastAsia" w:ascii="宋体" w:hAnsi="宋体"/>
          <w:color w:val="000000"/>
          <w:sz w:val="18"/>
          <w:szCs w:val="18"/>
          <w:highlight w:val="none"/>
        </w:rPr>
        <w:t>。不提供项目名称及项目编号、网页信息截图的业绩不予评审。评标委员会对业绩的评审以投标截止时间在平台内业绩上传件为依据。</w:t>
      </w:r>
    </w:p>
    <w:p>
      <w:pPr>
        <w:spacing w:line="360" w:lineRule="exact"/>
        <w:rPr>
          <w:rFonts w:hint="eastAsia" w:ascii="宋体" w:hAnsi="宋体" w:cs="宋体"/>
          <w:color w:val="auto"/>
          <w:sz w:val="18"/>
          <w:szCs w:val="18"/>
          <w:highlight w:val="none"/>
          <w:lang w:val="en-US" w:eastAsia="zh-CN"/>
        </w:rPr>
      </w:pPr>
      <w:r>
        <w:rPr>
          <w:rFonts w:hint="eastAsia" w:ascii="宋体" w:hAnsi="宋体"/>
          <w:color w:val="000000"/>
          <w:sz w:val="18"/>
          <w:szCs w:val="18"/>
          <w:highlight w:val="none"/>
        </w:rPr>
        <w:t>②奖项业绩提供获奖证书原件彩色扫描件的，投标人须提供获奖证书原件彩色扫描件，并同时提供获奖业绩的中标通知书（或免招标证明文件）、施工合同（不含补充合同）、竣工验收文件（验收文件至少具有建设单位、设计、施工和监理单位盖章）、竣工验收备案证明文件（备案证明须具有建设行政主管部门盖章确认）原件彩色扫描件及该获奖工程在“全国建筑市场监管公共服务平台”的网页信息截图（网页信息截图须显示工程信息并具备中标信息、施工许可证、施工合同及竣工验收备案环节登记单位信息）并加盖投标人企业电子印章。不符合上述条件或上述资料相关信息不一致或提供的资料不齐全的获奖业绩不予评审。评标委员会对获奖业绩的评审以投标人提供的完整的证明资料为依据。</w:t>
      </w:r>
    </w:p>
    <w:p>
      <w:pPr>
        <w:spacing w:line="360" w:lineRule="exact"/>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 xml:space="preserve"> </w:t>
      </w:r>
      <w:r>
        <w:rPr>
          <w:rFonts w:hint="eastAsia" w:ascii="宋体" w:hAnsi="宋体" w:cs="宋体"/>
          <w:color w:val="auto"/>
          <w:sz w:val="18"/>
          <w:szCs w:val="18"/>
          <w:highlight w:val="none"/>
        </w:rPr>
        <w:t>不符合上述条件或提供的资料不齐全的获奖业绩不予评审。</w:t>
      </w:r>
      <w:r>
        <w:rPr>
          <w:rFonts w:hint="eastAsia" w:ascii="宋体" w:hAnsi="宋体" w:cs="宋体"/>
          <w:color w:val="auto"/>
          <w:sz w:val="18"/>
          <w:szCs w:val="18"/>
          <w:highlight w:val="none"/>
          <w:lang w:val="en-US" w:eastAsia="zh-CN"/>
        </w:rPr>
        <w:t xml:space="preserve">    </w:t>
      </w:r>
    </w:p>
    <w:p>
      <w:pPr>
        <w:spacing w:line="360" w:lineRule="exact"/>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5</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工程研发能力：</w:t>
      </w:r>
    </w:p>
    <w:p>
      <w:pPr>
        <w:spacing w:line="36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①</w:t>
      </w:r>
      <w:r>
        <w:rPr>
          <w:rFonts w:hint="eastAsia" w:ascii="宋体" w:hAnsi="宋体" w:cs="宋体"/>
          <w:color w:val="auto"/>
          <w:sz w:val="18"/>
          <w:szCs w:val="18"/>
          <w:highlight w:val="none"/>
          <w:lang w:val="en-US" w:eastAsia="zh-CN"/>
        </w:rPr>
        <w:t>国家、地方或行业标准须提交标准的扫描件</w:t>
      </w:r>
      <w:r>
        <w:rPr>
          <w:rFonts w:hint="eastAsia" w:ascii="宋体" w:hAnsi="宋体" w:cs="宋体"/>
          <w:color w:val="auto"/>
          <w:sz w:val="18"/>
          <w:szCs w:val="18"/>
          <w:highlight w:val="none"/>
        </w:rPr>
        <w:t>（封面及正文相关内容）及</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全国标准信息公共服务平台</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网上查询截图</w:t>
      </w:r>
      <w:r>
        <w:rPr>
          <w:rFonts w:hint="eastAsia" w:ascii="宋体" w:hAnsi="宋体" w:cs="宋体"/>
          <w:color w:val="auto"/>
          <w:sz w:val="18"/>
          <w:szCs w:val="18"/>
          <w:highlight w:val="none"/>
          <w:lang w:val="en-US" w:eastAsia="zh-CN"/>
        </w:rPr>
        <w:t>；编制</w:t>
      </w:r>
      <w:r>
        <w:rPr>
          <w:rFonts w:hint="eastAsia" w:ascii="宋体" w:hAnsi="宋体" w:cs="宋体"/>
          <w:color w:val="auto"/>
          <w:sz w:val="18"/>
          <w:szCs w:val="18"/>
          <w:highlight w:val="none"/>
        </w:rPr>
        <w:t>时间以发布日期为准；所编制的国家</w:t>
      </w:r>
      <w:r>
        <w:rPr>
          <w:rFonts w:hint="eastAsia" w:ascii="宋体" w:hAnsi="宋体" w:cs="宋体"/>
          <w:color w:val="auto"/>
          <w:sz w:val="18"/>
          <w:szCs w:val="18"/>
          <w:highlight w:val="none"/>
          <w:lang w:eastAsia="zh-CN"/>
        </w:rPr>
        <w:t>或</w:t>
      </w:r>
      <w:r>
        <w:rPr>
          <w:rFonts w:hint="eastAsia" w:ascii="宋体" w:hAnsi="宋体" w:cs="宋体"/>
          <w:color w:val="auto"/>
          <w:sz w:val="18"/>
          <w:szCs w:val="18"/>
          <w:highlight w:val="none"/>
          <w:lang w:val="en-US" w:eastAsia="zh-CN"/>
        </w:rPr>
        <w:t>地方或</w:t>
      </w:r>
      <w:r>
        <w:rPr>
          <w:rFonts w:hint="eastAsia" w:ascii="宋体" w:hAnsi="宋体" w:cs="宋体"/>
          <w:color w:val="auto"/>
          <w:sz w:val="18"/>
          <w:szCs w:val="18"/>
          <w:highlight w:val="none"/>
        </w:rPr>
        <w:t>行业标准及网上查询截图须显示有该投标人名称</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不符合条件或未提交上述证明材料的不得分。</w:t>
      </w:r>
    </w:p>
    <w:p>
      <w:pPr>
        <w:spacing w:line="360" w:lineRule="exact"/>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rPr>
        <w:t>②“技术创新QC成果（部优以上）”获奖信息取自广州市住建行业信用管理平台。投标人须提供广州市住建行业信用管理平台的网页信息截图（网页信息截图须能清晰显示带有“住建行业信用管理平台”名称，并至少包含“项目基本信息”、“奖项信息”信息）和获奖证书上传件。技术创新QC成果只计算</w:t>
      </w:r>
      <w:r>
        <w:rPr>
          <w:rFonts w:hint="eastAsia" w:ascii="宋体" w:hAnsi="宋体" w:cs="宋体"/>
          <w:color w:val="auto"/>
          <w:sz w:val="18"/>
          <w:szCs w:val="18"/>
          <w:highlight w:val="none"/>
          <w:lang w:eastAsia="zh-CN"/>
        </w:rPr>
        <w:t>建筑工程</w:t>
      </w:r>
      <w:r>
        <w:rPr>
          <w:rFonts w:hint="eastAsia" w:ascii="宋体" w:hAnsi="宋体" w:cs="宋体"/>
          <w:color w:val="auto"/>
          <w:sz w:val="18"/>
          <w:szCs w:val="18"/>
          <w:highlight w:val="none"/>
        </w:rPr>
        <w:t>类的项目，其他非</w:t>
      </w:r>
      <w:r>
        <w:rPr>
          <w:rFonts w:hint="eastAsia" w:ascii="宋体" w:hAnsi="宋体" w:cs="宋体"/>
          <w:color w:val="auto"/>
          <w:sz w:val="18"/>
          <w:szCs w:val="18"/>
          <w:highlight w:val="none"/>
          <w:lang w:eastAsia="zh-CN"/>
        </w:rPr>
        <w:t>建筑工程类</w:t>
      </w:r>
      <w:r>
        <w:rPr>
          <w:rFonts w:hint="eastAsia" w:ascii="宋体" w:hAnsi="宋体" w:cs="宋体"/>
          <w:color w:val="auto"/>
          <w:sz w:val="18"/>
          <w:szCs w:val="18"/>
          <w:highlight w:val="none"/>
        </w:rPr>
        <w:t>项目，如：路桥、铁路、水利、电力、化工、冶金、市政等获奖不参与计分。时间以获奖证书的发证时间为准。</w:t>
      </w:r>
      <w:r>
        <w:rPr>
          <w:rFonts w:hint="eastAsia" w:ascii="宋体" w:hAnsi="宋体" w:cs="宋体"/>
          <w:color w:val="auto"/>
          <w:sz w:val="18"/>
          <w:szCs w:val="18"/>
          <w:highlight w:val="none"/>
          <w:lang w:val="en-US" w:eastAsia="zh-CN"/>
        </w:rPr>
        <w:t>不符合条件或未提交上述证明材料的不得分。</w:t>
      </w:r>
    </w:p>
    <w:p>
      <w:pPr>
        <w:spacing w:line="360" w:lineRule="exact"/>
        <w:rPr>
          <w:rFonts w:hint="eastAsia" w:ascii="宋体" w:hAnsi="宋体" w:cs="宋体"/>
          <w:color w:val="auto"/>
          <w:sz w:val="18"/>
          <w:szCs w:val="18"/>
          <w:highlight w:val="yellow"/>
        </w:rPr>
      </w:pPr>
      <w:r>
        <w:rPr>
          <w:rFonts w:hint="eastAsia" w:ascii="宋体" w:hAnsi="宋体" w:cs="宋体"/>
          <w:color w:val="auto"/>
          <w:sz w:val="18"/>
          <w:szCs w:val="18"/>
          <w:highlight w:val="none"/>
        </w:rPr>
        <w:t>“技术创新QC成果（省市级）”奖项须提供获奖证书扫描件。技术创新QC成果只计算</w:t>
      </w:r>
      <w:r>
        <w:rPr>
          <w:rFonts w:hint="eastAsia" w:ascii="宋体" w:hAnsi="宋体" w:cs="宋体"/>
          <w:color w:val="auto"/>
          <w:sz w:val="18"/>
          <w:szCs w:val="18"/>
          <w:highlight w:val="none"/>
          <w:lang w:eastAsia="zh-CN"/>
        </w:rPr>
        <w:t>建筑工程</w:t>
      </w:r>
      <w:r>
        <w:rPr>
          <w:rFonts w:hint="eastAsia" w:ascii="宋体" w:hAnsi="宋体" w:cs="宋体"/>
          <w:color w:val="auto"/>
          <w:sz w:val="18"/>
          <w:szCs w:val="18"/>
          <w:highlight w:val="none"/>
        </w:rPr>
        <w:t>类的项目，其他非</w:t>
      </w:r>
      <w:r>
        <w:rPr>
          <w:rFonts w:hint="eastAsia" w:ascii="宋体" w:hAnsi="宋体" w:cs="宋体"/>
          <w:color w:val="auto"/>
          <w:sz w:val="18"/>
          <w:szCs w:val="18"/>
          <w:highlight w:val="none"/>
          <w:lang w:eastAsia="zh-CN"/>
        </w:rPr>
        <w:t>建筑工程类</w:t>
      </w:r>
      <w:r>
        <w:rPr>
          <w:rFonts w:hint="eastAsia" w:ascii="宋体" w:hAnsi="宋体" w:cs="宋体"/>
          <w:color w:val="auto"/>
          <w:sz w:val="18"/>
          <w:szCs w:val="18"/>
          <w:highlight w:val="none"/>
        </w:rPr>
        <w:t>项目，如：路桥、铁路、水利、电力、化工、冶金、市政等获奖不参与计分。时间以获奖证书的发证时间为准。</w:t>
      </w:r>
      <w:r>
        <w:rPr>
          <w:rFonts w:hint="eastAsia" w:ascii="宋体" w:hAnsi="宋体" w:cs="宋体"/>
          <w:color w:val="auto"/>
          <w:sz w:val="18"/>
          <w:szCs w:val="18"/>
          <w:highlight w:val="none"/>
          <w:lang w:val="en-US" w:eastAsia="zh-CN"/>
        </w:rPr>
        <w:t>不符合条件或未提交上述证明材料的不得分。</w:t>
      </w:r>
    </w:p>
    <w:p>
      <w:pPr>
        <w:spacing w:line="360" w:lineRule="exact"/>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val="en-US" w:eastAsia="zh-CN"/>
        </w:rPr>
        <w:t>6</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第三方评价</w:t>
      </w:r>
      <w:r>
        <w:rPr>
          <w:rFonts w:hint="eastAsia" w:ascii="宋体" w:hAnsi="宋体" w:cs="宋体"/>
          <w:color w:val="auto"/>
          <w:sz w:val="18"/>
          <w:szCs w:val="18"/>
          <w:highlight w:val="none"/>
          <w:lang w:eastAsia="zh-CN"/>
        </w:rPr>
        <w:t>：</w:t>
      </w:r>
    </w:p>
    <w:p>
      <w:pPr>
        <w:spacing w:line="360" w:lineRule="exact"/>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rPr>
        <w:t>“纳税信用A级纳税人”称号须同时提供证书原件彩色扫描件和省级</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或以上</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税务局网站纳税信用信息查询结果网页截图并加盖投标人企业电子印章。“纳税信用A级纳税人”称号仅计算投标人自身（不包括子公司、分公司及分支机构），须含最新评审年度（202</w:t>
      </w: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年度）。不符合上述条件或未提供上述资料或无加盖投标人电子印章的不得分。时间以评价年度为准。</w:t>
      </w:r>
    </w:p>
    <w:p>
      <w:pPr>
        <w:spacing w:line="360" w:lineRule="exact"/>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val="en-US" w:eastAsia="zh-CN"/>
        </w:rPr>
        <w:t>7</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在评标过程或中标公示期间，若有接到招标人或评标委员会的通知，投标人须在规定时间内提供上述评审资料的原件核查，</w:t>
      </w:r>
      <w:r>
        <w:rPr>
          <w:rFonts w:hint="eastAsia" w:ascii="宋体" w:hAnsi="宋体" w:cs="宋体"/>
          <w:color w:val="auto"/>
          <w:sz w:val="18"/>
          <w:szCs w:val="18"/>
          <w:highlight w:val="none"/>
        </w:rPr>
        <w:t>如</w:t>
      </w:r>
      <w:r>
        <w:rPr>
          <w:rFonts w:hint="eastAsia" w:ascii="宋体" w:hAnsi="宋体" w:cs="宋体"/>
          <w:color w:val="auto"/>
          <w:sz w:val="18"/>
          <w:szCs w:val="18"/>
          <w:highlight w:val="none"/>
          <w:lang w:val="en-US" w:eastAsia="zh-CN"/>
        </w:rPr>
        <w:t>招标人在核查中发现造假的，</w:t>
      </w:r>
      <w:r>
        <w:rPr>
          <w:rFonts w:hint="eastAsia" w:ascii="宋体" w:hAnsi="宋体" w:cs="宋体"/>
          <w:color w:val="auto"/>
          <w:sz w:val="18"/>
          <w:szCs w:val="18"/>
          <w:highlight w:val="none"/>
        </w:rPr>
        <w:t>招标人</w:t>
      </w:r>
      <w:r>
        <w:rPr>
          <w:rFonts w:hint="eastAsia" w:ascii="宋体" w:hAnsi="宋体" w:cs="宋体"/>
          <w:color w:val="auto"/>
          <w:sz w:val="18"/>
          <w:szCs w:val="18"/>
          <w:highlight w:val="none"/>
          <w:lang w:val="en-US" w:eastAsia="zh-CN"/>
        </w:rPr>
        <w:t>有权取消中标资格，并保留上报给行政主管部门的权力。</w:t>
      </w:r>
    </w:p>
    <w:p>
      <w:pPr>
        <w:spacing w:line="360" w:lineRule="exact"/>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8</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rPr>
        <w:t>所有评委总分汇总后的算术平均值为投标人的最终得分。分数出现小数点，保留小数点后二位小数，第三位小数四舍五入</w:t>
      </w:r>
      <w:r>
        <w:rPr>
          <w:rFonts w:hint="eastAsia" w:ascii="宋体" w:hAnsi="宋体" w:cs="宋体"/>
          <w:color w:val="auto"/>
          <w:sz w:val="18"/>
          <w:szCs w:val="18"/>
          <w:highlight w:val="none"/>
          <w:lang w:eastAsia="zh-CN"/>
        </w:rPr>
        <w:t>。</w:t>
      </w:r>
    </w:p>
    <w:p>
      <w:pPr>
        <w:spacing w:line="360" w:lineRule="exact"/>
        <w:rPr>
          <w:rFonts w:ascii="宋体" w:hAnsi="宋体" w:cs="宋体"/>
          <w:color w:val="auto"/>
          <w:szCs w:val="21"/>
          <w:highlight w:val="none"/>
        </w:rPr>
      </w:pPr>
    </w:p>
    <w:p>
      <w:pPr>
        <w:rPr>
          <w:rFonts w:hint="eastAsia" w:ascii="宋体" w:hAnsi="宋体" w:cs="宋体"/>
          <w:color w:val="auto"/>
          <w:szCs w:val="21"/>
          <w:highlight w:val="none"/>
        </w:rPr>
      </w:pPr>
      <w:r>
        <w:rPr>
          <w:rFonts w:hint="eastAsia" w:ascii="宋体" w:hAnsi="宋体" w:cs="宋体"/>
          <w:color w:val="auto"/>
          <w:szCs w:val="21"/>
          <w:highlight w:val="none"/>
        </w:rPr>
        <w:t>评委签名：                                                                    日期：</w:t>
      </w:r>
    </w:p>
    <w:p>
      <w:pPr>
        <w:rPr>
          <w:rFonts w:hint="eastAsia" w:ascii="宋体" w:hAnsi="宋体" w:cs="宋体"/>
          <w:color w:val="auto"/>
          <w:szCs w:val="21"/>
          <w:highlight w:val="none"/>
        </w:rPr>
      </w:pPr>
      <w:r>
        <w:rPr>
          <w:rFonts w:hint="eastAsia" w:ascii="宋体" w:hAnsi="宋体" w:cs="宋体"/>
          <w:color w:val="auto"/>
          <w:szCs w:val="21"/>
          <w:highlight w:val="none"/>
        </w:rPr>
        <w:br w:type="page"/>
      </w:r>
    </w:p>
    <w:p>
      <w:pPr>
        <w:rPr>
          <w:rFonts w:ascii="宋体" w:hAnsi="宋体"/>
          <w:szCs w:val="21"/>
        </w:rPr>
      </w:pPr>
      <w:r>
        <w:rPr>
          <w:rFonts w:hint="eastAsia" w:ascii="宋体" w:hAnsi="宋体"/>
          <w:szCs w:val="21"/>
        </w:rPr>
        <w:t>附表四附件：</w:t>
      </w:r>
    </w:p>
    <w:p>
      <w:pPr>
        <w:spacing w:line="480" w:lineRule="auto"/>
        <w:jc w:val="center"/>
        <w:rPr>
          <w:rFonts w:ascii="宋体" w:hAnsi="宋体"/>
          <w:b/>
          <w:sz w:val="30"/>
          <w:szCs w:val="30"/>
        </w:rPr>
      </w:pPr>
      <w:r>
        <w:rPr>
          <w:rFonts w:hint="eastAsia" w:ascii="宋体" w:hAnsi="宋体"/>
          <w:b/>
          <w:sz w:val="30"/>
          <w:szCs w:val="30"/>
        </w:rPr>
        <w:t>《投标人投入主要</w:t>
      </w:r>
      <w:r>
        <w:rPr>
          <w:rFonts w:hint="eastAsia" w:ascii="宋体" w:hAnsi="宋体"/>
          <w:b/>
          <w:sz w:val="30"/>
          <w:szCs w:val="30"/>
          <w:lang w:val="en-US" w:eastAsia="zh-CN"/>
        </w:rPr>
        <w:t>骨干</w:t>
      </w:r>
      <w:r>
        <w:rPr>
          <w:rFonts w:hint="eastAsia" w:ascii="宋体" w:hAnsi="宋体"/>
          <w:b/>
          <w:sz w:val="30"/>
          <w:szCs w:val="30"/>
        </w:rPr>
        <w:t>人员</w:t>
      </w:r>
      <w:r>
        <w:rPr>
          <w:rFonts w:hint="eastAsia" w:ascii="宋体" w:hAnsi="宋体"/>
          <w:b/>
          <w:sz w:val="30"/>
          <w:szCs w:val="30"/>
          <w:lang w:val="en-US" w:eastAsia="zh-CN"/>
        </w:rPr>
        <w:t>基本</w:t>
      </w:r>
      <w:r>
        <w:rPr>
          <w:rFonts w:hint="eastAsia" w:ascii="宋体" w:hAnsi="宋体"/>
          <w:b/>
          <w:sz w:val="30"/>
          <w:szCs w:val="30"/>
        </w:rPr>
        <w:t>表》</w:t>
      </w:r>
    </w:p>
    <w:tbl>
      <w:tblPr>
        <w:tblStyle w:val="38"/>
        <w:tblW w:w="14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964"/>
        <w:gridCol w:w="6738"/>
        <w:gridCol w:w="5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blHeader/>
          <w:jc w:val="center"/>
        </w:trPr>
        <w:tc>
          <w:tcPr>
            <w:tcW w:w="1417" w:type="dxa"/>
            <w:noWrap w:val="0"/>
            <w:vAlign w:val="center"/>
          </w:tcPr>
          <w:p>
            <w:pPr>
              <w:widowControl/>
              <w:snapToGrid w:val="0"/>
              <w:spacing w:beforeLines="8" w:afterLines="8"/>
              <w:ind w:left="-65" w:leftChars="-31" w:right="-46" w:rightChars="-22"/>
              <w:jc w:val="center"/>
              <w:rPr>
                <w:rFonts w:ascii="宋体" w:hAnsi="宋体" w:cs="宋体"/>
                <w:b/>
                <w:kern w:val="0"/>
                <w:szCs w:val="21"/>
                <w:highlight w:val="none"/>
              </w:rPr>
            </w:pPr>
            <w:r>
              <w:rPr>
                <w:rFonts w:hint="eastAsia" w:ascii="宋体" w:hAnsi="宋体" w:cs="宋体"/>
                <w:b/>
                <w:kern w:val="0"/>
                <w:szCs w:val="21"/>
                <w:highlight w:val="none"/>
              </w:rPr>
              <w:t>项目管理团队</w:t>
            </w:r>
          </w:p>
        </w:tc>
        <w:tc>
          <w:tcPr>
            <w:tcW w:w="964" w:type="dxa"/>
            <w:noWrap w:val="0"/>
            <w:vAlign w:val="center"/>
          </w:tcPr>
          <w:p>
            <w:pPr>
              <w:widowControl/>
              <w:snapToGrid w:val="0"/>
              <w:spacing w:beforeLines="8" w:afterLines="8"/>
              <w:ind w:left="-65" w:leftChars="-31" w:right="-46" w:rightChars="-22"/>
              <w:jc w:val="center"/>
              <w:rPr>
                <w:rFonts w:ascii="宋体" w:hAnsi="宋体" w:cs="宋体"/>
                <w:b/>
                <w:kern w:val="0"/>
                <w:szCs w:val="21"/>
                <w:highlight w:val="none"/>
              </w:rPr>
            </w:pPr>
            <w:r>
              <w:rPr>
                <w:rFonts w:hint="eastAsia" w:ascii="宋体" w:hAnsi="宋体" w:cs="宋体"/>
                <w:b/>
                <w:kern w:val="0"/>
                <w:szCs w:val="21"/>
                <w:highlight w:val="none"/>
              </w:rPr>
              <w:t>最低人数</w:t>
            </w:r>
          </w:p>
        </w:tc>
        <w:tc>
          <w:tcPr>
            <w:tcW w:w="6738" w:type="dxa"/>
            <w:noWrap w:val="0"/>
            <w:vAlign w:val="center"/>
          </w:tcPr>
          <w:p>
            <w:pPr>
              <w:widowControl/>
              <w:snapToGrid w:val="0"/>
              <w:spacing w:beforeLines="8" w:afterLines="8"/>
              <w:ind w:left="-65" w:leftChars="-31" w:right="-46" w:rightChars="-22"/>
              <w:jc w:val="center"/>
              <w:rPr>
                <w:rFonts w:ascii="宋体" w:hAnsi="宋体" w:cs="宋体"/>
                <w:b/>
                <w:kern w:val="0"/>
                <w:szCs w:val="21"/>
                <w:highlight w:val="none"/>
              </w:rPr>
            </w:pPr>
            <w:r>
              <w:rPr>
                <w:rFonts w:hint="eastAsia" w:ascii="宋体" w:hAnsi="宋体" w:cs="宋体"/>
                <w:b/>
                <w:kern w:val="0"/>
                <w:szCs w:val="21"/>
                <w:highlight w:val="none"/>
              </w:rPr>
              <w:t>基本要求</w:t>
            </w:r>
          </w:p>
        </w:tc>
        <w:tc>
          <w:tcPr>
            <w:tcW w:w="5479" w:type="dxa"/>
            <w:noWrap w:val="0"/>
            <w:vAlign w:val="center"/>
          </w:tcPr>
          <w:p>
            <w:pPr>
              <w:widowControl/>
              <w:snapToGrid w:val="0"/>
              <w:spacing w:beforeLines="8" w:afterLines="8"/>
              <w:ind w:left="-65" w:leftChars="-31" w:right="-46" w:rightChars="-22"/>
              <w:jc w:val="center"/>
              <w:rPr>
                <w:rFonts w:ascii="宋体" w:hAnsi="宋体" w:cs="宋体"/>
                <w:b/>
                <w:kern w:val="0"/>
                <w:szCs w:val="21"/>
                <w:highlight w:val="none"/>
              </w:rPr>
            </w:pPr>
            <w:r>
              <w:rPr>
                <w:rFonts w:hint="eastAsia" w:ascii="宋体" w:hAnsi="宋体" w:cs="宋体"/>
                <w:b/>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17" w:type="dxa"/>
            <w:noWrap w:val="0"/>
            <w:vAlign w:val="center"/>
          </w:tcPr>
          <w:p>
            <w:pPr>
              <w:widowControl/>
              <w:snapToGrid w:val="0"/>
              <w:spacing w:beforeLines="20" w:afterLines="20"/>
              <w:ind w:left="-53" w:leftChars="-25" w:right="-53" w:rightChars="-25"/>
              <w:jc w:val="center"/>
              <w:rPr>
                <w:rFonts w:ascii="宋体" w:hAnsi="宋体"/>
                <w:sz w:val="21"/>
                <w:szCs w:val="21"/>
                <w:highlight w:val="none"/>
              </w:rPr>
            </w:pPr>
            <w:r>
              <w:rPr>
                <w:rFonts w:hint="eastAsia" w:ascii="宋体" w:hAnsi="宋体"/>
                <w:sz w:val="21"/>
                <w:szCs w:val="21"/>
                <w:highlight w:val="none"/>
              </w:rPr>
              <w:t>项目负责人</w:t>
            </w:r>
          </w:p>
        </w:tc>
        <w:tc>
          <w:tcPr>
            <w:tcW w:w="964" w:type="dxa"/>
            <w:noWrap w:val="0"/>
            <w:vAlign w:val="center"/>
          </w:tcPr>
          <w:p>
            <w:pPr>
              <w:widowControl/>
              <w:snapToGrid w:val="0"/>
              <w:spacing w:beforeLines="20" w:afterLines="20"/>
              <w:ind w:left="-65" w:leftChars="-31" w:right="-46" w:rightChars="-22"/>
              <w:jc w:val="center"/>
              <w:rPr>
                <w:rFonts w:ascii="宋体" w:hAnsi="宋体" w:cs="宋体"/>
                <w:kern w:val="0"/>
                <w:sz w:val="21"/>
                <w:szCs w:val="21"/>
                <w:highlight w:val="none"/>
              </w:rPr>
            </w:pPr>
            <w:r>
              <w:rPr>
                <w:rFonts w:hint="eastAsia" w:ascii="宋体" w:hAnsi="宋体" w:cs="宋体"/>
                <w:kern w:val="0"/>
                <w:sz w:val="21"/>
                <w:szCs w:val="21"/>
                <w:highlight w:val="none"/>
              </w:rPr>
              <w:t>1人</w:t>
            </w:r>
          </w:p>
        </w:tc>
        <w:tc>
          <w:tcPr>
            <w:tcW w:w="6738" w:type="dxa"/>
            <w:noWrap w:val="0"/>
            <w:vAlign w:val="center"/>
          </w:tcPr>
          <w:p>
            <w:pPr>
              <w:widowControl/>
              <w:snapToGrid w:val="0"/>
              <w:spacing w:beforeLines="20" w:afterLines="20"/>
              <w:ind w:left="-48" w:leftChars="-23"/>
              <w:rPr>
                <w:rFonts w:ascii="宋体" w:hAnsi="宋体"/>
                <w:sz w:val="21"/>
                <w:szCs w:val="21"/>
                <w:highlight w:val="none"/>
              </w:rPr>
            </w:pPr>
            <w:r>
              <w:rPr>
                <w:rFonts w:hint="eastAsia" w:ascii="宋体" w:hAnsi="宋体"/>
                <w:sz w:val="21"/>
                <w:szCs w:val="21"/>
                <w:highlight w:val="none"/>
              </w:rPr>
              <w:t>按招标公告要求</w:t>
            </w:r>
          </w:p>
        </w:tc>
        <w:tc>
          <w:tcPr>
            <w:tcW w:w="5479" w:type="dxa"/>
            <w:noWrap w:val="0"/>
            <w:vAlign w:val="center"/>
          </w:tcPr>
          <w:p>
            <w:pPr>
              <w:widowControl/>
              <w:snapToGrid w:val="0"/>
              <w:spacing w:beforeLines="20" w:afterLines="20"/>
              <w:ind w:left="-53" w:leftChars="-25" w:right="-53" w:rightChars="-25"/>
              <w:jc w:val="left"/>
              <w:rPr>
                <w:rFonts w:ascii="宋体" w:hAnsi="宋体"/>
                <w:sz w:val="21"/>
                <w:szCs w:val="21"/>
                <w:highlight w:val="none"/>
              </w:rPr>
            </w:pPr>
            <w:r>
              <w:rPr>
                <w:rFonts w:hint="eastAsia" w:ascii="宋体" w:hAnsi="宋体"/>
                <w:sz w:val="21"/>
                <w:szCs w:val="21"/>
                <w:highlight w:val="none"/>
              </w:rPr>
              <w:t>按招标公告要求提供的资料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17" w:type="dxa"/>
            <w:noWrap w:val="0"/>
            <w:vAlign w:val="center"/>
          </w:tcPr>
          <w:p>
            <w:pPr>
              <w:widowControl/>
              <w:snapToGrid w:val="0"/>
              <w:spacing w:beforeLines="20" w:afterLines="20"/>
              <w:ind w:left="-53" w:leftChars="-25" w:right="-53" w:rightChars="-25"/>
              <w:jc w:val="center"/>
              <w:rPr>
                <w:rFonts w:ascii="宋体" w:hAnsi="宋体"/>
                <w:sz w:val="21"/>
                <w:szCs w:val="21"/>
                <w:highlight w:val="none"/>
              </w:rPr>
            </w:pPr>
            <w:r>
              <w:rPr>
                <w:rFonts w:hint="eastAsia" w:ascii="宋体" w:hAnsi="宋体"/>
                <w:sz w:val="21"/>
                <w:szCs w:val="21"/>
                <w:highlight w:val="none"/>
              </w:rPr>
              <w:t>技术负责人</w:t>
            </w:r>
          </w:p>
        </w:tc>
        <w:tc>
          <w:tcPr>
            <w:tcW w:w="964" w:type="dxa"/>
            <w:noWrap w:val="0"/>
            <w:vAlign w:val="center"/>
          </w:tcPr>
          <w:p>
            <w:pPr>
              <w:widowControl/>
              <w:snapToGrid w:val="0"/>
              <w:spacing w:beforeLines="20" w:afterLines="20"/>
              <w:ind w:left="-65" w:leftChars="-31" w:right="-46" w:rightChars="-22"/>
              <w:jc w:val="center"/>
              <w:rPr>
                <w:rFonts w:ascii="宋体" w:hAnsi="宋体" w:cs="宋体"/>
                <w:kern w:val="0"/>
                <w:sz w:val="21"/>
                <w:szCs w:val="21"/>
                <w:highlight w:val="none"/>
              </w:rPr>
            </w:pPr>
            <w:r>
              <w:rPr>
                <w:rFonts w:hint="eastAsia" w:ascii="宋体" w:hAnsi="宋体" w:cs="宋体"/>
                <w:kern w:val="0"/>
                <w:sz w:val="21"/>
                <w:szCs w:val="21"/>
                <w:highlight w:val="none"/>
              </w:rPr>
              <w:t>1人</w:t>
            </w:r>
          </w:p>
        </w:tc>
        <w:tc>
          <w:tcPr>
            <w:tcW w:w="6738" w:type="dxa"/>
            <w:noWrap w:val="0"/>
            <w:vAlign w:val="center"/>
          </w:tcPr>
          <w:p>
            <w:pPr>
              <w:widowControl/>
              <w:snapToGrid w:val="0"/>
              <w:spacing w:beforeLines="20" w:afterLines="20"/>
              <w:ind w:left="-48" w:leftChars="-23"/>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按招标公告要求</w:t>
            </w:r>
          </w:p>
        </w:tc>
        <w:tc>
          <w:tcPr>
            <w:tcW w:w="5479" w:type="dxa"/>
            <w:noWrap w:val="0"/>
            <w:vAlign w:val="center"/>
          </w:tcPr>
          <w:p>
            <w:pPr>
              <w:widowControl/>
              <w:snapToGrid w:val="0"/>
              <w:spacing w:beforeLines="20" w:afterLines="20"/>
              <w:ind w:left="-53" w:leftChars="-25" w:right="-53" w:rightChars="-25"/>
              <w:jc w:val="left"/>
              <w:rPr>
                <w:rFonts w:ascii="宋体" w:hAnsi="宋体"/>
                <w:sz w:val="21"/>
                <w:szCs w:val="21"/>
                <w:highlight w:val="none"/>
              </w:rPr>
            </w:pPr>
            <w:r>
              <w:rPr>
                <w:rFonts w:hint="eastAsia" w:ascii="宋体" w:hAnsi="宋体"/>
                <w:sz w:val="21"/>
                <w:szCs w:val="21"/>
                <w:highlight w:val="none"/>
              </w:rPr>
              <w:t>按招标公告要求提供的资料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417" w:type="dxa"/>
            <w:noWrap w:val="0"/>
            <w:vAlign w:val="center"/>
          </w:tcPr>
          <w:p>
            <w:pPr>
              <w:widowControl/>
              <w:snapToGrid w:val="0"/>
              <w:spacing w:beforeLines="20" w:afterLines="20"/>
              <w:ind w:left="-53" w:leftChars="-25" w:right="-53" w:rightChars="-25"/>
              <w:jc w:val="center"/>
              <w:rPr>
                <w:rFonts w:ascii="宋体" w:hAnsi="宋体"/>
                <w:sz w:val="21"/>
                <w:szCs w:val="21"/>
                <w:highlight w:val="none"/>
              </w:rPr>
            </w:pPr>
            <w:r>
              <w:rPr>
                <w:rFonts w:hint="eastAsia" w:ascii="宋体" w:hAnsi="宋体"/>
                <w:sz w:val="21"/>
                <w:szCs w:val="21"/>
                <w:highlight w:val="none"/>
              </w:rPr>
              <w:t>质量负责人</w:t>
            </w:r>
          </w:p>
        </w:tc>
        <w:tc>
          <w:tcPr>
            <w:tcW w:w="964" w:type="dxa"/>
            <w:noWrap w:val="0"/>
            <w:vAlign w:val="center"/>
          </w:tcPr>
          <w:p>
            <w:pPr>
              <w:widowControl/>
              <w:snapToGrid w:val="0"/>
              <w:spacing w:beforeLines="20" w:afterLines="20"/>
              <w:ind w:left="-65" w:leftChars="-31" w:right="-46" w:rightChars="-22"/>
              <w:jc w:val="center"/>
              <w:rPr>
                <w:rFonts w:ascii="宋体" w:hAnsi="宋体" w:cs="宋体"/>
                <w:kern w:val="0"/>
                <w:sz w:val="21"/>
                <w:szCs w:val="21"/>
                <w:highlight w:val="none"/>
              </w:rPr>
            </w:pPr>
            <w:r>
              <w:rPr>
                <w:rFonts w:hint="eastAsia" w:ascii="宋体" w:hAnsi="宋体" w:cs="宋体"/>
                <w:kern w:val="0"/>
                <w:sz w:val="21"/>
                <w:szCs w:val="21"/>
                <w:highlight w:val="none"/>
              </w:rPr>
              <w:t>1人</w:t>
            </w:r>
          </w:p>
        </w:tc>
        <w:tc>
          <w:tcPr>
            <w:tcW w:w="6738" w:type="dxa"/>
            <w:noWrap w:val="0"/>
            <w:vAlign w:val="center"/>
          </w:tcPr>
          <w:p>
            <w:pPr>
              <w:widowControl/>
              <w:snapToGrid w:val="0"/>
              <w:spacing w:beforeLines="20" w:afterLines="20"/>
              <w:ind w:left="-48" w:leftChars="-23"/>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具有建筑装饰施工专业工程师(或以上)职称</w:t>
            </w:r>
          </w:p>
        </w:tc>
        <w:tc>
          <w:tcPr>
            <w:tcW w:w="5479" w:type="dxa"/>
            <w:noWrap w:val="0"/>
            <w:vAlign w:val="center"/>
          </w:tcPr>
          <w:p>
            <w:pPr>
              <w:widowControl/>
              <w:snapToGrid w:val="0"/>
              <w:spacing w:beforeLines="20" w:afterLines="20"/>
              <w:ind w:left="-53" w:leftChars="-25" w:right="-53" w:rightChars="-25"/>
              <w:jc w:val="left"/>
              <w:rPr>
                <w:rFonts w:ascii="宋体" w:hAnsi="宋体"/>
                <w:sz w:val="21"/>
                <w:szCs w:val="21"/>
                <w:highlight w:val="none"/>
              </w:rPr>
            </w:pPr>
            <w:r>
              <w:rPr>
                <w:rFonts w:hint="eastAsia" w:ascii="宋体" w:hAnsi="宋体"/>
                <w:sz w:val="21"/>
                <w:szCs w:val="21"/>
                <w:highlight w:val="none"/>
              </w:rPr>
              <w:t>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17" w:type="dxa"/>
            <w:noWrap w:val="0"/>
            <w:vAlign w:val="center"/>
          </w:tcPr>
          <w:p>
            <w:pPr>
              <w:widowControl/>
              <w:snapToGrid w:val="0"/>
              <w:spacing w:beforeLines="20" w:afterLines="20"/>
              <w:ind w:left="-53" w:leftChars="-25" w:right="-53" w:rightChars="-25"/>
              <w:jc w:val="center"/>
              <w:rPr>
                <w:rFonts w:ascii="宋体" w:hAnsi="宋体"/>
                <w:sz w:val="21"/>
                <w:szCs w:val="21"/>
                <w:highlight w:val="none"/>
              </w:rPr>
            </w:pPr>
            <w:r>
              <w:rPr>
                <w:rFonts w:hint="eastAsia" w:ascii="宋体" w:hAnsi="宋体"/>
                <w:sz w:val="21"/>
                <w:szCs w:val="21"/>
                <w:highlight w:val="none"/>
              </w:rPr>
              <w:t>安全负责人</w:t>
            </w:r>
          </w:p>
        </w:tc>
        <w:tc>
          <w:tcPr>
            <w:tcW w:w="964" w:type="dxa"/>
            <w:noWrap w:val="0"/>
            <w:vAlign w:val="center"/>
          </w:tcPr>
          <w:p>
            <w:pPr>
              <w:widowControl/>
              <w:snapToGrid w:val="0"/>
              <w:spacing w:beforeLines="20" w:afterLines="20"/>
              <w:ind w:left="-65" w:leftChars="-31" w:right="-46" w:rightChars="-22"/>
              <w:jc w:val="center"/>
              <w:rPr>
                <w:rFonts w:ascii="宋体" w:hAnsi="宋体" w:cs="宋体"/>
                <w:kern w:val="0"/>
                <w:sz w:val="21"/>
                <w:szCs w:val="21"/>
                <w:highlight w:val="none"/>
              </w:rPr>
            </w:pPr>
            <w:r>
              <w:rPr>
                <w:rFonts w:hint="eastAsia" w:ascii="宋体" w:hAnsi="宋体" w:cs="宋体"/>
                <w:kern w:val="0"/>
                <w:sz w:val="21"/>
                <w:szCs w:val="21"/>
                <w:highlight w:val="none"/>
              </w:rPr>
              <w:t>1人</w:t>
            </w:r>
          </w:p>
        </w:tc>
        <w:tc>
          <w:tcPr>
            <w:tcW w:w="6738" w:type="dxa"/>
            <w:noWrap w:val="0"/>
            <w:vAlign w:val="center"/>
          </w:tcPr>
          <w:p>
            <w:pPr>
              <w:widowControl/>
              <w:snapToGrid w:val="0"/>
              <w:spacing w:beforeLines="20" w:afterLines="20"/>
              <w:ind w:left="-48" w:leftChars="-23"/>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具有建筑施工安全专业注册安全工程师执业资格(有效期内)</w:t>
            </w:r>
          </w:p>
        </w:tc>
        <w:tc>
          <w:tcPr>
            <w:tcW w:w="5479" w:type="dxa"/>
            <w:noWrap w:val="0"/>
            <w:vAlign w:val="center"/>
          </w:tcPr>
          <w:p>
            <w:pPr>
              <w:widowControl/>
              <w:snapToGrid w:val="0"/>
              <w:spacing w:beforeLines="20" w:afterLines="20"/>
              <w:ind w:left="-53" w:leftChars="-25" w:right="-53" w:rightChars="-25"/>
              <w:jc w:val="left"/>
              <w:rPr>
                <w:rFonts w:hint="eastAsia" w:ascii="宋体" w:hAnsi="宋体" w:eastAsia="宋体"/>
                <w:sz w:val="21"/>
                <w:szCs w:val="21"/>
                <w:highlight w:val="none"/>
                <w:lang w:eastAsia="zh-CN"/>
              </w:rPr>
            </w:pPr>
            <w:r>
              <w:rPr>
                <w:rFonts w:hint="eastAsia" w:ascii="宋体" w:hAnsi="宋体"/>
                <w:sz w:val="21"/>
                <w:szCs w:val="21"/>
                <w:highlight w:val="none"/>
                <w:lang w:eastAsia="zh-CN"/>
              </w:rPr>
              <w:t>同时</w:t>
            </w:r>
            <w:r>
              <w:rPr>
                <w:rFonts w:hint="eastAsia" w:ascii="宋体" w:hAnsi="宋体"/>
                <w:sz w:val="21"/>
                <w:szCs w:val="21"/>
                <w:highlight w:val="none"/>
              </w:rPr>
              <w:t>提供</w:t>
            </w:r>
            <w:r>
              <w:rPr>
                <w:rFonts w:hint="eastAsia" w:ascii="宋体" w:hAnsi="宋体"/>
                <w:color w:val="auto"/>
                <w:szCs w:val="21"/>
                <w:highlight w:val="none"/>
                <w:shd w:val="clear" w:color="auto" w:fill="auto"/>
              </w:rPr>
              <w:t>注册安全工程师执业证书</w:t>
            </w:r>
            <w:r>
              <w:rPr>
                <w:rFonts w:hint="eastAsia" w:ascii="宋体" w:hAnsi="宋体"/>
                <w:sz w:val="21"/>
                <w:szCs w:val="21"/>
                <w:highlight w:val="none"/>
              </w:rPr>
              <w:t>、</w:t>
            </w:r>
            <w:r>
              <w:rPr>
                <w:rFonts w:hint="eastAsia" w:ascii="宋体" w:hAnsi="宋体"/>
                <w:color w:val="auto"/>
                <w:szCs w:val="21"/>
                <w:highlight w:val="none"/>
                <w:shd w:val="clear" w:color="auto" w:fill="auto"/>
              </w:rPr>
              <w:t>“应急管理部注册安全工程师查询服务栏目（https://zwfw.mem.gov.cn/zwthlw/pages/hlwmh/</w:t>
            </w:r>
            <w:r>
              <w:rPr>
                <w:rFonts w:ascii="宋体" w:hAnsi="宋体"/>
                <w:color w:val="auto"/>
                <w:szCs w:val="21"/>
                <w:highlight w:val="none"/>
                <w:shd w:val="clear" w:color="auto" w:fill="auto"/>
              </w:rPr>
              <w:br w:type="textWrapping"/>
            </w:r>
            <w:r>
              <w:rPr>
                <w:rFonts w:hint="eastAsia" w:ascii="宋体" w:hAnsi="宋体"/>
                <w:color w:val="auto"/>
                <w:szCs w:val="21"/>
                <w:highlight w:val="none"/>
                <w:shd w:val="clear" w:color="auto" w:fill="auto"/>
              </w:rPr>
              <w:t>yyfw/zcaqgcscx/index.html）查询结果截图</w:t>
            </w:r>
            <w:r>
              <w:rPr>
                <w:rFonts w:hint="eastAsia" w:ascii="宋体" w:hAnsi="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417" w:type="dxa"/>
            <w:noWrap w:val="0"/>
            <w:vAlign w:val="center"/>
          </w:tcPr>
          <w:p>
            <w:pPr>
              <w:widowControl/>
              <w:snapToGrid w:val="0"/>
              <w:spacing w:beforeLines="20" w:afterLines="20"/>
              <w:ind w:left="-53" w:leftChars="-25" w:right="-53" w:rightChars="-25"/>
              <w:jc w:val="center"/>
              <w:rPr>
                <w:rFonts w:ascii="宋体" w:hAnsi="宋体"/>
                <w:sz w:val="21"/>
                <w:szCs w:val="21"/>
                <w:highlight w:val="none"/>
              </w:rPr>
            </w:pPr>
            <w:r>
              <w:rPr>
                <w:rFonts w:hint="eastAsia" w:ascii="宋体" w:hAnsi="宋体"/>
                <w:sz w:val="21"/>
                <w:szCs w:val="21"/>
                <w:highlight w:val="none"/>
              </w:rPr>
              <w:t>造价负责人</w:t>
            </w:r>
          </w:p>
        </w:tc>
        <w:tc>
          <w:tcPr>
            <w:tcW w:w="964" w:type="dxa"/>
            <w:noWrap w:val="0"/>
            <w:vAlign w:val="center"/>
          </w:tcPr>
          <w:p>
            <w:pPr>
              <w:widowControl/>
              <w:snapToGrid w:val="0"/>
              <w:spacing w:beforeLines="20" w:afterLines="20"/>
              <w:ind w:left="-65" w:leftChars="-31" w:right="-46" w:rightChars="-22"/>
              <w:jc w:val="center"/>
              <w:rPr>
                <w:rFonts w:ascii="宋体" w:hAnsi="宋体" w:cs="宋体"/>
                <w:kern w:val="0"/>
                <w:sz w:val="21"/>
                <w:szCs w:val="21"/>
                <w:highlight w:val="none"/>
              </w:rPr>
            </w:pPr>
            <w:r>
              <w:rPr>
                <w:rFonts w:ascii="宋体" w:hAnsi="宋体" w:cs="宋体"/>
                <w:kern w:val="0"/>
                <w:sz w:val="21"/>
                <w:szCs w:val="21"/>
                <w:highlight w:val="none"/>
              </w:rPr>
              <w:t>1</w:t>
            </w:r>
            <w:r>
              <w:rPr>
                <w:rFonts w:hint="eastAsia" w:ascii="宋体" w:hAnsi="宋体" w:cs="宋体"/>
                <w:kern w:val="0"/>
                <w:sz w:val="21"/>
                <w:szCs w:val="21"/>
                <w:highlight w:val="none"/>
              </w:rPr>
              <w:t>人</w:t>
            </w:r>
          </w:p>
        </w:tc>
        <w:tc>
          <w:tcPr>
            <w:tcW w:w="6738" w:type="dxa"/>
            <w:noWrap w:val="0"/>
            <w:vAlign w:val="center"/>
          </w:tcPr>
          <w:p>
            <w:pPr>
              <w:widowControl/>
              <w:snapToGrid w:val="0"/>
              <w:spacing w:beforeLines="20" w:afterLines="20"/>
              <w:ind w:left="-48" w:leftChars="-23"/>
              <w:rPr>
                <w:rFonts w:hint="eastAsia" w:ascii="宋体" w:hAnsi="宋体" w:eastAsia="宋体" w:cs="Times New Roman"/>
                <w:sz w:val="21"/>
                <w:szCs w:val="21"/>
                <w:highlight w:val="none"/>
              </w:rPr>
            </w:pPr>
            <w:r>
              <w:rPr>
                <w:rFonts w:hint="eastAsia" w:ascii="宋体" w:hAnsi="宋体" w:cs="宋体"/>
                <w:sz w:val="21"/>
                <w:szCs w:val="21"/>
                <w:highlight w:val="none"/>
              </w:rPr>
              <w:t>具有</w:t>
            </w:r>
            <w:r>
              <w:rPr>
                <w:rFonts w:hint="eastAsia" w:ascii="宋体" w:hAnsi="宋体" w:cs="宋体"/>
                <w:snapToGrid w:val="0"/>
                <w:sz w:val="21"/>
                <w:szCs w:val="21"/>
                <w:highlight w:val="none"/>
              </w:rPr>
              <w:t>有效期内的</w:t>
            </w:r>
            <w:r>
              <w:rPr>
                <w:rFonts w:hint="eastAsia" w:ascii="宋体" w:hAnsi="宋体" w:cs="宋体"/>
                <w:sz w:val="21"/>
                <w:szCs w:val="21"/>
                <w:highlight w:val="none"/>
              </w:rPr>
              <w:t>土建专业</w:t>
            </w:r>
            <w:r>
              <w:rPr>
                <w:rFonts w:hint="eastAsia" w:ascii="宋体" w:hAnsi="宋体" w:cs="宋体"/>
                <w:sz w:val="21"/>
                <w:szCs w:val="21"/>
                <w:highlight w:val="none"/>
                <w:lang w:val="en-US" w:eastAsia="zh-CN"/>
              </w:rPr>
              <w:t>二</w:t>
            </w:r>
            <w:r>
              <w:rPr>
                <w:rFonts w:hint="eastAsia" w:ascii="宋体" w:hAnsi="宋体" w:cs="宋体"/>
                <w:sz w:val="21"/>
                <w:szCs w:val="21"/>
                <w:highlight w:val="none"/>
              </w:rPr>
              <w:t>级</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或以上）</w:t>
            </w:r>
            <w:r>
              <w:rPr>
                <w:rFonts w:hint="eastAsia" w:ascii="宋体" w:hAnsi="宋体" w:cs="宋体"/>
                <w:sz w:val="21"/>
                <w:szCs w:val="21"/>
                <w:highlight w:val="none"/>
              </w:rPr>
              <w:t>注册造价工程师证书</w:t>
            </w:r>
          </w:p>
        </w:tc>
        <w:tc>
          <w:tcPr>
            <w:tcW w:w="5479" w:type="dxa"/>
            <w:noWrap w:val="0"/>
            <w:vAlign w:val="center"/>
          </w:tcPr>
          <w:p>
            <w:pPr>
              <w:widowControl/>
              <w:snapToGrid w:val="0"/>
              <w:spacing w:beforeLines="20" w:afterLines="20"/>
              <w:ind w:left="-53" w:leftChars="-25" w:right="-53" w:rightChars="-25"/>
              <w:jc w:val="left"/>
              <w:rPr>
                <w:rFonts w:hint="eastAsia" w:ascii="宋体" w:hAnsi="宋体" w:eastAsia="宋体"/>
                <w:sz w:val="21"/>
                <w:szCs w:val="21"/>
                <w:highlight w:val="none"/>
                <w:lang w:val="en-US" w:eastAsia="zh-CN"/>
              </w:rPr>
            </w:pPr>
            <w:r>
              <w:rPr>
                <w:rFonts w:hint="eastAsia" w:ascii="宋体" w:hAnsi="宋体"/>
                <w:sz w:val="21"/>
                <w:szCs w:val="21"/>
                <w:highlight w:val="none"/>
                <w:lang w:eastAsia="zh-CN"/>
              </w:rPr>
              <w:t>同时</w:t>
            </w:r>
            <w:r>
              <w:rPr>
                <w:rFonts w:hint="eastAsia" w:ascii="宋体" w:hAnsi="宋体"/>
                <w:sz w:val="21"/>
                <w:szCs w:val="21"/>
                <w:highlight w:val="none"/>
              </w:rPr>
              <w:t>提供</w:t>
            </w:r>
            <w:r>
              <w:rPr>
                <w:rFonts w:hint="eastAsia" w:ascii="宋体" w:hAnsi="宋体"/>
                <w:color w:val="auto"/>
                <w:szCs w:val="21"/>
                <w:highlight w:val="none"/>
                <w:shd w:val="clear" w:color="auto" w:fill="auto"/>
              </w:rPr>
              <w:t>造价工程师注册证书</w:t>
            </w:r>
            <w:r>
              <w:rPr>
                <w:rFonts w:hint="eastAsia" w:ascii="宋体" w:hAnsi="宋体"/>
                <w:sz w:val="21"/>
                <w:szCs w:val="21"/>
                <w:highlight w:val="none"/>
              </w:rPr>
              <w:t>、“全国建筑市场监管公共服务平台（http://jzsc.mohurd.gov.cn）”查询截图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17" w:type="dxa"/>
            <w:noWrap w:val="0"/>
            <w:vAlign w:val="center"/>
          </w:tcPr>
          <w:p>
            <w:pPr>
              <w:widowControl/>
              <w:snapToGrid w:val="0"/>
              <w:spacing w:beforeLines="20" w:afterLines="20"/>
              <w:ind w:left="-53" w:leftChars="-25" w:right="-53" w:rightChars="-25"/>
              <w:jc w:val="center"/>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深化</w:t>
            </w:r>
            <w:r>
              <w:rPr>
                <w:rFonts w:hint="eastAsia" w:ascii="宋体" w:hAnsi="宋体" w:eastAsia="宋体" w:cs="Times New Roman"/>
                <w:kern w:val="2"/>
                <w:sz w:val="21"/>
                <w:szCs w:val="21"/>
                <w:highlight w:val="none"/>
                <w:lang w:val="en-US" w:eastAsia="zh-CN" w:bidi="ar-SA"/>
              </w:rPr>
              <w:t>设计负责人</w:t>
            </w:r>
          </w:p>
        </w:tc>
        <w:tc>
          <w:tcPr>
            <w:tcW w:w="964" w:type="dxa"/>
            <w:noWrap w:val="0"/>
            <w:vAlign w:val="center"/>
          </w:tcPr>
          <w:p>
            <w:pPr>
              <w:widowControl/>
              <w:snapToGrid w:val="0"/>
              <w:spacing w:beforeLines="20" w:afterLines="20"/>
              <w:ind w:left="-65" w:leftChars="-31" w:right="-46" w:rightChars="-22"/>
              <w:jc w:val="center"/>
              <w:rPr>
                <w:rFonts w:hint="eastAsia"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rPr>
              <w:t>1</w:t>
            </w:r>
            <w:r>
              <w:rPr>
                <w:rFonts w:hint="eastAsia" w:ascii="宋体" w:hAnsi="宋体" w:eastAsia="宋体" w:cs="宋体"/>
                <w:kern w:val="0"/>
                <w:sz w:val="21"/>
                <w:szCs w:val="21"/>
                <w:highlight w:val="none"/>
              </w:rPr>
              <w:t>人</w:t>
            </w:r>
          </w:p>
        </w:tc>
        <w:tc>
          <w:tcPr>
            <w:tcW w:w="6738" w:type="dxa"/>
            <w:noWrap w:val="0"/>
            <w:vAlign w:val="center"/>
          </w:tcPr>
          <w:p>
            <w:pPr>
              <w:widowControl/>
              <w:snapToGrid w:val="0"/>
              <w:spacing w:beforeLines="20" w:afterLines="20"/>
              <w:ind w:left="-48" w:leftChars="-23"/>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rPr>
              <w:t>具有建筑装饰设计类专业工程师(或以上)职称</w:t>
            </w:r>
          </w:p>
        </w:tc>
        <w:tc>
          <w:tcPr>
            <w:tcW w:w="5479" w:type="dxa"/>
            <w:noWrap w:val="0"/>
            <w:vAlign w:val="center"/>
          </w:tcPr>
          <w:p>
            <w:pPr>
              <w:widowControl/>
              <w:snapToGrid w:val="0"/>
              <w:spacing w:beforeLines="20" w:afterLines="20"/>
              <w:ind w:left="-48" w:leftChars="-23"/>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rPr>
              <w:t>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17" w:type="dxa"/>
            <w:noWrap w:val="0"/>
            <w:vAlign w:val="center"/>
          </w:tcPr>
          <w:p>
            <w:pPr>
              <w:widowControl/>
              <w:snapToGrid w:val="0"/>
              <w:spacing w:beforeLines="20" w:afterLines="20"/>
              <w:ind w:left="-53" w:leftChars="-25" w:right="-53" w:rightChars="-25"/>
              <w:jc w:val="center"/>
              <w:rPr>
                <w:rFonts w:hint="eastAsia" w:ascii="宋体" w:hAnsi="宋体"/>
                <w:sz w:val="21"/>
                <w:szCs w:val="21"/>
                <w:highlight w:val="none"/>
              </w:rPr>
            </w:pPr>
            <w:r>
              <w:rPr>
                <w:rFonts w:hint="eastAsia" w:ascii="宋体" w:hAnsi="宋体" w:eastAsia="宋体" w:cs="Times New Roman"/>
                <w:kern w:val="2"/>
                <w:sz w:val="21"/>
                <w:szCs w:val="21"/>
                <w:highlight w:val="none"/>
                <w:lang w:val="en-US" w:eastAsia="zh-CN" w:bidi="ar-SA"/>
              </w:rPr>
              <w:t>测量工程师</w:t>
            </w:r>
          </w:p>
        </w:tc>
        <w:tc>
          <w:tcPr>
            <w:tcW w:w="964" w:type="dxa"/>
            <w:noWrap w:val="0"/>
            <w:vAlign w:val="center"/>
          </w:tcPr>
          <w:p>
            <w:pPr>
              <w:widowControl/>
              <w:snapToGrid w:val="0"/>
              <w:spacing w:beforeLines="20" w:afterLines="20"/>
              <w:ind w:left="-65" w:leftChars="-31" w:right="-46" w:rightChars="-22"/>
              <w:jc w:val="center"/>
              <w:rPr>
                <w:rFonts w:hint="eastAsia" w:ascii="宋体" w:hAnsi="宋体" w:cs="宋体"/>
                <w:kern w:val="0"/>
                <w:sz w:val="21"/>
                <w:szCs w:val="21"/>
                <w:highlight w:val="none"/>
                <w:lang w:val="en-US" w:eastAsia="zh-CN"/>
              </w:rPr>
            </w:pPr>
            <w:r>
              <w:rPr>
                <w:rFonts w:ascii="宋体" w:hAnsi="宋体" w:eastAsia="宋体" w:cs="宋体"/>
                <w:kern w:val="0"/>
                <w:sz w:val="21"/>
                <w:szCs w:val="21"/>
                <w:highlight w:val="none"/>
              </w:rPr>
              <w:t>1</w:t>
            </w:r>
            <w:r>
              <w:rPr>
                <w:rFonts w:hint="eastAsia" w:ascii="宋体" w:hAnsi="宋体" w:eastAsia="宋体" w:cs="宋体"/>
                <w:kern w:val="0"/>
                <w:sz w:val="21"/>
                <w:szCs w:val="21"/>
                <w:highlight w:val="none"/>
              </w:rPr>
              <w:t>人</w:t>
            </w:r>
          </w:p>
        </w:tc>
        <w:tc>
          <w:tcPr>
            <w:tcW w:w="6738" w:type="dxa"/>
            <w:noWrap w:val="0"/>
            <w:vAlign w:val="center"/>
          </w:tcPr>
          <w:p>
            <w:pPr>
              <w:widowControl/>
              <w:snapToGrid w:val="0"/>
              <w:spacing w:beforeLines="20" w:afterLines="20"/>
              <w:ind w:left="-48" w:leftChars="-23"/>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rPr>
              <w:t>具有</w:t>
            </w:r>
            <w:r>
              <w:rPr>
                <w:rFonts w:hint="eastAsia" w:ascii="宋体" w:hAnsi="宋体" w:eastAsia="宋体" w:cs="Times New Roman"/>
                <w:sz w:val="21"/>
                <w:szCs w:val="21"/>
                <w:highlight w:val="none"/>
                <w:lang w:val="en-US" w:eastAsia="zh-CN"/>
              </w:rPr>
              <w:t>测量</w:t>
            </w:r>
            <w:r>
              <w:rPr>
                <w:rFonts w:hint="eastAsia" w:ascii="宋体" w:hAnsi="宋体" w:eastAsia="宋体" w:cs="Times New Roman"/>
                <w:sz w:val="21"/>
                <w:szCs w:val="21"/>
                <w:highlight w:val="none"/>
              </w:rPr>
              <w:t>专业工程师(或以上)职称</w:t>
            </w:r>
          </w:p>
        </w:tc>
        <w:tc>
          <w:tcPr>
            <w:tcW w:w="5479" w:type="dxa"/>
            <w:noWrap w:val="0"/>
            <w:vAlign w:val="center"/>
          </w:tcPr>
          <w:p>
            <w:pPr>
              <w:widowControl/>
              <w:snapToGrid w:val="0"/>
              <w:spacing w:beforeLines="20" w:afterLines="20"/>
              <w:ind w:left="-48" w:leftChars="-23"/>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rPr>
              <w:t>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17" w:type="dxa"/>
            <w:noWrap w:val="0"/>
            <w:vAlign w:val="center"/>
          </w:tcPr>
          <w:p>
            <w:pPr>
              <w:widowControl/>
              <w:snapToGrid w:val="0"/>
              <w:spacing w:beforeLines="20" w:afterLines="20"/>
              <w:ind w:left="-53" w:leftChars="-25" w:right="-53" w:rightChars="-25"/>
              <w:jc w:val="center"/>
              <w:rPr>
                <w:rFonts w:ascii="宋体" w:hAnsi="宋体"/>
                <w:sz w:val="21"/>
                <w:szCs w:val="21"/>
                <w:highlight w:val="none"/>
              </w:rPr>
            </w:pPr>
            <w:r>
              <w:rPr>
                <w:rFonts w:hint="eastAsia" w:ascii="宋体" w:hAnsi="宋体"/>
                <w:sz w:val="21"/>
                <w:szCs w:val="21"/>
                <w:highlight w:val="none"/>
              </w:rPr>
              <w:t>装修工程师</w:t>
            </w:r>
          </w:p>
        </w:tc>
        <w:tc>
          <w:tcPr>
            <w:tcW w:w="964" w:type="dxa"/>
            <w:noWrap w:val="0"/>
            <w:vAlign w:val="center"/>
          </w:tcPr>
          <w:p>
            <w:pPr>
              <w:widowControl/>
              <w:snapToGrid w:val="0"/>
              <w:spacing w:beforeLines="20" w:afterLines="20"/>
              <w:ind w:left="-65" w:leftChars="-31" w:right="-46" w:rightChars="-22"/>
              <w:jc w:val="center"/>
              <w:rPr>
                <w:rFonts w:ascii="宋体" w:hAnsi="宋体" w:eastAsia="宋体" w:cs="宋体"/>
                <w:kern w:val="0"/>
                <w:sz w:val="21"/>
                <w:szCs w:val="21"/>
                <w:highlight w:val="none"/>
              </w:rPr>
            </w:pPr>
            <w:r>
              <w:rPr>
                <w:rFonts w:hint="eastAsia" w:ascii="宋体" w:hAnsi="宋体" w:cs="宋体"/>
                <w:kern w:val="0"/>
                <w:sz w:val="21"/>
                <w:szCs w:val="21"/>
                <w:highlight w:val="none"/>
                <w:lang w:val="en-US" w:eastAsia="zh-CN"/>
              </w:rPr>
              <w:t>6</w:t>
            </w:r>
            <w:r>
              <w:rPr>
                <w:rFonts w:hint="eastAsia" w:ascii="宋体" w:hAnsi="宋体" w:eastAsia="宋体" w:cs="宋体"/>
                <w:kern w:val="0"/>
                <w:sz w:val="21"/>
                <w:szCs w:val="21"/>
                <w:highlight w:val="none"/>
              </w:rPr>
              <w:t>人</w:t>
            </w:r>
          </w:p>
        </w:tc>
        <w:tc>
          <w:tcPr>
            <w:tcW w:w="6738" w:type="dxa"/>
            <w:noWrap w:val="0"/>
            <w:vAlign w:val="center"/>
          </w:tcPr>
          <w:p>
            <w:pPr>
              <w:widowControl/>
              <w:snapToGrid w:val="0"/>
              <w:spacing w:beforeLines="20" w:afterLines="20"/>
              <w:ind w:left="-48" w:leftChars="-23"/>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具有建筑装饰施工类专业工程师(或以上)职称</w:t>
            </w:r>
          </w:p>
        </w:tc>
        <w:tc>
          <w:tcPr>
            <w:tcW w:w="5479" w:type="dxa"/>
            <w:noWrap w:val="0"/>
            <w:vAlign w:val="center"/>
          </w:tcPr>
          <w:p>
            <w:pPr>
              <w:widowControl/>
              <w:snapToGrid w:val="0"/>
              <w:spacing w:beforeLines="20" w:afterLines="20"/>
              <w:ind w:left="-53" w:leftChars="-25" w:right="-53" w:rightChars="-25"/>
              <w:jc w:val="left"/>
              <w:rPr>
                <w:rFonts w:ascii="宋体" w:hAnsi="宋体"/>
                <w:sz w:val="21"/>
                <w:szCs w:val="21"/>
                <w:highlight w:val="none"/>
              </w:rPr>
            </w:pPr>
            <w:r>
              <w:rPr>
                <w:rFonts w:hint="eastAsia" w:ascii="宋体" w:hAnsi="宋体"/>
                <w:sz w:val="21"/>
                <w:szCs w:val="21"/>
                <w:highlight w:val="none"/>
              </w:rPr>
              <w:t>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17" w:type="dxa"/>
            <w:noWrap w:val="0"/>
            <w:vAlign w:val="center"/>
          </w:tcPr>
          <w:p>
            <w:pPr>
              <w:widowControl/>
              <w:snapToGrid w:val="0"/>
              <w:spacing w:beforeLines="20" w:afterLines="20"/>
              <w:ind w:left="-53" w:leftChars="-25" w:right="-53" w:rightChars="-25"/>
              <w:jc w:val="center"/>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rPr>
              <w:t>给排水工程师</w:t>
            </w:r>
          </w:p>
        </w:tc>
        <w:tc>
          <w:tcPr>
            <w:tcW w:w="964" w:type="dxa"/>
            <w:noWrap w:val="0"/>
            <w:vAlign w:val="center"/>
          </w:tcPr>
          <w:p>
            <w:pPr>
              <w:widowControl/>
              <w:snapToGrid w:val="0"/>
              <w:spacing w:beforeLines="20" w:afterLines="20"/>
              <w:ind w:left="-65" w:leftChars="-31" w:right="-46" w:rightChars="-22"/>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rPr>
              <w:t>人</w:t>
            </w:r>
          </w:p>
        </w:tc>
        <w:tc>
          <w:tcPr>
            <w:tcW w:w="6738" w:type="dxa"/>
            <w:noWrap w:val="0"/>
            <w:vAlign w:val="center"/>
          </w:tcPr>
          <w:p>
            <w:pPr>
              <w:widowControl/>
              <w:snapToGrid w:val="0"/>
              <w:spacing w:beforeLines="20" w:afterLines="20"/>
              <w:ind w:left="-48" w:leftChars="-23"/>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sz w:val="21"/>
                <w:szCs w:val="21"/>
                <w:highlight w:val="none"/>
              </w:rPr>
              <w:t>具有给水排水类专业工程师(或以上)职称</w:t>
            </w:r>
          </w:p>
        </w:tc>
        <w:tc>
          <w:tcPr>
            <w:tcW w:w="5479" w:type="dxa"/>
            <w:noWrap w:val="0"/>
            <w:vAlign w:val="center"/>
          </w:tcPr>
          <w:p>
            <w:pPr>
              <w:widowControl/>
              <w:snapToGrid w:val="0"/>
              <w:spacing w:beforeLines="20" w:afterLines="20"/>
              <w:ind w:left="-53" w:leftChars="-25" w:right="-53" w:rightChars="-25"/>
              <w:jc w:val="left"/>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rPr>
              <w:t>提供职称证书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17" w:type="dxa"/>
            <w:noWrap w:val="0"/>
            <w:vAlign w:val="center"/>
          </w:tcPr>
          <w:p>
            <w:pPr>
              <w:widowControl/>
              <w:snapToGrid w:val="0"/>
              <w:spacing w:beforeLines="20" w:afterLines="20"/>
              <w:ind w:left="-53" w:leftChars="-25" w:right="-53" w:rightChars="-25"/>
              <w:jc w:val="center"/>
              <w:rPr>
                <w:rFonts w:ascii="宋体" w:hAnsi="宋体"/>
                <w:sz w:val="21"/>
                <w:szCs w:val="21"/>
                <w:highlight w:val="none"/>
              </w:rPr>
            </w:pPr>
            <w:r>
              <w:rPr>
                <w:rFonts w:hint="eastAsia" w:ascii="宋体" w:hAnsi="宋体"/>
                <w:sz w:val="21"/>
                <w:szCs w:val="21"/>
                <w:highlight w:val="none"/>
              </w:rPr>
              <w:t>造价工程师</w:t>
            </w:r>
          </w:p>
        </w:tc>
        <w:tc>
          <w:tcPr>
            <w:tcW w:w="964" w:type="dxa"/>
            <w:noWrap w:val="0"/>
            <w:vAlign w:val="center"/>
          </w:tcPr>
          <w:p>
            <w:pPr>
              <w:widowControl/>
              <w:snapToGrid w:val="0"/>
              <w:spacing w:beforeLines="20" w:afterLines="20"/>
              <w:ind w:left="-65" w:leftChars="-31" w:right="-46" w:rightChars="-22"/>
              <w:jc w:val="center"/>
              <w:rPr>
                <w:rFonts w:ascii="宋体" w:hAnsi="宋体" w:cs="宋体"/>
                <w:kern w:val="0"/>
                <w:sz w:val="21"/>
                <w:szCs w:val="21"/>
                <w:highlight w:val="none"/>
              </w:rPr>
            </w:pPr>
            <w:r>
              <w:rPr>
                <w:rFonts w:hint="eastAsia" w:ascii="宋体" w:hAnsi="宋体" w:cs="宋体"/>
                <w:kern w:val="0"/>
                <w:sz w:val="21"/>
                <w:szCs w:val="21"/>
                <w:highlight w:val="none"/>
              </w:rPr>
              <w:t>2人</w:t>
            </w:r>
          </w:p>
        </w:tc>
        <w:tc>
          <w:tcPr>
            <w:tcW w:w="6738" w:type="dxa"/>
            <w:noWrap w:val="0"/>
            <w:vAlign w:val="center"/>
          </w:tcPr>
          <w:p>
            <w:pPr>
              <w:widowControl/>
              <w:snapToGrid w:val="0"/>
              <w:spacing w:beforeLines="20" w:afterLines="20"/>
              <w:ind w:left="-48" w:leftChars="-23"/>
              <w:rPr>
                <w:rFonts w:hint="default" w:ascii="宋体" w:hAnsi="宋体" w:eastAsia="宋体" w:cs="宋体"/>
                <w:sz w:val="21"/>
                <w:szCs w:val="21"/>
                <w:highlight w:val="none"/>
                <w:lang w:val="en-US" w:eastAsia="zh-CN"/>
              </w:rPr>
            </w:pPr>
            <w:r>
              <w:rPr>
                <w:rFonts w:hint="eastAsia" w:ascii="宋体" w:hAnsi="宋体" w:cs="宋体"/>
                <w:sz w:val="21"/>
                <w:szCs w:val="21"/>
                <w:highlight w:val="none"/>
              </w:rPr>
              <w:t>土建专业</w:t>
            </w:r>
            <w:r>
              <w:rPr>
                <w:rFonts w:hint="eastAsia" w:ascii="宋体" w:hAnsi="宋体" w:cs="宋体"/>
                <w:sz w:val="21"/>
                <w:szCs w:val="21"/>
                <w:highlight w:val="none"/>
                <w:lang w:eastAsia="zh-CN"/>
              </w:rPr>
              <w:t>（</w:t>
            </w:r>
            <w:r>
              <w:rPr>
                <w:rFonts w:hint="eastAsia" w:ascii="宋体" w:hAnsi="宋体" w:cs="宋体"/>
                <w:sz w:val="21"/>
                <w:szCs w:val="21"/>
                <w:highlight w:val="none"/>
              </w:rPr>
              <w:t>1人</w:t>
            </w:r>
            <w:r>
              <w:rPr>
                <w:rFonts w:hint="eastAsia" w:ascii="宋体" w:hAnsi="宋体" w:cs="宋体"/>
                <w:sz w:val="21"/>
                <w:szCs w:val="21"/>
                <w:highlight w:val="none"/>
                <w:lang w:eastAsia="zh-CN"/>
              </w:rPr>
              <w:t>）</w:t>
            </w:r>
            <w:r>
              <w:rPr>
                <w:rFonts w:hint="eastAsia" w:ascii="宋体" w:hAnsi="宋体" w:cs="宋体"/>
                <w:sz w:val="21"/>
                <w:szCs w:val="21"/>
                <w:highlight w:val="none"/>
              </w:rPr>
              <w:t>：具有</w:t>
            </w:r>
            <w:r>
              <w:rPr>
                <w:rFonts w:hint="eastAsia" w:ascii="宋体" w:hAnsi="宋体" w:cs="宋体"/>
                <w:snapToGrid w:val="0"/>
                <w:sz w:val="21"/>
                <w:szCs w:val="21"/>
                <w:highlight w:val="none"/>
              </w:rPr>
              <w:t>有效期内的</w:t>
            </w:r>
            <w:r>
              <w:rPr>
                <w:rFonts w:hint="eastAsia" w:ascii="宋体" w:hAnsi="宋体" w:cs="宋体"/>
                <w:sz w:val="21"/>
                <w:szCs w:val="21"/>
                <w:highlight w:val="none"/>
              </w:rPr>
              <w:t>土建专业</w:t>
            </w:r>
            <w:r>
              <w:rPr>
                <w:rFonts w:hint="eastAsia" w:ascii="宋体" w:hAnsi="宋体" w:cs="宋体"/>
                <w:sz w:val="21"/>
                <w:szCs w:val="21"/>
                <w:highlight w:val="none"/>
                <w:lang w:val="en-US" w:eastAsia="zh-CN"/>
              </w:rPr>
              <w:t>二</w:t>
            </w:r>
            <w:r>
              <w:rPr>
                <w:rFonts w:hint="eastAsia" w:ascii="宋体" w:hAnsi="宋体" w:cs="宋体"/>
                <w:sz w:val="21"/>
                <w:szCs w:val="21"/>
                <w:highlight w:val="none"/>
              </w:rPr>
              <w:t>级</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或以上）</w:t>
            </w:r>
            <w:r>
              <w:rPr>
                <w:rFonts w:hint="eastAsia" w:ascii="宋体" w:hAnsi="宋体" w:cs="宋体"/>
                <w:sz w:val="21"/>
                <w:szCs w:val="21"/>
                <w:highlight w:val="none"/>
              </w:rPr>
              <w:t>注册造价工程师证书</w:t>
            </w:r>
          </w:p>
          <w:p>
            <w:pPr>
              <w:widowControl/>
              <w:snapToGrid w:val="0"/>
              <w:spacing w:beforeLines="20" w:afterLines="20"/>
              <w:ind w:left="-48" w:leftChars="-23"/>
              <w:rPr>
                <w:rFonts w:ascii="宋体" w:hAnsi="宋体"/>
                <w:sz w:val="21"/>
                <w:szCs w:val="21"/>
                <w:highlight w:val="none"/>
              </w:rPr>
            </w:pPr>
            <w:r>
              <w:rPr>
                <w:rFonts w:hint="eastAsia" w:ascii="宋体" w:hAnsi="宋体" w:cs="宋体"/>
                <w:sz w:val="21"/>
                <w:szCs w:val="21"/>
                <w:highlight w:val="none"/>
              </w:rPr>
              <w:t>安装专业</w:t>
            </w:r>
            <w:r>
              <w:rPr>
                <w:rFonts w:hint="eastAsia" w:ascii="宋体" w:hAnsi="宋体" w:cs="宋体"/>
                <w:sz w:val="21"/>
                <w:szCs w:val="21"/>
                <w:highlight w:val="none"/>
                <w:lang w:eastAsia="zh-CN"/>
              </w:rPr>
              <w:t>（</w:t>
            </w:r>
            <w:r>
              <w:rPr>
                <w:rFonts w:hint="eastAsia" w:ascii="宋体" w:hAnsi="宋体" w:cs="宋体"/>
                <w:sz w:val="21"/>
                <w:szCs w:val="21"/>
                <w:highlight w:val="none"/>
              </w:rPr>
              <w:t>1人</w:t>
            </w:r>
            <w:r>
              <w:rPr>
                <w:rFonts w:hint="eastAsia" w:ascii="宋体" w:hAnsi="宋体" w:cs="宋体"/>
                <w:sz w:val="21"/>
                <w:szCs w:val="21"/>
                <w:highlight w:val="none"/>
                <w:lang w:eastAsia="zh-CN"/>
              </w:rPr>
              <w:t>）</w:t>
            </w:r>
            <w:r>
              <w:rPr>
                <w:rFonts w:hint="eastAsia" w:ascii="宋体" w:hAnsi="宋体" w:cs="宋体"/>
                <w:sz w:val="21"/>
                <w:szCs w:val="21"/>
                <w:highlight w:val="none"/>
              </w:rPr>
              <w:t>：具有</w:t>
            </w:r>
            <w:r>
              <w:rPr>
                <w:rFonts w:hint="eastAsia" w:ascii="宋体" w:hAnsi="宋体" w:cs="宋体"/>
                <w:snapToGrid w:val="0"/>
                <w:kern w:val="0"/>
                <w:sz w:val="21"/>
                <w:szCs w:val="21"/>
                <w:highlight w:val="none"/>
              </w:rPr>
              <w:t>有效期内的</w:t>
            </w:r>
            <w:r>
              <w:rPr>
                <w:rFonts w:hint="eastAsia" w:ascii="宋体" w:hAnsi="宋体" w:cs="宋体"/>
                <w:sz w:val="21"/>
                <w:szCs w:val="21"/>
                <w:highlight w:val="none"/>
              </w:rPr>
              <w:t>安装专业</w:t>
            </w:r>
            <w:r>
              <w:rPr>
                <w:rFonts w:hint="eastAsia" w:ascii="宋体" w:hAnsi="宋体" w:cs="宋体"/>
                <w:sz w:val="21"/>
                <w:szCs w:val="21"/>
                <w:highlight w:val="none"/>
                <w:lang w:val="en-US" w:eastAsia="zh-CN"/>
              </w:rPr>
              <w:t>二</w:t>
            </w:r>
            <w:r>
              <w:rPr>
                <w:rFonts w:hint="eastAsia" w:ascii="宋体" w:hAnsi="宋体" w:cs="宋体"/>
                <w:sz w:val="21"/>
                <w:szCs w:val="21"/>
                <w:highlight w:val="none"/>
              </w:rPr>
              <w:t>级</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或以上）</w:t>
            </w:r>
            <w:r>
              <w:rPr>
                <w:rFonts w:hint="eastAsia" w:ascii="宋体" w:hAnsi="宋体" w:cs="宋体"/>
                <w:sz w:val="21"/>
                <w:szCs w:val="21"/>
                <w:highlight w:val="none"/>
              </w:rPr>
              <w:t>注册造价工程师证书</w:t>
            </w:r>
          </w:p>
        </w:tc>
        <w:tc>
          <w:tcPr>
            <w:tcW w:w="5479" w:type="dxa"/>
            <w:noWrap w:val="0"/>
            <w:vAlign w:val="center"/>
          </w:tcPr>
          <w:p>
            <w:pPr>
              <w:widowControl/>
              <w:snapToGrid w:val="0"/>
              <w:spacing w:beforeLines="20" w:afterLines="20"/>
              <w:ind w:left="-53" w:leftChars="-25" w:right="-53" w:rightChars="-25"/>
              <w:jc w:val="left"/>
              <w:rPr>
                <w:rFonts w:ascii="宋体" w:hAnsi="宋体"/>
                <w:sz w:val="21"/>
                <w:szCs w:val="21"/>
                <w:highlight w:val="none"/>
              </w:rPr>
            </w:pPr>
            <w:r>
              <w:rPr>
                <w:rFonts w:hint="eastAsia" w:ascii="宋体" w:hAnsi="宋体"/>
                <w:sz w:val="21"/>
                <w:szCs w:val="21"/>
                <w:highlight w:val="none"/>
                <w:lang w:eastAsia="zh-CN"/>
              </w:rPr>
              <w:t>同时</w:t>
            </w:r>
            <w:r>
              <w:rPr>
                <w:rFonts w:hint="eastAsia" w:ascii="宋体" w:hAnsi="宋体"/>
                <w:sz w:val="21"/>
                <w:szCs w:val="21"/>
                <w:highlight w:val="none"/>
              </w:rPr>
              <w:t>提供</w:t>
            </w:r>
            <w:r>
              <w:rPr>
                <w:rFonts w:hint="eastAsia" w:ascii="宋体" w:hAnsi="宋体"/>
                <w:color w:val="auto"/>
                <w:szCs w:val="21"/>
                <w:highlight w:val="none"/>
                <w:shd w:val="clear" w:color="auto" w:fill="auto"/>
              </w:rPr>
              <w:t>造价工程师注册证书</w:t>
            </w:r>
            <w:r>
              <w:rPr>
                <w:rFonts w:hint="eastAsia" w:ascii="宋体" w:hAnsi="宋体"/>
                <w:sz w:val="21"/>
                <w:szCs w:val="21"/>
                <w:highlight w:val="none"/>
              </w:rPr>
              <w:t>、“全国建筑市场监管公共服务平台（http://jzsc.mohurd.gov.cn）”查询截图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17" w:type="dxa"/>
            <w:noWrap w:val="0"/>
            <w:vAlign w:val="center"/>
          </w:tcPr>
          <w:p>
            <w:pPr>
              <w:widowControl/>
              <w:snapToGrid w:val="0"/>
              <w:spacing w:beforeLines="20" w:afterLines="20"/>
              <w:ind w:left="-53" w:leftChars="-25" w:right="-53" w:rightChars="-25"/>
              <w:jc w:val="center"/>
              <w:rPr>
                <w:rFonts w:ascii="宋体" w:hAnsi="宋体"/>
                <w:sz w:val="21"/>
                <w:szCs w:val="21"/>
                <w:highlight w:val="none"/>
              </w:rPr>
            </w:pPr>
            <w:r>
              <w:rPr>
                <w:rFonts w:hint="eastAsia" w:ascii="宋体" w:hAnsi="宋体"/>
                <w:sz w:val="21"/>
                <w:szCs w:val="21"/>
                <w:highlight w:val="none"/>
              </w:rPr>
              <w:t>专职安全员</w:t>
            </w:r>
          </w:p>
        </w:tc>
        <w:tc>
          <w:tcPr>
            <w:tcW w:w="964" w:type="dxa"/>
            <w:noWrap w:val="0"/>
            <w:vAlign w:val="center"/>
          </w:tcPr>
          <w:p>
            <w:pPr>
              <w:widowControl/>
              <w:snapToGrid w:val="0"/>
              <w:spacing w:beforeLines="20" w:afterLines="20"/>
              <w:ind w:left="-65" w:leftChars="-31" w:right="-46" w:rightChars="-22"/>
              <w:jc w:val="center"/>
              <w:rPr>
                <w:rFonts w:ascii="宋体" w:hAnsi="宋体" w:cs="宋体"/>
                <w:kern w:val="0"/>
                <w:sz w:val="21"/>
                <w:szCs w:val="21"/>
                <w:highlight w:val="none"/>
              </w:rPr>
            </w:pPr>
            <w:r>
              <w:rPr>
                <w:rFonts w:hint="eastAsia" w:ascii="宋体" w:hAnsi="宋体" w:cs="宋体"/>
                <w:kern w:val="0"/>
                <w:sz w:val="21"/>
                <w:szCs w:val="21"/>
                <w:highlight w:val="none"/>
              </w:rPr>
              <w:t>1人</w:t>
            </w:r>
          </w:p>
        </w:tc>
        <w:tc>
          <w:tcPr>
            <w:tcW w:w="6738" w:type="dxa"/>
            <w:noWrap w:val="0"/>
            <w:vAlign w:val="center"/>
          </w:tcPr>
          <w:p>
            <w:pPr>
              <w:widowControl/>
              <w:snapToGrid w:val="0"/>
              <w:spacing w:beforeLines="20" w:afterLines="20"/>
              <w:ind w:left="-48" w:leftChars="-23"/>
              <w:rPr>
                <w:rFonts w:ascii="宋体" w:hAnsi="宋体"/>
                <w:sz w:val="21"/>
                <w:szCs w:val="21"/>
                <w:highlight w:val="none"/>
              </w:rPr>
            </w:pPr>
            <w:r>
              <w:rPr>
                <w:rFonts w:hint="eastAsia" w:ascii="宋体" w:hAnsi="宋体"/>
                <w:sz w:val="21"/>
                <w:szCs w:val="21"/>
                <w:highlight w:val="none"/>
              </w:rPr>
              <w:t>按招标公告要求</w:t>
            </w:r>
          </w:p>
        </w:tc>
        <w:tc>
          <w:tcPr>
            <w:tcW w:w="5479" w:type="dxa"/>
            <w:noWrap w:val="0"/>
            <w:vAlign w:val="center"/>
          </w:tcPr>
          <w:p>
            <w:pPr>
              <w:widowControl/>
              <w:snapToGrid w:val="0"/>
              <w:spacing w:beforeLines="20" w:afterLines="20"/>
              <w:ind w:left="-53" w:leftChars="-25" w:right="-53" w:rightChars="-25"/>
              <w:jc w:val="lef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按招标公告要求提供的资料</w:t>
            </w:r>
          </w:p>
        </w:tc>
      </w:tr>
    </w:tbl>
    <w:p>
      <w:pPr>
        <w:snapToGrid w:val="0"/>
        <w:spacing w:beforeLines="25" w:line="240" w:lineRule="exact"/>
        <w:ind w:left="360" w:hanging="420" w:hangingChars="200"/>
        <w:rPr>
          <w:rFonts w:ascii="宋体" w:hAnsi="宋体" w:cs="宋体"/>
          <w:bCs/>
          <w:kern w:val="0"/>
          <w:sz w:val="21"/>
          <w:szCs w:val="21"/>
          <w:highlight w:val="none"/>
        </w:rPr>
      </w:pPr>
      <w:r>
        <w:rPr>
          <w:rFonts w:hint="eastAsia" w:ascii="宋体" w:hAnsi="宋体" w:cs="宋体"/>
          <w:bCs/>
          <w:kern w:val="0"/>
          <w:sz w:val="21"/>
          <w:szCs w:val="21"/>
          <w:highlight w:val="none"/>
        </w:rPr>
        <w:t>注：</w:t>
      </w:r>
      <w:r>
        <w:rPr>
          <w:rFonts w:hint="eastAsia" w:ascii="宋体" w:hAnsi="宋体" w:cs="宋体"/>
          <w:bCs/>
          <w:color w:val="auto"/>
          <w:kern w:val="0"/>
          <w:sz w:val="21"/>
          <w:szCs w:val="21"/>
        </w:rPr>
        <w:t>①所有人员</w:t>
      </w:r>
      <w:r>
        <w:rPr>
          <w:rFonts w:hint="eastAsia" w:ascii="宋体" w:hAnsi="宋体"/>
          <w:szCs w:val="21"/>
          <w:highlight w:val="none"/>
        </w:rPr>
        <w:t>（不含投标人的子公司或母公司人员</w:t>
      </w:r>
      <w:r>
        <w:rPr>
          <w:rFonts w:hint="eastAsia" w:ascii="宋体" w:hAnsi="宋体" w:cs="宋体"/>
          <w:bCs/>
          <w:kern w:val="0"/>
          <w:szCs w:val="21"/>
          <w:highlight w:val="none"/>
        </w:rPr>
        <w:t>，含分公司</w:t>
      </w:r>
      <w:r>
        <w:rPr>
          <w:rFonts w:hint="eastAsia" w:ascii="宋体" w:hAnsi="宋体"/>
          <w:szCs w:val="21"/>
          <w:highlight w:val="none"/>
        </w:rPr>
        <w:t>）</w:t>
      </w:r>
      <w:r>
        <w:rPr>
          <w:rFonts w:hint="eastAsia" w:ascii="宋体" w:hAnsi="宋体" w:cs="宋体"/>
          <w:bCs/>
          <w:color w:val="auto"/>
          <w:kern w:val="0"/>
          <w:sz w:val="21"/>
          <w:szCs w:val="21"/>
        </w:rPr>
        <w:t>须提供相关证明资料和</w:t>
      </w:r>
      <w:r>
        <w:rPr>
          <w:rFonts w:hint="eastAsia" w:ascii="宋体" w:hAnsi="宋体" w:cs="宋体"/>
          <w:bCs/>
          <w:color w:val="auto"/>
          <w:kern w:val="0"/>
          <w:sz w:val="21"/>
          <w:szCs w:val="21"/>
          <w:lang w:val="en-US" w:eastAsia="zh-CN"/>
        </w:rPr>
        <w:t>最近</w:t>
      </w:r>
      <w:r>
        <w:rPr>
          <w:rFonts w:hint="eastAsia" w:ascii="宋体" w:hAnsi="宋体" w:cs="宋体"/>
          <w:bCs/>
          <w:color w:val="auto"/>
          <w:kern w:val="0"/>
          <w:sz w:val="21"/>
          <w:szCs w:val="21"/>
        </w:rPr>
        <w:t>一个月</w:t>
      </w:r>
      <w:r>
        <w:rPr>
          <w:rFonts w:hint="eastAsia" w:ascii="宋体" w:hAnsi="宋体" w:cs="宋体"/>
          <w:bCs/>
          <w:color w:val="auto"/>
          <w:kern w:val="0"/>
          <w:sz w:val="21"/>
          <w:szCs w:val="21"/>
          <w:lang w:eastAsia="zh-CN"/>
        </w:rPr>
        <w:t>（</w:t>
      </w:r>
      <w:r>
        <w:rPr>
          <w:rFonts w:hint="eastAsia" w:ascii="宋体" w:hAnsi="宋体" w:cs="宋体"/>
          <w:bCs/>
          <w:color w:val="auto"/>
          <w:kern w:val="0"/>
          <w:sz w:val="21"/>
          <w:szCs w:val="21"/>
          <w:lang w:val="en-US" w:eastAsia="zh-CN"/>
        </w:rPr>
        <w:t>2023年7月</w:t>
      </w:r>
      <w:r>
        <w:rPr>
          <w:rFonts w:hint="eastAsia" w:ascii="宋体" w:hAnsi="宋体" w:cs="宋体"/>
          <w:bCs/>
          <w:color w:val="auto"/>
          <w:kern w:val="0"/>
          <w:sz w:val="21"/>
          <w:szCs w:val="21"/>
          <w:lang w:eastAsia="zh-CN"/>
        </w:rPr>
        <w:t>）</w:t>
      </w:r>
      <w:r>
        <w:rPr>
          <w:rFonts w:hint="eastAsia" w:ascii="宋体" w:hAnsi="宋体" w:cs="宋体"/>
          <w:bCs/>
          <w:color w:val="auto"/>
          <w:kern w:val="0"/>
          <w:sz w:val="21"/>
          <w:szCs w:val="21"/>
        </w:rPr>
        <w:t>在投标单位缴纳社保的证明材料扫描件</w:t>
      </w:r>
      <w:r>
        <w:rPr>
          <w:rFonts w:hint="eastAsia" w:ascii="宋体" w:hAnsi="宋体" w:eastAsia="宋体" w:cs="宋体"/>
          <w:bCs/>
          <w:color w:val="auto"/>
          <w:kern w:val="0"/>
          <w:sz w:val="21"/>
          <w:szCs w:val="21"/>
        </w:rPr>
        <w:t>。</w:t>
      </w:r>
      <w:r>
        <w:rPr>
          <w:rFonts w:hint="default" w:ascii="宋体" w:hAnsi="宋体" w:eastAsia="宋体" w:cs="宋体"/>
          <w:bCs/>
          <w:color w:val="auto"/>
          <w:kern w:val="0"/>
          <w:sz w:val="21"/>
          <w:szCs w:val="21"/>
        </w:rPr>
        <w:t>②</w:t>
      </w:r>
      <w:r>
        <w:rPr>
          <w:rFonts w:hint="eastAsia" w:ascii="宋体" w:hAnsi="宋体" w:eastAsia="宋体" w:cs="宋体"/>
          <w:bCs/>
          <w:color w:val="auto"/>
          <w:kern w:val="0"/>
          <w:sz w:val="21"/>
          <w:szCs w:val="21"/>
        </w:rPr>
        <w:t>按照《造价工程师职业资格制度规定》的规定，根据原人事部、原建设部发布的《造价工程师执业资格制度暂行规定》（人发〔1996〕77号）取得的造价工程师执业资格，并经注册</w:t>
      </w:r>
      <w:r>
        <w:rPr>
          <w:rFonts w:hint="eastAsia" w:ascii="宋体" w:hAnsi="宋体" w:cs="宋体"/>
          <w:bCs/>
          <w:color w:val="auto"/>
          <w:kern w:val="0"/>
          <w:sz w:val="21"/>
          <w:szCs w:val="21"/>
          <w:highlight w:val="none"/>
          <w:u w:val="none"/>
        </w:rPr>
        <w:t>且在有效期内的，等同于一级注册造价工程师</w:t>
      </w:r>
      <w:r>
        <w:rPr>
          <w:rFonts w:hint="eastAsia" w:ascii="宋体" w:hAnsi="宋体" w:cs="宋体"/>
          <w:bCs/>
          <w:color w:val="auto"/>
          <w:kern w:val="0"/>
          <w:sz w:val="21"/>
          <w:szCs w:val="21"/>
          <w:highlight w:val="none"/>
          <w:u w:val="none"/>
          <w:lang w:eastAsia="zh-CN"/>
        </w:rPr>
        <w:t>，</w:t>
      </w:r>
      <w:r>
        <w:rPr>
          <w:rFonts w:hint="eastAsia" w:ascii="宋体" w:hAnsi="宋体" w:cs="宋体"/>
          <w:bCs/>
          <w:color w:val="auto"/>
          <w:kern w:val="0"/>
          <w:sz w:val="21"/>
          <w:szCs w:val="21"/>
        </w:rPr>
        <w:t>注册造价工程师专业以《造价工程师注册证书》中注明的专业为准，若注册证书中未有注明专业的以《造价工程师执业</w:t>
      </w:r>
      <w:r>
        <w:rPr>
          <w:rFonts w:hint="eastAsia" w:ascii="宋体" w:hAnsi="宋体" w:eastAsia="宋体" w:cs="宋体"/>
          <w:bCs/>
          <w:color w:val="auto"/>
          <w:kern w:val="0"/>
          <w:sz w:val="21"/>
          <w:szCs w:val="21"/>
          <w:highlight w:val="none"/>
          <w:u w:val="none"/>
        </w:rPr>
        <w:t>资格证书》中注明的专业为准，若注册证书和执业资格证书中都无注明专业</w:t>
      </w:r>
      <w:r>
        <w:rPr>
          <w:rFonts w:hint="eastAsia" w:ascii="宋体" w:hAnsi="宋体" w:eastAsia="宋体" w:cs="宋体"/>
          <w:bCs/>
          <w:color w:val="auto"/>
          <w:kern w:val="0"/>
          <w:sz w:val="21"/>
          <w:szCs w:val="21"/>
          <w:highlight w:val="none"/>
          <w:u w:val="none"/>
          <w:lang w:val="en-US" w:eastAsia="zh-CN"/>
        </w:rPr>
        <w:t>或标注不明确的，</w:t>
      </w:r>
      <w:r>
        <w:rPr>
          <w:rFonts w:hint="eastAsia" w:ascii="宋体" w:hAnsi="宋体" w:eastAsia="宋体" w:cs="宋体"/>
          <w:bCs/>
          <w:color w:val="auto"/>
          <w:kern w:val="0"/>
          <w:sz w:val="21"/>
          <w:szCs w:val="21"/>
          <w:highlight w:val="none"/>
          <w:u w:val="none"/>
        </w:rPr>
        <w:t>以全国建筑市场监管公共服务平台（四库一平台）中注明的专业为准</w:t>
      </w:r>
      <w:r>
        <w:rPr>
          <w:rFonts w:hint="eastAsia" w:ascii="宋体" w:hAnsi="宋体" w:eastAsia="宋体" w:cs="宋体"/>
          <w:bCs/>
          <w:color w:val="auto"/>
          <w:kern w:val="0"/>
          <w:sz w:val="21"/>
          <w:szCs w:val="21"/>
          <w:highlight w:val="none"/>
          <w:u w:val="none"/>
          <w:lang w:eastAsia="zh-CN"/>
        </w:rPr>
        <w:t>。</w:t>
      </w:r>
      <w:r>
        <w:rPr>
          <w:rFonts w:hint="eastAsia" w:ascii="宋体" w:hAnsi="宋体" w:eastAsia="宋体" w:cs="宋体"/>
          <w:bCs/>
          <w:color w:val="auto"/>
          <w:kern w:val="0"/>
          <w:sz w:val="21"/>
          <w:szCs w:val="21"/>
          <w:highlight w:val="none"/>
          <w:u w:val="none"/>
        </w:rPr>
        <w:t>③上述人员岗位不能相互兼任。</w:t>
      </w:r>
    </w:p>
    <w:p>
      <w:pPr>
        <w:rPr>
          <w:color w:val="auto"/>
          <w:highlight w:val="none"/>
        </w:rPr>
      </w:pPr>
      <w:r>
        <w:rPr>
          <w:color w:val="auto"/>
          <w:highlight w:val="none"/>
        </w:rPr>
        <w:br w:type="page"/>
      </w:r>
    </w:p>
    <w:p>
      <w:pPr>
        <w:rPr>
          <w:color w:val="auto"/>
          <w:szCs w:val="21"/>
          <w:highlight w:val="none"/>
        </w:rPr>
      </w:pPr>
      <w:r>
        <w:rPr>
          <w:rFonts w:hint="eastAsia"/>
          <w:color w:val="auto"/>
          <w:szCs w:val="21"/>
          <w:highlight w:val="none"/>
        </w:rPr>
        <w:t>附表五（适用于加权平均法）</w:t>
      </w:r>
    </w:p>
    <w:p>
      <w:pPr>
        <w:jc w:val="center"/>
        <w:outlineLvl w:val="2"/>
        <w:rPr>
          <w:b/>
          <w:color w:val="auto"/>
          <w:sz w:val="36"/>
          <w:szCs w:val="36"/>
          <w:highlight w:val="none"/>
        </w:rPr>
      </w:pPr>
      <w:bookmarkStart w:id="52" w:name="_Toc25493"/>
      <w:bookmarkStart w:id="53" w:name="_Toc26945"/>
      <w:r>
        <w:rPr>
          <w:rFonts w:hint="eastAsia"/>
          <w:b/>
          <w:color w:val="auto"/>
          <w:sz w:val="36"/>
          <w:szCs w:val="36"/>
          <w:highlight w:val="none"/>
        </w:rPr>
        <w:t>经济标评分表</w:t>
      </w:r>
      <w:bookmarkEnd w:id="52"/>
      <w:bookmarkEnd w:id="53"/>
    </w:p>
    <w:p>
      <w:pPr>
        <w:rPr>
          <w:color w:val="auto"/>
          <w:szCs w:val="21"/>
          <w:highlight w:val="none"/>
        </w:rPr>
      </w:pPr>
      <w:r>
        <w:rPr>
          <w:rFonts w:hint="eastAsia"/>
          <w:color w:val="auto"/>
          <w:szCs w:val="21"/>
          <w:highlight w:val="none"/>
        </w:rPr>
        <w:t>工程名称：</w:t>
      </w:r>
    </w:p>
    <w:tbl>
      <w:tblPr>
        <w:tblStyle w:val="38"/>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rPr>
          <w:color w:val="auto"/>
          <w:szCs w:val="21"/>
          <w:highlight w:val="none"/>
        </w:rPr>
      </w:pPr>
      <w:r>
        <w:rPr>
          <w:rFonts w:hint="eastAsia"/>
          <w:color w:val="auto"/>
          <w:szCs w:val="21"/>
          <w:highlight w:val="none"/>
        </w:rPr>
        <w:t>评委签名：</w:t>
      </w:r>
    </w:p>
    <w:p>
      <w:pPr>
        <w:pStyle w:val="73"/>
        <w:rPr>
          <w:color w:val="auto"/>
          <w:szCs w:val="21"/>
          <w:highlight w:val="none"/>
        </w:rPr>
      </w:pPr>
    </w:p>
    <w:p>
      <w:pPr>
        <w:pStyle w:val="73"/>
        <w:rPr>
          <w:color w:val="auto"/>
          <w:szCs w:val="21"/>
          <w:highlight w:val="none"/>
        </w:rPr>
      </w:pPr>
    </w:p>
    <w:p>
      <w:pPr>
        <w:pStyle w:val="73"/>
        <w:rPr>
          <w:color w:val="auto"/>
          <w:szCs w:val="21"/>
          <w:highlight w:val="none"/>
        </w:rPr>
      </w:pPr>
    </w:p>
    <w:p>
      <w:pPr>
        <w:rPr>
          <w:color w:val="auto"/>
          <w:szCs w:val="21"/>
          <w:highlight w:val="none"/>
        </w:rPr>
      </w:pPr>
    </w:p>
    <w:p>
      <w:pPr>
        <w:rPr>
          <w:b/>
          <w:color w:val="auto"/>
          <w:szCs w:val="21"/>
          <w:highlight w:val="none"/>
        </w:rPr>
      </w:pPr>
      <w:r>
        <w:rPr>
          <w:rFonts w:hint="eastAsia"/>
          <w:color w:val="auto"/>
          <w:szCs w:val="21"/>
          <w:highlight w:val="none"/>
        </w:rPr>
        <w:t>附表六</w:t>
      </w:r>
    </w:p>
    <w:p>
      <w:pPr>
        <w:jc w:val="center"/>
        <w:outlineLvl w:val="2"/>
        <w:rPr>
          <w:b/>
          <w:color w:val="auto"/>
          <w:sz w:val="36"/>
          <w:szCs w:val="36"/>
          <w:highlight w:val="none"/>
        </w:rPr>
      </w:pPr>
      <w:bookmarkStart w:id="54" w:name="_Toc23671"/>
      <w:bookmarkStart w:id="55" w:name="_Toc30676"/>
      <w:r>
        <w:rPr>
          <w:rFonts w:hint="eastAsia"/>
          <w:b/>
          <w:color w:val="auto"/>
          <w:sz w:val="36"/>
          <w:szCs w:val="36"/>
          <w:highlight w:val="none"/>
        </w:rPr>
        <w:t>算术复核表</w:t>
      </w:r>
      <w:bookmarkEnd w:id="54"/>
      <w:bookmarkEnd w:id="55"/>
    </w:p>
    <w:p>
      <w:pPr>
        <w:rPr>
          <w:rFonts w:ascii="宋体" w:hAnsi="宋体"/>
          <w:color w:val="auto"/>
          <w:kern w:val="0"/>
          <w:szCs w:val="21"/>
          <w:highlight w:val="none"/>
        </w:rPr>
      </w:pPr>
      <w:r>
        <w:rPr>
          <w:rFonts w:hint="eastAsia"/>
          <w:color w:val="auto"/>
          <w:kern w:val="0"/>
          <w:szCs w:val="21"/>
          <w:highlight w:val="none"/>
        </w:rPr>
        <w:t>工程名称：</w:t>
      </w:r>
      <w:r>
        <w:rPr>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38"/>
        <w:tblW w:w="14820" w:type="dxa"/>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修正前投标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修正后投标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pP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修正率</w:t>
            </w:r>
          </w:p>
          <w:p>
            <w:pPr>
              <w:rPr>
                <w:rFonts w:ascii="宋体" w:hAnsi="宋体"/>
                <w:color w:val="auto"/>
                <w:kern w:val="0"/>
                <w:szCs w:val="21"/>
                <w:highlight w:val="none"/>
              </w:rPr>
            </w:pP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pPr>
        <w:rPr>
          <w:color w:val="auto"/>
          <w:highlight w:val="none"/>
        </w:rPr>
      </w:pPr>
    </w:p>
    <w:p>
      <w:pPr>
        <w:rPr>
          <w:color w:val="auto"/>
          <w:highlight w:val="none"/>
        </w:rPr>
      </w:pPr>
      <w:r>
        <w:rPr>
          <w:color w:val="auto"/>
          <w:highlight w:val="none"/>
        </w:rPr>
        <w:br w:type="page"/>
      </w:r>
    </w:p>
    <w:p>
      <w:pPr>
        <w:jc w:val="center"/>
        <w:rPr>
          <w:b/>
          <w:color w:val="auto"/>
          <w:sz w:val="36"/>
          <w:szCs w:val="36"/>
          <w:highlight w:val="none"/>
        </w:rPr>
      </w:pPr>
      <w:r>
        <w:rPr>
          <w:rFonts w:hint="eastAsia"/>
          <w:b/>
          <w:color w:val="auto"/>
          <w:sz w:val="36"/>
          <w:szCs w:val="36"/>
          <w:highlight w:val="none"/>
        </w:rPr>
        <w:t>算术复核表</w:t>
      </w:r>
    </w:p>
    <w:p>
      <w:pPr>
        <w:rPr>
          <w:color w:val="auto"/>
          <w:szCs w:val="21"/>
          <w:highlight w:val="none"/>
        </w:rPr>
      </w:pPr>
      <w:r>
        <w:rPr>
          <w:rFonts w:hint="eastAsia"/>
          <w:color w:val="auto"/>
          <w:szCs w:val="21"/>
          <w:highlight w:val="none"/>
        </w:rPr>
        <w:t>工程名称：</w:t>
      </w:r>
    </w:p>
    <w:tbl>
      <w:tblPr>
        <w:tblStyle w:val="38"/>
        <w:tblW w:w="1417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原投标报价（</w:t>
            </w:r>
            <w:r>
              <w:rPr>
                <w:b/>
                <w:color w:val="auto"/>
                <w:sz w:val="28"/>
                <w:szCs w:val="28"/>
                <w:highlight w:val="none"/>
              </w:rPr>
              <w:t>A</w:t>
            </w:r>
            <w:r>
              <w:rPr>
                <w:rFonts w:hint="eastAsia"/>
                <w:b/>
                <w:color w:val="auto"/>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算数复核后投标报价（</w:t>
            </w:r>
            <w:r>
              <w:rPr>
                <w:b/>
                <w:color w:val="auto"/>
                <w:sz w:val="28"/>
                <w:szCs w:val="28"/>
                <w:highlight w:val="none"/>
              </w:rPr>
              <w:t>B</w:t>
            </w:r>
            <w:r>
              <w:rPr>
                <w:rFonts w:hint="eastAsia"/>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误差率（</w:t>
            </w:r>
            <w:r>
              <w:rPr>
                <w:b/>
                <w:color w:val="auto"/>
                <w:sz w:val="28"/>
                <w:szCs w:val="28"/>
                <w:highlight w:val="none"/>
              </w:rPr>
              <w:t>r=|A-B|/A*100%</w:t>
            </w:r>
            <w:r>
              <w:rPr>
                <w:rFonts w:hint="eastAsia"/>
                <w:b/>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bl>
    <w:p>
      <w:pPr>
        <w:rPr>
          <w:color w:val="auto"/>
          <w:szCs w:val="21"/>
          <w:highlight w:val="none"/>
        </w:rPr>
      </w:pPr>
      <w:r>
        <w:rPr>
          <w:rFonts w:hint="eastAsia"/>
          <w:color w:val="auto"/>
          <w:szCs w:val="21"/>
          <w:highlight w:val="none"/>
        </w:rPr>
        <w:t>评委签名：</w:t>
      </w:r>
    </w:p>
    <w:p>
      <w:pPr>
        <w:spacing w:line="360" w:lineRule="auto"/>
        <w:jc w:val="center"/>
        <w:rPr>
          <w:rFonts w:ascii="仿宋_GB2312" w:hAnsi="宋体" w:eastAsia="仿宋_GB2312"/>
          <w:color w:val="auto"/>
          <w:szCs w:val="21"/>
          <w:highlight w:val="none"/>
        </w:rPr>
        <w:sectPr>
          <w:headerReference r:id="rId19" w:type="first"/>
          <w:footerReference r:id="rId22" w:type="first"/>
          <w:headerReference r:id="rId17" w:type="default"/>
          <w:footerReference r:id="rId20" w:type="default"/>
          <w:headerReference r:id="rId18" w:type="even"/>
          <w:footerReference r:id="rId21" w:type="even"/>
          <w:endnotePr>
            <w:numFmt w:val="decimal"/>
          </w:endnotePr>
          <w:pgSz w:w="16838" w:h="11906" w:orient="landscape"/>
          <w:pgMar w:top="1418" w:right="1247" w:bottom="1418" w:left="1134" w:header="851" w:footer="907" w:gutter="0"/>
          <w:pgNumType w:fmt="decimal"/>
          <w:cols w:space="720" w:num="1"/>
          <w:titlePg/>
          <w:docGrid w:type="lines" w:linePitch="312" w:charSpace="0"/>
        </w:sectPr>
      </w:pPr>
    </w:p>
    <w:p>
      <w:pPr>
        <w:pStyle w:val="5"/>
        <w:jc w:val="center"/>
        <w:rPr>
          <w:color w:val="auto"/>
          <w:highlight w:val="none"/>
        </w:rPr>
      </w:pPr>
      <w:bookmarkStart w:id="56" w:name="_Toc30486"/>
      <w:bookmarkStart w:id="57" w:name="_Toc32710"/>
      <w:r>
        <w:rPr>
          <w:rFonts w:hint="eastAsia"/>
          <w:color w:val="auto"/>
          <w:highlight w:val="none"/>
        </w:rPr>
        <w:t>第三章</w:t>
      </w:r>
      <w:r>
        <w:rPr>
          <w:color w:val="auto"/>
          <w:highlight w:val="none"/>
        </w:rPr>
        <w:t xml:space="preserve">  </w:t>
      </w:r>
      <w:r>
        <w:rPr>
          <w:rFonts w:hint="eastAsia"/>
          <w:color w:val="auto"/>
          <w:highlight w:val="none"/>
        </w:rPr>
        <w:t>合同条款</w:t>
      </w:r>
      <w:bookmarkEnd w:id="56"/>
      <w:bookmarkEnd w:id="57"/>
    </w:p>
    <w:p>
      <w:pPr>
        <w:jc w:val="center"/>
        <w:rPr>
          <w:rFonts w:ascii="宋体"/>
          <w:b/>
          <w:color w:val="auto"/>
          <w:sz w:val="24"/>
          <w:szCs w:val="24"/>
          <w:highlight w:val="none"/>
        </w:rPr>
      </w:pPr>
      <w:r>
        <w:rPr>
          <w:rFonts w:hint="eastAsia"/>
          <w:color w:val="auto"/>
          <w:sz w:val="24"/>
          <w:szCs w:val="24"/>
          <w:highlight w:val="none"/>
        </w:rPr>
        <w:t>（</w:t>
      </w:r>
      <w:r>
        <w:rPr>
          <w:rFonts w:hint="eastAsia" w:ascii="宋体" w:hAnsi="宋体"/>
          <w:color w:val="auto"/>
          <w:sz w:val="24"/>
          <w:szCs w:val="24"/>
          <w:highlight w:val="none"/>
        </w:rPr>
        <w:t>另册</w:t>
      </w:r>
      <w:r>
        <w:rPr>
          <w:rFonts w:hint="eastAsia"/>
          <w:color w:val="auto"/>
          <w:sz w:val="24"/>
          <w:szCs w:val="24"/>
          <w:highlight w:val="none"/>
        </w:rPr>
        <w:t>）</w:t>
      </w:r>
    </w:p>
    <w:p>
      <w:pPr>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37"/>
        <w:spacing w:line="360" w:lineRule="auto"/>
        <w:rPr>
          <w:color w:val="auto"/>
          <w:sz w:val="24"/>
          <w:szCs w:val="24"/>
          <w:highlight w:val="none"/>
        </w:rPr>
      </w:pPr>
    </w:p>
    <w:p>
      <w:pPr>
        <w:pStyle w:val="21"/>
        <w:spacing w:line="360" w:lineRule="auto"/>
        <w:rPr>
          <w:color w:val="auto"/>
          <w:sz w:val="24"/>
          <w:szCs w:val="24"/>
          <w:highlight w:val="none"/>
        </w:rPr>
      </w:pPr>
    </w:p>
    <w:p>
      <w:pPr>
        <w:pStyle w:val="21"/>
        <w:spacing w:line="360" w:lineRule="auto"/>
        <w:jc w:val="center"/>
        <w:outlineLvl w:val="0"/>
        <w:rPr>
          <w:color w:val="auto"/>
          <w:highlight w:val="none"/>
        </w:rPr>
      </w:pPr>
      <w:r>
        <w:rPr>
          <w:color w:val="auto"/>
          <w:sz w:val="24"/>
          <w:szCs w:val="24"/>
          <w:highlight w:val="none"/>
        </w:rPr>
        <w:br w:type="page"/>
      </w:r>
      <w:bookmarkStart w:id="58" w:name="_Toc10025"/>
      <w:bookmarkStart w:id="59" w:name="_Toc14670"/>
      <w:r>
        <w:rPr>
          <w:rStyle w:val="101"/>
          <w:rFonts w:hint="eastAsia"/>
          <w:color w:val="auto"/>
          <w:highlight w:val="none"/>
        </w:rPr>
        <w:t>第四章  投标文件格式</w:t>
      </w:r>
      <w:bookmarkEnd w:id="58"/>
      <w:bookmarkEnd w:id="59"/>
    </w:p>
    <w:p>
      <w:pPr>
        <w:pStyle w:val="73"/>
        <w:rPr>
          <w:color w:val="auto"/>
          <w:sz w:val="24"/>
          <w:szCs w:val="24"/>
          <w:highlight w:val="none"/>
        </w:rPr>
      </w:pPr>
    </w:p>
    <w:p>
      <w:pPr>
        <w:tabs>
          <w:tab w:val="right" w:leader="dot" w:pos="9060"/>
        </w:tabs>
        <w:jc w:val="center"/>
        <w:rPr>
          <w:rFonts w:ascii="宋体" w:hAnsi="宋体" w:cs="宋体"/>
          <w:color w:val="auto"/>
          <w:highlight w:val="none"/>
        </w:rPr>
      </w:pPr>
      <w:r>
        <w:rPr>
          <w:rFonts w:hint="eastAsia" w:ascii="宋体" w:hAnsi="宋体" w:cs="宋体"/>
          <w:color w:val="auto"/>
          <w:highlight w:val="none"/>
        </w:rPr>
        <w:br w:type="page"/>
      </w:r>
      <w:bookmarkStart w:id="60" w:name="_Toc23800"/>
    </w:p>
    <w:p>
      <w:pPr>
        <w:tabs>
          <w:tab w:val="right" w:leader="dot" w:pos="9060"/>
        </w:tabs>
        <w:jc w:val="center"/>
        <w:rPr>
          <w:rFonts w:ascii="宋体" w:hAnsi="宋体" w:cs="宋体"/>
          <w:color w:val="auto"/>
          <w:highlight w:val="none"/>
        </w:rPr>
      </w:pPr>
    </w:p>
    <w:p>
      <w:pPr>
        <w:tabs>
          <w:tab w:val="right" w:leader="dot" w:pos="9060"/>
        </w:tabs>
        <w:jc w:val="center"/>
        <w:rPr>
          <w:rFonts w:ascii="宋体" w:hAnsi="宋体" w:cs="宋体"/>
          <w:color w:val="auto"/>
          <w:highlight w:val="none"/>
        </w:rPr>
      </w:pPr>
    </w:p>
    <w:p>
      <w:pPr>
        <w:tabs>
          <w:tab w:val="right" w:leader="dot" w:pos="9060"/>
        </w:tabs>
        <w:jc w:val="center"/>
        <w:rPr>
          <w:rFonts w:ascii="宋体" w:hAnsi="宋体" w:cs="宋体"/>
          <w:color w:val="auto"/>
          <w:highlight w:val="none"/>
        </w:rPr>
      </w:pPr>
    </w:p>
    <w:p>
      <w:pPr>
        <w:tabs>
          <w:tab w:val="right" w:leader="dot" w:pos="9060"/>
        </w:tabs>
        <w:jc w:val="center"/>
        <w:rPr>
          <w:rFonts w:ascii="宋体" w:hAnsi="宋体" w:cs="宋体"/>
          <w:color w:val="auto"/>
          <w:highlight w:val="none"/>
        </w:rPr>
      </w:pPr>
    </w:p>
    <w:p>
      <w:pPr>
        <w:tabs>
          <w:tab w:val="right" w:leader="dot" w:pos="9060"/>
        </w:tabs>
        <w:jc w:val="center"/>
        <w:rPr>
          <w:rFonts w:ascii="宋体" w:hAnsi="宋体" w:cs="宋体"/>
          <w:color w:val="auto"/>
          <w:highlight w:val="none"/>
        </w:rPr>
      </w:pPr>
    </w:p>
    <w:p>
      <w:pPr>
        <w:tabs>
          <w:tab w:val="right" w:leader="dot" w:pos="9060"/>
        </w:tabs>
        <w:jc w:val="center"/>
        <w:outlineLvl w:val="1"/>
        <w:rPr>
          <w:rFonts w:ascii="宋体" w:hAnsi="宋体" w:cs="宋体"/>
          <w:bCs/>
          <w:color w:val="auto"/>
          <w:sz w:val="32"/>
          <w:szCs w:val="36"/>
          <w:highlight w:val="none"/>
        </w:rPr>
      </w:pPr>
      <w:bookmarkStart w:id="61" w:name="_Toc2940"/>
      <w:r>
        <w:rPr>
          <w:rFonts w:hint="eastAsia" w:ascii="宋体" w:hAnsi="宋体" w:cs="宋体"/>
          <w:b/>
          <w:bCs/>
          <w:color w:val="auto"/>
          <w:sz w:val="32"/>
          <w:szCs w:val="36"/>
          <w:highlight w:val="none"/>
        </w:rPr>
        <w:t>一、技术标投标文件格式</w:t>
      </w:r>
      <w:r>
        <w:rPr>
          <w:rFonts w:ascii="宋体" w:hAnsi="宋体" w:cs="宋体"/>
          <w:b/>
          <w:bCs/>
          <w:color w:val="auto"/>
          <w:sz w:val="32"/>
          <w:szCs w:val="36"/>
          <w:highlight w:val="none"/>
        </w:rPr>
        <w:br w:type="page"/>
      </w:r>
      <w:bookmarkEnd w:id="61"/>
    </w:p>
    <w:p>
      <w:pPr>
        <w:pStyle w:val="6"/>
        <w:spacing w:before="0" w:after="0" w:line="240" w:lineRule="auto"/>
        <w:ind w:left="0"/>
        <w:jc w:val="left"/>
        <w:rPr>
          <w:rFonts w:ascii="宋体" w:hAnsi="宋体" w:cs="宋体"/>
          <w:color w:val="auto"/>
          <w:highlight w:val="none"/>
        </w:rPr>
      </w:pPr>
      <w:bookmarkStart w:id="62" w:name="_Toc25533"/>
      <w:r>
        <w:rPr>
          <w:rFonts w:hint="eastAsia" w:ascii="宋体" w:hAnsi="宋体" w:cs="宋体"/>
          <w:color w:val="auto"/>
          <w:highlight w:val="none"/>
        </w:rPr>
        <w:t>格式一：技术标投标文件封面</w:t>
      </w:r>
      <w:bookmarkEnd w:id="60"/>
      <w:bookmarkEnd w:id="62"/>
    </w:p>
    <w:p>
      <w:pPr>
        <w:pStyle w:val="55"/>
        <w:ind w:firstLine="496"/>
        <w:rPr>
          <w:rFonts w:ascii="宋体" w:hAnsi="宋体" w:cs="宋体"/>
          <w:color w:val="auto"/>
          <w:highlight w:val="none"/>
        </w:rPr>
      </w:pPr>
    </w:p>
    <w:p>
      <w:pPr>
        <w:pStyle w:val="55"/>
        <w:ind w:firstLine="496"/>
        <w:rPr>
          <w:rFonts w:ascii="宋体" w:hAnsi="宋体" w:cs="宋体"/>
          <w:color w:val="auto"/>
          <w:highlight w:val="none"/>
        </w:rPr>
      </w:pPr>
    </w:p>
    <w:p>
      <w:pPr>
        <w:pStyle w:val="55"/>
        <w:ind w:firstLine="0" w:firstLineChars="0"/>
        <w:jc w:val="center"/>
        <w:rPr>
          <w:rFonts w:ascii="宋体" w:hAnsi="宋体" w:cs="宋体"/>
          <w:color w:val="auto"/>
          <w:sz w:val="36"/>
          <w:szCs w:val="36"/>
          <w:highlight w:val="none"/>
        </w:rPr>
      </w:pPr>
      <w:r>
        <w:rPr>
          <w:rFonts w:hint="eastAsia" w:ascii="宋体" w:hAnsi="宋体" w:cs="宋体"/>
          <w:b/>
          <w:color w:val="auto"/>
          <w:sz w:val="36"/>
          <w:szCs w:val="36"/>
          <w:highlight w:val="none"/>
          <w:u w:val="single"/>
        </w:rPr>
        <w:t>[工程名称]</w:t>
      </w:r>
    </w:p>
    <w:p>
      <w:pPr>
        <w:pStyle w:val="55"/>
        <w:ind w:firstLine="496"/>
        <w:rPr>
          <w:rFonts w:ascii="宋体" w:hAnsi="宋体" w:cs="宋体"/>
          <w:color w:val="auto"/>
          <w:highlight w:val="none"/>
        </w:rPr>
      </w:pPr>
    </w:p>
    <w:p>
      <w:pPr>
        <w:pStyle w:val="77"/>
        <w:rPr>
          <w:rFonts w:ascii="宋体" w:hAnsi="宋体" w:eastAsia="宋体" w:cs="宋体"/>
          <w:b w:val="0"/>
          <w:color w:val="auto"/>
          <w:highlight w:val="none"/>
        </w:rPr>
      </w:pPr>
    </w:p>
    <w:p>
      <w:pPr>
        <w:pStyle w:val="55"/>
        <w:ind w:firstLine="0" w:firstLineChars="0"/>
        <w:jc w:val="center"/>
        <w:rPr>
          <w:rFonts w:ascii="宋体" w:hAnsi="宋体" w:cs="宋体"/>
          <w:b/>
          <w:color w:val="auto"/>
          <w:sz w:val="36"/>
          <w:szCs w:val="36"/>
          <w:highlight w:val="none"/>
        </w:rPr>
      </w:pPr>
      <w:r>
        <w:rPr>
          <w:rFonts w:hint="eastAsia" w:ascii="宋体" w:hAnsi="宋体" w:cs="宋体"/>
          <w:b/>
          <w:color w:val="auto"/>
          <w:sz w:val="36"/>
          <w:szCs w:val="36"/>
          <w:highlight w:val="none"/>
        </w:rPr>
        <w:t>技术标投标文件（含资格审查文件）</w:t>
      </w:r>
    </w:p>
    <w:p>
      <w:pPr>
        <w:pStyle w:val="55"/>
        <w:ind w:firstLine="496"/>
        <w:rPr>
          <w:rFonts w:ascii="宋体" w:hAnsi="宋体" w:cs="宋体"/>
          <w:color w:val="auto"/>
          <w:highlight w:val="none"/>
        </w:rPr>
      </w:pPr>
    </w:p>
    <w:p>
      <w:pPr>
        <w:pStyle w:val="55"/>
        <w:ind w:firstLine="496"/>
        <w:rPr>
          <w:rFonts w:ascii="宋体" w:hAnsi="宋体" w:cs="宋体"/>
          <w:color w:val="auto"/>
          <w:highlight w:val="none"/>
        </w:rPr>
      </w:pPr>
    </w:p>
    <w:p>
      <w:pPr>
        <w:pStyle w:val="55"/>
        <w:ind w:firstLine="496"/>
        <w:rPr>
          <w:rFonts w:ascii="宋体" w:hAnsi="宋体" w:cs="宋体"/>
          <w:color w:val="auto"/>
          <w:highlight w:val="none"/>
        </w:rPr>
      </w:pPr>
    </w:p>
    <w:p>
      <w:pPr>
        <w:pStyle w:val="55"/>
        <w:ind w:firstLine="496"/>
        <w:rPr>
          <w:rFonts w:ascii="宋体" w:hAnsi="宋体" w:cs="宋体"/>
          <w:color w:val="auto"/>
          <w:highlight w:val="none"/>
        </w:rPr>
      </w:pPr>
    </w:p>
    <w:p>
      <w:pPr>
        <w:pStyle w:val="55"/>
        <w:ind w:firstLine="496"/>
        <w:rPr>
          <w:rFonts w:ascii="宋体" w:hAnsi="宋体" w:cs="宋体"/>
          <w:color w:val="auto"/>
          <w:highlight w:val="none"/>
        </w:rPr>
      </w:pPr>
    </w:p>
    <w:p>
      <w:pPr>
        <w:pStyle w:val="55"/>
        <w:ind w:firstLine="496"/>
        <w:rPr>
          <w:rFonts w:ascii="宋体" w:hAnsi="宋体" w:cs="宋体"/>
          <w:color w:val="auto"/>
          <w:highlight w:val="none"/>
        </w:rPr>
      </w:pPr>
    </w:p>
    <w:p>
      <w:pPr>
        <w:pStyle w:val="55"/>
        <w:ind w:firstLine="496"/>
        <w:rPr>
          <w:rFonts w:ascii="宋体" w:hAnsi="宋体" w:cs="宋体"/>
          <w:color w:val="auto"/>
          <w:highlight w:val="none"/>
        </w:rPr>
      </w:pPr>
    </w:p>
    <w:p>
      <w:pPr>
        <w:pStyle w:val="54"/>
        <w:ind w:firstLine="616"/>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 xml:space="preserve">                            （盖章）</w:t>
      </w:r>
    </w:p>
    <w:p>
      <w:pPr>
        <w:pStyle w:val="54"/>
        <w:ind w:firstLine="1848" w:firstLineChars="600"/>
        <w:rPr>
          <w:rFonts w:ascii="宋体" w:hAnsi="宋体" w:cs="宋体"/>
          <w:color w:val="auto"/>
          <w:highlight w:val="none"/>
          <w:u w:val="single"/>
        </w:rPr>
      </w:pPr>
      <w:r>
        <w:rPr>
          <w:rFonts w:hint="eastAsia" w:ascii="宋体" w:hAnsi="宋体" w:cs="宋体"/>
          <w:color w:val="auto"/>
          <w:highlight w:val="none"/>
          <w:u w:val="single"/>
        </w:rPr>
        <w:t xml:space="preserve">                                </w:t>
      </w:r>
    </w:p>
    <w:p>
      <w:pPr>
        <w:pStyle w:val="55"/>
        <w:ind w:firstLine="496"/>
        <w:rPr>
          <w:color w:val="auto"/>
          <w:highlight w:val="none"/>
        </w:rPr>
      </w:pPr>
    </w:p>
    <w:p>
      <w:pPr>
        <w:pStyle w:val="54"/>
        <w:ind w:firstLine="616"/>
        <w:rPr>
          <w:rFonts w:ascii="宋体" w:hAnsi="宋体" w:cs="宋体"/>
          <w:color w:val="auto"/>
          <w:highlight w:val="none"/>
        </w:rPr>
      </w:pPr>
      <w:r>
        <w:rPr>
          <w:rFonts w:hint="eastAsia" w:ascii="宋体" w:hAnsi="宋体" w:cs="宋体"/>
          <w:color w:val="auto"/>
          <w:highlight w:val="none"/>
        </w:rPr>
        <w:t>法定代表人或其委托代理人：</w:t>
      </w:r>
      <w:r>
        <w:rPr>
          <w:rFonts w:hint="eastAsia" w:ascii="宋体" w:hAnsi="宋体" w:cs="宋体"/>
          <w:color w:val="auto"/>
          <w:highlight w:val="none"/>
          <w:u w:val="single"/>
        </w:rPr>
        <w:t xml:space="preserve">       （签字或盖章）</w:t>
      </w:r>
    </w:p>
    <w:p>
      <w:pPr>
        <w:pStyle w:val="54"/>
        <w:ind w:firstLine="616"/>
        <w:rPr>
          <w:rFonts w:ascii="宋体" w:hAnsi="宋体" w:cs="宋体"/>
          <w:color w:val="auto"/>
          <w:sz w:val="24"/>
          <w:szCs w:val="24"/>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pPr>
        <w:autoSpaceDE w:val="0"/>
        <w:autoSpaceDN w:val="0"/>
        <w:adjustRightInd w:val="0"/>
        <w:rPr>
          <w:color w:val="auto"/>
          <w:sz w:val="24"/>
          <w:szCs w:val="24"/>
          <w:highlight w:val="none"/>
        </w:rPr>
      </w:pPr>
    </w:p>
    <w:p>
      <w:pPr>
        <w:autoSpaceDE w:val="0"/>
        <w:autoSpaceDN w:val="0"/>
        <w:adjustRightInd w:val="0"/>
        <w:rPr>
          <w:color w:val="auto"/>
          <w:sz w:val="24"/>
          <w:szCs w:val="24"/>
          <w:highlight w:val="none"/>
        </w:rPr>
      </w:pPr>
    </w:p>
    <w:p>
      <w:pPr>
        <w:autoSpaceDE w:val="0"/>
        <w:autoSpaceDN w:val="0"/>
        <w:adjustRightInd w:val="0"/>
        <w:rPr>
          <w:color w:val="auto"/>
          <w:sz w:val="24"/>
          <w:szCs w:val="24"/>
          <w:highlight w:val="none"/>
        </w:rPr>
      </w:pPr>
    </w:p>
    <w:p>
      <w:pPr>
        <w:autoSpaceDE w:val="0"/>
        <w:autoSpaceDN w:val="0"/>
        <w:adjustRightInd w:val="0"/>
        <w:rPr>
          <w:color w:val="auto"/>
          <w:sz w:val="24"/>
          <w:szCs w:val="24"/>
          <w:highlight w:val="none"/>
        </w:rPr>
      </w:pPr>
    </w:p>
    <w:p>
      <w:pPr>
        <w:pStyle w:val="73"/>
        <w:rPr>
          <w:color w:val="auto"/>
          <w:sz w:val="24"/>
          <w:szCs w:val="24"/>
          <w:highlight w:val="none"/>
        </w:rPr>
      </w:pPr>
    </w:p>
    <w:p>
      <w:pPr>
        <w:pStyle w:val="73"/>
        <w:rPr>
          <w:color w:val="auto"/>
          <w:sz w:val="24"/>
          <w:szCs w:val="24"/>
          <w:highlight w:val="none"/>
        </w:rPr>
      </w:pPr>
    </w:p>
    <w:p>
      <w:pPr>
        <w:pStyle w:val="73"/>
        <w:rPr>
          <w:color w:val="auto"/>
          <w:sz w:val="24"/>
          <w:szCs w:val="24"/>
          <w:highlight w:val="none"/>
        </w:rPr>
      </w:pPr>
    </w:p>
    <w:p>
      <w:pPr>
        <w:pStyle w:val="6"/>
        <w:ind w:left="0"/>
        <w:jc w:val="both"/>
        <w:rPr>
          <w:color w:val="auto"/>
          <w:highlight w:val="none"/>
        </w:rPr>
      </w:pPr>
      <w:bookmarkStart w:id="63" w:name="_Toc55169946"/>
      <w:r>
        <w:rPr>
          <w:rFonts w:hint="eastAsia" w:ascii="宋体" w:hAnsi="宋体" w:cs="宋体"/>
          <w:color w:val="auto"/>
          <w:highlight w:val="none"/>
        </w:rPr>
        <w:br w:type="page"/>
      </w:r>
      <w:bookmarkStart w:id="64" w:name="_Toc19777"/>
      <w:bookmarkStart w:id="65" w:name="_Toc2556"/>
      <w:r>
        <w:rPr>
          <w:rFonts w:hint="eastAsia"/>
          <w:color w:val="auto"/>
          <w:highlight w:val="none"/>
        </w:rPr>
        <w:t>格式二：广州建设工程施工招标投标书</w:t>
      </w:r>
      <w:bookmarkEnd w:id="64"/>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38"/>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4"/>
        <w:gridCol w:w="1261"/>
        <w:gridCol w:w="3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程</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名</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称</w:t>
            </w:r>
          </w:p>
        </w:tc>
        <w:tc>
          <w:tcPr>
            <w:tcW w:w="51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5145" w:type="dxa"/>
            <w:gridSpan w:val="2"/>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pacing w:line="360" w:lineRule="auto"/>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大写：</w:t>
            </w:r>
          </w:p>
          <w:p>
            <w:pPr>
              <w:autoSpaceDE w:val="0"/>
              <w:autoSpaceDN w:val="0"/>
              <w:adjustRightInd w:val="0"/>
              <w:rPr>
                <w:rFonts w:ascii="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5145" w:type="dxa"/>
            <w:gridSpan w:val="2"/>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pacing w:line="360" w:lineRule="auto"/>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大写：</w:t>
            </w:r>
          </w:p>
          <w:p>
            <w:pPr>
              <w:autoSpaceDE w:val="0"/>
              <w:autoSpaceDN w:val="0"/>
              <w:adjustRightInd w:val="0"/>
              <w:rPr>
                <w:rFonts w:ascii="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23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5145" w:type="dxa"/>
            <w:gridSpan w:val="2"/>
            <w:tcBorders>
              <w:top w:val="single" w:color="auto" w:sz="4" w:space="0"/>
              <w:left w:val="single" w:color="auto" w:sz="4" w:space="0"/>
              <w:bottom w:val="single" w:color="auto" w:sz="4" w:space="0"/>
              <w:right w:val="single" w:color="auto" w:sz="4" w:space="0"/>
            </w:tcBorders>
            <w:vAlign w:val="center"/>
          </w:tcPr>
          <w:p>
            <w:pPr>
              <w:widowControl/>
              <w:autoSpaceDE/>
              <w:autoSpaceDN/>
              <w:adjustRightInd/>
              <w:spacing w:line="360" w:lineRule="auto"/>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大写：</w:t>
            </w:r>
          </w:p>
          <w:p>
            <w:pPr>
              <w:autoSpaceDE w:val="0"/>
              <w:autoSpaceDN w:val="0"/>
              <w:adjustRightInd w:val="0"/>
              <w:rPr>
                <w:rFonts w:ascii="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23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 暂列金额（元）</w:t>
            </w:r>
          </w:p>
        </w:tc>
        <w:tc>
          <w:tcPr>
            <w:tcW w:w="5145" w:type="dxa"/>
            <w:gridSpan w:val="2"/>
            <w:tcBorders>
              <w:top w:val="single" w:color="auto" w:sz="4" w:space="0"/>
              <w:left w:val="single" w:color="auto" w:sz="4" w:space="0"/>
              <w:bottom w:val="single" w:color="auto" w:sz="4" w:space="0"/>
              <w:right w:val="single" w:color="auto" w:sz="4" w:space="0"/>
            </w:tcBorders>
            <w:vAlign w:val="top"/>
          </w:tcPr>
          <w:p>
            <w:pPr>
              <w:widowControl/>
              <w:autoSpaceDE/>
              <w:autoSpaceDN/>
              <w:adjustRightInd/>
              <w:spacing w:line="360" w:lineRule="auto"/>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大写：</w:t>
            </w:r>
          </w:p>
          <w:p>
            <w:pPr>
              <w:widowControl/>
              <w:autoSpaceDE/>
              <w:autoSpaceDN/>
              <w:adjustRightInd/>
              <w:spacing w:line="360" w:lineRule="auto"/>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23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其中：专业工程暂估价</w:t>
            </w:r>
          </w:p>
        </w:tc>
        <w:tc>
          <w:tcPr>
            <w:tcW w:w="5145" w:type="dxa"/>
            <w:gridSpan w:val="2"/>
            <w:tcBorders>
              <w:top w:val="single" w:color="auto" w:sz="4" w:space="0"/>
              <w:left w:val="single" w:color="auto" w:sz="4" w:space="0"/>
              <w:bottom w:val="single" w:color="auto" w:sz="4" w:space="0"/>
              <w:right w:val="single" w:color="auto" w:sz="4" w:space="0"/>
            </w:tcBorders>
            <w:vAlign w:val="top"/>
          </w:tcPr>
          <w:p>
            <w:pPr>
              <w:widowControl/>
              <w:autoSpaceDE/>
              <w:autoSpaceDN/>
              <w:adjustRightInd/>
              <w:spacing w:line="360" w:lineRule="auto"/>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大写：</w:t>
            </w:r>
          </w:p>
          <w:p>
            <w:pPr>
              <w:widowControl/>
              <w:autoSpaceDE/>
              <w:autoSpaceDN/>
              <w:adjustRightInd/>
              <w:spacing w:line="360" w:lineRule="auto"/>
              <w:jc w:val="left"/>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234"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auto"/>
                <w:sz w:val="24"/>
                <w:szCs w:val="24"/>
                <w:highlight w:val="none"/>
                <w:lang w:val="zh-CN"/>
              </w:rPr>
            </w:pPr>
            <w:r>
              <w:rPr>
                <w:rFonts w:hint="eastAsia" w:ascii="宋体" w:hAnsi="宋体" w:cs="宋体"/>
                <w:b/>
                <w:color w:val="auto"/>
                <w:sz w:val="24"/>
                <w:szCs w:val="24"/>
                <w:highlight w:val="none"/>
                <w:lang w:val="zh-CN"/>
              </w:rPr>
              <w:t>投标总工期</w:t>
            </w:r>
          </w:p>
        </w:tc>
        <w:tc>
          <w:tcPr>
            <w:tcW w:w="51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234"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51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保</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修</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期</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限</w:t>
            </w:r>
          </w:p>
        </w:tc>
        <w:tc>
          <w:tcPr>
            <w:tcW w:w="51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color w:val="auto"/>
                <w:sz w:val="24"/>
                <w:szCs w:val="24"/>
                <w:highlight w:val="none"/>
                <w:lang w:val="zh-CN"/>
              </w:rPr>
            </w:pPr>
            <w:r>
              <w:rPr>
                <w:rFonts w:hint="eastAsia" w:ascii="宋体" w:hAnsi="宋体" w:cs="宋体"/>
                <w:b/>
                <w:bCs/>
                <w:sz w:val="24"/>
                <w:szCs w:val="24"/>
                <w:lang w:val="zh-CN"/>
              </w:rPr>
              <w:t>委派的项目负责人</w:t>
            </w:r>
          </w:p>
        </w:tc>
        <w:tc>
          <w:tcPr>
            <w:tcW w:w="1261"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jc w:val="center"/>
              <w:rPr>
                <w:rFonts w:ascii="宋体" w:hAnsi="宋体" w:cs="宋体"/>
                <w:b/>
                <w:bCs/>
                <w:sz w:val="24"/>
                <w:szCs w:val="24"/>
                <w:lang w:val="zh-CN"/>
              </w:rPr>
            </w:pPr>
          </w:p>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bCs/>
                <w:sz w:val="24"/>
                <w:szCs w:val="24"/>
                <w:lang w:val="zh-CN"/>
              </w:rPr>
              <w:t>姓名</w:t>
            </w:r>
          </w:p>
        </w:tc>
        <w:tc>
          <w:tcPr>
            <w:tcW w:w="388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2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color w:val="auto"/>
                <w:sz w:val="24"/>
                <w:szCs w:val="24"/>
                <w:highlight w:val="none"/>
                <w:lang w:val="zh-CN"/>
              </w:rPr>
            </w:pPr>
            <w:r>
              <w:rPr>
                <w:rFonts w:hint="eastAsia" w:ascii="宋体" w:hAnsi="宋体" w:cs="宋体"/>
                <w:b/>
                <w:bCs/>
                <w:sz w:val="24"/>
                <w:szCs w:val="24"/>
                <w:lang w:val="zh-CN"/>
              </w:rPr>
              <w:t>委派的专职安全员</w:t>
            </w:r>
          </w:p>
        </w:tc>
        <w:tc>
          <w:tcPr>
            <w:tcW w:w="1261"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jc w:val="center"/>
              <w:rPr>
                <w:rFonts w:ascii="宋体" w:hAnsi="宋体" w:cs="宋体"/>
                <w:b/>
                <w:bCs/>
                <w:sz w:val="24"/>
                <w:szCs w:val="24"/>
                <w:lang w:val="zh-CN"/>
              </w:rPr>
            </w:pPr>
          </w:p>
          <w:p>
            <w:pPr>
              <w:autoSpaceDE w:val="0"/>
              <w:autoSpaceDN w:val="0"/>
              <w:adjustRightInd w:val="0"/>
              <w:jc w:val="center"/>
              <w:rPr>
                <w:rFonts w:ascii="宋体" w:cs="宋体"/>
                <w:b/>
                <w:bCs/>
                <w:color w:val="auto"/>
                <w:sz w:val="24"/>
                <w:szCs w:val="24"/>
                <w:highlight w:val="none"/>
                <w:lang w:val="zh-CN"/>
              </w:rPr>
            </w:pPr>
            <w:r>
              <w:rPr>
                <w:rFonts w:hint="eastAsia" w:ascii="宋体" w:hAnsi="宋体" w:cs="宋体"/>
                <w:b/>
                <w:bCs/>
                <w:sz w:val="24"/>
                <w:szCs w:val="24"/>
                <w:lang w:val="zh-CN"/>
              </w:rPr>
              <w:t>姓名</w:t>
            </w:r>
          </w:p>
        </w:tc>
        <w:tc>
          <w:tcPr>
            <w:tcW w:w="388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auto"/>
                <w:sz w:val="24"/>
                <w:szCs w:val="24"/>
                <w:highlight w:val="none"/>
                <w:lang w:val="zh-CN"/>
              </w:rPr>
            </w:pPr>
          </w:p>
        </w:tc>
      </w:tr>
    </w:tbl>
    <w:p>
      <w:pPr>
        <w:tabs>
          <w:tab w:val="right" w:leader="dot" w:pos="9060"/>
        </w:tabs>
        <w:jc w:val="left"/>
        <w:rPr>
          <w:rFonts w:ascii="宋体" w:hAnsi="宋体" w:cs="宋体"/>
          <w:color w:val="auto"/>
          <w:highlight w:val="none"/>
        </w:rPr>
      </w:pPr>
      <w:r>
        <w:rPr>
          <w:rFonts w:hint="eastAsia" w:ascii="宋体" w:hAnsi="宋体" w:cs="宋体"/>
          <w:color w:val="auto"/>
          <w:highlight w:val="none"/>
        </w:rPr>
        <w:br w:type="page"/>
      </w:r>
    </w:p>
    <w:p>
      <w:pPr>
        <w:jc w:val="left"/>
        <w:outlineLvl w:val="1"/>
        <w:rPr>
          <w:rFonts w:ascii="Arial" w:hAnsi="Arial"/>
          <w:b/>
          <w:color w:val="auto"/>
          <w:sz w:val="24"/>
          <w:szCs w:val="24"/>
          <w:highlight w:val="none"/>
        </w:rPr>
      </w:pPr>
      <w:bookmarkStart w:id="66" w:name="_Toc29706"/>
      <w:r>
        <w:rPr>
          <w:rFonts w:hint="eastAsia" w:ascii="Arial" w:hAnsi="Arial"/>
          <w:b/>
          <w:color w:val="auto"/>
          <w:sz w:val="24"/>
          <w:szCs w:val="24"/>
          <w:highlight w:val="none"/>
        </w:rPr>
        <w:t>格式三：施工项目管理团队人员信息表、主要人员简历表</w:t>
      </w:r>
      <w:bookmarkEnd w:id="66"/>
    </w:p>
    <w:tbl>
      <w:tblPr>
        <w:tblStyle w:val="38"/>
        <w:tblpPr w:leftFromText="180" w:rightFromText="180" w:vertAnchor="text" w:horzAnchor="page" w:tblpX="1553" w:tblpY="149"/>
        <w:tblOverlap w:val="never"/>
        <w:tblW w:w="8946" w:type="dxa"/>
        <w:tblInd w:w="0" w:type="dxa"/>
        <w:tblLayout w:type="fixed"/>
        <w:tblCellMar>
          <w:top w:w="0" w:type="dxa"/>
          <w:left w:w="0" w:type="dxa"/>
          <w:bottom w:w="0" w:type="dxa"/>
          <w:right w:w="0" w:type="dxa"/>
        </w:tblCellMar>
      </w:tblPr>
      <w:tblGrid>
        <w:gridCol w:w="582"/>
        <w:gridCol w:w="1701"/>
        <w:gridCol w:w="2383"/>
        <w:gridCol w:w="1586"/>
        <w:gridCol w:w="2694"/>
      </w:tblGrid>
      <w:tr>
        <w:tblPrEx>
          <w:tblCellMar>
            <w:top w:w="0" w:type="dxa"/>
            <w:left w:w="0" w:type="dxa"/>
            <w:bottom w:w="0" w:type="dxa"/>
            <w:right w:w="0" w:type="dxa"/>
          </w:tblCellMar>
        </w:tblPrEx>
        <w:trPr>
          <w:trHeight w:val="880" w:hRule="atLeast"/>
        </w:trPr>
        <w:tc>
          <w:tcPr>
            <w:tcW w:w="8946" w:type="dxa"/>
            <w:gridSpan w:val="5"/>
            <w:tcBorders>
              <w:top w:val="nil"/>
              <w:left w:val="nil"/>
              <w:bottom w:val="single" w:color="000000" w:sz="4" w:space="0"/>
              <w:right w:val="nil"/>
            </w:tcBorders>
            <w:noWrap/>
            <w:tcMar>
              <w:top w:w="15" w:type="dxa"/>
              <w:left w:w="15" w:type="dxa"/>
              <w:right w:w="15" w:type="dxa"/>
            </w:tcMar>
            <w:vAlign w:val="center"/>
          </w:tcPr>
          <w:p>
            <w:pPr>
              <w:widowControl/>
              <w:jc w:val="center"/>
              <w:textAlignment w:val="center"/>
              <w:rPr>
                <w:rFonts w:ascii="宋体" w:hAnsi="宋体" w:cs="宋体"/>
                <w:b/>
                <w:color w:val="auto"/>
                <w:sz w:val="32"/>
                <w:szCs w:val="32"/>
                <w:highlight w:val="none"/>
              </w:rPr>
            </w:pPr>
            <w:r>
              <w:rPr>
                <w:rFonts w:hint="eastAsia" w:ascii="宋体" w:hAnsi="宋体" w:cs="宋体"/>
                <w:b/>
                <w:color w:val="auto"/>
                <w:kern w:val="0"/>
                <w:sz w:val="32"/>
                <w:szCs w:val="32"/>
                <w:highlight w:val="none"/>
              </w:rPr>
              <w:t>施工项目管理团队人员信息表</w:t>
            </w:r>
          </w:p>
        </w:tc>
      </w:tr>
      <w:tr>
        <w:tblPrEx>
          <w:tblCellMar>
            <w:top w:w="0" w:type="dxa"/>
            <w:left w:w="0" w:type="dxa"/>
            <w:bottom w:w="0" w:type="dxa"/>
            <w:right w:w="0" w:type="dxa"/>
          </w:tblCellMar>
        </w:tblPrEx>
        <w:trPr>
          <w:trHeight w:val="770" w:hRule="atLeast"/>
        </w:trPr>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rPr>
              <w:t>序号</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rPr>
              <w:t>姓名</w:t>
            </w:r>
          </w:p>
        </w:tc>
        <w:tc>
          <w:tcPr>
            <w:tcW w:w="23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rPr>
              <w:t>岗位</w:t>
            </w:r>
          </w:p>
        </w:tc>
        <w:tc>
          <w:tcPr>
            <w:tcW w:w="15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rPr>
              <w:t>职称</w:t>
            </w:r>
          </w:p>
        </w:tc>
        <w:tc>
          <w:tcPr>
            <w:tcW w:w="2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auto"/>
                <w:szCs w:val="21"/>
                <w:highlight w:val="none"/>
              </w:rPr>
            </w:pPr>
            <w:r>
              <w:rPr>
                <w:rFonts w:hint="eastAsia" w:ascii="宋体" w:hAnsi="宋体" w:cs="宋体"/>
                <w:b/>
                <w:color w:val="auto"/>
                <w:kern w:val="0"/>
                <w:szCs w:val="21"/>
                <w:highlight w:val="none"/>
              </w:rPr>
              <w:t>职称证书或资格证书编号</w:t>
            </w:r>
          </w:p>
        </w:tc>
      </w:tr>
      <w:tr>
        <w:tblPrEx>
          <w:tblCellMar>
            <w:top w:w="0" w:type="dxa"/>
            <w:left w:w="0" w:type="dxa"/>
            <w:bottom w:w="0" w:type="dxa"/>
            <w:right w:w="0" w:type="dxa"/>
          </w:tblCellMar>
        </w:tblPrEx>
        <w:trPr>
          <w:trHeight w:val="875" w:hRule="atLeast"/>
        </w:trPr>
        <w:tc>
          <w:tcPr>
            <w:tcW w:w="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2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exact"/>
              <w:jc w:val="center"/>
              <w:rPr>
                <w:rFonts w:ascii="宋体" w:hAnsi="宋体" w:cs="宋体"/>
                <w:color w:val="auto"/>
                <w:szCs w:val="21"/>
                <w:highlight w:val="none"/>
              </w:rPr>
            </w:pPr>
            <w:r>
              <w:rPr>
                <w:rFonts w:hint="eastAsia"/>
                <w:color w:val="auto"/>
                <w:kern w:val="0"/>
                <w:sz w:val="20"/>
                <w:highlight w:val="none"/>
              </w:rPr>
              <w:t>技术负责人</w:t>
            </w:r>
          </w:p>
        </w:tc>
        <w:tc>
          <w:tcPr>
            <w:tcW w:w="15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905" w:hRule="atLeast"/>
        </w:trPr>
        <w:tc>
          <w:tcPr>
            <w:tcW w:w="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dstrike/>
                <w:color w:val="auto"/>
                <w:kern w:val="0"/>
                <w:szCs w:val="21"/>
                <w:highlight w:val="none"/>
              </w:rPr>
            </w:pPr>
            <w:r>
              <w:rPr>
                <w:rFonts w:hint="eastAsia" w:ascii="宋体" w:hAnsi="宋体" w:cs="宋体"/>
                <w:dstrike/>
                <w:color w:val="auto"/>
                <w:kern w:val="0"/>
                <w:szCs w:val="21"/>
                <w:highlight w:val="none"/>
              </w:rPr>
              <w:t>2</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2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exact"/>
              <w:jc w:val="center"/>
              <w:rPr>
                <w:rFonts w:ascii="宋体" w:hAnsi="宋体" w:cs="宋体"/>
                <w:bCs/>
                <w:color w:val="auto"/>
                <w:kern w:val="44"/>
                <w:szCs w:val="21"/>
                <w:highlight w:val="none"/>
              </w:rPr>
            </w:pPr>
            <w:r>
              <w:rPr>
                <w:rFonts w:hint="eastAsia"/>
                <w:color w:val="auto"/>
                <w:kern w:val="0"/>
                <w:sz w:val="20"/>
                <w:highlight w:val="none"/>
                <w:lang w:val="en-US" w:eastAsia="zh-CN"/>
              </w:rPr>
              <w:t>安全</w:t>
            </w:r>
            <w:r>
              <w:rPr>
                <w:rFonts w:hint="eastAsia"/>
                <w:color w:val="auto"/>
                <w:kern w:val="0"/>
                <w:sz w:val="20"/>
                <w:highlight w:val="none"/>
              </w:rPr>
              <w:t>负责人</w:t>
            </w:r>
          </w:p>
        </w:tc>
        <w:tc>
          <w:tcPr>
            <w:tcW w:w="15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785" w:hRule="atLeast"/>
        </w:trPr>
        <w:tc>
          <w:tcPr>
            <w:tcW w:w="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2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exact"/>
              <w:jc w:val="center"/>
              <w:rPr>
                <w:rFonts w:ascii="宋体" w:hAnsi="宋体" w:cs="宋体"/>
                <w:bCs/>
                <w:color w:val="auto"/>
                <w:kern w:val="44"/>
                <w:szCs w:val="21"/>
                <w:highlight w:val="none"/>
              </w:rPr>
            </w:pPr>
            <w:r>
              <w:rPr>
                <w:rFonts w:hint="eastAsia"/>
                <w:color w:val="auto"/>
                <w:kern w:val="0"/>
                <w:sz w:val="20"/>
                <w:highlight w:val="none"/>
              </w:rPr>
              <w:t>质量负责人</w:t>
            </w:r>
          </w:p>
        </w:tc>
        <w:tc>
          <w:tcPr>
            <w:tcW w:w="15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825" w:hRule="atLeast"/>
        </w:trPr>
        <w:tc>
          <w:tcPr>
            <w:tcW w:w="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4</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2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exact"/>
              <w:jc w:val="center"/>
              <w:rPr>
                <w:rFonts w:ascii="宋体" w:hAnsi="宋体" w:cs="宋体"/>
                <w:bCs/>
                <w:color w:val="auto"/>
                <w:kern w:val="44"/>
                <w:szCs w:val="21"/>
                <w:highlight w:val="none"/>
              </w:rPr>
            </w:pPr>
            <w:r>
              <w:rPr>
                <w:rFonts w:hint="eastAsia"/>
                <w:color w:val="auto"/>
                <w:kern w:val="0"/>
                <w:sz w:val="20"/>
                <w:highlight w:val="none"/>
                <w:lang w:val="en-US" w:eastAsia="zh-CN"/>
              </w:rPr>
              <w:t>造价</w:t>
            </w:r>
            <w:r>
              <w:rPr>
                <w:rFonts w:hint="eastAsia"/>
                <w:color w:val="auto"/>
                <w:kern w:val="0"/>
                <w:sz w:val="20"/>
                <w:highlight w:val="none"/>
              </w:rPr>
              <w:t>负责人</w:t>
            </w:r>
          </w:p>
        </w:tc>
        <w:tc>
          <w:tcPr>
            <w:tcW w:w="15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890" w:hRule="atLeast"/>
        </w:trPr>
        <w:tc>
          <w:tcPr>
            <w:tcW w:w="5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23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exact"/>
              <w:jc w:val="center"/>
              <w:rPr>
                <w:color w:val="auto"/>
                <w:kern w:val="0"/>
                <w:sz w:val="20"/>
                <w:highlight w:val="none"/>
              </w:rPr>
            </w:pPr>
            <w:r>
              <w:rPr>
                <w:rFonts w:hint="eastAsia"/>
                <w:color w:val="auto"/>
                <w:kern w:val="0"/>
                <w:sz w:val="20"/>
                <w:highlight w:val="none"/>
              </w:rPr>
              <w:t>......</w:t>
            </w:r>
          </w:p>
        </w:tc>
        <w:tc>
          <w:tcPr>
            <w:tcW w:w="158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c>
          <w:tcPr>
            <w:tcW w:w="2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Cs w:val="21"/>
                <w:highlight w:val="none"/>
              </w:rPr>
            </w:pPr>
          </w:p>
        </w:tc>
      </w:tr>
      <w:tr>
        <w:tblPrEx>
          <w:tblCellMar>
            <w:top w:w="0" w:type="dxa"/>
            <w:left w:w="0" w:type="dxa"/>
            <w:bottom w:w="0" w:type="dxa"/>
            <w:right w:w="0" w:type="dxa"/>
          </w:tblCellMar>
        </w:tblPrEx>
        <w:trPr>
          <w:trHeight w:val="3814" w:hRule="atLeast"/>
        </w:trPr>
        <w:tc>
          <w:tcPr>
            <w:tcW w:w="8946"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Style w:val="133"/>
                <w:rFonts w:hint="eastAsia" w:cs="宋体" w:asciiTheme="minorEastAsia" w:hAnsiTheme="minorEastAsia" w:eastAsiaTheme="minorEastAsia"/>
                <w:color w:val="auto"/>
                <w:sz w:val="21"/>
                <w:szCs w:val="21"/>
                <w:highlight w:val="none"/>
                <w:lang w:eastAsia="zh-CN"/>
              </w:rPr>
            </w:pPr>
            <w:r>
              <w:rPr>
                <w:rStyle w:val="133"/>
                <w:rFonts w:hint="default" w:cs="宋体" w:asciiTheme="minorEastAsia" w:hAnsiTheme="minorEastAsia" w:eastAsiaTheme="minorEastAsia"/>
                <w:color w:val="auto"/>
                <w:sz w:val="21"/>
                <w:szCs w:val="21"/>
                <w:highlight w:val="none"/>
              </w:rPr>
              <w:t>备注：</w:t>
            </w:r>
          </w:p>
          <w:p>
            <w:pPr>
              <w:widowControl/>
              <w:jc w:val="left"/>
              <w:textAlignment w:val="center"/>
              <w:rPr>
                <w:rStyle w:val="133"/>
                <w:rFonts w:hint="eastAsia" w:cs="宋体" w:asciiTheme="minorEastAsia" w:hAnsiTheme="minorEastAsia" w:eastAsiaTheme="minorEastAsia"/>
                <w:color w:val="auto"/>
                <w:sz w:val="21"/>
                <w:szCs w:val="21"/>
                <w:highlight w:val="none"/>
                <w:lang w:eastAsia="zh-CN"/>
              </w:rPr>
            </w:pPr>
            <w:r>
              <w:rPr>
                <w:rStyle w:val="133"/>
                <w:rFonts w:hint="default" w:cs="宋体" w:asciiTheme="minorEastAsia" w:hAnsiTheme="minorEastAsia" w:eastAsiaTheme="minorEastAsia"/>
                <w:color w:val="auto"/>
                <w:sz w:val="21"/>
                <w:szCs w:val="21"/>
                <w:highlight w:val="none"/>
              </w:rPr>
              <w:t>1、“岗位”要求</w:t>
            </w:r>
            <w:r>
              <w:rPr>
                <w:rStyle w:val="134"/>
                <w:rFonts w:hint="default" w:cs="宋体" w:asciiTheme="minorEastAsia" w:hAnsiTheme="minorEastAsia" w:eastAsiaTheme="minorEastAsia"/>
                <w:color w:val="auto"/>
                <w:sz w:val="21"/>
                <w:szCs w:val="21"/>
                <w:highlight w:val="none"/>
              </w:rPr>
              <w:t>（除项目负责人和专职安全员外）</w:t>
            </w:r>
            <w:r>
              <w:rPr>
                <w:rStyle w:val="133"/>
                <w:rFonts w:hint="default" w:cs="宋体" w:asciiTheme="minorEastAsia" w:hAnsiTheme="minorEastAsia" w:eastAsiaTheme="minorEastAsia"/>
                <w:color w:val="auto"/>
                <w:sz w:val="21"/>
                <w:szCs w:val="21"/>
                <w:highlight w:val="none"/>
              </w:rPr>
              <w:t>由招标人根据项目管理需要在本表备注中明确提出，如：拟派驻施工现场的技术负责人、</w:t>
            </w:r>
            <w:r>
              <w:rPr>
                <w:rStyle w:val="133"/>
                <w:rFonts w:hint="default" w:cs="宋体" w:asciiTheme="minorEastAsia" w:hAnsiTheme="minorEastAsia" w:eastAsiaTheme="minorEastAsia"/>
                <w:color w:val="auto"/>
                <w:sz w:val="21"/>
                <w:szCs w:val="21"/>
                <w:highlight w:val="none"/>
                <w:lang w:val="en-US" w:eastAsia="zh-CN"/>
              </w:rPr>
              <w:t>安全</w:t>
            </w:r>
            <w:r>
              <w:rPr>
                <w:rStyle w:val="133"/>
                <w:rFonts w:hint="default" w:cs="宋体" w:asciiTheme="minorEastAsia" w:hAnsiTheme="minorEastAsia" w:eastAsiaTheme="minorEastAsia"/>
                <w:color w:val="auto"/>
                <w:sz w:val="21"/>
                <w:szCs w:val="21"/>
                <w:highlight w:val="none"/>
              </w:rPr>
              <w:t>负责人</w:t>
            </w:r>
            <w:r>
              <w:rPr>
                <w:rStyle w:val="133"/>
                <w:rFonts w:hint="eastAsia" w:cs="宋体" w:asciiTheme="minorEastAsia" w:hAnsiTheme="minorEastAsia" w:eastAsiaTheme="minorEastAsia"/>
                <w:color w:val="auto"/>
                <w:sz w:val="21"/>
                <w:szCs w:val="21"/>
                <w:highlight w:val="none"/>
                <w:lang w:eastAsia="zh-CN"/>
              </w:rPr>
              <w:t>、</w:t>
            </w:r>
            <w:r>
              <w:rPr>
                <w:rStyle w:val="133"/>
                <w:rFonts w:hint="default" w:cs="宋体" w:asciiTheme="minorEastAsia" w:hAnsiTheme="minorEastAsia" w:eastAsiaTheme="minorEastAsia"/>
                <w:color w:val="auto"/>
                <w:sz w:val="21"/>
                <w:szCs w:val="21"/>
                <w:highlight w:val="none"/>
              </w:rPr>
              <w:t>质量负责人、</w:t>
            </w:r>
            <w:r>
              <w:rPr>
                <w:rStyle w:val="133"/>
                <w:rFonts w:hint="eastAsia" w:cs="宋体" w:asciiTheme="minorEastAsia" w:hAnsiTheme="minorEastAsia" w:eastAsiaTheme="minorEastAsia"/>
                <w:color w:val="auto"/>
                <w:sz w:val="21"/>
                <w:szCs w:val="21"/>
                <w:highlight w:val="none"/>
                <w:lang w:val="en-US" w:eastAsia="zh-CN"/>
              </w:rPr>
              <w:t>造价</w:t>
            </w:r>
            <w:r>
              <w:rPr>
                <w:rStyle w:val="133"/>
                <w:rFonts w:hint="default" w:cs="宋体" w:asciiTheme="minorEastAsia" w:hAnsiTheme="minorEastAsia" w:eastAsiaTheme="minorEastAsia"/>
                <w:color w:val="auto"/>
                <w:sz w:val="21"/>
                <w:szCs w:val="21"/>
                <w:highlight w:val="none"/>
              </w:rPr>
              <w:t>负责人等。以上项目管理团队人员信息将由交易系统提取后供各相关单位在履约时比对、查核。</w:t>
            </w:r>
          </w:p>
          <w:p>
            <w:pPr>
              <w:widowControl/>
              <w:jc w:val="left"/>
              <w:textAlignment w:val="center"/>
              <w:rPr>
                <w:rStyle w:val="133"/>
                <w:rFonts w:hint="eastAsia" w:cs="宋体" w:asciiTheme="minorEastAsia" w:hAnsiTheme="minorEastAsia" w:eastAsiaTheme="minorEastAsia"/>
                <w:color w:val="auto"/>
                <w:sz w:val="21"/>
                <w:szCs w:val="21"/>
                <w:highlight w:val="none"/>
                <w:lang w:eastAsia="zh-CN"/>
              </w:rPr>
            </w:pPr>
            <w:r>
              <w:rPr>
                <w:rStyle w:val="133"/>
                <w:rFonts w:hint="default" w:cs="宋体" w:asciiTheme="minorEastAsia" w:hAnsiTheme="minorEastAsia" w:eastAsiaTheme="minorEastAsia"/>
                <w:color w:val="auto"/>
                <w:sz w:val="21"/>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textAlignment w:val="center"/>
              <w:rPr>
                <w:rFonts w:ascii="宋体" w:hAnsi="宋体" w:cs="宋体"/>
                <w:color w:val="auto"/>
                <w:szCs w:val="21"/>
                <w:highlight w:val="none"/>
              </w:rPr>
            </w:pPr>
            <w:r>
              <w:rPr>
                <w:rStyle w:val="133"/>
                <w:rFonts w:hint="default" w:cs="宋体" w:asciiTheme="minorEastAsia" w:hAnsiTheme="minorEastAsia" w:eastAsiaTheme="minorEastAsia"/>
                <w:color w:val="auto"/>
                <w:sz w:val="21"/>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spacing w:before="120" w:beforeLines="50" w:after="120" w:afterLines="50" w:line="360" w:lineRule="auto"/>
        <w:jc w:val="center"/>
        <w:rPr>
          <w:color w:val="auto"/>
          <w:highlight w:val="none"/>
        </w:rPr>
      </w:pPr>
      <w:r>
        <w:rPr>
          <w:rFonts w:hint="eastAsia"/>
          <w:color w:val="auto"/>
          <w:highlight w:val="none"/>
        </w:rPr>
        <w:br w:type="page"/>
      </w:r>
    </w:p>
    <w:p>
      <w:pPr>
        <w:spacing w:before="120" w:beforeLines="50" w:after="120" w:afterLines="50" w:line="360" w:lineRule="auto"/>
        <w:jc w:val="center"/>
        <w:rPr>
          <w:color w:val="auto"/>
          <w:sz w:val="24"/>
          <w:szCs w:val="28"/>
          <w:highlight w:val="none"/>
        </w:rPr>
      </w:pPr>
      <w:r>
        <w:rPr>
          <w:rFonts w:hint="eastAsia"/>
          <w:color w:val="auto"/>
          <w:sz w:val="24"/>
          <w:szCs w:val="28"/>
          <w:highlight w:val="none"/>
        </w:rPr>
        <w:t>主要人员简历表</w:t>
      </w:r>
    </w:p>
    <w:tbl>
      <w:tblPr>
        <w:tblStyle w:val="38"/>
        <w:tblpPr w:leftFromText="180" w:rightFromText="180" w:vertAnchor="text" w:tblpXSpec="center" w:tblpY="7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8"/>
        <w:gridCol w:w="1469"/>
        <w:gridCol w:w="17"/>
        <w:gridCol w:w="557"/>
        <w:gridCol w:w="973"/>
        <w:gridCol w:w="113"/>
        <w:gridCol w:w="1434"/>
        <w:gridCol w:w="637"/>
        <w:gridCol w:w="715"/>
        <w:gridCol w:w="195"/>
        <w:gridCol w:w="390"/>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626" w:type="dxa"/>
            <w:gridSpan w:val="2"/>
            <w:vAlign w:val="center"/>
          </w:tcPr>
          <w:p>
            <w:pPr>
              <w:pStyle w:val="65"/>
              <w:jc w:val="center"/>
              <w:rPr>
                <w:color w:val="auto"/>
                <w:highlight w:val="none"/>
              </w:rPr>
            </w:pPr>
            <w:r>
              <w:rPr>
                <w:rFonts w:hint="eastAsia"/>
                <w:color w:val="auto"/>
                <w:highlight w:val="none"/>
              </w:rPr>
              <w:t>姓名</w:t>
            </w:r>
          </w:p>
        </w:tc>
        <w:tc>
          <w:tcPr>
            <w:tcW w:w="2043" w:type="dxa"/>
            <w:gridSpan w:val="3"/>
            <w:vAlign w:val="center"/>
          </w:tcPr>
          <w:p>
            <w:pPr>
              <w:pStyle w:val="55"/>
              <w:spacing w:line="240" w:lineRule="auto"/>
              <w:ind w:firstLine="0" w:firstLineChars="0"/>
              <w:jc w:val="center"/>
              <w:rPr>
                <w:rFonts w:ascii="宋体" w:hAnsi="宋体"/>
                <w:color w:val="auto"/>
                <w:kern w:val="2"/>
                <w:sz w:val="21"/>
                <w:szCs w:val="21"/>
                <w:highlight w:val="none"/>
              </w:rPr>
            </w:pPr>
          </w:p>
        </w:tc>
        <w:tc>
          <w:tcPr>
            <w:tcW w:w="1086" w:type="dxa"/>
            <w:gridSpan w:val="2"/>
            <w:vAlign w:val="center"/>
          </w:tcPr>
          <w:p>
            <w:pPr>
              <w:pStyle w:val="65"/>
              <w:jc w:val="center"/>
              <w:rPr>
                <w:color w:val="auto"/>
                <w:highlight w:val="none"/>
              </w:rPr>
            </w:pPr>
            <w:r>
              <w:rPr>
                <w:rFonts w:hint="eastAsia"/>
                <w:color w:val="auto"/>
                <w:highlight w:val="none"/>
              </w:rPr>
              <w:t>性别</w:t>
            </w:r>
          </w:p>
        </w:tc>
        <w:tc>
          <w:tcPr>
            <w:tcW w:w="2071" w:type="dxa"/>
            <w:gridSpan w:val="2"/>
            <w:vAlign w:val="center"/>
          </w:tcPr>
          <w:p>
            <w:pPr>
              <w:pStyle w:val="55"/>
              <w:spacing w:line="240" w:lineRule="auto"/>
              <w:ind w:firstLine="0" w:firstLineChars="0"/>
              <w:jc w:val="center"/>
              <w:rPr>
                <w:rFonts w:ascii="宋体" w:hAnsi="宋体"/>
                <w:color w:val="auto"/>
                <w:kern w:val="2"/>
                <w:sz w:val="21"/>
                <w:szCs w:val="21"/>
                <w:highlight w:val="none"/>
              </w:rPr>
            </w:pPr>
          </w:p>
        </w:tc>
        <w:tc>
          <w:tcPr>
            <w:tcW w:w="1300" w:type="dxa"/>
            <w:gridSpan w:val="3"/>
            <w:vAlign w:val="center"/>
          </w:tcPr>
          <w:p>
            <w:pPr>
              <w:pStyle w:val="65"/>
              <w:jc w:val="center"/>
              <w:rPr>
                <w:color w:val="auto"/>
                <w:highlight w:val="none"/>
              </w:rPr>
            </w:pPr>
            <w:r>
              <w:rPr>
                <w:rFonts w:hint="eastAsia"/>
                <w:color w:val="auto"/>
                <w:highlight w:val="none"/>
              </w:rPr>
              <w:t>年龄</w:t>
            </w:r>
          </w:p>
        </w:tc>
        <w:tc>
          <w:tcPr>
            <w:tcW w:w="1161" w:type="dxa"/>
            <w:vAlign w:val="center"/>
          </w:tcPr>
          <w:p>
            <w:pPr>
              <w:pStyle w:val="55"/>
              <w:spacing w:line="240" w:lineRule="auto"/>
              <w:ind w:firstLine="0" w:firstLineChars="0"/>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626" w:type="dxa"/>
            <w:gridSpan w:val="2"/>
            <w:vAlign w:val="center"/>
          </w:tcPr>
          <w:p>
            <w:pPr>
              <w:pStyle w:val="65"/>
              <w:jc w:val="center"/>
              <w:rPr>
                <w:color w:val="auto"/>
                <w:highlight w:val="none"/>
              </w:rPr>
            </w:pPr>
            <w:r>
              <w:rPr>
                <w:rFonts w:hint="eastAsia"/>
                <w:color w:val="auto"/>
                <w:highlight w:val="none"/>
              </w:rPr>
              <w:t>职务</w:t>
            </w:r>
          </w:p>
        </w:tc>
        <w:tc>
          <w:tcPr>
            <w:tcW w:w="2043" w:type="dxa"/>
            <w:gridSpan w:val="3"/>
            <w:vAlign w:val="center"/>
          </w:tcPr>
          <w:p>
            <w:pPr>
              <w:pStyle w:val="55"/>
              <w:spacing w:line="240" w:lineRule="auto"/>
              <w:ind w:firstLine="0" w:firstLineChars="0"/>
              <w:jc w:val="center"/>
              <w:rPr>
                <w:rFonts w:ascii="宋体" w:hAnsi="宋体"/>
                <w:color w:val="auto"/>
                <w:kern w:val="2"/>
                <w:sz w:val="21"/>
                <w:szCs w:val="21"/>
                <w:highlight w:val="none"/>
              </w:rPr>
            </w:pPr>
          </w:p>
        </w:tc>
        <w:tc>
          <w:tcPr>
            <w:tcW w:w="1086" w:type="dxa"/>
            <w:gridSpan w:val="2"/>
            <w:vAlign w:val="center"/>
          </w:tcPr>
          <w:p>
            <w:pPr>
              <w:pStyle w:val="65"/>
              <w:jc w:val="center"/>
              <w:rPr>
                <w:color w:val="auto"/>
                <w:highlight w:val="none"/>
              </w:rPr>
            </w:pPr>
            <w:r>
              <w:rPr>
                <w:rFonts w:hint="eastAsia"/>
                <w:color w:val="auto"/>
                <w:highlight w:val="none"/>
              </w:rPr>
              <w:t>职称</w:t>
            </w:r>
          </w:p>
        </w:tc>
        <w:tc>
          <w:tcPr>
            <w:tcW w:w="2071" w:type="dxa"/>
            <w:gridSpan w:val="2"/>
            <w:vAlign w:val="center"/>
          </w:tcPr>
          <w:p>
            <w:pPr>
              <w:pStyle w:val="55"/>
              <w:spacing w:line="240" w:lineRule="auto"/>
              <w:ind w:firstLine="0" w:firstLineChars="0"/>
              <w:jc w:val="center"/>
              <w:rPr>
                <w:rFonts w:ascii="宋体" w:hAnsi="宋体"/>
                <w:color w:val="auto"/>
                <w:kern w:val="2"/>
                <w:sz w:val="21"/>
                <w:szCs w:val="21"/>
                <w:highlight w:val="none"/>
              </w:rPr>
            </w:pPr>
          </w:p>
        </w:tc>
        <w:tc>
          <w:tcPr>
            <w:tcW w:w="1300" w:type="dxa"/>
            <w:gridSpan w:val="3"/>
            <w:vAlign w:val="center"/>
          </w:tcPr>
          <w:p>
            <w:pPr>
              <w:pStyle w:val="65"/>
              <w:jc w:val="center"/>
              <w:rPr>
                <w:color w:val="auto"/>
                <w:highlight w:val="none"/>
              </w:rPr>
            </w:pPr>
            <w:r>
              <w:rPr>
                <w:rFonts w:hint="eastAsia"/>
                <w:color w:val="auto"/>
                <w:highlight w:val="none"/>
              </w:rPr>
              <w:t>学历</w:t>
            </w:r>
          </w:p>
        </w:tc>
        <w:tc>
          <w:tcPr>
            <w:tcW w:w="1161" w:type="dxa"/>
            <w:vAlign w:val="center"/>
          </w:tcPr>
          <w:p>
            <w:pPr>
              <w:pStyle w:val="55"/>
              <w:spacing w:line="240" w:lineRule="auto"/>
              <w:ind w:firstLine="0" w:firstLineChars="0"/>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3112" w:type="dxa"/>
            <w:gridSpan w:val="4"/>
            <w:vAlign w:val="center"/>
          </w:tcPr>
          <w:p>
            <w:pPr>
              <w:pStyle w:val="65"/>
              <w:jc w:val="center"/>
              <w:rPr>
                <w:color w:val="auto"/>
                <w:highlight w:val="none"/>
              </w:rPr>
            </w:pPr>
            <w:r>
              <w:rPr>
                <w:rFonts w:hint="eastAsia"/>
                <w:color w:val="auto"/>
                <w:highlight w:val="none"/>
              </w:rPr>
              <w:t>参加工作时间</w:t>
            </w:r>
          </w:p>
        </w:tc>
        <w:tc>
          <w:tcPr>
            <w:tcW w:w="1643" w:type="dxa"/>
            <w:gridSpan w:val="3"/>
            <w:vAlign w:val="center"/>
          </w:tcPr>
          <w:p>
            <w:pPr>
              <w:pStyle w:val="55"/>
              <w:spacing w:line="240" w:lineRule="auto"/>
              <w:ind w:firstLine="0" w:firstLineChars="0"/>
              <w:jc w:val="center"/>
              <w:rPr>
                <w:rFonts w:ascii="宋体" w:hAnsi="宋体"/>
                <w:color w:val="auto"/>
                <w:kern w:val="2"/>
                <w:sz w:val="21"/>
                <w:szCs w:val="21"/>
                <w:highlight w:val="none"/>
              </w:rPr>
            </w:pPr>
          </w:p>
        </w:tc>
        <w:tc>
          <w:tcPr>
            <w:tcW w:w="2786" w:type="dxa"/>
            <w:gridSpan w:val="3"/>
            <w:vAlign w:val="center"/>
          </w:tcPr>
          <w:p>
            <w:pPr>
              <w:pStyle w:val="55"/>
              <w:spacing w:line="240" w:lineRule="auto"/>
              <w:ind w:firstLine="0" w:firstLineChars="0"/>
              <w:jc w:val="center"/>
              <w:rPr>
                <w:rFonts w:ascii="宋体" w:hAnsi="宋体"/>
                <w:color w:val="auto"/>
                <w:kern w:val="2"/>
                <w:sz w:val="21"/>
                <w:szCs w:val="21"/>
                <w:highlight w:val="none"/>
              </w:rPr>
            </w:pPr>
            <w:r>
              <w:rPr>
                <w:rFonts w:hint="eastAsia" w:ascii="宋体" w:hAnsi="宋体"/>
                <w:color w:val="auto"/>
                <w:kern w:val="2"/>
                <w:sz w:val="21"/>
                <w:szCs w:val="21"/>
                <w:highlight w:val="none"/>
              </w:rPr>
              <w:t>担任相应职务年限</w:t>
            </w:r>
          </w:p>
        </w:tc>
        <w:tc>
          <w:tcPr>
            <w:tcW w:w="1746" w:type="dxa"/>
            <w:gridSpan w:val="3"/>
            <w:vAlign w:val="center"/>
          </w:tcPr>
          <w:p>
            <w:pPr>
              <w:pStyle w:val="55"/>
              <w:spacing w:line="240" w:lineRule="auto"/>
              <w:ind w:firstLine="0" w:firstLineChars="0"/>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3112" w:type="dxa"/>
            <w:gridSpan w:val="4"/>
            <w:vAlign w:val="center"/>
          </w:tcPr>
          <w:p>
            <w:pPr>
              <w:pStyle w:val="65"/>
              <w:jc w:val="center"/>
              <w:rPr>
                <w:color w:val="auto"/>
                <w:highlight w:val="none"/>
              </w:rPr>
            </w:pPr>
            <w:r>
              <w:rPr>
                <w:rFonts w:hint="eastAsia"/>
                <w:color w:val="auto"/>
                <w:highlight w:val="none"/>
              </w:rPr>
              <w:t>资格证书及编号</w:t>
            </w:r>
          </w:p>
        </w:tc>
        <w:tc>
          <w:tcPr>
            <w:tcW w:w="6175" w:type="dxa"/>
            <w:gridSpan w:val="9"/>
            <w:vAlign w:val="center"/>
          </w:tcPr>
          <w:p>
            <w:pPr>
              <w:pStyle w:val="55"/>
              <w:spacing w:line="240" w:lineRule="auto"/>
              <w:ind w:firstLine="0" w:firstLineChars="0"/>
              <w:jc w:val="center"/>
              <w:rPr>
                <w:rFonts w:ascii="宋体"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287" w:type="dxa"/>
            <w:gridSpan w:val="13"/>
            <w:vAlign w:val="center"/>
          </w:tcPr>
          <w:p>
            <w:pPr>
              <w:pStyle w:val="55"/>
              <w:spacing w:line="240" w:lineRule="auto"/>
              <w:ind w:firstLine="0" w:firstLineChars="0"/>
              <w:jc w:val="center"/>
              <w:rPr>
                <w:rFonts w:ascii="宋体" w:hAnsi="宋体"/>
                <w:color w:val="auto"/>
                <w:kern w:val="2"/>
                <w:sz w:val="21"/>
                <w:szCs w:val="21"/>
                <w:highlight w:val="none"/>
              </w:rPr>
            </w:pPr>
            <w:r>
              <w:rPr>
                <w:rFonts w:hint="eastAsia" w:ascii="宋体" w:hAnsi="宋体"/>
                <w:color w:val="auto"/>
                <w:kern w:val="2"/>
                <w:sz w:val="21"/>
                <w:szCs w:val="21"/>
                <w:highlight w:val="none"/>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vAlign w:val="center"/>
          </w:tcPr>
          <w:p>
            <w:pPr>
              <w:pStyle w:val="65"/>
              <w:jc w:val="center"/>
              <w:rPr>
                <w:color w:val="auto"/>
                <w:highlight w:val="none"/>
              </w:rPr>
            </w:pPr>
            <w:r>
              <w:rPr>
                <w:rFonts w:hint="eastAsia"/>
                <w:color w:val="auto"/>
                <w:highlight w:val="none"/>
              </w:rPr>
              <w:t>建设单位</w:t>
            </w:r>
          </w:p>
        </w:tc>
        <w:tc>
          <w:tcPr>
            <w:tcW w:w="1547" w:type="dxa"/>
            <w:gridSpan w:val="2"/>
            <w:vAlign w:val="center"/>
          </w:tcPr>
          <w:p>
            <w:pPr>
              <w:pStyle w:val="65"/>
              <w:jc w:val="center"/>
              <w:rPr>
                <w:color w:val="auto"/>
                <w:highlight w:val="none"/>
              </w:rPr>
            </w:pPr>
            <w:r>
              <w:rPr>
                <w:rFonts w:hint="eastAsia"/>
                <w:color w:val="auto"/>
                <w:highlight w:val="none"/>
              </w:rPr>
              <w:t>项目名称</w:t>
            </w:r>
          </w:p>
        </w:tc>
        <w:tc>
          <w:tcPr>
            <w:tcW w:w="1547" w:type="dxa"/>
            <w:gridSpan w:val="3"/>
            <w:vAlign w:val="center"/>
          </w:tcPr>
          <w:p>
            <w:pPr>
              <w:pStyle w:val="65"/>
              <w:jc w:val="center"/>
              <w:rPr>
                <w:color w:val="auto"/>
                <w:highlight w:val="none"/>
              </w:rPr>
            </w:pPr>
            <w:r>
              <w:rPr>
                <w:rFonts w:hint="eastAsia"/>
                <w:color w:val="auto"/>
                <w:highlight w:val="none"/>
              </w:rPr>
              <w:t>建设规模</w:t>
            </w:r>
          </w:p>
        </w:tc>
        <w:tc>
          <w:tcPr>
            <w:tcW w:w="1547" w:type="dxa"/>
            <w:gridSpan w:val="2"/>
            <w:vAlign w:val="center"/>
          </w:tcPr>
          <w:p>
            <w:pPr>
              <w:pStyle w:val="65"/>
              <w:jc w:val="center"/>
              <w:rPr>
                <w:color w:val="auto"/>
                <w:highlight w:val="none"/>
              </w:rPr>
            </w:pPr>
            <w:r>
              <w:rPr>
                <w:rFonts w:hint="eastAsia"/>
                <w:color w:val="auto"/>
                <w:highlight w:val="none"/>
              </w:rPr>
              <w:t>开、竣工日期</w:t>
            </w:r>
          </w:p>
        </w:tc>
        <w:tc>
          <w:tcPr>
            <w:tcW w:w="1547" w:type="dxa"/>
            <w:gridSpan w:val="3"/>
            <w:vAlign w:val="center"/>
          </w:tcPr>
          <w:p>
            <w:pPr>
              <w:pStyle w:val="65"/>
              <w:jc w:val="center"/>
              <w:rPr>
                <w:color w:val="auto"/>
                <w:highlight w:val="none"/>
              </w:rPr>
            </w:pPr>
            <w:r>
              <w:rPr>
                <w:rFonts w:hint="eastAsia"/>
                <w:color w:val="auto"/>
                <w:highlight w:val="none"/>
              </w:rPr>
              <w:t>在建或已完</w:t>
            </w:r>
          </w:p>
        </w:tc>
        <w:tc>
          <w:tcPr>
            <w:tcW w:w="1551" w:type="dxa"/>
            <w:gridSpan w:val="2"/>
            <w:vAlign w:val="center"/>
          </w:tcPr>
          <w:p>
            <w:pPr>
              <w:pStyle w:val="65"/>
              <w:jc w:val="center"/>
              <w:rPr>
                <w:color w:val="auto"/>
                <w:highlight w:val="none"/>
              </w:rPr>
            </w:pPr>
            <w:r>
              <w:rPr>
                <w:rFonts w:hint="eastAsia"/>
                <w:color w:val="auto"/>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vAlign w:val="center"/>
          </w:tcPr>
          <w:p>
            <w:pPr>
              <w:pStyle w:val="55"/>
              <w:spacing w:line="240" w:lineRule="auto"/>
              <w:ind w:firstLine="0" w:firstLineChars="0"/>
              <w:jc w:val="center"/>
              <w:rPr>
                <w:rFonts w:ascii="宋体" w:hAnsi="宋体"/>
                <w:color w:val="auto"/>
                <w:kern w:val="2"/>
                <w:sz w:val="21"/>
                <w:szCs w:val="21"/>
                <w:highlight w:val="none"/>
              </w:rPr>
            </w:pPr>
          </w:p>
        </w:tc>
        <w:tc>
          <w:tcPr>
            <w:tcW w:w="1547" w:type="dxa"/>
            <w:gridSpan w:val="2"/>
            <w:vAlign w:val="center"/>
          </w:tcPr>
          <w:p>
            <w:pPr>
              <w:pStyle w:val="55"/>
              <w:spacing w:line="240" w:lineRule="auto"/>
              <w:ind w:firstLine="0" w:firstLineChars="0"/>
              <w:jc w:val="center"/>
              <w:rPr>
                <w:rFonts w:ascii="宋体" w:hAnsi="宋体"/>
                <w:color w:val="auto"/>
                <w:kern w:val="2"/>
                <w:sz w:val="21"/>
                <w:szCs w:val="21"/>
                <w:highlight w:val="none"/>
              </w:rPr>
            </w:pPr>
          </w:p>
        </w:tc>
        <w:tc>
          <w:tcPr>
            <w:tcW w:w="1547" w:type="dxa"/>
            <w:gridSpan w:val="3"/>
            <w:vAlign w:val="center"/>
          </w:tcPr>
          <w:p>
            <w:pPr>
              <w:pStyle w:val="55"/>
              <w:spacing w:line="240" w:lineRule="auto"/>
              <w:ind w:firstLine="0" w:firstLineChars="0"/>
              <w:jc w:val="center"/>
              <w:rPr>
                <w:rFonts w:ascii="宋体" w:hAnsi="宋体"/>
                <w:color w:val="auto"/>
                <w:kern w:val="2"/>
                <w:sz w:val="21"/>
                <w:szCs w:val="21"/>
                <w:highlight w:val="none"/>
              </w:rPr>
            </w:pPr>
          </w:p>
        </w:tc>
        <w:tc>
          <w:tcPr>
            <w:tcW w:w="1547" w:type="dxa"/>
            <w:gridSpan w:val="2"/>
            <w:vAlign w:val="center"/>
          </w:tcPr>
          <w:p>
            <w:pPr>
              <w:pStyle w:val="55"/>
              <w:spacing w:line="240" w:lineRule="auto"/>
              <w:ind w:firstLine="0" w:firstLineChars="0"/>
              <w:jc w:val="center"/>
              <w:rPr>
                <w:rFonts w:ascii="宋体" w:hAnsi="宋体"/>
                <w:color w:val="auto"/>
                <w:kern w:val="2"/>
                <w:sz w:val="21"/>
                <w:szCs w:val="21"/>
                <w:highlight w:val="none"/>
              </w:rPr>
            </w:pPr>
          </w:p>
        </w:tc>
        <w:tc>
          <w:tcPr>
            <w:tcW w:w="1547" w:type="dxa"/>
            <w:gridSpan w:val="3"/>
            <w:vAlign w:val="center"/>
          </w:tcPr>
          <w:p>
            <w:pPr>
              <w:pStyle w:val="55"/>
              <w:spacing w:line="240" w:lineRule="auto"/>
              <w:ind w:firstLine="0" w:firstLineChars="0"/>
              <w:jc w:val="center"/>
              <w:rPr>
                <w:rFonts w:ascii="宋体" w:hAnsi="宋体"/>
                <w:color w:val="auto"/>
                <w:kern w:val="2"/>
                <w:sz w:val="21"/>
                <w:szCs w:val="21"/>
                <w:highlight w:val="none"/>
              </w:rPr>
            </w:pPr>
          </w:p>
        </w:tc>
        <w:tc>
          <w:tcPr>
            <w:tcW w:w="1551" w:type="dxa"/>
            <w:gridSpan w:val="2"/>
            <w:vAlign w:val="center"/>
          </w:tcPr>
          <w:p>
            <w:pPr>
              <w:pStyle w:val="55"/>
              <w:spacing w:line="240" w:lineRule="auto"/>
              <w:ind w:firstLine="0" w:firstLineChars="0"/>
              <w:jc w:val="center"/>
              <w:rPr>
                <w:rFonts w:ascii="宋体" w:hAnsi="宋体"/>
                <w:color w:val="auto"/>
                <w:kern w:val="2"/>
                <w:sz w:val="21"/>
                <w:szCs w:val="21"/>
                <w:highlight w:val="none"/>
              </w:rPr>
            </w:pPr>
          </w:p>
        </w:tc>
      </w:tr>
    </w:tbl>
    <w:p>
      <w:pPr>
        <w:pStyle w:val="55"/>
        <w:spacing w:line="240" w:lineRule="auto"/>
        <w:ind w:firstLine="0" w:firstLineChars="0"/>
        <w:rPr>
          <w:rFonts w:ascii="宋体" w:hAnsi="宋体"/>
          <w:color w:val="auto"/>
          <w:sz w:val="21"/>
          <w:szCs w:val="21"/>
          <w:highlight w:val="none"/>
        </w:rPr>
      </w:pPr>
      <w:r>
        <w:rPr>
          <w:rFonts w:hint="eastAsia" w:ascii="宋体" w:hAnsi="宋体"/>
          <w:color w:val="auto"/>
          <w:sz w:val="21"/>
          <w:szCs w:val="21"/>
          <w:highlight w:val="none"/>
        </w:rPr>
        <w:t>注：</w:t>
      </w:r>
    </w:p>
    <w:p>
      <w:pPr>
        <w:pStyle w:val="55"/>
        <w:spacing w:line="240" w:lineRule="auto"/>
        <w:ind w:firstLine="0" w:firstLineChars="0"/>
        <w:rPr>
          <w:rFonts w:ascii="宋体" w:hAnsi="宋体"/>
          <w:color w:val="auto"/>
          <w:sz w:val="21"/>
          <w:szCs w:val="21"/>
          <w:highlight w:val="none"/>
        </w:rPr>
      </w:pPr>
      <w:r>
        <w:rPr>
          <w:rFonts w:hint="eastAsia" w:ascii="宋体" w:hAnsi="宋体"/>
          <w:color w:val="auto"/>
          <w:sz w:val="21"/>
          <w:szCs w:val="21"/>
          <w:highlight w:val="none"/>
        </w:rPr>
        <w:t>1、拟投入本工程的项目负责人、技术负责人方需要填写本表。</w:t>
      </w:r>
    </w:p>
    <w:p>
      <w:pPr>
        <w:pStyle w:val="55"/>
        <w:spacing w:line="240" w:lineRule="auto"/>
        <w:ind w:firstLine="0" w:firstLineChars="0"/>
        <w:rPr>
          <w:rFonts w:ascii="宋体" w:hAnsi="宋体"/>
          <w:color w:val="auto"/>
          <w:sz w:val="21"/>
          <w:szCs w:val="21"/>
          <w:highlight w:val="none"/>
        </w:rPr>
      </w:pPr>
      <w:r>
        <w:rPr>
          <w:rFonts w:hint="eastAsia" w:ascii="宋体" w:hAnsi="宋体"/>
          <w:color w:val="auto"/>
          <w:sz w:val="21"/>
          <w:szCs w:val="21"/>
          <w:highlight w:val="none"/>
        </w:rPr>
        <w:t>2、后附相关的证明材料。</w:t>
      </w:r>
    </w:p>
    <w:p>
      <w:pPr>
        <w:pStyle w:val="55"/>
        <w:spacing w:line="240" w:lineRule="auto"/>
        <w:ind w:firstLine="0" w:firstLineChars="0"/>
        <w:rPr>
          <w:rFonts w:ascii="宋体" w:hAnsi="宋体"/>
          <w:color w:val="auto"/>
          <w:sz w:val="21"/>
          <w:szCs w:val="21"/>
          <w:highlight w:val="none"/>
        </w:rPr>
      </w:pPr>
    </w:p>
    <w:p>
      <w:pPr>
        <w:pStyle w:val="55"/>
        <w:spacing w:line="240" w:lineRule="auto"/>
        <w:ind w:firstLine="0" w:firstLineChars="0"/>
        <w:rPr>
          <w:rFonts w:ascii="宋体" w:hAnsi="宋体"/>
          <w:color w:val="auto"/>
          <w:sz w:val="21"/>
          <w:szCs w:val="21"/>
          <w:highlight w:val="none"/>
        </w:rPr>
      </w:pPr>
    </w:p>
    <w:p>
      <w:pPr>
        <w:pStyle w:val="55"/>
        <w:spacing w:line="240" w:lineRule="auto"/>
        <w:ind w:firstLine="436"/>
        <w:rPr>
          <w:rFonts w:ascii="宋体" w:hAnsi="宋体"/>
          <w:color w:val="auto"/>
          <w:sz w:val="21"/>
          <w:szCs w:val="21"/>
          <w:highlight w:val="none"/>
        </w:rPr>
      </w:pPr>
      <w:r>
        <w:rPr>
          <w:rFonts w:hint="eastAsia" w:ascii="宋体" w:hAnsi="宋体"/>
          <w:color w:val="auto"/>
          <w:sz w:val="21"/>
          <w:szCs w:val="21"/>
          <w:highlight w:val="none"/>
        </w:rPr>
        <w:t>本人承诺以上填写内容真实有效。我知道隐瞒有关真实情况和填报虚假信息是严重的违法行为，以上关于我本人的基本信息及其业绩如有虚假，本人愿接受招标监管主管部门或其他有关部门依法给予的行政处罚并纳入个人诚信记录，除身份证号外，本人同意上述内容在评标后全部公开。</w:t>
      </w:r>
    </w:p>
    <w:p>
      <w:pPr>
        <w:pStyle w:val="55"/>
        <w:ind w:firstLine="436"/>
        <w:rPr>
          <w:color w:val="auto"/>
          <w:sz w:val="21"/>
          <w:szCs w:val="21"/>
          <w:highlight w:val="none"/>
        </w:rPr>
      </w:pPr>
    </w:p>
    <w:p>
      <w:pPr>
        <w:pStyle w:val="55"/>
        <w:ind w:firstLine="436"/>
        <w:rPr>
          <w:color w:val="auto"/>
          <w:sz w:val="21"/>
          <w:szCs w:val="21"/>
          <w:highlight w:val="none"/>
        </w:rPr>
      </w:pPr>
      <w:r>
        <w:rPr>
          <w:rFonts w:hint="eastAsia"/>
          <w:color w:val="auto"/>
          <w:sz w:val="21"/>
          <w:szCs w:val="21"/>
          <w:highlight w:val="none"/>
        </w:rPr>
        <w:t xml:space="preserve">                                 本人签字：</w:t>
      </w:r>
    </w:p>
    <w:p>
      <w:pPr>
        <w:pStyle w:val="55"/>
        <w:ind w:firstLine="436"/>
        <w:rPr>
          <w:color w:val="auto"/>
          <w:sz w:val="21"/>
          <w:szCs w:val="21"/>
          <w:highlight w:val="none"/>
        </w:rPr>
      </w:pPr>
      <w:r>
        <w:rPr>
          <w:rFonts w:hint="eastAsia"/>
          <w:color w:val="auto"/>
          <w:sz w:val="21"/>
          <w:szCs w:val="21"/>
          <w:highlight w:val="none"/>
        </w:rPr>
        <w:t xml:space="preserve">                                     </w:t>
      </w:r>
      <w:r>
        <w:rPr>
          <w:rFonts w:hint="eastAsia" w:ascii="宋体"/>
          <w:color w:val="auto"/>
          <w:sz w:val="21"/>
          <w:szCs w:val="21"/>
          <w:highlight w:val="none"/>
        </w:rPr>
        <w:t xml:space="preserve">日期： </w:t>
      </w:r>
      <w:r>
        <w:rPr>
          <w:rFonts w:hint="eastAsia"/>
          <w:color w:val="auto"/>
          <w:sz w:val="21"/>
          <w:szCs w:val="21"/>
          <w:highlight w:val="none"/>
        </w:rPr>
        <w:t xml:space="preserve">      年   月   日</w:t>
      </w:r>
    </w:p>
    <w:p>
      <w:pPr>
        <w:jc w:val="center"/>
        <w:rPr>
          <w:color w:val="auto"/>
          <w:highlight w:val="none"/>
        </w:rPr>
      </w:pPr>
    </w:p>
    <w:p>
      <w:pPr>
        <w:jc w:val="center"/>
        <w:rPr>
          <w:color w:val="auto"/>
          <w:highlight w:val="none"/>
        </w:rPr>
      </w:pPr>
    </w:p>
    <w:p>
      <w:pPr>
        <w:wordWrap w:val="0"/>
        <w:adjustRightInd w:val="0"/>
        <w:snapToGrid w:val="0"/>
        <w:spacing w:line="360" w:lineRule="auto"/>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                   投标人：（公章）</w:t>
      </w:r>
    </w:p>
    <w:p>
      <w:pPr>
        <w:pStyle w:val="2"/>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szCs w:val="21"/>
          <w:highlight w:val="none"/>
        </w:rPr>
        <w:t xml:space="preserve">                                 法定代表人或其委托代理人：（签字或盖章）</w:t>
      </w:r>
    </w:p>
    <w:p>
      <w:pPr>
        <w:tabs>
          <w:tab w:val="left" w:pos="1440"/>
        </w:tabs>
        <w:wordWrap w:val="0"/>
        <w:adjustRightInd w:val="0"/>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Cs w:val="21"/>
          <w:highlight w:val="none"/>
        </w:rPr>
        <w:t xml:space="preserve">                        日期：2022年  月  日</w:t>
      </w:r>
    </w:p>
    <w:p>
      <w:pPr>
        <w:tabs>
          <w:tab w:val="right" w:leader="dot" w:pos="9060"/>
        </w:tabs>
        <w:jc w:val="left"/>
        <w:rPr>
          <w:rFonts w:ascii="宋体" w:hAnsi="宋体" w:cs="宋体"/>
          <w:color w:val="auto"/>
          <w:highlight w:val="none"/>
        </w:rPr>
      </w:pPr>
      <w:r>
        <w:rPr>
          <w:rFonts w:hint="eastAsia" w:ascii="宋体" w:hAnsi="宋体" w:cs="宋体"/>
          <w:color w:val="auto"/>
          <w:highlight w:val="none"/>
        </w:rPr>
        <w:br w:type="page"/>
      </w:r>
    </w:p>
    <w:p>
      <w:pPr>
        <w:pStyle w:val="6"/>
        <w:ind w:left="0"/>
        <w:jc w:val="left"/>
        <w:rPr>
          <w:color w:val="auto"/>
          <w:highlight w:val="none"/>
        </w:rPr>
      </w:pPr>
      <w:bookmarkStart w:id="67" w:name="_Toc26399"/>
      <w:r>
        <w:rPr>
          <w:rFonts w:hint="eastAsia"/>
          <w:color w:val="auto"/>
          <w:highlight w:val="none"/>
        </w:rPr>
        <w:t>格式四：投标函</w:t>
      </w:r>
      <w:bookmarkEnd w:id="67"/>
    </w:p>
    <w:p>
      <w:pPr>
        <w:pStyle w:val="72"/>
        <w:rPr>
          <w:color w:val="auto"/>
          <w:highlight w:val="none"/>
        </w:rPr>
      </w:pPr>
      <w:r>
        <w:rPr>
          <w:rFonts w:hint="eastAsia"/>
          <w:color w:val="auto"/>
          <w:highlight w:val="none"/>
        </w:rPr>
        <w:t>投 标 函</w:t>
      </w:r>
    </w:p>
    <w:p>
      <w:pPr>
        <w:pStyle w:val="55"/>
        <w:ind w:firstLine="0" w:firstLineChars="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致：</w:t>
      </w:r>
      <w:r>
        <w:rPr>
          <w:rFonts w:hint="eastAsia" w:ascii="宋体" w:hAnsi="宋体"/>
          <w:color w:val="auto"/>
          <w:sz w:val="21"/>
          <w:szCs w:val="21"/>
          <w:highlight w:val="none"/>
          <w:u w:val="single"/>
          <w:lang w:eastAsia="zh-CN"/>
        </w:rPr>
        <w:t>广东广建项目管理有限公司</w:t>
      </w:r>
    </w:p>
    <w:p>
      <w:pPr>
        <w:pStyle w:val="55"/>
        <w:ind w:firstLine="436"/>
        <w:rPr>
          <w:rFonts w:ascii="宋体" w:hAnsi="宋体"/>
          <w:color w:val="auto"/>
          <w:sz w:val="21"/>
          <w:szCs w:val="21"/>
          <w:highlight w:val="none"/>
        </w:rPr>
      </w:pPr>
      <w:r>
        <w:rPr>
          <w:rFonts w:hint="eastAsia" w:ascii="宋体" w:hAnsi="宋体"/>
          <w:color w:val="auto"/>
          <w:sz w:val="21"/>
          <w:szCs w:val="21"/>
          <w:highlight w:val="none"/>
        </w:rPr>
        <w:t>1.根据招标人</w:t>
      </w:r>
      <w:r>
        <w:rPr>
          <w:rFonts w:hint="eastAsia" w:ascii="宋体" w:hAnsi="宋体"/>
          <w:color w:val="auto"/>
          <w:sz w:val="21"/>
          <w:szCs w:val="21"/>
          <w:highlight w:val="none"/>
          <w:u w:val="single"/>
        </w:rPr>
        <w:t xml:space="preserve"> （工程项目名称） </w:t>
      </w:r>
      <w:r>
        <w:rPr>
          <w:rFonts w:hint="eastAsia" w:ascii="宋体" w:hAnsi="宋体"/>
          <w:color w:val="auto"/>
          <w:sz w:val="21"/>
          <w:szCs w:val="21"/>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pStyle w:val="55"/>
        <w:ind w:firstLine="436"/>
        <w:rPr>
          <w:rFonts w:ascii="宋体" w:hAnsi="宋体"/>
          <w:color w:val="auto"/>
          <w:sz w:val="21"/>
          <w:szCs w:val="21"/>
          <w:highlight w:val="none"/>
        </w:rPr>
      </w:pPr>
      <w:r>
        <w:rPr>
          <w:rFonts w:hint="eastAsia" w:ascii="宋体" w:hAnsi="宋体"/>
          <w:color w:val="auto"/>
          <w:sz w:val="21"/>
          <w:szCs w:val="21"/>
          <w:highlight w:val="none"/>
        </w:rPr>
        <w:t>2.我方已详细审核全部招标文件，包括修改文件（如有时）及有关附件。</w:t>
      </w:r>
    </w:p>
    <w:p>
      <w:pPr>
        <w:pStyle w:val="55"/>
        <w:ind w:firstLine="436"/>
        <w:rPr>
          <w:rFonts w:ascii="宋体" w:hAnsi="宋体"/>
          <w:color w:val="auto"/>
          <w:sz w:val="21"/>
          <w:szCs w:val="21"/>
          <w:highlight w:val="none"/>
        </w:rPr>
      </w:pPr>
      <w:r>
        <w:rPr>
          <w:rFonts w:hint="eastAsia" w:ascii="宋体" w:hAnsi="宋体"/>
          <w:color w:val="auto"/>
          <w:sz w:val="21"/>
          <w:szCs w:val="21"/>
          <w:highlight w:val="none"/>
        </w:rPr>
        <w:t>3.如果我方中标，我方保证按照合同文件中规定的开工日期开始施工，并按规定的预计竣工日期完成和交付全部工程。</w:t>
      </w:r>
    </w:p>
    <w:p>
      <w:pPr>
        <w:pStyle w:val="55"/>
        <w:ind w:firstLine="436"/>
        <w:rPr>
          <w:rFonts w:ascii="宋体" w:hAnsi="宋体"/>
          <w:color w:val="auto"/>
          <w:sz w:val="21"/>
          <w:szCs w:val="21"/>
          <w:highlight w:val="none"/>
        </w:rPr>
      </w:pPr>
      <w:r>
        <w:rPr>
          <w:rFonts w:hint="eastAsia" w:ascii="宋体" w:hAnsi="宋体"/>
          <w:color w:val="auto"/>
          <w:sz w:val="21"/>
          <w:szCs w:val="21"/>
          <w:highlight w:val="none"/>
        </w:rPr>
        <w:t>4.如果我方中标，我方承诺在充分考虑场地环境变化及政策性调整等风险因素的前提下，继续补充完善施工组织设计，直至招标人满意为止并加以实施，由此产生的费用已包含在投标报价中。</w:t>
      </w:r>
    </w:p>
    <w:p>
      <w:pPr>
        <w:pStyle w:val="55"/>
        <w:ind w:firstLine="436"/>
        <w:rPr>
          <w:rFonts w:ascii="宋体" w:hAnsi="宋体"/>
          <w:color w:val="auto"/>
          <w:sz w:val="21"/>
          <w:szCs w:val="21"/>
          <w:highlight w:val="none"/>
        </w:rPr>
      </w:pPr>
      <w:r>
        <w:rPr>
          <w:rFonts w:hint="eastAsia" w:ascii="宋体" w:hAnsi="宋体"/>
          <w:color w:val="auto"/>
          <w:sz w:val="21"/>
          <w:szCs w:val="21"/>
          <w:highlight w:val="non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pStyle w:val="55"/>
        <w:ind w:firstLine="436"/>
        <w:rPr>
          <w:rFonts w:ascii="宋体" w:hAnsi="宋体"/>
          <w:color w:val="auto"/>
          <w:sz w:val="21"/>
          <w:szCs w:val="21"/>
          <w:highlight w:val="none"/>
        </w:rPr>
      </w:pPr>
      <w:r>
        <w:rPr>
          <w:rFonts w:hint="eastAsia" w:ascii="宋体" w:hAnsi="宋体"/>
          <w:color w:val="auto"/>
          <w:sz w:val="21"/>
          <w:szCs w:val="21"/>
          <w:highlight w:val="none"/>
        </w:rPr>
        <w:t>6.如果我方中标，我方将按照招标文件的规定，按时提交履约担保，以保障本项目优质、优价、按期、顺利完成。</w:t>
      </w:r>
    </w:p>
    <w:p>
      <w:pPr>
        <w:pStyle w:val="55"/>
        <w:ind w:firstLine="436"/>
        <w:rPr>
          <w:rFonts w:ascii="宋体" w:hAnsi="宋体"/>
          <w:color w:val="auto"/>
          <w:sz w:val="21"/>
          <w:szCs w:val="21"/>
          <w:highlight w:val="none"/>
        </w:rPr>
      </w:pPr>
      <w:r>
        <w:rPr>
          <w:rFonts w:hint="eastAsia" w:ascii="宋体" w:hAnsi="宋体"/>
          <w:color w:val="auto"/>
          <w:sz w:val="21"/>
          <w:szCs w:val="21"/>
          <w:highlight w:val="none"/>
        </w:rPr>
        <w:t>7.我方同意所提交的投标文件在招标文件投标须知中第15条规定的投标有效期内有效，在此期限届满之前，本投标书始终将对我方具有约束力，并随时接受中标。</w:t>
      </w:r>
    </w:p>
    <w:p>
      <w:pPr>
        <w:pStyle w:val="55"/>
        <w:ind w:firstLine="436"/>
        <w:rPr>
          <w:rFonts w:ascii="宋体" w:hAnsi="宋体"/>
          <w:color w:val="auto"/>
          <w:sz w:val="21"/>
          <w:szCs w:val="21"/>
          <w:highlight w:val="none"/>
        </w:rPr>
      </w:pPr>
      <w:r>
        <w:rPr>
          <w:rFonts w:hint="eastAsia" w:ascii="宋体" w:hAnsi="宋体"/>
          <w:color w:val="auto"/>
          <w:sz w:val="21"/>
          <w:szCs w:val="21"/>
          <w:highlight w:val="none"/>
        </w:rPr>
        <w:t>8.在合同协议书正式签署生效之前，本投标书连同你单位的中标通知书将构成我们双方之间共同遵守的文件，对双方具有约束力。</w:t>
      </w:r>
    </w:p>
    <w:p>
      <w:pPr>
        <w:pStyle w:val="55"/>
        <w:ind w:firstLine="436"/>
        <w:rPr>
          <w:rFonts w:ascii="宋体" w:hAnsi="宋体"/>
          <w:color w:val="auto"/>
          <w:sz w:val="21"/>
          <w:szCs w:val="21"/>
          <w:highlight w:val="none"/>
        </w:rPr>
      </w:pPr>
      <w:r>
        <w:rPr>
          <w:rFonts w:hint="eastAsia" w:ascii="宋体" w:hAnsi="宋体"/>
          <w:color w:val="auto"/>
          <w:sz w:val="21"/>
          <w:szCs w:val="21"/>
          <w:highlight w:val="none"/>
        </w:rPr>
        <w:t>9.随同本投标文件，我方已提交投标担保。如果我方在投标文件有效期内</w:t>
      </w:r>
      <w:r>
        <w:rPr>
          <w:rFonts w:hint="eastAsia" w:ascii="宋体" w:hAnsi="宋体"/>
          <w:color w:val="auto"/>
          <w:sz w:val="21"/>
          <w:szCs w:val="21"/>
          <w:highlight w:val="none"/>
          <w:lang w:val="en-US" w:eastAsia="zh-CN"/>
        </w:rPr>
        <w:t>撤销</w:t>
      </w:r>
      <w:r>
        <w:rPr>
          <w:rFonts w:hint="eastAsia" w:ascii="宋体" w:hAnsi="宋体"/>
          <w:color w:val="auto"/>
          <w:sz w:val="21"/>
          <w:szCs w:val="21"/>
          <w:highlight w:val="none"/>
        </w:rPr>
        <w:t>投标文件；或在接到中标通知书后30天内未能或拒绝签订合同协议书；或未能</w:t>
      </w:r>
      <w:r>
        <w:rPr>
          <w:rFonts w:hint="eastAsia" w:ascii="宋体" w:hAnsi="宋体"/>
          <w:b/>
          <w:color w:val="auto"/>
          <w:sz w:val="21"/>
          <w:szCs w:val="21"/>
          <w:highlight w:val="none"/>
        </w:rPr>
        <w:t>按招标文件要求</w:t>
      </w:r>
      <w:r>
        <w:rPr>
          <w:rFonts w:hint="eastAsia" w:ascii="宋体" w:hAnsi="宋体"/>
          <w:color w:val="auto"/>
          <w:sz w:val="21"/>
          <w:szCs w:val="21"/>
          <w:highlight w:val="none"/>
        </w:rPr>
        <w:t>提交履约担保，你单位有权</w:t>
      </w:r>
      <w:r>
        <w:rPr>
          <w:rFonts w:hint="eastAsia" w:ascii="宋体" w:hAnsi="宋体"/>
          <w:color w:val="auto"/>
          <w:sz w:val="21"/>
          <w:szCs w:val="21"/>
          <w:highlight w:val="none"/>
          <w:lang w:val="en-US" w:eastAsia="zh-CN"/>
        </w:rPr>
        <w:t>不予退还</w:t>
      </w:r>
      <w:r>
        <w:rPr>
          <w:rFonts w:hint="eastAsia" w:ascii="宋体" w:hAnsi="宋体"/>
          <w:color w:val="auto"/>
          <w:sz w:val="21"/>
          <w:szCs w:val="21"/>
          <w:highlight w:val="none"/>
        </w:rPr>
        <w:t>投标保证金，另选中标单位。</w:t>
      </w:r>
    </w:p>
    <w:p>
      <w:pPr>
        <w:pStyle w:val="55"/>
        <w:ind w:firstLine="436"/>
        <w:rPr>
          <w:rFonts w:ascii="宋体" w:hAnsi="宋体"/>
          <w:color w:val="auto"/>
          <w:sz w:val="21"/>
          <w:szCs w:val="21"/>
          <w:highlight w:val="none"/>
        </w:rPr>
      </w:pPr>
      <w:r>
        <w:rPr>
          <w:rFonts w:hint="eastAsia" w:ascii="宋体" w:hAnsi="宋体"/>
          <w:color w:val="auto"/>
          <w:sz w:val="21"/>
          <w:szCs w:val="21"/>
          <w:highlight w:val="none"/>
        </w:rPr>
        <w:t>10.我方理解，你单位不一定接受最低标价的投标或你单位接到的其它任何投标。同时也理解，你单位不负担我方的任何投标费用。</w:t>
      </w:r>
    </w:p>
    <w:p>
      <w:pPr>
        <w:pStyle w:val="55"/>
        <w:spacing w:line="480" w:lineRule="auto"/>
        <w:ind w:firstLine="0" w:firstLineChars="0"/>
        <w:rPr>
          <w:rFonts w:ascii="宋体" w:hAnsi="宋体"/>
          <w:color w:val="auto"/>
          <w:sz w:val="21"/>
          <w:szCs w:val="21"/>
          <w:highlight w:val="none"/>
        </w:rPr>
      </w:pPr>
    </w:p>
    <w:p>
      <w:pPr>
        <w:spacing w:line="360" w:lineRule="auto"/>
        <w:ind w:right="90" w:firstLine="2835" w:firstLineChars="1350"/>
        <w:rPr>
          <w:rFonts w:ascii="宋体" w:hAnsi="宋体"/>
          <w:color w:val="auto"/>
          <w:szCs w:val="21"/>
          <w:highlight w:val="none"/>
          <w:u w:val="single"/>
        </w:rPr>
      </w:pPr>
      <w:r>
        <w:rPr>
          <w:rFonts w:hint="eastAsia" w:ascii="宋体" w:hAnsi="宋体"/>
          <w:color w:val="auto"/>
          <w:szCs w:val="21"/>
          <w:highlight w:val="none"/>
        </w:rPr>
        <w:t>投标人名称（盖法人公章）：</w:t>
      </w:r>
      <w:r>
        <w:rPr>
          <w:rFonts w:hint="eastAsia" w:ascii="宋体" w:hAnsi="宋体"/>
          <w:color w:val="auto"/>
          <w:szCs w:val="21"/>
          <w:highlight w:val="none"/>
          <w:u w:val="single"/>
        </w:rPr>
        <w:t xml:space="preserve">                  </w:t>
      </w:r>
    </w:p>
    <w:p>
      <w:pPr>
        <w:spacing w:line="360" w:lineRule="auto"/>
        <w:ind w:firstLine="1890" w:firstLineChars="900"/>
        <w:rPr>
          <w:rFonts w:ascii="宋体" w:hAnsi="宋体"/>
          <w:color w:val="auto"/>
          <w:szCs w:val="21"/>
          <w:highlight w:val="none"/>
          <w:u w:val="single"/>
        </w:rPr>
      </w:pPr>
      <w:r>
        <w:rPr>
          <w:rFonts w:hint="eastAsia" w:ascii="宋体" w:hAnsi="宋体"/>
          <w:color w:val="auto"/>
          <w:szCs w:val="21"/>
          <w:highlight w:val="none"/>
        </w:rPr>
        <w:t>法定代表人或被授权人（签字或盖章）：</w:t>
      </w:r>
      <w:r>
        <w:rPr>
          <w:rFonts w:hint="eastAsia" w:ascii="宋体" w:hAnsi="宋体"/>
          <w:color w:val="auto"/>
          <w:szCs w:val="21"/>
          <w:highlight w:val="none"/>
          <w:u w:val="single"/>
        </w:rPr>
        <w:t xml:space="preserve">                  </w:t>
      </w:r>
    </w:p>
    <w:p>
      <w:pPr>
        <w:spacing w:line="360" w:lineRule="auto"/>
        <w:rPr>
          <w:color w:val="auto"/>
          <w:highlight w:val="none"/>
        </w:rPr>
      </w:pPr>
      <w:r>
        <w:rPr>
          <w:rFonts w:hint="eastAsia"/>
          <w:color w:val="auto"/>
          <w:highlight w:val="none"/>
        </w:rPr>
        <w:t xml:space="preserve">                                               日期：      年   月   日 </w:t>
      </w:r>
    </w:p>
    <w:p>
      <w:pPr>
        <w:ind w:firstLine="616"/>
        <w:rPr>
          <w:rFonts w:ascii="宋体" w:hAnsi="宋体" w:cs="宋体"/>
          <w:color w:val="auto"/>
          <w:sz w:val="24"/>
          <w:szCs w:val="24"/>
          <w:highlight w:val="none"/>
        </w:rPr>
      </w:pPr>
      <w:r>
        <w:rPr>
          <w:rFonts w:hint="eastAsia" w:ascii="宋体" w:hAnsi="宋体" w:cs="宋体"/>
          <w:color w:val="auto"/>
          <w:highlight w:val="none"/>
        </w:rPr>
        <w:br w:type="page"/>
      </w:r>
      <w:bookmarkEnd w:id="63"/>
      <w:bookmarkEnd w:id="65"/>
    </w:p>
    <w:p>
      <w:pPr>
        <w:pStyle w:val="6"/>
        <w:spacing w:before="0" w:after="0" w:line="240" w:lineRule="auto"/>
        <w:ind w:left="0"/>
        <w:jc w:val="left"/>
        <w:rPr>
          <w:rFonts w:ascii="宋体" w:hAnsi="宋体" w:cs="宋体"/>
          <w:color w:val="auto"/>
          <w:highlight w:val="none"/>
        </w:rPr>
      </w:pPr>
      <w:bookmarkStart w:id="68" w:name="_Toc25411"/>
      <w:bookmarkStart w:id="69" w:name="_Toc12262586"/>
      <w:bookmarkStart w:id="70" w:name="_Toc55169948"/>
      <w:bookmarkStart w:id="71" w:name="_Toc29161"/>
      <w:r>
        <w:rPr>
          <w:rFonts w:hint="eastAsia" w:ascii="宋体" w:hAnsi="宋体" w:cs="宋体"/>
          <w:color w:val="auto"/>
          <w:highlight w:val="none"/>
        </w:rPr>
        <w:t>格式五：响应招标文件所附施工组织设计要点的承诺书</w:t>
      </w:r>
      <w:bookmarkEnd w:id="68"/>
      <w:bookmarkEnd w:id="69"/>
      <w:bookmarkEnd w:id="70"/>
      <w:bookmarkEnd w:id="71"/>
    </w:p>
    <w:p>
      <w:pPr>
        <w:pStyle w:val="55"/>
        <w:ind w:firstLine="0" w:firstLineChars="0"/>
        <w:rPr>
          <w:rFonts w:ascii="宋体" w:hAnsi="宋体" w:cs="宋体"/>
          <w:color w:val="auto"/>
          <w:highlight w:val="none"/>
        </w:rPr>
      </w:pPr>
    </w:p>
    <w:p>
      <w:pPr>
        <w:pStyle w:val="55"/>
        <w:ind w:firstLine="0" w:firstLineChars="0"/>
        <w:jc w:val="center"/>
        <w:rPr>
          <w:rFonts w:ascii="宋体" w:hAnsi="宋体" w:cs="宋体"/>
          <w:color w:val="auto"/>
          <w:sz w:val="32"/>
          <w:szCs w:val="32"/>
          <w:highlight w:val="none"/>
        </w:rPr>
      </w:pPr>
    </w:p>
    <w:p>
      <w:pPr>
        <w:pStyle w:val="55"/>
        <w:ind w:firstLine="0" w:firstLineChars="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响应招标文件所附施工组织设计要点的承诺书</w:t>
      </w:r>
    </w:p>
    <w:p>
      <w:pPr>
        <w:pStyle w:val="55"/>
        <w:ind w:firstLine="0" w:firstLineChars="0"/>
        <w:jc w:val="left"/>
        <w:rPr>
          <w:rFonts w:ascii="宋体" w:hAnsi="宋体" w:cs="宋体"/>
          <w:color w:val="auto"/>
          <w:sz w:val="28"/>
          <w:szCs w:val="28"/>
          <w:highlight w:val="none"/>
          <w:u w:val="single"/>
        </w:rPr>
      </w:pPr>
    </w:p>
    <w:p>
      <w:pPr>
        <w:pStyle w:val="55"/>
        <w:ind w:firstLine="0" w:firstLineChars="0"/>
        <w:jc w:val="left"/>
        <w:rPr>
          <w:rFonts w:ascii="宋体" w:hAnsi="宋体" w:cs="宋体"/>
          <w:color w:val="auto"/>
          <w:highlight w:val="none"/>
          <w:u w:val="single"/>
        </w:rPr>
      </w:pPr>
      <w:r>
        <w:rPr>
          <w:rFonts w:hint="eastAsia" w:ascii="宋体" w:hAnsi="宋体" w:cs="宋体"/>
          <w:color w:val="auto"/>
          <w:highlight w:val="none"/>
          <w:u w:val="single"/>
          <w:lang w:eastAsia="zh-CN"/>
        </w:rPr>
        <w:t>广东广建项目管理有限公司</w:t>
      </w:r>
      <w:r>
        <w:rPr>
          <w:rFonts w:hint="eastAsia" w:ascii="宋体" w:hAnsi="宋体" w:cs="宋体"/>
          <w:color w:val="auto"/>
          <w:highlight w:val="none"/>
          <w:u w:val="single"/>
        </w:rPr>
        <w:t>：</w:t>
      </w:r>
    </w:p>
    <w:p>
      <w:pPr>
        <w:pStyle w:val="55"/>
        <w:ind w:firstLine="496"/>
        <w:rPr>
          <w:rFonts w:ascii="宋体" w:hAnsi="宋体" w:cs="宋体"/>
          <w:color w:val="auto"/>
          <w:highlight w:val="none"/>
        </w:rPr>
      </w:pPr>
      <w:r>
        <w:rPr>
          <w:rFonts w:hint="eastAsia" w:ascii="宋体" w:hAnsi="宋体" w:cs="宋体"/>
          <w:color w:val="auto"/>
          <w:highlight w:val="none"/>
        </w:rPr>
        <w:t>我方如中标承建</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越秀区城市更新改造补短板项目（二期）——中心城区品质化提升项目（东山街老旧小区改造）施工总承包</w:t>
      </w:r>
      <w:r>
        <w:rPr>
          <w:rFonts w:hint="eastAsia" w:ascii="宋体" w:hAnsi="宋体" w:cs="宋体"/>
          <w:color w:val="auto"/>
          <w:highlight w:val="none"/>
          <w:u w:val="single"/>
        </w:rPr>
        <w:t xml:space="preserve"> </w:t>
      </w:r>
      <w:r>
        <w:rPr>
          <w:rFonts w:hint="eastAsia" w:ascii="宋体" w:hAnsi="宋体" w:cs="宋体"/>
          <w:color w:val="auto"/>
          <w:highlight w:val="none"/>
        </w:rPr>
        <w:t>，将按招标文件所附的本工程施工组织设计要点进行响应的基础上自行组织施工，并郑重承诺：</w:t>
      </w:r>
    </w:p>
    <w:p>
      <w:pPr>
        <w:pStyle w:val="55"/>
        <w:numPr>
          <w:ilvl w:val="0"/>
          <w:numId w:val="3"/>
        </w:numPr>
        <w:ind w:firstLine="496"/>
        <w:rPr>
          <w:rFonts w:ascii="宋体" w:hAnsi="宋体" w:cs="宋体"/>
          <w:color w:val="auto"/>
          <w:highlight w:val="none"/>
        </w:rPr>
      </w:pPr>
      <w:r>
        <w:rPr>
          <w:rFonts w:hint="eastAsia" w:ascii="宋体" w:hAnsi="宋体" w:cs="宋体"/>
          <w:color w:val="auto"/>
          <w:highlight w:val="none"/>
        </w:rPr>
        <w:t>在中标后按招标文件所附的施工组织设计要点基础上编制详细的施工组织设计；</w:t>
      </w:r>
    </w:p>
    <w:p>
      <w:pPr>
        <w:pStyle w:val="55"/>
        <w:numPr>
          <w:ilvl w:val="0"/>
          <w:numId w:val="3"/>
        </w:numPr>
        <w:ind w:firstLine="496"/>
        <w:rPr>
          <w:rFonts w:ascii="宋体" w:hAnsi="宋体" w:cs="宋体"/>
          <w:color w:val="auto"/>
          <w:highlight w:val="none"/>
        </w:rPr>
      </w:pPr>
      <w:r>
        <w:rPr>
          <w:rFonts w:hint="eastAsia" w:ascii="宋体" w:hAnsi="宋体" w:cs="宋体"/>
          <w:color w:val="auto"/>
          <w:highlight w:val="none"/>
        </w:rPr>
        <w:t>在签订合同后的5天内提交施工组织设计，报经监理单位和发包人审批后实施。</w:t>
      </w:r>
    </w:p>
    <w:p>
      <w:pPr>
        <w:pStyle w:val="55"/>
        <w:ind w:firstLine="0" w:firstLineChars="0"/>
        <w:jc w:val="left"/>
        <w:rPr>
          <w:rFonts w:ascii="宋体" w:hAnsi="宋体" w:cs="宋体"/>
          <w:color w:val="auto"/>
          <w:szCs w:val="21"/>
          <w:highlight w:val="none"/>
        </w:rPr>
      </w:pPr>
    </w:p>
    <w:p>
      <w:pPr>
        <w:pStyle w:val="55"/>
        <w:ind w:firstLine="3596" w:firstLineChars="1450"/>
        <w:rPr>
          <w:rFonts w:ascii="宋体" w:hAnsi="宋体" w:cs="宋体"/>
          <w:color w:val="auto"/>
          <w:highlight w:val="none"/>
        </w:rPr>
      </w:pPr>
      <w:r>
        <w:rPr>
          <w:rFonts w:hint="eastAsia" w:ascii="宋体" w:hAnsi="宋体" w:cs="宋体"/>
          <w:color w:val="auto"/>
          <w:highlight w:val="none"/>
        </w:rPr>
        <w:t>投标人：　　（盖章）</w:t>
      </w:r>
    </w:p>
    <w:p>
      <w:pPr>
        <w:pStyle w:val="55"/>
        <w:ind w:firstLine="3596" w:firstLineChars="1450"/>
        <w:rPr>
          <w:rFonts w:ascii="宋体" w:hAnsi="宋体" w:cs="宋体"/>
          <w:color w:val="auto"/>
          <w:highlight w:val="none"/>
        </w:rPr>
      </w:pPr>
      <w:r>
        <w:rPr>
          <w:rFonts w:hint="eastAsia" w:ascii="宋体" w:hAnsi="宋体" w:cs="宋体"/>
          <w:color w:val="auto"/>
          <w:highlight w:val="none"/>
        </w:rPr>
        <w:t>法定代表人或授权代理人（签字或盖章）：</w:t>
      </w:r>
    </w:p>
    <w:p>
      <w:pPr>
        <w:pStyle w:val="55"/>
        <w:ind w:right="992" w:firstLine="3543" w:firstLineChars="1429"/>
        <w:rPr>
          <w:rFonts w:ascii="宋体" w:hAnsi="宋体" w:cs="宋体"/>
          <w:color w:val="auto"/>
          <w:szCs w:val="21"/>
          <w:highlight w:val="none"/>
        </w:rPr>
      </w:pPr>
      <w:r>
        <w:rPr>
          <w:rFonts w:hint="eastAsia" w:ascii="宋体" w:hAnsi="宋体" w:cs="宋体"/>
          <w:color w:val="auto"/>
          <w:highlight w:val="none"/>
        </w:rPr>
        <w:t xml:space="preserve">日   期：    年    月    日  </w:t>
      </w:r>
    </w:p>
    <w:p>
      <w:pPr>
        <w:autoSpaceDE w:val="0"/>
        <w:autoSpaceDN w:val="0"/>
        <w:adjustRightInd w:val="0"/>
        <w:rPr>
          <w:rFonts w:ascii="宋体" w:hAnsi="宋体" w:cs="宋体"/>
          <w:color w:val="auto"/>
          <w:sz w:val="24"/>
          <w:szCs w:val="24"/>
          <w:highlight w:val="none"/>
        </w:rPr>
      </w:pPr>
    </w:p>
    <w:p>
      <w:pPr>
        <w:tabs>
          <w:tab w:val="right" w:leader="dot" w:pos="9060"/>
        </w:tabs>
        <w:jc w:val="left"/>
        <w:rPr>
          <w:color w:val="auto"/>
          <w:highlight w:val="none"/>
        </w:rPr>
      </w:pPr>
      <w:r>
        <w:rPr>
          <w:color w:val="auto"/>
          <w:highlight w:val="none"/>
        </w:rPr>
        <w:br w:type="page"/>
      </w:r>
      <w:bookmarkStart w:id="72" w:name="_Toc2405"/>
      <w:bookmarkStart w:id="73" w:name="_Toc55169949"/>
      <w:bookmarkStart w:id="74" w:name="_Toc12262587"/>
    </w:p>
    <w:p>
      <w:pPr>
        <w:pStyle w:val="55"/>
        <w:spacing w:before="0" w:after="0" w:line="240" w:lineRule="auto"/>
        <w:ind w:left="0" w:firstLine="0" w:firstLineChars="0"/>
        <w:jc w:val="left"/>
        <w:rPr>
          <w:rFonts w:hint="eastAsia" w:ascii="Arial" w:hAnsi="Arial" w:eastAsia="宋体" w:cs="Times New Roman"/>
          <w:b/>
          <w:color w:val="auto"/>
          <w:spacing w:val="0"/>
          <w:kern w:val="2"/>
          <w:highlight w:val="none"/>
        </w:rPr>
      </w:pPr>
      <w:r>
        <w:rPr>
          <w:rFonts w:hint="eastAsia" w:ascii="Arial" w:hAnsi="Arial" w:eastAsia="宋体" w:cs="Times New Roman"/>
          <w:b/>
          <w:color w:val="auto"/>
          <w:spacing w:val="0"/>
          <w:kern w:val="2"/>
          <w:highlight w:val="none"/>
        </w:rPr>
        <w:t>格式</w:t>
      </w:r>
      <w:r>
        <w:rPr>
          <w:rFonts w:hint="eastAsia" w:ascii="Arial" w:hAnsi="Arial" w:cs="Times New Roman"/>
          <w:b/>
          <w:color w:val="auto"/>
          <w:spacing w:val="0"/>
          <w:kern w:val="2"/>
          <w:highlight w:val="none"/>
          <w:lang w:val="en-US" w:eastAsia="zh-CN"/>
        </w:rPr>
        <w:t>六</w:t>
      </w:r>
      <w:r>
        <w:rPr>
          <w:rFonts w:hint="eastAsia" w:ascii="Arial" w:hAnsi="Arial" w:eastAsia="宋体" w:cs="Times New Roman"/>
          <w:b/>
          <w:color w:val="auto"/>
          <w:spacing w:val="0"/>
          <w:kern w:val="2"/>
          <w:highlight w:val="none"/>
        </w:rPr>
        <w:t>：参与编制技术标投标文件编制人员名单</w:t>
      </w:r>
      <w:bookmarkEnd w:id="72"/>
      <w:bookmarkEnd w:id="73"/>
      <w:bookmarkEnd w:id="74"/>
    </w:p>
    <w:p>
      <w:pPr>
        <w:autoSpaceDE w:val="0"/>
        <w:autoSpaceDN w:val="0"/>
        <w:adjustRightInd w:val="0"/>
        <w:rPr>
          <w:color w:val="auto"/>
          <w:szCs w:val="21"/>
          <w:highlight w:val="none"/>
        </w:rPr>
      </w:pPr>
    </w:p>
    <w:p>
      <w:pPr>
        <w:tabs>
          <w:tab w:val="left" w:pos="720"/>
        </w:tabs>
        <w:snapToGrid w:val="0"/>
        <w:spacing w:line="360" w:lineRule="auto"/>
        <w:jc w:val="center"/>
        <w:rPr>
          <w:color w:val="auto"/>
          <w:szCs w:val="21"/>
          <w:highlight w:val="none"/>
        </w:rPr>
      </w:pPr>
      <w:r>
        <w:rPr>
          <w:rFonts w:hint="eastAsia"/>
          <w:color w:val="auto"/>
          <w:szCs w:val="21"/>
          <w:highlight w:val="none"/>
        </w:rPr>
        <w:t>参与编制技术标投标文件人员名单</w:t>
      </w:r>
    </w:p>
    <w:tbl>
      <w:tblPr>
        <w:tblStyle w:val="38"/>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pStyle w:val="37"/>
        <w:spacing w:after="0" w:line="360" w:lineRule="auto"/>
        <w:ind w:left="-2" w:leftChars="-1" w:firstLine="367" w:firstLineChars="175"/>
        <w:jc w:val="left"/>
        <w:rPr>
          <w:color w:val="auto"/>
          <w:szCs w:val="21"/>
          <w:highlight w:val="none"/>
        </w:rPr>
      </w:pPr>
      <w:r>
        <w:rPr>
          <w:rFonts w:hint="eastAsia"/>
          <w:color w:val="auto"/>
          <w:szCs w:val="21"/>
          <w:highlight w:val="none"/>
        </w:rPr>
        <w:t>注：参与编制投标文件所有人员名单应包括如编制技术投标方案、编制各种专业工程量清单投标报价、负责清样校对、负责打印及复印等所有人员在内的人员名单。</w:t>
      </w:r>
    </w:p>
    <w:p>
      <w:pPr>
        <w:tabs>
          <w:tab w:val="right" w:leader="dot" w:pos="9060"/>
        </w:tabs>
        <w:jc w:val="center"/>
        <w:rPr>
          <w:rFonts w:ascii="宋体" w:hAnsi="宋体" w:cs="宋体"/>
          <w:color w:val="auto"/>
          <w:highlight w:val="none"/>
        </w:rPr>
      </w:pPr>
      <w:bookmarkStart w:id="75" w:name="_Toc55169950"/>
      <w:r>
        <w:rPr>
          <w:rFonts w:hint="eastAsia" w:ascii="宋体" w:hAnsi="宋体" w:cs="宋体"/>
          <w:color w:val="auto"/>
          <w:highlight w:val="none"/>
        </w:rPr>
        <w:br w:type="page"/>
      </w:r>
      <w:bookmarkStart w:id="76" w:name="_Toc16533"/>
    </w:p>
    <w:p>
      <w:pPr>
        <w:tabs>
          <w:tab w:val="right" w:leader="dot" w:pos="9060"/>
        </w:tabs>
        <w:jc w:val="center"/>
        <w:rPr>
          <w:rFonts w:ascii="宋体" w:hAnsi="宋体" w:cs="宋体"/>
          <w:color w:val="auto"/>
          <w:highlight w:val="none"/>
        </w:rPr>
      </w:pPr>
    </w:p>
    <w:p>
      <w:pPr>
        <w:tabs>
          <w:tab w:val="right" w:leader="dot" w:pos="9060"/>
        </w:tabs>
        <w:jc w:val="center"/>
        <w:rPr>
          <w:rFonts w:ascii="宋体" w:hAnsi="宋体" w:cs="宋体"/>
          <w:color w:val="auto"/>
          <w:highlight w:val="none"/>
        </w:rPr>
      </w:pPr>
    </w:p>
    <w:p>
      <w:pPr>
        <w:tabs>
          <w:tab w:val="right" w:leader="dot" w:pos="9060"/>
        </w:tabs>
        <w:jc w:val="center"/>
        <w:rPr>
          <w:rFonts w:ascii="宋体" w:hAnsi="宋体" w:cs="宋体"/>
          <w:color w:val="auto"/>
          <w:highlight w:val="none"/>
        </w:rPr>
      </w:pPr>
    </w:p>
    <w:p>
      <w:pPr>
        <w:tabs>
          <w:tab w:val="right" w:leader="dot" w:pos="9060"/>
        </w:tabs>
        <w:jc w:val="center"/>
        <w:rPr>
          <w:rFonts w:ascii="宋体" w:hAnsi="宋体" w:cs="宋体"/>
          <w:color w:val="auto"/>
          <w:highlight w:val="none"/>
        </w:rPr>
      </w:pPr>
    </w:p>
    <w:p>
      <w:pPr>
        <w:tabs>
          <w:tab w:val="right" w:leader="dot" w:pos="9060"/>
        </w:tabs>
        <w:jc w:val="center"/>
        <w:rPr>
          <w:rFonts w:ascii="宋体" w:hAnsi="宋体" w:cs="宋体"/>
          <w:color w:val="auto"/>
          <w:highlight w:val="none"/>
        </w:rPr>
      </w:pPr>
    </w:p>
    <w:p>
      <w:pPr>
        <w:tabs>
          <w:tab w:val="right" w:leader="dot" w:pos="9060"/>
        </w:tabs>
        <w:jc w:val="center"/>
        <w:rPr>
          <w:rFonts w:ascii="宋体" w:hAnsi="宋体" w:cs="宋体"/>
          <w:color w:val="auto"/>
          <w:highlight w:val="none"/>
        </w:rPr>
      </w:pPr>
    </w:p>
    <w:p>
      <w:pPr>
        <w:tabs>
          <w:tab w:val="right" w:leader="dot" w:pos="9060"/>
        </w:tabs>
        <w:jc w:val="center"/>
        <w:rPr>
          <w:rFonts w:ascii="宋体" w:hAnsi="宋体" w:cs="宋体"/>
          <w:color w:val="auto"/>
          <w:highlight w:val="none"/>
        </w:rPr>
      </w:pPr>
    </w:p>
    <w:p>
      <w:pPr>
        <w:tabs>
          <w:tab w:val="right" w:leader="dot" w:pos="9060"/>
        </w:tabs>
        <w:jc w:val="center"/>
        <w:outlineLvl w:val="1"/>
        <w:rPr>
          <w:rFonts w:ascii="宋体" w:hAnsi="宋体" w:cs="宋体"/>
          <w:bCs/>
          <w:color w:val="auto"/>
          <w:sz w:val="36"/>
          <w:szCs w:val="40"/>
          <w:highlight w:val="none"/>
        </w:rPr>
      </w:pPr>
      <w:bookmarkStart w:id="77" w:name="_Toc2974"/>
      <w:r>
        <w:rPr>
          <w:rFonts w:hint="eastAsia" w:ascii="宋体" w:hAnsi="宋体" w:cs="宋体"/>
          <w:b/>
          <w:bCs/>
          <w:color w:val="auto"/>
          <w:sz w:val="36"/>
          <w:szCs w:val="40"/>
          <w:highlight w:val="none"/>
        </w:rPr>
        <w:t>二、经济标投标文件格式</w:t>
      </w:r>
      <w:r>
        <w:rPr>
          <w:rFonts w:ascii="宋体" w:hAnsi="宋体" w:cs="宋体"/>
          <w:b/>
          <w:bCs/>
          <w:color w:val="auto"/>
          <w:sz w:val="36"/>
          <w:szCs w:val="40"/>
          <w:highlight w:val="none"/>
        </w:rPr>
        <w:br w:type="page"/>
      </w:r>
      <w:bookmarkEnd w:id="77"/>
    </w:p>
    <w:p>
      <w:pPr>
        <w:pStyle w:val="6"/>
        <w:spacing w:before="0" w:after="0" w:line="240" w:lineRule="auto"/>
        <w:ind w:left="0"/>
        <w:jc w:val="left"/>
        <w:rPr>
          <w:rFonts w:ascii="宋体" w:hAnsi="宋体" w:cs="宋体"/>
          <w:color w:val="auto"/>
          <w:highlight w:val="none"/>
        </w:rPr>
      </w:pPr>
      <w:bookmarkStart w:id="78" w:name="_Toc9572"/>
      <w:r>
        <w:rPr>
          <w:rFonts w:hint="eastAsia" w:ascii="宋体" w:hAnsi="宋体" w:cs="宋体"/>
          <w:color w:val="auto"/>
          <w:highlight w:val="none"/>
        </w:rPr>
        <w:t>格式一：经济标投标文件封面</w:t>
      </w:r>
      <w:bookmarkEnd w:id="78"/>
    </w:p>
    <w:p>
      <w:pPr>
        <w:pStyle w:val="55"/>
        <w:ind w:firstLine="496"/>
        <w:rPr>
          <w:rFonts w:ascii="宋体" w:hAnsi="宋体" w:cs="宋体"/>
          <w:color w:val="auto"/>
          <w:highlight w:val="none"/>
        </w:rPr>
      </w:pPr>
    </w:p>
    <w:p>
      <w:pPr>
        <w:pStyle w:val="55"/>
        <w:ind w:firstLine="496"/>
        <w:rPr>
          <w:rFonts w:ascii="宋体" w:hAnsi="宋体" w:cs="宋体"/>
          <w:color w:val="auto"/>
          <w:highlight w:val="none"/>
        </w:rPr>
      </w:pPr>
    </w:p>
    <w:p>
      <w:pPr>
        <w:pStyle w:val="55"/>
        <w:ind w:firstLine="0" w:firstLineChars="0"/>
        <w:jc w:val="center"/>
        <w:rPr>
          <w:rFonts w:ascii="宋体" w:hAnsi="宋体" w:cs="宋体"/>
          <w:color w:val="auto"/>
          <w:sz w:val="36"/>
          <w:szCs w:val="36"/>
          <w:highlight w:val="none"/>
        </w:rPr>
      </w:pPr>
      <w:r>
        <w:rPr>
          <w:rFonts w:hint="eastAsia" w:ascii="宋体" w:hAnsi="宋体" w:cs="宋体"/>
          <w:b/>
          <w:color w:val="auto"/>
          <w:sz w:val="36"/>
          <w:szCs w:val="36"/>
          <w:highlight w:val="none"/>
          <w:u w:val="single"/>
        </w:rPr>
        <w:t>[工程名称]</w:t>
      </w:r>
    </w:p>
    <w:p>
      <w:pPr>
        <w:pStyle w:val="55"/>
        <w:ind w:firstLine="496"/>
        <w:rPr>
          <w:rFonts w:ascii="宋体" w:hAnsi="宋体" w:cs="宋体"/>
          <w:color w:val="auto"/>
          <w:highlight w:val="none"/>
        </w:rPr>
      </w:pPr>
    </w:p>
    <w:p>
      <w:pPr>
        <w:pStyle w:val="77"/>
        <w:rPr>
          <w:rFonts w:ascii="宋体" w:hAnsi="宋体" w:eastAsia="宋体" w:cs="宋体"/>
          <w:b w:val="0"/>
          <w:color w:val="auto"/>
          <w:highlight w:val="none"/>
        </w:rPr>
      </w:pPr>
    </w:p>
    <w:p>
      <w:pPr>
        <w:pStyle w:val="55"/>
        <w:ind w:firstLine="0" w:firstLineChars="0"/>
        <w:jc w:val="center"/>
        <w:rPr>
          <w:rFonts w:ascii="宋体" w:hAnsi="宋体" w:cs="宋体"/>
          <w:b/>
          <w:color w:val="auto"/>
          <w:sz w:val="36"/>
          <w:szCs w:val="36"/>
          <w:highlight w:val="none"/>
        </w:rPr>
      </w:pPr>
      <w:r>
        <w:rPr>
          <w:rFonts w:hint="eastAsia" w:ascii="宋体" w:hAnsi="宋体" w:cs="宋体"/>
          <w:b/>
          <w:color w:val="auto"/>
          <w:sz w:val="36"/>
          <w:szCs w:val="36"/>
          <w:highlight w:val="none"/>
        </w:rPr>
        <w:t>经济标投标文件</w:t>
      </w:r>
    </w:p>
    <w:p>
      <w:pPr>
        <w:pStyle w:val="55"/>
        <w:ind w:firstLine="496"/>
        <w:rPr>
          <w:rFonts w:ascii="宋体" w:hAnsi="宋体" w:cs="宋体"/>
          <w:color w:val="auto"/>
          <w:highlight w:val="none"/>
        </w:rPr>
      </w:pPr>
    </w:p>
    <w:p>
      <w:pPr>
        <w:pStyle w:val="55"/>
        <w:ind w:firstLine="496"/>
        <w:rPr>
          <w:rFonts w:ascii="宋体" w:hAnsi="宋体" w:cs="宋体"/>
          <w:color w:val="auto"/>
          <w:highlight w:val="none"/>
        </w:rPr>
      </w:pPr>
    </w:p>
    <w:p>
      <w:pPr>
        <w:pStyle w:val="55"/>
        <w:ind w:firstLine="496"/>
        <w:rPr>
          <w:rFonts w:ascii="宋体" w:hAnsi="宋体" w:cs="宋体"/>
          <w:color w:val="auto"/>
          <w:highlight w:val="none"/>
        </w:rPr>
      </w:pPr>
    </w:p>
    <w:p>
      <w:pPr>
        <w:pStyle w:val="55"/>
        <w:ind w:firstLine="496"/>
        <w:rPr>
          <w:rFonts w:ascii="宋体" w:hAnsi="宋体" w:cs="宋体"/>
          <w:color w:val="auto"/>
          <w:highlight w:val="none"/>
        </w:rPr>
      </w:pPr>
    </w:p>
    <w:p>
      <w:pPr>
        <w:pStyle w:val="55"/>
        <w:ind w:firstLine="496"/>
        <w:rPr>
          <w:rFonts w:ascii="宋体" w:hAnsi="宋体" w:cs="宋体"/>
          <w:color w:val="auto"/>
          <w:highlight w:val="none"/>
        </w:rPr>
      </w:pPr>
    </w:p>
    <w:p>
      <w:pPr>
        <w:pStyle w:val="55"/>
        <w:ind w:firstLine="496"/>
        <w:rPr>
          <w:rFonts w:ascii="宋体" w:hAnsi="宋体" w:cs="宋体"/>
          <w:color w:val="auto"/>
          <w:highlight w:val="none"/>
        </w:rPr>
      </w:pPr>
    </w:p>
    <w:p>
      <w:pPr>
        <w:pStyle w:val="55"/>
        <w:ind w:firstLine="496"/>
        <w:rPr>
          <w:rFonts w:ascii="宋体" w:hAnsi="宋体" w:cs="宋体"/>
          <w:color w:val="auto"/>
          <w:highlight w:val="none"/>
        </w:rPr>
      </w:pPr>
    </w:p>
    <w:p>
      <w:pPr>
        <w:pStyle w:val="55"/>
        <w:ind w:firstLine="496"/>
        <w:rPr>
          <w:rFonts w:ascii="宋体" w:hAnsi="宋体" w:cs="宋体"/>
          <w:color w:val="auto"/>
          <w:highlight w:val="none"/>
        </w:rPr>
      </w:pPr>
    </w:p>
    <w:p>
      <w:pPr>
        <w:pStyle w:val="54"/>
        <w:ind w:firstLine="616"/>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 xml:space="preserve">                             （盖章）</w:t>
      </w:r>
    </w:p>
    <w:p>
      <w:pPr>
        <w:pStyle w:val="54"/>
        <w:ind w:firstLine="1848" w:firstLineChars="600"/>
        <w:rPr>
          <w:rFonts w:ascii="宋体" w:hAnsi="宋体" w:cs="宋体"/>
          <w:color w:val="auto"/>
          <w:highlight w:val="none"/>
          <w:u w:val="single"/>
        </w:rPr>
      </w:pPr>
      <w:r>
        <w:rPr>
          <w:rFonts w:hint="eastAsia" w:ascii="宋体" w:hAnsi="宋体" w:cs="宋体"/>
          <w:color w:val="auto"/>
          <w:highlight w:val="none"/>
          <w:u w:val="single"/>
        </w:rPr>
        <w:t xml:space="preserve">                               </w:t>
      </w:r>
    </w:p>
    <w:p>
      <w:pPr>
        <w:pStyle w:val="54"/>
        <w:ind w:firstLine="616"/>
        <w:rPr>
          <w:rFonts w:ascii="宋体" w:hAnsi="宋体" w:cs="宋体"/>
          <w:color w:val="auto"/>
          <w:highlight w:val="none"/>
        </w:rPr>
      </w:pPr>
    </w:p>
    <w:p>
      <w:pPr>
        <w:pStyle w:val="54"/>
        <w:ind w:firstLine="616"/>
        <w:rPr>
          <w:rFonts w:ascii="宋体" w:hAnsi="宋体" w:cs="宋体"/>
          <w:color w:val="auto"/>
          <w:highlight w:val="none"/>
        </w:rPr>
      </w:pPr>
      <w:r>
        <w:rPr>
          <w:rFonts w:hint="eastAsia" w:ascii="宋体" w:hAnsi="宋体" w:cs="宋体"/>
          <w:color w:val="auto"/>
          <w:highlight w:val="none"/>
        </w:rPr>
        <w:t>法定代表人或其委托代理人：</w:t>
      </w:r>
      <w:r>
        <w:rPr>
          <w:rFonts w:hint="eastAsia" w:ascii="宋体" w:hAnsi="宋体" w:cs="宋体"/>
          <w:color w:val="auto"/>
          <w:highlight w:val="none"/>
          <w:u w:val="single"/>
        </w:rPr>
        <w:t xml:space="preserve">       （签字或盖章）</w:t>
      </w:r>
    </w:p>
    <w:p>
      <w:pPr>
        <w:pStyle w:val="54"/>
        <w:tabs>
          <w:tab w:val="right" w:leader="dot" w:pos="9060"/>
        </w:tabs>
        <w:spacing w:line="240" w:lineRule="auto"/>
        <w:ind w:firstLine="616"/>
        <w:rPr>
          <w:rFonts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rPr>
        <w:br w:type="page"/>
      </w:r>
    </w:p>
    <w:p>
      <w:pPr>
        <w:outlineLvl w:val="2"/>
        <w:rPr>
          <w:rFonts w:ascii="宋体" w:hAnsi="宋体" w:cs="宋体"/>
          <w:b/>
          <w:color w:val="auto"/>
          <w:sz w:val="24"/>
          <w:szCs w:val="24"/>
          <w:highlight w:val="none"/>
        </w:rPr>
      </w:pPr>
      <w:bookmarkStart w:id="79" w:name="_Toc9214"/>
      <w:r>
        <w:rPr>
          <w:rFonts w:hint="eastAsia" w:ascii="宋体" w:hAnsi="宋体" w:cs="宋体"/>
          <w:b/>
          <w:color w:val="auto"/>
          <w:sz w:val="24"/>
          <w:szCs w:val="24"/>
          <w:highlight w:val="none"/>
        </w:rPr>
        <w:t>格式</w:t>
      </w:r>
      <w:r>
        <w:rPr>
          <w:rFonts w:hint="eastAsia" w:ascii="宋体" w:hAnsi="宋体" w:cs="宋体"/>
          <w:b/>
          <w:color w:val="auto"/>
          <w:sz w:val="24"/>
          <w:szCs w:val="24"/>
          <w:highlight w:val="none"/>
          <w:lang w:val="en-US" w:eastAsia="zh-CN"/>
        </w:rPr>
        <w:t>二</w:t>
      </w:r>
      <w:r>
        <w:rPr>
          <w:rFonts w:hint="eastAsia" w:ascii="宋体" w:hAnsi="宋体" w:cs="宋体"/>
          <w:b/>
          <w:color w:val="auto"/>
          <w:sz w:val="24"/>
          <w:szCs w:val="24"/>
          <w:highlight w:val="none"/>
        </w:rPr>
        <w:t>：广州建设工程施工招标投标书（经济标）</w:t>
      </w:r>
    </w:p>
    <w:p>
      <w:pPr>
        <w:spacing w:before="157" w:beforeLines="50" w:line="360" w:lineRule="auto"/>
        <w:jc w:val="center"/>
        <w:rPr>
          <w:rFonts w:ascii="宋体" w:hAnsi="宋体" w:cs="宋体"/>
          <w:b/>
          <w:sz w:val="36"/>
          <w:szCs w:val="36"/>
        </w:rPr>
      </w:pPr>
      <w:bookmarkStart w:id="80" w:name="_Toc58838606"/>
      <w:bookmarkEnd w:id="80"/>
      <w:r>
        <w:rPr>
          <w:rFonts w:hint="eastAsia" w:ascii="宋体" w:hAnsi="宋体" w:cs="宋体"/>
          <w:b/>
          <w:sz w:val="36"/>
          <w:szCs w:val="36"/>
        </w:rPr>
        <w:t>广州建设工程施工招标投标书（经济标）</w:t>
      </w:r>
    </w:p>
    <w:tbl>
      <w:tblPr>
        <w:tblStyle w:val="38"/>
        <w:tblW w:w="8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5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工程名称</w:t>
            </w:r>
          </w:p>
        </w:tc>
        <w:tc>
          <w:tcPr>
            <w:tcW w:w="5071"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投标总报价（元）</w:t>
            </w:r>
          </w:p>
        </w:tc>
        <w:tc>
          <w:tcPr>
            <w:tcW w:w="50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大写：</w:t>
            </w:r>
            <w:r>
              <w:rPr>
                <w:rFonts w:hint="eastAsia" w:ascii="宋体" w:hAnsi="宋体" w:cs="宋体"/>
                <w:bCs/>
                <w:sz w:val="24"/>
                <w:szCs w:val="24"/>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szCs w:val="24"/>
                <w:lang w:val="zh-CN"/>
              </w:rPr>
            </w:pPr>
          </w:p>
        </w:tc>
        <w:tc>
          <w:tcPr>
            <w:tcW w:w="50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小写：</w:t>
            </w:r>
            <w:r>
              <w:rPr>
                <w:rFonts w:hint="eastAsia" w:ascii="宋体" w:hAnsi="宋体" w:cs="宋体"/>
                <w:bCs/>
                <w:sz w:val="24"/>
                <w:szCs w:val="24"/>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其中：</w:t>
            </w:r>
            <w:r>
              <w:rPr>
                <w:rFonts w:hint="eastAsia" w:ascii="宋体" w:hAnsi="宋体" w:cs="宋体"/>
                <w:bCs/>
                <w:sz w:val="24"/>
                <w:szCs w:val="24"/>
                <w:lang w:val="zh-CN"/>
              </w:rPr>
              <w:t>人工费</w:t>
            </w:r>
            <w:r>
              <w:rPr>
                <w:rFonts w:hint="eastAsia" w:ascii="宋体" w:hAnsi="宋体" w:cs="宋体"/>
                <w:sz w:val="24"/>
                <w:szCs w:val="24"/>
                <w:lang w:val="zh-CN"/>
              </w:rPr>
              <w:t>（元）</w:t>
            </w:r>
          </w:p>
        </w:tc>
        <w:tc>
          <w:tcPr>
            <w:tcW w:w="50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大写：</w:t>
            </w:r>
            <w:r>
              <w:rPr>
                <w:rFonts w:hint="eastAsia" w:ascii="宋体" w:hAnsi="宋体" w:cs="宋体"/>
                <w:bCs/>
                <w:sz w:val="24"/>
                <w:szCs w:val="24"/>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szCs w:val="24"/>
                <w:lang w:val="zh-CN"/>
              </w:rPr>
            </w:pPr>
          </w:p>
        </w:tc>
        <w:tc>
          <w:tcPr>
            <w:tcW w:w="50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小写：</w:t>
            </w:r>
            <w:r>
              <w:rPr>
                <w:rFonts w:hint="eastAsia" w:ascii="宋体" w:hAnsi="宋体" w:cs="宋体"/>
                <w:bCs/>
                <w:sz w:val="24"/>
                <w:szCs w:val="24"/>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sz w:val="24"/>
                <w:szCs w:val="24"/>
                <w:lang w:val="zh-CN"/>
              </w:rPr>
            </w:pPr>
            <w:r>
              <w:rPr>
                <w:rFonts w:hint="eastAsia" w:ascii="宋体" w:hAnsi="宋体" w:cs="宋体"/>
                <w:bCs/>
                <w:sz w:val="24"/>
                <w:szCs w:val="24"/>
                <w:lang w:val="zh-CN"/>
              </w:rPr>
              <w:t>其中：</w:t>
            </w:r>
            <w:r>
              <w:rPr>
                <w:rFonts w:hint="eastAsia" w:ascii="宋体" w:hAnsi="宋体" w:cs="宋体"/>
                <w:sz w:val="24"/>
                <w:szCs w:val="24"/>
                <w:lang w:val="zh-CN"/>
              </w:rPr>
              <w:t>绿色施工安全防护措施费（元）</w:t>
            </w:r>
          </w:p>
        </w:tc>
        <w:tc>
          <w:tcPr>
            <w:tcW w:w="50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大写：</w:t>
            </w:r>
            <w:r>
              <w:rPr>
                <w:rFonts w:hint="eastAsia" w:ascii="宋体" w:hAnsi="宋体" w:cs="宋体"/>
                <w:bCs/>
                <w:sz w:val="24"/>
                <w:szCs w:val="24"/>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right w:val="single" w:color="auto" w:sz="4" w:space="0"/>
            </w:tcBorders>
            <w:vAlign w:val="center"/>
          </w:tcPr>
          <w:p>
            <w:pPr>
              <w:widowControl/>
              <w:jc w:val="left"/>
              <w:rPr>
                <w:rFonts w:ascii="宋体" w:hAnsi="宋体" w:cs="宋体"/>
                <w:bCs/>
                <w:sz w:val="24"/>
                <w:szCs w:val="24"/>
                <w:lang w:val="zh-CN"/>
              </w:rPr>
            </w:pPr>
          </w:p>
        </w:tc>
        <w:tc>
          <w:tcPr>
            <w:tcW w:w="50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小写：</w:t>
            </w:r>
            <w:r>
              <w:rPr>
                <w:rFonts w:hint="eastAsia" w:ascii="宋体" w:hAnsi="宋体" w:cs="宋体"/>
                <w:bCs/>
                <w:sz w:val="24"/>
                <w:szCs w:val="24"/>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tcBorders>
              <w:left w:val="single" w:color="auto" w:sz="4" w:space="0"/>
              <w:right w:val="single" w:color="auto" w:sz="4" w:space="0"/>
            </w:tcBorders>
            <w:vAlign w:val="center"/>
          </w:tcPr>
          <w:p>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投标总工期</w:t>
            </w:r>
          </w:p>
        </w:tc>
        <w:tc>
          <w:tcPr>
            <w:tcW w:w="50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tcBorders>
              <w:left w:val="single" w:color="auto" w:sz="4" w:space="0"/>
              <w:right w:val="single" w:color="auto" w:sz="4" w:space="0"/>
            </w:tcBorders>
            <w:vAlign w:val="center"/>
          </w:tcPr>
          <w:p>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工程质量标准</w:t>
            </w:r>
          </w:p>
        </w:tc>
        <w:tc>
          <w:tcPr>
            <w:tcW w:w="50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tcBorders>
              <w:left w:val="single" w:color="auto" w:sz="4" w:space="0"/>
              <w:right w:val="single" w:color="auto" w:sz="4" w:space="0"/>
            </w:tcBorders>
            <w:vAlign w:val="center"/>
          </w:tcPr>
          <w:p>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保</w:t>
            </w:r>
            <w:r>
              <w:rPr>
                <w:rFonts w:ascii="宋体" w:hAnsi="宋体" w:cs="宋体"/>
                <w:sz w:val="24"/>
                <w:szCs w:val="24"/>
                <w:lang w:val="zh-CN"/>
              </w:rPr>
              <w:t xml:space="preserve"> </w:t>
            </w:r>
            <w:r>
              <w:rPr>
                <w:rFonts w:hint="eastAsia" w:ascii="宋体" w:hAnsi="宋体" w:cs="宋体"/>
                <w:sz w:val="24"/>
                <w:szCs w:val="24"/>
                <w:lang w:val="zh-CN"/>
              </w:rPr>
              <w:t>修</w:t>
            </w:r>
            <w:r>
              <w:rPr>
                <w:rFonts w:ascii="宋体" w:hAnsi="宋体" w:cs="宋体"/>
                <w:sz w:val="24"/>
                <w:szCs w:val="24"/>
                <w:lang w:val="zh-CN"/>
              </w:rPr>
              <w:t xml:space="preserve"> </w:t>
            </w:r>
            <w:r>
              <w:rPr>
                <w:rFonts w:hint="eastAsia" w:ascii="宋体" w:hAnsi="宋体" w:cs="宋体"/>
                <w:sz w:val="24"/>
                <w:szCs w:val="24"/>
                <w:lang w:val="zh-CN"/>
              </w:rPr>
              <w:t>期</w:t>
            </w:r>
            <w:r>
              <w:rPr>
                <w:rFonts w:ascii="宋体" w:hAnsi="宋体" w:cs="宋体"/>
                <w:sz w:val="24"/>
                <w:szCs w:val="24"/>
                <w:lang w:val="zh-CN"/>
              </w:rPr>
              <w:t xml:space="preserve"> </w:t>
            </w:r>
            <w:r>
              <w:rPr>
                <w:rFonts w:hint="eastAsia" w:ascii="宋体" w:hAnsi="宋体" w:cs="宋体"/>
                <w:sz w:val="24"/>
                <w:szCs w:val="24"/>
                <w:lang w:val="zh-CN"/>
              </w:rPr>
              <w:t>限</w:t>
            </w:r>
          </w:p>
        </w:tc>
        <w:tc>
          <w:tcPr>
            <w:tcW w:w="50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 w:val="24"/>
                <w:szCs w:val="24"/>
              </w:rPr>
            </w:pPr>
          </w:p>
        </w:tc>
      </w:tr>
    </w:tbl>
    <w:p>
      <w:pPr>
        <w:outlineLvl w:val="9"/>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pPr>
        <w:outlineLvl w:val="2"/>
        <w:rPr>
          <w:rFonts w:ascii="宋体" w:hAnsi="宋体" w:cs="宋体"/>
          <w:b/>
          <w:color w:val="auto"/>
          <w:sz w:val="24"/>
          <w:szCs w:val="24"/>
          <w:highlight w:val="none"/>
        </w:rPr>
      </w:pPr>
      <w:r>
        <w:rPr>
          <w:rFonts w:hint="eastAsia" w:ascii="宋体" w:hAnsi="宋体" w:cs="宋体"/>
          <w:b/>
          <w:color w:val="auto"/>
          <w:sz w:val="24"/>
          <w:szCs w:val="24"/>
          <w:highlight w:val="none"/>
        </w:rPr>
        <w:t>格式</w:t>
      </w:r>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rPr>
        <w:t>：工程量清单计价表</w:t>
      </w:r>
      <w:bookmarkEnd w:id="79"/>
    </w:p>
    <w:p>
      <w:pPr>
        <w:pStyle w:val="55"/>
        <w:ind w:firstLine="498"/>
        <w:rPr>
          <w:rFonts w:ascii="宋体" w:hAnsi="宋体" w:cs="宋体"/>
          <w:b/>
          <w:color w:val="auto"/>
          <w:highlight w:val="none"/>
        </w:rPr>
      </w:pPr>
    </w:p>
    <w:p>
      <w:pPr>
        <w:pStyle w:val="72"/>
        <w:ind w:firstLine="617"/>
        <w:rPr>
          <w:rFonts w:ascii="宋体" w:hAnsi="宋体" w:eastAsia="宋体" w:cs="宋体"/>
          <w:color w:val="auto"/>
          <w:highlight w:val="none"/>
        </w:rPr>
      </w:pPr>
      <w:r>
        <w:rPr>
          <w:rFonts w:hint="eastAsia" w:ascii="宋体" w:hAnsi="宋体" w:eastAsia="宋体" w:cs="宋体"/>
          <w:color w:val="auto"/>
          <w:highlight w:val="none"/>
        </w:rPr>
        <w:t>工程量清单计价表</w:t>
      </w:r>
    </w:p>
    <w:p>
      <w:pPr>
        <w:pStyle w:val="55"/>
        <w:ind w:firstLine="498"/>
        <w:rPr>
          <w:rFonts w:ascii="宋体" w:hAnsi="宋体" w:cs="宋体"/>
          <w:b/>
          <w:color w:val="auto"/>
          <w:highlight w:val="none"/>
        </w:rPr>
      </w:pPr>
    </w:p>
    <w:p>
      <w:pPr>
        <w:tabs>
          <w:tab w:val="right" w:leader="dot" w:pos="9060"/>
        </w:tabs>
        <w:jc w:val="left"/>
        <w:rPr>
          <w:rFonts w:ascii="宋体" w:hAnsi="宋体" w:cs="宋体"/>
          <w:color w:val="auto"/>
          <w:highlight w:val="none"/>
        </w:rPr>
      </w:pPr>
      <w:r>
        <w:rPr>
          <w:rFonts w:hint="eastAsia" w:ascii="宋体" w:hAnsi="宋体" w:cs="宋体"/>
          <w:b/>
          <w:color w:val="auto"/>
          <w:highlight w:val="none"/>
        </w:rPr>
        <w:t>本部分内容详见招标文件第七章工程量清单。</w:t>
      </w:r>
      <w:r>
        <w:rPr>
          <w:rFonts w:hint="eastAsia" w:ascii="宋体" w:hAnsi="宋体" w:cs="宋体"/>
          <w:color w:val="auto"/>
          <w:highlight w:val="none"/>
        </w:rPr>
        <w:br w:type="page"/>
      </w:r>
    </w:p>
    <w:p>
      <w:pPr>
        <w:pStyle w:val="6"/>
        <w:spacing w:before="0" w:after="0" w:line="240" w:lineRule="auto"/>
        <w:ind w:left="0"/>
        <w:jc w:val="left"/>
        <w:rPr>
          <w:rFonts w:ascii="宋体" w:hAnsi="宋体" w:cs="宋体"/>
          <w:color w:val="auto"/>
          <w:highlight w:val="none"/>
        </w:rPr>
      </w:pPr>
      <w:bookmarkStart w:id="81" w:name="_Toc30490"/>
      <w:r>
        <w:rPr>
          <w:rFonts w:hint="eastAsia" w:ascii="宋体" w:hAnsi="宋体" w:cs="宋体"/>
          <w:color w:val="auto"/>
          <w:highlight w:val="none"/>
        </w:rPr>
        <w:t>格式</w:t>
      </w:r>
      <w:r>
        <w:rPr>
          <w:rFonts w:hint="eastAsia" w:ascii="宋体" w:hAnsi="宋体" w:cs="宋体"/>
          <w:color w:val="auto"/>
          <w:highlight w:val="none"/>
          <w:lang w:val="en-US" w:eastAsia="zh-CN"/>
        </w:rPr>
        <w:t>四</w:t>
      </w:r>
      <w:r>
        <w:rPr>
          <w:rFonts w:hint="eastAsia" w:ascii="宋体" w:hAnsi="宋体" w:cs="宋体"/>
          <w:color w:val="auto"/>
          <w:highlight w:val="none"/>
        </w:rPr>
        <w:t>：参与编制经济标投标文件编制人员名单</w:t>
      </w:r>
      <w:bookmarkEnd w:id="81"/>
    </w:p>
    <w:p>
      <w:pPr>
        <w:tabs>
          <w:tab w:val="left" w:pos="720"/>
        </w:tabs>
        <w:snapToGrid w:val="0"/>
        <w:spacing w:line="360" w:lineRule="auto"/>
        <w:rPr>
          <w:color w:val="auto"/>
          <w:sz w:val="24"/>
          <w:szCs w:val="24"/>
          <w:highlight w:val="none"/>
        </w:rPr>
      </w:pPr>
    </w:p>
    <w:p>
      <w:pPr>
        <w:tabs>
          <w:tab w:val="left" w:pos="720"/>
        </w:tabs>
        <w:snapToGrid w:val="0"/>
        <w:spacing w:line="360" w:lineRule="auto"/>
        <w:jc w:val="center"/>
        <w:rPr>
          <w:color w:val="auto"/>
          <w:szCs w:val="21"/>
          <w:highlight w:val="none"/>
        </w:rPr>
      </w:pPr>
      <w:r>
        <w:rPr>
          <w:rFonts w:hint="eastAsia"/>
          <w:color w:val="auto"/>
          <w:szCs w:val="21"/>
          <w:highlight w:val="none"/>
        </w:rPr>
        <w:t>参与编制经济标投标文件人员名单</w:t>
      </w:r>
    </w:p>
    <w:tbl>
      <w:tblPr>
        <w:tblStyle w:val="38"/>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olor w:val="auto"/>
                <w:szCs w:val="21"/>
                <w:highlight w:val="none"/>
              </w:rPr>
            </w:pPr>
          </w:p>
        </w:tc>
      </w:tr>
    </w:tbl>
    <w:p>
      <w:pPr>
        <w:tabs>
          <w:tab w:val="left" w:pos="720"/>
        </w:tabs>
        <w:snapToGrid w:val="0"/>
        <w:spacing w:line="360" w:lineRule="auto"/>
        <w:rPr>
          <w:color w:val="auto"/>
          <w:sz w:val="24"/>
          <w:szCs w:val="24"/>
          <w:highlight w:val="none"/>
        </w:rPr>
      </w:pPr>
    </w:p>
    <w:p>
      <w:pPr>
        <w:pStyle w:val="37"/>
        <w:spacing w:after="0" w:line="360" w:lineRule="auto"/>
        <w:ind w:left="-2" w:leftChars="-1" w:firstLine="367" w:firstLineChars="175"/>
        <w:jc w:val="left"/>
        <w:rPr>
          <w:color w:val="auto"/>
          <w:szCs w:val="21"/>
          <w:highlight w:val="none"/>
        </w:rPr>
      </w:pPr>
      <w:r>
        <w:rPr>
          <w:rFonts w:hint="eastAsia"/>
          <w:color w:val="auto"/>
          <w:szCs w:val="21"/>
          <w:highlight w:val="none"/>
        </w:rPr>
        <w:t>注：参与编制投标文件所有人员名单应包括如编制技术投标方案、编制各种专业工程量清单投标报价、负责清样校对、负责打印及复印等所有人员在内的人员名单。</w:t>
      </w:r>
    </w:p>
    <w:p>
      <w:pPr>
        <w:tabs>
          <w:tab w:val="right" w:leader="dot" w:pos="9060"/>
        </w:tabs>
        <w:jc w:val="left"/>
        <w:rPr>
          <w:rFonts w:ascii="宋体" w:hAnsi="宋体" w:cs="宋体"/>
          <w:color w:val="auto"/>
          <w:highlight w:val="none"/>
        </w:rPr>
      </w:pPr>
      <w:r>
        <w:rPr>
          <w:rFonts w:hint="eastAsia" w:ascii="宋体" w:hAnsi="宋体" w:cs="宋体"/>
          <w:color w:val="auto"/>
          <w:highlight w:val="none"/>
        </w:rPr>
        <w:br w:type="page"/>
      </w:r>
    </w:p>
    <w:p>
      <w:pPr>
        <w:pStyle w:val="6"/>
        <w:spacing w:before="0" w:after="0" w:line="240" w:lineRule="auto"/>
        <w:ind w:left="0"/>
        <w:jc w:val="left"/>
        <w:rPr>
          <w:rFonts w:ascii="宋体" w:hAnsi="宋体" w:cs="宋体"/>
          <w:color w:val="auto"/>
          <w:highlight w:val="none"/>
        </w:rPr>
      </w:pPr>
      <w:bookmarkStart w:id="82" w:name="_Toc14587"/>
      <w:r>
        <w:rPr>
          <w:rFonts w:hint="eastAsia" w:ascii="宋体" w:hAnsi="宋体" w:cs="宋体"/>
          <w:color w:val="auto"/>
          <w:highlight w:val="none"/>
        </w:rPr>
        <w:t>格式</w:t>
      </w:r>
      <w:r>
        <w:rPr>
          <w:rFonts w:hint="eastAsia" w:ascii="宋体" w:hAnsi="宋体" w:cs="宋体"/>
          <w:color w:val="auto"/>
          <w:highlight w:val="none"/>
          <w:lang w:val="en-US" w:eastAsia="zh-CN"/>
        </w:rPr>
        <w:t>五</w:t>
      </w:r>
      <w:r>
        <w:rPr>
          <w:rFonts w:hint="eastAsia" w:ascii="宋体" w:hAnsi="宋体" w:cs="宋体"/>
          <w:color w:val="auto"/>
          <w:highlight w:val="none"/>
        </w:rPr>
        <w:t>：对投标文件编制的承诺</w:t>
      </w:r>
      <w:bookmarkEnd w:id="75"/>
      <w:bookmarkEnd w:id="76"/>
      <w:bookmarkEnd w:id="82"/>
    </w:p>
    <w:p>
      <w:pPr>
        <w:pStyle w:val="37"/>
        <w:spacing w:after="0" w:line="360" w:lineRule="auto"/>
        <w:ind w:firstLine="0"/>
        <w:jc w:val="center"/>
        <w:rPr>
          <w:color w:val="auto"/>
          <w:sz w:val="32"/>
          <w:szCs w:val="32"/>
          <w:highlight w:val="none"/>
        </w:rPr>
      </w:pPr>
      <w:r>
        <w:rPr>
          <w:rFonts w:hint="eastAsia"/>
          <w:b/>
          <w:color w:val="auto"/>
          <w:sz w:val="32"/>
          <w:szCs w:val="32"/>
          <w:highlight w:val="none"/>
        </w:rPr>
        <w:t>对投标文件编制的承诺</w:t>
      </w:r>
    </w:p>
    <w:p>
      <w:pPr>
        <w:pStyle w:val="37"/>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本公司授权</w:t>
      </w:r>
      <w:r>
        <w:rPr>
          <w:rFonts w:hint="eastAsia" w:ascii="宋体" w:hAnsi="宋体"/>
          <w:color w:val="auto"/>
          <w:sz w:val="24"/>
          <w:szCs w:val="24"/>
          <w:highlight w:val="none"/>
          <w:u w:val="single"/>
        </w:rPr>
        <w:t xml:space="preserve">         （身份证号：               ）</w:t>
      </w:r>
      <w:r>
        <w:rPr>
          <w:rFonts w:hint="eastAsia" w:ascii="宋体" w:hAnsi="宋体"/>
          <w:color w:val="auto"/>
          <w:sz w:val="24"/>
          <w:szCs w:val="24"/>
          <w:highlight w:val="none"/>
        </w:rPr>
        <w:t>负责对投标文件的编制及内容进行解释、说明，并承诺以下事项：</w:t>
      </w:r>
    </w:p>
    <w:p>
      <w:pPr>
        <w:pStyle w:val="37"/>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1.被授权人清楚投标文件编制的具体情况，包括技术方案文件、工程量清单、以及投标文件的加密打包的理解；</w:t>
      </w:r>
    </w:p>
    <w:p>
      <w:pPr>
        <w:pStyle w:val="37"/>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2.在本项目开标至评标结束前，努力确保被授权人在项目评标所在地附近；</w:t>
      </w:r>
    </w:p>
    <w:p>
      <w:pPr>
        <w:pStyle w:val="37"/>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3.从评标委员会要求澄清起二小时内，被授权人应如实地书面澄清。</w:t>
      </w:r>
    </w:p>
    <w:p>
      <w:pPr>
        <w:pStyle w:val="37"/>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 xml:space="preserve">如由于未遵守上述承诺内容之一导致无法进行澄清的，我公司认可和接受评标委员会作出的评审结论。                                 </w:t>
      </w:r>
    </w:p>
    <w:p>
      <w:pPr>
        <w:pStyle w:val="37"/>
        <w:spacing w:after="0"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 xml:space="preserve"> </w:t>
      </w:r>
    </w:p>
    <w:p>
      <w:pPr>
        <w:pStyle w:val="37"/>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附件：《投标文件编制情况》</w:t>
      </w:r>
    </w:p>
    <w:p>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投标人名称（盖法人公章）：</w:t>
      </w:r>
      <w:r>
        <w:rPr>
          <w:rFonts w:hint="eastAsia" w:ascii="宋体" w:hAnsi="宋体"/>
          <w:color w:val="auto"/>
          <w:sz w:val="24"/>
          <w:szCs w:val="24"/>
          <w:highlight w:val="none"/>
          <w:u w:val="single"/>
        </w:rPr>
        <w:t xml:space="preserve">                  </w:t>
      </w:r>
    </w:p>
    <w:p>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r>
        <w:rPr>
          <w:rFonts w:hint="eastAsia" w:ascii="宋体" w:hAnsi="宋体"/>
          <w:color w:val="auto"/>
          <w:sz w:val="24"/>
          <w:szCs w:val="24"/>
          <w:highlight w:val="none"/>
          <w:u w:val="single"/>
        </w:rPr>
        <w:t xml:space="preserve">                  </w:t>
      </w:r>
    </w:p>
    <w:p>
      <w:pPr>
        <w:spacing w:line="360" w:lineRule="auto"/>
        <w:ind w:firstLine="4440" w:firstLineChars="1850"/>
        <w:jc w:val="center"/>
        <w:rPr>
          <w:color w:val="auto"/>
          <w:sz w:val="24"/>
          <w:szCs w:val="24"/>
          <w:highlight w:val="none"/>
        </w:rPr>
      </w:pPr>
      <w:r>
        <w:rPr>
          <w:rFonts w:hint="eastAsia"/>
          <w:color w:val="auto"/>
          <w:sz w:val="24"/>
          <w:szCs w:val="24"/>
          <w:highlight w:val="none"/>
        </w:rPr>
        <w:t xml:space="preserve"> 日期：      年   月   日 </w:t>
      </w:r>
      <w:r>
        <w:rPr>
          <w:rFonts w:hint="eastAsia"/>
          <w:color w:val="auto"/>
          <w:sz w:val="18"/>
          <w:szCs w:val="18"/>
          <w:highlight w:val="none"/>
        </w:rPr>
        <w:t xml:space="preserve"> </w:t>
      </w:r>
      <w:r>
        <w:rPr>
          <w:rFonts w:hint="eastAsia"/>
          <w:color w:val="auto"/>
          <w:sz w:val="24"/>
          <w:szCs w:val="24"/>
          <w:highlight w:val="none"/>
        </w:rPr>
        <w:t xml:space="preserve">    </w:t>
      </w:r>
    </w:p>
    <w:p>
      <w:pPr>
        <w:pStyle w:val="73"/>
        <w:rPr>
          <w:color w:val="auto"/>
          <w:highlight w:val="none"/>
        </w:rPr>
      </w:pPr>
    </w:p>
    <w:p>
      <w:pPr>
        <w:pStyle w:val="37"/>
        <w:spacing w:after="0" w:line="360" w:lineRule="auto"/>
        <w:ind w:firstLine="643" w:firstLineChars="200"/>
        <w:jc w:val="center"/>
        <w:rPr>
          <w:color w:val="auto"/>
          <w:sz w:val="18"/>
          <w:szCs w:val="18"/>
          <w:highlight w:val="none"/>
        </w:rPr>
      </w:pPr>
      <w:r>
        <w:rPr>
          <w:rFonts w:hint="eastAsia"/>
          <w:b/>
          <w:color w:val="auto"/>
          <w:sz w:val="32"/>
          <w:szCs w:val="32"/>
          <w:highlight w:val="none"/>
        </w:rPr>
        <w:t>投标文件编制情况</w:t>
      </w:r>
    </w:p>
    <w:p>
      <w:pPr>
        <w:pStyle w:val="37"/>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1.投标文件报价编制方式: □自行编制的，编制的负责人：</w:t>
      </w:r>
      <w:r>
        <w:rPr>
          <w:rFonts w:hint="eastAsia" w:ascii="宋体" w:hAnsi="宋体"/>
          <w:color w:val="auto"/>
          <w:sz w:val="24"/>
          <w:szCs w:val="24"/>
          <w:highlight w:val="none"/>
          <w:u w:val="single"/>
        </w:rPr>
        <w:t xml:space="preserve"> （盖造价工程师执业专用章或全国建设工程造价员章，执业单位应与投标人一致） </w:t>
      </w:r>
      <w:r>
        <w:rPr>
          <w:rFonts w:hint="eastAsia" w:ascii="宋体" w:hAnsi="宋体"/>
          <w:color w:val="auto"/>
          <w:sz w:val="24"/>
          <w:szCs w:val="24"/>
          <w:highlight w:val="none"/>
        </w:rPr>
        <w:t>。□委托编制的，受委托单位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，编制的负责人：</w:t>
      </w:r>
      <w:r>
        <w:rPr>
          <w:rFonts w:hint="eastAsia" w:ascii="宋体" w:hAnsi="宋体"/>
          <w:color w:val="auto"/>
          <w:sz w:val="24"/>
          <w:szCs w:val="24"/>
          <w:highlight w:val="none"/>
          <w:u w:val="single"/>
        </w:rPr>
        <w:t xml:space="preserve"> （盖造价工程师执业专用章或全国建设工程造价员章，执业单位应与受委托单位一致） </w:t>
      </w:r>
      <w:r>
        <w:rPr>
          <w:rFonts w:hint="eastAsia" w:ascii="宋体" w:hAnsi="宋体"/>
          <w:color w:val="auto"/>
          <w:sz w:val="24"/>
          <w:szCs w:val="24"/>
          <w:highlight w:val="none"/>
        </w:rPr>
        <w:t>。</w:t>
      </w:r>
    </w:p>
    <w:p>
      <w:pPr>
        <w:pStyle w:val="37"/>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2.投标文件加密打包的电脑情况</w:t>
      </w:r>
    </w:p>
    <w:tbl>
      <w:tblPr>
        <w:tblStyle w:val="38"/>
        <w:tblW w:w="8306" w:type="dxa"/>
        <w:tblInd w:w="108"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tcPr>
          <w:p>
            <w:pPr>
              <w:pStyle w:val="37"/>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pPr>
              <w:pStyle w:val="37"/>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电脑类型</w:t>
            </w:r>
          </w:p>
          <w:p>
            <w:pPr>
              <w:pStyle w:val="37"/>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电脑所属单位</w:t>
            </w:r>
          </w:p>
          <w:p>
            <w:pPr>
              <w:pStyle w:val="37"/>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tbl>
    <w:p>
      <w:pPr>
        <w:spacing w:line="360" w:lineRule="auto"/>
        <w:rPr>
          <w:rFonts w:ascii="宋体" w:hAnsi="宋体"/>
          <w:color w:val="auto"/>
          <w:sz w:val="24"/>
          <w:szCs w:val="24"/>
          <w:highlight w:val="none"/>
        </w:rPr>
      </w:pPr>
    </w:p>
    <w:p>
      <w:pPr>
        <w:pStyle w:val="73"/>
        <w:rPr>
          <w:rFonts w:ascii="宋体" w:hAnsi="宋体"/>
          <w:color w:val="auto"/>
          <w:sz w:val="24"/>
          <w:szCs w:val="24"/>
          <w:highlight w:val="none"/>
        </w:rPr>
      </w:pPr>
    </w:p>
    <w:p>
      <w:pPr>
        <w:tabs>
          <w:tab w:val="left" w:pos="720"/>
        </w:tabs>
        <w:snapToGrid w:val="0"/>
        <w:spacing w:line="360" w:lineRule="auto"/>
        <w:jc w:val="center"/>
        <w:outlineLvl w:val="0"/>
        <w:rPr>
          <w:rStyle w:val="101"/>
          <w:color w:val="auto"/>
          <w:highlight w:val="none"/>
        </w:rPr>
      </w:pPr>
      <w:bookmarkStart w:id="83" w:name="_Toc3463602"/>
      <w:r>
        <w:rPr>
          <w:rFonts w:hint="eastAsia"/>
          <w:color w:val="auto"/>
          <w:highlight w:val="none"/>
        </w:rPr>
        <w:br w:type="page"/>
      </w:r>
      <w:bookmarkEnd w:id="83"/>
      <w:bookmarkStart w:id="84" w:name="_Toc2539"/>
      <w:bookmarkStart w:id="85" w:name="_Toc27820"/>
      <w:r>
        <w:rPr>
          <w:rStyle w:val="101"/>
          <w:rFonts w:hint="eastAsia"/>
          <w:color w:val="auto"/>
          <w:highlight w:val="none"/>
        </w:rPr>
        <w:t>第五章</w:t>
      </w:r>
      <w:r>
        <w:rPr>
          <w:rStyle w:val="101"/>
          <w:color w:val="auto"/>
          <w:highlight w:val="none"/>
        </w:rPr>
        <w:t xml:space="preserve">  </w:t>
      </w:r>
      <w:r>
        <w:rPr>
          <w:rStyle w:val="101"/>
          <w:rFonts w:hint="eastAsia"/>
          <w:color w:val="auto"/>
          <w:highlight w:val="none"/>
        </w:rPr>
        <w:t>技术条件（工程建设标准）</w:t>
      </w:r>
      <w:bookmarkEnd w:id="84"/>
      <w:bookmarkEnd w:id="85"/>
    </w:p>
    <w:p>
      <w:pPr>
        <w:pStyle w:val="49"/>
        <w:rPr>
          <w:color w:val="auto"/>
          <w:highlight w:val="none"/>
        </w:rPr>
      </w:pPr>
    </w:p>
    <w:p>
      <w:pPr>
        <w:pStyle w:val="7"/>
        <w:spacing w:line="360" w:lineRule="auto"/>
        <w:rPr>
          <w:rFonts w:ascii="宋体" w:hAnsi="宋体" w:cs="宋体"/>
          <w:color w:val="auto"/>
          <w:sz w:val="24"/>
          <w:szCs w:val="22"/>
          <w:highlight w:val="none"/>
        </w:rPr>
      </w:pPr>
      <w:r>
        <w:rPr>
          <w:rFonts w:hint="eastAsia" w:ascii="宋体" w:hAnsi="宋体" w:cs="宋体"/>
          <w:color w:val="auto"/>
          <w:sz w:val="24"/>
          <w:szCs w:val="22"/>
          <w:highlight w:val="none"/>
        </w:rPr>
        <w:t>1、具体按施工图纸、中华人民共和国现行技术和验收规范、图纸中规定的其它技术和验收标准、遵照招标人相关规定要求为准。</w:t>
      </w:r>
    </w:p>
    <w:p>
      <w:pPr>
        <w:pStyle w:val="7"/>
        <w:spacing w:line="360" w:lineRule="auto"/>
        <w:rPr>
          <w:rFonts w:hint="eastAsia" w:ascii="宋体" w:hAnsi="宋体" w:cs="宋体"/>
          <w:color w:val="auto"/>
          <w:sz w:val="24"/>
          <w:szCs w:val="22"/>
          <w:highlight w:val="none"/>
        </w:rPr>
      </w:pPr>
      <w:r>
        <w:rPr>
          <w:rFonts w:hint="eastAsia" w:ascii="宋体" w:hAnsi="宋体" w:cs="宋体"/>
          <w:color w:val="auto"/>
          <w:sz w:val="24"/>
          <w:szCs w:val="22"/>
          <w:highlight w:val="none"/>
        </w:rPr>
        <w:t>2、依据设计文件的要求，本招标工程项目的材料、设备、施工须达到中华人民共和国以及省、市或行业的工程建设标准、规范的要求。</w:t>
      </w:r>
    </w:p>
    <w:p>
      <w:pPr>
        <w:rPr>
          <w:rStyle w:val="101"/>
          <w:rFonts w:hint="eastAsia"/>
          <w:color w:val="auto"/>
          <w:highlight w:val="none"/>
        </w:rPr>
      </w:pPr>
      <w:bookmarkStart w:id="86" w:name="_Toc15057"/>
      <w:bookmarkStart w:id="87" w:name="_Toc6085"/>
      <w:r>
        <w:rPr>
          <w:rStyle w:val="101"/>
          <w:rFonts w:hint="eastAsia"/>
          <w:color w:val="auto"/>
          <w:highlight w:val="none"/>
        </w:rPr>
        <w:br w:type="page"/>
      </w:r>
    </w:p>
    <w:p>
      <w:pPr>
        <w:tabs>
          <w:tab w:val="left" w:pos="720"/>
        </w:tabs>
        <w:snapToGrid w:val="0"/>
        <w:spacing w:line="360" w:lineRule="auto"/>
        <w:jc w:val="center"/>
        <w:outlineLvl w:val="0"/>
        <w:rPr>
          <w:rStyle w:val="101"/>
          <w:color w:val="auto"/>
          <w:highlight w:val="none"/>
        </w:rPr>
      </w:pPr>
      <w:r>
        <w:rPr>
          <w:rStyle w:val="101"/>
          <w:rFonts w:hint="eastAsia"/>
          <w:color w:val="auto"/>
          <w:highlight w:val="none"/>
        </w:rPr>
        <w:t>第六章  图纸及勘察资料</w:t>
      </w:r>
      <w:bookmarkEnd w:id="86"/>
      <w:bookmarkEnd w:id="87"/>
    </w:p>
    <w:p>
      <w:pPr>
        <w:jc w:val="center"/>
        <w:rPr>
          <w:rFonts w:ascii="宋体"/>
          <w:b/>
          <w:color w:val="auto"/>
          <w:sz w:val="24"/>
          <w:szCs w:val="24"/>
          <w:highlight w:val="none"/>
        </w:rPr>
      </w:pPr>
      <w:r>
        <w:rPr>
          <w:rFonts w:hint="eastAsia" w:ascii="宋体" w:hAnsi="宋体"/>
          <w:color w:val="auto"/>
          <w:sz w:val="24"/>
          <w:szCs w:val="24"/>
          <w:highlight w:val="none"/>
        </w:rPr>
        <w:t>（另册）</w:t>
      </w:r>
    </w:p>
    <w:p>
      <w:pPr>
        <w:pStyle w:val="5"/>
        <w:jc w:val="center"/>
        <w:rPr>
          <w:color w:val="auto"/>
          <w:highlight w:val="none"/>
        </w:rPr>
      </w:pPr>
      <w:r>
        <w:rPr>
          <w:rFonts w:hint="eastAsia"/>
          <w:color w:val="auto"/>
          <w:highlight w:val="none"/>
        </w:rPr>
        <w:br w:type="page"/>
      </w:r>
      <w:bookmarkStart w:id="88" w:name="_Toc18092"/>
      <w:bookmarkStart w:id="89" w:name="_Toc26764"/>
      <w:r>
        <w:rPr>
          <w:rFonts w:hint="eastAsia"/>
          <w:color w:val="auto"/>
          <w:highlight w:val="none"/>
        </w:rPr>
        <w:t>第七章</w:t>
      </w:r>
      <w:r>
        <w:rPr>
          <w:color w:val="auto"/>
          <w:highlight w:val="none"/>
        </w:rPr>
        <w:t xml:space="preserve">  </w:t>
      </w:r>
      <w:r>
        <w:rPr>
          <w:rFonts w:hint="eastAsia"/>
          <w:color w:val="auto"/>
          <w:highlight w:val="none"/>
        </w:rPr>
        <w:t>工程量清单</w:t>
      </w:r>
      <w:bookmarkEnd w:id="88"/>
      <w:bookmarkEnd w:id="89"/>
    </w:p>
    <w:p>
      <w:pPr>
        <w:jc w:val="center"/>
        <w:rPr>
          <w:rFonts w:ascii="宋体"/>
          <w:b/>
          <w:color w:val="auto"/>
          <w:sz w:val="24"/>
          <w:szCs w:val="24"/>
          <w:highlight w:val="none"/>
        </w:rPr>
      </w:pPr>
      <w:r>
        <w:rPr>
          <w:rFonts w:hint="eastAsia" w:ascii="宋体" w:hAnsi="宋体"/>
          <w:color w:val="auto"/>
          <w:sz w:val="24"/>
          <w:szCs w:val="24"/>
          <w:highlight w:val="none"/>
        </w:rPr>
        <w:t>（另册）</w:t>
      </w:r>
    </w:p>
    <w:p>
      <w:pPr>
        <w:rPr>
          <w:rFonts w:ascii="宋体"/>
          <w:b/>
          <w:color w:val="auto"/>
          <w:sz w:val="24"/>
          <w:szCs w:val="24"/>
          <w:highlight w:val="none"/>
        </w:rPr>
      </w:pPr>
    </w:p>
    <w:p>
      <w:pPr>
        <w:pStyle w:val="37"/>
        <w:spacing w:after="0" w:line="360" w:lineRule="auto"/>
        <w:ind w:left="-2" w:leftChars="-1" w:firstLine="960" w:firstLineChars="400"/>
        <w:rPr>
          <w:rFonts w:ascii="宋体"/>
          <w:color w:val="auto"/>
          <w:sz w:val="24"/>
          <w:highlight w:val="none"/>
        </w:rPr>
      </w:pPr>
    </w:p>
    <w:p>
      <w:pPr>
        <w:pStyle w:val="5"/>
        <w:jc w:val="center"/>
        <w:rPr>
          <w:rFonts w:ascii="宋体"/>
          <w:color w:val="auto"/>
          <w:highlight w:val="none"/>
        </w:rPr>
      </w:pPr>
      <w:r>
        <w:rPr>
          <w:rFonts w:hint="eastAsia"/>
          <w:color w:val="auto"/>
          <w:highlight w:val="none"/>
        </w:rPr>
        <w:br w:type="page"/>
      </w:r>
      <w:bookmarkStart w:id="90" w:name="_Toc27240"/>
      <w:bookmarkStart w:id="91" w:name="_Toc369"/>
      <w:r>
        <w:rPr>
          <w:rFonts w:hint="eastAsia"/>
          <w:color w:val="auto"/>
          <w:highlight w:val="none"/>
        </w:rPr>
        <w:t>第八章</w:t>
      </w:r>
      <w:r>
        <w:rPr>
          <w:color w:val="auto"/>
          <w:highlight w:val="none"/>
        </w:rPr>
        <w:t xml:space="preserve">  </w:t>
      </w:r>
      <w:r>
        <w:rPr>
          <w:rFonts w:hint="eastAsia"/>
          <w:color w:val="auto"/>
          <w:highlight w:val="none"/>
        </w:rPr>
        <w:t>最高投标限价</w:t>
      </w:r>
      <w:bookmarkEnd w:id="90"/>
      <w:bookmarkEnd w:id="91"/>
    </w:p>
    <w:p>
      <w:pPr>
        <w:spacing w:line="360" w:lineRule="auto"/>
        <w:jc w:val="center"/>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另册</w:t>
      </w:r>
      <w:r>
        <w:rPr>
          <w:rFonts w:hint="eastAsia" w:ascii="宋体" w:hAnsi="宋体"/>
          <w:color w:val="auto"/>
          <w:sz w:val="24"/>
          <w:szCs w:val="24"/>
          <w:highlight w:val="none"/>
          <w:u w:val="single"/>
          <w:lang w:eastAsia="zh-CN"/>
        </w:rPr>
        <w:t>）</w:t>
      </w:r>
    </w:p>
    <w:p>
      <w:pPr>
        <w:rPr>
          <w:color w:val="auto"/>
          <w:highlight w:val="none"/>
        </w:rPr>
      </w:pPr>
    </w:p>
    <w:p>
      <w:pPr>
        <w:adjustRightInd w:val="0"/>
        <w:snapToGrid w:val="0"/>
        <w:spacing w:line="400" w:lineRule="exact"/>
        <w:rPr>
          <w:color w:val="auto"/>
          <w:highlight w:val="none"/>
        </w:rPr>
      </w:pPr>
    </w:p>
    <w:sectPr>
      <w:footerReference r:id="rId2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jc w:val="right"/>
      <w:rPr>
        <w:rStyle w:val="43"/>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outside" w:y="1"/>
      <w:rPr>
        <w:rStyle w:val="43"/>
      </w:rPr>
    </w:pPr>
    <w:r>
      <w:fldChar w:fldCharType="begin"/>
    </w:r>
    <w:r>
      <w:rPr>
        <w:rStyle w:val="43"/>
      </w:rPr>
      <w:instrText xml:space="preserve">PAGE  </w:instrText>
    </w:r>
    <w:r>
      <w:fldChar w:fldCharType="separate"/>
    </w:r>
    <w:r>
      <w:rPr>
        <w:rStyle w:val="43"/>
        <w:rFonts w:hint="eastAsia"/>
      </w:rPr>
      <w:t>一</w:t>
    </w:r>
    <w:r>
      <w:rPr>
        <w:rStyle w:val="43"/>
      </w:rPr>
      <w:t>–2</w:t>
    </w:r>
    <w:r>
      <w:fldChar w:fldCharType="end"/>
    </w:r>
  </w:p>
  <w:p>
    <w:pPr>
      <w:pStyle w:val="26"/>
      <w:ind w:right="360" w:firstLine="360"/>
      <w:jc w:val="center"/>
    </w:pPr>
    <w:r>
      <w:rPr>
        <w:kern w:val="0"/>
        <w:sz w:val="20"/>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jc w:val="center"/>
                          </w:pPr>
                          <w:r>
                            <w:fldChar w:fldCharType="begin"/>
                          </w:r>
                          <w:r>
                            <w:rPr>
                              <w:rStyle w:val="43"/>
                            </w:rPr>
                            <w:instrText xml:space="preserve"> PAGE </w:instrText>
                          </w:r>
                          <w:r>
                            <w:fldChar w:fldCharType="separate"/>
                          </w:r>
                          <w:r>
                            <w:rPr>
                              <w:rStyle w:val="43"/>
                            </w:rPr>
                            <w:t>48</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5YvI8MBAACPAwAADgAAAGRycy9lMm9Eb2MueG1srVPNjtMwEL4j8Q6W&#10;79TZakF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69f4+Adtzjy84/v55+/z7++&#10;kessUB+gxrz7gJlpeOsHXJvZD+jMvAcVbf4iI4JxlPd0kVcOiYj8aLVcrSoMCYzNF8RnD89DhPRO&#10;ekuy0dCI8yuy8uMHSGPqnJKrOX+njSkzNO4fB2JmD8u9jz1mKw27YSK08+0J+fQ4+oY63HRKzHuH&#10;yuYtmY04G7vJyDUg3B4SFi79ZNQRaiqGcyqMpp3Ki/D3vWQ9/Ee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Lli8jwwEAAI8DAAAOAAAAAAAAAAEAIAAAAB4BAABkcnMvZTJvRG9jLnhtbFBL&#10;BQYAAAAABgAGAFkBAABTBQAAAAA=&#10;">
              <v:fill on="f" focussize="0,0"/>
              <v:stroke on="f"/>
              <v:imagedata o:title=""/>
              <o:lock v:ext="edit" aspectratio="f"/>
              <v:textbox inset="0mm,0mm,0mm,0mm" style="mso-fit-shape-to-text:t;">
                <w:txbxContent>
                  <w:p>
                    <w:pPr>
                      <w:pStyle w:val="26"/>
                      <w:jc w:val="center"/>
                    </w:pPr>
                    <w:r>
                      <w:fldChar w:fldCharType="begin"/>
                    </w:r>
                    <w:r>
                      <w:rPr>
                        <w:rStyle w:val="43"/>
                      </w:rPr>
                      <w:instrText xml:space="preserve"> PAGE </w:instrText>
                    </w:r>
                    <w:r>
                      <w:fldChar w:fldCharType="separate"/>
                    </w:r>
                    <w:r>
                      <w:rPr>
                        <w:rStyle w:val="43"/>
                      </w:rPr>
                      <w:t>48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jc w:val="center"/>
                          </w:pPr>
                          <w:r>
                            <w:fldChar w:fldCharType="begin"/>
                          </w:r>
                          <w:r>
                            <w:instrText xml:space="preserve"> PAGE   \* MERGEFORMAT </w:instrText>
                          </w:r>
                          <w:r>
                            <w:fldChar w:fldCharType="separate"/>
                          </w:r>
                          <w:r>
                            <w:rPr>
                              <w:lang w:val="zh-CN"/>
                            </w:rPr>
                            <w:t>76</w:t>
                          </w:r>
                          <w:r>
                            <w:rPr>
                              <w:lang w:val="zh-CN"/>
                            </w:rP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0vHkRwwEAAI8DAAAOAAAAAAAAAAEAIAAAAB4BAABkcnMvZTJvRG9jLnhtbFBL&#10;BQYAAAAABgAGAFkBAABTBQAAAAA=&#10;">
              <v:fill on="f" focussize="0,0"/>
              <v:stroke on="f"/>
              <v:imagedata o:title=""/>
              <o:lock v:ext="edit" aspectratio="f"/>
              <v:textbox inset="0mm,0mm,0mm,0mm" style="mso-fit-shape-to-text:t;">
                <w:txbxContent>
                  <w:p>
                    <w:pPr>
                      <w:pStyle w:val="26"/>
                      <w:jc w:val="center"/>
                    </w:pPr>
                    <w:r>
                      <w:fldChar w:fldCharType="begin"/>
                    </w:r>
                    <w:r>
                      <w:instrText xml:space="preserve"> PAGE   \* MERGEFORMAT </w:instrText>
                    </w:r>
                    <w:r>
                      <w:fldChar w:fldCharType="separate"/>
                    </w:r>
                    <w:r>
                      <w:rPr>
                        <w:lang w:val="zh-CN"/>
                      </w:rPr>
                      <w:t>76</w:t>
                    </w:r>
                    <w:r>
                      <w:rPr>
                        <w:lang w:val="zh-CN"/>
                      </w:rPr>
                      <w:fldChar w:fldCharType="end"/>
                    </w:r>
                  </w:p>
                </w:txbxContent>
              </v:textbox>
            </v:shape>
          </w:pict>
        </mc:Fallback>
      </mc:AlternateConten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rPr>
        <w:rStyle w:val="43"/>
      </w:rPr>
    </w:pPr>
    <w:r>
      <w:fldChar w:fldCharType="begin"/>
    </w:r>
    <w:r>
      <w:rPr>
        <w:rStyle w:val="43"/>
      </w:rPr>
      <w:instrText xml:space="preserve">PAGE  </w:instrText>
    </w:r>
    <w:r>
      <w:fldChar w:fldCharType="separate"/>
    </w:r>
    <w:r>
      <w:rPr>
        <w:rStyle w:val="43"/>
        <w:rFonts w:hint="eastAsia"/>
      </w:rPr>
      <w:t>一</w:t>
    </w:r>
    <w:r>
      <w:rPr>
        <w:rStyle w:val="43"/>
      </w:rPr>
      <w:t>–2</w:t>
    </w:r>
    <w:r>
      <w:fldChar w:fldCharType="end"/>
    </w:r>
  </w:p>
  <w:p>
    <w:pPr>
      <w:pStyle w:val="26"/>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024829"/>
                          </w:sdtPr>
                          <w:sdtContent>
                            <w:p>
                              <w:pPr>
                                <w:pStyle w:val="26"/>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24024829"/>
                    </w:sdtPr>
                    <w:sdtContent>
                      <w:p>
                        <w:pPr>
                          <w:pStyle w:val="26"/>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2"/>
                    </w:pPr>
                  </w:p>
                </w:txbxContent>
              </v:textbox>
            </v:shape>
          </w:pict>
        </mc:Fallback>
      </mc:AlternateContent>
    </w:r>
  </w:p>
  <w:p>
    <w:pPr>
      <w:pStyle w:val="26"/>
      <w:rPr>
        <w:rStyle w:val="43"/>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rPr>
        <w:rStyle w:val="43"/>
      </w:rPr>
    </w:pPr>
    <w:r>
      <w:rPr>
        <w:rStyle w:val="43"/>
      </w:rPr>
      <w:fldChar w:fldCharType="begin"/>
    </w:r>
    <w:r>
      <w:rPr>
        <w:rStyle w:val="43"/>
      </w:rPr>
      <w:instrText xml:space="preserve">PAGE  </w:instrText>
    </w:r>
    <w:r>
      <w:rPr>
        <w:rStyle w:val="43"/>
      </w:rPr>
      <w:fldChar w:fldCharType="separate"/>
    </w:r>
    <w:r>
      <w:rPr>
        <w:rStyle w:val="43"/>
        <w:rFonts w:hint="eastAsia"/>
      </w:rPr>
      <w:t>一</w:t>
    </w:r>
    <w:r>
      <w:rPr>
        <w:rStyle w:val="43"/>
      </w:rPr>
      <w:t>–2</w:t>
    </w:r>
    <w:r>
      <w:rPr>
        <w:rStyle w:val="43"/>
      </w:rPr>
      <w:fldChar w:fldCharType="end"/>
    </w:r>
  </w:p>
  <w:p>
    <w:pPr>
      <w:pStyle w:val="26"/>
      <w:ind w:firstLine="392"/>
    </w:pPr>
    <w:r>
      <w:rPr>
        <w:kern w:val="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mc:Fallback>
      </mc:AlternateContent>
    </w:r>
    <w:sdt>
      <w:sdtPr>
        <w:id w:val="24024830"/>
      </w:sdtPr>
      <w:sdtContent>
        <w:r>
          <w:rPr>
            <w:rFonts w:hint="eastAsia"/>
          </w:rPr>
          <w:t>1</w:t>
        </w:r>
      </w:sdtContent>
    </w:sdt>
  </w:p>
  <w:p>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jc w:val="right"/>
      <w:rPr>
        <w:rStyle w:val="43"/>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ind w:firstLine="392"/>
                            <w:jc w:val="right"/>
                          </w:pPr>
                          <w:r>
                            <w:fldChar w:fldCharType="begin"/>
                          </w:r>
                          <w:r>
                            <w:rPr>
                              <w:rStyle w:val="43"/>
                            </w:rPr>
                            <w:instrText xml:space="preserve">PAGE  </w:instrText>
                          </w:r>
                          <w:r>
                            <w:fldChar w:fldCharType="separate"/>
                          </w:r>
                          <w:r>
                            <w:rPr>
                              <w:rStyle w:val="43"/>
                            </w:rPr>
                            <w:t>47</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NMugG8QBAACPAwAADgAAAAAAAAABACAAAAAeAQAAZHJzL2Uyb0RvYy54bWxQ&#10;SwUGAAAAAAYABgBZAQAAVAUAAAAA&#10;">
              <v:fill on="f" focussize="0,0"/>
              <v:stroke on="f"/>
              <v:imagedata o:title=""/>
              <o:lock v:ext="edit" aspectratio="f"/>
              <v:textbox inset="0mm,0mm,0mm,0mm" style="mso-fit-shape-to-text:t;">
                <w:txbxContent>
                  <w:p>
                    <w:pPr>
                      <w:pStyle w:val="26"/>
                      <w:ind w:firstLine="392"/>
                      <w:jc w:val="right"/>
                    </w:pPr>
                    <w:r>
                      <w:fldChar w:fldCharType="begin"/>
                    </w:r>
                    <w:r>
                      <w:rPr>
                        <w:rStyle w:val="43"/>
                      </w:rPr>
                      <w:instrText xml:space="preserve">PAGE  </w:instrText>
                    </w:r>
                    <w:r>
                      <w:fldChar w:fldCharType="separate"/>
                    </w:r>
                    <w:r>
                      <w:rPr>
                        <w:rStyle w:val="43"/>
                      </w:rPr>
                      <w:t>47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0"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ind w:firstLine="392"/>
                          </w:pPr>
                          <w:r>
                            <w:fldChar w:fldCharType="begin"/>
                          </w:r>
                          <w:r>
                            <w:rPr>
                              <w:rStyle w:val="43"/>
                            </w:rPr>
                            <w:instrText xml:space="preserve"> PAGE </w:instrText>
                          </w:r>
                          <w:r>
                            <w:fldChar w:fldCharType="separate"/>
                          </w:r>
                          <w:r>
                            <w:rPr>
                              <w:rStyle w:val="43"/>
                            </w:rPr>
                            <w:t>46</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H4jmSwwEAAI8DAAAOAAAAAAAAAAEAIAAAAB4BAABkcnMvZTJvRG9jLnhtbFBL&#10;BQYAAAAABgAGAFkBAABTBQAAAAA=&#10;">
              <v:fill on="f" focussize="0,0"/>
              <v:stroke on="f"/>
              <v:imagedata o:title=""/>
              <o:lock v:ext="edit" aspectratio="f"/>
              <v:textbox inset="0mm,0mm,0mm,0mm" style="mso-fit-shape-to-text:t;">
                <w:txbxContent>
                  <w:p>
                    <w:pPr>
                      <w:pStyle w:val="26"/>
                      <w:ind w:firstLine="392"/>
                    </w:pPr>
                    <w:r>
                      <w:fldChar w:fldCharType="begin"/>
                    </w:r>
                    <w:r>
                      <w:rPr>
                        <w:rStyle w:val="43"/>
                      </w:rPr>
                      <w:instrText xml:space="preserve"> PAGE </w:instrText>
                    </w:r>
                    <w:r>
                      <w:fldChar w:fldCharType="separate"/>
                    </w:r>
                    <w:r>
                      <w:rPr>
                        <w:rStyle w:val="43"/>
                      </w:rPr>
                      <w:t>46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jc w:val="center"/>
                            <w:rPr>
                              <w:rStyle w:val="43"/>
                            </w:rPr>
                          </w:pPr>
                          <w:r>
                            <w:fldChar w:fldCharType="begin"/>
                          </w:r>
                          <w:r>
                            <w:rPr>
                              <w:rStyle w:val="43"/>
                            </w:rPr>
                            <w:instrText xml:space="preserve">PAGE  </w:instrText>
                          </w:r>
                          <w:r>
                            <w:fldChar w:fldCharType="separate"/>
                          </w:r>
                          <w:r>
                            <w:rPr>
                              <w:rStyle w:val="43"/>
                            </w:rPr>
                            <w:t>53</w:t>
                          </w:r>
                          <w:r>
                            <w:fldChar w:fldCharType="end"/>
                          </w:r>
                        </w:p>
                        <w:p>
                          <w:pPr>
                            <w:pStyle w:val="26"/>
                            <w:ind w:left="-4410" w:leftChars="-2100" w:right="-4439" w:rightChars="-2114"/>
                            <w:rPr>
                              <w:rStyle w:val="43"/>
                            </w:rPr>
                          </w:pPr>
                        </w:p>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xqnMgsQBAACPAwAADgAAAAAAAAABACAAAAAeAQAAZHJzL2Uyb0RvYy54bWxQ&#10;SwUGAAAAAAYABgBZAQAAVAUAAAAA&#10;">
              <v:fill on="f" focussize="0,0"/>
              <v:stroke on="f"/>
              <v:imagedata o:title=""/>
              <o:lock v:ext="edit" aspectratio="f"/>
              <v:textbox inset="0mm,0mm,0mm,0mm" style="mso-fit-shape-to-text:t;">
                <w:txbxContent>
                  <w:p>
                    <w:pPr>
                      <w:pStyle w:val="26"/>
                      <w:jc w:val="center"/>
                      <w:rPr>
                        <w:rStyle w:val="43"/>
                      </w:rPr>
                    </w:pPr>
                    <w:r>
                      <w:fldChar w:fldCharType="begin"/>
                    </w:r>
                    <w:r>
                      <w:rPr>
                        <w:rStyle w:val="43"/>
                      </w:rPr>
                      <w:instrText xml:space="preserve">PAGE  </w:instrText>
                    </w:r>
                    <w:r>
                      <w:fldChar w:fldCharType="separate"/>
                    </w:r>
                    <w:r>
                      <w:rPr>
                        <w:rStyle w:val="43"/>
                      </w:rPr>
                      <w:t>53</w:t>
                    </w:r>
                    <w:r>
                      <w:fldChar w:fldCharType="end"/>
                    </w:r>
                  </w:p>
                  <w:p>
                    <w:pPr>
                      <w:pStyle w:val="26"/>
                      <w:ind w:left="-4410" w:leftChars="-2100" w:right="-4439" w:rightChars="-2114"/>
                      <w:rPr>
                        <w:rStyle w:val="43"/>
                      </w:rPr>
                    </w:pP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ind w:firstLine="39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2"/>
    </w:pPr>
    <w:r>
      <w:rPr>
        <w:rFonts w:hint="eastAsia"/>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rPr>
        <w:i/>
        <w:iCs/>
      </w:rPr>
    </w:pPr>
    <w:r>
      <w:rPr>
        <w:rFonts w:hint="eastAsia"/>
        <w:i/>
        <w:iCs/>
      </w:rPr>
      <w:t>横枝岗路道路排水改造工程招标文件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pStyle w:val="76"/>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1">
    <w:nsid w:val="5FFD4FAB"/>
    <w:multiLevelType w:val="singleLevel"/>
    <w:tmpl w:val="5FFD4FAB"/>
    <w:lvl w:ilvl="0" w:tentative="0">
      <w:start w:val="1"/>
      <w:numFmt w:val="decimal"/>
      <w:suff w:val="nothing"/>
      <w:lvlText w:val="%1、"/>
      <w:lvlJc w:val="left"/>
    </w:lvl>
  </w:abstractNum>
  <w:abstractNum w:abstractNumId="2">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lODE4OTM0NDNkZGZmNjczZjI0Y2UxN2FhZWM5NGEifQ=="/>
  </w:docVars>
  <w:rsids>
    <w:rsidRoot w:val="00172A27"/>
    <w:rsid w:val="00022036"/>
    <w:rsid w:val="001141C8"/>
    <w:rsid w:val="001526F2"/>
    <w:rsid w:val="00172A27"/>
    <w:rsid w:val="001D6DE9"/>
    <w:rsid w:val="002A043C"/>
    <w:rsid w:val="00415BF0"/>
    <w:rsid w:val="005A6BA3"/>
    <w:rsid w:val="005E757E"/>
    <w:rsid w:val="00666498"/>
    <w:rsid w:val="0068043D"/>
    <w:rsid w:val="00690604"/>
    <w:rsid w:val="006B6B0D"/>
    <w:rsid w:val="00726F3F"/>
    <w:rsid w:val="00761B8F"/>
    <w:rsid w:val="00782F49"/>
    <w:rsid w:val="007B41BE"/>
    <w:rsid w:val="007C33A0"/>
    <w:rsid w:val="007E7DFB"/>
    <w:rsid w:val="007F2D5C"/>
    <w:rsid w:val="008E139D"/>
    <w:rsid w:val="008F3A74"/>
    <w:rsid w:val="009A7D17"/>
    <w:rsid w:val="00A84835"/>
    <w:rsid w:val="00AA75B5"/>
    <w:rsid w:val="00B50791"/>
    <w:rsid w:val="00B50880"/>
    <w:rsid w:val="00B80659"/>
    <w:rsid w:val="00BC063D"/>
    <w:rsid w:val="00C408D3"/>
    <w:rsid w:val="00CD2902"/>
    <w:rsid w:val="00D50292"/>
    <w:rsid w:val="00D83C80"/>
    <w:rsid w:val="00E00A3D"/>
    <w:rsid w:val="00F934ED"/>
    <w:rsid w:val="011A5927"/>
    <w:rsid w:val="017737CC"/>
    <w:rsid w:val="018A1867"/>
    <w:rsid w:val="020A481E"/>
    <w:rsid w:val="026F16E9"/>
    <w:rsid w:val="027E7342"/>
    <w:rsid w:val="02896C7C"/>
    <w:rsid w:val="028D53ED"/>
    <w:rsid w:val="02CA41C9"/>
    <w:rsid w:val="02D55F70"/>
    <w:rsid w:val="02D63872"/>
    <w:rsid w:val="034857C7"/>
    <w:rsid w:val="037B151E"/>
    <w:rsid w:val="03856BCF"/>
    <w:rsid w:val="03E62F58"/>
    <w:rsid w:val="047B1CED"/>
    <w:rsid w:val="04ED6E69"/>
    <w:rsid w:val="051C3540"/>
    <w:rsid w:val="053F0678"/>
    <w:rsid w:val="05586721"/>
    <w:rsid w:val="0564312A"/>
    <w:rsid w:val="05AD29E4"/>
    <w:rsid w:val="05BF2A28"/>
    <w:rsid w:val="05C97601"/>
    <w:rsid w:val="05E036F4"/>
    <w:rsid w:val="06027E91"/>
    <w:rsid w:val="064C4D02"/>
    <w:rsid w:val="06506DF8"/>
    <w:rsid w:val="06540D99"/>
    <w:rsid w:val="065956BD"/>
    <w:rsid w:val="06615B48"/>
    <w:rsid w:val="06860170"/>
    <w:rsid w:val="06AA0251"/>
    <w:rsid w:val="06B93CFC"/>
    <w:rsid w:val="06D532A5"/>
    <w:rsid w:val="06E120BD"/>
    <w:rsid w:val="07A52958"/>
    <w:rsid w:val="087939A9"/>
    <w:rsid w:val="08C76EB9"/>
    <w:rsid w:val="093F79E9"/>
    <w:rsid w:val="094B12F4"/>
    <w:rsid w:val="09675528"/>
    <w:rsid w:val="09680543"/>
    <w:rsid w:val="09826C77"/>
    <w:rsid w:val="09A22DA8"/>
    <w:rsid w:val="09AB19F8"/>
    <w:rsid w:val="09AD1A37"/>
    <w:rsid w:val="0A457394"/>
    <w:rsid w:val="0A6131A6"/>
    <w:rsid w:val="0A8B402E"/>
    <w:rsid w:val="0B70426A"/>
    <w:rsid w:val="0BD05811"/>
    <w:rsid w:val="0BDE56BA"/>
    <w:rsid w:val="0C231B92"/>
    <w:rsid w:val="0C2352EC"/>
    <w:rsid w:val="0C9211C2"/>
    <w:rsid w:val="0C961C11"/>
    <w:rsid w:val="0C98323A"/>
    <w:rsid w:val="0CA110FA"/>
    <w:rsid w:val="0CA47519"/>
    <w:rsid w:val="0CD470E5"/>
    <w:rsid w:val="0CEF12B6"/>
    <w:rsid w:val="0D2C5AC8"/>
    <w:rsid w:val="0D7E079D"/>
    <w:rsid w:val="0D9E7C23"/>
    <w:rsid w:val="0DC10EC6"/>
    <w:rsid w:val="0E785332"/>
    <w:rsid w:val="0EE74E5F"/>
    <w:rsid w:val="0F260533"/>
    <w:rsid w:val="0F391D1E"/>
    <w:rsid w:val="0FCA1627"/>
    <w:rsid w:val="1036377D"/>
    <w:rsid w:val="105E1543"/>
    <w:rsid w:val="107278B0"/>
    <w:rsid w:val="10802265"/>
    <w:rsid w:val="10C93DED"/>
    <w:rsid w:val="10DB28A7"/>
    <w:rsid w:val="116F64C1"/>
    <w:rsid w:val="118A2047"/>
    <w:rsid w:val="11B72816"/>
    <w:rsid w:val="11CF49BB"/>
    <w:rsid w:val="12171460"/>
    <w:rsid w:val="12480F59"/>
    <w:rsid w:val="124B24A6"/>
    <w:rsid w:val="129A79EB"/>
    <w:rsid w:val="12B85942"/>
    <w:rsid w:val="13045A22"/>
    <w:rsid w:val="131D6689"/>
    <w:rsid w:val="137D1D59"/>
    <w:rsid w:val="138C3411"/>
    <w:rsid w:val="13C7154F"/>
    <w:rsid w:val="1407543B"/>
    <w:rsid w:val="147757B0"/>
    <w:rsid w:val="14863FB7"/>
    <w:rsid w:val="15157CDC"/>
    <w:rsid w:val="15403EA5"/>
    <w:rsid w:val="1559233C"/>
    <w:rsid w:val="158540DD"/>
    <w:rsid w:val="15A86181"/>
    <w:rsid w:val="15D471AB"/>
    <w:rsid w:val="1633769F"/>
    <w:rsid w:val="165E4770"/>
    <w:rsid w:val="166D0619"/>
    <w:rsid w:val="16EB2A31"/>
    <w:rsid w:val="16EF1304"/>
    <w:rsid w:val="16FD3BA6"/>
    <w:rsid w:val="172872D5"/>
    <w:rsid w:val="17656F96"/>
    <w:rsid w:val="17D336D0"/>
    <w:rsid w:val="181E3AE5"/>
    <w:rsid w:val="1827036A"/>
    <w:rsid w:val="18504329"/>
    <w:rsid w:val="185449B0"/>
    <w:rsid w:val="18573E08"/>
    <w:rsid w:val="189638DB"/>
    <w:rsid w:val="18A8403A"/>
    <w:rsid w:val="18B711DB"/>
    <w:rsid w:val="18DF12C2"/>
    <w:rsid w:val="18E447AB"/>
    <w:rsid w:val="18F974DB"/>
    <w:rsid w:val="191F3026"/>
    <w:rsid w:val="195E654B"/>
    <w:rsid w:val="19772978"/>
    <w:rsid w:val="19DB14B6"/>
    <w:rsid w:val="19E82350"/>
    <w:rsid w:val="19FB6A61"/>
    <w:rsid w:val="1A395708"/>
    <w:rsid w:val="1A5E56B6"/>
    <w:rsid w:val="1A636B61"/>
    <w:rsid w:val="1A8E1FEB"/>
    <w:rsid w:val="1A9148BB"/>
    <w:rsid w:val="1AA86769"/>
    <w:rsid w:val="1AC06EAF"/>
    <w:rsid w:val="1AD65237"/>
    <w:rsid w:val="1AD6646C"/>
    <w:rsid w:val="1AFE3D2E"/>
    <w:rsid w:val="1B4D5EE5"/>
    <w:rsid w:val="1B750A9E"/>
    <w:rsid w:val="1B877B32"/>
    <w:rsid w:val="1B8A7657"/>
    <w:rsid w:val="1C1D2D61"/>
    <w:rsid w:val="1C3B4EB4"/>
    <w:rsid w:val="1C651FAD"/>
    <w:rsid w:val="1C705AD5"/>
    <w:rsid w:val="1C760286"/>
    <w:rsid w:val="1C8220D9"/>
    <w:rsid w:val="1C962EC1"/>
    <w:rsid w:val="1C9F5E25"/>
    <w:rsid w:val="1CC22CE1"/>
    <w:rsid w:val="1CD40CF0"/>
    <w:rsid w:val="1CF67201"/>
    <w:rsid w:val="1D337B2D"/>
    <w:rsid w:val="1D8D3EAB"/>
    <w:rsid w:val="1D9301A0"/>
    <w:rsid w:val="1DC93563"/>
    <w:rsid w:val="1DDF34E1"/>
    <w:rsid w:val="1E8B4A4A"/>
    <w:rsid w:val="1ECD0795"/>
    <w:rsid w:val="1EEE1380"/>
    <w:rsid w:val="1F143BE2"/>
    <w:rsid w:val="1F1C14E2"/>
    <w:rsid w:val="1F21671B"/>
    <w:rsid w:val="1F4B32AB"/>
    <w:rsid w:val="1FB311B0"/>
    <w:rsid w:val="20A041EA"/>
    <w:rsid w:val="20E612A9"/>
    <w:rsid w:val="212A7E0A"/>
    <w:rsid w:val="213B5E42"/>
    <w:rsid w:val="21781E3E"/>
    <w:rsid w:val="21A60FF2"/>
    <w:rsid w:val="21AF0F55"/>
    <w:rsid w:val="220E63E7"/>
    <w:rsid w:val="22555E56"/>
    <w:rsid w:val="228B3A0E"/>
    <w:rsid w:val="22A730ED"/>
    <w:rsid w:val="22B159DA"/>
    <w:rsid w:val="22B63C63"/>
    <w:rsid w:val="22B71FC6"/>
    <w:rsid w:val="22F37B0E"/>
    <w:rsid w:val="2354632A"/>
    <w:rsid w:val="237E2163"/>
    <w:rsid w:val="239813F6"/>
    <w:rsid w:val="23F1401F"/>
    <w:rsid w:val="242C729C"/>
    <w:rsid w:val="24500FEE"/>
    <w:rsid w:val="247054BC"/>
    <w:rsid w:val="24854EE4"/>
    <w:rsid w:val="24B050BF"/>
    <w:rsid w:val="24FD15A8"/>
    <w:rsid w:val="25695685"/>
    <w:rsid w:val="25774177"/>
    <w:rsid w:val="25774D30"/>
    <w:rsid w:val="25DF794F"/>
    <w:rsid w:val="264A728C"/>
    <w:rsid w:val="26993D7D"/>
    <w:rsid w:val="26F948A9"/>
    <w:rsid w:val="274C4EDE"/>
    <w:rsid w:val="27A16CBF"/>
    <w:rsid w:val="27CA0AA2"/>
    <w:rsid w:val="27D0036E"/>
    <w:rsid w:val="27DF076D"/>
    <w:rsid w:val="28044392"/>
    <w:rsid w:val="28486084"/>
    <w:rsid w:val="28582DDD"/>
    <w:rsid w:val="28840DF5"/>
    <w:rsid w:val="28DA754A"/>
    <w:rsid w:val="29095A04"/>
    <w:rsid w:val="29722049"/>
    <w:rsid w:val="297C57E3"/>
    <w:rsid w:val="299040D2"/>
    <w:rsid w:val="29951F8E"/>
    <w:rsid w:val="29A958AB"/>
    <w:rsid w:val="29B17A11"/>
    <w:rsid w:val="29F0739F"/>
    <w:rsid w:val="2A0F54D3"/>
    <w:rsid w:val="2A2F5290"/>
    <w:rsid w:val="2A363FD7"/>
    <w:rsid w:val="2A3B38B7"/>
    <w:rsid w:val="2A8474BE"/>
    <w:rsid w:val="2AB96736"/>
    <w:rsid w:val="2B3C4D3A"/>
    <w:rsid w:val="2B5D66C3"/>
    <w:rsid w:val="2B8E0B67"/>
    <w:rsid w:val="2BB01E07"/>
    <w:rsid w:val="2BB90500"/>
    <w:rsid w:val="2BFD5568"/>
    <w:rsid w:val="2C003A26"/>
    <w:rsid w:val="2C2D19D9"/>
    <w:rsid w:val="2C321754"/>
    <w:rsid w:val="2C6F2F6E"/>
    <w:rsid w:val="2C7C2AD6"/>
    <w:rsid w:val="2D4D76B0"/>
    <w:rsid w:val="2D77165D"/>
    <w:rsid w:val="2D806A5F"/>
    <w:rsid w:val="2D934FBE"/>
    <w:rsid w:val="2DAC7415"/>
    <w:rsid w:val="2E063707"/>
    <w:rsid w:val="2E0E5885"/>
    <w:rsid w:val="2E1210D1"/>
    <w:rsid w:val="2E5A41E3"/>
    <w:rsid w:val="2E8B033D"/>
    <w:rsid w:val="2EE3223F"/>
    <w:rsid w:val="2F1403D1"/>
    <w:rsid w:val="2F194481"/>
    <w:rsid w:val="2F735041"/>
    <w:rsid w:val="2F807ADD"/>
    <w:rsid w:val="2FE37E91"/>
    <w:rsid w:val="300231AE"/>
    <w:rsid w:val="30225EB4"/>
    <w:rsid w:val="3033152B"/>
    <w:rsid w:val="30594B11"/>
    <w:rsid w:val="306F1059"/>
    <w:rsid w:val="30C30C7D"/>
    <w:rsid w:val="30D931A2"/>
    <w:rsid w:val="311C0B53"/>
    <w:rsid w:val="311C2D95"/>
    <w:rsid w:val="312D35BD"/>
    <w:rsid w:val="31317880"/>
    <w:rsid w:val="3159525B"/>
    <w:rsid w:val="31AB2C2B"/>
    <w:rsid w:val="31EE3ADE"/>
    <w:rsid w:val="32660F70"/>
    <w:rsid w:val="329868D3"/>
    <w:rsid w:val="32E86567"/>
    <w:rsid w:val="33C32BE3"/>
    <w:rsid w:val="33C5760E"/>
    <w:rsid w:val="33F50D56"/>
    <w:rsid w:val="33F8464E"/>
    <w:rsid w:val="3412436B"/>
    <w:rsid w:val="34972396"/>
    <w:rsid w:val="34A50503"/>
    <w:rsid w:val="34E53D53"/>
    <w:rsid w:val="350A79A5"/>
    <w:rsid w:val="358B7CE3"/>
    <w:rsid w:val="35BF6369"/>
    <w:rsid w:val="35C05EC9"/>
    <w:rsid w:val="35F54551"/>
    <w:rsid w:val="36146354"/>
    <w:rsid w:val="36652C5E"/>
    <w:rsid w:val="367F1F8F"/>
    <w:rsid w:val="37154910"/>
    <w:rsid w:val="373373FE"/>
    <w:rsid w:val="375D20AC"/>
    <w:rsid w:val="3823516B"/>
    <w:rsid w:val="38330BDE"/>
    <w:rsid w:val="383346A1"/>
    <w:rsid w:val="387A6C6E"/>
    <w:rsid w:val="38B377D1"/>
    <w:rsid w:val="38B848E3"/>
    <w:rsid w:val="38F11F81"/>
    <w:rsid w:val="391229FC"/>
    <w:rsid w:val="399D65E6"/>
    <w:rsid w:val="39DF68CC"/>
    <w:rsid w:val="3A153B71"/>
    <w:rsid w:val="3A3C1234"/>
    <w:rsid w:val="3A561A09"/>
    <w:rsid w:val="3A7E1052"/>
    <w:rsid w:val="3ADB7134"/>
    <w:rsid w:val="3B76548B"/>
    <w:rsid w:val="3B8361C9"/>
    <w:rsid w:val="3BAD255A"/>
    <w:rsid w:val="3BB126FE"/>
    <w:rsid w:val="3BF93ABB"/>
    <w:rsid w:val="3C0E551B"/>
    <w:rsid w:val="3C331CC1"/>
    <w:rsid w:val="3C4302E0"/>
    <w:rsid w:val="3C886FC3"/>
    <w:rsid w:val="3C8F1340"/>
    <w:rsid w:val="3CAA2DA9"/>
    <w:rsid w:val="3CC328A9"/>
    <w:rsid w:val="3CE13C8B"/>
    <w:rsid w:val="3CF76F98"/>
    <w:rsid w:val="3D71500D"/>
    <w:rsid w:val="3EDC288D"/>
    <w:rsid w:val="3EFE2E96"/>
    <w:rsid w:val="3F7E49B2"/>
    <w:rsid w:val="3F904C49"/>
    <w:rsid w:val="3F9A564E"/>
    <w:rsid w:val="3FA908EB"/>
    <w:rsid w:val="3FBA0879"/>
    <w:rsid w:val="3FF85084"/>
    <w:rsid w:val="4009352E"/>
    <w:rsid w:val="401B0E5D"/>
    <w:rsid w:val="405417DB"/>
    <w:rsid w:val="408A12DC"/>
    <w:rsid w:val="40EE0027"/>
    <w:rsid w:val="411A3775"/>
    <w:rsid w:val="412C0DB2"/>
    <w:rsid w:val="4132611F"/>
    <w:rsid w:val="41446CBE"/>
    <w:rsid w:val="4191167E"/>
    <w:rsid w:val="41A67226"/>
    <w:rsid w:val="41B037C1"/>
    <w:rsid w:val="41C0440F"/>
    <w:rsid w:val="429002CB"/>
    <w:rsid w:val="42E94F55"/>
    <w:rsid w:val="431502B0"/>
    <w:rsid w:val="43236C93"/>
    <w:rsid w:val="435B5414"/>
    <w:rsid w:val="436C0251"/>
    <w:rsid w:val="436E5866"/>
    <w:rsid w:val="439F2E37"/>
    <w:rsid w:val="43C74670"/>
    <w:rsid w:val="43EC2737"/>
    <w:rsid w:val="4426286A"/>
    <w:rsid w:val="44473292"/>
    <w:rsid w:val="44C953A4"/>
    <w:rsid w:val="44FE2077"/>
    <w:rsid w:val="45105748"/>
    <w:rsid w:val="45170878"/>
    <w:rsid w:val="452C0B9D"/>
    <w:rsid w:val="456618EC"/>
    <w:rsid w:val="45662856"/>
    <w:rsid w:val="45E021B5"/>
    <w:rsid w:val="460A14A4"/>
    <w:rsid w:val="46145E89"/>
    <w:rsid w:val="4631002D"/>
    <w:rsid w:val="466C2D73"/>
    <w:rsid w:val="466E2B68"/>
    <w:rsid w:val="46724E4C"/>
    <w:rsid w:val="46931338"/>
    <w:rsid w:val="46961529"/>
    <w:rsid w:val="46B67749"/>
    <w:rsid w:val="46BE5ECB"/>
    <w:rsid w:val="46EF3C67"/>
    <w:rsid w:val="471A13D9"/>
    <w:rsid w:val="47AB309D"/>
    <w:rsid w:val="47AD429B"/>
    <w:rsid w:val="47F64D83"/>
    <w:rsid w:val="483A3C5F"/>
    <w:rsid w:val="483D5171"/>
    <w:rsid w:val="48927486"/>
    <w:rsid w:val="489F6AFD"/>
    <w:rsid w:val="490329FA"/>
    <w:rsid w:val="49262A22"/>
    <w:rsid w:val="494845D8"/>
    <w:rsid w:val="49AE3CDF"/>
    <w:rsid w:val="49BD7FA4"/>
    <w:rsid w:val="49E83CF6"/>
    <w:rsid w:val="49F12153"/>
    <w:rsid w:val="4A6B20F3"/>
    <w:rsid w:val="4AC16A9A"/>
    <w:rsid w:val="4ACD56D0"/>
    <w:rsid w:val="4B05109C"/>
    <w:rsid w:val="4B341CF5"/>
    <w:rsid w:val="4B435287"/>
    <w:rsid w:val="4B8148DD"/>
    <w:rsid w:val="4B8D0D64"/>
    <w:rsid w:val="4BA83306"/>
    <w:rsid w:val="4BB02823"/>
    <w:rsid w:val="4BEB48C2"/>
    <w:rsid w:val="4BEE1D70"/>
    <w:rsid w:val="4BF247F7"/>
    <w:rsid w:val="4BF80EE7"/>
    <w:rsid w:val="4C4045CE"/>
    <w:rsid w:val="4C5F23C3"/>
    <w:rsid w:val="4C6914F7"/>
    <w:rsid w:val="4D1F7C77"/>
    <w:rsid w:val="4D221D16"/>
    <w:rsid w:val="4D41409C"/>
    <w:rsid w:val="4D600804"/>
    <w:rsid w:val="4D7632E3"/>
    <w:rsid w:val="4E0D44D2"/>
    <w:rsid w:val="4E1743FD"/>
    <w:rsid w:val="4E4153D3"/>
    <w:rsid w:val="4EE97FAF"/>
    <w:rsid w:val="4EF04A2C"/>
    <w:rsid w:val="4EF86618"/>
    <w:rsid w:val="4EFF0EA6"/>
    <w:rsid w:val="4F08012E"/>
    <w:rsid w:val="4F09068B"/>
    <w:rsid w:val="4F10038E"/>
    <w:rsid w:val="4F255245"/>
    <w:rsid w:val="4F4B28C2"/>
    <w:rsid w:val="4F7052A4"/>
    <w:rsid w:val="4FB46AF8"/>
    <w:rsid w:val="4FBC26CE"/>
    <w:rsid w:val="4FE73AE6"/>
    <w:rsid w:val="50335F6D"/>
    <w:rsid w:val="507C3CDE"/>
    <w:rsid w:val="50A23AD9"/>
    <w:rsid w:val="50DB36A9"/>
    <w:rsid w:val="50E83BA8"/>
    <w:rsid w:val="511B0545"/>
    <w:rsid w:val="51473871"/>
    <w:rsid w:val="51607DCF"/>
    <w:rsid w:val="51A34D5B"/>
    <w:rsid w:val="51AC0C65"/>
    <w:rsid w:val="51B52A12"/>
    <w:rsid w:val="51C17285"/>
    <w:rsid w:val="51D5508B"/>
    <w:rsid w:val="51FB521E"/>
    <w:rsid w:val="521051AA"/>
    <w:rsid w:val="52107298"/>
    <w:rsid w:val="529878FB"/>
    <w:rsid w:val="52AB619D"/>
    <w:rsid w:val="52F661F6"/>
    <w:rsid w:val="533829D5"/>
    <w:rsid w:val="53545278"/>
    <w:rsid w:val="54283D71"/>
    <w:rsid w:val="54605CBA"/>
    <w:rsid w:val="546278B5"/>
    <w:rsid w:val="54E4544F"/>
    <w:rsid w:val="54F06370"/>
    <w:rsid w:val="5538603E"/>
    <w:rsid w:val="55481872"/>
    <w:rsid w:val="557C43A3"/>
    <w:rsid w:val="55933087"/>
    <w:rsid w:val="55BE1A71"/>
    <w:rsid w:val="55CB1DDD"/>
    <w:rsid w:val="55F75ED0"/>
    <w:rsid w:val="56067FE7"/>
    <w:rsid w:val="56282713"/>
    <w:rsid w:val="5655590A"/>
    <w:rsid w:val="57105165"/>
    <w:rsid w:val="57486C67"/>
    <w:rsid w:val="576014CE"/>
    <w:rsid w:val="577708F0"/>
    <w:rsid w:val="57792650"/>
    <w:rsid w:val="57CF5152"/>
    <w:rsid w:val="57D736AB"/>
    <w:rsid w:val="57E82C92"/>
    <w:rsid w:val="59667F3B"/>
    <w:rsid w:val="59812AEF"/>
    <w:rsid w:val="59F365C9"/>
    <w:rsid w:val="5A217402"/>
    <w:rsid w:val="5A470DDC"/>
    <w:rsid w:val="5A475C1D"/>
    <w:rsid w:val="5AAD2021"/>
    <w:rsid w:val="5AB370E2"/>
    <w:rsid w:val="5ABA5EEF"/>
    <w:rsid w:val="5AC54162"/>
    <w:rsid w:val="5AE43DF7"/>
    <w:rsid w:val="5B1C60A0"/>
    <w:rsid w:val="5B412B1B"/>
    <w:rsid w:val="5B7053D9"/>
    <w:rsid w:val="5B8A6D99"/>
    <w:rsid w:val="5B913480"/>
    <w:rsid w:val="5B94467C"/>
    <w:rsid w:val="5BBE703E"/>
    <w:rsid w:val="5BC462FA"/>
    <w:rsid w:val="5C5541F9"/>
    <w:rsid w:val="5CCD775E"/>
    <w:rsid w:val="5CE6040B"/>
    <w:rsid w:val="5D0339EF"/>
    <w:rsid w:val="5D2F25D0"/>
    <w:rsid w:val="5D8717FB"/>
    <w:rsid w:val="5DD9676F"/>
    <w:rsid w:val="5E2F56A9"/>
    <w:rsid w:val="5E40582E"/>
    <w:rsid w:val="5E5902E6"/>
    <w:rsid w:val="5E7154E3"/>
    <w:rsid w:val="5EEC6EC6"/>
    <w:rsid w:val="5EFF5FB7"/>
    <w:rsid w:val="5F163D75"/>
    <w:rsid w:val="5F2120D9"/>
    <w:rsid w:val="5F2D185D"/>
    <w:rsid w:val="5F41642A"/>
    <w:rsid w:val="5F8232A3"/>
    <w:rsid w:val="5FE151C4"/>
    <w:rsid w:val="602A379F"/>
    <w:rsid w:val="605D5D9B"/>
    <w:rsid w:val="60881E97"/>
    <w:rsid w:val="60EB785D"/>
    <w:rsid w:val="60FD144A"/>
    <w:rsid w:val="61006118"/>
    <w:rsid w:val="61A528E9"/>
    <w:rsid w:val="61CD3CC1"/>
    <w:rsid w:val="61E32600"/>
    <w:rsid w:val="62855FC7"/>
    <w:rsid w:val="63025E0F"/>
    <w:rsid w:val="631B549D"/>
    <w:rsid w:val="63275EB3"/>
    <w:rsid w:val="63633078"/>
    <w:rsid w:val="63745B22"/>
    <w:rsid w:val="639F3B5E"/>
    <w:rsid w:val="63C57C20"/>
    <w:rsid w:val="63E568B9"/>
    <w:rsid w:val="646A3B6C"/>
    <w:rsid w:val="650221E6"/>
    <w:rsid w:val="65367FBF"/>
    <w:rsid w:val="654B6F0B"/>
    <w:rsid w:val="655817C1"/>
    <w:rsid w:val="65832A99"/>
    <w:rsid w:val="658916B3"/>
    <w:rsid w:val="65F7537C"/>
    <w:rsid w:val="6607280C"/>
    <w:rsid w:val="660D094F"/>
    <w:rsid w:val="669C4FA4"/>
    <w:rsid w:val="66D91562"/>
    <w:rsid w:val="66DF496B"/>
    <w:rsid w:val="66E0395C"/>
    <w:rsid w:val="66E71456"/>
    <w:rsid w:val="66E768D3"/>
    <w:rsid w:val="66FC52EB"/>
    <w:rsid w:val="67154391"/>
    <w:rsid w:val="6719559D"/>
    <w:rsid w:val="675533F0"/>
    <w:rsid w:val="67561739"/>
    <w:rsid w:val="678B4C26"/>
    <w:rsid w:val="67DA2D65"/>
    <w:rsid w:val="6808751C"/>
    <w:rsid w:val="688C1208"/>
    <w:rsid w:val="68A367FF"/>
    <w:rsid w:val="68D617BD"/>
    <w:rsid w:val="68F70E89"/>
    <w:rsid w:val="68FE71B7"/>
    <w:rsid w:val="696526FC"/>
    <w:rsid w:val="69AB1384"/>
    <w:rsid w:val="69AE4FB3"/>
    <w:rsid w:val="69EF2AD0"/>
    <w:rsid w:val="69F24A94"/>
    <w:rsid w:val="6A141768"/>
    <w:rsid w:val="6A1438AF"/>
    <w:rsid w:val="6A1D1429"/>
    <w:rsid w:val="6A622DAE"/>
    <w:rsid w:val="6ACB2303"/>
    <w:rsid w:val="6AFC5936"/>
    <w:rsid w:val="6B326EFB"/>
    <w:rsid w:val="6B697FA9"/>
    <w:rsid w:val="6B9067E9"/>
    <w:rsid w:val="6B987A2F"/>
    <w:rsid w:val="6BC76A80"/>
    <w:rsid w:val="6BE04ECD"/>
    <w:rsid w:val="6BE91C07"/>
    <w:rsid w:val="6C3B49B9"/>
    <w:rsid w:val="6C620CBD"/>
    <w:rsid w:val="6C693E99"/>
    <w:rsid w:val="6CB330A7"/>
    <w:rsid w:val="6CE175A7"/>
    <w:rsid w:val="6D0B0206"/>
    <w:rsid w:val="6DC302F2"/>
    <w:rsid w:val="6DD90A9D"/>
    <w:rsid w:val="6E1E73AB"/>
    <w:rsid w:val="6E454D19"/>
    <w:rsid w:val="6E540E65"/>
    <w:rsid w:val="6E616504"/>
    <w:rsid w:val="6E6315B4"/>
    <w:rsid w:val="6E6352EA"/>
    <w:rsid w:val="6E7C726F"/>
    <w:rsid w:val="6E830B61"/>
    <w:rsid w:val="6E871FB0"/>
    <w:rsid w:val="6EA9360E"/>
    <w:rsid w:val="6EB64297"/>
    <w:rsid w:val="6ECD251F"/>
    <w:rsid w:val="6ED240F4"/>
    <w:rsid w:val="6F8846F5"/>
    <w:rsid w:val="6F954F52"/>
    <w:rsid w:val="6FB24875"/>
    <w:rsid w:val="6FCA6D21"/>
    <w:rsid w:val="6FD25BC7"/>
    <w:rsid w:val="6FDE34E3"/>
    <w:rsid w:val="6FE51E3B"/>
    <w:rsid w:val="70124031"/>
    <w:rsid w:val="70396DB3"/>
    <w:rsid w:val="70FD3746"/>
    <w:rsid w:val="711935D2"/>
    <w:rsid w:val="714512A4"/>
    <w:rsid w:val="7158784F"/>
    <w:rsid w:val="71662709"/>
    <w:rsid w:val="718D1B7E"/>
    <w:rsid w:val="718F7283"/>
    <w:rsid w:val="719A7212"/>
    <w:rsid w:val="719E2417"/>
    <w:rsid w:val="71B042A0"/>
    <w:rsid w:val="71B45EEF"/>
    <w:rsid w:val="71BC6FEB"/>
    <w:rsid w:val="725467FF"/>
    <w:rsid w:val="726E7219"/>
    <w:rsid w:val="72982F11"/>
    <w:rsid w:val="72D15192"/>
    <w:rsid w:val="72FB6E73"/>
    <w:rsid w:val="731F6255"/>
    <w:rsid w:val="734B3502"/>
    <w:rsid w:val="73DF3E97"/>
    <w:rsid w:val="740E6E9B"/>
    <w:rsid w:val="74210653"/>
    <w:rsid w:val="74472CAB"/>
    <w:rsid w:val="745019A9"/>
    <w:rsid w:val="746260BB"/>
    <w:rsid w:val="747C257B"/>
    <w:rsid w:val="748313C2"/>
    <w:rsid w:val="749D2B10"/>
    <w:rsid w:val="74A470E1"/>
    <w:rsid w:val="74E129D0"/>
    <w:rsid w:val="74F25790"/>
    <w:rsid w:val="75587D93"/>
    <w:rsid w:val="756D02AE"/>
    <w:rsid w:val="75991C74"/>
    <w:rsid w:val="759967C7"/>
    <w:rsid w:val="75AF7BBC"/>
    <w:rsid w:val="76447E5D"/>
    <w:rsid w:val="767603C7"/>
    <w:rsid w:val="769E1D5F"/>
    <w:rsid w:val="76B65B12"/>
    <w:rsid w:val="76BF4846"/>
    <w:rsid w:val="7738591E"/>
    <w:rsid w:val="77433C8A"/>
    <w:rsid w:val="776971C2"/>
    <w:rsid w:val="77A26008"/>
    <w:rsid w:val="77C452CB"/>
    <w:rsid w:val="781A54CB"/>
    <w:rsid w:val="7837750A"/>
    <w:rsid w:val="78892964"/>
    <w:rsid w:val="789216E7"/>
    <w:rsid w:val="78CA3F5C"/>
    <w:rsid w:val="78DF0249"/>
    <w:rsid w:val="78F807D8"/>
    <w:rsid w:val="78FA0450"/>
    <w:rsid w:val="790C35E4"/>
    <w:rsid w:val="79221CC8"/>
    <w:rsid w:val="795A0C9E"/>
    <w:rsid w:val="79690B0F"/>
    <w:rsid w:val="7973083E"/>
    <w:rsid w:val="79835825"/>
    <w:rsid w:val="798C3CAF"/>
    <w:rsid w:val="79996B8B"/>
    <w:rsid w:val="7A05445A"/>
    <w:rsid w:val="7A250DDB"/>
    <w:rsid w:val="7A336EA6"/>
    <w:rsid w:val="7A4F68AD"/>
    <w:rsid w:val="7A761B7B"/>
    <w:rsid w:val="7A812719"/>
    <w:rsid w:val="7A885873"/>
    <w:rsid w:val="7AD8117C"/>
    <w:rsid w:val="7B1D7A9D"/>
    <w:rsid w:val="7B32597E"/>
    <w:rsid w:val="7BF254B9"/>
    <w:rsid w:val="7C10460B"/>
    <w:rsid w:val="7C1D2C5E"/>
    <w:rsid w:val="7C2E7554"/>
    <w:rsid w:val="7C395D62"/>
    <w:rsid w:val="7C4F648D"/>
    <w:rsid w:val="7C5D68CF"/>
    <w:rsid w:val="7C684851"/>
    <w:rsid w:val="7CA827B6"/>
    <w:rsid w:val="7CB55C35"/>
    <w:rsid w:val="7CB70D7A"/>
    <w:rsid w:val="7CEA5C90"/>
    <w:rsid w:val="7D2620BD"/>
    <w:rsid w:val="7D48035E"/>
    <w:rsid w:val="7D7735FA"/>
    <w:rsid w:val="7DBC5FEC"/>
    <w:rsid w:val="7DC33D88"/>
    <w:rsid w:val="7DD52982"/>
    <w:rsid w:val="7DFF1076"/>
    <w:rsid w:val="7E1125AB"/>
    <w:rsid w:val="7E3C339A"/>
    <w:rsid w:val="7E4C33B5"/>
    <w:rsid w:val="7E5A497C"/>
    <w:rsid w:val="7E945CB6"/>
    <w:rsid w:val="7EF531EA"/>
    <w:rsid w:val="7F6E3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101"/>
    <w:qFormat/>
    <w:uiPriority w:val="0"/>
    <w:pPr>
      <w:keepNext/>
      <w:keepLines/>
      <w:spacing w:after="120" w:line="360" w:lineRule="auto"/>
      <w:jc w:val="left"/>
      <w:outlineLvl w:val="0"/>
    </w:pPr>
    <w:rPr>
      <w:kern w:val="44"/>
      <w:sz w:val="28"/>
      <w:szCs w:val="28"/>
    </w:rPr>
  </w:style>
  <w:style w:type="paragraph" w:styleId="6">
    <w:name w:val="heading 2"/>
    <w:basedOn w:val="1"/>
    <w:next w:val="7"/>
    <w:link w:val="104"/>
    <w:qFormat/>
    <w:uiPriority w:val="0"/>
    <w:pPr>
      <w:keepNext/>
      <w:keepLines/>
      <w:tabs>
        <w:tab w:val="right" w:leader="dot" w:pos="9060"/>
      </w:tab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99"/>
    <w:qFormat/>
    <w:uiPriority w:val="0"/>
    <w:pPr>
      <w:widowControl/>
      <w:spacing w:before="100" w:beforeAutospacing="1" w:after="100" w:afterAutospacing="1"/>
      <w:jc w:val="left"/>
      <w:outlineLvl w:val="2"/>
    </w:pPr>
    <w:rPr>
      <w:rFonts w:ascii="宋体" w:hAnsi="宋体" w:cs="宋体"/>
      <w:kern w:val="0"/>
      <w:sz w:val="27"/>
      <w:szCs w:val="27"/>
    </w:rPr>
  </w:style>
  <w:style w:type="paragraph" w:styleId="9">
    <w:name w:val="heading 4"/>
    <w:basedOn w:val="8"/>
    <w:next w:val="1"/>
    <w:link w:val="114"/>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0">
    <w:name w:val="heading 5"/>
    <w:basedOn w:val="9"/>
    <w:next w:val="7"/>
    <w:link w:val="88"/>
    <w:qFormat/>
    <w:uiPriority w:val="0"/>
    <w:pPr>
      <w:numPr>
        <w:ilvl w:val="4"/>
      </w:numPr>
      <w:spacing w:line="240" w:lineRule="exact"/>
      <w:outlineLvl w:val="4"/>
    </w:pPr>
  </w:style>
  <w:style w:type="paragraph" w:styleId="11">
    <w:name w:val="heading 6"/>
    <w:basedOn w:val="1"/>
    <w:next w:val="1"/>
    <w:link w:val="97"/>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2">
    <w:name w:val="heading 7"/>
    <w:basedOn w:val="1"/>
    <w:next w:val="7"/>
    <w:link w:val="91"/>
    <w:qFormat/>
    <w:uiPriority w:val="0"/>
    <w:pPr>
      <w:keepNext/>
      <w:keepLines/>
      <w:numPr>
        <w:ilvl w:val="6"/>
        <w:numId w:val="1"/>
      </w:numPr>
      <w:spacing w:before="240" w:after="64" w:line="320" w:lineRule="auto"/>
      <w:outlineLvl w:val="6"/>
    </w:pPr>
    <w:rPr>
      <w:b/>
      <w:sz w:val="24"/>
      <w:szCs w:val="20"/>
    </w:rPr>
  </w:style>
  <w:style w:type="paragraph" w:styleId="13">
    <w:name w:val="heading 8"/>
    <w:basedOn w:val="1"/>
    <w:next w:val="7"/>
    <w:link w:val="81"/>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4">
    <w:name w:val="heading 9"/>
    <w:basedOn w:val="1"/>
    <w:next w:val="7"/>
    <w:link w:val="82"/>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widowControl/>
      <w:spacing w:after="120"/>
      <w:ind w:left="420" w:leftChars="200" w:firstLine="420" w:firstLineChars="200"/>
      <w:jc w:val="left"/>
    </w:pPr>
    <w:rPr>
      <w:sz w:val="21"/>
    </w:rPr>
  </w:style>
  <w:style w:type="paragraph" w:styleId="3">
    <w:name w:val="Body Text Indent"/>
    <w:basedOn w:val="1"/>
    <w:next w:val="4"/>
    <w:link w:val="93"/>
    <w:qFormat/>
    <w:uiPriority w:val="0"/>
    <w:pPr>
      <w:ind w:firstLine="570"/>
    </w:pPr>
    <w:rPr>
      <w:sz w:val="28"/>
      <w:szCs w:val="20"/>
    </w:rPr>
  </w:style>
  <w:style w:type="paragraph" w:styleId="4">
    <w:name w:val="envelope return"/>
    <w:basedOn w:val="1"/>
    <w:qFormat/>
    <w:uiPriority w:val="0"/>
    <w:pPr>
      <w:snapToGrid w:val="0"/>
    </w:pPr>
    <w:rPr>
      <w:rFonts w:ascii="Arial" w:hAnsi="Arial"/>
      <w:szCs w:val="24"/>
    </w:rPr>
  </w:style>
  <w:style w:type="paragraph" w:styleId="7">
    <w:name w:val="Normal Indent"/>
    <w:basedOn w:val="1"/>
    <w:qFormat/>
    <w:uiPriority w:val="0"/>
    <w:pPr>
      <w:ind w:firstLine="420"/>
    </w:pPr>
    <w:rPr>
      <w:szCs w:val="20"/>
    </w:rPr>
  </w:style>
  <w:style w:type="paragraph" w:styleId="15">
    <w:name w:val="Document Map"/>
    <w:basedOn w:val="1"/>
    <w:link w:val="121"/>
    <w:qFormat/>
    <w:uiPriority w:val="0"/>
    <w:pPr>
      <w:shd w:val="clear" w:color="auto" w:fill="000080"/>
    </w:pPr>
    <w:rPr>
      <w:szCs w:val="20"/>
    </w:rPr>
  </w:style>
  <w:style w:type="paragraph" w:styleId="16">
    <w:name w:val="annotation text"/>
    <w:basedOn w:val="1"/>
    <w:link w:val="95"/>
    <w:qFormat/>
    <w:uiPriority w:val="0"/>
    <w:pPr>
      <w:spacing w:line="360" w:lineRule="auto"/>
      <w:ind w:firstLine="523" w:firstLineChars="218"/>
      <w:jc w:val="left"/>
    </w:pPr>
    <w:rPr>
      <w:rFonts w:ascii="宋体" w:hAnsi="宋体"/>
      <w:sz w:val="24"/>
      <w:szCs w:val="24"/>
    </w:rPr>
  </w:style>
  <w:style w:type="paragraph" w:styleId="17">
    <w:name w:val="Salutation"/>
    <w:basedOn w:val="1"/>
    <w:next w:val="1"/>
    <w:qFormat/>
    <w:uiPriority w:val="0"/>
    <w:pPr>
      <w:adjustRightInd w:val="0"/>
      <w:snapToGrid w:val="0"/>
      <w:spacing w:line="500" w:lineRule="atLeast"/>
      <w:textAlignment w:val="baseline"/>
    </w:pPr>
    <w:rPr>
      <w:rFonts w:ascii="宋体"/>
      <w:b/>
      <w:kern w:val="0"/>
      <w:sz w:val="28"/>
      <w:szCs w:val="20"/>
    </w:rPr>
  </w:style>
  <w:style w:type="paragraph" w:styleId="18">
    <w:name w:val="Body Text 3"/>
    <w:basedOn w:val="1"/>
    <w:unhideWhenUsed/>
    <w:qFormat/>
    <w:uiPriority w:val="99"/>
    <w:rPr>
      <w:rFonts w:ascii="宋体"/>
      <w:sz w:val="24"/>
      <w:szCs w:val="20"/>
    </w:rPr>
  </w:style>
  <w:style w:type="paragraph" w:styleId="19">
    <w:name w:val="Body Text"/>
    <w:basedOn w:val="1"/>
    <w:next w:val="1"/>
    <w:link w:val="84"/>
    <w:qFormat/>
    <w:uiPriority w:val="0"/>
    <w:pPr>
      <w:spacing w:after="120"/>
    </w:pPr>
    <w:rPr>
      <w:szCs w:val="20"/>
    </w:rPr>
  </w:style>
  <w:style w:type="paragraph" w:styleId="20">
    <w:name w:val="toc 3"/>
    <w:basedOn w:val="1"/>
    <w:next w:val="1"/>
    <w:qFormat/>
    <w:uiPriority w:val="39"/>
    <w:pPr>
      <w:snapToGrid w:val="0"/>
      <w:spacing w:line="360" w:lineRule="auto"/>
      <w:ind w:left="400" w:leftChars="400"/>
      <w:jc w:val="left"/>
    </w:pPr>
    <w:rPr>
      <w:sz w:val="24"/>
      <w:szCs w:val="20"/>
    </w:rPr>
  </w:style>
  <w:style w:type="paragraph" w:styleId="21">
    <w:name w:val="Plain Text"/>
    <w:basedOn w:val="1"/>
    <w:next w:val="1"/>
    <w:link w:val="107"/>
    <w:qFormat/>
    <w:uiPriority w:val="0"/>
    <w:rPr>
      <w:rFonts w:ascii="宋体" w:hAnsi="Courier New"/>
      <w:szCs w:val="20"/>
    </w:rPr>
  </w:style>
  <w:style w:type="paragraph" w:styleId="22">
    <w:name w:val="Date"/>
    <w:basedOn w:val="1"/>
    <w:next w:val="1"/>
    <w:link w:val="80"/>
    <w:qFormat/>
    <w:uiPriority w:val="0"/>
    <w:rPr>
      <w:szCs w:val="20"/>
    </w:rPr>
  </w:style>
  <w:style w:type="paragraph" w:styleId="23">
    <w:name w:val="Body Text Indent 2"/>
    <w:basedOn w:val="1"/>
    <w:link w:val="106"/>
    <w:qFormat/>
    <w:uiPriority w:val="0"/>
    <w:pPr>
      <w:spacing w:line="400" w:lineRule="exact"/>
      <w:ind w:left="425"/>
    </w:pPr>
    <w:rPr>
      <w:color w:val="000000"/>
      <w:sz w:val="24"/>
      <w:szCs w:val="20"/>
    </w:rPr>
  </w:style>
  <w:style w:type="paragraph" w:styleId="24">
    <w:name w:val="endnote text"/>
    <w:basedOn w:val="1"/>
    <w:link w:val="109"/>
    <w:qFormat/>
    <w:uiPriority w:val="0"/>
    <w:pPr>
      <w:snapToGrid w:val="0"/>
      <w:jc w:val="left"/>
    </w:pPr>
    <w:rPr>
      <w:szCs w:val="20"/>
    </w:rPr>
  </w:style>
  <w:style w:type="paragraph" w:styleId="25">
    <w:name w:val="Balloon Text"/>
    <w:basedOn w:val="1"/>
    <w:link w:val="85"/>
    <w:qFormat/>
    <w:uiPriority w:val="0"/>
    <w:rPr>
      <w:sz w:val="18"/>
      <w:szCs w:val="18"/>
    </w:rPr>
  </w:style>
  <w:style w:type="paragraph" w:styleId="26">
    <w:name w:val="footer"/>
    <w:basedOn w:val="1"/>
    <w:link w:val="113"/>
    <w:unhideWhenUsed/>
    <w:qFormat/>
    <w:uiPriority w:val="0"/>
    <w:pPr>
      <w:tabs>
        <w:tab w:val="center" w:pos="4153"/>
        <w:tab w:val="right" w:pos="8306"/>
      </w:tabs>
      <w:snapToGrid w:val="0"/>
      <w:jc w:val="left"/>
    </w:pPr>
    <w:rPr>
      <w:sz w:val="18"/>
      <w:szCs w:val="18"/>
    </w:rPr>
  </w:style>
  <w:style w:type="paragraph" w:styleId="27">
    <w:name w:val="header"/>
    <w:basedOn w:val="1"/>
    <w:link w:val="103"/>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9">
    <w:name w:val="footnote text"/>
    <w:basedOn w:val="1"/>
    <w:link w:val="129"/>
    <w:qFormat/>
    <w:uiPriority w:val="0"/>
    <w:pPr>
      <w:snapToGrid w:val="0"/>
      <w:spacing w:line="360" w:lineRule="auto"/>
      <w:ind w:firstLine="523" w:firstLineChars="218"/>
      <w:jc w:val="left"/>
    </w:pPr>
    <w:rPr>
      <w:rFonts w:ascii="宋体" w:hAnsi="宋体"/>
      <w:sz w:val="18"/>
      <w:szCs w:val="18"/>
    </w:rPr>
  </w:style>
  <w:style w:type="paragraph" w:styleId="30">
    <w:name w:val="Body Text Indent 3"/>
    <w:basedOn w:val="1"/>
    <w:link w:val="92"/>
    <w:qFormat/>
    <w:uiPriority w:val="0"/>
    <w:pPr>
      <w:tabs>
        <w:tab w:val="left" w:pos="0"/>
      </w:tabs>
      <w:spacing w:line="400" w:lineRule="exact"/>
      <w:ind w:left="563" w:leftChars="228" w:hanging="84" w:hangingChars="35"/>
    </w:pPr>
    <w:rPr>
      <w:color w:val="000000"/>
      <w:sz w:val="24"/>
      <w:szCs w:val="20"/>
    </w:rPr>
  </w:style>
  <w:style w:type="paragraph" w:styleId="31">
    <w:name w:val="toc 2"/>
    <w:basedOn w:val="1"/>
    <w:next w:val="1"/>
    <w:qFormat/>
    <w:uiPriority w:val="39"/>
    <w:pPr>
      <w:tabs>
        <w:tab w:val="right" w:leader="dot" w:pos="9060"/>
      </w:tabs>
      <w:snapToGrid w:val="0"/>
      <w:spacing w:line="360" w:lineRule="auto"/>
      <w:ind w:left="420" w:leftChars="200"/>
      <w:jc w:val="left"/>
    </w:pPr>
    <w:rPr>
      <w:sz w:val="24"/>
      <w:szCs w:val="24"/>
    </w:rPr>
  </w:style>
  <w:style w:type="paragraph" w:styleId="32">
    <w:name w:val="Body Text 2"/>
    <w:basedOn w:val="1"/>
    <w:link w:val="116"/>
    <w:qFormat/>
    <w:uiPriority w:val="0"/>
    <w:rPr>
      <w:rFonts w:ascii="宋体" w:hAnsi="宋体"/>
      <w:szCs w:val="24"/>
      <w:u w:val="single"/>
    </w:rPr>
  </w:style>
  <w:style w:type="paragraph" w:styleId="33">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4">
    <w:name w:val="index 1"/>
    <w:basedOn w:val="1"/>
    <w:next w:val="1"/>
    <w:qFormat/>
    <w:uiPriority w:val="0"/>
    <w:rPr>
      <w:rFonts w:eastAsia="仿宋_GB2312"/>
      <w:sz w:val="28"/>
      <w:szCs w:val="20"/>
    </w:rPr>
  </w:style>
  <w:style w:type="paragraph" w:styleId="35">
    <w:name w:val="Title"/>
    <w:basedOn w:val="1"/>
    <w:link w:val="117"/>
    <w:qFormat/>
    <w:uiPriority w:val="0"/>
    <w:pPr>
      <w:spacing w:before="120" w:after="60"/>
      <w:jc w:val="center"/>
    </w:pPr>
    <w:rPr>
      <w:rFonts w:ascii="Arial" w:hAnsi="Arial"/>
      <w:b/>
      <w:sz w:val="44"/>
      <w:szCs w:val="20"/>
    </w:rPr>
  </w:style>
  <w:style w:type="paragraph" w:styleId="36">
    <w:name w:val="annotation subject"/>
    <w:basedOn w:val="16"/>
    <w:next w:val="16"/>
    <w:link w:val="124"/>
    <w:qFormat/>
    <w:uiPriority w:val="0"/>
    <w:rPr>
      <w:b/>
      <w:bCs/>
    </w:rPr>
  </w:style>
  <w:style w:type="paragraph" w:styleId="37">
    <w:name w:val="Body Text First Indent"/>
    <w:basedOn w:val="19"/>
    <w:link w:val="87"/>
    <w:qFormat/>
    <w:uiPriority w:val="0"/>
    <w:pPr>
      <w:ind w:firstLine="420"/>
    </w:p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rPr>
  </w:style>
  <w:style w:type="character" w:styleId="42">
    <w:name w:val="endnote reference"/>
    <w:qFormat/>
    <w:uiPriority w:val="0"/>
    <w:rPr>
      <w:vertAlign w:val="superscript"/>
    </w:rPr>
  </w:style>
  <w:style w:type="character" w:styleId="43">
    <w:name w:val="page number"/>
    <w:qFormat/>
    <w:uiPriority w:val="0"/>
    <w:rPr>
      <w:rFonts w:cs="Times New Roman"/>
    </w:rPr>
  </w:style>
  <w:style w:type="character" w:styleId="44">
    <w:name w:val="FollowedHyperlink"/>
    <w:unhideWhenUsed/>
    <w:qFormat/>
    <w:uiPriority w:val="99"/>
    <w:rPr>
      <w:color w:val="954F72"/>
      <w:u w:val="single"/>
    </w:rPr>
  </w:style>
  <w:style w:type="character" w:styleId="45">
    <w:name w:val="Emphasis"/>
    <w:qFormat/>
    <w:uiPriority w:val="20"/>
    <w:rPr>
      <w:color w:val="CC0000"/>
    </w:rPr>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paragraph" w:customStyle="1" w:styleId="49">
    <w:name w:val="Default"/>
    <w:next w:val="7"/>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0">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paragraph" w:customStyle="1" w:styleId="5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2">
    <w:name w:val="发文落款"/>
    <w:basedOn w:val="51"/>
    <w:qFormat/>
    <w:uiPriority w:val="0"/>
    <w:pPr>
      <w:ind w:left="4094" w:right="607" w:firstLine="0"/>
      <w:jc w:val="center"/>
    </w:pPr>
  </w:style>
  <w:style w:type="paragraph" w:customStyle="1" w:styleId="53">
    <w:name w:val="Char Char Char1 Char"/>
    <w:basedOn w:val="15"/>
    <w:qFormat/>
    <w:uiPriority w:val="0"/>
    <w:rPr>
      <w:rFonts w:ascii="Tahoma" w:hAnsi="Tahoma"/>
      <w:sz w:val="24"/>
      <w:szCs w:val="24"/>
    </w:rPr>
  </w:style>
  <w:style w:type="paragraph" w:customStyle="1" w:styleId="54">
    <w:name w:val="封四"/>
    <w:basedOn w:val="55"/>
    <w:next w:val="55"/>
    <w:qFormat/>
    <w:uiPriority w:val="0"/>
    <w:pPr>
      <w:jc w:val="left"/>
    </w:pPr>
    <w:rPr>
      <w:sz w:val="30"/>
      <w:szCs w:val="30"/>
    </w:rPr>
  </w:style>
  <w:style w:type="paragraph" w:customStyle="1" w:styleId="55">
    <w:name w:val="文一"/>
    <w:basedOn w:val="1"/>
    <w:qFormat/>
    <w:uiPriority w:val="0"/>
    <w:pPr>
      <w:topLinePunct/>
      <w:adjustRightInd w:val="0"/>
      <w:snapToGrid w:val="0"/>
      <w:spacing w:line="360" w:lineRule="auto"/>
      <w:ind w:firstLine="200" w:firstLineChars="200"/>
    </w:pPr>
    <w:rPr>
      <w:spacing w:val="4"/>
      <w:kern w:val="0"/>
      <w:sz w:val="24"/>
      <w:szCs w:val="24"/>
    </w:rPr>
  </w:style>
  <w:style w:type="paragraph" w:customStyle="1" w:styleId="56">
    <w:name w:val="普通(网站) Char"/>
    <w:basedOn w:val="1"/>
    <w:qFormat/>
    <w:uiPriority w:val="0"/>
    <w:pPr>
      <w:spacing w:before="100" w:beforeAutospacing="1" w:after="100" w:afterAutospacing="1"/>
      <w:jc w:val="left"/>
    </w:pPr>
    <w:rPr>
      <w:rFonts w:hint="eastAsia" w:ascii="宋体" w:hAnsi="宋体"/>
      <w:kern w:val="0"/>
      <w:sz w:val="24"/>
      <w:szCs w:val="24"/>
    </w:rPr>
  </w:style>
  <w:style w:type="paragraph" w:customStyle="1" w:styleId="57">
    <w:name w:val="章节三"/>
    <w:basedOn w:val="55"/>
    <w:next w:val="55"/>
    <w:qFormat/>
    <w:uiPriority w:val="0"/>
    <w:pPr>
      <w:spacing w:before="156" w:beforeLines="50" w:after="156" w:afterLines="50" w:line="240" w:lineRule="auto"/>
      <w:ind w:firstLine="0" w:firstLineChars="0"/>
      <w:jc w:val="left"/>
      <w:outlineLvl w:val="2"/>
    </w:pPr>
    <w:rPr>
      <w:rFonts w:ascii="黑体" w:hAnsi="宋体" w:eastAsia="黑体"/>
      <w:b/>
    </w:rPr>
  </w:style>
  <w:style w:type="paragraph" w:customStyle="1" w:styleId="58">
    <w:name w:val="_Style 55"/>
    <w:basedOn w:val="5"/>
    <w:next w:val="1"/>
    <w:qFormat/>
    <w:uiPriority w:val="39"/>
    <w:pPr>
      <w:widowControl/>
      <w:spacing w:before="480" w:after="0" w:line="276" w:lineRule="auto"/>
      <w:outlineLvl w:val="9"/>
    </w:pPr>
    <w:rPr>
      <w:rFonts w:ascii="Cambria" w:hAnsi="Cambria"/>
      <w:color w:val="365F91"/>
      <w:kern w:val="0"/>
    </w:rPr>
  </w:style>
  <w:style w:type="paragraph" w:customStyle="1" w:styleId="59">
    <w:name w:val="Normal Indent1"/>
    <w:basedOn w:val="1"/>
    <w:qFormat/>
    <w:uiPriority w:val="0"/>
    <w:pPr>
      <w:ind w:firstLine="624"/>
      <w:jc w:val="left"/>
    </w:pPr>
  </w:style>
  <w:style w:type="paragraph" w:customStyle="1" w:styleId="60">
    <w:name w:val="列表段落1"/>
    <w:basedOn w:val="1"/>
    <w:qFormat/>
    <w:uiPriority w:val="34"/>
    <w:pPr>
      <w:ind w:firstLine="420" w:firstLineChars="200"/>
    </w:pPr>
    <w:rPr>
      <w:szCs w:val="20"/>
    </w:rPr>
  </w:style>
  <w:style w:type="paragraph" w:customStyle="1" w:styleId="61">
    <w:name w:val="Char Char Char Char"/>
    <w:basedOn w:val="1"/>
    <w:qFormat/>
    <w:uiPriority w:val="0"/>
    <w:rPr>
      <w:sz w:val="30"/>
      <w:szCs w:val="24"/>
    </w:rPr>
  </w:style>
  <w:style w:type="paragraph" w:customStyle="1" w:styleId="62">
    <w:name w:val="公文抬头"/>
    <w:basedOn w:val="7"/>
    <w:qFormat/>
    <w:uiPriority w:val="0"/>
    <w:pPr>
      <w:ind w:firstLine="0"/>
    </w:pPr>
    <w:rPr>
      <w:rFonts w:ascii="仿宋_GB2312" w:eastAsia="仿宋_GB2312"/>
      <w:sz w:val="30"/>
      <w:szCs w:val="24"/>
    </w:rPr>
  </w:style>
  <w:style w:type="paragraph" w:customStyle="1" w:styleId="63">
    <w:name w:val="表头"/>
    <w:basedOn w:val="1"/>
    <w:qFormat/>
    <w:uiPriority w:val="0"/>
    <w:pPr>
      <w:spacing w:line="360" w:lineRule="auto"/>
      <w:jc w:val="center"/>
    </w:pPr>
    <w:rPr>
      <w:rFonts w:ascii="黑体" w:eastAsia="黑体"/>
      <w:kern w:val="0"/>
      <w:sz w:val="24"/>
      <w:szCs w:val="20"/>
    </w:rPr>
  </w:style>
  <w:style w:type="paragraph" w:customStyle="1" w:styleId="64">
    <w:name w:val="_Style 25"/>
    <w:basedOn w:val="1"/>
    <w:next w:val="1"/>
    <w:qFormat/>
    <w:uiPriority w:val="0"/>
  </w:style>
  <w:style w:type="paragraph" w:customStyle="1" w:styleId="65">
    <w:name w:val="文二"/>
    <w:basedOn w:val="1"/>
    <w:qFormat/>
    <w:uiPriority w:val="0"/>
    <w:pPr>
      <w:jc w:val="left"/>
    </w:pPr>
    <w:rPr>
      <w:rFonts w:ascii="宋体" w:hAnsi="宋体"/>
      <w:szCs w:val="21"/>
    </w:rPr>
  </w:style>
  <w:style w:type="paragraph" w:customStyle="1" w:styleId="66">
    <w:name w:val="Char"/>
    <w:basedOn w:val="1"/>
    <w:qFormat/>
    <w:uiPriority w:val="0"/>
    <w:rPr>
      <w:rFonts w:ascii="Tahoma" w:hAnsi="Tahoma"/>
      <w:sz w:val="24"/>
      <w:szCs w:val="20"/>
    </w:rPr>
  </w:style>
  <w:style w:type="paragraph" w:customStyle="1" w:styleId="6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8">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69">
    <w:name w:val="TOC 标题1"/>
    <w:basedOn w:val="5"/>
    <w:next w:val="1"/>
    <w:qFormat/>
    <w:uiPriority w:val="0"/>
    <w:pPr>
      <w:widowControl/>
      <w:spacing w:before="480" w:after="0" w:line="276" w:lineRule="auto"/>
      <w:outlineLvl w:val="9"/>
    </w:pPr>
    <w:rPr>
      <w:rFonts w:ascii="Cambria" w:hAnsi="Cambria"/>
      <w:color w:val="365F91"/>
      <w:kern w:val="0"/>
      <w:szCs w:val="20"/>
    </w:rPr>
  </w:style>
  <w:style w:type="paragraph" w:customStyle="1" w:styleId="70">
    <w:name w:val="正文文本3"/>
    <w:basedOn w:val="1"/>
    <w:qFormat/>
    <w:uiPriority w:val="0"/>
    <w:pPr>
      <w:shd w:val="clear" w:color="auto" w:fill="FFFFFF"/>
      <w:spacing w:line="0" w:lineRule="atLeast"/>
      <w:jc w:val="left"/>
    </w:pPr>
    <w:rPr>
      <w:rFonts w:ascii="宋体" w:hAnsi="宋体"/>
      <w:kern w:val="0"/>
      <w:sz w:val="19"/>
      <w:szCs w:val="19"/>
    </w:rPr>
  </w:style>
  <w:style w:type="paragraph" w:customStyle="1" w:styleId="71">
    <w:name w:val="文一 New"/>
    <w:basedOn w:val="1"/>
    <w:qFormat/>
    <w:uiPriority w:val="0"/>
    <w:pPr>
      <w:topLinePunct/>
      <w:adjustRightInd w:val="0"/>
      <w:snapToGrid w:val="0"/>
      <w:spacing w:line="360" w:lineRule="auto"/>
      <w:ind w:firstLine="200" w:firstLineChars="200"/>
    </w:pPr>
    <w:rPr>
      <w:snapToGrid w:val="0"/>
      <w:spacing w:val="4"/>
      <w:sz w:val="24"/>
      <w:szCs w:val="24"/>
    </w:rPr>
  </w:style>
  <w:style w:type="paragraph" w:customStyle="1" w:styleId="72">
    <w:name w:val="正题"/>
    <w:basedOn w:val="55"/>
    <w:next w:val="55"/>
    <w:qFormat/>
    <w:uiPriority w:val="0"/>
    <w:pPr>
      <w:ind w:firstLine="0" w:firstLineChars="0"/>
      <w:jc w:val="center"/>
    </w:pPr>
    <w:rPr>
      <w:rFonts w:eastAsia="黑体"/>
      <w:b/>
      <w:sz w:val="36"/>
      <w:szCs w:val="36"/>
    </w:rPr>
  </w:style>
  <w:style w:type="paragraph" w:customStyle="1" w:styleId="73">
    <w:name w:val="_Style 3"/>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4">
    <w:name w:val="A正文"/>
    <w:basedOn w:val="1"/>
    <w:qFormat/>
    <w:uiPriority w:val="0"/>
    <w:pPr>
      <w:overflowPunct w:val="0"/>
      <w:autoSpaceDE w:val="0"/>
      <w:autoSpaceDN w:val="0"/>
      <w:spacing w:line="360" w:lineRule="auto"/>
      <w:ind w:firstLine="200" w:firstLineChars="200"/>
    </w:pPr>
    <w:rPr>
      <w:rFonts w:ascii="等线" w:hAnsi="等线" w:eastAsia="仿宋_GB2312" w:cs="黑体"/>
      <w:sz w:val="24"/>
      <w:szCs w:val="24"/>
    </w:rPr>
  </w:style>
  <w:style w:type="paragraph" w:customStyle="1" w:styleId="75">
    <w:name w:val="_Style 73"/>
    <w:semiHidden/>
    <w:qFormat/>
    <w:uiPriority w:val="99"/>
    <w:rPr>
      <w:rFonts w:ascii="Times New Roman" w:hAnsi="Times New Roman" w:eastAsia="宋体" w:cs="Times New Roman"/>
      <w:kern w:val="2"/>
      <w:sz w:val="21"/>
      <w:lang w:val="en-US" w:eastAsia="zh-CN" w:bidi="ar-SA"/>
    </w:rPr>
  </w:style>
  <w:style w:type="paragraph" w:customStyle="1" w:styleId="76">
    <w:name w:val="Char1"/>
    <w:basedOn w:val="1"/>
    <w:qFormat/>
    <w:uiPriority w:val="0"/>
    <w:pPr>
      <w:numPr>
        <w:ilvl w:val="0"/>
        <w:numId w:val="1"/>
      </w:numPr>
    </w:pPr>
    <w:rPr>
      <w:sz w:val="24"/>
      <w:szCs w:val="24"/>
    </w:rPr>
  </w:style>
  <w:style w:type="paragraph" w:customStyle="1" w:styleId="77">
    <w:name w:val="封一"/>
    <w:basedOn w:val="55"/>
    <w:next w:val="55"/>
    <w:qFormat/>
    <w:uiPriority w:val="0"/>
    <w:pPr>
      <w:ind w:firstLine="0" w:firstLineChars="0"/>
      <w:jc w:val="center"/>
    </w:pPr>
    <w:rPr>
      <w:rFonts w:eastAsia="黑体"/>
      <w:b/>
      <w:sz w:val="84"/>
      <w:szCs w:val="84"/>
    </w:rPr>
  </w:style>
  <w:style w:type="character" w:customStyle="1" w:styleId="78">
    <w:name w:val="标题 2 Char"/>
    <w:qFormat/>
    <w:uiPriority w:val="0"/>
    <w:rPr>
      <w:rFonts w:ascii="Arial" w:hAnsi="Arial" w:eastAsia="宋体" w:cs="Times New Roman"/>
      <w:b/>
      <w:color w:val="000000"/>
      <w:sz w:val="24"/>
      <w:szCs w:val="24"/>
    </w:rPr>
  </w:style>
  <w:style w:type="character" w:customStyle="1" w:styleId="79">
    <w:name w:val="正文文本缩进 3 字符"/>
    <w:semiHidden/>
    <w:qFormat/>
    <w:uiPriority w:val="99"/>
    <w:rPr>
      <w:rFonts w:ascii="Calibri" w:hAnsi="Calibri" w:eastAsia="宋体" w:cs="Times New Roman"/>
      <w:sz w:val="16"/>
      <w:szCs w:val="16"/>
    </w:rPr>
  </w:style>
  <w:style w:type="character" w:customStyle="1" w:styleId="80">
    <w:name w:val="日期 字符1"/>
    <w:link w:val="22"/>
    <w:qFormat/>
    <w:uiPriority w:val="0"/>
    <w:rPr>
      <w:rFonts w:ascii="Times New Roman" w:hAnsi="Times New Roman" w:eastAsia="宋体" w:cs="Times New Roman"/>
      <w:szCs w:val="20"/>
    </w:rPr>
  </w:style>
  <w:style w:type="character" w:customStyle="1" w:styleId="81">
    <w:name w:val="标题 8 字符1"/>
    <w:link w:val="13"/>
    <w:qFormat/>
    <w:uiPriority w:val="0"/>
    <w:rPr>
      <w:rFonts w:ascii="Arial" w:hAnsi="Arial" w:eastAsia="黑体" w:cs="Times New Roman"/>
      <w:sz w:val="24"/>
      <w:szCs w:val="20"/>
    </w:rPr>
  </w:style>
  <w:style w:type="character" w:customStyle="1" w:styleId="82">
    <w:name w:val="标题 9 字符1"/>
    <w:link w:val="14"/>
    <w:qFormat/>
    <w:uiPriority w:val="0"/>
    <w:rPr>
      <w:rFonts w:ascii="Arial" w:hAnsi="Arial" w:eastAsia="黑体" w:cs="Times New Roman"/>
      <w:szCs w:val="20"/>
    </w:rPr>
  </w:style>
  <w:style w:type="character" w:customStyle="1" w:styleId="83">
    <w:name w:val="标题 4 Char"/>
    <w:qFormat/>
    <w:uiPriority w:val="0"/>
    <w:rPr>
      <w:rFonts w:ascii="Arial" w:hAnsi="Arial" w:eastAsia="宋体" w:cs="Times New Roman"/>
      <w:color w:val="000000"/>
      <w:szCs w:val="21"/>
    </w:rPr>
  </w:style>
  <w:style w:type="character" w:customStyle="1" w:styleId="84">
    <w:name w:val="正文文本 字符1"/>
    <w:link w:val="19"/>
    <w:qFormat/>
    <w:uiPriority w:val="0"/>
    <w:rPr>
      <w:rFonts w:ascii="Times New Roman" w:hAnsi="Times New Roman" w:eastAsia="宋体" w:cs="Times New Roman"/>
      <w:szCs w:val="20"/>
    </w:rPr>
  </w:style>
  <w:style w:type="character" w:customStyle="1" w:styleId="85">
    <w:name w:val="批注框文本 字符1"/>
    <w:link w:val="25"/>
    <w:qFormat/>
    <w:uiPriority w:val="0"/>
    <w:rPr>
      <w:rFonts w:ascii="Times New Roman" w:hAnsi="Times New Roman" w:eastAsia="宋体" w:cs="Times New Roman"/>
      <w:sz w:val="18"/>
      <w:szCs w:val="18"/>
    </w:rPr>
  </w:style>
  <w:style w:type="character" w:customStyle="1" w:styleId="86">
    <w:name w:val="正文文本缩进 字符"/>
    <w:semiHidden/>
    <w:qFormat/>
    <w:uiPriority w:val="99"/>
    <w:rPr>
      <w:rFonts w:ascii="Calibri" w:hAnsi="Calibri" w:eastAsia="宋体" w:cs="Times New Roman"/>
    </w:rPr>
  </w:style>
  <w:style w:type="character" w:customStyle="1" w:styleId="87">
    <w:name w:val="正文首行缩进 字符1"/>
    <w:link w:val="37"/>
    <w:qFormat/>
    <w:uiPriority w:val="0"/>
  </w:style>
  <w:style w:type="character" w:customStyle="1" w:styleId="88">
    <w:name w:val="标题 5 字符1"/>
    <w:link w:val="10"/>
    <w:qFormat/>
    <w:uiPriority w:val="0"/>
    <w:rPr>
      <w:rFonts w:ascii="Arial" w:hAnsi="Arial" w:eastAsia="宋体" w:cs="Times New Roman"/>
      <w:color w:val="000000"/>
      <w:szCs w:val="21"/>
    </w:rPr>
  </w:style>
  <w:style w:type="character" w:customStyle="1" w:styleId="89">
    <w:name w:val="正文文本 2 字符"/>
    <w:semiHidden/>
    <w:qFormat/>
    <w:uiPriority w:val="99"/>
    <w:rPr>
      <w:rFonts w:ascii="Calibri" w:hAnsi="Calibri" w:eastAsia="宋体" w:cs="Times New Roman"/>
    </w:rPr>
  </w:style>
  <w:style w:type="character" w:customStyle="1" w:styleId="90">
    <w:name w:val="批注文字 字符"/>
    <w:semiHidden/>
    <w:qFormat/>
    <w:uiPriority w:val="99"/>
    <w:rPr>
      <w:rFonts w:ascii="Calibri" w:hAnsi="Calibri" w:eastAsia="宋体" w:cs="Times New Roman"/>
    </w:rPr>
  </w:style>
  <w:style w:type="character" w:customStyle="1" w:styleId="91">
    <w:name w:val="标题 7 字符1"/>
    <w:link w:val="12"/>
    <w:qFormat/>
    <w:uiPriority w:val="0"/>
    <w:rPr>
      <w:rFonts w:ascii="Times New Roman" w:hAnsi="Times New Roman" w:eastAsia="宋体" w:cs="Times New Roman"/>
      <w:b/>
      <w:sz w:val="24"/>
      <w:szCs w:val="20"/>
    </w:rPr>
  </w:style>
  <w:style w:type="character" w:customStyle="1" w:styleId="92">
    <w:name w:val="正文文本缩进 3 字符1"/>
    <w:link w:val="30"/>
    <w:qFormat/>
    <w:uiPriority w:val="0"/>
    <w:rPr>
      <w:rFonts w:ascii="Times New Roman" w:hAnsi="Times New Roman" w:eastAsia="宋体" w:cs="Times New Roman"/>
      <w:color w:val="000000"/>
      <w:sz w:val="24"/>
      <w:szCs w:val="20"/>
    </w:rPr>
  </w:style>
  <w:style w:type="character" w:customStyle="1" w:styleId="93">
    <w:name w:val="正文文本缩进 字符1"/>
    <w:link w:val="3"/>
    <w:qFormat/>
    <w:uiPriority w:val="0"/>
    <w:rPr>
      <w:rFonts w:ascii="Times New Roman" w:hAnsi="Times New Roman" w:eastAsia="宋体" w:cs="Times New Roman"/>
      <w:sz w:val="28"/>
      <w:szCs w:val="20"/>
    </w:rPr>
  </w:style>
  <w:style w:type="character" w:customStyle="1" w:styleId="94">
    <w:name w:val="日期 字符"/>
    <w:semiHidden/>
    <w:qFormat/>
    <w:uiPriority w:val="99"/>
    <w:rPr>
      <w:rFonts w:ascii="Calibri" w:hAnsi="Calibri" w:eastAsia="宋体" w:cs="Times New Roman"/>
    </w:rPr>
  </w:style>
  <w:style w:type="character" w:customStyle="1" w:styleId="95">
    <w:name w:val="批注文字 字符1"/>
    <w:link w:val="16"/>
    <w:qFormat/>
    <w:uiPriority w:val="0"/>
    <w:rPr>
      <w:rFonts w:ascii="宋体" w:hAnsi="宋体" w:eastAsia="宋体" w:cs="Times New Roman"/>
      <w:sz w:val="24"/>
      <w:szCs w:val="24"/>
    </w:rPr>
  </w:style>
  <w:style w:type="character" w:customStyle="1" w:styleId="96">
    <w:name w:val="标题 9 字符"/>
    <w:semiHidden/>
    <w:qFormat/>
    <w:uiPriority w:val="9"/>
    <w:rPr>
      <w:rFonts w:ascii="等线 Light" w:hAnsi="等线 Light" w:eastAsia="等线 Light" w:cs="Times New Roman"/>
      <w:szCs w:val="21"/>
    </w:rPr>
  </w:style>
  <w:style w:type="character" w:customStyle="1" w:styleId="97">
    <w:name w:val="标题 6 字符1"/>
    <w:link w:val="11"/>
    <w:qFormat/>
    <w:uiPriority w:val="0"/>
    <w:rPr>
      <w:rFonts w:ascii="Arial" w:hAnsi="Arial" w:eastAsia="黑体" w:cs="Times New Roman"/>
      <w:b/>
      <w:bCs/>
      <w:sz w:val="24"/>
      <w:szCs w:val="24"/>
    </w:rPr>
  </w:style>
  <w:style w:type="character" w:customStyle="1" w:styleId="98">
    <w:name w:val="页眉 字符"/>
    <w:semiHidden/>
    <w:qFormat/>
    <w:uiPriority w:val="99"/>
    <w:rPr>
      <w:rFonts w:ascii="Calibri" w:hAnsi="Calibri" w:eastAsia="宋体" w:cs="Times New Roman"/>
      <w:sz w:val="18"/>
      <w:szCs w:val="18"/>
    </w:rPr>
  </w:style>
  <w:style w:type="character" w:customStyle="1" w:styleId="99">
    <w:name w:val="标题 3 字符1"/>
    <w:link w:val="8"/>
    <w:qFormat/>
    <w:uiPriority w:val="0"/>
    <w:rPr>
      <w:rFonts w:ascii="宋体" w:hAnsi="宋体" w:eastAsia="宋体" w:cs="宋体"/>
      <w:kern w:val="0"/>
      <w:sz w:val="27"/>
      <w:szCs w:val="27"/>
    </w:rPr>
  </w:style>
  <w:style w:type="character" w:customStyle="1" w:styleId="100">
    <w:name w:val="页脚 字符"/>
    <w:semiHidden/>
    <w:qFormat/>
    <w:uiPriority w:val="99"/>
    <w:rPr>
      <w:rFonts w:ascii="Calibri" w:hAnsi="Calibri" w:eastAsia="宋体" w:cs="Times New Roman"/>
      <w:sz w:val="18"/>
      <w:szCs w:val="18"/>
    </w:rPr>
  </w:style>
  <w:style w:type="character" w:customStyle="1" w:styleId="101">
    <w:name w:val="标题 1 字符1"/>
    <w:link w:val="5"/>
    <w:qFormat/>
    <w:uiPriority w:val="0"/>
    <w:rPr>
      <w:rFonts w:ascii="Arial" w:hAnsi="Arial" w:eastAsia="宋体" w:cs="Times New Roman"/>
      <w:b/>
      <w:kern w:val="44"/>
      <w:sz w:val="28"/>
      <w:szCs w:val="28"/>
    </w:rPr>
  </w:style>
  <w:style w:type="character" w:customStyle="1" w:styleId="102">
    <w:name w:val="批注框文本 字符"/>
    <w:semiHidden/>
    <w:qFormat/>
    <w:uiPriority w:val="99"/>
    <w:rPr>
      <w:rFonts w:ascii="Calibri" w:hAnsi="Calibri" w:eastAsia="宋体" w:cs="Times New Roman"/>
      <w:sz w:val="18"/>
      <w:szCs w:val="18"/>
    </w:rPr>
  </w:style>
  <w:style w:type="character" w:customStyle="1" w:styleId="103">
    <w:name w:val="页眉 字符1"/>
    <w:link w:val="27"/>
    <w:qFormat/>
    <w:uiPriority w:val="0"/>
    <w:rPr>
      <w:rFonts w:ascii="Calibri" w:hAnsi="Calibri" w:eastAsia="宋体" w:cs="Times New Roman"/>
      <w:sz w:val="18"/>
      <w:szCs w:val="18"/>
    </w:rPr>
  </w:style>
  <w:style w:type="character" w:customStyle="1" w:styleId="104">
    <w:name w:val="标题 2 字符"/>
    <w:link w:val="6"/>
    <w:semiHidden/>
    <w:qFormat/>
    <w:uiPriority w:val="9"/>
    <w:rPr>
      <w:rFonts w:ascii="等线 Light" w:hAnsi="等线 Light" w:eastAsia="等线 Light" w:cs="Times New Roman"/>
      <w:b/>
      <w:bCs/>
      <w:sz w:val="32"/>
      <w:szCs w:val="32"/>
    </w:rPr>
  </w:style>
  <w:style w:type="character" w:customStyle="1" w:styleId="105">
    <w:name w:val="标题 6 字符"/>
    <w:semiHidden/>
    <w:qFormat/>
    <w:uiPriority w:val="9"/>
    <w:rPr>
      <w:rFonts w:ascii="等线 Light" w:hAnsi="等线 Light" w:eastAsia="等线 Light" w:cs="Times New Roman"/>
      <w:b/>
      <w:bCs/>
      <w:sz w:val="24"/>
      <w:szCs w:val="24"/>
    </w:rPr>
  </w:style>
  <w:style w:type="character" w:customStyle="1" w:styleId="106">
    <w:name w:val="正文文本缩进 2 字符1"/>
    <w:link w:val="23"/>
    <w:qFormat/>
    <w:uiPriority w:val="0"/>
    <w:rPr>
      <w:rFonts w:ascii="Times New Roman" w:hAnsi="Times New Roman" w:eastAsia="宋体" w:cs="Times New Roman"/>
      <w:color w:val="000000"/>
      <w:sz w:val="24"/>
      <w:szCs w:val="20"/>
    </w:rPr>
  </w:style>
  <w:style w:type="character" w:customStyle="1" w:styleId="107">
    <w:name w:val="纯文本 字符1"/>
    <w:link w:val="21"/>
    <w:qFormat/>
    <w:uiPriority w:val="0"/>
    <w:rPr>
      <w:rFonts w:ascii="宋体" w:hAnsi="Courier New" w:eastAsia="宋体" w:cs="Times New Roman"/>
      <w:szCs w:val="20"/>
    </w:rPr>
  </w:style>
  <w:style w:type="character" w:customStyle="1" w:styleId="108">
    <w:name w:val="尾注文本 字符"/>
    <w:semiHidden/>
    <w:qFormat/>
    <w:uiPriority w:val="99"/>
    <w:rPr>
      <w:rFonts w:ascii="Calibri" w:hAnsi="Calibri" w:eastAsia="宋体" w:cs="Times New Roman"/>
    </w:rPr>
  </w:style>
  <w:style w:type="character" w:customStyle="1" w:styleId="109">
    <w:name w:val="尾注文本 字符1"/>
    <w:link w:val="24"/>
    <w:qFormat/>
    <w:uiPriority w:val="0"/>
    <w:rPr>
      <w:rFonts w:ascii="Times New Roman" w:hAnsi="Times New Roman" w:eastAsia="宋体" w:cs="Times New Roman"/>
      <w:szCs w:val="20"/>
    </w:rPr>
  </w:style>
  <w:style w:type="character" w:customStyle="1" w:styleId="110">
    <w:name w:val="正文首行缩进 字符"/>
    <w:basedOn w:val="111"/>
    <w:semiHidden/>
    <w:qFormat/>
    <w:uiPriority w:val="99"/>
    <w:rPr>
      <w:rFonts w:ascii="Calibri" w:hAnsi="Calibri" w:eastAsia="宋体" w:cs="Times New Roman"/>
    </w:rPr>
  </w:style>
  <w:style w:type="character" w:customStyle="1" w:styleId="111">
    <w:name w:val="正文文本 字符"/>
    <w:semiHidden/>
    <w:qFormat/>
    <w:uiPriority w:val="99"/>
    <w:rPr>
      <w:rFonts w:ascii="Calibri" w:hAnsi="Calibri" w:eastAsia="宋体" w:cs="Times New Roman"/>
    </w:rPr>
  </w:style>
  <w:style w:type="character" w:customStyle="1" w:styleId="112">
    <w:name w:val="文档结构图 字符"/>
    <w:semiHidden/>
    <w:qFormat/>
    <w:uiPriority w:val="99"/>
    <w:rPr>
      <w:rFonts w:ascii="Microsoft YaHei UI" w:hAnsi="Calibri" w:eastAsia="Microsoft YaHei UI" w:cs="Times New Roman"/>
      <w:sz w:val="18"/>
      <w:szCs w:val="18"/>
    </w:rPr>
  </w:style>
  <w:style w:type="character" w:customStyle="1" w:styleId="113">
    <w:name w:val="页脚 字符1"/>
    <w:link w:val="26"/>
    <w:qFormat/>
    <w:uiPriority w:val="0"/>
    <w:rPr>
      <w:rFonts w:ascii="Calibri" w:hAnsi="Calibri" w:eastAsia="宋体" w:cs="Times New Roman"/>
      <w:sz w:val="18"/>
      <w:szCs w:val="18"/>
    </w:rPr>
  </w:style>
  <w:style w:type="character" w:customStyle="1" w:styleId="114">
    <w:name w:val="标题 4 字符"/>
    <w:link w:val="9"/>
    <w:semiHidden/>
    <w:qFormat/>
    <w:uiPriority w:val="9"/>
    <w:rPr>
      <w:rFonts w:ascii="等线 Light" w:hAnsi="等线 Light" w:eastAsia="等线 Light" w:cs="Times New Roman"/>
      <w:b/>
      <w:bCs/>
      <w:sz w:val="28"/>
      <w:szCs w:val="28"/>
    </w:rPr>
  </w:style>
  <w:style w:type="character" w:customStyle="1" w:styleId="115">
    <w:name w:val="纯文本 字符"/>
    <w:semiHidden/>
    <w:qFormat/>
    <w:uiPriority w:val="99"/>
    <w:rPr>
      <w:rFonts w:ascii="等线" w:hAnsi="Courier New" w:cs="Courier New"/>
    </w:rPr>
  </w:style>
  <w:style w:type="character" w:customStyle="1" w:styleId="116">
    <w:name w:val="正文文本 2 字符1"/>
    <w:link w:val="32"/>
    <w:qFormat/>
    <w:uiPriority w:val="0"/>
    <w:rPr>
      <w:rFonts w:ascii="宋体" w:hAnsi="宋体" w:eastAsia="宋体" w:cs="Times New Roman"/>
      <w:szCs w:val="24"/>
      <w:u w:val="single"/>
    </w:rPr>
  </w:style>
  <w:style w:type="character" w:customStyle="1" w:styleId="117">
    <w:name w:val="标题 字符1"/>
    <w:link w:val="35"/>
    <w:qFormat/>
    <w:uiPriority w:val="0"/>
    <w:rPr>
      <w:rFonts w:ascii="Arial" w:hAnsi="Arial" w:eastAsia="宋体" w:cs="Times New Roman"/>
      <w:b/>
      <w:sz w:val="44"/>
      <w:szCs w:val="20"/>
    </w:rPr>
  </w:style>
  <w:style w:type="character" w:customStyle="1" w:styleId="118">
    <w:name w:val="脚注文本 字符"/>
    <w:semiHidden/>
    <w:qFormat/>
    <w:uiPriority w:val="99"/>
    <w:rPr>
      <w:rFonts w:ascii="Calibri" w:hAnsi="Calibri" w:eastAsia="宋体" w:cs="Times New Roman"/>
      <w:sz w:val="18"/>
      <w:szCs w:val="18"/>
    </w:rPr>
  </w:style>
  <w:style w:type="character" w:customStyle="1" w:styleId="119">
    <w:name w:val="标题 3 字符"/>
    <w:semiHidden/>
    <w:qFormat/>
    <w:uiPriority w:val="9"/>
    <w:rPr>
      <w:rFonts w:ascii="Calibri" w:hAnsi="Calibri" w:eastAsia="宋体" w:cs="Times New Roman"/>
      <w:b/>
      <w:bCs/>
      <w:sz w:val="32"/>
      <w:szCs w:val="32"/>
    </w:rPr>
  </w:style>
  <w:style w:type="character" w:customStyle="1" w:styleId="120">
    <w:name w:val="正文文本缩进 2 字符"/>
    <w:semiHidden/>
    <w:qFormat/>
    <w:uiPriority w:val="99"/>
    <w:rPr>
      <w:rFonts w:ascii="Calibri" w:hAnsi="Calibri" w:eastAsia="宋体" w:cs="Times New Roman"/>
    </w:rPr>
  </w:style>
  <w:style w:type="character" w:customStyle="1" w:styleId="121">
    <w:name w:val="文档结构图 字符1"/>
    <w:link w:val="15"/>
    <w:qFormat/>
    <w:uiPriority w:val="0"/>
    <w:rPr>
      <w:rFonts w:ascii="Times New Roman" w:hAnsi="Times New Roman" w:eastAsia="宋体" w:cs="Times New Roman"/>
      <w:szCs w:val="20"/>
      <w:shd w:val="clear" w:color="auto" w:fill="000080"/>
    </w:rPr>
  </w:style>
  <w:style w:type="character" w:customStyle="1" w:styleId="122">
    <w:name w:val="批注主题 字符"/>
    <w:semiHidden/>
    <w:qFormat/>
    <w:uiPriority w:val="99"/>
    <w:rPr>
      <w:rFonts w:ascii="Calibri" w:hAnsi="Calibri" w:eastAsia="宋体" w:cs="Times New Roman"/>
      <w:b/>
      <w:bCs/>
    </w:rPr>
  </w:style>
  <w:style w:type="character" w:customStyle="1" w:styleId="123">
    <w:name w:val="标题 8 字符"/>
    <w:semiHidden/>
    <w:qFormat/>
    <w:uiPriority w:val="9"/>
    <w:rPr>
      <w:rFonts w:ascii="等线 Light" w:hAnsi="等线 Light" w:eastAsia="等线 Light" w:cs="Times New Roman"/>
      <w:sz w:val="24"/>
      <w:szCs w:val="24"/>
    </w:rPr>
  </w:style>
  <w:style w:type="character" w:customStyle="1" w:styleId="124">
    <w:name w:val="批注主题 字符1"/>
    <w:link w:val="36"/>
    <w:qFormat/>
    <w:uiPriority w:val="0"/>
    <w:rPr>
      <w:rFonts w:ascii="宋体" w:hAnsi="宋体" w:eastAsia="宋体" w:cs="Times New Roman"/>
      <w:b/>
      <w:bCs/>
      <w:sz w:val="24"/>
      <w:szCs w:val="24"/>
    </w:rPr>
  </w:style>
  <w:style w:type="character" w:customStyle="1" w:styleId="125">
    <w:name w:val="标题 字符"/>
    <w:qFormat/>
    <w:uiPriority w:val="10"/>
    <w:rPr>
      <w:rFonts w:ascii="等线 Light" w:hAnsi="等线 Light" w:eastAsia="等线 Light" w:cs="Times New Roman"/>
      <w:b/>
      <w:bCs/>
      <w:sz w:val="32"/>
      <w:szCs w:val="32"/>
    </w:rPr>
  </w:style>
  <w:style w:type="character" w:customStyle="1" w:styleId="126">
    <w:name w:val="标题 5 字符"/>
    <w:semiHidden/>
    <w:qFormat/>
    <w:uiPriority w:val="9"/>
    <w:rPr>
      <w:rFonts w:ascii="Calibri" w:hAnsi="Calibri" w:eastAsia="宋体" w:cs="Times New Roman"/>
      <w:b/>
      <w:bCs/>
      <w:sz w:val="28"/>
      <w:szCs w:val="28"/>
    </w:rPr>
  </w:style>
  <w:style w:type="character" w:customStyle="1" w:styleId="127">
    <w:name w:val="s15"/>
    <w:qFormat/>
    <w:uiPriority w:val="0"/>
    <w:rPr>
      <w:color w:val="2131A1"/>
    </w:rPr>
  </w:style>
  <w:style w:type="character" w:customStyle="1" w:styleId="128">
    <w:name w:val="标题 7 字符"/>
    <w:semiHidden/>
    <w:qFormat/>
    <w:uiPriority w:val="9"/>
    <w:rPr>
      <w:rFonts w:ascii="Calibri" w:hAnsi="Calibri" w:eastAsia="宋体" w:cs="Times New Roman"/>
      <w:b/>
      <w:bCs/>
      <w:sz w:val="24"/>
      <w:szCs w:val="24"/>
    </w:rPr>
  </w:style>
  <w:style w:type="character" w:customStyle="1" w:styleId="129">
    <w:name w:val="脚注文本 字符1"/>
    <w:link w:val="29"/>
    <w:qFormat/>
    <w:uiPriority w:val="0"/>
    <w:rPr>
      <w:rFonts w:ascii="宋体" w:hAnsi="宋体" w:eastAsia="宋体" w:cs="Times New Roman"/>
      <w:sz w:val="18"/>
      <w:szCs w:val="18"/>
    </w:rPr>
  </w:style>
  <w:style w:type="character" w:customStyle="1" w:styleId="130">
    <w:name w:val="标题 1 字符"/>
    <w:qFormat/>
    <w:uiPriority w:val="9"/>
    <w:rPr>
      <w:rFonts w:ascii="Calibri" w:hAnsi="Calibri" w:eastAsia="宋体" w:cs="Times New Roman"/>
      <w:b/>
      <w:bCs/>
      <w:kern w:val="44"/>
      <w:sz w:val="44"/>
      <w:szCs w:val="44"/>
    </w:rPr>
  </w:style>
  <w:style w:type="paragraph" w:customStyle="1" w:styleId="131">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132">
    <w:name w:val="样式 小四"/>
    <w:qFormat/>
    <w:uiPriority w:val="0"/>
    <w:pPr>
      <w:widowControl w:val="0"/>
    </w:pPr>
    <w:rPr>
      <w:rFonts w:ascii="宋体" w:hAnsi="Times New Roman" w:eastAsia="宋体" w:cs="Times New Roman"/>
      <w:kern w:val="2"/>
      <w:sz w:val="24"/>
      <w:szCs w:val="21"/>
      <w:lang w:val="en-US" w:eastAsia="zh-CN" w:bidi="ar-SA"/>
    </w:rPr>
  </w:style>
  <w:style w:type="character" w:customStyle="1" w:styleId="133">
    <w:name w:val="font11"/>
    <w:qFormat/>
    <w:uiPriority w:val="0"/>
    <w:rPr>
      <w:rFonts w:hint="eastAsia" w:ascii="仿宋" w:hAnsi="仿宋" w:eastAsia="仿宋" w:cs="仿宋"/>
      <w:b/>
      <w:color w:val="000000"/>
      <w:sz w:val="28"/>
      <w:szCs w:val="28"/>
      <w:u w:val="none"/>
    </w:rPr>
  </w:style>
  <w:style w:type="character" w:customStyle="1" w:styleId="134">
    <w:name w:val="font21"/>
    <w:qFormat/>
    <w:uiPriority w:val="0"/>
    <w:rPr>
      <w:rFonts w:hint="eastAsia" w:ascii="仿宋" w:hAnsi="仿宋" w:eastAsia="仿宋" w:cs="仿宋"/>
      <w:b/>
      <w:color w:val="000000"/>
      <w:sz w:val="28"/>
      <w:szCs w:val="28"/>
      <w:u w:val="none"/>
    </w:rPr>
  </w:style>
  <w:style w:type="paragraph" w:customStyle="1" w:styleId="135">
    <w:name w:val="正文 New New"/>
    <w:qFormat/>
    <w:uiPriority w:val="0"/>
    <w:pPr>
      <w:widowControl w:val="0"/>
      <w:jc w:val="both"/>
    </w:pPr>
    <w:rPr>
      <w:rFonts w:ascii="Calibri" w:hAnsi="Calibri" w:eastAsia="楷体_GB2312" w:cs="Times New Roman"/>
      <w:lang w:val="en-US" w:eastAsia="zh-CN" w:bidi="ar-SA"/>
    </w:rPr>
  </w:style>
  <w:style w:type="paragraph" w:customStyle="1" w:styleId="136">
    <w:name w:val="PlainText"/>
    <w:basedOn w:val="1"/>
    <w:qFormat/>
    <w:uiPriority w:val="0"/>
    <w:pPr>
      <w:textAlignment w:val="baseline"/>
    </w:pPr>
    <w:rPr>
      <w:rFonts w:ascii="宋体" w:hAnsi="Courier New" w:cs="Calibri"/>
      <w:color w:val="000000"/>
      <w:kern w:val="0"/>
      <w:sz w:val="20"/>
      <w:szCs w:val="20"/>
    </w:rPr>
  </w:style>
  <w:style w:type="paragraph" w:customStyle="1" w:styleId="137">
    <w:name w:val="BodyText"/>
    <w:basedOn w:val="1"/>
    <w:qFormat/>
    <w:uiPriority w:val="0"/>
    <w:pPr>
      <w:spacing w:after="120"/>
    </w:pPr>
    <w:rPr>
      <w:rFonts w:ascii="Times New Roman" w:hAnsi="Times New Roman" w:eastAsia="等线"/>
      <w:kern w:val="0"/>
      <w:sz w:val="20"/>
      <w:szCs w:val="20"/>
    </w:rPr>
  </w:style>
  <w:style w:type="paragraph" w:customStyle="1" w:styleId="138">
    <w:name w:val="样式 宋体 行距: 1.5 倍行距"/>
    <w:basedOn w:val="1"/>
    <w:qFormat/>
    <w:uiPriority w:val="0"/>
    <w:pPr>
      <w:jc w:val="center"/>
    </w:pPr>
    <w:rPr>
      <w:rFonts w:ascii="Times New Roman" w:hAnsi="Times New Roman" w:eastAsia="宋体" w:cs="Times New Roman"/>
      <w:b/>
      <w:lang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3.png"/><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45274</Words>
  <Characters>47712</Characters>
  <Lines>363</Lines>
  <Paragraphs>102</Paragraphs>
  <TotalTime>1</TotalTime>
  <ScaleCrop>false</ScaleCrop>
  <LinksUpToDate>false</LinksUpToDate>
  <CharactersWithSpaces>50617</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2022-06-08T13:48:00Z</dcterms:created>
  <dc:creator>管理员</dc:creator>
  <cp:lastModifiedBy>张荣</cp:lastModifiedBy>
  <cp:lastPrinted>2022-07-08T08:56:00Z</cp:lastPrinted>
  <dcterms:modified xsi:type="dcterms:W3CDTF">2023-08-04T07:01:20Z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AD64B8814BA243DDB9063488602B3594</vt:lpwstr>
  </property>
</Properties>
</file>