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ascii="宋体" w:hAnsi="宋体" w:cs="宋体"/>
          <w:b/>
          <w:color w:val="auto"/>
          <w:sz w:val="48"/>
          <w:szCs w:val="52"/>
          <w:highlight w:val="none"/>
          <w:u w:val="single"/>
        </w:rPr>
      </w:pPr>
    </w:p>
    <w:p>
      <w:pPr>
        <w:pStyle w:val="20"/>
        <w:rPr>
          <w:color w:val="auto"/>
          <w:highlight w:val="none"/>
        </w:rPr>
      </w:pPr>
    </w:p>
    <w:p>
      <w:pPr>
        <w:spacing w:line="360" w:lineRule="auto"/>
        <w:jc w:val="center"/>
        <w:rPr>
          <w:rFonts w:hint="eastAsia" w:ascii="宋体" w:hAnsi="宋体" w:eastAsia="宋体" w:cs="宋体"/>
          <w:color w:val="auto"/>
          <w:sz w:val="36"/>
          <w:highlight w:val="none"/>
          <w:u w:val="none"/>
          <w:lang w:eastAsia="zh-CN"/>
        </w:rPr>
      </w:pPr>
      <w:r>
        <w:rPr>
          <w:rFonts w:hint="eastAsia" w:ascii="宋体" w:hAnsi="宋体" w:eastAsia="宋体" w:cs="宋体"/>
          <w:color w:val="auto"/>
          <w:sz w:val="36"/>
          <w:highlight w:val="none"/>
          <w:u w:val="none"/>
        </w:rPr>
        <w:t>10kV高滩F2上九坡线新建配变满足背阴村新增负荷(小水电接管)工程</w:t>
      </w: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广州市增城区派潭镇人民政府</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eastAsia="宋体" w:cs="Times New Roman"/>
          <w:color w:val="auto"/>
          <w:sz w:val="30"/>
          <w:szCs w:val="30"/>
          <w:highlight w:val="none"/>
          <w:u w:val="single"/>
        </w:rPr>
        <w:t>广州建筑工程监理有限公司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u w:val="single"/>
        </w:rPr>
        <w:t>年</w:t>
      </w:r>
      <w:r>
        <w:rPr>
          <w:rFonts w:hint="eastAsia"/>
          <w:color w:val="auto"/>
          <w:sz w:val="32"/>
          <w:highlight w:val="none"/>
          <w:u w:val="single"/>
          <w:lang w:val="en-US" w:eastAsia="zh-CN"/>
        </w:rPr>
        <w:t>8</w:t>
      </w:r>
      <w:r>
        <w:rPr>
          <w:rFonts w:hint="eastAsia"/>
          <w:color w:val="auto"/>
          <w:sz w:val="32"/>
          <w:highlight w:val="none"/>
          <w:u w:val="single"/>
        </w:rPr>
        <w:t xml:space="preserve">月 </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_Toc3840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_Toc3840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_Toc13846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_Toc13846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_Toc20404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_Toc20404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_Toc4009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_Toc4009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_Toc15623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_Toc15623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_Toc29224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_Toc29224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_Toc19527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_Toc19527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_Toc32216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_Toc32216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_Toc25609 </w:instrText>
      </w:r>
      <w:r>
        <w:rPr>
          <w:color w:val="auto"/>
          <w:highlight w:val="none"/>
        </w:rPr>
        <w:fldChar w:fldCharType="separate"/>
      </w:r>
      <w:r>
        <w:rPr>
          <w:rFonts w:hint="eastAsia"/>
          <w:color w:val="auto"/>
          <w:szCs w:val="28"/>
          <w:highlight w:val="none"/>
          <w:lang w:eastAsia="zh-CN"/>
        </w:rPr>
        <w:t>一</w:t>
      </w:r>
      <w:r>
        <w:rPr>
          <w:rFonts w:hint="eastAsia"/>
          <w:color w:val="auto"/>
          <w:highlight w:val="none"/>
        </w:rPr>
        <w:t>、开标、评标及定标办法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_Toc25609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_Toc20667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_Toc20667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_Toc15620 </w:instrText>
      </w:r>
      <w:r>
        <w:rPr>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_Toc15620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_Toc32430 </w:instrText>
      </w:r>
      <w:r>
        <w:rPr>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_Toc32430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_Toc25893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_Toc25893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_Toc28034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_Toc28034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_Toc13438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_Toc13438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_Toc3974 </w:instrText>
      </w:r>
      <w:r>
        <w:rPr>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_Toc3974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_Toc14882 </w:instrText>
      </w:r>
      <w:r>
        <w:rPr>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_Toc14882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pStyle w:val="20"/>
        <w:rPr>
          <w:rFonts w:ascii="Arial" w:hAnsi="Arial"/>
          <w:color w:val="auto"/>
          <w:kern w:val="44"/>
          <w:sz w:val="28"/>
          <w:szCs w:val="28"/>
          <w:highlight w:val="none"/>
        </w:rPr>
      </w:pPr>
      <w:r>
        <w:rPr>
          <w:color w:val="auto"/>
          <w:highlight w:val="none"/>
        </w:rPr>
        <w:br w:type="page"/>
      </w:r>
    </w:p>
    <w:p>
      <w:pPr>
        <w:pStyle w:val="3"/>
        <w:rPr>
          <w:color w:val="auto"/>
          <w:highlight w:val="none"/>
        </w:rPr>
      </w:pPr>
      <w:bookmarkStart w:id="2" w:name="_Toc3840"/>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p>
    <w:p>
      <w:pPr>
        <w:pStyle w:val="6"/>
        <w:rPr>
          <w:color w:val="auto"/>
          <w:highlight w:val="none"/>
        </w:rPr>
      </w:pPr>
      <w:bookmarkStart w:id="3" w:name="_Toc13846"/>
      <w:bookmarkStart w:id="4" w:name="_Toc2272546"/>
      <w:bookmarkStart w:id="5" w:name="_Toc21525490"/>
      <w:r>
        <w:rPr>
          <w:rFonts w:hint="eastAsia"/>
          <w:color w:val="auto"/>
          <w:highlight w:val="none"/>
        </w:rPr>
        <w:t>一、投标须知前附表</w:t>
      </w:r>
      <w:bookmarkEnd w:id="3"/>
      <w:bookmarkEnd w:id="4"/>
      <w:bookmarkEnd w:id="5"/>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招标人（即发包人）：</w:t>
            </w:r>
            <w:r>
              <w:rPr>
                <w:rFonts w:ascii="宋体" w:hAnsi="宋体"/>
                <w:color w:val="auto"/>
                <w:szCs w:val="21"/>
                <w:highlight w:val="none"/>
                <w:u w:val="single"/>
              </w:rPr>
              <w:t xml:space="preserve">  </w:t>
            </w:r>
            <w:r>
              <w:rPr>
                <w:rFonts w:hint="eastAsia" w:ascii="宋体" w:hAnsi="宋体"/>
                <w:color w:val="auto"/>
                <w:szCs w:val="21"/>
                <w:highlight w:val="none"/>
                <w:u w:val="single"/>
              </w:rPr>
              <w:t>广州市增城区派潭镇人民政府</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招标代理：</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广州建筑工程监理有限公司</w:t>
            </w:r>
            <w:r>
              <w:rPr>
                <w:rFonts w:ascii="宋体" w:hAnsi="宋体"/>
                <w:color w:val="auto"/>
                <w:szCs w:val="21"/>
                <w:highlight w:val="none"/>
                <w:u w:val="single"/>
              </w:rPr>
              <w:t xml:space="preserve">  </w:t>
            </w:r>
          </w:p>
          <w:p>
            <w:pPr>
              <w:rPr>
                <w:rFonts w:hint="eastAsia" w:ascii="宋体" w:hAnsi="宋体"/>
                <w:color w:val="auto"/>
                <w:szCs w:val="21"/>
                <w:highlight w:val="none"/>
                <w:u w:val="single"/>
                <w:lang w:val="en-US" w:eastAsia="zh-CN"/>
              </w:rPr>
            </w:pPr>
            <w:r>
              <w:rPr>
                <w:rFonts w:hint="eastAsia" w:ascii="宋体" w:hAnsi="宋体"/>
                <w:color w:val="auto"/>
                <w:szCs w:val="21"/>
                <w:highlight w:val="none"/>
                <w:u w:val="none"/>
                <w:lang w:eastAsia="zh-CN"/>
              </w:rPr>
              <w:t>设计单位：</w:t>
            </w:r>
            <w:r>
              <w:rPr>
                <w:rFonts w:hint="eastAsia" w:ascii="宋体" w:hAnsi="宋体"/>
                <w:color w:val="auto"/>
                <w:szCs w:val="21"/>
                <w:highlight w:val="none"/>
                <w:u w:val="single"/>
                <w:lang w:val="en-US" w:eastAsia="zh-CN"/>
              </w:rPr>
              <w:t xml:space="preserve">  广州增电电力发展有限公司</w:t>
            </w:r>
            <w:bookmarkStart w:id="300" w:name="_GoBack"/>
            <w:bookmarkEnd w:id="300"/>
          </w:p>
          <w:p>
            <w:pPr>
              <w:rPr>
                <w:rFonts w:hint="eastAsia" w:ascii="宋体" w:hAnsi="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u w:val="single"/>
                <w:lang w:eastAsia="zh-CN"/>
              </w:rPr>
              <w:t>10kV高滩F2上九坡线新建配变满足背阴村新增负荷(小水电接管)工程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广州市增城区</w:t>
            </w:r>
            <w:r>
              <w:rPr>
                <w:rFonts w:hint="eastAsia" w:ascii="宋体" w:hAnsi="宋体"/>
                <w:color w:val="auto"/>
                <w:szCs w:val="21"/>
                <w:highlight w:val="none"/>
                <w:u w:val="single"/>
                <w:lang w:eastAsia="zh-CN"/>
              </w:rPr>
              <w:t>派潭镇背阴村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6" w:name="EB164675f0013548cdaca884c6987a1710"/>
            <w:r>
              <w:rPr>
                <w:rFonts w:hint="eastAsia" w:ascii="Times New Roman" w:hAnsi="Times New Roman"/>
                <w:b/>
                <w:color w:val="auto"/>
                <w:szCs w:val="21"/>
                <w:highlight w:val="none"/>
                <w:u w:val="single"/>
              </w:rPr>
              <w:t>按现行工程质量验收标准达到一次性竣工验收合格，并符合施工图纸要求和国家、行业有关标准。</w:t>
            </w:r>
            <w:bookmarkEnd w:id="6"/>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施工总工期：</w:t>
            </w:r>
            <w:r>
              <w:rPr>
                <w:rFonts w:hint="eastAsia" w:ascii="宋体" w:hAnsi="宋体"/>
                <w:color w:val="auto"/>
                <w:szCs w:val="21"/>
                <w:highlight w:val="none"/>
                <w:lang w:val="en-US" w:eastAsia="zh-CN"/>
              </w:rPr>
              <w:t>90</w:t>
            </w:r>
            <w:r>
              <w:rPr>
                <w:rFonts w:hint="eastAsia" w:ascii="宋体" w:hAnsi="宋体"/>
                <w:color w:val="auto"/>
                <w:szCs w:val="21"/>
                <w:highlight w:val="none"/>
              </w:rPr>
              <w:t>日历天。具体以监理人发出开工令至现场确认完工为止。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lang w:eastAsia="zh-CN"/>
              </w:rPr>
              <w:t>区城投统筹资金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color w:val="auto"/>
                <w:highlight w:val="none"/>
              </w:rPr>
            </w:pPr>
            <w:r>
              <w:rPr>
                <w:rFonts w:hint="eastAsia" w:ascii="宋体" w:hAnsi="宋体" w:cs="宋体"/>
                <w:color w:val="auto"/>
                <w:szCs w:val="21"/>
                <w:highlight w:val="none"/>
              </w:rPr>
              <w:t>投标担保额度：</w:t>
            </w:r>
            <w:r>
              <w:rPr>
                <w:color w:val="auto"/>
                <w:highlight w:val="none"/>
              </w:rPr>
              <w:t xml:space="preserve"> </w:t>
            </w:r>
            <w:r>
              <w:rPr>
                <w:rFonts w:hint="eastAsia" w:ascii="宋体" w:hAnsi="宋体" w:cs="宋体"/>
                <w:b/>
                <w:bCs/>
                <w:color w:val="auto"/>
                <w:highlight w:val="none"/>
                <w:u w:val="single"/>
                <w:lang w:val="en-US" w:eastAsia="zh-CN"/>
              </w:rPr>
              <w:t>5</w:t>
            </w:r>
            <w:r>
              <w:rPr>
                <w:rFonts w:hint="eastAsia"/>
                <w:color w:val="auto"/>
                <w:highlight w:val="none"/>
              </w:rPr>
              <w:t>万元人民币。</w:t>
            </w:r>
          </w:p>
          <w:p>
            <w:pPr>
              <w:ind w:firstLine="420" w:firstLineChars="200"/>
              <w:rPr>
                <w:color w:val="auto"/>
                <w:highlight w:val="none"/>
              </w:rPr>
            </w:pPr>
            <w:r>
              <w:rPr>
                <w:rFonts w:hint="eastAsia" w:ascii="宋体" w:hAnsi="宋体" w:cs="宋体"/>
                <w:color w:val="auto"/>
                <w:szCs w:val="21"/>
                <w:highlight w:val="none"/>
              </w:rPr>
              <w:t>投标保证金有效期：</w:t>
            </w:r>
            <w:r>
              <w:rPr>
                <w:rFonts w:hint="eastAsia" w:ascii="宋体" w:hAnsi="宋体" w:cs="宋体"/>
                <w:color w:val="auto"/>
                <w:szCs w:val="21"/>
                <w:highlight w:val="none"/>
                <w:u w:val="single"/>
              </w:rPr>
              <w:t>长于或等于投标有效期。</w:t>
            </w:r>
          </w:p>
          <w:p>
            <w:pPr>
              <w:snapToGrid w:val="0"/>
              <w:rPr>
                <w:rFonts w:ascii="宋体" w:hAnsi="宋体"/>
                <w:color w:val="auto"/>
                <w:highlight w:val="none"/>
                <w:u w:val="single"/>
              </w:rPr>
            </w:pPr>
            <w:r>
              <w:rPr>
                <w:rFonts w:hint="eastAsia" w:ascii="宋体" w:hAnsi="宋体"/>
                <w:color w:val="auto"/>
                <w:highlight w:val="none"/>
                <w:u w:val="single"/>
              </w:rPr>
              <w:t>投标保证金可采用现金、支票、银行保函、保证保险、专业工程担保公司担保等形式，须在递交投标文件截止时间前完成缴纳。</w:t>
            </w:r>
            <w:r>
              <w:rPr>
                <w:rFonts w:hint="eastAsia" w:ascii="宋体" w:hAnsi="宋体" w:eastAsia="宋体" w:cs="宋体"/>
                <w:color w:val="auto"/>
                <w:sz w:val="21"/>
                <w:szCs w:val="21"/>
                <w:highlight w:val="none"/>
                <w:u w:val="single"/>
                <w:lang w:val="en-US" w:eastAsia="zh-CN"/>
              </w:rPr>
              <w:t>根据穗发改函【2021】347精神，建议投标人优先采用电子保函形式递交投标保证金</w:t>
            </w:r>
            <w:r>
              <w:rPr>
                <w:rFonts w:hint="eastAsia" w:ascii="宋体" w:hAnsi="宋体" w:eastAsia="宋体" w:cs="宋体"/>
                <w:color w:val="auto"/>
                <w:sz w:val="21"/>
                <w:szCs w:val="21"/>
                <w:highlight w:val="none"/>
                <w:u w:val="single"/>
              </w:rPr>
              <w:t>。</w:t>
            </w:r>
          </w:p>
          <w:p>
            <w:pPr>
              <w:snapToGrid w:val="0"/>
              <w:rPr>
                <w:rFonts w:ascii="宋体" w:hAnsi="宋体"/>
                <w:color w:val="auto"/>
                <w:highlight w:val="none"/>
                <w:u w:val="single"/>
              </w:rPr>
            </w:pPr>
            <w:r>
              <w:rPr>
                <w:rFonts w:ascii="宋体" w:hAnsi="宋体"/>
                <w:color w:val="auto"/>
                <w:highlight w:val="none"/>
                <w:u w:val="single"/>
              </w:rPr>
              <w:t>1、如采用现金或者支票形式提交的，投标保证金从投标人基本账户递交，由</w:t>
            </w:r>
            <w:r>
              <w:rPr>
                <w:rFonts w:hint="eastAsia" w:ascii="宋体" w:hAnsi="宋体"/>
                <w:color w:val="auto"/>
                <w:highlight w:val="none"/>
                <w:u w:val="single"/>
                <w:lang w:eastAsia="zh-CN"/>
              </w:rPr>
              <w:t>广州交易集团有限公司（广州公共资源交易中心）</w:t>
            </w:r>
            <w:r>
              <w:rPr>
                <w:rFonts w:ascii="宋体" w:hAnsi="宋体"/>
                <w:color w:val="auto"/>
                <w:highlight w:val="none"/>
                <w:u w:val="single"/>
              </w:rPr>
              <w:t>代收。具体操作要求详见</w:t>
            </w:r>
            <w:r>
              <w:rPr>
                <w:rFonts w:hint="eastAsia" w:ascii="宋体" w:hAnsi="宋体"/>
                <w:color w:val="auto"/>
                <w:highlight w:val="none"/>
                <w:u w:val="single"/>
                <w:lang w:eastAsia="zh-CN"/>
              </w:rPr>
              <w:t>广州交易集团有限公司（广州公共资源交易中心）</w:t>
            </w:r>
            <w:r>
              <w:rPr>
                <w:rFonts w:ascii="宋体" w:hAnsi="宋体"/>
                <w:color w:val="auto"/>
                <w:highlight w:val="none"/>
                <w:u w:val="single"/>
              </w:rPr>
              <w:t>有关指引，递交事宜请自行咨询交易中心；请各投标人在投标文件递交截止时间前按上述金额递交至</w:t>
            </w:r>
            <w:r>
              <w:rPr>
                <w:rFonts w:hint="eastAsia" w:ascii="宋体" w:hAnsi="宋体"/>
                <w:color w:val="auto"/>
                <w:highlight w:val="none"/>
                <w:u w:val="single"/>
                <w:lang w:eastAsia="zh-CN"/>
              </w:rPr>
              <w:t>广州交易集团有限公司（广州公共资源交易中心）</w:t>
            </w:r>
            <w:r>
              <w:rPr>
                <w:rFonts w:ascii="宋体" w:hAnsi="宋体"/>
                <w:color w:val="auto"/>
                <w:highlight w:val="none"/>
                <w:u w:val="single"/>
              </w:rPr>
              <w:t>，到账情况以开标时</w:t>
            </w:r>
            <w:r>
              <w:rPr>
                <w:rFonts w:hint="eastAsia" w:ascii="宋体" w:hAnsi="宋体"/>
                <w:color w:val="auto"/>
                <w:highlight w:val="none"/>
                <w:u w:val="single"/>
                <w:lang w:eastAsia="zh-CN"/>
              </w:rPr>
              <w:t>广州交易集团有限公司（广州公共资源交易中心）</w:t>
            </w:r>
            <w:r>
              <w:rPr>
                <w:rFonts w:ascii="宋体" w:hAnsi="宋体"/>
                <w:color w:val="auto"/>
                <w:highlight w:val="none"/>
                <w:u w:val="single"/>
              </w:rPr>
              <w:t>数据库查询的信息为准。</w:t>
            </w:r>
          </w:p>
          <w:p>
            <w:pPr>
              <w:snapToGrid w:val="0"/>
              <w:rPr>
                <w:rFonts w:ascii="宋体" w:hAnsi="宋体"/>
                <w:color w:val="auto"/>
                <w:highlight w:val="none"/>
                <w:u w:val="single"/>
              </w:rPr>
            </w:pPr>
            <w:r>
              <w:rPr>
                <w:rFonts w:hint="eastAsia" w:ascii="宋体" w:hAnsi="宋体"/>
                <w:color w:val="auto"/>
                <w:highlight w:val="none"/>
                <w:u w:val="single"/>
              </w:rPr>
              <w:t>投标人需在交易系统中将汇入投标保证金与投标项目进行绑定，绑定成功后才能被认定为完成缴交投标保证金义务。</w:t>
            </w:r>
          </w:p>
          <w:p>
            <w:pPr>
              <w:snapToGrid w:val="0"/>
              <w:rPr>
                <w:rFonts w:ascii="宋体" w:hAnsi="宋体"/>
                <w:color w:val="auto"/>
                <w:highlight w:val="none"/>
                <w:u w:val="single"/>
              </w:rPr>
            </w:pPr>
            <w:r>
              <w:rPr>
                <w:rFonts w:ascii="宋体" w:hAnsi="宋体"/>
                <w:color w:val="auto"/>
                <w:highlight w:val="none"/>
                <w:u w:val="single"/>
              </w:rPr>
              <w:t>2、如采用</w:t>
            </w:r>
            <w:r>
              <w:rPr>
                <w:rFonts w:hint="eastAsia" w:ascii="宋体" w:hAnsi="宋体"/>
                <w:color w:val="auto"/>
                <w:highlight w:val="none"/>
                <w:u w:val="single"/>
              </w:rPr>
              <w:t>非电子形式的银行保函、专业工程担保公司担保或保证保险等形式提交投标保证金的</w:t>
            </w:r>
            <w:r>
              <w:rPr>
                <w:rFonts w:ascii="宋体" w:hAnsi="宋体"/>
                <w:color w:val="auto"/>
                <w:highlight w:val="none"/>
                <w:u w:val="single"/>
              </w:rPr>
              <w:t>，银行保函需开具给招标人，银行保函有效期不少于投标有效期。专业</w:t>
            </w:r>
            <w:r>
              <w:rPr>
                <w:rFonts w:hint="eastAsia" w:ascii="宋体" w:hAnsi="宋体"/>
                <w:color w:val="auto"/>
                <w:highlight w:val="none"/>
                <w:u w:val="single"/>
              </w:rPr>
              <w:t>工程</w:t>
            </w:r>
            <w:r>
              <w:rPr>
                <w:rFonts w:ascii="宋体" w:hAnsi="宋体"/>
                <w:color w:val="auto"/>
                <w:highlight w:val="none"/>
                <w:u w:val="single"/>
              </w:rPr>
              <w:t>担保公司担保</w:t>
            </w:r>
            <w:r>
              <w:rPr>
                <w:rFonts w:hint="eastAsia" w:ascii="宋体" w:hAnsi="宋体"/>
                <w:color w:val="auto"/>
                <w:highlight w:val="none"/>
                <w:u w:val="single"/>
              </w:rPr>
              <w:t>或</w:t>
            </w:r>
            <w:r>
              <w:rPr>
                <w:rFonts w:ascii="宋体" w:hAnsi="宋体"/>
                <w:color w:val="auto"/>
                <w:highlight w:val="none"/>
                <w:u w:val="single"/>
              </w:rPr>
              <w:t>保证保险需开具给招标人（受益人也必须是招标人），有效期不少于投标有效期。在开标前不强制要求</w:t>
            </w:r>
            <w:r>
              <w:rPr>
                <w:rFonts w:hint="eastAsia" w:ascii="宋体" w:hAnsi="宋体"/>
                <w:color w:val="auto"/>
                <w:highlight w:val="none"/>
                <w:u w:val="single"/>
              </w:rPr>
              <w:t>投标人</w:t>
            </w:r>
            <w:r>
              <w:rPr>
                <w:rFonts w:ascii="宋体" w:hAnsi="宋体"/>
                <w:color w:val="auto"/>
                <w:highlight w:val="none"/>
                <w:u w:val="single"/>
              </w:rPr>
              <w:t>提交纸质原件，由中标候选人在中标候选人公示前提交并在网上公示，但</w:t>
            </w:r>
            <w:r>
              <w:rPr>
                <w:rFonts w:hint="eastAsia" w:ascii="宋体" w:hAnsi="宋体"/>
                <w:color w:val="auto"/>
                <w:highlight w:val="none"/>
                <w:u w:val="single"/>
              </w:rPr>
              <w:t>投标人应在投标文件中提交保函、担保或保证保险扫描件并加盖投标人电子印章</w:t>
            </w:r>
            <w:r>
              <w:rPr>
                <w:rFonts w:ascii="宋体" w:hAnsi="宋体"/>
                <w:color w:val="auto"/>
                <w:highlight w:val="none"/>
                <w:u w:val="single"/>
              </w:rPr>
              <w:t>。如投标人选择在开标前提交纸质原件的，可在投标截止时间前15分钟单独密封递交至开标室。</w:t>
            </w:r>
          </w:p>
          <w:p>
            <w:pPr>
              <w:snapToGrid w:val="0"/>
              <w:rPr>
                <w:rFonts w:ascii="宋体" w:hAnsi="宋体"/>
                <w:color w:val="auto"/>
                <w:highlight w:val="none"/>
                <w:u w:val="single"/>
              </w:rPr>
            </w:pPr>
            <w:r>
              <w:rPr>
                <w:rFonts w:ascii="宋体" w:hAnsi="宋体"/>
                <w:color w:val="auto"/>
                <w:highlight w:val="none"/>
                <w:u w:val="single"/>
              </w:rPr>
              <w:t>3、如</w:t>
            </w:r>
            <w:r>
              <w:rPr>
                <w:rFonts w:hint="eastAsia" w:ascii="宋体" w:hAnsi="宋体"/>
                <w:color w:val="auto"/>
                <w:highlight w:val="none"/>
                <w:u w:val="single"/>
              </w:rPr>
              <w:t>采用电子形式的保函、担保或保证保险提交投标保证金的</w:t>
            </w:r>
            <w:r>
              <w:rPr>
                <w:rFonts w:ascii="宋体" w:hAnsi="宋体"/>
                <w:color w:val="auto"/>
                <w:highlight w:val="none"/>
                <w:u w:val="single"/>
              </w:rPr>
              <w:t>，详见</w:t>
            </w:r>
            <w:r>
              <w:rPr>
                <w:rFonts w:hint="eastAsia" w:ascii="宋体" w:hAnsi="宋体"/>
                <w:color w:val="auto"/>
                <w:highlight w:val="none"/>
                <w:u w:val="single"/>
                <w:lang w:eastAsia="zh-CN"/>
              </w:rPr>
              <w:t>广州交易集团有限公司（广州公共资源交易中心）</w:t>
            </w:r>
            <w:r>
              <w:rPr>
                <w:rFonts w:hint="eastAsia" w:ascii="宋体" w:hAnsi="宋体"/>
                <w:color w:val="auto"/>
                <w:highlight w:val="none"/>
                <w:u w:val="single"/>
              </w:rPr>
              <w:t>相关</w:t>
            </w:r>
            <w:r>
              <w:rPr>
                <w:rFonts w:ascii="宋体" w:hAnsi="宋体"/>
                <w:color w:val="auto"/>
                <w:highlight w:val="none"/>
                <w:u w:val="single"/>
              </w:rPr>
              <w:t>操作指引。（本条适用于交易中心系统支持采用电子保函方式递交的情形）</w:t>
            </w:r>
          </w:p>
          <w:p>
            <w:pPr>
              <w:snapToGrid w:val="0"/>
              <w:rPr>
                <w:rFonts w:ascii="宋体" w:hAnsi="宋体"/>
                <w:b/>
                <w:color w:val="auto"/>
                <w:highlight w:val="none"/>
                <w:u w:val="single"/>
              </w:rPr>
            </w:pPr>
            <w:r>
              <w:rPr>
                <w:rFonts w:hint="eastAsia" w:ascii="宋体" w:hAnsi="宋体"/>
                <w:b/>
                <w:color w:val="auto"/>
                <w:highlight w:val="none"/>
                <w:u w:val="single"/>
              </w:rPr>
              <w:t>4、为降低投标人的交易成本，扩大信用承诺制的应用范围，信用良好企业或中小企业（联合体投标时，指联合体各成员）在提供相关资料后可无需缴纳投标保证金：</w:t>
            </w:r>
          </w:p>
          <w:p>
            <w:pPr>
              <w:snapToGrid w:val="0"/>
              <w:rPr>
                <w:rFonts w:ascii="宋体" w:hAnsi="宋体"/>
                <w:color w:val="auto"/>
                <w:highlight w:val="none"/>
                <w:u w:val="single"/>
              </w:rPr>
            </w:pPr>
            <w:r>
              <w:rPr>
                <w:rFonts w:hint="eastAsia" w:ascii="宋体" w:hAnsi="宋体"/>
                <w:b/>
                <w:color w:val="auto"/>
                <w:highlight w:val="none"/>
                <w:u w:val="single"/>
              </w:rPr>
              <w:t>（1）信用良好的投标人需提供信用状况良好的相关证明：</w:t>
            </w:r>
            <w:r>
              <w:rPr>
                <w:rFonts w:hint="eastAsia" w:ascii="宋体" w:hAnsi="宋体"/>
                <w:color w:val="auto"/>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ascii="宋体" w:hAnsi="宋体"/>
                <w:color w:val="auto"/>
                <w:highlight w:val="none"/>
                <w:u w:val="single"/>
              </w:rPr>
            </w:pPr>
            <w:r>
              <w:rPr>
                <w:rFonts w:hint="eastAsia" w:ascii="宋体" w:hAnsi="宋体"/>
                <w:b/>
                <w:color w:val="auto"/>
                <w:highlight w:val="none"/>
                <w:u w:val="single"/>
              </w:rPr>
              <w:t>（2）属于中小企业（包括中型、小型和微型企业）的投标人需提供属于中小企业的资料：</w:t>
            </w:r>
            <w:r>
              <w:rPr>
                <w:rFonts w:hint="eastAsia" w:ascii="宋体" w:hAnsi="宋体"/>
                <w:color w:val="auto"/>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rPr>
                <w:rFonts w:ascii="Calibri" w:hAnsi="Calibri" w:eastAsia="宋体" w:cs="Times New Roman"/>
                <w:color w:val="auto"/>
                <w:kern w:val="2"/>
                <w:sz w:val="21"/>
                <w:szCs w:val="22"/>
                <w:highlight w:val="none"/>
                <w:lang w:val="en-US" w:eastAsia="zh-CN" w:bidi="ar-SA"/>
              </w:rPr>
            </w:pPr>
            <w:r>
              <w:rPr>
                <w:rFonts w:hint="eastAsia" w:ascii="宋体" w:hAnsi="宋体"/>
                <w:b/>
                <w:color w:val="auto"/>
                <w:highlight w:val="none"/>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color w:val="auto"/>
                <w:szCs w:val="21"/>
                <w:highlight w:val="none"/>
              </w:rPr>
            </w:pPr>
            <w:r>
              <w:rPr>
                <w:rFonts w:hint="eastAsia" w:ascii="宋体" w:hAnsi="宋体" w:cs="宋体"/>
                <w:color w:val="auto"/>
                <w:szCs w:val="21"/>
                <w:highlight w:val="none"/>
              </w:rPr>
              <w:t>招标人不集中组织，由投标人自行踏勘。</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投标人在递交投标文件截止时间18天</w:t>
            </w:r>
            <w:r>
              <w:rPr>
                <w:rFonts w:hint="eastAsia" w:ascii="宋体" w:hAnsi="宋体"/>
                <w:color w:val="auto"/>
                <w:szCs w:val="21"/>
                <w:highlight w:val="none"/>
              </w:rPr>
              <w:t>前；</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交易平台提交。</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w:t>
            </w:r>
            <w:r>
              <w:rPr>
                <w:rFonts w:hint="eastAsia" w:ascii="宋体" w:hAnsi="宋体"/>
                <w:color w:val="auto"/>
                <w:szCs w:val="21"/>
                <w:highlight w:val="none"/>
                <w:u w:val="single"/>
              </w:rPr>
              <w:t>招标答疑采用网上答疑方式进行。投标人若对招标文件有疑问的，可在规定的时间内通过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网站进入“招标答疑提问”页面将问题提交给招标人或招标代理人</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u w:val="single"/>
              </w:rPr>
              <w:t xml:space="preserve"> 202</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p>
            <w:pPr>
              <w:pStyle w:val="20"/>
              <w:rPr>
                <w:color w:val="auto"/>
                <w:highlight w:val="none"/>
              </w:rPr>
            </w:pPr>
            <w:r>
              <w:rPr>
                <w:rFonts w:hint="eastAsia" w:hAnsi="宋体"/>
                <w:color w:val="auto"/>
                <w:szCs w:val="21"/>
                <w:highlight w:val="none"/>
                <w:u w:val="singl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1、开标开始时间：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分（与投标截止时间为同一时间），地点：</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
                <w:bCs/>
                <w:color w:val="auto"/>
                <w:kern w:val="0"/>
                <w:sz w:val="21"/>
                <w:szCs w:val="21"/>
                <w:highlight w:val="none"/>
              </w:rPr>
              <w:t>投标人也可选择参加在线开标，具体按照交易平台相关指南进行操作。详见：</w:t>
            </w:r>
            <w:r>
              <w:rPr>
                <w:rFonts w:hint="eastAsia" w:ascii="宋体" w:hAnsi="宋体" w:cs="宋体"/>
                <w:b/>
                <w:bCs/>
                <w:color w:val="auto"/>
                <w:kern w:val="0"/>
                <w:sz w:val="21"/>
                <w:szCs w:val="21"/>
                <w:highlight w:val="none"/>
                <w:u w:val="single"/>
                <w:lang w:val="en-US" w:eastAsia="zh-CN"/>
              </w:rPr>
              <w:t>广州交易集团有限公司（广州公共资源交易中心）</w:t>
            </w:r>
            <w:r>
              <w:rPr>
                <w:rFonts w:hint="eastAsia" w:ascii="宋体" w:hAnsi="宋体" w:eastAsia="宋体" w:cs="宋体"/>
                <w:b/>
                <w:bCs/>
                <w:color w:val="auto"/>
                <w:kern w:val="0"/>
                <w:sz w:val="21"/>
                <w:szCs w:val="21"/>
                <w:highlight w:val="none"/>
                <w:u w:val="single"/>
                <w:lang w:val="en-US" w:eastAsia="zh-CN"/>
              </w:rPr>
              <w:t>-服务指南-操作手册</w:t>
            </w:r>
            <w:r>
              <w:rPr>
                <w:rFonts w:hint="eastAsia" w:ascii="宋体" w:hAnsi="宋体" w:eastAsia="宋体" w:cs="宋体"/>
                <w:b/>
                <w:bCs/>
                <w:color w:val="auto"/>
                <w:kern w:val="0"/>
                <w:sz w:val="21"/>
                <w:szCs w:val="21"/>
                <w:highlight w:val="none"/>
              </w:rPr>
              <w:t>。</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2、递交投标文件备用光盘时间：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分至</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   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分；递交地点：</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。(建议安排在投标文件截止时间前15分钟至投标文件截止时间）</w:t>
            </w:r>
          </w:p>
          <w:p>
            <w:pP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上述时间及地点是否有改变，请密切留意</w:t>
            </w:r>
            <w:r>
              <w:rPr>
                <w:rFonts w:hint="eastAsia" w:ascii="宋体" w:hAnsi="宋体" w:eastAsia="宋体" w:cs="宋体"/>
                <w:b/>
                <w:color w:val="auto"/>
                <w:kern w:val="0"/>
                <w:sz w:val="21"/>
                <w:szCs w:val="21"/>
                <w:highlight w:val="none"/>
              </w:rPr>
              <w:t>补充公告和</w:t>
            </w:r>
            <w:r>
              <w:rPr>
                <w:rFonts w:hint="eastAsia" w:ascii="宋体" w:hAnsi="宋体" w:eastAsia="宋体" w:cs="宋体"/>
                <w:bCs/>
                <w:color w:val="auto"/>
                <w:kern w:val="0"/>
                <w:sz w:val="21"/>
                <w:szCs w:val="21"/>
                <w:highlight w:val="none"/>
              </w:rPr>
              <w:t>招标答疑纪要的相关信息。</w:t>
            </w:r>
          </w:p>
          <w:p>
            <w:pPr>
              <w:widowControl/>
              <w:jc w:val="left"/>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u w:val="single"/>
                <w:lang w:val="en-US" w:eastAsia="zh-CN"/>
              </w:rPr>
              <w:t>注：若投标人代表对开标过程有异议的，参加现场开标的应当在开标现场提出，同时出示本人身份证原件，招标人应当当场作出答复，并制作记录；参加在线开标的，投标人应通过广交易建设工程电子开标系统在线提出，招标人应通过广交易建设工程电子开标系统答复，异议答复是招标人真实意思表示。未答复的，开标程序不得结束，答复后方可结束开标。</w:t>
            </w:r>
          </w:p>
          <w:p>
            <w:pPr>
              <w:widowControl/>
              <w:jc w:val="left"/>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u w:val="single"/>
                <w:lang w:val="en-US" w:eastAsia="zh-CN"/>
              </w:rPr>
              <w:t>1.具体操作详见“广州交易集团有限公司（广州公共资源交易中心）门户网站首页-&gt;服务指南-&gt;系统帮助-&gt;操作手册-&gt;发起及受理异议操作指引”。</w:t>
            </w:r>
          </w:p>
          <w:p>
            <w:pPr>
              <w:widowControl/>
              <w:jc w:val="left"/>
              <w:rPr>
                <w:rFonts w:ascii="宋体" w:hAnsi="宋体"/>
                <w:color w:val="auto"/>
                <w:szCs w:val="21"/>
                <w:highlight w:val="none"/>
              </w:rPr>
            </w:pPr>
            <w:r>
              <w:rPr>
                <w:rFonts w:hint="eastAsia" w:ascii="宋体" w:hAnsi="宋体" w:eastAsia="宋体" w:cs="宋体"/>
                <w:bCs/>
                <w:color w:val="auto"/>
                <w:kern w:val="0"/>
                <w:sz w:val="21"/>
                <w:szCs w:val="21"/>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hint="eastAsia" w:ascii="宋体" w:hAnsi="宋体"/>
                <w:color w:val="auto"/>
                <w:szCs w:val="21"/>
                <w:highlight w:val="none"/>
                <w:u w:val="single"/>
              </w:rPr>
            </w:pPr>
            <w:r>
              <w:rPr>
                <w:rFonts w:hint="eastAsia" w:ascii="宋体" w:hAnsi="宋体"/>
                <w:color w:val="auto"/>
                <w:szCs w:val="21"/>
                <w:highlight w:val="none"/>
              </w:rPr>
              <w:t>方式一：选取方法</w:t>
            </w:r>
            <w:r>
              <w:rPr>
                <w:rFonts w:hint="eastAsia" w:ascii="宋体" w:hAnsi="宋体"/>
                <w:color w:val="auto"/>
                <w:szCs w:val="21"/>
                <w:highlight w:val="none"/>
                <w:u w:val="single"/>
              </w:rPr>
              <w:t>七（适合综合评分法四，技术标与经济标同时开启）</w:t>
            </w:r>
          </w:p>
          <w:p>
            <w:pPr>
              <w:pStyle w:val="5"/>
              <w:ind w:firstLine="0"/>
              <w:rPr>
                <w:rFonts w:ascii="宋体" w:hAnsi="宋体"/>
                <w:color w:val="auto"/>
                <w:szCs w:val="21"/>
                <w:highlight w:val="none"/>
                <w:u w:val="single"/>
              </w:rPr>
            </w:pPr>
            <w:r>
              <w:rPr>
                <w:rFonts w:hint="eastAsia" w:ascii="宋体" w:hAnsi="宋体"/>
                <w:color w:val="auto"/>
                <w:szCs w:val="21"/>
                <w:highlight w:val="none"/>
              </w:rPr>
              <w:t>投标人总得分=</w:t>
            </w:r>
            <w:r>
              <w:rPr>
                <w:rFonts w:hint="eastAsia" w:ascii="宋体" w:hAnsi="宋体" w:cs="宋体"/>
                <w:color w:val="auto"/>
                <w:szCs w:val="21"/>
                <w:highlight w:val="none"/>
                <w:u w:val="single"/>
              </w:rPr>
              <w:t>技术得分×技术得分权重（20%）＋经济得分×经济得分权重（80%）</w:t>
            </w:r>
          </w:p>
          <w:p>
            <w:pPr>
              <w:pStyle w:val="5"/>
              <w:ind w:firstLine="0"/>
              <w:rPr>
                <w:rFonts w:ascii="宋体" w:hAnsi="宋体"/>
                <w:color w:val="auto"/>
                <w:szCs w:val="21"/>
                <w:highlight w:val="none"/>
                <w:u w:val="single"/>
              </w:rPr>
            </w:pPr>
            <w:r>
              <w:rPr>
                <w:rFonts w:hint="eastAsia" w:ascii="宋体" w:hAnsi="宋体" w:cs="宋体"/>
                <w:color w:val="auto"/>
                <w:szCs w:val="21"/>
                <w:highlight w:val="none"/>
              </w:rPr>
              <w:t>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hint="eastAsia" w:ascii="宋体" w:hAnsi="宋体"/>
                <w:color w:val="auto"/>
                <w:szCs w:val="22"/>
                <w:highlight w:val="none"/>
              </w:rPr>
            </w:pPr>
            <w:r>
              <w:rPr>
                <w:rFonts w:hint="eastAsia" w:ascii="宋体" w:hAnsi="宋体"/>
                <w:color w:val="auto"/>
                <w:szCs w:val="22"/>
                <w:highlight w:val="none"/>
              </w:rPr>
              <w:t>方式一：中标人提供的履约保证金为中标价款的10%。</w:t>
            </w:r>
          </w:p>
          <w:p>
            <w:pPr>
              <w:pStyle w:val="5"/>
              <w:spacing w:after="0"/>
              <w:ind w:firstLine="0"/>
              <w:rPr>
                <w:rFonts w:hint="eastAsia" w:ascii="宋体" w:hAnsi="宋体"/>
                <w:color w:val="auto"/>
                <w:szCs w:val="22"/>
                <w:highlight w:val="none"/>
              </w:rPr>
            </w:pPr>
            <w:r>
              <w:rPr>
                <w:rFonts w:hint="eastAsia" w:ascii="宋体" w:hAnsi="宋体" w:cs="宋体"/>
                <w:color w:val="auto"/>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color w:val="auto"/>
                <w:highlight w:val="none"/>
              </w:rPr>
            </w:pPr>
            <w:r>
              <w:rPr>
                <w:rFonts w:hint="eastAsia"/>
                <w:color w:val="auto"/>
                <w:highlight w:val="none"/>
              </w:rPr>
              <w:t>本项目最高投标限价为人民币</w:t>
            </w:r>
            <w:r>
              <w:rPr>
                <w:rFonts w:hint="eastAsia" w:ascii="宋体" w:hAnsi="宋体"/>
                <w:color w:val="auto"/>
                <w:szCs w:val="21"/>
                <w:highlight w:val="none"/>
                <w:u w:val="single"/>
                <w:lang w:val="en-US" w:eastAsia="zh-CN"/>
              </w:rPr>
              <w:t>5149016.60</w:t>
            </w:r>
            <w:r>
              <w:rPr>
                <w:rFonts w:hint="eastAsia"/>
                <w:color w:val="auto"/>
                <w:highlight w:val="none"/>
              </w:rPr>
              <w:t>元。</w:t>
            </w:r>
            <w:r>
              <w:rPr>
                <w:rFonts w:hint="eastAsia" w:hAnsi="宋体" w:cs="宋体"/>
                <w:b/>
                <w:color w:val="auto"/>
                <w:sz w:val="21"/>
                <w:szCs w:val="21"/>
                <w:highlight w:val="none"/>
              </w:rPr>
              <w:t>具体详见最高投标限价公布函，投标人的投标报价超过最高投标限价的投标文件将被拒绝</w:t>
            </w:r>
            <w:r>
              <w:rPr>
                <w:rFonts w:hint="eastAsia"/>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w:t>
            </w:r>
            <w:r>
              <w:rPr>
                <w:rFonts w:hint="eastAsia" w:eastAsia="宋体"/>
                <w:color w:val="auto"/>
                <w:highlight w:val="none"/>
              </w:rPr>
              <w:t>施工</w:t>
            </w:r>
            <w:r>
              <w:rPr>
                <w:rFonts w:hint="eastAsia" w:ascii="宋体" w:hAnsi="宋体"/>
                <w:color w:val="auto"/>
                <w:szCs w:val="21"/>
                <w:highlight w:val="none"/>
              </w:rPr>
              <w:t>安全防护措施费为</w:t>
            </w:r>
            <w:r>
              <w:rPr>
                <w:rFonts w:hint="eastAsia" w:ascii="宋体" w:hAnsi="宋体"/>
                <w:color w:val="auto"/>
                <w:szCs w:val="21"/>
                <w:highlight w:val="none"/>
                <w:u w:val="single"/>
                <w:lang w:val="en-US" w:eastAsia="zh-CN"/>
              </w:rPr>
              <w:t>424159.11</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按照《建设工程质量管理条例》及合同相关条款规定。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s="宋体"/>
                <w:color w:val="auto"/>
                <w:szCs w:val="21"/>
                <w:highlight w:val="none"/>
                <w:u w:val="single"/>
                <w:lang w:val="en-US" w:eastAsia="zh-CN"/>
              </w:rPr>
              <w:t>4891565.77</w:t>
            </w:r>
            <w:r>
              <w:rPr>
                <w:rFonts w:hint="eastAsia" w:ascii="宋体" w:hAnsi="宋体"/>
                <w:color w:val="auto"/>
                <w:szCs w:val="21"/>
                <w:highlight w:val="none"/>
                <w:u w:val="single"/>
              </w:rPr>
              <w:t xml:space="preserve">元 </w:t>
            </w:r>
            <w:r>
              <w:rPr>
                <w:rFonts w:hint="eastAsia" w:ascii="宋体" w:hAnsi="宋体" w:cs="宋体"/>
                <w:color w:val="auto"/>
                <w:szCs w:val="21"/>
                <w:highlight w:val="none"/>
              </w:rPr>
              <w:t>（</w:t>
            </w:r>
            <w:r>
              <w:rPr>
                <w:rFonts w:hint="eastAsia" w:ascii="宋体" w:hAnsi="宋体" w:eastAsia="宋体" w:cs="宋体"/>
                <w:color w:val="auto"/>
                <w:szCs w:val="21"/>
                <w:highlight w:val="none"/>
                <w:u w:val="single"/>
              </w:rPr>
              <w:t>最高投标限价的</w:t>
            </w:r>
            <w:r>
              <w:rPr>
                <w:rFonts w:hint="eastAsia" w:ascii="宋体" w:hAnsi="宋体" w:eastAsia="宋体" w:cs="宋体"/>
                <w:color w:val="auto"/>
                <w:szCs w:val="21"/>
                <w:highlight w:val="none"/>
                <w:u w:val="single"/>
                <w:lang w:val="en-US" w:eastAsia="zh-CN"/>
              </w:rPr>
              <w:t>95</w:t>
            </w:r>
            <w:r>
              <w:rPr>
                <w:rFonts w:hint="eastAsia" w:ascii="宋体" w:hAnsi="宋体" w:eastAsia="宋体" w:cs="宋体"/>
                <w:color w:val="auto"/>
                <w:szCs w:val="21"/>
                <w:highlight w:val="none"/>
                <w:u w:val="single"/>
              </w:rPr>
              <w:t>%设置为成本警示价</w:t>
            </w:r>
            <w:r>
              <w:rPr>
                <w:rFonts w:hint="eastAsia" w:ascii="宋体" w:hAnsi="宋体" w:cs="宋体"/>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bidi="ar"/>
              </w:rPr>
              <w:t>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eastAsia="宋体" w:cs="宋体"/>
                <w:bCs/>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中标人按照合同约定或者经招标人同意，可以将中标项目的部分非主体、非关键性工作分包给具有相应资质的单位完成。</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接受分包的单位应当具备相应的资质条件，并不得再次分包。</w:t>
            </w:r>
          </w:p>
          <w:p>
            <w:pPr>
              <w:rPr>
                <w:rFonts w:ascii="宋体" w:hAnsi="宋体"/>
                <w:color w:val="auto"/>
                <w:kern w:val="0"/>
                <w:szCs w:val="21"/>
                <w:highlight w:val="none"/>
                <w:lang w:val="zh-CN"/>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highlight w:val="none"/>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rPr>
              <w:t>：</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网站(http:/ www.gzggzy.cn)服务指南栏目</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szCs w:val="21"/>
                <w:highlight w:val="none"/>
              </w:rPr>
              <w:t>投标文件份数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highlight w:val="none"/>
              </w:rPr>
            </w:pPr>
            <w:r>
              <w:rPr>
                <w:rFonts w:hint="eastAsia" w:ascii="宋体" w:hAnsi="宋体" w:cs="宋体"/>
                <w:color w:val="auto"/>
                <w:highlight w:val="none"/>
              </w:rPr>
              <w:t>投标文件为含电子签章的加密电子投标文件1套。</w:t>
            </w:r>
          </w:p>
          <w:p>
            <w:pPr>
              <w:rPr>
                <w:rFonts w:ascii="宋体" w:hAnsi="宋体" w:cs="宋体"/>
                <w:color w:val="auto"/>
                <w:szCs w:val="21"/>
                <w:highlight w:val="none"/>
              </w:rPr>
            </w:pPr>
            <w:r>
              <w:rPr>
                <w:rFonts w:hint="eastAsia" w:ascii="宋体" w:hAnsi="宋体" w:cs="宋体"/>
                <w:color w:val="auto"/>
                <w:highlight w:val="none"/>
              </w:rPr>
              <w:t>项目中标后，在发出中标通知书前，中标单位必须提供投标文件纸质版4套，电子版（造价部分需提供软件版本及导出清单）1套。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numPr>
                <w:ilvl w:val="0"/>
                <w:numId w:val="3"/>
              </w:numPr>
              <w:ind w:left="425" w:leftChars="0" w:hanging="425" w:firstLineChars="0"/>
              <w:rPr>
                <w:rFonts w:ascii="宋体" w:hAnsi="宋体"/>
                <w:color w:val="auto"/>
                <w:szCs w:val="21"/>
                <w:highlight w:val="none"/>
              </w:rPr>
            </w:pP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31</w:t>
            </w: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其它</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宋体"/>
                <w:color w:val="auto"/>
                <w:highlight w:val="none"/>
              </w:rPr>
            </w:pPr>
            <w:r>
              <w:rPr>
                <w:rFonts w:ascii="宋体" w:hAnsi="宋体" w:cs="宋体"/>
                <w:color w:val="auto"/>
                <w:highlight w:val="none"/>
              </w:rPr>
              <w:t>中标人按《广州市发展改革委转发省发展改革委关于规范公共资源交易服务收费及有关问题的通知》（穗发改〔2017〕811号）文件的规定，向</w:t>
            </w:r>
            <w:r>
              <w:rPr>
                <w:rFonts w:hint="eastAsia" w:ascii="宋体" w:hAnsi="宋体" w:cs="宋体"/>
                <w:color w:val="auto"/>
                <w:highlight w:val="none"/>
                <w:lang w:eastAsia="zh-CN"/>
              </w:rPr>
              <w:t>广州交易集团有限公司（广州公共资源交易中心）</w:t>
            </w:r>
            <w:r>
              <w:rPr>
                <w:rFonts w:ascii="宋体" w:hAnsi="宋体" w:cs="宋体"/>
                <w:color w:val="auto"/>
                <w:highlight w:val="none"/>
              </w:rPr>
              <w:t>代缴交易服务费，其费用包含在中标人投标报价中，招标人不另行支付。</w:t>
            </w:r>
          </w:p>
        </w:tc>
      </w:tr>
    </w:tbl>
    <w:p>
      <w:pPr>
        <w:spacing w:line="480" w:lineRule="auto"/>
        <w:rPr>
          <w:rFonts w:ascii="宋体"/>
          <w:color w:val="auto"/>
          <w:sz w:val="24"/>
          <w:highlight w:val="none"/>
        </w:rPr>
      </w:pPr>
    </w:p>
    <w:p>
      <w:pPr>
        <w:spacing w:line="360" w:lineRule="auto"/>
        <w:jc w:val="center"/>
        <w:rPr>
          <w:rFonts w:hint="eastAsia" w:ascii="Arial" w:hAnsi="Arial" w:eastAsia="宋体" w:cs="Times New Roman"/>
          <w:b/>
          <w:color w:val="auto"/>
          <w:kern w:val="44"/>
          <w:sz w:val="28"/>
          <w:szCs w:val="28"/>
          <w:highlight w:val="none"/>
          <w:lang w:val="en-US" w:eastAsia="zh-CN" w:bidi="ar-SA"/>
        </w:rPr>
      </w:pPr>
      <w:r>
        <w:rPr>
          <w:color w:val="auto"/>
          <w:highlight w:val="none"/>
        </w:rPr>
        <w:br w:type="page"/>
      </w:r>
      <w:bookmarkStart w:id="7" w:name="_Toc29539"/>
      <w:bookmarkStart w:id="8" w:name="_Toc21525492"/>
      <w:bookmarkStart w:id="9" w:name="_Toc2272548"/>
      <w:r>
        <w:rPr>
          <w:rFonts w:hint="eastAsia" w:ascii="Arial" w:hAnsi="Arial" w:cs="Times New Roman"/>
          <w:b/>
          <w:color w:val="auto"/>
          <w:kern w:val="44"/>
          <w:sz w:val="28"/>
          <w:szCs w:val="28"/>
          <w:highlight w:val="none"/>
          <w:lang w:val="en-US" w:eastAsia="zh-CN" w:bidi="ar-SA"/>
        </w:rPr>
        <w:t>二</w:t>
      </w:r>
      <w:r>
        <w:rPr>
          <w:rFonts w:hint="eastAsia" w:ascii="Arial" w:hAnsi="Arial" w:eastAsia="宋体" w:cs="Times New Roman"/>
          <w:b/>
          <w:color w:val="auto"/>
          <w:kern w:val="44"/>
          <w:sz w:val="28"/>
          <w:szCs w:val="28"/>
          <w:highlight w:val="none"/>
          <w:lang w:val="en-US" w:eastAsia="zh-CN" w:bidi="ar-SA"/>
        </w:rPr>
        <w:t>、投标须知通用条款</w:t>
      </w:r>
      <w:bookmarkEnd w:id="7"/>
    </w:p>
    <w:p>
      <w:pPr>
        <w:pStyle w:val="7"/>
        <w:spacing w:before="156" w:after="156"/>
        <w:jc w:val="center"/>
        <w:rPr>
          <w:color w:val="auto"/>
          <w:highlight w:val="none"/>
        </w:rPr>
      </w:pPr>
      <w:bookmarkStart w:id="10" w:name="_Toc20404"/>
      <w:bookmarkStart w:id="11" w:name="_Toc30203"/>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hint="eastAsia" w:ascii="宋体" w:hAnsi="宋体" w:eastAsia="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w:t>
      </w:r>
      <w:r>
        <w:rPr>
          <w:rFonts w:hint="eastAsia" w:ascii="宋体" w:hAnsi="宋体" w:eastAsia="宋体"/>
          <w:bCs/>
          <w:color w:val="auto"/>
          <w:sz w:val="24"/>
          <w:highlight w:val="none"/>
        </w:rPr>
        <w:t>：详见招标图纸。</w:t>
      </w:r>
    </w:p>
    <w:p>
      <w:pPr>
        <w:spacing w:line="360" w:lineRule="auto"/>
        <w:ind w:firstLine="480" w:firstLineChars="200"/>
        <w:rPr>
          <w:color w:val="auto"/>
          <w:highlight w:val="none"/>
          <w:u w:val="single"/>
        </w:rPr>
      </w:pPr>
      <w:r>
        <w:rPr>
          <w:rFonts w:hint="eastAsia" w:ascii="宋体" w:hAnsi="宋体" w:eastAsia="宋体"/>
          <w:bCs/>
          <w:color w:val="auto"/>
          <w:sz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bCs/>
          <w:color w:val="auto"/>
          <w:sz w:val="24"/>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7"/>
        <w:spacing w:before="156" w:after="156"/>
        <w:rPr>
          <w:color w:val="auto"/>
          <w:highlight w:val="none"/>
        </w:rPr>
      </w:pPr>
      <w:bookmarkStart w:id="12" w:name="_Toc22955"/>
      <w:bookmarkStart w:id="13" w:name="_Toc4009"/>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5"/>
        <w:spacing w:after="0" w:line="360" w:lineRule="auto"/>
        <w:ind w:left="-2" w:firstLine="480" w:firstLineChars="200"/>
        <w:rPr>
          <w:rFonts w:ascii="宋体"/>
          <w:color w:val="auto"/>
          <w:sz w:val="24"/>
          <w:highlight w:val="none"/>
          <w:u w:val="single"/>
        </w:rPr>
      </w:pPr>
      <w:r>
        <w:rPr>
          <w:rFonts w:hint="eastAsia" w:ascii="宋体" w:hAnsi="宋体"/>
          <w:bCs/>
          <w:color w:val="auto"/>
          <w:sz w:val="24"/>
          <w:highlight w:val="none"/>
          <w:u w:val="single"/>
        </w:rPr>
        <w:t>第五章</w:t>
      </w:r>
      <w:r>
        <w:rPr>
          <w:rFonts w:ascii="宋体" w:hAnsi="宋体"/>
          <w:bCs/>
          <w:color w:val="auto"/>
          <w:sz w:val="24"/>
          <w:highlight w:val="none"/>
          <w:u w:val="single"/>
        </w:rPr>
        <w:t xml:space="preserve">  </w:t>
      </w:r>
      <w:r>
        <w:rPr>
          <w:rFonts w:hint="eastAsia" w:ascii="宋体" w:hAnsi="宋体"/>
          <w:color w:val="auto"/>
          <w:sz w:val="24"/>
          <w:highlight w:val="none"/>
          <w:u w:val="single"/>
        </w:rPr>
        <w:t>技术条件（工程建设标准）</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5"/>
        <w:spacing w:after="0" w:line="360" w:lineRule="auto"/>
        <w:ind w:left="-2" w:firstLine="442" w:firstLineChars="200"/>
        <w:rPr>
          <w:rFonts w:hint="eastAsia" w:ascii="宋体" w:hAnsi="宋体"/>
          <w:color w:val="auto"/>
          <w:sz w:val="24"/>
          <w:highlight w:val="none"/>
        </w:rPr>
      </w:pPr>
      <w:r>
        <w:rPr>
          <w:rFonts w:hint="eastAsia" w:ascii="仿宋" w:hAnsi="仿宋" w:eastAsia="仿宋" w:cs="宋体"/>
          <w:b/>
          <w:bCs/>
          <w:color w:val="auto"/>
          <w:kern w:val="0"/>
          <w:sz w:val="22"/>
          <w:highlight w:val="none"/>
        </w:rPr>
        <w:t>注</w:t>
      </w:r>
      <w:r>
        <w:rPr>
          <w:rFonts w:ascii="仿宋" w:hAnsi="仿宋" w:eastAsia="仿宋" w:cs="宋体"/>
          <w:b/>
          <w:bCs/>
          <w:color w:val="auto"/>
          <w:kern w:val="0"/>
          <w:sz w:val="22"/>
          <w:highlight w:val="none"/>
        </w:rPr>
        <w:t>：招标人应在</w:t>
      </w:r>
      <w:r>
        <w:rPr>
          <w:rFonts w:hint="eastAsia" w:ascii="仿宋" w:hAnsi="仿宋" w:eastAsia="仿宋" w:cs="宋体"/>
          <w:b/>
          <w:bCs/>
          <w:color w:val="auto"/>
          <w:kern w:val="0"/>
          <w:sz w:val="22"/>
          <w:highlight w:val="none"/>
        </w:rPr>
        <w:t>技术条件（工程建设标准）中</w:t>
      </w:r>
      <w:r>
        <w:rPr>
          <w:rFonts w:ascii="仿宋" w:hAnsi="仿宋" w:eastAsia="仿宋" w:cs="宋体"/>
          <w:b/>
          <w:bCs/>
          <w:color w:val="auto"/>
          <w:kern w:val="0"/>
          <w:sz w:val="22"/>
          <w:highlight w:val="none"/>
        </w:rPr>
        <w:t>明确</w:t>
      </w:r>
      <w:r>
        <w:rPr>
          <w:rFonts w:hint="eastAsia" w:ascii="仿宋" w:hAnsi="仿宋" w:eastAsia="仿宋" w:cs="宋体"/>
          <w:b/>
          <w:bCs/>
          <w:color w:val="auto"/>
          <w:kern w:val="0"/>
          <w:sz w:val="22"/>
          <w:highlight w:val="none"/>
        </w:rPr>
        <w:t>施工现场建筑垃圾源头减量的具体要求和建筑垃圾综合利用产品的使用要求。</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投标人若对招标文件（包括招标图纸）中有疑问，可以形式</w:t>
      </w:r>
      <w:r>
        <w:rPr>
          <w:rFonts w:hint="eastAsia"/>
          <w:color w:val="auto"/>
          <w:sz w:val="24"/>
          <w:szCs w:val="24"/>
          <w:highlight w:val="none"/>
        </w:rPr>
        <w:t>通过</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r>
        <w:rPr>
          <w:rFonts w:hint="eastAsia" w:ascii="宋体" w:hAnsi="宋体"/>
          <w:color w:val="auto"/>
          <w:sz w:val="24"/>
          <w:highlight w:val="none"/>
          <w:u w:val="single"/>
        </w:rPr>
        <w:t>具体要求：按照交易平台关于全流程电子化项目的相关指南进行操作，详见：</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网站发布的最新版操作指引。提问一律不得署名。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u w:val="single"/>
        </w:rPr>
        <w:t>交易</w:t>
      </w:r>
      <w:r>
        <w:rPr>
          <w:rFonts w:hint="eastAsia" w:ascii="宋体" w:hAnsi="宋体"/>
          <w:color w:val="auto"/>
          <w:sz w:val="24"/>
          <w:szCs w:val="24"/>
          <w:highlight w:val="none"/>
        </w:rPr>
        <w:t>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hint="eastAsia" w:ascii="宋体" w:hAnsi="宋体" w:eastAsia="宋体"/>
          <w:color w:val="auto"/>
          <w:sz w:val="24"/>
          <w:highlight w:val="none"/>
          <w:u w:val="single"/>
        </w:rPr>
      </w:pPr>
      <w:r>
        <w:rPr>
          <w:rFonts w:ascii="宋体" w:hAnsi="宋体"/>
          <w:color w:val="auto"/>
          <w:sz w:val="24"/>
          <w:highlight w:val="none"/>
          <w:u w:val="single"/>
        </w:rPr>
        <w:t>8.4</w:t>
      </w:r>
      <w:r>
        <w:rPr>
          <w:rFonts w:hint="eastAsia" w:ascii="宋体" w:hAnsi="宋体"/>
          <w:color w:val="auto"/>
          <w:sz w:val="24"/>
          <w:highlight w:val="none"/>
          <w:u w:val="single"/>
        </w:rPr>
        <w:t>若招标答疑会</w:t>
      </w:r>
      <w:r>
        <w:rPr>
          <w:rFonts w:hint="eastAsia" w:ascii="宋体" w:hAnsi="宋体" w:eastAsia="宋体"/>
          <w:color w:val="auto"/>
          <w:sz w:val="24"/>
          <w:highlight w:val="none"/>
          <w:u w:val="single"/>
        </w:rPr>
        <w:t>会议纪要与招标文件有矛盾，以</w:t>
      </w:r>
      <w:r>
        <w:rPr>
          <w:rFonts w:hint="eastAsia" w:ascii="宋体" w:hAnsi="宋体"/>
          <w:color w:val="auto"/>
          <w:sz w:val="24"/>
          <w:highlight w:val="none"/>
          <w:u w:val="single"/>
          <w:lang w:eastAsia="zh-CN"/>
        </w:rPr>
        <w:t>广州交易集团有限公司（广州公共资源交易中心）</w:t>
      </w:r>
      <w:r>
        <w:rPr>
          <w:rFonts w:hint="eastAsia" w:ascii="宋体" w:hAnsi="宋体" w:eastAsia="宋体"/>
          <w:color w:val="auto"/>
          <w:sz w:val="24"/>
          <w:highlight w:val="none"/>
          <w:u w:val="single"/>
        </w:rPr>
        <w:t>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u w:val="single"/>
        </w:rPr>
        <w:t>交易</w:t>
      </w:r>
      <w:r>
        <w:rPr>
          <w:rFonts w:hint="eastAsia" w:ascii="宋体" w:hAnsi="宋体"/>
          <w:color w:val="auto"/>
          <w:sz w:val="24"/>
          <w:szCs w:val="24"/>
          <w:highlight w:val="none"/>
        </w:rPr>
        <w:t>平台</w:t>
      </w:r>
      <w:r>
        <w:rPr>
          <w:rFonts w:hint="eastAsia" w:ascii="宋体"/>
          <w:color w:val="auto"/>
          <w:sz w:val="24"/>
          <w:highlight w:val="none"/>
        </w:rPr>
        <w:t>“项目答疑纪要”专区公开发布。答疑纪要一经在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w:t>
      </w:r>
      <w:r>
        <w:rPr>
          <w:rFonts w:hint="eastAsia" w:ascii="宋体" w:hAnsi="宋体"/>
          <w:color w:val="auto"/>
          <w:sz w:val="24"/>
          <w:highlight w:val="none"/>
          <w:u w:val="single"/>
        </w:rPr>
        <w:t>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交易平台“项目答疑纪要”专区公开发布</w:t>
      </w:r>
      <w:r>
        <w:rPr>
          <w:rFonts w:hint="eastAsia" w:ascii="宋体" w:hAnsi="宋体"/>
          <w:color w:val="auto"/>
          <w:sz w:val="24"/>
          <w:highlight w:val="none"/>
        </w:rPr>
        <w:t>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color w:val="auto"/>
          <w:highlight w:val="none"/>
        </w:rPr>
      </w:pPr>
      <w:bookmarkStart w:id="14" w:name="_Toc15623"/>
      <w:bookmarkStart w:id="15" w:name="_Toc8804"/>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11.1投标文件由技术部分（含资格审查文件）和经济部分组成。</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11.2投标文件主要包括下列内容:</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11.2.1 广州建设工程施工招标投标书(按招标文件的要求填写)；</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11.2.2 资格审查文件：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 xml:space="preserve">（1）投标人声明（按招标公告的要求填写）； </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（2）法定代表人证明书、法定代表人签字或盖章的本投标文件授权委托证明书；</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（3）企业营业执照（取自平台内上传件）；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（4）企业资质证书（取自平台内上传件）；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（5）建筑施工企业安全生产许可证（取自平台内上传件）；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（6）项目负责人（按网上投标登记时选择拟投标的项目负责人）；</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（7）专职安全员（按网上投标登记时选择拟投标的专职安全员）；</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（8）拟委托技术负责人的</w:t>
      </w:r>
      <w:r>
        <w:rPr>
          <w:rFonts w:hint="eastAsia" w:ascii="宋体" w:hAnsi="宋体" w:eastAsia="宋体"/>
          <w:color w:val="auto"/>
          <w:sz w:val="24"/>
          <w:highlight w:val="none"/>
          <w:u w:val="single"/>
          <w:lang w:val="en-US" w:eastAsia="zh-CN"/>
        </w:rPr>
        <w:t>职称证书</w:t>
      </w:r>
      <w:r>
        <w:rPr>
          <w:rFonts w:hint="eastAsia" w:ascii="宋体" w:hAnsi="宋体" w:eastAsia="宋体"/>
          <w:color w:val="auto"/>
          <w:sz w:val="24"/>
          <w:highlight w:val="none"/>
          <w:u w:val="single"/>
        </w:rPr>
        <w:t>（须提交清晰扫描件）。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（9）拟委派项目负责人的建造师注册证书（须提交清晰扫描件）；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（10）项目负责人安全生产考核合格证明或在有效期内的安全考核合格证书（B类）或建筑施工企业项目负责人安全生产考核合格证书（取自平台内上传件）；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（11）专职安全员须具有在有效期内的安全生产考核合格证（C类）或建筑施工企业专职安全生产管理人员安全生产考核合格证（C3）（取自平台内上传件）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（12）投标登记前，投标人须在</w:t>
      </w:r>
      <w:r>
        <w:rPr>
          <w:rFonts w:hint="eastAsia" w:ascii="宋体" w:hAnsi="宋体"/>
          <w:color w:val="auto"/>
          <w:sz w:val="24"/>
          <w:highlight w:val="none"/>
          <w:u w:val="single"/>
          <w:lang w:eastAsia="zh-CN"/>
        </w:rPr>
        <w:t>广州交易集团有限公司（广州公共资源交易中心）</w:t>
      </w:r>
      <w:r>
        <w:rPr>
          <w:rFonts w:hint="eastAsia" w:ascii="宋体" w:hAnsi="宋体" w:eastAsia="宋体"/>
          <w:color w:val="auto"/>
          <w:sz w:val="24"/>
          <w:highlight w:val="none"/>
          <w:u w:val="single"/>
        </w:rPr>
        <w:t>办理企业信息登记及拟担任本工程项目负责人、专职安全员须是本企业信息登记信息中的在册人员。企业信息取自投标截止时间投标人在</w:t>
      </w:r>
      <w:r>
        <w:rPr>
          <w:rFonts w:hint="eastAsia" w:ascii="宋体" w:hAnsi="宋体"/>
          <w:color w:val="auto"/>
          <w:sz w:val="24"/>
          <w:highlight w:val="none"/>
          <w:u w:val="single"/>
          <w:lang w:eastAsia="zh-CN"/>
        </w:rPr>
        <w:t>广州交易集团有限公司（广州公共资源交易中心）</w:t>
      </w:r>
      <w:r>
        <w:rPr>
          <w:rFonts w:hint="eastAsia" w:ascii="宋体" w:hAnsi="宋体" w:eastAsia="宋体"/>
          <w:color w:val="auto"/>
          <w:sz w:val="24"/>
          <w:highlight w:val="none"/>
          <w:u w:val="single"/>
        </w:rPr>
        <w:t>企业库内登记的信息，投标人无需提交相关资料，若招标人延长递交投标文件截止时间的，企业信息的评审时点也相应延长。（企业信息登记办理详见《施工类企业信息登记办事指引》，网址：http://ggzy.gz.gov.cn/qyxxd1/508420.jhtml）</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11.2.3技术标相关证明文件。</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11.2.4《施工</w:t>
      </w:r>
      <w:r>
        <w:rPr>
          <w:rFonts w:hint="eastAsia" w:ascii="宋体" w:hAnsi="宋体" w:eastAsia="宋体"/>
          <w:color w:val="auto"/>
          <w:sz w:val="24"/>
          <w:highlight w:val="none"/>
          <w:u w:val="single"/>
          <w:lang w:val="zh-CN"/>
        </w:rPr>
        <w:t>项目管理团队人员信息表</w:t>
      </w:r>
      <w:r>
        <w:rPr>
          <w:rFonts w:hint="eastAsia" w:ascii="宋体" w:hAnsi="宋体" w:eastAsia="宋体"/>
          <w:color w:val="auto"/>
          <w:sz w:val="24"/>
          <w:highlight w:val="none"/>
          <w:u w:val="single"/>
        </w:rPr>
        <w:t>》。</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11.2.5 按照招标文件要求填写的《参与编制技术标投标文件人员名单》。</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投标保证金缴纳证明资料（递交至</w:t>
      </w:r>
      <w:r>
        <w:rPr>
          <w:rFonts w:hint="eastAsia" w:ascii="宋体" w:hAnsi="宋体"/>
          <w:color w:val="auto"/>
          <w:sz w:val="24"/>
          <w:highlight w:val="none"/>
          <w:u w:val="single"/>
          <w:lang w:eastAsia="zh-CN"/>
        </w:rPr>
        <w:t>广州交易集团有限公司（广州公共资源交易中心）</w:t>
      </w:r>
      <w:r>
        <w:rPr>
          <w:rFonts w:hint="eastAsia" w:ascii="宋体" w:hAnsi="宋体" w:eastAsia="宋体"/>
          <w:color w:val="auto"/>
          <w:sz w:val="24"/>
          <w:highlight w:val="none"/>
          <w:u w:val="single"/>
        </w:rPr>
        <w:t>的，到账情况以开标时</w:t>
      </w:r>
      <w:r>
        <w:rPr>
          <w:rFonts w:hint="eastAsia" w:ascii="宋体" w:hAnsi="宋体"/>
          <w:color w:val="auto"/>
          <w:sz w:val="24"/>
          <w:highlight w:val="none"/>
          <w:u w:val="single"/>
          <w:lang w:eastAsia="zh-CN"/>
        </w:rPr>
        <w:t>广州交易集团有限公司（广州公共资源交易中心）</w:t>
      </w:r>
      <w:r>
        <w:rPr>
          <w:rFonts w:hint="eastAsia" w:ascii="宋体" w:hAnsi="宋体" w:eastAsia="宋体"/>
          <w:color w:val="auto"/>
          <w:sz w:val="24"/>
          <w:highlight w:val="none"/>
          <w:u w:val="single"/>
        </w:rPr>
        <w:t>数据库查询的信息为准，可不需提供相关缴纳证明资料）；或按招标文件要求提交符合免予提供投标保证金的相关证明材料。</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11.2.</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投标人认为应该提供其他的资料。</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11.3 经济部分投标文件主要包括下列内容：</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11.3.1 广州建设工程施工招标投标书(按招标文件的要求填写)。</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（1）投标总价封面、扉页；</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（2）总说明</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（3）工程量清单报价表及综合单价分析表（相关表格的内容及格式要求以招标人发出的最新版电子招标文件中的相应内容及格式为准）。</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11.3.3按照招标文件要求填写的《参与编制经济标投标文件人员名单》。</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11.3.4 《对投标文件编制的承诺》及《投标文件编制情况》。</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11.3.5 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lang w:eastAsia="zh-CN"/>
        </w:rPr>
        <w:t>广州交易集团有限公司（广州公共资源交易中心）</w:t>
      </w:r>
      <w:r>
        <w:rPr>
          <w:rFonts w:hint="eastAsia"/>
          <w:color w:val="auto"/>
          <w:sz w:val="24"/>
          <w:szCs w:val="24"/>
          <w:highlight w:val="none"/>
          <w:u w:val="single"/>
        </w:rPr>
        <w:t xml:space="preserve">网站 </w:t>
      </w:r>
      <w:r>
        <w:rPr>
          <w:rFonts w:hint="eastAsia"/>
          <w:color w:val="auto"/>
          <w:sz w:val="24"/>
          <w:szCs w:val="24"/>
          <w:highlight w:val="none"/>
        </w:rPr>
        <w:t>。</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网站</w:t>
      </w:r>
      <w:r>
        <w:rPr>
          <w:rFonts w:hint="eastAsia" w:ascii="宋体" w:hAnsi="宋体"/>
          <w:color w:val="auto"/>
          <w:sz w:val="24"/>
          <w:highlight w:val="none"/>
        </w:rPr>
        <w:t xml:space="preserve">。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w:t>
      </w:r>
      <w:r>
        <w:rPr>
          <w:rFonts w:hint="eastAsia" w:ascii="宋体" w:hAnsi="宋体" w:eastAsia="宋体"/>
          <w:color w:val="auto"/>
          <w:sz w:val="24"/>
          <w:highlight w:val="none"/>
        </w:rPr>
        <w:t>的投标报价采用投标须知前附表第12项所规定的方式。投标报价（含单价及总价）精确到“分”</w:t>
      </w:r>
      <w:r>
        <w:rPr>
          <w:rFonts w:hint="eastAsia" w:ascii="宋体" w:hAnsi="宋体" w:eastAsia="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eastAsia="宋体"/>
          <w:color w:val="auto"/>
          <w:sz w:val="24"/>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r>
        <w:rPr>
          <w:rFonts w:hint="eastAsia" w:ascii="宋体" w:hAnsi="宋体" w:eastAsia="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u w:val="single"/>
        </w:rPr>
        <w:t>16.4如有下列情况之一的，招标人可以不予退还投标保证金</w:t>
      </w:r>
      <w:r>
        <w:rPr>
          <w:rFonts w:hint="eastAsia" w:ascii="宋体" w:hAnsi="宋体"/>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16.5</w:t>
      </w:r>
      <w:r>
        <w:rPr>
          <w:rFonts w:hint="eastAsia" w:ascii="宋体" w:hAnsi="宋体" w:eastAsia="宋体"/>
          <w:color w:val="auto"/>
          <w:sz w:val="24"/>
          <w:highlight w:val="none"/>
          <w:u w:val="single"/>
        </w:rPr>
        <w:t>投标人如存在下列情况之一的，将被拒绝在一年内参与招标人后续工程投标</w:t>
      </w:r>
      <w:r>
        <w:rPr>
          <w:rFonts w:hint="eastAsia" w:ascii="宋体" w:hAnsi="宋体" w:eastAsia="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《房屋建筑和市政基础设施工程全流程电子化项目专章》</w:t>
      </w:r>
      <w:r>
        <w:rPr>
          <w:rFonts w:hint="eastAsia" w:ascii="宋体" w:hAnsi="宋体"/>
          <w:color w:val="auto"/>
          <w:sz w:val="24"/>
          <w:highlight w:val="none"/>
        </w:rPr>
        <w:t>。</w:t>
      </w:r>
    </w:p>
    <w:p>
      <w:pPr>
        <w:pStyle w:val="7"/>
        <w:spacing w:before="156" w:after="156"/>
        <w:rPr>
          <w:color w:val="auto"/>
          <w:highlight w:val="none"/>
        </w:rPr>
      </w:pPr>
      <w:bookmarkStart w:id="16" w:name="_Toc2638"/>
      <w:bookmarkStart w:id="17" w:name="_Toc29224"/>
      <w:r>
        <w:rPr>
          <w:rFonts w:hint="eastAsia"/>
          <w:color w:val="auto"/>
          <w:highlight w:val="none"/>
        </w:rPr>
        <w:t>（四）投标文件的提交</w:t>
      </w:r>
      <w:bookmarkEnd w:id="16"/>
      <w:bookmarkEnd w:id="17"/>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网站</w:t>
      </w:r>
      <w:r>
        <w:rPr>
          <w:rFonts w:hint="eastAsia"/>
          <w:color w:val="auto"/>
          <w:sz w:val="24"/>
          <w:szCs w:val="24"/>
          <w:highlight w:val="none"/>
        </w:rPr>
        <w:t>。</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 xml:space="preserve">电子投标文件， </w:t>
      </w:r>
      <w:r>
        <w:rPr>
          <w:rFonts w:hint="eastAsia" w:ascii="宋体" w:hAnsi="宋体"/>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7"/>
        <w:spacing w:before="156" w:after="156"/>
        <w:rPr>
          <w:color w:val="auto"/>
          <w:highlight w:val="none"/>
        </w:rPr>
      </w:pPr>
      <w:bookmarkStart w:id="18" w:name="_Toc29693"/>
      <w:bookmarkStart w:id="19" w:name="_Toc19527"/>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w:t>
      </w:r>
      <w:r>
        <w:rPr>
          <w:rFonts w:hint="eastAsia" w:ascii="宋体" w:hAnsi="宋体"/>
          <w:color w:val="auto"/>
          <w:sz w:val="24"/>
          <w:highlight w:val="none"/>
          <w:lang w:eastAsia="zh-CN"/>
        </w:rPr>
        <w:t>、</w:t>
      </w:r>
      <w:r>
        <w:rPr>
          <w:rFonts w:hint="eastAsia" w:ascii="宋体" w:hAnsi="宋体"/>
          <w:color w:val="auto"/>
          <w:sz w:val="24"/>
          <w:highlight w:val="none"/>
        </w:rPr>
        <w:t>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hint="eastAsia" w:ascii="宋体" w:hAnsi="宋体"/>
          <w:color w:val="auto"/>
          <w:sz w:val="24"/>
          <w:highlight w:val="none"/>
          <w:u w:val="single"/>
          <w:lang w:val="en-US" w:eastAsia="zh-CN"/>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u w:val="single"/>
          <w:lang w:val="en-US" w:eastAsia="zh-CN"/>
        </w:rPr>
        <w:t>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pPr>
        <w:spacing w:line="360" w:lineRule="auto"/>
        <w:ind w:firstLine="480" w:firstLineChars="200"/>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1.具体操作详见“广州交易集团有限公司（广州公共资源交易中心）门户网站首页-&gt;服务指南-&gt;系统帮助-&gt;操作手册-&gt;发起及受理异议操作指引”。</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w:t>
      </w:r>
      <w:r>
        <w:rPr>
          <w:rFonts w:hint="eastAsia" w:ascii="宋体" w:hAnsi="宋体" w:eastAsia="宋体"/>
          <w:color w:val="auto"/>
          <w:sz w:val="24"/>
          <w:highlight w:val="none"/>
        </w:rPr>
        <w:t>在</w:t>
      </w:r>
      <w:r>
        <w:rPr>
          <w:rFonts w:hint="eastAsia" w:ascii="宋体" w:hAnsi="宋体" w:eastAsia="宋体"/>
          <w:color w:val="auto"/>
          <w:sz w:val="24"/>
          <w:highlight w:val="none"/>
          <w:u w:val="single"/>
        </w:rPr>
        <w:t>产生中标候选人后，招标人将中标候选人的投标文件商务部分文件的所有内容（包括人员、业绩、奖项等资料）在</w:t>
      </w:r>
      <w:r>
        <w:rPr>
          <w:rFonts w:hint="eastAsia" w:ascii="宋体" w:hAnsi="宋体"/>
          <w:color w:val="auto"/>
          <w:sz w:val="24"/>
          <w:highlight w:val="none"/>
          <w:u w:val="single"/>
          <w:lang w:eastAsia="zh-CN"/>
        </w:rPr>
        <w:t>广州交易集团有限公司（广州公共资源交易中心）</w:t>
      </w:r>
      <w:r>
        <w:rPr>
          <w:rFonts w:hint="eastAsia" w:ascii="宋体" w:hAnsi="宋体" w:eastAsia="宋体"/>
          <w:color w:val="auto"/>
          <w:sz w:val="24"/>
          <w:highlight w:val="none"/>
          <w:u w:val="single"/>
        </w:rPr>
        <w:t>交易平台</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w:t>
      </w:r>
      <w:r>
        <w:rPr>
          <w:rFonts w:hint="eastAsia" w:ascii="宋体" w:hAnsi="宋体" w:eastAsia="宋体" w:cs="Times New Roman"/>
          <w:color w:val="auto"/>
          <w:sz w:val="24"/>
          <w:szCs w:val="22"/>
          <w:highlight w:val="none"/>
          <w:u w:val="none"/>
        </w:rPr>
        <w:t>有权</w:t>
      </w:r>
      <w:r>
        <w:rPr>
          <w:rFonts w:hint="eastAsia" w:ascii="宋体" w:hAnsi="宋体"/>
          <w:color w:val="auto"/>
          <w:sz w:val="24"/>
          <w:highlight w:val="none"/>
        </w:rPr>
        <w:t>解除中标通知书，原中标人的投标保证金不予退还，且依法承担相应法律责任。原中标人给招标人造成的损失超过投标保证金数额的，还应当对超过部分予以赔偿。原中标人有异议的，可以向人民法院起诉。排名第一的中标候选人放弃中标、无故不签订合同或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eastAsia="宋体" w:cs="Times New Roman"/>
          <w:color w:val="auto"/>
          <w:sz w:val="24"/>
          <w:szCs w:val="22"/>
          <w:highlight w:val="none"/>
          <w:u w:val="none"/>
        </w:rPr>
        <w:t>在签订合同后的30日内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eastAsia="宋体" w:cs="Times New Roman"/>
          <w:color w:val="auto"/>
          <w:sz w:val="24"/>
          <w:szCs w:val="22"/>
          <w:highlight w:val="none"/>
          <w:u w:val="single"/>
        </w:rPr>
        <w:t>在签订合同后的</w:t>
      </w:r>
      <w:r>
        <w:rPr>
          <w:rFonts w:hint="eastAsia" w:ascii="宋体" w:hAnsi="宋体" w:eastAsia="宋体" w:cs="Times New Roman"/>
          <w:b w:val="0"/>
          <w:color w:val="auto"/>
          <w:sz w:val="24"/>
          <w:szCs w:val="22"/>
          <w:highlight w:val="none"/>
          <w:u w:val="single"/>
        </w:rPr>
        <w:t>30日</w:t>
      </w:r>
      <w:r>
        <w:rPr>
          <w:rFonts w:hint="eastAsia" w:ascii="宋体" w:hAnsi="宋体"/>
          <w:color w:val="auto"/>
          <w:sz w:val="24"/>
          <w:highlight w:val="none"/>
          <w:u w:val="single"/>
        </w:rPr>
        <w:t>后，</w:t>
      </w:r>
      <w:r>
        <w:rPr>
          <w:rFonts w:hint="eastAsia" w:ascii="宋体" w:hAnsi="宋体"/>
          <w:color w:val="auto"/>
          <w:sz w:val="24"/>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w:t>
      </w:r>
      <w:r>
        <w:rPr>
          <w:rFonts w:hint="eastAsia" w:ascii="宋体" w:hAnsi="宋体"/>
          <w:color w:val="auto"/>
          <w:sz w:val="24"/>
          <w:highlight w:val="none"/>
          <w:u w:val="single"/>
        </w:rPr>
        <w:t>或合同专用章</w:t>
      </w:r>
      <w:r>
        <w:rPr>
          <w:rFonts w:hint="eastAsia" w:ascii="宋体" w:hAnsi="宋体"/>
          <w:color w:val="auto"/>
          <w:sz w:val="24"/>
          <w:highlight w:val="none"/>
        </w:rPr>
        <w:t>后，合同正式生效。</w:t>
      </w:r>
    </w:p>
    <w:p>
      <w:pPr>
        <w:numPr>
          <w:ilvl w:val="0"/>
          <w:numId w:val="4"/>
        </w:num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其它费用</w:t>
      </w:r>
    </w:p>
    <w:p>
      <w:pPr>
        <w:spacing w:line="360" w:lineRule="auto"/>
        <w:ind w:firstLine="480" w:firstLineChars="200"/>
        <w:rPr>
          <w:rFonts w:hint="eastAsia"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中标人按《广州市发展改革委转发省发展改革委关于规范公共资源交易服务收费及有关问题的通知》（穗发改〔2017〕811号）文件的规定，向</w:t>
      </w:r>
      <w:r>
        <w:rPr>
          <w:rFonts w:hint="eastAsia" w:ascii="宋体" w:hAnsi="宋体" w:cs="Times New Roman"/>
          <w:color w:val="auto"/>
          <w:sz w:val="24"/>
          <w:szCs w:val="20"/>
          <w:highlight w:val="none"/>
          <w:u w:val="single"/>
          <w:lang w:eastAsia="zh-CN"/>
        </w:rPr>
        <w:t>广州交易集团有限公司（广州公共资源交易中心）</w:t>
      </w:r>
      <w:r>
        <w:rPr>
          <w:rFonts w:hint="eastAsia" w:ascii="宋体" w:hAnsi="宋体" w:eastAsia="宋体" w:cs="Times New Roman"/>
          <w:color w:val="auto"/>
          <w:sz w:val="24"/>
          <w:szCs w:val="20"/>
          <w:highlight w:val="none"/>
          <w:u w:val="single"/>
        </w:rPr>
        <w:t>代缴交易服务费，其费用包含在中标人投标报价中，招标人不另行支付。</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p>
    <w:bookmarkEnd w:id="8"/>
    <w:bookmarkEnd w:id="9"/>
    <w:p>
      <w:pPr>
        <w:pStyle w:val="3"/>
        <w:rPr>
          <w:color w:val="auto"/>
          <w:highlight w:val="none"/>
        </w:rPr>
      </w:pPr>
      <w:r>
        <w:rPr>
          <w:rFonts w:ascii="宋体"/>
          <w:color w:val="auto"/>
          <w:sz w:val="24"/>
          <w:highlight w:val="none"/>
        </w:rPr>
        <w:br w:type="page"/>
      </w:r>
      <w:bookmarkStart w:id="20" w:name="_Toc2272554"/>
      <w:bookmarkStart w:id="21" w:name="_Toc21525498"/>
      <w:bookmarkStart w:id="22" w:name="_Toc32216"/>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0"/>
      <w:bookmarkEnd w:id="21"/>
      <w:bookmarkEnd w:id="22"/>
    </w:p>
    <w:p>
      <w:pPr>
        <w:pStyle w:val="6"/>
        <w:ind w:firstLine="525"/>
        <w:rPr>
          <w:color w:val="auto"/>
          <w:highlight w:val="none"/>
        </w:rPr>
      </w:pPr>
      <w:bookmarkStart w:id="23" w:name="_Toc2272556"/>
      <w:bookmarkStart w:id="24" w:name="_Toc21525500"/>
      <w:bookmarkStart w:id="25" w:name="_Toc25609"/>
      <w:r>
        <w:rPr>
          <w:rFonts w:hint="eastAsia"/>
          <w:color w:val="auto"/>
          <w:sz w:val="28"/>
          <w:szCs w:val="28"/>
          <w:highlight w:val="none"/>
          <w:lang w:eastAsia="zh-CN"/>
        </w:rPr>
        <w:t>一</w:t>
      </w:r>
      <w:r>
        <w:rPr>
          <w:rFonts w:hint="eastAsia"/>
          <w:color w:val="auto"/>
          <w:highlight w:val="none"/>
        </w:rPr>
        <w:t>、开标、评标及定标办法</w:t>
      </w:r>
      <w:r>
        <w:rPr>
          <w:rFonts w:hint="eastAsia"/>
          <w:color w:val="auto"/>
          <w:szCs w:val="30"/>
          <w:highlight w:val="none"/>
        </w:rPr>
        <w:t>通用条款</w:t>
      </w:r>
      <w:bookmarkEnd w:id="23"/>
      <w:bookmarkEnd w:id="24"/>
      <w:bookmarkEnd w:id="25"/>
    </w:p>
    <w:p>
      <w:pPr>
        <w:pStyle w:val="7"/>
        <w:spacing w:before="156" w:after="156"/>
        <w:ind w:firstLine="540" w:firstLineChars="200"/>
        <w:rPr>
          <w:color w:val="auto"/>
          <w:highlight w:val="none"/>
        </w:rPr>
      </w:pPr>
      <w:bookmarkStart w:id="26" w:name="_Toc22363"/>
      <w:bookmarkStart w:id="27" w:name="_Toc20667"/>
      <w:bookmarkStart w:id="28" w:name="_Toc21525501"/>
      <w:bookmarkStart w:id="29" w:name="_Toc2272557"/>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dstrike w:val="0"/>
          <w:color w:val="auto"/>
          <w:sz w:val="24"/>
          <w:szCs w:val="24"/>
          <w:highlight w:val="none"/>
        </w:rPr>
      </w:pPr>
      <w:r>
        <w:rPr>
          <w:rFonts w:hint="eastAsia" w:ascii="宋体" w:hAnsi="宋体"/>
          <w:strike/>
          <w:dstrike w:val="0"/>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w:t>
      </w:r>
      <w:r>
        <w:rPr>
          <w:rFonts w:hint="eastAsia" w:ascii="宋体" w:hAnsi="宋体" w:eastAsia="宋体" w:cs="Times New Roman"/>
          <w:color w:val="auto"/>
          <w:sz w:val="24"/>
          <w:szCs w:val="22"/>
          <w:highlight w:val="none"/>
        </w:rPr>
        <w:t>若递交投标文件的投标人不足3家，则重新组织招标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lang w:eastAsia="zh-CN"/>
        </w:rPr>
        <w:t>一</w:t>
      </w:r>
      <w:r>
        <w:rPr>
          <w:rFonts w:hint="eastAsia" w:ascii="宋体" w:hAnsi="宋体"/>
          <w:color w:val="auto"/>
          <w:sz w:val="24"/>
          <w:highlight w:val="none"/>
        </w:rPr>
        <w:t>小时内，投标人通过</w:t>
      </w:r>
      <w:r>
        <w:rPr>
          <w:rFonts w:hint="eastAsia" w:ascii="宋体" w:hAnsi="宋体" w:cs="Times New Roman"/>
          <w:b w:val="0"/>
          <w:bCs w:val="0"/>
          <w:color w:val="auto"/>
          <w:sz w:val="24"/>
          <w:szCs w:val="22"/>
          <w:highlight w:val="none"/>
          <w:u w:val="none"/>
          <w:lang w:val="en-US" w:eastAsia="zh-CN"/>
        </w:rPr>
        <w:t>广州交易集团有限公司（广州公共资源交易中心）</w:t>
      </w:r>
      <w:r>
        <w:rPr>
          <w:rFonts w:hint="eastAsia" w:ascii="宋体" w:hAnsi="宋体"/>
          <w:color w:val="auto"/>
          <w:sz w:val="24"/>
          <w:highlight w:val="none"/>
        </w:rPr>
        <w:t>对已递交的电子投标文件进行解密。投标人完成解密后，再由招标人</w:t>
      </w:r>
      <w:r>
        <w:rPr>
          <w:rFonts w:hint="eastAsia" w:ascii="宋体" w:hAnsi="宋体" w:eastAsia="宋体" w:cs="Times New Roman"/>
          <w:b w:val="0"/>
          <w:bCs w:val="0"/>
          <w:strike w:val="0"/>
          <w:dstrike w:val="0"/>
          <w:color w:val="auto"/>
          <w:sz w:val="24"/>
          <w:szCs w:val="22"/>
          <w:highlight w:val="none"/>
          <w:u w:val="none"/>
          <w:lang w:val="en-US" w:eastAsia="zh-CN"/>
        </w:rPr>
        <w:t>或招标代理</w:t>
      </w:r>
      <w:r>
        <w:rPr>
          <w:rFonts w:hint="eastAsia" w:ascii="宋体" w:hAnsi="宋体"/>
          <w:color w:val="auto"/>
          <w:sz w:val="24"/>
          <w:highlight w:val="none"/>
        </w:rPr>
        <w:t>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eastAsia="宋体" w:cs="Times New Roman"/>
          <w:color w:val="auto"/>
          <w:sz w:val="24"/>
          <w:szCs w:val="24"/>
          <w:highlight w:val="none"/>
          <w:u w:val="none"/>
        </w:rPr>
        <w:t>、对同类问题表述不一致、有明显文字和计算错误的内容以及细微偏差</w:t>
      </w:r>
      <w:r>
        <w:rPr>
          <w:rFonts w:hint="eastAsia" w:ascii="宋体" w:hAnsi="宋体"/>
          <w:color w:val="auto"/>
          <w:sz w:val="24"/>
          <w:szCs w:val="24"/>
          <w:highlight w:val="none"/>
        </w:rPr>
        <w:t>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eastAsia="宋体" w:cs="Times New Roman"/>
          <w:bCs w:val="0"/>
          <w:color w:val="auto"/>
          <w:sz w:val="24"/>
          <w:szCs w:val="24"/>
          <w:highlight w:val="none"/>
          <w:u w:val="none"/>
        </w:rPr>
        <w:t>或经核查发现委派的项目负责人已在</w:t>
      </w:r>
      <w:r>
        <w:rPr>
          <w:rFonts w:hint="eastAsia" w:ascii="宋体" w:hAnsi="宋体" w:eastAsia="宋体" w:cs="Times New Roman"/>
          <w:color w:val="auto"/>
          <w:kern w:val="2"/>
          <w:sz w:val="24"/>
          <w:szCs w:val="24"/>
          <w:highlight w:val="none"/>
        </w:rPr>
        <w:t>其他在建项目中任施工单位项目负责人</w:t>
      </w:r>
      <w:r>
        <w:rPr>
          <w:rFonts w:hint="eastAsia" w:ascii="宋体" w:hAnsi="宋体" w:eastAsia="宋体" w:cs="Times New Roman"/>
          <w:bCs w:val="0"/>
          <w:color w:val="auto"/>
          <w:sz w:val="24"/>
          <w:szCs w:val="24"/>
          <w:highlight w:val="none"/>
          <w:u w:val="none"/>
        </w:rPr>
        <w:t>的，或因中标候选人原因在招标文件规定时间内未与招标人完成合同签署的，招标人可以重新招标，也可以确定排名第二的中标候选人为中标人，如第二中标候选人出现前款所列的情形的，招标人也可以确定排名第三的中标候选人为中标人，如所有中标候选人均出现前款所列的情形，为招标失败，招标人依法重新招标。</w:t>
      </w:r>
      <w:r>
        <w:rPr>
          <w:rFonts w:hint="eastAsia" w:ascii="宋体" w:hAnsi="宋体" w:eastAsia="宋体" w:cs="Times New Roman"/>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jc w:val="both"/>
        <w:rPr>
          <w:color w:val="auto"/>
          <w:highlight w:val="none"/>
        </w:rPr>
      </w:pPr>
      <w:bookmarkStart w:id="30" w:name="_Toc31410"/>
      <w:bookmarkStart w:id="31" w:name="_Toc15620"/>
      <w:r>
        <w:rPr>
          <w:rFonts w:hint="eastAsia"/>
          <w:color w:val="auto"/>
          <w:highlight w:val="none"/>
        </w:rPr>
        <w:t>（二）开标评标办法程序和细则</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w:t>
      </w:r>
      <w:r>
        <w:rPr>
          <w:rFonts w:hint="eastAsia" w:ascii="宋体" w:hAnsi="Calibri" w:eastAsia="宋体" w:cs="Times New Roman"/>
          <w:color w:val="auto"/>
          <w:sz w:val="24"/>
          <w:szCs w:val="24"/>
          <w:highlight w:val="none"/>
          <w:u w:val="none"/>
        </w:rPr>
        <w:t>或招标代理</w:t>
      </w:r>
      <w:r>
        <w:rPr>
          <w:rFonts w:hint="eastAsia" w:ascii="宋体"/>
          <w:color w:val="auto"/>
          <w:sz w:val="24"/>
          <w:szCs w:val="24"/>
          <w:highlight w:val="none"/>
        </w:rPr>
        <w:t>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41.2.</w:t>
      </w:r>
      <w:r>
        <w:rPr>
          <w:rFonts w:hint="eastAsia" w:ascii="宋体"/>
          <w:color w:val="auto"/>
          <w:sz w:val="24"/>
          <w:szCs w:val="24"/>
          <w:highlight w:val="none"/>
          <w:u w:val="single"/>
          <w:lang w:val="en-US" w:eastAsia="zh-CN"/>
        </w:rPr>
        <w:t>2</w:t>
      </w:r>
      <w:r>
        <w:rPr>
          <w:rFonts w:hint="eastAsia" w:ascii="宋体"/>
          <w:color w:val="auto"/>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广交易建设工程电子开标系统在线提出，招标人应通过广交易建设工程电子开标系统答复，异议答复是招标人真实意思表示。未答复的，开标程序不得结束，答复后方可结束开标。</w:t>
      </w:r>
      <w:r>
        <w:rPr>
          <w:rFonts w:hint="eastAsia" w:ascii="宋体"/>
          <w:color w:val="auto"/>
          <w:sz w:val="24"/>
          <w:szCs w:val="24"/>
          <w:highlight w:val="none"/>
          <w:u w:val="single"/>
          <w:lang w:eastAsia="zh-CN"/>
        </w:rPr>
        <w:t>注：</w:t>
      </w:r>
      <w:r>
        <w:rPr>
          <w:rFonts w:hint="eastAsia" w:ascii="宋体"/>
          <w:color w:val="auto"/>
          <w:sz w:val="24"/>
          <w:szCs w:val="24"/>
          <w:highlight w:val="none"/>
          <w:u w:val="single"/>
        </w:rPr>
        <w:t>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 xml:space="preserve">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w:t>
      </w: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rPr>
        <w:t>或招标代理机构</w:t>
      </w:r>
      <w:r>
        <w:rPr>
          <w:rFonts w:hint="eastAsia" w:ascii="宋体" w:hAnsi="宋体" w:cs="宋体"/>
          <w:color w:val="auto"/>
          <w:sz w:val="24"/>
          <w:szCs w:val="24"/>
          <w:highlight w:val="none"/>
        </w:rPr>
        <w:t>对开标过程进行记录，并存档备查，投标人在</w:t>
      </w:r>
      <w:r>
        <w:rPr>
          <w:rFonts w:hint="eastAsia" w:ascii="宋体" w:hAnsi="宋体" w:cs="宋体"/>
          <w:color w:val="auto"/>
          <w:sz w:val="24"/>
          <w:szCs w:val="24"/>
          <w:highlight w:val="none"/>
          <w:u w:val="single"/>
        </w:rPr>
        <w:t>开标记录上</w:t>
      </w:r>
      <w:r>
        <w:rPr>
          <w:rFonts w:hint="eastAsia" w:ascii="宋体" w:hAnsi="宋体" w:cs="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lang w:eastAsia="zh-CN"/>
        </w:rPr>
        <w:t>一</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w:t>
      </w:r>
      <w:r>
        <w:rPr>
          <w:rFonts w:hint="eastAsia" w:ascii="宋体"/>
          <w:color w:val="auto"/>
          <w:sz w:val="24"/>
          <w:szCs w:val="24"/>
          <w:highlight w:val="none"/>
          <w:u w:val="singl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w:t>
      </w:r>
      <w:r>
        <w:rPr>
          <w:rFonts w:hint="eastAsia" w:ascii="宋体" w:hAnsi="Times New Roman" w:eastAsia="宋体" w:cs="Times New Roman"/>
          <w:bCs w:val="0"/>
          <w:color w:val="auto"/>
          <w:sz w:val="24"/>
          <w:szCs w:val="24"/>
          <w:highlight w:val="none"/>
          <w:u w:val="none"/>
        </w:rPr>
        <w:t>资格审查合格的投标人少于3名的，则本项目招标失败</w:t>
      </w:r>
      <w:r>
        <w:rPr>
          <w:rFonts w:hint="eastAsia" w:asci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Times New Roman" w:eastAsia="宋体" w:cs="Times New Roman"/>
          <w:bCs w:val="0"/>
          <w:color w:val="auto"/>
          <w:sz w:val="24"/>
          <w:szCs w:val="24"/>
          <w:highlight w:val="none"/>
          <w:u w:val="single"/>
        </w:rPr>
        <w:t>若通过技术标有效性审查的投标人不足3名，则本项目招标失败</w:t>
      </w:r>
      <w:r>
        <w:rPr>
          <w:rFonts w:hint="eastAsia" w:ascii="宋体"/>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r>
        <w:rPr>
          <w:rFonts w:hint="eastAsia" w:asci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w:t>
      </w:r>
      <w:r>
        <w:rPr>
          <w:rFonts w:hint="eastAsia" w:ascii="宋体"/>
          <w:color w:val="auto"/>
          <w:sz w:val="24"/>
          <w:szCs w:val="24"/>
          <w:highlight w:val="none"/>
          <w:u w:val="single"/>
        </w:rPr>
        <w:t>*D%（D的取值为100）的（具体金额为</w:t>
      </w:r>
      <w:r>
        <w:rPr>
          <w:rFonts w:hint="eastAsia" w:ascii="宋体"/>
          <w:color w:val="auto"/>
          <w:sz w:val="24"/>
          <w:szCs w:val="24"/>
          <w:highlight w:val="none"/>
          <w:u w:val="single"/>
          <w:lang w:val="en-US" w:eastAsia="zh-CN"/>
        </w:rPr>
        <w:t>5149016.60</w:t>
      </w:r>
      <w:r>
        <w:rPr>
          <w:rFonts w:hint="eastAsia" w:ascii="宋体"/>
          <w:color w:val="auto"/>
          <w:sz w:val="24"/>
          <w:szCs w:val="24"/>
          <w:highlight w:val="none"/>
          <w:u w:val="single"/>
        </w:rPr>
        <w:t>元）</w:t>
      </w:r>
      <w:r>
        <w:rPr>
          <w:rFonts w:hint="eastAsia" w:ascii="宋体" w:hAnsi="宋体"/>
          <w:color w:val="auto"/>
          <w:sz w:val="24"/>
          <w:szCs w:val="24"/>
          <w:highlight w:val="none"/>
        </w:rPr>
        <w:t>，则本项目招标失败，由招标人依法重新招标。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lang w:eastAsia="zh-CN"/>
        </w:rPr>
        <w:t>一</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eastAsia="宋体" w:cs="Times New Roman"/>
          <w:color w:val="auto"/>
          <w:kern w:val="2"/>
          <w:sz w:val="24"/>
          <w:szCs w:val="24"/>
          <w:highlight w:val="none"/>
          <w:u w:val="single"/>
          <w:lang w:val="en-US" w:eastAsia="zh-CN" w:bidi="ar-SA"/>
        </w:rPr>
        <w:t>通过技术标有效性审查且经济报价在[工程成本警戒价, 招标控制价*</w:t>
      </w:r>
      <w:r>
        <w:rPr>
          <w:rFonts w:hint="eastAsia" w:ascii="宋体" w:hAnsi="宋体" w:cs="Times New Roman"/>
          <w:color w:val="auto"/>
          <w:kern w:val="2"/>
          <w:sz w:val="24"/>
          <w:szCs w:val="24"/>
          <w:highlight w:val="none"/>
          <w:u w:val="single"/>
          <w:lang w:val="en-US" w:eastAsia="zh-CN" w:bidi="ar-SA"/>
        </w:rPr>
        <w:t>100</w:t>
      </w:r>
      <w:r>
        <w:rPr>
          <w:rFonts w:hint="eastAsia" w:ascii="宋体" w:hAnsi="宋体" w:eastAsia="宋体" w:cs="Times New Roman"/>
          <w:color w:val="auto"/>
          <w:kern w:val="2"/>
          <w:sz w:val="24"/>
          <w:szCs w:val="24"/>
          <w:highlight w:val="none"/>
          <w:u w:val="single"/>
          <w:lang w:val="en-US" w:eastAsia="zh-CN" w:bidi="ar-SA"/>
        </w:rPr>
        <w:t>%]区间的投标人的技术标得分前5名（若满足前述条件的投标人大于等于5家时,N=5；若满足前述条件的投标人小于5家时,N=满足前述条件的投标人个数）</w:t>
      </w:r>
      <w:r>
        <w:rPr>
          <w:rFonts w:hint="eastAsia" w:ascii="宋体" w:hAnsi="宋体" w:cs="仿宋"/>
          <w:color w:val="auto"/>
          <w:sz w:val="24"/>
          <w:szCs w:val="24"/>
          <w:highlight w:val="none"/>
        </w:rPr>
        <w:t>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889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spacing w:line="360" w:lineRule="auto"/>
        <w:ind w:firstLine="480" w:firstLineChars="200"/>
        <w:rPr>
          <w:rFonts w:hint="eastAsia" w:ascii="宋体" w:hAnsi="宋体" w:eastAsia="宋体" w:cs="宋体"/>
          <w:strike/>
          <w:color w:val="auto"/>
          <w:sz w:val="24"/>
          <w:szCs w:val="24"/>
          <w:highlight w:val="none"/>
          <w:lang w:eastAsia="zh-CN"/>
        </w:rPr>
      </w:pPr>
      <w:r>
        <w:rPr>
          <w:rFonts w:hint="eastAsia" w:ascii="宋体" w:hAnsi="宋体" w:eastAsia="宋体" w:cs="宋体"/>
          <w:bCs/>
          <w:color w:val="auto"/>
          <w:sz w:val="24"/>
          <w:szCs w:val="24"/>
          <w:highlight w:val="none"/>
          <w:u w:val="single"/>
        </w:rPr>
        <w:t>技术标得分相同的的投标人，由评标委员会采用记名投票方式，确定投标人的排序。随机方式确定排序的具体操作步骤为：由评标会对出现该情况的投标人进行编号，然后通过记名投票方式，以得票多的排前确定排序</w:t>
      </w:r>
      <w:r>
        <w:rPr>
          <w:rFonts w:hint="eastAsia" w:ascii="宋体" w:hAnsi="宋体" w:eastAsia="宋体" w:cs="宋体"/>
          <w:bCs/>
          <w:color w:val="auto"/>
          <w:sz w:val="24"/>
          <w:szCs w:val="24"/>
          <w:highlight w:val="none"/>
          <w:u w:val="single"/>
          <w:lang w:eastAsia="zh-CN"/>
        </w:rPr>
        <w:t>。</w:t>
      </w:r>
    </w:p>
    <w:p>
      <w:pPr>
        <w:widowControl/>
        <w:spacing w:line="360" w:lineRule="auto"/>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45.3当标价等于评标参考价时得100分，标价每高于评标参考价1%，</w:t>
      </w:r>
      <w:r>
        <w:rPr>
          <w:rFonts w:hint="eastAsia" w:ascii="宋体" w:hAnsi="宋体" w:eastAsia="宋体" w:cs="宋体"/>
          <w:bCs/>
          <w:color w:val="auto"/>
          <w:sz w:val="24"/>
          <w:szCs w:val="24"/>
          <w:highlight w:val="none"/>
        </w:rPr>
        <w:t>扣</w:t>
      </w:r>
      <w:r>
        <w:rPr>
          <w:rFonts w:hint="eastAsia" w:ascii="宋体" w:hAnsi="宋体" w:eastAsia="宋体" w:cs="宋体"/>
          <w:bCs/>
          <w:color w:val="auto"/>
          <w:sz w:val="24"/>
          <w:szCs w:val="24"/>
          <w:highlight w:val="none"/>
          <w:u w:val="single"/>
          <w:lang w:val="en-US" w:eastAsia="zh-CN"/>
        </w:rPr>
        <w:t>0.2</w:t>
      </w:r>
      <w:r>
        <w:rPr>
          <w:rFonts w:hint="eastAsia" w:ascii="宋体" w:hAnsi="宋体" w:eastAsia="宋体" w:cs="宋体"/>
          <w:bCs/>
          <w:color w:val="auto"/>
          <w:sz w:val="24"/>
          <w:szCs w:val="24"/>
          <w:highlight w:val="none"/>
        </w:rPr>
        <w:t>分，每低于评标参考价1%，扣</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4"/>
          <w:highlight w:val="none"/>
        </w:rPr>
        <w:t>，扣至0分为止，得出经济分，精确到小数点后两位。</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45.4计算通过技术标有效性审查的投标人总得分。投标人总得分=</w:t>
      </w:r>
      <w:r>
        <w:rPr>
          <w:rFonts w:hint="eastAsia" w:ascii="宋体" w:hAnsi="宋体" w:eastAsia="宋体" w:cs="宋体"/>
          <w:color w:val="auto"/>
          <w:sz w:val="24"/>
          <w:szCs w:val="24"/>
          <w:highlight w:val="none"/>
          <w:u w:val="single"/>
        </w:rPr>
        <w:t>技术得分×技术得分权重（20%）＋经济得分×经济得分权重（80%）。</w:t>
      </w:r>
      <w:r>
        <w:rPr>
          <w:rFonts w:hint="eastAsia" w:ascii="宋体" w:hAnsi="宋体" w:eastAsia="宋体" w:cs="宋体"/>
          <w:color w:val="auto"/>
          <w:sz w:val="24"/>
          <w:szCs w:val="24"/>
          <w:highlight w:val="none"/>
        </w:rPr>
        <w:t>技术、经济得分权重按投标须知前附表的规定执行。总得分四舍五入保留两位小数。</w:t>
      </w:r>
      <w:r>
        <w:rPr>
          <w:rFonts w:hint="eastAsia" w:ascii="宋体" w:hAnsi="宋体" w:eastAsia="宋体" w:cs="宋体"/>
          <w:color w:val="auto"/>
          <w:sz w:val="24"/>
          <w:szCs w:val="24"/>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r>
        <w:rPr>
          <w:rFonts w:hint="eastAsia" w:ascii="宋体" w:hAnsi="宋体" w:eastAsia="宋体" w:cs="宋体"/>
          <w:color w:val="auto"/>
          <w:sz w:val="24"/>
          <w:szCs w:val="24"/>
          <w:highlight w:val="none"/>
          <w:u w:val="none"/>
        </w:rPr>
        <w:t>。</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w:t>
      </w:r>
      <w:r>
        <w:rPr>
          <w:rFonts w:hint="eastAsia" w:ascii="宋体" w:hAnsi="宋体"/>
          <w:color w:val="auto"/>
          <w:sz w:val="24"/>
          <w:szCs w:val="24"/>
          <w:highlight w:val="none"/>
          <w:u w:val="singl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w:t>
      </w:r>
      <w:r>
        <w:rPr>
          <w:rFonts w:hint="eastAsia" w:ascii="宋体" w:hAnsi="宋体" w:cs="宋体"/>
          <w:color w:val="auto"/>
          <w:sz w:val="24"/>
          <w:szCs w:val="24"/>
          <w:highlight w:val="none"/>
        </w:rPr>
        <w:t>评标委员会应在通过投标文件经济标有效性审查的投标人中，</w:t>
      </w:r>
      <w:r>
        <w:rPr>
          <w:rFonts w:hint="eastAsia" w:ascii="宋体" w:hAnsi="宋体" w:cs="宋体"/>
          <w:color w:val="auto"/>
          <w:sz w:val="24"/>
          <w:szCs w:val="24"/>
          <w:highlight w:val="none"/>
          <w:u w:val="single"/>
        </w:rPr>
        <w:t>按步骤45.4确定的投标人排序</w:t>
      </w:r>
      <w:r>
        <w:rPr>
          <w:rFonts w:hint="eastAsia" w:ascii="宋体" w:hAnsi="宋体" w:cs="宋体"/>
          <w:color w:val="auto"/>
          <w:sz w:val="24"/>
          <w:szCs w:val="24"/>
          <w:highlight w:val="none"/>
        </w:rPr>
        <w:t>，推荐前3名依次为第一中标候选人至第三中标候选人,并编制评标报告</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w:t>
      </w:r>
      <w:r>
        <w:rPr>
          <w:rFonts w:hint="eastAsia" w:ascii="宋体" w:hAnsi="宋体" w:eastAsia="宋体" w:cs="Times New Roman"/>
          <w:bCs w:val="0"/>
          <w:color w:val="auto"/>
          <w:sz w:val="24"/>
          <w:szCs w:val="24"/>
          <w:highlight w:val="none"/>
          <w:u w:val="none"/>
        </w:rPr>
        <w:t>若通过经济标有效性审查的投标人不足三家，应当依法重新招标</w:t>
      </w:r>
      <w:bookmarkEnd w:id="28"/>
      <w:bookmarkEnd w:id="29"/>
      <w:r>
        <w:rPr>
          <w:rFonts w:hint="eastAsia" w:ascii="宋体" w:hAnsi="宋体"/>
          <w:bCs/>
          <w:color w:val="auto"/>
          <w:sz w:val="24"/>
          <w:szCs w:val="24"/>
          <w:highlight w:val="none"/>
          <w:u w:val="single"/>
        </w:rPr>
        <w:t>。</w:t>
      </w:r>
    </w:p>
    <w:p>
      <w:pPr>
        <w:widowControl/>
        <w:jc w:val="left"/>
        <w:rPr>
          <w:rFonts w:ascii="宋体" w:hAnsi="宋体"/>
          <w:color w:val="auto"/>
          <w:szCs w:val="21"/>
          <w:highlight w:val="none"/>
        </w:rPr>
      </w:pPr>
      <w:r>
        <w:rPr>
          <w:rFonts w:ascii="宋体" w:hAnsi="宋体"/>
          <w:color w:val="auto"/>
          <w:szCs w:val="21"/>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404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营业执照</w:t>
            </w:r>
            <w:r>
              <w:rPr>
                <w:rFonts w:hint="eastAsia" w:ascii="宋体" w:hAnsi="宋体"/>
                <w:color w:val="auto"/>
                <w:szCs w:val="21"/>
                <w:highlight w:val="none"/>
              </w:rPr>
              <w:t>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before="120" w:after="60"/>
              <w:rPr>
                <w:rFonts w:ascii="宋体" w:hAnsi="宋体"/>
                <w:color w:val="auto"/>
                <w:szCs w:val="21"/>
                <w:highlight w:val="none"/>
              </w:rPr>
            </w:pPr>
            <w:r>
              <w:rPr>
                <w:rFonts w:hint="eastAsia" w:ascii="宋体" w:hAnsi="宋体"/>
                <w:color w:val="auto"/>
                <w:szCs w:val="21"/>
                <w:highlight w:val="none"/>
              </w:rPr>
              <w:t>资质证书及安全生产许可证扫描件；</w:t>
            </w:r>
          </w:p>
          <w:p>
            <w:pPr>
              <w:numPr>
                <w:ilvl w:val="255"/>
                <w:numId w:val="0"/>
              </w:numPr>
              <w:spacing w:before="120" w:after="60"/>
              <w:rPr>
                <w:rFonts w:ascii="宋体" w:hAnsi="宋体"/>
                <w:color w:val="auto"/>
                <w:szCs w:val="21"/>
                <w:highlight w:val="none"/>
              </w:rPr>
            </w:pPr>
            <w:r>
              <w:rPr>
                <w:rFonts w:hint="eastAsia" w:ascii="宋体" w:hAnsi="宋体" w:cs="宋体"/>
                <w:color w:val="auto"/>
                <w:szCs w:val="21"/>
                <w:highlight w:val="none"/>
              </w:rPr>
              <w:t>《承装(修、试)电力设施许可证》</w:t>
            </w:r>
            <w:r>
              <w:rPr>
                <w:rFonts w:hint="eastAsia" w:ascii="宋体" w:hAnsi="宋体"/>
                <w:color w:val="auto"/>
                <w:szCs w:val="21"/>
                <w:highlight w:val="none"/>
              </w:rPr>
              <w:t>扫描件</w:t>
            </w: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处于有效期内的注册建造师注册证书扫描件。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（注：打印建造师电子证书后，应在个人签名处手写本人签名再扫描提交，提交扫描件未手写签名或与签名图像笔迹不一致的，该电子证书无效。）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w:t>
            </w:r>
            <w:r>
              <w:rPr>
                <w:rFonts w:hint="eastAsia" w:ascii="宋体" w:hAnsi="宋体"/>
                <w:color w:val="auto"/>
                <w:szCs w:val="21"/>
                <w:highlight w:val="none"/>
                <w:lang w:val="en-US" w:eastAsia="zh-CN"/>
              </w:rPr>
              <w:t>职称证</w:t>
            </w:r>
            <w:r>
              <w:rPr>
                <w:rFonts w:hint="eastAsia" w:ascii="宋体" w:hAnsi="宋体"/>
                <w:color w:val="auto"/>
                <w:szCs w:val="21"/>
                <w:highlight w:val="none"/>
                <w:u w:val="single"/>
              </w:rPr>
              <w:t>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shd w:val="clear" w:color="auto" w:fill="FFFFFF"/>
              </w:rPr>
              <w:t>专职安全员须具有在有效期内的安全生产考核合格证</w:t>
            </w:r>
            <w:r>
              <w:rPr>
                <w:rFonts w:hint="eastAsia" w:ascii="宋体" w:hAnsi="宋体" w:cs="宋体"/>
                <w:color w:val="auto"/>
                <w:szCs w:val="21"/>
                <w:highlight w:val="none"/>
                <w:u w:val="single"/>
                <w:shd w:val="clear" w:color="auto" w:fill="FFFFFF"/>
              </w:rPr>
              <w:t>（C类）</w:t>
            </w:r>
            <w:r>
              <w:rPr>
                <w:rFonts w:hint="eastAsia" w:ascii="宋体" w:hAnsi="宋体" w:cs="宋体"/>
                <w:color w:val="auto"/>
                <w:szCs w:val="21"/>
                <w:highlight w:val="none"/>
                <w:shd w:val="clear" w:color="auto" w:fill="FFFFFF"/>
              </w:rPr>
              <w:t>或建筑施工企业专职安全生产管理人员安全生产考核合格证</w:t>
            </w:r>
            <w:r>
              <w:rPr>
                <w:rFonts w:hint="eastAsia" w:ascii="宋体" w:hAnsi="宋体" w:cs="宋体"/>
                <w:color w:val="auto"/>
                <w:szCs w:val="21"/>
                <w:highlight w:val="none"/>
                <w:u w:val="single"/>
                <w:shd w:val="clear" w:color="auto" w:fill="FFFFFF"/>
              </w:rPr>
              <w:t>（C3）</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类或C3类）或建筑施工企业专职安全生产管理人员安全生产考核合格证扫描件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s="宋体"/>
                <w:color w:val="auto"/>
                <w:szCs w:val="21"/>
                <w:highlight w:val="none"/>
                <w:u w:val="single"/>
              </w:rPr>
              <w:t>关于联合体投标：本项目不接受联合体投标</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s="宋体"/>
                <w:color w:val="auto"/>
                <w:szCs w:val="21"/>
                <w:highlight w:val="none"/>
                <w:u w:val="single"/>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投标登记前，投标人须在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办理企业信息登记及拟担任本工程项目负责人、专职安全员须是本企业信息登记信息中的在册人员。</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w:t>
            </w:r>
            <w:r>
              <w:rPr>
                <w:rFonts w:hint="eastAsia"/>
                <w:color w:val="auto"/>
                <w:highlight w:val="none"/>
                <w:u w:val="single"/>
                <w:lang w:eastAsia="zh-CN"/>
              </w:rPr>
              <w:t>广州交易集团有限公司（广州公共资源交易中心）</w:t>
            </w:r>
            <w:r>
              <w:rPr>
                <w:rFonts w:hint="eastAsia"/>
                <w:color w:val="auto"/>
                <w:highlight w:val="none"/>
                <w:u w:val="single"/>
              </w:rPr>
              <w:t>企业</w:t>
            </w:r>
            <w:r>
              <w:rPr>
                <w:rFonts w:hint="eastAsia" w:ascii="宋体" w:hAnsi="宋体"/>
                <w:color w:val="auto"/>
                <w:szCs w:val="21"/>
                <w:highlight w:val="none"/>
              </w:rPr>
              <w:t>库内</w:t>
            </w:r>
            <w:r>
              <w:rPr>
                <w:rFonts w:hint="eastAsia" w:ascii="宋体" w:hAnsi="宋体"/>
                <w:color w:val="auto"/>
                <w:szCs w:val="21"/>
                <w:highlight w:val="none"/>
                <w:u w:val="single"/>
              </w:rPr>
              <w:t>信息</w:t>
            </w:r>
            <w:r>
              <w:rPr>
                <w:rFonts w:hint="eastAsia"/>
                <w:color w:val="auto"/>
                <w:highlight w:val="none"/>
                <w:u w:val="single"/>
              </w:rPr>
              <w:t>登记</w:t>
            </w:r>
            <w:r>
              <w:rPr>
                <w:rFonts w:hint="eastAsia" w:ascii="宋体" w:hAnsi="宋体"/>
                <w:color w:val="auto"/>
                <w:szCs w:val="21"/>
                <w:highlight w:val="none"/>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投标人声明（一）</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ascii="宋体" w:hAnsi="宋体" w:eastAsia="宋体" w:cs="Times New Roman"/>
                <w:color w:val="auto"/>
                <w:szCs w:val="21"/>
                <w:highlight w:val="none"/>
              </w:rPr>
              <w:t>未被列入拖欠农民工工资失信联合惩戒对象名单</w:t>
            </w:r>
          </w:p>
        </w:tc>
        <w:tc>
          <w:tcPr>
            <w:tcW w:w="4041"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s="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pStyle w:val="20"/>
        <w:spacing w:line="48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0"/>
        <w:rPr>
          <w:color w:val="auto"/>
          <w:highlight w:val="none"/>
        </w:rPr>
      </w:pPr>
    </w:p>
    <w:p>
      <w:pPr>
        <w:pStyle w:val="20"/>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highlight w:val="none"/>
                <w:u w:val="single"/>
              </w:rPr>
              <w:t>《广州建设工程施工招标投标书》中的总工期不符合招标文件要求的；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highlight w:val="none"/>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olor w:val="auto"/>
                <w:szCs w:val="21"/>
                <w:highlight w:val="none"/>
              </w:rPr>
              <w:t>投标文件未</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cs="宋体"/>
                <w:color w:val="auto"/>
                <w:szCs w:val="21"/>
                <w:highlight w:val="none"/>
                <w:u w:val="single"/>
              </w:rPr>
              <w:t>无《危险性较大的分部分项工程安全管理措施》的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val="en-US" w:eastAsia="zh-CN"/>
        </w:rPr>
        <w:t>1</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.凡出现以上任何一项情形，结论均为无效，否则就为有效。</w:t>
      </w:r>
    </w:p>
    <w:p>
      <w:pPr>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highlight w:val="none"/>
              </w:rPr>
              <w:t>投标报价高于最高投标限价</w:t>
            </w:r>
            <w:r>
              <w:rPr>
                <w:rFonts w:hint="eastAsia" w:ascii="宋体" w:hAnsi="宋体"/>
                <w:color w:val="auto"/>
                <w:szCs w:val="21"/>
                <w:highlight w:val="none"/>
              </w:rPr>
              <w:t>的</w:t>
            </w:r>
            <w:r>
              <w:rPr>
                <w:rFonts w:hint="eastAsia" w:ascii="宋体" w:hAnsi="宋体" w:cs="宋体"/>
                <w:color w:val="auto"/>
                <w:highlight w:val="none"/>
              </w:rPr>
              <w:t>；</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eastAsia="宋体" w:cs="Times New Roman"/>
                <w:color w:val="auto"/>
                <w:kern w:val="2"/>
                <w:sz w:val="21"/>
                <w:szCs w:val="21"/>
                <w:highlight w:val="none"/>
                <w:lang w:val="en-US" w:eastAsia="zh-CN" w:bidi="ar-SA"/>
              </w:rPr>
            </w:pPr>
            <w:r>
              <w:rPr>
                <w:rFonts w:hint="eastAsia" w:ascii="宋体" w:hAnsi="宋体"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投标文件未按</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20"/>
        <w:ind w:firstLine="420" w:firstLineChars="200"/>
        <w:rPr>
          <w:color w:val="auto"/>
          <w:highlight w:val="none"/>
        </w:rPr>
      </w:pPr>
      <w:r>
        <w:rPr>
          <w:rFonts w:hint="eastAsia"/>
          <w:color w:val="auto"/>
          <w:highlight w:val="none"/>
          <w:lang w:val="en-US" w:eastAsia="zh-CN"/>
        </w:rPr>
        <w:t>3</w:t>
      </w:r>
      <w:r>
        <w:rPr>
          <w:rFonts w:hint="eastAsia"/>
          <w:color w:val="auto"/>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rFonts w:hint="default" w:eastAsia="宋体"/>
          <w:b/>
          <w:color w:val="auto"/>
          <w:sz w:val="36"/>
          <w:szCs w:val="36"/>
          <w:highlight w:val="none"/>
          <w:lang w:val="en-US" w:eastAsia="zh-CN"/>
        </w:rPr>
      </w:pPr>
      <w:r>
        <w:rPr>
          <w:rFonts w:hint="eastAsia"/>
          <w:color w:val="auto"/>
          <w:szCs w:val="21"/>
          <w:highlight w:val="none"/>
        </w:rPr>
        <w:t>附表四</w:t>
      </w:r>
      <w:r>
        <w:rPr>
          <w:rFonts w:hint="eastAsia"/>
          <w:color w:val="auto"/>
          <w:szCs w:val="21"/>
          <w:highlight w:val="none"/>
          <w:lang w:val="en-US" w:eastAsia="zh-CN"/>
        </w:rPr>
        <w:t xml:space="preserve">                                              </w:t>
      </w:r>
      <w:r>
        <w:rPr>
          <w:rFonts w:hint="eastAsia"/>
          <w:b/>
          <w:color w:val="auto"/>
          <w:sz w:val="36"/>
          <w:szCs w:val="36"/>
          <w:highlight w:val="none"/>
        </w:rPr>
        <w:t>技术标详细审查评分表(权重20%)</w:t>
      </w:r>
      <w:r>
        <w:rPr>
          <w:rFonts w:hint="eastAsia"/>
          <w:b/>
          <w:color w:val="auto"/>
          <w:sz w:val="36"/>
          <w:szCs w:val="36"/>
          <w:highlight w:val="none"/>
          <w:lang w:val="en-US" w:eastAsia="zh-CN"/>
        </w:rPr>
        <w:t xml:space="preserve">                   </w:t>
      </w:r>
    </w:p>
    <w:tbl>
      <w:tblPr>
        <w:tblStyle w:val="36"/>
        <w:tblW w:w="14401" w:type="dxa"/>
        <w:jc w:val="center"/>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20"/>
        <w:gridCol w:w="748"/>
        <w:gridCol w:w="11497"/>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36" w:type="dxa"/>
            <w:tcBorders>
              <w:top w:val="single" w:color="auto" w:sz="8" w:space="0"/>
              <w:left w:val="single" w:color="auto" w:sz="8" w:space="0"/>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序号</w:t>
            </w:r>
          </w:p>
        </w:tc>
        <w:tc>
          <w:tcPr>
            <w:tcW w:w="1520"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评审项目</w:t>
            </w:r>
          </w:p>
        </w:tc>
        <w:tc>
          <w:tcPr>
            <w:tcW w:w="748"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分值</w:t>
            </w:r>
          </w:p>
        </w:tc>
        <w:tc>
          <w:tcPr>
            <w:tcW w:w="11497"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评审标准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u w:val="single"/>
              </w:rPr>
            </w:pPr>
            <w:r>
              <w:rPr>
                <w:rFonts w:hint="eastAsia" w:cs="宋体"/>
                <w:b/>
                <w:bCs/>
                <w:color w:val="auto"/>
                <w:sz w:val="18"/>
                <w:szCs w:val="18"/>
                <w:highlight w:val="none"/>
                <w:u w:val="single"/>
              </w:rPr>
              <w:t>一</w:t>
            </w:r>
          </w:p>
        </w:tc>
        <w:tc>
          <w:tcPr>
            <w:tcW w:w="1520"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b/>
                <w:bCs/>
                <w:color w:val="auto"/>
                <w:sz w:val="18"/>
                <w:szCs w:val="18"/>
                <w:highlight w:val="none"/>
                <w:u w:val="single"/>
              </w:rPr>
            </w:pPr>
            <w:r>
              <w:rPr>
                <w:rFonts w:hint="eastAsia"/>
                <w:b/>
                <w:bCs/>
                <w:color w:val="auto"/>
                <w:sz w:val="18"/>
                <w:szCs w:val="18"/>
                <w:highlight w:val="none"/>
                <w:u w:val="single"/>
              </w:rPr>
              <w:t>施工组织方案</w:t>
            </w:r>
          </w:p>
        </w:tc>
        <w:tc>
          <w:tcPr>
            <w:tcW w:w="748"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u w:val="single"/>
              </w:rPr>
            </w:pPr>
            <w:r>
              <w:rPr>
                <w:rFonts w:hint="eastAsia" w:cs="宋体"/>
                <w:b/>
                <w:bCs/>
                <w:color w:val="auto"/>
                <w:sz w:val="18"/>
                <w:szCs w:val="18"/>
                <w:highlight w:val="none"/>
                <w:u w:val="single"/>
              </w:rPr>
              <w:t>50</w:t>
            </w:r>
          </w:p>
        </w:tc>
        <w:tc>
          <w:tcPr>
            <w:tcW w:w="11497" w:type="dxa"/>
            <w:tcBorders>
              <w:top w:val="single" w:color="auto" w:sz="4" w:space="0"/>
              <w:left w:val="nil"/>
              <w:bottom w:val="single" w:color="auto" w:sz="4" w:space="0"/>
              <w:right w:val="single" w:color="auto" w:sz="4" w:space="0"/>
            </w:tcBorders>
            <w:vAlign w:val="center"/>
          </w:tcPr>
          <w:p>
            <w:pPr>
              <w:jc w:val="center"/>
              <w:rPr>
                <w:color w:val="auto"/>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520" w:type="dxa"/>
            <w:tcBorders>
              <w:top w:val="single" w:color="auto" w:sz="4" w:space="0"/>
              <w:left w:val="single" w:color="auto" w:sz="4" w:space="0"/>
              <w:right w:val="single" w:color="auto" w:sz="4" w:space="0"/>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施工方案</w:t>
            </w:r>
          </w:p>
        </w:tc>
        <w:tc>
          <w:tcPr>
            <w:tcW w:w="748" w:type="dxa"/>
            <w:tcBorders>
              <w:top w:val="single" w:color="auto" w:sz="4" w:space="0"/>
              <w:left w:val="nil"/>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30</w:t>
            </w:r>
          </w:p>
        </w:tc>
        <w:tc>
          <w:tcPr>
            <w:tcW w:w="11497" w:type="dxa"/>
            <w:tcBorders>
              <w:top w:val="single" w:color="auto" w:sz="4" w:space="0"/>
              <w:left w:val="nil"/>
              <w:right w:val="single" w:color="auto" w:sz="4" w:space="0"/>
            </w:tcBorders>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针对本项目的特点，对高、低压配电施工的重点、难点分析到位，认识准确，有考虑设备安装及调试等影响因素，并针对重点、难点分析情况，提出可行、有效、经济、安全的处理措施。投标人之间横向比较，优得5分，良得3分，中得1分，差0分。</w:t>
            </w:r>
          </w:p>
          <w:p>
            <w:pPr>
              <w:rPr>
                <w:rFonts w:hint="eastAsia" w:ascii="宋体" w:hAnsi="宋体"/>
                <w:color w:val="auto"/>
                <w:sz w:val="18"/>
                <w:szCs w:val="18"/>
                <w:highlight w:val="none"/>
              </w:rPr>
            </w:pPr>
            <w:r>
              <w:rPr>
                <w:rFonts w:hint="eastAsia" w:ascii="宋体" w:hAnsi="宋体"/>
                <w:color w:val="auto"/>
                <w:sz w:val="18"/>
                <w:szCs w:val="18"/>
                <w:highlight w:val="none"/>
              </w:rPr>
              <w:t>（2）针对本项目特点对提出的送电方案，认识准确，符合供电部门相关规定，有考虑行业准入等相关的影响因素，并针对重点、难点分析情况，提出可行、有效、经济、安全的处理措施。投标人之间横向比较，优得5分，良得3分，中得1分，差0分。</w:t>
            </w:r>
          </w:p>
          <w:p>
            <w:pPr>
              <w:rPr>
                <w:rFonts w:hint="eastAsia" w:ascii="宋体" w:hAnsi="宋体"/>
                <w:color w:val="auto"/>
                <w:sz w:val="18"/>
                <w:szCs w:val="18"/>
                <w:highlight w:val="none"/>
              </w:rPr>
            </w:pPr>
            <w:r>
              <w:rPr>
                <w:rFonts w:hint="eastAsia" w:ascii="宋体" w:hAnsi="宋体"/>
                <w:color w:val="auto"/>
                <w:sz w:val="18"/>
                <w:szCs w:val="18"/>
                <w:highlight w:val="none"/>
              </w:rPr>
              <w:t>（3）针对本项目投入的施工机械设备能满足工程施工进度的要求，拟投入自由施工车辆【其中包括货车、工程车、专项作业车（如带电作业车、高空作业车、工程抢险车等）】</w:t>
            </w:r>
            <w:r>
              <w:rPr>
                <w:rFonts w:hint="eastAsia" w:ascii="宋体" w:hAnsi="宋体"/>
                <w:color w:val="auto"/>
                <w:sz w:val="18"/>
                <w:szCs w:val="18"/>
                <w:highlight w:val="none"/>
                <w:lang w:eastAsia="zh-CN"/>
              </w:rPr>
              <w:t>。</w:t>
            </w:r>
            <w:r>
              <w:rPr>
                <w:rFonts w:hint="eastAsia" w:ascii="宋体" w:hAnsi="宋体"/>
                <w:color w:val="auto"/>
                <w:sz w:val="18"/>
                <w:szCs w:val="18"/>
                <w:highlight w:val="none"/>
              </w:rPr>
              <w:t>投标人之间横向比较，优得10分，良得7分，中得3分，差0分。</w:t>
            </w:r>
          </w:p>
          <w:p>
            <w:pPr>
              <w:rPr>
                <w:rFonts w:hint="eastAsia" w:ascii="宋体" w:hAnsi="宋体"/>
                <w:color w:val="auto"/>
                <w:sz w:val="18"/>
                <w:szCs w:val="18"/>
                <w:highlight w:val="none"/>
              </w:rPr>
            </w:pPr>
            <w:r>
              <w:rPr>
                <w:rFonts w:hint="eastAsia" w:ascii="宋体" w:hAnsi="宋体"/>
                <w:color w:val="auto"/>
                <w:sz w:val="18"/>
                <w:szCs w:val="18"/>
                <w:highlight w:val="none"/>
              </w:rPr>
              <w:t>（4）方案中在施工期间投入符合供电部门要求的特种作业操作证操作人员（高压电工作业，低压电工作业，电力电缆作业，焊接与热切割作业,电气试验，继电保护），以上工种齐全且投入总人数横向对比，优得10分，良得7分，中得3分，差0分。</w:t>
            </w:r>
          </w:p>
          <w:p>
            <w:pPr>
              <w:rPr>
                <w:rFonts w:hint="eastAsia" w:ascii="宋体" w:hAnsi="宋体"/>
                <w:color w:val="auto"/>
                <w:sz w:val="18"/>
                <w:szCs w:val="18"/>
                <w:highlight w:val="none"/>
              </w:rPr>
            </w:pPr>
            <w:r>
              <w:rPr>
                <w:rFonts w:hint="eastAsia" w:ascii="宋体" w:hAnsi="宋体"/>
                <w:color w:val="auto"/>
                <w:sz w:val="18"/>
                <w:szCs w:val="18"/>
                <w:highlight w:val="none"/>
              </w:rPr>
              <w:t>本项最多得30分。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520" w:type="dxa"/>
            <w:tcBorders>
              <w:top w:val="single" w:color="auto" w:sz="4" w:space="0"/>
              <w:left w:val="single" w:color="auto" w:sz="4" w:space="0"/>
              <w:right w:val="single" w:color="auto" w:sz="4" w:space="0"/>
            </w:tcBorders>
            <w:vAlign w:val="center"/>
          </w:tcPr>
          <w:p>
            <w:pPr>
              <w:snapToGrid w:val="0"/>
              <w:jc w:val="center"/>
              <w:rPr>
                <w:rFonts w:ascii="宋体" w:hAnsi="宋体"/>
                <w:color w:val="auto"/>
                <w:sz w:val="18"/>
                <w:szCs w:val="18"/>
                <w:highlight w:val="none"/>
              </w:rPr>
            </w:pPr>
            <w:r>
              <w:rPr>
                <w:rFonts w:hint="eastAsia" w:ascii="宋体" w:hAnsi="宋体" w:cs="宋体"/>
                <w:color w:val="auto"/>
                <w:sz w:val="18"/>
                <w:szCs w:val="18"/>
                <w:highlight w:val="none"/>
              </w:rPr>
              <w:t>调试、验收方案</w:t>
            </w:r>
          </w:p>
        </w:tc>
        <w:tc>
          <w:tcPr>
            <w:tcW w:w="748" w:type="dxa"/>
            <w:tcBorders>
              <w:top w:val="single" w:color="auto" w:sz="4" w:space="0"/>
              <w:left w:val="nil"/>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10</w:t>
            </w:r>
          </w:p>
        </w:tc>
        <w:tc>
          <w:tcPr>
            <w:tcW w:w="11497" w:type="dxa"/>
            <w:tcBorders>
              <w:top w:val="single" w:color="auto" w:sz="4" w:space="0"/>
              <w:left w:val="nil"/>
              <w:right w:val="single" w:color="auto" w:sz="4" w:space="0"/>
            </w:tcBorders>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1）针对本项目特点，制定供电系统的调试工作方案，方案应包括人员安排（包括技术负责人、施工人员等）、机械设备材料投入等相关保障措施、调试验收内容、工作流程（含供电部门办理的相关手续）等内容，并承诺按期完成相关调试验收工作，确保竣工送电。提供调试验收工作方案且方案合理、满足工期要求。投标人之间横向比较，优得5分，良得3分，中得1分，差0分。</w:t>
            </w:r>
          </w:p>
          <w:p>
            <w:pPr>
              <w:rPr>
                <w:rFonts w:hint="eastAsia" w:ascii="宋体" w:hAnsi="宋体"/>
                <w:color w:val="auto"/>
                <w:sz w:val="18"/>
                <w:szCs w:val="18"/>
                <w:highlight w:val="none"/>
              </w:rPr>
            </w:pPr>
            <w:r>
              <w:rPr>
                <w:rFonts w:hint="eastAsia" w:ascii="宋体" w:hAnsi="宋体"/>
                <w:color w:val="auto"/>
                <w:sz w:val="18"/>
                <w:szCs w:val="18"/>
                <w:highlight w:val="none"/>
              </w:rPr>
              <w:t>（2）针对本项目特点提出的竣工验收方案，认识准确，并针对重点、难点分析情况，提出可行、有效、经济的处理措施。投标人之间横向比较，优得5分，良得3分，中得1分，差0分。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5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运行维护及质保期服务方案</w:t>
            </w:r>
          </w:p>
        </w:tc>
        <w:tc>
          <w:tcPr>
            <w:tcW w:w="748"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10</w:t>
            </w:r>
          </w:p>
        </w:tc>
        <w:tc>
          <w:tcPr>
            <w:tcW w:w="11497" w:type="dxa"/>
            <w:tcBorders>
              <w:top w:val="single" w:color="auto" w:sz="4" w:space="0"/>
              <w:left w:val="nil"/>
              <w:bottom w:val="single" w:color="auto" w:sz="4" w:space="0"/>
              <w:right w:val="single" w:color="auto" w:sz="4" w:space="0"/>
            </w:tcBorders>
            <w:vAlign w:val="center"/>
          </w:tcPr>
          <w:tbl>
            <w:tblPr>
              <w:tblStyle w:val="36"/>
              <w:tblW w:w="0" w:type="auto"/>
              <w:tblInd w:w="0" w:type="dxa"/>
              <w:tblLayout w:type="fixed"/>
              <w:tblCellMar>
                <w:top w:w="0" w:type="dxa"/>
                <w:left w:w="108" w:type="dxa"/>
                <w:bottom w:w="0" w:type="dxa"/>
                <w:right w:w="108" w:type="dxa"/>
              </w:tblCellMar>
            </w:tblPr>
            <w:tblGrid>
              <w:gridCol w:w="11282"/>
            </w:tblGrid>
            <w:tr>
              <w:tblPrEx>
                <w:tblCellMar>
                  <w:top w:w="0" w:type="dxa"/>
                  <w:left w:w="108" w:type="dxa"/>
                  <w:bottom w:w="0" w:type="dxa"/>
                  <w:right w:w="108" w:type="dxa"/>
                </w:tblCellMar>
              </w:tblPrEx>
              <w:trPr>
                <w:trHeight w:val="870" w:hRule="atLeast"/>
              </w:trPr>
              <w:tc>
                <w:tcPr>
                  <w:tcW w:w="11282" w:type="dxa"/>
                  <w:tcBorders>
                    <w:tl2br w:val="nil"/>
                    <w:tr2bl w:val="nil"/>
                  </w:tcBorders>
                </w:tcPr>
                <w:p>
                  <w:pPr>
                    <w:jc w:val="left"/>
                    <w:rPr>
                      <w:rFonts w:ascii="宋体" w:hAnsi="宋体"/>
                      <w:color w:val="auto"/>
                      <w:sz w:val="18"/>
                      <w:highlight w:val="none"/>
                    </w:rPr>
                  </w:pPr>
                  <w:r>
                    <w:rPr>
                      <w:rFonts w:hint="eastAsia" w:ascii="宋体" w:hAnsi="宋体"/>
                      <w:color w:val="auto"/>
                      <w:sz w:val="18"/>
                      <w:highlight w:val="none"/>
                    </w:rPr>
                    <w:t>针对本工程运行维护的特点，在方案中投入符合运行维护要求的持证人员及相关试验设备</w:t>
                  </w:r>
                  <w:r>
                    <w:rPr>
                      <w:rFonts w:hint="eastAsia" w:ascii="宋体" w:hAnsi="宋体"/>
                      <w:color w:val="auto"/>
                      <w:sz w:val="18"/>
                      <w:highlight w:val="none"/>
                      <w:lang w:val="en-US" w:eastAsia="zh-CN"/>
                    </w:rPr>
                    <w:t>齐全</w:t>
                  </w:r>
                  <w:r>
                    <w:rPr>
                      <w:rFonts w:hint="eastAsia" w:ascii="宋体" w:hAnsi="宋体"/>
                      <w:color w:val="auto"/>
                      <w:sz w:val="18"/>
                      <w:highlight w:val="none"/>
                    </w:rPr>
                    <w:t>，同时持有高压电工作业、低压电工作业及电气试验持证人员，</w:t>
                  </w:r>
                  <w:r>
                    <w:rPr>
                      <w:rFonts w:hint="eastAsia" w:ascii="宋体" w:hAnsi="宋体"/>
                      <w:color w:val="auto"/>
                      <w:sz w:val="18"/>
                      <w:szCs w:val="18"/>
                      <w:highlight w:val="none"/>
                    </w:rPr>
                    <w:t>投入总人数横向对比</w:t>
                  </w:r>
                  <w:r>
                    <w:rPr>
                      <w:rFonts w:hint="eastAsia" w:ascii="宋体" w:hAnsi="宋体"/>
                      <w:color w:val="auto"/>
                      <w:sz w:val="18"/>
                      <w:szCs w:val="18"/>
                      <w:highlight w:val="none"/>
                      <w:lang w:eastAsia="zh-CN"/>
                    </w:rPr>
                    <w:t>；</w:t>
                  </w:r>
                  <w:r>
                    <w:rPr>
                      <w:rFonts w:hint="eastAsia" w:ascii="宋体" w:hAnsi="宋体"/>
                      <w:color w:val="auto"/>
                      <w:sz w:val="18"/>
                      <w:highlight w:val="none"/>
                    </w:rPr>
                    <w:t xml:space="preserve">巡检工作方案完整，对承包范围内的线路设备进行运行维护管理，突发设备故障的抢修方案完整，并提出可行、有效、安全的处理措施的，为优，得10分； </w:t>
                  </w:r>
                </w:p>
                <w:p>
                  <w:pPr>
                    <w:jc w:val="left"/>
                    <w:rPr>
                      <w:rFonts w:ascii="宋体" w:hAnsi="宋体"/>
                      <w:color w:val="auto"/>
                      <w:sz w:val="18"/>
                      <w:highlight w:val="none"/>
                    </w:rPr>
                  </w:pPr>
                  <w:r>
                    <w:rPr>
                      <w:rFonts w:hint="eastAsia" w:ascii="宋体" w:hAnsi="宋体"/>
                      <w:color w:val="auto"/>
                      <w:sz w:val="18"/>
                      <w:highlight w:val="none"/>
                    </w:rPr>
                    <w:t>针对本工程运行维护的特点，在方案中投入符合运行维护要求的持证人员及相关试验设备，同时持有高压电工作业、低压电工作业及电气试验持证人员，</w:t>
                  </w:r>
                  <w:r>
                    <w:rPr>
                      <w:rFonts w:hint="eastAsia" w:ascii="宋体" w:hAnsi="宋体"/>
                      <w:color w:val="auto"/>
                      <w:sz w:val="18"/>
                      <w:szCs w:val="18"/>
                      <w:highlight w:val="none"/>
                    </w:rPr>
                    <w:t>投入总人数横向对比</w:t>
                  </w:r>
                  <w:r>
                    <w:rPr>
                      <w:rFonts w:hint="eastAsia" w:ascii="宋体" w:hAnsi="宋体"/>
                      <w:color w:val="auto"/>
                      <w:sz w:val="18"/>
                      <w:szCs w:val="18"/>
                      <w:highlight w:val="none"/>
                      <w:lang w:eastAsia="zh-CN"/>
                    </w:rPr>
                    <w:t>；</w:t>
                  </w:r>
                  <w:r>
                    <w:rPr>
                      <w:rFonts w:hint="eastAsia" w:ascii="宋体" w:hAnsi="宋体"/>
                      <w:color w:val="auto"/>
                      <w:sz w:val="18"/>
                      <w:highlight w:val="none"/>
                    </w:rPr>
                    <w:t>巡检工作方案较为完整，对承包范围内的线路设备进行运行维护管理，突发设备故障的抢修方案较为完整，处理措施较为完整的，为良，得</w:t>
                  </w:r>
                  <w:r>
                    <w:rPr>
                      <w:rFonts w:hint="eastAsia" w:ascii="宋体" w:hAnsi="宋体"/>
                      <w:color w:val="auto"/>
                      <w:sz w:val="18"/>
                      <w:highlight w:val="none"/>
                      <w:lang w:val="en-US" w:eastAsia="zh-CN"/>
                    </w:rPr>
                    <w:t>7</w:t>
                  </w:r>
                  <w:r>
                    <w:rPr>
                      <w:rFonts w:hint="eastAsia" w:ascii="宋体" w:hAnsi="宋体"/>
                      <w:color w:val="auto"/>
                      <w:sz w:val="18"/>
                      <w:highlight w:val="none"/>
                    </w:rPr>
                    <w:t xml:space="preserve">分； </w:t>
                  </w:r>
                </w:p>
                <w:p>
                  <w:pPr>
                    <w:pStyle w:val="9"/>
                    <w:ind w:firstLine="0"/>
                    <w:rPr>
                      <w:rFonts w:ascii="宋体" w:hAnsi="宋体"/>
                      <w:color w:val="auto"/>
                      <w:sz w:val="18"/>
                      <w:szCs w:val="22"/>
                      <w:highlight w:val="none"/>
                    </w:rPr>
                  </w:pPr>
                  <w:r>
                    <w:rPr>
                      <w:rFonts w:hint="eastAsia" w:ascii="宋体" w:hAnsi="宋体"/>
                      <w:color w:val="auto"/>
                      <w:sz w:val="18"/>
                      <w:szCs w:val="22"/>
                      <w:highlight w:val="none"/>
                    </w:rPr>
                    <w:t>针对本工程运行维护的特点，在方案中投入符合运行维护要求的持证人员及相关试验设备不齐全，持有高压电工作业或低压电工作业或电气试验持证人员，投入总人数横向对比</w:t>
                  </w:r>
                  <w:r>
                    <w:rPr>
                      <w:rFonts w:hint="eastAsia" w:ascii="宋体" w:hAnsi="宋体"/>
                      <w:color w:val="auto"/>
                      <w:sz w:val="18"/>
                      <w:szCs w:val="22"/>
                      <w:highlight w:val="none"/>
                      <w:lang w:eastAsia="zh-CN"/>
                    </w:rPr>
                    <w:t>；</w:t>
                  </w:r>
                  <w:r>
                    <w:rPr>
                      <w:rFonts w:hint="eastAsia" w:ascii="宋体" w:hAnsi="宋体"/>
                      <w:color w:val="auto"/>
                      <w:sz w:val="18"/>
                      <w:szCs w:val="22"/>
                      <w:highlight w:val="none"/>
                      <w:lang w:val="en-US" w:eastAsia="zh-CN"/>
                    </w:rPr>
                    <w:t>有</w:t>
                  </w:r>
                  <w:r>
                    <w:rPr>
                      <w:rFonts w:hint="eastAsia" w:ascii="宋体" w:hAnsi="宋体"/>
                      <w:color w:val="auto"/>
                      <w:sz w:val="18"/>
                      <w:szCs w:val="22"/>
                      <w:highlight w:val="none"/>
                    </w:rPr>
                    <w:t>巡检工作方案，对承包范围内的线路设备进行运行维护管理，</w:t>
                  </w:r>
                  <w:r>
                    <w:rPr>
                      <w:rFonts w:hint="eastAsia" w:ascii="宋体" w:hAnsi="宋体"/>
                      <w:color w:val="auto"/>
                      <w:sz w:val="18"/>
                      <w:szCs w:val="22"/>
                      <w:highlight w:val="none"/>
                      <w:lang w:val="en-US" w:eastAsia="zh-CN"/>
                    </w:rPr>
                    <w:t>有</w:t>
                  </w:r>
                  <w:r>
                    <w:rPr>
                      <w:rFonts w:hint="eastAsia" w:ascii="宋体" w:hAnsi="宋体"/>
                      <w:color w:val="auto"/>
                      <w:sz w:val="18"/>
                      <w:szCs w:val="22"/>
                      <w:highlight w:val="none"/>
                    </w:rPr>
                    <w:t>突发设备故障的抢修方案，处理措施</w:t>
                  </w:r>
                  <w:r>
                    <w:rPr>
                      <w:rFonts w:hint="eastAsia" w:ascii="宋体" w:hAnsi="宋体"/>
                      <w:color w:val="auto"/>
                      <w:sz w:val="18"/>
                      <w:szCs w:val="22"/>
                      <w:highlight w:val="none"/>
                      <w:lang w:val="en-US" w:eastAsia="zh-CN"/>
                    </w:rPr>
                    <w:t>一般</w:t>
                  </w:r>
                  <w:r>
                    <w:rPr>
                      <w:rFonts w:hint="eastAsia" w:ascii="宋体" w:hAnsi="宋体"/>
                      <w:color w:val="auto"/>
                      <w:sz w:val="18"/>
                      <w:szCs w:val="22"/>
                      <w:highlight w:val="none"/>
                    </w:rPr>
                    <w:t>的，为中，得</w:t>
                  </w:r>
                  <w:r>
                    <w:rPr>
                      <w:rFonts w:hint="eastAsia" w:ascii="宋体" w:hAnsi="宋体"/>
                      <w:color w:val="auto"/>
                      <w:sz w:val="18"/>
                      <w:szCs w:val="22"/>
                      <w:highlight w:val="none"/>
                      <w:lang w:val="en-US" w:eastAsia="zh-CN"/>
                    </w:rPr>
                    <w:t>3</w:t>
                  </w:r>
                  <w:r>
                    <w:rPr>
                      <w:rFonts w:hint="eastAsia" w:ascii="宋体" w:hAnsi="宋体"/>
                      <w:color w:val="auto"/>
                      <w:sz w:val="18"/>
                      <w:szCs w:val="22"/>
                      <w:highlight w:val="none"/>
                    </w:rPr>
                    <w:t>分；</w:t>
                  </w:r>
                </w:p>
                <w:p>
                  <w:pPr>
                    <w:jc w:val="left"/>
                    <w:rPr>
                      <w:rFonts w:ascii="宋体" w:hAnsi="宋体"/>
                      <w:color w:val="auto"/>
                      <w:sz w:val="18"/>
                      <w:highlight w:val="none"/>
                    </w:rPr>
                  </w:pPr>
                  <w:r>
                    <w:rPr>
                      <w:rFonts w:hint="eastAsia" w:ascii="宋体" w:hAnsi="宋体"/>
                      <w:color w:val="auto"/>
                      <w:sz w:val="18"/>
                      <w:highlight w:val="none"/>
                    </w:rPr>
                    <w:t>针对本工程运行维护的特点，在方案中没有投入符合运行维护要求的持证人员及相关试验设备，无巡检工作方案，对承包范围内的线路设备进行运行维护管理，没有突发设备故障的抢修方案，无处理措施的，为差，得0分。</w:t>
                  </w:r>
                </w:p>
              </w:tc>
            </w:tr>
          </w:tbl>
          <w:p>
            <w:pPr>
              <w:rPr>
                <w:rFonts w:ascii="宋体" w:hAnsi="宋体"/>
                <w:color w:val="auto"/>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8" w:space="0"/>
              <w:left w:val="single" w:color="auto" w:sz="8" w:space="0"/>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二</w:t>
            </w:r>
          </w:p>
        </w:tc>
        <w:tc>
          <w:tcPr>
            <w:tcW w:w="1520" w:type="dxa"/>
            <w:tcBorders>
              <w:top w:val="single" w:color="auto" w:sz="8" w:space="0"/>
              <w:left w:val="nil"/>
              <w:bottom w:val="single" w:color="auto" w:sz="4" w:space="0"/>
              <w:right w:val="single" w:color="auto" w:sz="4" w:space="0"/>
            </w:tcBorders>
            <w:vAlign w:val="center"/>
          </w:tcPr>
          <w:p>
            <w:pPr>
              <w:tabs>
                <w:tab w:val="left" w:pos="360"/>
              </w:tabs>
              <w:snapToGrid w:val="0"/>
              <w:rPr>
                <w:rFonts w:cs="宋体"/>
                <w:b/>
                <w:bCs/>
                <w:color w:val="auto"/>
                <w:sz w:val="18"/>
                <w:szCs w:val="18"/>
                <w:highlight w:val="none"/>
              </w:rPr>
            </w:pPr>
            <w:r>
              <w:rPr>
                <w:rFonts w:hint="eastAsia"/>
                <w:b/>
                <w:bCs/>
                <w:color w:val="auto"/>
                <w:sz w:val="18"/>
                <w:szCs w:val="18"/>
                <w:highlight w:val="none"/>
              </w:rPr>
              <w:t>组织架构</w:t>
            </w:r>
          </w:p>
        </w:tc>
        <w:tc>
          <w:tcPr>
            <w:tcW w:w="748"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20</w:t>
            </w:r>
          </w:p>
        </w:tc>
        <w:tc>
          <w:tcPr>
            <w:tcW w:w="11497" w:type="dxa"/>
            <w:tcBorders>
              <w:top w:val="single" w:color="auto" w:sz="8" w:space="0"/>
              <w:left w:val="nil"/>
              <w:bottom w:val="single" w:color="auto" w:sz="4" w:space="0"/>
              <w:right w:val="single" w:color="auto" w:sz="4" w:space="0"/>
            </w:tcBorders>
            <w:vAlign w:val="center"/>
          </w:tcPr>
          <w:p>
            <w:pPr>
              <w:tabs>
                <w:tab w:val="left" w:pos="360"/>
              </w:tabs>
              <w:snapToGrid w:val="0"/>
              <w:rPr>
                <w:rFonts w:cs="宋体"/>
                <w:bCs/>
                <w:color w:val="auto"/>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2.1</w:t>
            </w:r>
          </w:p>
        </w:tc>
        <w:tc>
          <w:tcPr>
            <w:tcW w:w="1520" w:type="dxa"/>
            <w:tcBorders>
              <w:top w:val="single" w:color="auto" w:sz="4" w:space="0"/>
              <w:left w:val="nil"/>
              <w:bottom w:val="single" w:color="auto" w:sz="4" w:space="0"/>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项目负责人</w:t>
            </w:r>
          </w:p>
        </w:tc>
        <w:tc>
          <w:tcPr>
            <w:tcW w:w="7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4</w:t>
            </w:r>
          </w:p>
        </w:tc>
        <w:tc>
          <w:tcPr>
            <w:tcW w:w="11497"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拟委派的项目负责人具有电力类高级工程师（或以上）</w:t>
            </w:r>
            <w:r>
              <w:rPr>
                <w:rFonts w:hint="eastAsia" w:ascii="宋体" w:hAnsi="宋体"/>
                <w:color w:val="auto"/>
                <w:sz w:val="18"/>
                <w:szCs w:val="18"/>
                <w:highlight w:val="none"/>
                <w:lang w:val="en-US" w:eastAsia="zh-CN"/>
              </w:rPr>
              <w:t>职称</w:t>
            </w:r>
            <w:r>
              <w:rPr>
                <w:rFonts w:hint="eastAsia" w:ascii="宋体" w:hAnsi="宋体"/>
                <w:color w:val="auto"/>
                <w:sz w:val="18"/>
                <w:szCs w:val="18"/>
                <w:highlight w:val="none"/>
              </w:rPr>
              <w:t>，得</w:t>
            </w: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分，具有电力类中级工程师</w:t>
            </w:r>
            <w:r>
              <w:rPr>
                <w:rFonts w:hint="eastAsia" w:ascii="宋体" w:hAnsi="宋体"/>
                <w:color w:val="auto"/>
                <w:sz w:val="18"/>
                <w:szCs w:val="18"/>
                <w:highlight w:val="none"/>
                <w:lang w:val="en-US" w:eastAsia="zh-CN"/>
              </w:rPr>
              <w:t>职称</w:t>
            </w:r>
            <w:r>
              <w:rPr>
                <w:rFonts w:hint="eastAsia" w:ascii="宋体" w:hAnsi="宋体"/>
                <w:color w:val="auto"/>
                <w:sz w:val="18"/>
                <w:szCs w:val="18"/>
                <w:highlight w:val="none"/>
              </w:rPr>
              <w:t>，得2分</w:t>
            </w:r>
            <w:r>
              <w:rPr>
                <w:rFonts w:hint="eastAsia" w:ascii="宋体" w:hAnsi="宋体"/>
                <w:color w:val="auto"/>
                <w:sz w:val="18"/>
                <w:szCs w:val="18"/>
                <w:highlight w:val="none"/>
                <w:lang w:eastAsia="zh-CN"/>
              </w:rPr>
              <w:t>。</w:t>
            </w:r>
          </w:p>
          <w:p>
            <w:pPr>
              <w:rPr>
                <w:rFonts w:ascii="宋体" w:hAnsi="宋体"/>
                <w:color w:val="auto"/>
                <w:sz w:val="18"/>
                <w:szCs w:val="18"/>
                <w:highlight w:val="none"/>
              </w:rPr>
            </w:pPr>
            <w:r>
              <w:rPr>
                <w:rFonts w:hint="eastAsia" w:ascii="宋体" w:hAnsi="宋体"/>
                <w:color w:val="auto"/>
                <w:sz w:val="18"/>
                <w:szCs w:val="18"/>
                <w:highlight w:val="none"/>
              </w:rPr>
              <w:t>注：须提供职称证书扫描件，不提供不得分。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2.2</w:t>
            </w:r>
          </w:p>
        </w:tc>
        <w:tc>
          <w:tcPr>
            <w:tcW w:w="152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18"/>
                <w:szCs w:val="18"/>
                <w:highlight w:val="none"/>
              </w:rPr>
            </w:pPr>
            <w:r>
              <w:rPr>
                <w:rFonts w:hint="eastAsia" w:ascii="宋体" w:hAnsi="宋体"/>
                <w:color w:val="auto"/>
                <w:sz w:val="18"/>
                <w:szCs w:val="18"/>
                <w:highlight w:val="none"/>
              </w:rPr>
              <w:t>技术负责人</w:t>
            </w:r>
          </w:p>
        </w:tc>
        <w:tc>
          <w:tcPr>
            <w:tcW w:w="7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4</w:t>
            </w:r>
          </w:p>
        </w:tc>
        <w:tc>
          <w:tcPr>
            <w:tcW w:w="11497"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拟委派的技术负责人</w:t>
            </w:r>
            <w:r>
              <w:rPr>
                <w:rFonts w:ascii="宋体" w:hAnsi="宋体"/>
                <w:color w:val="auto"/>
                <w:sz w:val="18"/>
                <w:szCs w:val="18"/>
                <w:highlight w:val="none"/>
              </w:rPr>
              <w:t>具</w:t>
            </w:r>
            <w:r>
              <w:rPr>
                <w:rFonts w:hint="eastAsia" w:ascii="宋体" w:hAnsi="宋体"/>
                <w:color w:val="auto"/>
                <w:sz w:val="18"/>
                <w:szCs w:val="18"/>
                <w:highlight w:val="none"/>
                <w:lang w:val="en-US" w:eastAsia="zh-CN"/>
              </w:rPr>
              <w:t>备</w:t>
            </w:r>
            <w:r>
              <w:rPr>
                <w:rFonts w:hint="eastAsia" w:ascii="宋体" w:hAnsi="宋体" w:eastAsia="宋体" w:cs="Times New Roman"/>
                <w:color w:val="auto"/>
                <w:sz w:val="18"/>
                <w:szCs w:val="18"/>
                <w:highlight w:val="none"/>
              </w:rPr>
              <w:t>注册电气工程师</w:t>
            </w:r>
            <w:r>
              <w:rPr>
                <w:rFonts w:hint="eastAsia" w:ascii="宋体" w:hAnsi="宋体" w:eastAsia="宋体" w:cs="Times New Roman"/>
                <w:color w:val="auto"/>
                <w:sz w:val="18"/>
                <w:szCs w:val="18"/>
                <w:highlight w:val="none"/>
                <w:lang w:val="en-US" w:eastAsia="zh-CN"/>
              </w:rPr>
              <w:t>资格</w:t>
            </w:r>
            <w:r>
              <w:rPr>
                <w:rFonts w:hint="eastAsia" w:ascii="宋体" w:hAnsi="宋体" w:eastAsia="宋体" w:cs="Times New Roman"/>
                <w:color w:val="auto"/>
                <w:sz w:val="18"/>
                <w:szCs w:val="18"/>
                <w:highlight w:val="none"/>
              </w:rPr>
              <w:t>且在有效期内</w:t>
            </w:r>
            <w:r>
              <w:rPr>
                <w:rFonts w:ascii="宋体" w:hAnsi="宋体"/>
                <w:color w:val="auto"/>
                <w:sz w:val="18"/>
                <w:szCs w:val="18"/>
                <w:highlight w:val="none"/>
              </w:rPr>
              <w:t>，得</w:t>
            </w:r>
            <w:r>
              <w:rPr>
                <w:rFonts w:hint="eastAsia" w:ascii="宋体" w:hAnsi="宋体"/>
                <w:color w:val="auto"/>
                <w:sz w:val="18"/>
                <w:szCs w:val="18"/>
                <w:highlight w:val="none"/>
                <w:lang w:val="en-US" w:eastAsia="zh-CN"/>
              </w:rPr>
              <w:t>4</w:t>
            </w:r>
            <w:r>
              <w:rPr>
                <w:rFonts w:ascii="宋体" w:hAnsi="宋体"/>
                <w:color w:val="auto"/>
                <w:sz w:val="18"/>
                <w:szCs w:val="18"/>
                <w:highlight w:val="none"/>
              </w:rPr>
              <w:t>分</w:t>
            </w:r>
            <w:r>
              <w:rPr>
                <w:rFonts w:hint="eastAsia" w:ascii="宋体" w:hAnsi="宋体"/>
                <w:color w:val="auto"/>
                <w:sz w:val="18"/>
                <w:szCs w:val="18"/>
                <w:highlight w:val="none"/>
                <w:lang w:eastAsia="zh-CN"/>
              </w:rPr>
              <w:t>。</w:t>
            </w:r>
          </w:p>
          <w:p>
            <w:pPr>
              <w:pStyle w:val="9"/>
              <w:ind w:firstLine="0"/>
              <w:rPr>
                <w:rFonts w:ascii="Calibri" w:hAnsi="Calibri"/>
                <w:color w:val="auto"/>
                <w:szCs w:val="22"/>
                <w:highlight w:val="none"/>
              </w:rPr>
            </w:pPr>
            <w:r>
              <w:rPr>
                <w:rFonts w:hint="eastAsia" w:ascii="宋体" w:hAnsi="宋体"/>
                <w:color w:val="auto"/>
                <w:sz w:val="18"/>
                <w:szCs w:val="18"/>
                <w:highlight w:val="none"/>
              </w:rPr>
              <w:t>注：</w:t>
            </w:r>
            <w:r>
              <w:rPr>
                <w:rFonts w:hint="eastAsia" w:ascii="宋体" w:hAnsi="宋体" w:eastAsia="宋体" w:cs="Times New Roman"/>
                <w:color w:val="auto"/>
                <w:sz w:val="18"/>
                <w:szCs w:val="18"/>
                <w:highlight w:val="none"/>
              </w:rPr>
              <w:t>须提供注册电气工程师资格证和注册证</w:t>
            </w:r>
            <w:r>
              <w:rPr>
                <w:rFonts w:hint="eastAsia" w:ascii="宋体" w:hAnsi="宋体" w:eastAsia="宋体" w:cs="Times New Roman"/>
                <w:color w:val="auto"/>
                <w:sz w:val="18"/>
                <w:szCs w:val="18"/>
                <w:highlight w:val="none"/>
                <w:lang w:val="en-US" w:eastAsia="zh-CN"/>
              </w:rPr>
              <w:t>扫描件，不提供不得分</w:t>
            </w:r>
            <w:r>
              <w:rPr>
                <w:rFonts w:hint="eastAsia" w:ascii="宋体" w:hAnsi="宋体"/>
                <w:color w:val="auto"/>
                <w:sz w:val="18"/>
                <w:szCs w:val="18"/>
                <w:highlight w:val="none"/>
              </w:rPr>
              <w:t>。</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2.3</w:t>
            </w:r>
          </w:p>
        </w:tc>
        <w:tc>
          <w:tcPr>
            <w:tcW w:w="1520"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 w:val="18"/>
                <w:szCs w:val="18"/>
                <w:highlight w:val="none"/>
              </w:rPr>
            </w:pPr>
            <w:r>
              <w:rPr>
                <w:rFonts w:hint="eastAsia" w:ascii="宋体" w:hAnsi="宋体"/>
                <w:color w:val="auto"/>
                <w:sz w:val="18"/>
                <w:szCs w:val="18"/>
                <w:highlight w:val="none"/>
              </w:rPr>
              <w:t>安全负责人</w:t>
            </w:r>
          </w:p>
        </w:tc>
        <w:tc>
          <w:tcPr>
            <w:tcW w:w="7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4</w:t>
            </w:r>
          </w:p>
        </w:tc>
        <w:tc>
          <w:tcPr>
            <w:tcW w:w="1149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（1）拟委派的安全负责人具备注册安全工程师资格且在有效期内，得2分</w:t>
            </w:r>
            <w:r>
              <w:rPr>
                <w:rFonts w:hint="eastAsia" w:ascii="宋体" w:hAnsi="宋体"/>
                <w:color w:val="auto"/>
                <w:sz w:val="18"/>
                <w:szCs w:val="18"/>
                <w:highlight w:val="none"/>
                <w:lang w:eastAsia="zh-CN"/>
              </w:rPr>
              <w:t>。</w:t>
            </w:r>
          </w:p>
          <w:p>
            <w:pPr>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（2）拟委派的安全负责人具有机电类高级工程师（或以上）职称，得2分，具有机电类中级工程师职称，得1分</w:t>
            </w:r>
            <w:r>
              <w:rPr>
                <w:rFonts w:hint="eastAsia" w:ascii="宋体" w:hAnsi="宋体"/>
                <w:color w:val="auto"/>
                <w:sz w:val="18"/>
                <w:szCs w:val="18"/>
                <w:highlight w:val="none"/>
                <w:lang w:eastAsia="zh-CN"/>
              </w:rPr>
              <w:t>。</w:t>
            </w:r>
          </w:p>
          <w:p>
            <w:pPr>
              <w:rPr>
                <w:rFonts w:ascii="宋体" w:hAnsi="宋体"/>
                <w:color w:val="auto"/>
                <w:sz w:val="18"/>
                <w:szCs w:val="18"/>
                <w:highlight w:val="none"/>
              </w:rPr>
            </w:pPr>
            <w:r>
              <w:rPr>
                <w:rFonts w:hint="eastAsia" w:ascii="宋体" w:hAnsi="宋体"/>
                <w:color w:val="auto"/>
                <w:sz w:val="18"/>
                <w:szCs w:val="18"/>
                <w:highlight w:val="none"/>
              </w:rPr>
              <w:t>注：须提供注册安全工程师资格证书及注册证、职称证书扫描件，不提供不得分。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2.4</w:t>
            </w:r>
          </w:p>
        </w:tc>
        <w:tc>
          <w:tcPr>
            <w:tcW w:w="152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18"/>
                <w:szCs w:val="18"/>
                <w:highlight w:val="none"/>
              </w:rPr>
            </w:pPr>
            <w:r>
              <w:rPr>
                <w:rFonts w:hint="eastAsia" w:ascii="宋体" w:hAnsi="宋体"/>
                <w:color w:val="auto"/>
                <w:sz w:val="18"/>
                <w:szCs w:val="18"/>
                <w:highlight w:val="none"/>
              </w:rPr>
              <w:t>造价负责人</w:t>
            </w:r>
          </w:p>
        </w:tc>
        <w:tc>
          <w:tcPr>
            <w:tcW w:w="748"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4</w:t>
            </w:r>
          </w:p>
        </w:tc>
        <w:tc>
          <w:tcPr>
            <w:tcW w:w="11497"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color w:val="auto"/>
                <w:sz w:val="18"/>
                <w:szCs w:val="18"/>
                <w:highlight w:val="none"/>
                <w:lang w:eastAsia="zh-CN"/>
              </w:rPr>
            </w:pPr>
            <w:r>
              <w:rPr>
                <w:rFonts w:hint="eastAsia" w:ascii="宋体" w:hAnsi="宋体" w:cs="Times New Roman"/>
                <w:color w:val="auto"/>
                <w:sz w:val="18"/>
                <w:szCs w:val="18"/>
                <w:highlight w:val="none"/>
                <w:lang w:eastAsia="zh-CN"/>
              </w:rPr>
              <w:t>（</w:t>
            </w:r>
            <w:r>
              <w:rPr>
                <w:rFonts w:hint="eastAsia" w:ascii="宋体" w:hAnsi="宋体" w:cs="Times New Roman"/>
                <w:color w:val="auto"/>
                <w:sz w:val="18"/>
                <w:szCs w:val="18"/>
                <w:highlight w:val="none"/>
                <w:lang w:val="en-US" w:eastAsia="zh-CN"/>
              </w:rPr>
              <w:t>1</w:t>
            </w:r>
            <w:r>
              <w:rPr>
                <w:rFonts w:hint="eastAsia" w:ascii="宋体" w:hAnsi="宋体" w:cs="Times New Roman"/>
                <w:color w:val="auto"/>
                <w:sz w:val="18"/>
                <w:szCs w:val="18"/>
                <w:highlight w:val="none"/>
                <w:lang w:eastAsia="zh-CN"/>
              </w:rPr>
              <w:t>）</w:t>
            </w:r>
            <w:r>
              <w:rPr>
                <w:rFonts w:hint="eastAsia" w:ascii="宋体" w:hAnsi="宋体" w:cs="Times New Roman"/>
                <w:color w:val="auto"/>
                <w:sz w:val="18"/>
                <w:szCs w:val="18"/>
                <w:highlight w:val="none"/>
              </w:rPr>
              <w:t>拟委派的造价负责人具备安装工程注册造价工程师（或一级注册造价工程师）资格且在有效期内的，得</w:t>
            </w:r>
            <w:r>
              <w:rPr>
                <w:rFonts w:hint="eastAsia" w:ascii="宋体" w:hAnsi="宋体" w:cs="Times New Roman"/>
                <w:color w:val="auto"/>
                <w:sz w:val="18"/>
                <w:szCs w:val="18"/>
                <w:highlight w:val="none"/>
                <w:lang w:val="en-US" w:eastAsia="zh-CN"/>
              </w:rPr>
              <w:t>2</w:t>
            </w:r>
            <w:r>
              <w:rPr>
                <w:rFonts w:hint="eastAsia" w:ascii="宋体" w:hAnsi="宋体" w:cs="Times New Roman"/>
                <w:color w:val="auto"/>
                <w:sz w:val="18"/>
                <w:szCs w:val="18"/>
                <w:highlight w:val="none"/>
              </w:rPr>
              <w:t>分</w:t>
            </w:r>
            <w:r>
              <w:rPr>
                <w:rFonts w:hint="eastAsia" w:ascii="宋体" w:hAnsi="宋体" w:cs="Times New Roman"/>
                <w:color w:val="auto"/>
                <w:sz w:val="18"/>
                <w:szCs w:val="18"/>
                <w:highlight w:val="none"/>
                <w:lang w:eastAsia="zh-CN"/>
              </w:rPr>
              <w:t>。</w:t>
            </w:r>
          </w:p>
          <w:p>
            <w:pPr>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（2）拟委派的</w:t>
            </w:r>
            <w:r>
              <w:rPr>
                <w:rFonts w:hint="eastAsia" w:ascii="宋体" w:hAnsi="宋体" w:eastAsia="宋体" w:cs="Times New Roman"/>
                <w:color w:val="auto"/>
                <w:sz w:val="18"/>
                <w:szCs w:val="18"/>
                <w:highlight w:val="none"/>
                <w:lang w:val="en-US" w:eastAsia="zh-CN"/>
              </w:rPr>
              <w:t>造价</w:t>
            </w:r>
            <w:r>
              <w:rPr>
                <w:rFonts w:hint="eastAsia" w:ascii="宋体" w:hAnsi="宋体" w:eastAsia="宋体" w:cs="Times New Roman"/>
                <w:color w:val="auto"/>
                <w:sz w:val="18"/>
                <w:szCs w:val="18"/>
                <w:highlight w:val="none"/>
              </w:rPr>
              <w:t>负责人具有机电类高级工程师（或以上）职称，得</w:t>
            </w:r>
            <w:r>
              <w:rPr>
                <w:rFonts w:hint="eastAsia" w:ascii="宋体" w:hAnsi="宋体" w:eastAsia="宋体" w:cs="Times New Roman"/>
                <w:color w:val="auto"/>
                <w:sz w:val="18"/>
                <w:szCs w:val="18"/>
                <w:highlight w:val="none"/>
                <w:lang w:val="en-US" w:eastAsia="zh-CN"/>
              </w:rPr>
              <w:t>2</w:t>
            </w:r>
            <w:r>
              <w:rPr>
                <w:rFonts w:hint="eastAsia" w:ascii="宋体" w:hAnsi="宋体" w:eastAsia="宋体" w:cs="Times New Roman"/>
                <w:color w:val="auto"/>
                <w:sz w:val="18"/>
                <w:szCs w:val="18"/>
                <w:highlight w:val="none"/>
              </w:rPr>
              <w:t>分，具有机电类中级工程师职称，得</w:t>
            </w:r>
            <w:r>
              <w:rPr>
                <w:rFonts w:hint="eastAsia" w:ascii="宋体" w:hAnsi="宋体" w:eastAsia="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分</w:t>
            </w:r>
            <w:r>
              <w:rPr>
                <w:rFonts w:hint="eastAsia" w:ascii="宋体" w:hAnsi="宋体" w:cs="Times New Roman"/>
                <w:color w:val="auto"/>
                <w:sz w:val="18"/>
                <w:szCs w:val="18"/>
                <w:highlight w:val="none"/>
                <w:lang w:eastAsia="zh-CN"/>
              </w:rPr>
              <w:t>。</w:t>
            </w:r>
          </w:p>
          <w:p>
            <w:pPr>
              <w:rPr>
                <w:color w:val="auto"/>
                <w:highlight w:val="none"/>
              </w:rPr>
            </w:pPr>
            <w:r>
              <w:rPr>
                <w:rFonts w:hint="eastAsia" w:ascii="宋体" w:hAnsi="宋体" w:eastAsia="宋体" w:cs="Times New Roman"/>
                <w:color w:val="auto"/>
                <w:sz w:val="18"/>
                <w:szCs w:val="18"/>
                <w:highlight w:val="none"/>
              </w:rPr>
              <w:t>注：须提</w:t>
            </w:r>
            <w:r>
              <w:rPr>
                <w:rFonts w:hint="eastAsia" w:ascii="宋体" w:hAnsi="宋体" w:eastAsia="宋体" w:cs="Times New Roman"/>
                <w:color w:val="auto"/>
                <w:sz w:val="18"/>
                <w:szCs w:val="18"/>
                <w:highlight w:val="none"/>
                <w:lang w:val="en-US" w:eastAsia="zh-CN"/>
              </w:rPr>
              <w:t>供</w:t>
            </w:r>
            <w:r>
              <w:rPr>
                <w:rFonts w:hint="eastAsia" w:ascii="宋体" w:hAnsi="宋体" w:eastAsia="宋体" w:cs="Times New Roman"/>
                <w:color w:val="auto"/>
                <w:sz w:val="18"/>
                <w:szCs w:val="18"/>
                <w:highlight w:val="none"/>
              </w:rPr>
              <w:t>造价工程师资格证和注册证</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rPr>
              <w:t>职称证书扫描件，不提供不得分</w:t>
            </w:r>
            <w:r>
              <w:rPr>
                <w:rFonts w:hint="eastAsia" w:ascii="宋体" w:hAnsi="宋体" w:eastAsia="宋体" w:cs="Times New Roman"/>
                <w:color w:val="auto"/>
                <w:sz w:val="18"/>
                <w:szCs w:val="18"/>
                <w:highlight w:val="none"/>
                <w:lang w:eastAsia="zh-CN"/>
              </w:rPr>
              <w:t>。</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2.5</w:t>
            </w:r>
          </w:p>
        </w:tc>
        <w:tc>
          <w:tcPr>
            <w:tcW w:w="152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18"/>
                <w:szCs w:val="18"/>
                <w:highlight w:val="none"/>
              </w:rPr>
            </w:pPr>
            <w:r>
              <w:rPr>
                <w:rFonts w:hint="eastAsia" w:ascii="宋体" w:hAnsi="宋体"/>
                <w:color w:val="auto"/>
                <w:sz w:val="18"/>
                <w:szCs w:val="18"/>
                <w:highlight w:val="none"/>
                <w:lang w:bidi="ar"/>
              </w:rPr>
              <w:t>质量负责人</w:t>
            </w:r>
          </w:p>
        </w:tc>
        <w:tc>
          <w:tcPr>
            <w:tcW w:w="7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4</w:t>
            </w:r>
          </w:p>
        </w:tc>
        <w:tc>
          <w:tcPr>
            <w:tcW w:w="11497" w:type="dxa"/>
            <w:tcBorders>
              <w:top w:val="single" w:color="auto" w:sz="4" w:space="0"/>
              <w:left w:val="nil"/>
              <w:bottom w:val="single" w:color="auto" w:sz="4" w:space="0"/>
              <w:right w:val="single" w:color="auto" w:sz="4" w:space="0"/>
            </w:tcBorders>
            <w:vAlign w:val="center"/>
          </w:tcPr>
          <w:p>
            <w:pPr>
              <w:pStyle w:val="125"/>
              <w:numPr>
                <w:ilvl w:val="0"/>
                <w:numId w:val="5"/>
              </w:numP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拟委派的质量负责人具有质量员证或相关培训合格证的，得</w:t>
            </w:r>
            <w:r>
              <w:rPr>
                <w:rFonts w:hint="eastAsia" w:ascii="宋体" w:hAnsi="宋体" w:cs="Times New Roman"/>
                <w:color w:val="auto"/>
                <w:kern w:val="2"/>
                <w:sz w:val="18"/>
                <w:szCs w:val="18"/>
                <w:highlight w:val="none"/>
                <w:lang w:val="en-US" w:eastAsia="zh-CN" w:bidi="ar-SA"/>
              </w:rPr>
              <w:t>2</w:t>
            </w:r>
            <w:r>
              <w:rPr>
                <w:rFonts w:hint="eastAsia" w:ascii="宋体" w:hAnsi="宋体" w:eastAsia="宋体" w:cs="Times New Roman"/>
                <w:color w:val="auto"/>
                <w:kern w:val="2"/>
                <w:sz w:val="18"/>
                <w:szCs w:val="18"/>
                <w:highlight w:val="none"/>
                <w:lang w:val="en-US" w:eastAsia="zh-CN" w:bidi="ar-SA"/>
              </w:rPr>
              <w:t>分。</w:t>
            </w:r>
          </w:p>
          <w:p>
            <w:pPr>
              <w:pStyle w:val="125"/>
              <w:numPr>
                <w:ilvl w:val="0"/>
                <w:numId w:val="5"/>
              </w:numP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拟委派的质量负责人具有电力类工程师（或以上）职称的，得</w:t>
            </w:r>
            <w:r>
              <w:rPr>
                <w:rFonts w:hint="eastAsia" w:ascii="宋体" w:hAnsi="宋体" w:cs="Times New Roman"/>
                <w:color w:val="auto"/>
                <w:kern w:val="2"/>
                <w:sz w:val="18"/>
                <w:szCs w:val="18"/>
                <w:highlight w:val="none"/>
                <w:lang w:val="en-US" w:eastAsia="zh-CN" w:bidi="ar-SA"/>
              </w:rPr>
              <w:t>2</w:t>
            </w:r>
            <w:r>
              <w:rPr>
                <w:rFonts w:hint="eastAsia" w:ascii="宋体" w:hAnsi="宋体" w:eastAsia="宋体" w:cs="Times New Roman"/>
                <w:color w:val="auto"/>
                <w:kern w:val="2"/>
                <w:sz w:val="18"/>
                <w:szCs w:val="18"/>
                <w:highlight w:val="none"/>
                <w:lang w:val="en-US" w:eastAsia="zh-CN" w:bidi="ar-SA"/>
              </w:rPr>
              <w:t>分。</w:t>
            </w:r>
          </w:p>
          <w:p>
            <w:pPr>
              <w:widowControl/>
              <w:jc w:val="left"/>
              <w:rPr>
                <w:rFonts w:ascii="宋体" w:hAnsi="宋体"/>
                <w:color w:val="auto"/>
                <w:sz w:val="18"/>
                <w:szCs w:val="18"/>
                <w:highlight w:val="none"/>
              </w:rPr>
            </w:pPr>
            <w:r>
              <w:rPr>
                <w:rFonts w:hint="eastAsia" w:ascii="宋体" w:hAnsi="宋体" w:eastAsia="宋体" w:cs="Times New Roman"/>
                <w:color w:val="auto"/>
                <w:kern w:val="2"/>
                <w:sz w:val="18"/>
                <w:szCs w:val="18"/>
                <w:highlight w:val="none"/>
                <w:lang w:val="en-US" w:eastAsia="zh-CN" w:bidi="ar-SA"/>
              </w:rPr>
              <w:t>注：须提供岗位资格证</w:t>
            </w:r>
            <w:r>
              <w:rPr>
                <w:rFonts w:hint="eastAsia" w:ascii="宋体" w:hAnsi="宋体" w:cs="Times New Roman"/>
                <w:color w:val="auto"/>
                <w:kern w:val="2"/>
                <w:sz w:val="18"/>
                <w:szCs w:val="18"/>
                <w:highlight w:val="none"/>
                <w:lang w:val="en-US" w:eastAsia="zh-CN" w:bidi="ar-SA"/>
              </w:rPr>
              <w:t>、</w:t>
            </w:r>
            <w:r>
              <w:rPr>
                <w:rFonts w:hint="eastAsia" w:ascii="宋体" w:hAnsi="宋体" w:eastAsia="宋体" w:cs="Times New Roman"/>
                <w:color w:val="auto"/>
                <w:kern w:val="2"/>
                <w:sz w:val="18"/>
                <w:szCs w:val="18"/>
                <w:highlight w:val="none"/>
                <w:lang w:val="en-US" w:eastAsia="zh-CN" w:bidi="ar-SA"/>
              </w:rPr>
              <w:t>职称证书扫描件，不提供不得分。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三</w:t>
            </w:r>
          </w:p>
        </w:tc>
        <w:tc>
          <w:tcPr>
            <w:tcW w:w="1520"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sz w:val="18"/>
                <w:szCs w:val="18"/>
                <w:highlight w:val="none"/>
              </w:rPr>
            </w:pPr>
            <w:r>
              <w:rPr>
                <w:rFonts w:hint="eastAsia"/>
                <w:b/>
                <w:bCs/>
                <w:color w:val="auto"/>
                <w:sz w:val="18"/>
                <w:szCs w:val="18"/>
                <w:highlight w:val="none"/>
              </w:rPr>
              <w:t>企业资信</w:t>
            </w:r>
          </w:p>
        </w:tc>
        <w:tc>
          <w:tcPr>
            <w:tcW w:w="748"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30</w:t>
            </w:r>
          </w:p>
        </w:tc>
        <w:tc>
          <w:tcPr>
            <w:tcW w:w="11497"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r>
              <w:rPr>
                <w:rFonts w:hint="eastAsia" w:cs="宋体"/>
                <w:bCs/>
                <w:color w:val="auto"/>
                <w:sz w:val="18"/>
                <w:szCs w:val="18"/>
                <w:highlight w:val="none"/>
              </w:rPr>
              <w:t>3.1</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rPr>
                <w:rFonts w:hAnsi="宋体" w:cs="宋体"/>
                <w:color w:val="auto"/>
                <w:sz w:val="18"/>
                <w:szCs w:val="18"/>
                <w:highlight w:val="none"/>
              </w:rPr>
            </w:pPr>
            <w:r>
              <w:rPr>
                <w:rFonts w:hint="eastAsia" w:hAnsi="宋体" w:cs="宋体"/>
                <w:color w:val="auto"/>
                <w:sz w:val="18"/>
                <w:szCs w:val="18"/>
                <w:highlight w:val="none"/>
              </w:rPr>
              <w:t>类似业绩</w:t>
            </w:r>
          </w:p>
        </w:tc>
        <w:tc>
          <w:tcPr>
            <w:tcW w:w="748"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c>
          <w:tcPr>
            <w:tcW w:w="11497"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投标人20</w:t>
            </w:r>
            <w:r>
              <w:rPr>
                <w:rFonts w:hint="eastAsia" w:ascii="宋体" w:hAnsi="宋体" w:cs="宋体"/>
                <w:color w:val="auto"/>
                <w:sz w:val="18"/>
                <w:szCs w:val="18"/>
                <w:highlight w:val="none"/>
                <w:lang w:val="en-US" w:eastAsia="zh-CN"/>
              </w:rPr>
              <w:t>20</w:t>
            </w:r>
            <w:r>
              <w:rPr>
                <w:rFonts w:hint="eastAsia" w:ascii="宋体" w:hAnsi="宋体" w:cs="宋体"/>
                <w:color w:val="auto"/>
                <w:sz w:val="18"/>
                <w:szCs w:val="18"/>
                <w:highlight w:val="none"/>
              </w:rPr>
              <w:t>年1月1日至今完成过质量合格的类似工程业绩，每项得</w:t>
            </w:r>
            <w:r>
              <w:rPr>
                <w:rFonts w:hint="eastAsia" w:ascii="宋体" w:hAnsi="宋体" w:cs="宋体"/>
                <w:color w:val="auto"/>
                <w:sz w:val="18"/>
                <w:szCs w:val="18"/>
                <w:highlight w:val="none"/>
                <w:lang w:val="en-US" w:eastAsia="zh-CN"/>
              </w:rPr>
              <w:t>1.5</w:t>
            </w:r>
            <w:r>
              <w:rPr>
                <w:rFonts w:hint="eastAsia" w:ascii="宋体" w:hAnsi="宋体" w:cs="宋体"/>
                <w:color w:val="auto"/>
                <w:sz w:val="18"/>
                <w:szCs w:val="18"/>
                <w:highlight w:val="none"/>
              </w:rPr>
              <w:t>分，最多得24分</w:t>
            </w:r>
            <w:r>
              <w:rPr>
                <w:rFonts w:hint="eastAsia" w:ascii="宋体" w:hAnsi="宋体" w:cs="宋体"/>
                <w:color w:val="auto"/>
                <w:sz w:val="18"/>
                <w:szCs w:val="18"/>
                <w:highlight w:val="none"/>
                <w:lang w:eastAsia="zh-CN"/>
              </w:rPr>
              <w:t>。</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eastAsia="宋体" w:cs="宋体"/>
                <w:bCs/>
                <w:color w:val="auto"/>
                <w:sz w:val="18"/>
                <w:szCs w:val="18"/>
                <w:highlight w:val="none"/>
                <w:lang w:eastAsia="zh-CN"/>
              </w:rPr>
            </w:pPr>
            <w:r>
              <w:rPr>
                <w:rFonts w:hint="eastAsia" w:cs="宋体"/>
                <w:bCs/>
                <w:color w:val="auto"/>
                <w:sz w:val="18"/>
                <w:szCs w:val="18"/>
                <w:highlight w:val="none"/>
              </w:rPr>
              <w:t>3</w:t>
            </w:r>
            <w:r>
              <w:rPr>
                <w:rFonts w:cs="宋体"/>
                <w:bCs/>
                <w:color w:val="auto"/>
                <w:sz w:val="18"/>
                <w:szCs w:val="18"/>
                <w:highlight w:val="none"/>
              </w:rPr>
              <w:t>.</w:t>
            </w:r>
            <w:r>
              <w:rPr>
                <w:rFonts w:hint="eastAsia" w:cs="宋体"/>
                <w:bCs/>
                <w:color w:val="auto"/>
                <w:sz w:val="18"/>
                <w:szCs w:val="18"/>
                <w:highlight w:val="none"/>
                <w:lang w:val="en-US" w:eastAsia="zh-CN"/>
              </w:rPr>
              <w:t>2</w:t>
            </w:r>
          </w:p>
        </w:tc>
        <w:tc>
          <w:tcPr>
            <w:tcW w:w="1520" w:type="dxa"/>
            <w:tcBorders>
              <w:top w:val="single" w:color="auto" w:sz="4" w:space="0"/>
              <w:left w:val="single" w:color="auto" w:sz="4" w:space="0"/>
              <w:bottom w:val="single" w:color="auto" w:sz="4" w:space="0"/>
              <w:right w:val="single" w:color="auto" w:sz="4" w:space="0"/>
            </w:tcBorders>
            <w:vAlign w:val="center"/>
          </w:tcPr>
          <w:p>
            <w:pPr>
              <w:jc w:val="both"/>
              <w:rPr>
                <w:rFonts w:ascii="微软雅黑" w:hAnsi="微软雅黑" w:eastAsia="微软雅黑" w:cs="宋体"/>
                <w:color w:val="auto"/>
                <w:sz w:val="18"/>
                <w:szCs w:val="18"/>
                <w:highlight w:val="none"/>
              </w:rPr>
            </w:pPr>
            <w:r>
              <w:rPr>
                <w:rFonts w:hint="eastAsia"/>
                <w:color w:val="auto"/>
                <w:sz w:val="18"/>
                <w:szCs w:val="18"/>
                <w:highlight w:val="none"/>
              </w:rPr>
              <w:t>第三方评价</w:t>
            </w:r>
          </w:p>
        </w:tc>
        <w:tc>
          <w:tcPr>
            <w:tcW w:w="748"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 w:val="18"/>
                <w:szCs w:val="18"/>
                <w:highlight w:val="none"/>
              </w:rPr>
            </w:pPr>
            <w:r>
              <w:rPr>
                <w:rFonts w:hint="eastAsia" w:ascii="宋体" w:hAnsi="宋体" w:cs="宋体"/>
                <w:bCs/>
                <w:color w:val="auto"/>
                <w:sz w:val="18"/>
                <w:szCs w:val="18"/>
                <w:highlight w:val="none"/>
              </w:rPr>
              <w:t>6</w:t>
            </w:r>
          </w:p>
        </w:tc>
        <w:tc>
          <w:tcPr>
            <w:tcW w:w="11497"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投标人自2015</w:t>
            </w:r>
            <w:r>
              <w:rPr>
                <w:rFonts w:hint="eastAsia" w:ascii="宋体" w:hAnsi="宋体" w:cs="宋体"/>
                <w:color w:val="auto"/>
                <w:sz w:val="18"/>
                <w:szCs w:val="18"/>
                <w:highlight w:val="none"/>
                <w:lang w:val="en-US" w:eastAsia="zh-CN"/>
              </w:rPr>
              <w:t>年</w:t>
            </w:r>
            <w:r>
              <w:rPr>
                <w:rFonts w:hint="eastAsia" w:ascii="宋体" w:hAnsi="宋体" w:cs="宋体"/>
                <w:color w:val="auto"/>
                <w:sz w:val="18"/>
                <w:szCs w:val="18"/>
                <w:highlight w:val="none"/>
              </w:rPr>
              <w:t>至今被评为纳税信用A级纳税人称号的：</w:t>
            </w:r>
          </w:p>
          <w:p>
            <w:pPr>
              <w:numPr>
                <w:ilvl w:val="0"/>
                <w:numId w:val="6"/>
              </w:numPr>
              <w:rPr>
                <w:rFonts w:ascii="宋体" w:hAnsi="宋体" w:cs="宋体"/>
                <w:color w:val="auto"/>
                <w:sz w:val="18"/>
                <w:szCs w:val="18"/>
                <w:highlight w:val="none"/>
              </w:rPr>
            </w:pPr>
            <w:r>
              <w:rPr>
                <w:rFonts w:hint="eastAsia" w:ascii="宋体" w:hAnsi="宋体" w:cs="宋体"/>
                <w:color w:val="auto"/>
                <w:sz w:val="18"/>
                <w:szCs w:val="18"/>
                <w:highlight w:val="none"/>
              </w:rPr>
              <w:t>连续</w:t>
            </w:r>
            <w:r>
              <w:rPr>
                <w:rFonts w:hint="eastAsia" w:ascii="宋体" w:hAnsi="宋体" w:cs="宋体"/>
                <w:color w:val="auto"/>
                <w:sz w:val="18"/>
                <w:szCs w:val="18"/>
                <w:highlight w:val="none"/>
                <w:lang w:val="en-US" w:eastAsia="zh-CN"/>
              </w:rPr>
              <w:t>7</w:t>
            </w:r>
            <w:r>
              <w:rPr>
                <w:rFonts w:hint="eastAsia" w:ascii="宋体" w:hAnsi="宋体" w:cs="宋体"/>
                <w:color w:val="auto"/>
                <w:sz w:val="18"/>
                <w:szCs w:val="18"/>
                <w:highlight w:val="none"/>
              </w:rPr>
              <w:t>年或以上被评为纳税信用A级纳税人称号的得6分；</w:t>
            </w:r>
          </w:p>
          <w:p>
            <w:pPr>
              <w:numPr>
                <w:ilvl w:val="0"/>
                <w:numId w:val="6"/>
              </w:numPr>
              <w:rPr>
                <w:rFonts w:ascii="宋体" w:hAnsi="宋体" w:cs="宋体"/>
                <w:color w:val="auto"/>
                <w:sz w:val="18"/>
                <w:szCs w:val="18"/>
                <w:highlight w:val="none"/>
              </w:rPr>
            </w:pPr>
            <w:r>
              <w:rPr>
                <w:rFonts w:hint="eastAsia" w:ascii="宋体" w:hAnsi="宋体" w:cs="宋体"/>
                <w:color w:val="auto"/>
                <w:sz w:val="18"/>
                <w:szCs w:val="18"/>
                <w:highlight w:val="none"/>
              </w:rPr>
              <w:t>连续</w:t>
            </w:r>
            <w:r>
              <w:rPr>
                <w:rFonts w:hint="eastAsia" w:ascii="宋体" w:hAnsi="宋体" w:cs="宋体"/>
                <w:color w:val="auto"/>
                <w:sz w:val="18"/>
                <w:szCs w:val="18"/>
                <w:highlight w:val="none"/>
                <w:lang w:val="en-US" w:eastAsia="zh-CN"/>
              </w:rPr>
              <w:t>6</w:t>
            </w:r>
            <w:r>
              <w:rPr>
                <w:rFonts w:hint="eastAsia" w:ascii="宋体" w:hAnsi="宋体" w:cs="宋体"/>
                <w:color w:val="auto"/>
                <w:sz w:val="18"/>
                <w:szCs w:val="18"/>
                <w:highlight w:val="none"/>
              </w:rPr>
              <w:t>年被评为纳税信用A级纳税人称号的得</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分；</w:t>
            </w:r>
          </w:p>
          <w:p>
            <w:pPr>
              <w:numPr>
                <w:ilvl w:val="0"/>
                <w:numId w:val="6"/>
              </w:numPr>
              <w:rPr>
                <w:rFonts w:ascii="宋体" w:hAnsi="宋体" w:cs="宋体"/>
                <w:color w:val="auto"/>
                <w:sz w:val="18"/>
                <w:szCs w:val="18"/>
                <w:highlight w:val="none"/>
              </w:rPr>
            </w:pPr>
            <w:r>
              <w:rPr>
                <w:rFonts w:hint="eastAsia" w:ascii="宋体" w:hAnsi="宋体" w:cs="宋体"/>
                <w:color w:val="auto"/>
                <w:sz w:val="18"/>
                <w:szCs w:val="18"/>
                <w:highlight w:val="none"/>
              </w:rPr>
              <w:t>连续</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年被评为纳税信用A级纳税人称号的得</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分；</w:t>
            </w:r>
          </w:p>
          <w:p>
            <w:pPr>
              <w:numPr>
                <w:ilvl w:val="0"/>
                <w:numId w:val="6"/>
              </w:numPr>
              <w:rPr>
                <w:rFonts w:ascii="宋体" w:hAnsi="宋体" w:cs="宋体"/>
                <w:color w:val="auto"/>
                <w:sz w:val="18"/>
                <w:szCs w:val="18"/>
                <w:highlight w:val="none"/>
              </w:rPr>
            </w:pPr>
            <w:r>
              <w:rPr>
                <w:rFonts w:hint="eastAsia" w:ascii="宋体" w:hAnsi="宋体" w:cs="宋体"/>
                <w:color w:val="auto"/>
                <w:sz w:val="18"/>
                <w:szCs w:val="18"/>
                <w:highlight w:val="none"/>
              </w:rPr>
              <w:t>连续</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w:t>
            </w:r>
            <w:r>
              <w:rPr>
                <w:rFonts w:hint="eastAsia" w:ascii="宋体" w:hAnsi="宋体" w:cs="宋体"/>
                <w:color w:val="auto"/>
                <w:sz w:val="18"/>
                <w:szCs w:val="18"/>
                <w:highlight w:val="none"/>
                <w:lang w:val="en-US" w:eastAsia="zh-CN"/>
              </w:rPr>
              <w:t>及以下</w:t>
            </w:r>
            <w:r>
              <w:rPr>
                <w:rFonts w:hint="eastAsia" w:ascii="宋体" w:hAnsi="宋体" w:cs="宋体"/>
                <w:color w:val="auto"/>
                <w:sz w:val="18"/>
                <w:szCs w:val="18"/>
                <w:highlight w:val="none"/>
              </w:rPr>
              <w:t>被评为纳税信用A级纳税人称号的得</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分；</w:t>
            </w:r>
          </w:p>
          <w:p>
            <w:pPr>
              <w:numPr>
                <w:ilvl w:val="0"/>
                <w:numId w:val="6"/>
              </w:numPr>
              <w:rPr>
                <w:rFonts w:ascii="宋体" w:hAnsi="宋体" w:cs="宋体"/>
                <w:color w:val="auto"/>
                <w:sz w:val="18"/>
                <w:szCs w:val="18"/>
                <w:highlight w:val="none"/>
              </w:rPr>
            </w:pPr>
            <w:r>
              <w:rPr>
                <w:rFonts w:hint="eastAsia" w:ascii="宋体" w:hAnsi="宋体" w:cs="宋体"/>
                <w:color w:val="auto"/>
                <w:sz w:val="18"/>
                <w:szCs w:val="18"/>
                <w:highlight w:val="none"/>
              </w:rPr>
              <w:t>无得0分。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left"/>
              <w:rPr>
                <w:bCs/>
                <w:color w:val="auto"/>
                <w:sz w:val="18"/>
                <w:szCs w:val="18"/>
                <w:highlight w:val="none"/>
              </w:rPr>
            </w:pPr>
            <w:r>
              <w:rPr>
                <w:rFonts w:hint="eastAsia"/>
                <w:bCs/>
                <w:color w:val="auto"/>
                <w:sz w:val="18"/>
                <w:szCs w:val="18"/>
                <w:highlight w:val="none"/>
              </w:rPr>
              <w:t>合计</w:t>
            </w:r>
          </w:p>
        </w:tc>
        <w:tc>
          <w:tcPr>
            <w:tcW w:w="748"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r>
              <w:rPr>
                <w:rFonts w:cs="宋体"/>
                <w:bCs/>
                <w:color w:val="auto"/>
                <w:sz w:val="18"/>
                <w:szCs w:val="18"/>
                <w:highlight w:val="none"/>
              </w:rPr>
              <w:t>100</w:t>
            </w:r>
          </w:p>
        </w:tc>
        <w:tc>
          <w:tcPr>
            <w:tcW w:w="11497" w:type="dxa"/>
            <w:tcBorders>
              <w:top w:val="single" w:color="auto" w:sz="4" w:space="0"/>
              <w:left w:val="nil"/>
              <w:bottom w:val="single" w:color="auto" w:sz="4" w:space="0"/>
              <w:right w:val="single" w:color="auto" w:sz="4" w:space="0"/>
            </w:tcBorders>
            <w:vAlign w:val="center"/>
          </w:tcPr>
          <w:p>
            <w:pPr>
              <w:snapToGrid w:val="0"/>
              <w:rPr>
                <w:color w:val="auto"/>
                <w:sz w:val="18"/>
                <w:szCs w:val="18"/>
                <w:highlight w:val="none"/>
              </w:rPr>
            </w:pPr>
          </w:p>
        </w:tc>
      </w:tr>
    </w:tbl>
    <w:p>
      <w:pPr>
        <w:snapToGrid w:val="0"/>
        <w:spacing w:line="276" w:lineRule="auto"/>
        <w:ind w:right="512" w:rightChars="244"/>
        <w:rPr>
          <w:color w:val="auto"/>
          <w:sz w:val="18"/>
          <w:szCs w:val="18"/>
          <w:highlight w:val="none"/>
        </w:rPr>
      </w:pPr>
      <w:r>
        <w:rPr>
          <w:rFonts w:hint="eastAsia"/>
          <w:color w:val="auto"/>
          <w:sz w:val="18"/>
          <w:szCs w:val="18"/>
          <w:highlight w:val="none"/>
        </w:rPr>
        <w:t>备注：</w:t>
      </w:r>
    </w:p>
    <w:p>
      <w:pPr>
        <w:adjustRightInd w:val="0"/>
        <w:spacing w:line="276" w:lineRule="auto"/>
        <w:rPr>
          <w:rFonts w:cs="宋体"/>
          <w:color w:val="auto"/>
          <w:sz w:val="18"/>
          <w:szCs w:val="18"/>
          <w:highlight w:val="none"/>
          <w:lang w:bidi="ar"/>
        </w:rPr>
      </w:pPr>
      <w:r>
        <w:rPr>
          <w:rFonts w:hint="eastAsia" w:cs="宋体"/>
          <w:color w:val="auto"/>
          <w:sz w:val="18"/>
          <w:szCs w:val="18"/>
          <w:highlight w:val="none"/>
          <w:lang w:bidi="ar"/>
        </w:rPr>
        <w:t>1、投标人得分为各评委评分去掉一个最高分和一个最低分后的算术平均值（若分数出现小数点时，保留小数点后二位，第三位小数四舍五入）。</w:t>
      </w:r>
    </w:p>
    <w:p>
      <w:pPr>
        <w:snapToGrid w:val="0"/>
        <w:spacing w:line="360" w:lineRule="auto"/>
        <w:ind w:right="512" w:rightChars="244"/>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cs="宋体"/>
          <w:color w:val="auto"/>
          <w:sz w:val="18"/>
          <w:szCs w:val="18"/>
          <w:highlight w:val="none"/>
          <w:lang w:bidi="ar"/>
        </w:rPr>
        <w:t>类似业绩：</w:t>
      </w:r>
      <w:r>
        <w:rPr>
          <w:rFonts w:hint="eastAsia" w:ascii="宋体" w:hAnsi="宋体" w:cs="宋体"/>
          <w:color w:val="auto"/>
          <w:sz w:val="18"/>
          <w:szCs w:val="18"/>
          <w:highlight w:val="none"/>
        </w:rPr>
        <w:t>指20</w:t>
      </w:r>
      <w:r>
        <w:rPr>
          <w:rFonts w:hint="eastAsia" w:ascii="宋体" w:hAnsi="宋体" w:cs="宋体"/>
          <w:color w:val="auto"/>
          <w:sz w:val="18"/>
          <w:szCs w:val="18"/>
          <w:highlight w:val="none"/>
          <w:lang w:val="en-US" w:eastAsia="zh-CN"/>
        </w:rPr>
        <w:t>20</w:t>
      </w:r>
      <w:r>
        <w:rPr>
          <w:rFonts w:hint="eastAsia" w:ascii="宋体" w:hAnsi="宋体" w:cs="宋体"/>
          <w:color w:val="auto"/>
          <w:sz w:val="18"/>
          <w:szCs w:val="18"/>
          <w:highlight w:val="none"/>
        </w:rPr>
        <w:t>年1月1日至今完成的质量合格且电压等级为10kV(或以上)的单项合同金额</w:t>
      </w:r>
      <w:r>
        <w:rPr>
          <w:rFonts w:hint="eastAsia" w:ascii="宋体" w:hAnsi="宋体" w:cs="宋体"/>
          <w:color w:val="auto"/>
          <w:sz w:val="18"/>
          <w:szCs w:val="18"/>
          <w:highlight w:val="none"/>
          <w:lang w:val="en-US" w:eastAsia="zh-CN"/>
        </w:rPr>
        <w:t>300</w:t>
      </w:r>
      <w:r>
        <w:rPr>
          <w:rFonts w:hint="eastAsia" w:ascii="宋体" w:hAnsi="宋体" w:cs="宋体"/>
          <w:color w:val="auto"/>
          <w:sz w:val="18"/>
          <w:szCs w:val="18"/>
          <w:highlight w:val="none"/>
        </w:rPr>
        <w:t>万元(或以上)电力施工工程业绩。注：单独发包的专业工程业绩，需同时提供中标通知书或免招标的相关证明、施工合同、竣工验收报告扫描件。由总承包单位依法分包的专业工程业绩，需同时提供总承包单位的中标通知书、经业主和总承包单位确认的分包合同、竣工验收报告扫描件。如以上资料不能证明业绩规模的技术指标（指电压等级、金额等）的，须另提供可证明业绩技术指标的其他资料；完成时间以竣工验收时间为准；业绩金额按以下方式认定：</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a、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b、投标单位提供的施工合同（分包合同）扫描件证明材料。（可提供合同关键页，但应至少包括合同封面、合同指标金额规模页、合同盖章页）</w:t>
      </w:r>
    </w:p>
    <w:p>
      <w:pPr>
        <w:snapToGrid w:val="0"/>
        <w:spacing w:line="360" w:lineRule="auto"/>
        <w:ind w:right="512" w:rightChars="244"/>
        <w:rPr>
          <w:color w:val="auto"/>
          <w:sz w:val="18"/>
          <w:szCs w:val="18"/>
          <w:highlight w:val="none"/>
        </w:rPr>
      </w:pPr>
      <w:r>
        <w:rPr>
          <w:rFonts w:hint="eastAsia"/>
          <w:color w:val="auto"/>
          <w:sz w:val="18"/>
          <w:szCs w:val="18"/>
          <w:highlight w:val="none"/>
        </w:rPr>
        <w:t>2、纳税信用情况以“国家税务总局”官网（http://www.chinatax.gov.cn/index.html）查询结果为准，纳税人等级只计算投标人自身（不计算投标人的分公司和子公司）。投标人须提供在上述官网的查询结果网页打印页（不符合条件或无提交上述打印件的不计分）。时间以国家税务总局官网公布的获奖年度（评价年度）为准。</w:t>
      </w:r>
    </w:p>
    <w:p>
      <w:pPr>
        <w:pStyle w:val="125"/>
        <w:rPr>
          <w:color w:val="auto"/>
          <w:highlight w:val="none"/>
        </w:rPr>
      </w:pPr>
      <w:r>
        <w:rPr>
          <w:rFonts w:hint="eastAsia"/>
          <w:color w:val="auto"/>
          <w:sz w:val="18"/>
          <w:szCs w:val="18"/>
          <w:highlight w:val="none"/>
        </w:rPr>
        <w:t>3、</w:t>
      </w:r>
      <w:r>
        <w:rPr>
          <w:rFonts w:hint="eastAsia" w:ascii="宋体" w:hAnsi="宋体" w:cs="宋体"/>
          <w:color w:val="auto"/>
          <w:sz w:val="18"/>
          <w:szCs w:val="18"/>
          <w:highlight w:val="none"/>
        </w:rPr>
        <w:t>拟投入本项目的所有人员不得兼任且须为公司正式员工，提供相关证书扫描件，须提供投标截止日前在投标人近1个月（即202</w:t>
      </w: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w:t>
      </w:r>
      <w:r>
        <w:rPr>
          <w:rFonts w:hint="eastAsia" w:ascii="宋体" w:hAnsi="宋体" w:cs="宋体"/>
          <w:color w:val="auto"/>
          <w:sz w:val="18"/>
          <w:szCs w:val="18"/>
          <w:highlight w:val="none"/>
          <w:lang w:val="en-US" w:eastAsia="zh-CN"/>
        </w:rPr>
        <w:t>6</w:t>
      </w:r>
      <w:r>
        <w:rPr>
          <w:rFonts w:hint="eastAsia" w:ascii="宋体" w:hAnsi="宋体" w:cs="宋体"/>
          <w:color w:val="auto"/>
          <w:sz w:val="18"/>
          <w:szCs w:val="18"/>
          <w:highlight w:val="none"/>
        </w:rPr>
        <w:t>月）有效社保证明文件扫描件，若当地政府部门允许企业在疫情期间缓缴社会保险费且投标人未缴纳的，投标人可提供当地政府部门允许缓缴社保的相关文件作为缴纳社保的证明。确定中标人后，招标人将核实后续中标人项目管理部组成人员的社保补缴情况。未提供或提供资料不全的不得分。</w:t>
      </w:r>
    </w:p>
    <w:p>
      <w:pPr>
        <w:rPr>
          <w:rFonts w:ascii="宋体" w:hAnsi="宋体" w:cs="宋体"/>
          <w:color w:val="auto"/>
          <w:sz w:val="18"/>
          <w:szCs w:val="18"/>
          <w:highlight w:val="none"/>
        </w:rPr>
      </w:pPr>
      <w:r>
        <w:rPr>
          <w:rFonts w:hint="eastAsia" w:ascii="宋体" w:hAnsi="宋体" w:cs="宋体"/>
          <w:color w:val="auto"/>
          <w:sz w:val="18"/>
          <w:szCs w:val="18"/>
          <w:highlight w:val="none"/>
        </w:rPr>
        <w:t>评委签名：                                                                                     日期：</w:t>
      </w:r>
    </w:p>
    <w:p>
      <w:pPr>
        <w:rPr>
          <w:color w:val="auto"/>
          <w:szCs w:val="21"/>
          <w:highlight w:val="none"/>
        </w:rPr>
      </w:pP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表五（适用于加权平均法）</w:t>
      </w:r>
    </w:p>
    <w:p>
      <w:pPr>
        <w:jc w:val="center"/>
        <w:rPr>
          <w:b/>
          <w:color w:val="auto"/>
          <w:sz w:val="36"/>
          <w:szCs w:val="36"/>
          <w:highlight w:val="none"/>
        </w:rPr>
      </w:pPr>
      <w:r>
        <w:rPr>
          <w:rFonts w:hint="eastAsia"/>
          <w:b/>
          <w:color w:val="auto"/>
          <w:sz w:val="36"/>
          <w:szCs w:val="36"/>
          <w:highlight w:val="none"/>
        </w:rPr>
        <w:t>经济标评分表（权重80%）</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r>
        <w:rPr>
          <w:b/>
          <w:color w:val="auto"/>
          <w:sz w:val="36"/>
          <w:szCs w:val="36"/>
          <w:highlight w:val="none"/>
        </w:rPr>
        <w:br w:type="page"/>
      </w:r>
      <w:r>
        <w:rPr>
          <w:color w:val="auto"/>
          <w:szCs w:val="21"/>
          <w:highlight w:val="none"/>
        </w:rPr>
        <w:t xml:space="preserve"> </w:t>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pStyle w:val="9"/>
              <w:rPr>
                <w:color w:val="auto"/>
                <w:highlight w:val="none"/>
              </w:rPr>
            </w:pPr>
          </w:p>
          <w:p>
            <w:pPr>
              <w:pStyle w:val="9"/>
              <w:rPr>
                <w:color w:val="auto"/>
                <w:highlight w:val="none"/>
              </w:rPr>
            </w:pP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276" w:right="1247" w:bottom="1418" w:left="1134" w:header="851" w:footer="907" w:gutter="0"/>
          <w:cols w:space="425" w:num="1"/>
          <w:titlePg/>
          <w:docGrid w:type="lines" w:linePitch="312" w:charSpace="0"/>
        </w:sectPr>
      </w:pPr>
    </w:p>
    <w:p>
      <w:pPr>
        <w:pStyle w:val="3"/>
        <w:rPr>
          <w:color w:val="auto"/>
          <w:highlight w:val="none"/>
        </w:rPr>
      </w:pPr>
      <w:bookmarkStart w:id="32" w:name="_Toc32430"/>
      <w:bookmarkStart w:id="33" w:name="_Toc21525511"/>
      <w:bookmarkStart w:id="34"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2"/>
      <w:bookmarkEnd w:id="33"/>
      <w:bookmarkEnd w:id="34"/>
    </w:p>
    <w:p>
      <w:pPr>
        <w:rPr>
          <w:color w:val="auto"/>
          <w:sz w:val="24"/>
          <w:szCs w:val="24"/>
          <w:highlight w:val="none"/>
        </w:rPr>
      </w:pPr>
    </w:p>
    <w:p>
      <w:pPr>
        <w:pStyle w:val="5"/>
        <w:spacing w:line="360" w:lineRule="auto"/>
        <w:rPr>
          <w:color w:val="auto"/>
          <w:sz w:val="24"/>
          <w:szCs w:val="24"/>
          <w:highlight w:val="none"/>
        </w:rPr>
      </w:pPr>
      <w:r>
        <w:rPr>
          <w:rFonts w:hint="eastAsia"/>
          <w:color w:val="auto"/>
          <w:sz w:val="24"/>
          <w:szCs w:val="24"/>
          <w:highlight w:val="none"/>
        </w:rPr>
        <w:t>另册。</w:t>
      </w: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0"/>
        <w:spacing w:line="360" w:lineRule="auto"/>
        <w:rPr>
          <w:color w:val="auto"/>
          <w:sz w:val="24"/>
          <w:szCs w:val="24"/>
          <w:highlight w:val="none"/>
        </w:rPr>
      </w:pPr>
    </w:p>
    <w:p>
      <w:pPr>
        <w:pStyle w:val="20"/>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5" w:name="_Toc21525512"/>
      <w:bookmarkStart w:id="36" w:name="_Toc2272567"/>
      <w:bookmarkStart w:id="37" w:name="_Toc25893"/>
      <w:r>
        <w:rPr>
          <w:rFonts w:hint="eastAsia"/>
          <w:color w:val="auto"/>
          <w:highlight w:val="none"/>
        </w:rPr>
        <w:t>第四章</w:t>
      </w:r>
      <w:r>
        <w:rPr>
          <w:color w:val="auto"/>
          <w:highlight w:val="none"/>
        </w:rPr>
        <w:t xml:space="preserve">  </w:t>
      </w:r>
      <w:r>
        <w:rPr>
          <w:rFonts w:hint="eastAsia"/>
          <w:color w:val="auto"/>
          <w:highlight w:val="none"/>
        </w:rPr>
        <w:t>投标文件格式</w:t>
      </w:r>
      <w:bookmarkEnd w:id="35"/>
      <w:bookmarkEnd w:id="36"/>
      <w:bookmarkEnd w:id="37"/>
    </w:p>
    <w:p>
      <w:pPr>
        <w:pStyle w:val="5"/>
        <w:rPr>
          <w:color w:val="auto"/>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autoSpaceDE w:val="0"/>
        <w:autoSpaceDN w:val="0"/>
        <w:adjustRightInd w:val="0"/>
        <w:rPr>
          <w:rFonts w:ascii="宋体" w:hAnsi="宋体" w:cs="宋体"/>
          <w:color w:val="auto"/>
          <w:sz w:val="24"/>
          <w:szCs w:val="24"/>
          <w:highlight w:val="none"/>
        </w:rPr>
      </w:pPr>
    </w:p>
    <w:p>
      <w:pPr>
        <w:pStyle w:val="20"/>
        <w:rPr>
          <w:color w:val="auto"/>
          <w:highlight w:val="none"/>
        </w:rPr>
      </w:pPr>
    </w:p>
    <w:p>
      <w:pPr>
        <w:pStyle w:val="5"/>
        <w:rPr>
          <w:color w:val="auto"/>
          <w:highlight w:val="none"/>
        </w:rPr>
      </w:pPr>
    </w:p>
    <w:p>
      <w:pPr>
        <w:widowControl/>
        <w:topLinePunct/>
        <w:adjustRightInd w:val="0"/>
        <w:snapToGrid w:val="0"/>
        <w:spacing w:after="200"/>
        <w:jc w:val="left"/>
        <w:outlineLvl w:val="2"/>
        <w:rPr>
          <w:rFonts w:ascii="宋体" w:hAnsi="宋体"/>
          <w:color w:val="auto"/>
          <w:spacing w:val="4"/>
          <w:kern w:val="0"/>
          <w:sz w:val="24"/>
          <w:szCs w:val="24"/>
          <w:highlight w:val="none"/>
        </w:rPr>
      </w:pPr>
      <w:r>
        <w:rPr>
          <w:color w:val="auto"/>
          <w:highlight w:val="none"/>
        </w:rPr>
        <w:br w:type="page"/>
      </w:r>
      <w:bookmarkStart w:id="38" w:name="_Toc504722503"/>
      <w:bookmarkStart w:id="39" w:name="_Toc29476911"/>
      <w:bookmarkStart w:id="40" w:name="_Toc62056032"/>
      <w:bookmarkStart w:id="41" w:name="_Toc19936"/>
      <w:bookmarkStart w:id="42" w:name="_Toc7671"/>
      <w:bookmarkStart w:id="43" w:name="_Toc4489935"/>
      <w:bookmarkStart w:id="44" w:name="_Toc24194"/>
      <w:r>
        <w:rPr>
          <w:rFonts w:hint="eastAsia" w:ascii="宋体" w:hAnsi="宋体"/>
          <w:color w:val="auto"/>
          <w:spacing w:val="4"/>
          <w:kern w:val="0"/>
          <w:sz w:val="24"/>
          <w:szCs w:val="24"/>
          <w:highlight w:val="none"/>
        </w:rPr>
        <w:t>格式一：技术标封面</w:t>
      </w:r>
      <w:bookmarkEnd w:id="38"/>
      <w:bookmarkEnd w:id="39"/>
      <w:bookmarkEnd w:id="40"/>
      <w:bookmarkEnd w:id="41"/>
      <w:bookmarkEnd w:id="42"/>
      <w:bookmarkEnd w:id="43"/>
      <w:bookmarkEnd w:id="44"/>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  【技术投标书（含资格审查文件）】</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45" w:name="_Toc239216030"/>
      <w:bookmarkStart w:id="46" w:name="_Toc226209002"/>
      <w:bookmarkStart w:id="47" w:name="_Toc239311745"/>
      <w:bookmarkStart w:id="48" w:name="_Toc337720090"/>
      <w:bookmarkStart w:id="49" w:name="_Toc318924494"/>
      <w:bookmarkStart w:id="50" w:name="_Toc163337619"/>
      <w:bookmarkStart w:id="51" w:name="_Toc464131223"/>
      <w:bookmarkStart w:id="52" w:name="_Toc449308419"/>
      <w:bookmarkStart w:id="53" w:name="_Toc484958691"/>
      <w:bookmarkStart w:id="54" w:name="_Toc395261098"/>
      <w:bookmarkStart w:id="55" w:name="_Toc352623420"/>
      <w:bookmarkStart w:id="56" w:name="_Toc369536769"/>
      <w:bookmarkStart w:id="57" w:name="_Toc358370577"/>
      <w:bookmarkStart w:id="58" w:name="_Toc352240522"/>
      <w:r>
        <w:rPr>
          <w:rFonts w:hint="eastAsia" w:ascii="宋体" w:hAnsi="宋体"/>
          <w:color w:val="auto"/>
          <w:spacing w:val="4"/>
          <w:kern w:val="0"/>
          <w:sz w:val="30"/>
          <w:szCs w:val="30"/>
          <w:highlight w:val="none"/>
          <w:u w:val="single"/>
        </w:rPr>
        <w:t xml:space="preserve">    （填写投标人单位名称）</w:t>
      </w:r>
      <w:bookmarkEnd w:id="45"/>
      <w:bookmarkEnd w:id="46"/>
      <w:bookmarkEnd w:id="47"/>
      <w:bookmarkEnd w:id="48"/>
      <w:bookmarkEnd w:id="49"/>
      <w:bookmarkEnd w:id="50"/>
      <w:r>
        <w:rPr>
          <w:rFonts w:hint="eastAsia" w:ascii="宋体" w:hAnsi="宋体"/>
          <w:color w:val="auto"/>
          <w:spacing w:val="4"/>
          <w:kern w:val="0"/>
          <w:sz w:val="30"/>
          <w:szCs w:val="30"/>
          <w:highlight w:val="none"/>
          <w:u w:val="single"/>
        </w:rPr>
        <w:t xml:space="preserve">  （</w:t>
      </w:r>
      <w:bookmarkEnd w:id="51"/>
      <w:bookmarkEnd w:id="52"/>
      <w:bookmarkEnd w:id="53"/>
      <w:bookmarkEnd w:id="54"/>
      <w:bookmarkEnd w:id="55"/>
      <w:bookmarkEnd w:id="56"/>
      <w:bookmarkEnd w:id="57"/>
      <w:bookmarkEnd w:id="58"/>
      <w:r>
        <w:rPr>
          <w:rFonts w:hint="eastAsia" w:ascii="宋体" w:hAnsi="宋体"/>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法定代表人或其委托代理人：</w:t>
      </w:r>
      <w:r>
        <w:rPr>
          <w:rFonts w:hint="eastAsia" w:ascii="宋体" w:hAnsi="宋体"/>
          <w:color w:val="auto"/>
          <w:spacing w:val="4"/>
          <w:kern w:val="0"/>
          <w:sz w:val="30"/>
          <w:szCs w:val="30"/>
          <w:highlight w:val="none"/>
          <w:u w:val="single"/>
        </w:rPr>
        <w:t xml:space="preserve">                （签名或盖章）</w:t>
      </w:r>
    </w:p>
    <w:p>
      <w:pPr>
        <w:widowControl/>
        <w:topLinePunct/>
        <w:adjustRightInd w:val="0"/>
        <w:snapToGrid w:val="0"/>
        <w:spacing w:after="200" w:line="360" w:lineRule="auto"/>
        <w:ind w:firstLine="616" w:firstLineChars="200"/>
        <w:jc w:val="left"/>
        <w:rPr>
          <w:rFonts w:hint="eastAsia" w:ascii="宋体" w:hAnsi="宋体"/>
          <w:snapToGrid w:val="0"/>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59" w:name="_Toc4489936"/>
      <w:bookmarkStart w:id="60" w:name="_Toc29476912"/>
      <w:bookmarkStart w:id="61" w:name="_Toc13044"/>
      <w:bookmarkStart w:id="62" w:name="_Toc62056033"/>
      <w:bookmarkStart w:id="63" w:name="_Toc4431"/>
      <w:r>
        <w:rPr>
          <w:rFonts w:hint="eastAsia" w:ascii="宋体" w:hAnsi="宋体"/>
          <w:color w:val="auto"/>
          <w:spacing w:val="4"/>
          <w:kern w:val="0"/>
          <w:sz w:val="24"/>
          <w:szCs w:val="24"/>
          <w:highlight w:val="none"/>
        </w:rPr>
        <w:t>格式二：广州建设工程施工招标投标书</w:t>
      </w:r>
      <w:bookmarkEnd w:id="59"/>
      <w:bookmarkEnd w:id="60"/>
      <w:bookmarkEnd w:id="61"/>
      <w:bookmarkEnd w:id="62"/>
      <w:bookmarkEnd w:id="63"/>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ascii="宋体" w:hAnsi="Times New Roman" w:cs="宋体"/>
                <w:b/>
                <w:bCs/>
                <w:color w:val="auto"/>
                <w:sz w:val="24"/>
                <w:szCs w:val="24"/>
                <w:highlight w:val="none"/>
                <w:lang w:val="zh-CN"/>
              </w:rPr>
              <w:t>按现行工程质量验收标准达到一次性竣工验收合格，并符合施工图纸要求和国家、行业有关标准</w:t>
            </w:r>
            <w:r>
              <w:rPr>
                <w:rFonts w:hint="eastAsia" w:ascii="宋体" w:hAnsi="Times New Roman" w:cs="宋体"/>
                <w:b/>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038" w:firstLineChars="846"/>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rPr>
          <w:rFonts w:ascii="宋体" w:hAnsi="宋体"/>
          <w:b/>
          <w:snapToGrid w:val="0"/>
          <w:color w:val="auto"/>
          <w:spacing w:val="4"/>
          <w:sz w:val="24"/>
          <w:szCs w:val="24"/>
          <w:highlight w:val="none"/>
        </w:rPr>
      </w:pPr>
      <w:r>
        <w:rPr>
          <w:color w:val="auto"/>
          <w:sz w:val="24"/>
          <w:szCs w:val="24"/>
          <w:highlight w:val="none"/>
        </w:rPr>
        <w:br w:type="page"/>
      </w:r>
    </w:p>
    <w:p>
      <w:pPr>
        <w:widowControl/>
        <w:topLinePunct/>
        <w:adjustRightInd w:val="0"/>
        <w:snapToGrid w:val="0"/>
        <w:spacing w:after="200"/>
        <w:jc w:val="left"/>
        <w:outlineLvl w:val="2"/>
        <w:rPr>
          <w:rFonts w:hint="default" w:ascii="宋体" w:hAnsi="宋体" w:eastAsia="宋体"/>
          <w:color w:val="auto"/>
          <w:spacing w:val="4"/>
          <w:kern w:val="0"/>
          <w:sz w:val="24"/>
          <w:szCs w:val="24"/>
          <w:highlight w:val="none"/>
          <w:lang w:val="en-US" w:eastAsia="zh-CN"/>
        </w:rPr>
      </w:pPr>
      <w:bookmarkStart w:id="64" w:name="_Toc504722506"/>
      <w:bookmarkStart w:id="65" w:name="_Toc29476914"/>
      <w:bookmarkStart w:id="66" w:name="_Toc20655"/>
      <w:bookmarkStart w:id="67" w:name="_Toc62056035"/>
      <w:bookmarkStart w:id="68" w:name="_Toc21509"/>
      <w:bookmarkStart w:id="69" w:name="_Toc4489938"/>
      <w:bookmarkStart w:id="70" w:name="_Toc30350"/>
      <w:bookmarkStart w:id="71" w:name="_Toc358370579"/>
      <w:bookmarkStart w:id="72" w:name="_Toc352623422"/>
      <w:bookmarkStart w:id="73" w:name="_Toc337720092"/>
      <w:bookmarkStart w:id="74" w:name="_Toc291101119"/>
      <w:bookmarkStart w:id="75" w:name="_Toc464131225"/>
      <w:bookmarkStart w:id="76" w:name="_Toc254961556"/>
      <w:bookmarkStart w:id="77" w:name="_Toc226209004"/>
      <w:bookmarkStart w:id="78" w:name="_Toc248650371"/>
      <w:bookmarkStart w:id="79" w:name="_Toc369536771"/>
      <w:bookmarkStart w:id="80" w:name="_Toc352240524"/>
      <w:bookmarkStart w:id="81" w:name="_Toc395261100"/>
      <w:bookmarkStart w:id="82" w:name="_Toc449308421"/>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三</w:t>
      </w:r>
      <w:r>
        <w:rPr>
          <w:rFonts w:hint="eastAsia" w:ascii="宋体" w:hAnsi="宋体"/>
          <w:color w:val="auto"/>
          <w:spacing w:val="4"/>
          <w:kern w:val="0"/>
          <w:sz w:val="24"/>
          <w:szCs w:val="24"/>
          <w:highlight w:val="none"/>
        </w:rPr>
        <w:t>：企业</w:t>
      </w:r>
      <w:bookmarkEnd w:id="64"/>
      <w:bookmarkEnd w:id="65"/>
      <w:bookmarkEnd w:id="66"/>
      <w:bookmarkEnd w:id="67"/>
      <w:bookmarkEnd w:id="68"/>
      <w:bookmarkEnd w:id="69"/>
      <w:r>
        <w:rPr>
          <w:rFonts w:hint="eastAsia" w:ascii="宋体" w:hAnsi="宋体"/>
          <w:color w:val="auto"/>
          <w:spacing w:val="4"/>
          <w:kern w:val="0"/>
          <w:sz w:val="24"/>
          <w:szCs w:val="24"/>
          <w:highlight w:val="none"/>
          <w:lang w:val="en-US" w:eastAsia="zh-CN"/>
        </w:rPr>
        <w:t>资信证明材料</w:t>
      </w:r>
      <w:bookmarkEnd w:id="70"/>
    </w:p>
    <w:p>
      <w:pPr>
        <w:jc w:val="center"/>
        <w:rPr>
          <w:rFonts w:ascii="宋体" w:hAnsi="宋体"/>
          <w:b/>
          <w:color w:val="auto"/>
          <w:spacing w:val="4"/>
          <w:kern w:val="0"/>
          <w:sz w:val="36"/>
          <w:szCs w:val="32"/>
          <w:highlight w:val="none"/>
        </w:rPr>
      </w:pPr>
      <w:bookmarkStart w:id="83" w:name="_Toc4340129"/>
      <w:bookmarkStart w:id="84" w:name="_Toc913"/>
      <w:bookmarkStart w:id="85" w:name="_Toc4339791"/>
      <w:bookmarkStart w:id="86" w:name="_Toc4489940"/>
      <w:bookmarkStart w:id="87" w:name="_Toc504722508"/>
      <w:bookmarkStart w:id="88" w:name="_Toc4486072"/>
    </w:p>
    <w:p>
      <w:pPr>
        <w:jc w:val="center"/>
        <w:rPr>
          <w:rFonts w:eastAsia="黑体"/>
          <w:snapToGrid w:val="0"/>
          <w:color w:val="auto"/>
          <w:spacing w:val="4"/>
          <w:kern w:val="0"/>
          <w:sz w:val="28"/>
          <w:szCs w:val="28"/>
          <w:highlight w:val="none"/>
        </w:rPr>
      </w:pPr>
      <w:r>
        <w:rPr>
          <w:rFonts w:hint="eastAsia" w:eastAsia="黑体"/>
          <w:snapToGrid w:val="0"/>
          <w:color w:val="auto"/>
          <w:spacing w:val="4"/>
          <w:kern w:val="0"/>
          <w:sz w:val="28"/>
          <w:szCs w:val="28"/>
          <w:highlight w:val="none"/>
        </w:rPr>
        <w:t>1.类似工程业绩表</w:t>
      </w:r>
    </w:p>
    <w:tbl>
      <w:tblPr>
        <w:tblStyle w:val="36"/>
        <w:tblW w:w="99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2"/>
        <w:gridCol w:w="2205"/>
        <w:gridCol w:w="210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工程名称</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2" w:type="dxa"/>
          </w:tcPr>
          <w:p>
            <w:pPr>
              <w:jc w:val="left"/>
              <w:rPr>
                <w:color w:val="auto"/>
                <w:szCs w:val="21"/>
                <w:highlight w:val="none"/>
              </w:rPr>
            </w:pPr>
            <w:r>
              <w:rPr>
                <w:rFonts w:hint="eastAsia"/>
                <w:color w:val="auto"/>
                <w:szCs w:val="21"/>
                <w:highlight w:val="none"/>
              </w:rPr>
              <w:t>项目地点</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所包含的子项内容</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2" w:type="dxa"/>
          </w:tcPr>
          <w:p>
            <w:pPr>
              <w:jc w:val="left"/>
              <w:rPr>
                <w:color w:val="auto"/>
                <w:szCs w:val="21"/>
                <w:highlight w:val="none"/>
              </w:rPr>
            </w:pPr>
            <w:r>
              <w:rPr>
                <w:rFonts w:hint="eastAsia"/>
                <w:color w:val="auto"/>
                <w:szCs w:val="21"/>
                <w:highlight w:val="none"/>
                <w:lang w:val="en-US" w:eastAsia="zh-CN"/>
              </w:rPr>
              <w:t>中标价</w:t>
            </w:r>
            <w:r>
              <w:rPr>
                <w:rFonts w:hint="eastAsia"/>
                <w:color w:val="auto"/>
                <w:szCs w:val="21"/>
                <w:highlight w:val="none"/>
              </w:rPr>
              <w:t>(人民币：万元)</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竣工日期</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项目经理姓名</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项目监理名称</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12" w:type="dxa"/>
          </w:tcPr>
          <w:p>
            <w:pPr>
              <w:jc w:val="left"/>
              <w:rPr>
                <w:color w:val="auto"/>
                <w:szCs w:val="21"/>
                <w:highlight w:val="none"/>
              </w:rPr>
            </w:pPr>
            <w:r>
              <w:rPr>
                <w:rFonts w:hint="eastAsia"/>
                <w:color w:val="auto"/>
                <w:szCs w:val="21"/>
                <w:highlight w:val="none"/>
              </w:rPr>
              <w:t>项目业主联系地址</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项目业主联系人姓名</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项目业主联系电话</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bookmarkEnd w:id="83"/>
      <w:bookmarkEnd w:id="84"/>
      <w:bookmarkEnd w:id="85"/>
      <w:bookmarkEnd w:id="86"/>
      <w:bookmarkEnd w:id="87"/>
      <w:bookmarkEnd w:id="88"/>
    </w:tbl>
    <w:p>
      <w:pPr>
        <w:rPr>
          <w:rFonts w:ascii="宋体" w:hAnsi="宋体" w:cs="宋体"/>
          <w:color w:val="auto"/>
          <w:sz w:val="18"/>
          <w:szCs w:val="18"/>
          <w:highlight w:val="none"/>
        </w:rPr>
      </w:pPr>
      <w:bookmarkStart w:id="89" w:name="_Toc27564"/>
      <w:bookmarkStart w:id="90" w:name="_Toc4489941"/>
      <w:bookmarkStart w:id="91" w:name="_Toc4486073"/>
      <w:bookmarkStart w:id="92" w:name="_Toc504722509"/>
      <w:bookmarkStart w:id="93" w:name="_Toc4340130"/>
      <w:bookmarkStart w:id="94" w:name="_Toc4339792"/>
      <w:r>
        <w:rPr>
          <w:rFonts w:hint="eastAsia"/>
          <w:color w:val="auto"/>
          <w:sz w:val="24"/>
          <w:highlight w:val="none"/>
        </w:rPr>
        <w:t>注：</w:t>
      </w:r>
      <w:bookmarkEnd w:id="89"/>
      <w:bookmarkEnd w:id="90"/>
      <w:bookmarkEnd w:id="91"/>
      <w:bookmarkEnd w:id="92"/>
      <w:bookmarkEnd w:id="93"/>
      <w:bookmarkEnd w:id="94"/>
      <w:r>
        <w:rPr>
          <w:rFonts w:hint="eastAsia" w:cs="宋体"/>
          <w:color w:val="auto"/>
          <w:sz w:val="18"/>
          <w:szCs w:val="18"/>
          <w:highlight w:val="none"/>
          <w:lang w:bidi="ar"/>
        </w:rPr>
        <w:t>类似业绩：</w:t>
      </w:r>
      <w:r>
        <w:rPr>
          <w:rFonts w:hint="eastAsia" w:ascii="宋体" w:hAnsi="宋体" w:cs="宋体"/>
          <w:color w:val="auto"/>
          <w:sz w:val="18"/>
          <w:szCs w:val="18"/>
          <w:highlight w:val="none"/>
        </w:rPr>
        <w:t>指20</w:t>
      </w:r>
      <w:r>
        <w:rPr>
          <w:rFonts w:hint="eastAsia" w:ascii="宋体" w:hAnsi="宋体" w:cs="宋体"/>
          <w:color w:val="auto"/>
          <w:sz w:val="18"/>
          <w:szCs w:val="18"/>
          <w:highlight w:val="none"/>
          <w:lang w:val="en-US" w:eastAsia="zh-CN"/>
        </w:rPr>
        <w:t>20</w:t>
      </w:r>
      <w:r>
        <w:rPr>
          <w:rFonts w:hint="eastAsia" w:ascii="宋体" w:hAnsi="宋体" w:cs="宋体"/>
          <w:color w:val="auto"/>
          <w:sz w:val="18"/>
          <w:szCs w:val="18"/>
          <w:highlight w:val="none"/>
        </w:rPr>
        <w:t>年1月1日至今完成的质量合格且电压等级为10kV(或以上)的单项合同金额</w:t>
      </w:r>
      <w:r>
        <w:rPr>
          <w:rFonts w:hint="eastAsia" w:ascii="宋体" w:hAnsi="宋体" w:cs="宋体"/>
          <w:color w:val="auto"/>
          <w:sz w:val="18"/>
          <w:szCs w:val="18"/>
          <w:highlight w:val="none"/>
          <w:lang w:val="en-US" w:eastAsia="zh-CN"/>
        </w:rPr>
        <w:t>300</w:t>
      </w:r>
      <w:r>
        <w:rPr>
          <w:rFonts w:hint="eastAsia" w:ascii="宋体" w:hAnsi="宋体" w:cs="宋体"/>
          <w:color w:val="auto"/>
          <w:sz w:val="18"/>
          <w:szCs w:val="18"/>
          <w:highlight w:val="none"/>
        </w:rPr>
        <w:t>万元(或以上)电力施工工程业绩。单独发包的专业工程业绩，需同时提供中标通知书或免招标的相关证明、施工合同、竣工验收报告或竣工验收证明（至少具有建设单位、设计、施工和监理单位盖章）扫描件。由总承包单位依法分包的专业工程业绩，需同时提供总承包单位的中标通知书、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完成时间以竣工验收时间为准；业绩金额按以下方式认定：</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a、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b、投标单位提供的施工合同（分包合同）扫描件证明材料。（可提供合同关键页，但应至少包括合同封面、合同指标金额规模页、合同盖章页）</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投标人：　　（盖章）</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法定代表人或授权代理人(签字或盖章)：</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日   期：    年    月    日</w:t>
      </w:r>
    </w:p>
    <w:p>
      <w:pPr>
        <w:pStyle w:val="9"/>
        <w:rPr>
          <w:color w:val="auto"/>
          <w:highlight w:val="none"/>
        </w:rPr>
      </w:pPr>
    </w:p>
    <w:p>
      <w:pPr>
        <w:jc w:val="center"/>
        <w:rPr>
          <w:rFonts w:hint="eastAsia" w:eastAsia="黑体"/>
          <w:snapToGrid w:val="0"/>
          <w:color w:val="auto"/>
          <w:spacing w:val="4"/>
          <w:kern w:val="0"/>
          <w:sz w:val="28"/>
          <w:szCs w:val="28"/>
          <w:highlight w:val="none"/>
        </w:rPr>
      </w:pPr>
      <w:bookmarkStart w:id="95" w:name="_Toc4339797"/>
      <w:bookmarkStart w:id="96" w:name="_Toc8019"/>
      <w:bookmarkStart w:id="97" w:name="_Toc4489946"/>
      <w:bookmarkStart w:id="98" w:name="_Toc4340135"/>
      <w:r>
        <w:rPr>
          <w:rFonts w:hint="eastAsia" w:eastAsia="黑体"/>
          <w:snapToGrid w:val="0"/>
          <w:color w:val="auto"/>
          <w:spacing w:val="4"/>
          <w:kern w:val="0"/>
          <w:sz w:val="28"/>
          <w:szCs w:val="28"/>
          <w:highlight w:val="none"/>
        </w:rPr>
        <w:t>2.按《技术标详细审查评分表》提供相关证明材料；</w:t>
      </w:r>
    </w:p>
    <w:p>
      <w:pPr>
        <w:jc w:val="center"/>
        <w:rPr>
          <w:rFonts w:hint="eastAsia" w:eastAsia="黑体"/>
          <w:snapToGrid w:val="0"/>
          <w:color w:val="auto"/>
          <w:spacing w:val="4"/>
          <w:kern w:val="0"/>
          <w:sz w:val="28"/>
          <w:szCs w:val="28"/>
          <w:highlight w:val="none"/>
        </w:rPr>
      </w:pPr>
      <w:r>
        <w:rPr>
          <w:rFonts w:hint="eastAsia" w:eastAsia="黑体"/>
          <w:snapToGrid w:val="0"/>
          <w:color w:val="auto"/>
          <w:spacing w:val="4"/>
          <w:kern w:val="0"/>
          <w:sz w:val="28"/>
          <w:szCs w:val="28"/>
          <w:highlight w:val="none"/>
        </w:rPr>
        <w:t>3.其他投标人认为须提交的资料。</w:t>
      </w:r>
    </w:p>
    <w:p>
      <w:pPr>
        <w:outlineLvl w:val="2"/>
        <w:rPr>
          <w:color w:val="auto"/>
          <w:highlight w:val="none"/>
        </w:rPr>
      </w:pPr>
      <w:r>
        <w:rPr>
          <w:color w:val="auto"/>
          <w:highlight w:val="none"/>
        </w:rPr>
        <w:br w:type="page"/>
      </w:r>
      <w:bookmarkStart w:id="99" w:name="_Toc504722513"/>
      <w:bookmarkStart w:id="100" w:name="_Toc29476915"/>
      <w:bookmarkStart w:id="101" w:name="_Toc24197"/>
      <w:bookmarkStart w:id="102" w:name="_Toc62056036"/>
      <w:bookmarkStart w:id="103" w:name="_Toc32498"/>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四</w:t>
      </w:r>
      <w:r>
        <w:rPr>
          <w:rFonts w:hint="eastAsia" w:ascii="宋体" w:hAnsi="宋体"/>
          <w:color w:val="auto"/>
          <w:spacing w:val="4"/>
          <w:kern w:val="0"/>
          <w:sz w:val="24"/>
          <w:szCs w:val="24"/>
          <w:highlight w:val="none"/>
        </w:rPr>
        <w:t>：法定代表人证明书、授权委托书</w:t>
      </w:r>
      <w:bookmarkEnd w:id="95"/>
      <w:bookmarkEnd w:id="96"/>
      <w:bookmarkEnd w:id="97"/>
      <w:bookmarkEnd w:id="98"/>
      <w:bookmarkEnd w:id="99"/>
      <w:bookmarkEnd w:id="100"/>
      <w:bookmarkEnd w:id="101"/>
      <w:bookmarkEnd w:id="102"/>
      <w:bookmarkEnd w:id="103"/>
    </w:p>
    <w:p>
      <w:pPr>
        <w:widowControl/>
        <w:topLinePunct/>
        <w:adjustRightInd w:val="0"/>
        <w:snapToGrid w:val="0"/>
        <w:spacing w:after="200"/>
        <w:jc w:val="center"/>
        <w:rPr>
          <w:rFonts w:ascii="宋体" w:hAnsi="宋体"/>
          <w:color w:val="auto"/>
          <w:spacing w:val="4"/>
          <w:kern w:val="0"/>
          <w:sz w:val="32"/>
          <w:szCs w:val="32"/>
          <w:highlight w:val="none"/>
        </w:rPr>
      </w:pPr>
    </w:p>
    <w:p>
      <w:pPr>
        <w:widowControl/>
        <w:topLinePunct/>
        <w:adjustRightInd w:val="0"/>
        <w:snapToGrid w:val="0"/>
        <w:spacing w:after="200"/>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bookmarkEnd w:id="71"/>
    <w:bookmarkEnd w:id="72"/>
    <w:bookmarkEnd w:id="73"/>
    <w:bookmarkEnd w:id="74"/>
    <w:bookmarkEnd w:id="75"/>
    <w:bookmarkEnd w:id="76"/>
    <w:bookmarkEnd w:id="77"/>
    <w:bookmarkEnd w:id="78"/>
    <w:bookmarkEnd w:id="79"/>
    <w:bookmarkEnd w:id="80"/>
    <w:bookmarkEnd w:id="81"/>
    <w:bookmarkEnd w:id="82"/>
    <w:p>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1397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116"/>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16"/>
                              <w:ind w:firstLine="0" w:firstLineChars="0"/>
                              <w:rPr>
                                <w:rFonts w:ascii="宋体" w:hAnsi="宋体"/>
                                <w:szCs w:val="28"/>
                              </w:rPr>
                            </w:pPr>
                            <w:r>
                              <w:rPr>
                                <w:rFonts w:hint="eastAsia" w:ascii="宋体" w:hAnsi="宋体"/>
                                <w:szCs w:val="28"/>
                              </w:rPr>
                              <w:t>特此证明。</w:t>
                            </w:r>
                          </w:p>
                          <w:p>
                            <w:pPr>
                              <w:pStyle w:val="116"/>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　　　　　　　　　　单位：　　　　　　　　　　　（盖章）</w:t>
                            </w:r>
                          </w:p>
                          <w:p>
                            <w:pPr>
                              <w:pStyle w:val="116"/>
                              <w:ind w:firstLine="0" w:firstLineChars="0"/>
                              <w:rPr>
                                <w:rFonts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kyDkI0kCAACYBAAADgAAAAAA&#10;AAABACAAAAAmAQAAZHJzL2Uyb0RvYy54bWxQSwUGAAAAAAYABgBZAQAA4QUAAAAA&#10;">
                <v:fill on="t" focussize="0,0"/>
                <v:stroke color="#000000" miterlimit="8" joinstyle="miter"/>
                <v:imagedata o:title=""/>
                <o:lock v:ext="edit" aspectratio="f"/>
                <v:textbox>
                  <w:txbxContent>
                    <w:p>
                      <w:pPr>
                        <w:pStyle w:val="116"/>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16"/>
                        <w:ind w:firstLine="0" w:firstLineChars="0"/>
                        <w:rPr>
                          <w:rFonts w:ascii="宋体" w:hAnsi="宋体"/>
                          <w:szCs w:val="28"/>
                        </w:rPr>
                      </w:pPr>
                      <w:r>
                        <w:rPr>
                          <w:rFonts w:hint="eastAsia" w:ascii="宋体" w:hAnsi="宋体"/>
                          <w:szCs w:val="28"/>
                        </w:rPr>
                        <w:t>特此证明。</w:t>
                      </w:r>
                    </w:p>
                    <w:p>
                      <w:pPr>
                        <w:pStyle w:val="116"/>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16"/>
                        <w:ind w:firstLine="0" w:firstLineChars="0"/>
                        <w:rPr>
                          <w:rFonts w:ascii="宋体" w:hAnsi="宋体"/>
                          <w:szCs w:val="28"/>
                        </w:rPr>
                      </w:pPr>
                      <w:r>
                        <w:rPr>
                          <w:rFonts w:hint="eastAsia" w:ascii="宋体" w:hAnsi="宋体"/>
                          <w:szCs w:val="28"/>
                        </w:rPr>
                        <w:t>　　　　　　　　　　单位：　　　　　　　　　　　（盖章）</w:t>
                      </w:r>
                    </w:p>
                    <w:p>
                      <w:pPr>
                        <w:pStyle w:val="116"/>
                        <w:ind w:firstLine="0" w:firstLineChars="0"/>
                        <w:rPr>
                          <w:rFonts w:ascii="宋体" w:hAnsi="宋体"/>
                          <w:szCs w:val="28"/>
                        </w:rPr>
                      </w:pPr>
                      <w:r>
                        <w:rPr>
                          <w:rFonts w:hint="eastAsia" w:ascii="宋体" w:hAnsi="宋体"/>
                          <w:szCs w:val="28"/>
                        </w:rPr>
                        <w:t>　　　　　　　　　　　　　　　　　　　　      　    年　  月　　日</w:t>
                      </w:r>
                    </w:p>
                  </w:txbxContent>
                </v:textbox>
                <w10:wrap type="square"/>
              </v:shape>
            </w:pict>
          </mc:Fallback>
        </mc:AlternateContent>
      </w:r>
      <w:r>
        <w:rPr>
          <w:rFonts w:hint="eastAsia"/>
          <w:snapToGrid w:val="0"/>
          <w:color w:val="auto"/>
          <w:spacing w:val="4"/>
          <w:sz w:val="24"/>
          <w:szCs w:val="24"/>
          <w:highlight w:val="none"/>
        </w:rPr>
        <w:t>（　 ）第　号</w:t>
      </w:r>
    </w:p>
    <w:p>
      <w:pPr>
        <w:topLinePunct/>
        <w:adjustRightInd w:val="0"/>
        <w:snapToGrid w:val="0"/>
        <w:spacing w:line="360" w:lineRule="auto"/>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889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116"/>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16"/>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16"/>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16"/>
                              <w:ind w:firstLine="496"/>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mYxMUkCAACYBAAADgAAAAAA&#10;AAABACAAAAAmAQAAZHJzL2Uyb0RvYy54bWxQSwUGAAAAAAYABgBZAQAA4QUAAAAA&#10;">
                <v:fill on="t" focussize="0,0"/>
                <v:stroke color="#000000" miterlimit="8" joinstyle="miter"/>
                <v:imagedata o:title=""/>
                <o:lock v:ext="edit" aspectratio="f"/>
                <v:textbox>
                  <w:txbxContent>
                    <w:p>
                      <w:pPr>
                        <w:pStyle w:val="116"/>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16"/>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6"/>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16"/>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16"/>
                        <w:ind w:firstLine="496"/>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pPr>
        <w:rPr>
          <w:color w:val="auto"/>
          <w:highlight w:val="none"/>
        </w:rPr>
      </w:pPr>
      <w:bookmarkStart w:id="104" w:name="_Toc4340136"/>
      <w:bookmarkStart w:id="105" w:name="_Toc4339798"/>
      <w:bookmarkStart w:id="106" w:name="_Toc4489947"/>
      <w:bookmarkStart w:id="107" w:name="_Toc4486079"/>
      <w:bookmarkStart w:id="108" w:name="_Toc3736"/>
      <w:r>
        <w:rPr>
          <w:rFonts w:hint="eastAsia"/>
          <w:color w:val="auto"/>
          <w:highlight w:val="none"/>
        </w:rPr>
        <w:t>注：按提供的格式或使用从工商管理部门购买的格式填写。</w:t>
      </w:r>
      <w:bookmarkEnd w:id="104"/>
      <w:bookmarkEnd w:id="105"/>
      <w:bookmarkEnd w:id="106"/>
      <w:bookmarkEnd w:id="107"/>
      <w:bookmarkEnd w:id="108"/>
    </w:p>
    <w:p>
      <w:pPr>
        <w:widowControl/>
        <w:topLinePunct/>
        <w:adjustRightInd w:val="0"/>
        <w:snapToGrid w:val="0"/>
        <w:spacing w:before="156" w:beforeLines="50" w:after="156" w:afterLines="50"/>
        <w:jc w:val="left"/>
        <w:outlineLvl w:val="2"/>
        <w:rPr>
          <w:rFonts w:ascii="宋体" w:hAnsi="宋体"/>
          <w:color w:val="auto"/>
          <w:spacing w:val="4"/>
          <w:kern w:val="0"/>
          <w:sz w:val="24"/>
          <w:szCs w:val="24"/>
          <w:highlight w:val="none"/>
        </w:rPr>
      </w:pPr>
      <w:bookmarkStart w:id="109" w:name="_Toc29321"/>
      <w:bookmarkStart w:id="110" w:name="_Toc504722514"/>
      <w:r>
        <w:rPr>
          <w:rFonts w:ascii="宋体" w:hAnsi="宋体"/>
          <w:color w:val="auto"/>
          <w:spacing w:val="4"/>
          <w:kern w:val="0"/>
          <w:sz w:val="24"/>
          <w:szCs w:val="24"/>
          <w:highlight w:val="none"/>
        </w:rPr>
        <w:br w:type="page"/>
      </w:r>
      <w:bookmarkStart w:id="111" w:name="_Toc4489948"/>
      <w:bookmarkStart w:id="112" w:name="_Toc29476916"/>
      <w:bookmarkStart w:id="113" w:name="_Toc17217"/>
      <w:bookmarkStart w:id="114" w:name="_Toc62056037"/>
      <w:bookmarkStart w:id="115" w:name="_Toc7056"/>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五</w:t>
      </w:r>
      <w:r>
        <w:rPr>
          <w:rFonts w:hint="eastAsia" w:ascii="宋体" w:hAnsi="宋体"/>
          <w:color w:val="auto"/>
          <w:spacing w:val="4"/>
          <w:kern w:val="0"/>
          <w:sz w:val="24"/>
          <w:szCs w:val="24"/>
          <w:highlight w:val="none"/>
        </w:rPr>
        <w:t>：施工组织架构图</w:t>
      </w:r>
      <w:bookmarkEnd w:id="109"/>
      <w:bookmarkEnd w:id="110"/>
      <w:bookmarkEnd w:id="111"/>
      <w:bookmarkEnd w:id="112"/>
      <w:bookmarkEnd w:id="113"/>
      <w:bookmarkEnd w:id="114"/>
      <w:bookmarkEnd w:id="115"/>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施工组织架构图</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1、投标人应结合本工程的类型和特点，科学、合理地设置本项目的施工组织架构；</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bookmarkStart w:id="116" w:name="_Toc464131229"/>
      <w:bookmarkStart w:id="117" w:name="_Toc484958704"/>
      <w:bookmarkStart w:id="118" w:name="_Toc449308425"/>
      <w:r>
        <w:rPr>
          <w:rFonts w:hint="eastAsia" w:ascii="宋体" w:hAnsi="宋体"/>
          <w:color w:val="auto"/>
          <w:spacing w:val="4"/>
          <w:kern w:val="0"/>
          <w:sz w:val="24"/>
          <w:szCs w:val="24"/>
          <w:highlight w:val="none"/>
        </w:rPr>
        <w:t>2、施工组织架构图由投标人</w:t>
      </w:r>
      <w:bookmarkEnd w:id="116"/>
      <w:bookmarkEnd w:id="117"/>
      <w:bookmarkEnd w:id="118"/>
      <w:r>
        <w:rPr>
          <w:rFonts w:hint="eastAsia" w:ascii="宋体" w:hAnsi="宋体"/>
          <w:color w:val="auto"/>
          <w:spacing w:val="4"/>
          <w:kern w:val="0"/>
          <w:sz w:val="24"/>
          <w:szCs w:val="24"/>
          <w:highlight w:val="none"/>
        </w:rPr>
        <w:t>结合招标人对本工程的具体要求自行设定；</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3、可结合自身情况附相关</w:t>
      </w:r>
      <w:r>
        <w:rPr>
          <w:rFonts w:ascii="宋体" w:hAnsi="宋体"/>
          <w:color w:val="auto"/>
          <w:spacing w:val="4"/>
          <w:kern w:val="0"/>
          <w:sz w:val="24"/>
          <w:szCs w:val="24"/>
          <w:highlight w:val="none"/>
        </w:rPr>
        <w:t>辅助说明资料。</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日   期：    年    月    日 </w:t>
      </w:r>
    </w:p>
    <w:p>
      <w:pPr>
        <w:widowControl/>
        <w:topLinePunct/>
        <w:adjustRightInd w:val="0"/>
        <w:snapToGrid w:val="0"/>
        <w:spacing w:after="200"/>
        <w:jc w:val="left"/>
        <w:outlineLvl w:val="2"/>
        <w:rPr>
          <w:rFonts w:ascii="宋体" w:hAnsi="宋体"/>
          <w:color w:val="auto"/>
          <w:spacing w:val="4"/>
          <w:kern w:val="0"/>
          <w:sz w:val="24"/>
          <w:szCs w:val="24"/>
          <w:highlight w:val="none"/>
        </w:rPr>
        <w:sectPr>
          <w:pgSz w:w="11907" w:h="16840"/>
          <w:pgMar w:top="1418" w:right="1418" w:bottom="1418" w:left="1418" w:header="851" w:footer="851" w:gutter="0"/>
          <w:cols w:space="720" w:num="1"/>
          <w:docGrid w:type="lines" w:linePitch="312" w:charSpace="0"/>
        </w:sectPr>
      </w:pPr>
    </w:p>
    <w:p>
      <w:pPr>
        <w:widowControl/>
        <w:topLinePunct/>
        <w:adjustRightInd w:val="0"/>
        <w:snapToGrid w:val="0"/>
        <w:spacing w:after="200"/>
        <w:jc w:val="left"/>
        <w:outlineLvl w:val="2"/>
        <w:rPr>
          <w:rFonts w:hint="eastAsia" w:ascii="宋体" w:hAnsi="宋体" w:eastAsia="宋体"/>
          <w:color w:val="auto"/>
          <w:spacing w:val="4"/>
          <w:kern w:val="0"/>
          <w:sz w:val="24"/>
          <w:szCs w:val="24"/>
          <w:highlight w:val="none"/>
        </w:rPr>
      </w:pPr>
      <w:bookmarkStart w:id="119" w:name="_Toc29476917"/>
      <w:bookmarkStart w:id="120" w:name="_Toc504722515"/>
      <w:bookmarkStart w:id="121" w:name="_Toc1959"/>
      <w:bookmarkStart w:id="122" w:name="_Toc4489949"/>
      <w:bookmarkStart w:id="123" w:name="_Toc13445"/>
      <w:bookmarkStart w:id="124" w:name="_Toc62056038"/>
      <w:bookmarkStart w:id="125" w:name="_Toc18887"/>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六</w:t>
      </w:r>
      <w:r>
        <w:rPr>
          <w:rFonts w:hint="eastAsia" w:ascii="宋体" w:hAnsi="宋体"/>
          <w:color w:val="auto"/>
          <w:spacing w:val="4"/>
          <w:kern w:val="0"/>
          <w:sz w:val="24"/>
          <w:szCs w:val="24"/>
          <w:highlight w:val="none"/>
        </w:rPr>
        <w:t>：</w:t>
      </w:r>
      <w:bookmarkEnd w:id="119"/>
      <w:bookmarkEnd w:id="120"/>
      <w:bookmarkEnd w:id="121"/>
      <w:bookmarkEnd w:id="122"/>
      <w:r>
        <w:rPr>
          <w:rFonts w:hint="eastAsia" w:ascii="宋体" w:hAnsi="宋体" w:eastAsia="宋体"/>
          <w:color w:val="auto"/>
          <w:spacing w:val="4"/>
          <w:kern w:val="0"/>
          <w:sz w:val="24"/>
          <w:szCs w:val="24"/>
          <w:highlight w:val="none"/>
        </w:rPr>
        <w:t>施工</w:t>
      </w:r>
      <w:r>
        <w:rPr>
          <w:rFonts w:hint="eastAsia" w:ascii="宋体" w:hAnsi="宋体" w:eastAsia="宋体"/>
          <w:color w:val="auto"/>
          <w:spacing w:val="4"/>
          <w:kern w:val="0"/>
          <w:sz w:val="24"/>
          <w:szCs w:val="24"/>
          <w:highlight w:val="none"/>
          <w:lang w:val="zh-CN"/>
        </w:rPr>
        <w:t>项目管理团队人员信息表</w:t>
      </w:r>
      <w:bookmarkEnd w:id="123"/>
      <w:bookmarkEnd w:id="124"/>
      <w:bookmarkEnd w:id="125"/>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27"/>
                <w:rFonts w:hint="default" w:ascii="宋体" w:hAnsi="宋体" w:eastAsia="宋体" w:cs="宋体"/>
                <w:color w:val="auto"/>
                <w:sz w:val="21"/>
                <w:szCs w:val="21"/>
                <w:highlight w:val="none"/>
                <w:lang w:bidi="ar"/>
              </w:rPr>
              <w:t>岗位</w:t>
            </w:r>
          </w:p>
        </w:tc>
        <w:tc>
          <w:tcPr>
            <w:tcW w:w="1462" w:type="dxa"/>
            <w:vAlign w:val="center"/>
          </w:tcPr>
          <w:p>
            <w:pPr>
              <w:adjustRightInd w:val="0"/>
              <w:snapToGrid w:val="0"/>
              <w:ind w:left="-63" w:leftChars="-30" w:right="-63" w:rightChars="-30"/>
              <w:jc w:val="center"/>
              <w:rPr>
                <w:rStyle w:val="127"/>
                <w:rFonts w:hint="default" w:ascii="宋体" w:hAnsi="宋体" w:eastAsia="宋体" w:cs="宋体"/>
                <w:color w:val="auto"/>
                <w:sz w:val="21"/>
                <w:szCs w:val="21"/>
                <w:highlight w:val="none"/>
                <w:lang w:bidi="ar"/>
              </w:rPr>
            </w:pPr>
            <w:r>
              <w:rPr>
                <w:rStyle w:val="127"/>
                <w:rFonts w:hint="default" w:ascii="宋体" w:hAnsi="宋体" w:eastAsia="宋体" w:cs="宋体"/>
                <w:color w:val="auto"/>
                <w:sz w:val="21"/>
                <w:szCs w:val="21"/>
                <w:highlight w:val="none"/>
                <w:lang w:bidi="ar"/>
              </w:rPr>
              <w:t>职称</w:t>
            </w:r>
          </w:p>
        </w:tc>
        <w:tc>
          <w:tcPr>
            <w:tcW w:w="2783" w:type="dxa"/>
            <w:vAlign w:val="center"/>
          </w:tcPr>
          <w:p>
            <w:pPr>
              <w:adjustRightInd w:val="0"/>
              <w:snapToGrid w:val="0"/>
              <w:ind w:left="-63" w:leftChars="-30" w:right="-63" w:rightChars="-30"/>
              <w:jc w:val="center"/>
              <w:rPr>
                <w:rStyle w:val="127"/>
                <w:rFonts w:hint="default" w:ascii="宋体" w:hAnsi="宋体" w:eastAsia="宋体" w:cs="宋体"/>
                <w:color w:val="auto"/>
                <w:sz w:val="21"/>
                <w:szCs w:val="21"/>
                <w:highlight w:val="none"/>
                <w:lang w:bidi="ar"/>
              </w:rPr>
            </w:pPr>
            <w:r>
              <w:rPr>
                <w:rStyle w:val="127"/>
                <w:rFonts w:hint="default" w:ascii="宋体" w:hAnsi="宋体" w:eastAsia="宋体" w:cs="宋体"/>
                <w:color w:val="auto"/>
                <w:sz w:val="21"/>
                <w:szCs w:val="21"/>
                <w:highlight w:val="none"/>
                <w:lang w:bidi="ar"/>
              </w:rPr>
              <w:t>职称证书或资格证书编号</w:t>
            </w:r>
          </w:p>
        </w:tc>
        <w:tc>
          <w:tcPr>
            <w:tcW w:w="858" w:type="dxa"/>
            <w:vAlign w:val="center"/>
          </w:tcPr>
          <w:p>
            <w:pPr>
              <w:adjustRightInd w:val="0"/>
              <w:snapToGrid w:val="0"/>
              <w:ind w:left="-63" w:leftChars="-30" w:right="-63" w:rightChars="-30"/>
              <w:jc w:val="center"/>
              <w:rPr>
                <w:rStyle w:val="127"/>
                <w:rFonts w:hint="default" w:ascii="宋体" w:hAnsi="宋体" w:eastAsia="宋体" w:cs="宋体"/>
                <w:color w:val="auto"/>
                <w:sz w:val="21"/>
                <w:szCs w:val="21"/>
                <w:highlight w:val="none"/>
                <w:lang w:bidi="ar"/>
              </w:rPr>
            </w:pPr>
            <w:r>
              <w:rPr>
                <w:rStyle w:val="127"/>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Fonts w:ascii="宋体" w:hAnsi="宋体" w:cs="宋体"/>
          <w:b/>
          <w:color w:val="auto"/>
          <w:szCs w:val="21"/>
          <w:highlight w:val="none"/>
        </w:rPr>
      </w:pPr>
      <w:r>
        <w:rPr>
          <w:rStyle w:val="127"/>
          <w:rFonts w:hint="default" w:ascii="宋体" w:hAnsi="宋体" w:eastAsia="宋体" w:cs="宋体"/>
          <w:color w:val="auto"/>
          <w:sz w:val="21"/>
          <w:szCs w:val="21"/>
          <w:highlight w:val="none"/>
          <w:lang w:bidi="ar"/>
        </w:rPr>
        <w:t>备注：</w:t>
      </w:r>
      <w:r>
        <w:rPr>
          <w:rStyle w:val="127"/>
          <w:rFonts w:hint="default" w:ascii="宋体" w:hAnsi="宋体" w:eastAsia="宋体" w:cs="宋体"/>
          <w:color w:val="auto"/>
          <w:sz w:val="21"/>
          <w:szCs w:val="21"/>
          <w:highlight w:val="none"/>
          <w:lang w:bidi="ar"/>
        </w:rPr>
        <w:br w:type="textWrapping"/>
      </w:r>
      <w:r>
        <w:rPr>
          <w:rStyle w:val="127"/>
          <w:rFonts w:hint="default" w:ascii="宋体" w:hAnsi="宋体" w:eastAsia="宋体" w:cs="宋体"/>
          <w:color w:val="auto"/>
          <w:sz w:val="21"/>
          <w:szCs w:val="21"/>
          <w:highlight w:val="none"/>
          <w:lang w:bidi="ar"/>
        </w:rPr>
        <w:t>1、“岗位”要求（除项目负责人、专职安全员外）由投标人根据项目管理需要结合自身实力在本表中明确。以上项目管理团队人员信息将由交易系统提取后供各相关单位在履约时比对、查核。</w:t>
      </w:r>
      <w:r>
        <w:rPr>
          <w:rStyle w:val="127"/>
          <w:rFonts w:hint="default" w:ascii="宋体" w:hAnsi="宋体" w:eastAsia="宋体" w:cs="宋体"/>
          <w:color w:val="auto"/>
          <w:sz w:val="21"/>
          <w:szCs w:val="21"/>
          <w:highlight w:val="none"/>
          <w:lang w:bidi="ar"/>
        </w:rPr>
        <w:br w:type="textWrapping"/>
      </w:r>
      <w:r>
        <w:rPr>
          <w:rStyle w:val="127"/>
          <w:rFonts w:hint="default" w:ascii="宋体" w:hAnsi="宋体" w:eastAsia="宋体" w:cs="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27"/>
          <w:rFonts w:hint="default" w:ascii="宋体" w:hAnsi="宋体" w:eastAsia="宋体" w:cs="宋体"/>
          <w:color w:val="auto"/>
          <w:sz w:val="21"/>
          <w:szCs w:val="21"/>
          <w:highlight w:val="none"/>
          <w:lang w:bidi="ar"/>
        </w:rPr>
        <w:br w:type="textWrapping"/>
      </w:r>
      <w:r>
        <w:rPr>
          <w:rStyle w:val="127"/>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topLinePunct/>
        <w:adjustRightInd w:val="0"/>
        <w:snapToGrid w:val="0"/>
        <w:spacing w:line="360" w:lineRule="auto"/>
        <w:jc w:val="center"/>
        <w:rPr>
          <w:rFonts w:eastAsia="黑体"/>
          <w:snapToGrid w:val="0"/>
          <w:color w:val="auto"/>
          <w:spacing w:val="4"/>
          <w:sz w:val="36"/>
          <w:szCs w:val="36"/>
          <w:highlight w:val="none"/>
        </w:rPr>
      </w:pPr>
    </w:p>
    <w:p>
      <w:pPr>
        <w:spacing w:line="360" w:lineRule="auto"/>
        <w:jc w:val="center"/>
        <w:rPr>
          <w:rFonts w:ascii="宋体" w:hAnsi="宋体" w:eastAsia="黑体"/>
          <w:color w:val="auto"/>
          <w:spacing w:val="4"/>
          <w:kern w:val="0"/>
          <w:sz w:val="24"/>
          <w:szCs w:val="24"/>
          <w:highlight w:val="none"/>
        </w:rPr>
        <w:sectPr>
          <w:pgSz w:w="11907" w:h="16840"/>
          <w:pgMar w:top="1418" w:right="1418" w:bottom="1418" w:left="1418" w:header="851" w:footer="851" w:gutter="0"/>
          <w:cols w:space="720" w:num="1"/>
          <w:docGrid w:type="lines" w:linePitch="312" w:charSpace="0"/>
        </w:sectPr>
      </w:pP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26" w:name="_Toc4489950"/>
      <w:bookmarkStart w:id="127" w:name="_Toc15808"/>
      <w:bookmarkStart w:id="128" w:name="_Toc29476918"/>
      <w:bookmarkStart w:id="129" w:name="_Toc62056040"/>
      <w:bookmarkStart w:id="130" w:name="_Toc672"/>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七</w:t>
      </w:r>
      <w:r>
        <w:rPr>
          <w:rFonts w:hint="eastAsia" w:ascii="宋体" w:hAnsi="宋体"/>
          <w:color w:val="auto"/>
          <w:spacing w:val="4"/>
          <w:kern w:val="0"/>
          <w:sz w:val="24"/>
          <w:szCs w:val="24"/>
          <w:highlight w:val="none"/>
        </w:rPr>
        <w:t>：</w:t>
      </w:r>
      <w:bookmarkEnd w:id="126"/>
      <w:r>
        <w:rPr>
          <w:rFonts w:hint="eastAsia" w:ascii="宋体" w:hAnsi="宋体"/>
          <w:color w:val="auto"/>
          <w:spacing w:val="4"/>
          <w:kern w:val="0"/>
          <w:sz w:val="24"/>
          <w:szCs w:val="24"/>
          <w:highlight w:val="none"/>
        </w:rPr>
        <w:t>主要人员简历表</w:t>
      </w:r>
      <w:bookmarkEnd w:id="127"/>
      <w:bookmarkEnd w:id="128"/>
      <w:bookmarkEnd w:id="129"/>
      <w:bookmarkEnd w:id="130"/>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36"/>
        <w:tblpPr w:leftFromText="180" w:rightFromText="180" w:vertAnchor="text" w:tblpX="-206"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姓名</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性别</w:t>
            </w:r>
          </w:p>
        </w:tc>
        <w:tc>
          <w:tcPr>
            <w:tcW w:w="1701"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182"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年龄</w:t>
            </w:r>
          </w:p>
        </w:tc>
        <w:tc>
          <w:tcPr>
            <w:tcW w:w="1620"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ascii="宋体" w:hAnsi="宋体"/>
                <w:b/>
                <w:bCs/>
                <w:color w:val="auto"/>
                <w:kern w:val="0"/>
                <w:sz w:val="22"/>
                <w:szCs w:val="21"/>
                <w:highlight w:val="none"/>
                <w:lang w:eastAsia="en-US" w:bidi="en-US"/>
              </w:rPr>
              <w:t>身份证号码</w:t>
            </w:r>
          </w:p>
        </w:tc>
        <w:tc>
          <w:tcPr>
            <w:tcW w:w="7999" w:type="dxa"/>
            <w:gridSpan w:val="10"/>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职务</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职称</w:t>
            </w:r>
          </w:p>
        </w:tc>
        <w:tc>
          <w:tcPr>
            <w:tcW w:w="1701"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182"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学历</w:t>
            </w:r>
          </w:p>
        </w:tc>
        <w:tc>
          <w:tcPr>
            <w:tcW w:w="1620"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参加工作</w:t>
            </w:r>
          </w:p>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时间</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担任相应职务年限</w:t>
            </w:r>
          </w:p>
        </w:tc>
        <w:tc>
          <w:tcPr>
            <w:tcW w:w="4503" w:type="dxa"/>
            <w:gridSpan w:val="5"/>
            <w:vAlign w:val="center"/>
          </w:tcPr>
          <w:p>
            <w:pPr>
              <w:keepNext/>
              <w:keepLines/>
              <w:widowControl/>
              <w:spacing w:before="120" w:after="120" w:line="276" w:lineRule="auto"/>
              <w:jc w:val="center"/>
              <w:outlineLvl w:val="0"/>
              <w:rPr>
                <w:rFonts w:ascii="宋体" w:hAnsi="宋体"/>
                <w:b/>
                <w:color w:val="auto"/>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资</w:t>
            </w:r>
            <w:bookmarkStart w:id="131" w:name="_Toc163337627"/>
            <w:bookmarkStart w:id="132" w:name="_Toc449308427"/>
            <w:bookmarkStart w:id="133" w:name="_Toc318924502"/>
            <w:bookmarkStart w:id="134" w:name="_Toc358370585"/>
            <w:bookmarkStart w:id="135" w:name="_Toc352240530"/>
            <w:bookmarkStart w:id="136" w:name="_Toc239216038"/>
            <w:bookmarkStart w:id="137" w:name="_Toc337720098"/>
            <w:bookmarkStart w:id="138" w:name="_Toc239311753"/>
            <w:bookmarkStart w:id="139" w:name="_Toc226209010"/>
            <w:bookmarkStart w:id="140" w:name="_Toc395261106"/>
            <w:bookmarkStart w:id="141" w:name="_Toc352623428"/>
            <w:bookmarkStart w:id="142" w:name="_Toc369536777"/>
            <w:r>
              <w:rPr>
                <w:rFonts w:hint="eastAsia" w:ascii="宋体" w:hAnsi="宋体"/>
                <w:b/>
                <w:color w:val="auto"/>
                <w:kern w:val="0"/>
                <w:sz w:val="24"/>
                <w:szCs w:val="24"/>
                <w:highlight w:val="none"/>
                <w:lang w:eastAsia="en-US" w:bidi="en-US"/>
              </w:rPr>
              <w:t>格证书号</w:t>
            </w:r>
          </w:p>
        </w:tc>
        <w:tc>
          <w:tcPr>
            <w:tcW w:w="7999" w:type="dxa"/>
            <w:gridSpan w:val="10"/>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pPr>
              <w:widowControl/>
              <w:topLinePunct/>
              <w:adjustRightInd w:val="0"/>
              <w:snapToGrid w:val="0"/>
              <w:spacing w:before="240" w:after="200"/>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建设单位</w:t>
            </w:r>
            <w:bookmarkEnd w:id="131"/>
            <w:bookmarkEnd w:id="132"/>
            <w:bookmarkEnd w:id="133"/>
            <w:bookmarkEnd w:id="134"/>
            <w:bookmarkEnd w:id="135"/>
            <w:bookmarkEnd w:id="136"/>
            <w:bookmarkEnd w:id="137"/>
            <w:bookmarkEnd w:id="138"/>
            <w:bookmarkEnd w:id="139"/>
            <w:bookmarkEnd w:id="140"/>
            <w:bookmarkEnd w:id="141"/>
            <w:bookmarkEnd w:id="142"/>
          </w:p>
        </w:tc>
        <w:tc>
          <w:tcPr>
            <w:tcW w:w="1547"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项目名称</w:t>
            </w:r>
          </w:p>
        </w:tc>
        <w:tc>
          <w:tcPr>
            <w:tcW w:w="1549"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建设规模</w:t>
            </w:r>
          </w:p>
        </w:tc>
        <w:tc>
          <w:tcPr>
            <w:tcW w:w="1783"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开、竣工日期</w:t>
            </w:r>
          </w:p>
        </w:tc>
        <w:tc>
          <w:tcPr>
            <w:tcW w:w="1547" w:type="dxa"/>
            <w:gridSpan w:val="3"/>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在建或已完</w:t>
            </w:r>
          </w:p>
        </w:tc>
        <w:tc>
          <w:tcPr>
            <w:tcW w:w="1551"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7" w:type="dxa"/>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9"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783"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7" w:type="dxa"/>
            <w:gridSpan w:val="3"/>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51" w:type="dxa"/>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7" w:type="dxa"/>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9"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783"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7" w:type="dxa"/>
            <w:gridSpan w:val="3"/>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51" w:type="dxa"/>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r>
    </w:tbl>
    <w:p>
      <w:pPr>
        <w:widowControl/>
        <w:topLinePunct/>
        <w:adjustRightInd w:val="0"/>
        <w:snapToGrid w:val="0"/>
        <w:jc w:val="left"/>
        <w:rPr>
          <w:rFonts w:ascii="宋体" w:hAnsi="宋体" w:cs="宋体"/>
          <w:bCs/>
          <w:color w:val="auto"/>
          <w:highlight w:val="none"/>
        </w:rPr>
      </w:pPr>
      <w:r>
        <w:rPr>
          <w:rFonts w:hint="eastAsia"/>
          <w:snapToGrid w:val="0"/>
          <w:color w:val="auto"/>
          <w:szCs w:val="21"/>
          <w:highlight w:val="none"/>
        </w:rPr>
        <w:t>注：</w:t>
      </w:r>
      <w:r>
        <w:rPr>
          <w:snapToGrid w:val="0"/>
          <w:color w:val="auto"/>
          <w:szCs w:val="21"/>
          <w:highlight w:val="none"/>
        </w:rPr>
        <w:t xml:space="preserve"> </w:t>
      </w:r>
      <w:r>
        <w:rPr>
          <w:rFonts w:ascii="宋体" w:hAnsi="宋体" w:cs="宋体"/>
          <w:bCs/>
          <w:color w:val="auto"/>
          <w:highlight w:val="none"/>
        </w:rPr>
        <w:t>1</w:t>
      </w:r>
      <w:r>
        <w:rPr>
          <w:rFonts w:hint="eastAsia" w:ascii="宋体" w:hAnsi="宋体" w:cs="宋体"/>
          <w:bCs/>
          <w:color w:val="auto"/>
          <w:highlight w:val="none"/>
        </w:rPr>
        <w:t>、本</w:t>
      </w:r>
      <w:r>
        <w:rPr>
          <w:rFonts w:hint="eastAsia" w:ascii="宋体" w:hAnsi="宋体" w:eastAsia="宋体" w:cs="宋体"/>
          <w:bCs/>
          <w:color w:val="auto"/>
          <w:highlight w:val="none"/>
        </w:rPr>
        <w:t>表“主要人员”应根据招标文件第四章中“施工</w:t>
      </w:r>
      <w:r>
        <w:rPr>
          <w:rFonts w:hint="eastAsia" w:ascii="宋体" w:hAnsi="宋体" w:eastAsia="宋体" w:cs="宋体"/>
          <w:bCs/>
          <w:color w:val="auto"/>
          <w:highlight w:val="none"/>
          <w:lang w:val="zh-CN"/>
        </w:rPr>
        <w:t>项目管理团队人员信息表</w:t>
      </w:r>
      <w:r>
        <w:rPr>
          <w:rFonts w:hint="eastAsia" w:ascii="宋体" w:hAnsi="宋体" w:eastAsia="宋体" w:cs="宋体"/>
          <w:bCs/>
          <w:color w:val="auto"/>
          <w:highlight w:val="none"/>
        </w:rPr>
        <w:t>”的要求进行配备。</w:t>
      </w:r>
    </w:p>
    <w:p>
      <w:pPr>
        <w:topLinePunct/>
        <w:adjustRightInd w:val="0"/>
        <w:snapToGrid w:val="0"/>
        <w:ind w:firstLine="525" w:firstLineChars="250"/>
        <w:rPr>
          <w:rFonts w:ascii="宋体" w:hAnsi="宋体" w:cs="宋体"/>
          <w:bCs/>
          <w:color w:val="auto"/>
          <w:highlight w:val="none"/>
        </w:rPr>
      </w:pPr>
      <w:r>
        <w:rPr>
          <w:rFonts w:hint="eastAsia" w:ascii="宋体" w:hAnsi="宋体" w:cs="宋体"/>
          <w:bCs/>
          <w:color w:val="auto"/>
          <w:highlight w:val="none"/>
        </w:rPr>
        <w:t>2、本表“主要人员”须提供的证明文件复印件详见</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技术标详细审查评分表</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要求，并按格式八附简历表以及近一个月（202</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年</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月）</w:t>
      </w:r>
      <w:r>
        <w:rPr>
          <w:rFonts w:hint="eastAsia" w:ascii="宋体" w:hAnsi="宋体" w:cs="宋体"/>
          <w:bCs/>
          <w:color w:val="auto"/>
          <w:highlight w:val="none"/>
        </w:rPr>
        <w:t>社保证明文件复印件，</w:t>
      </w:r>
      <w:r>
        <w:rPr>
          <w:color w:val="auto"/>
          <w:highlight w:val="none"/>
        </w:rPr>
        <w:t>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r>
        <w:rPr>
          <w:rFonts w:hint="eastAsia" w:ascii="宋体" w:hAnsi="宋体" w:cs="宋体"/>
          <w:bCs/>
          <w:color w:val="auto"/>
          <w:highlight w:val="none"/>
        </w:rPr>
        <w:t>投入人员工作经验以毕业证毕业时间为准。</w:t>
      </w:r>
    </w:p>
    <w:p>
      <w:pPr>
        <w:topLinePunct/>
        <w:adjustRightInd w:val="0"/>
        <w:snapToGrid w:val="0"/>
        <w:ind w:firstLine="525" w:firstLineChars="250"/>
        <w:rPr>
          <w:rFonts w:ascii="宋体" w:hAnsi="宋体" w:cs="宋体"/>
          <w:bCs/>
          <w:color w:val="auto"/>
          <w:highlight w:val="none"/>
        </w:rPr>
      </w:pPr>
      <w:r>
        <w:rPr>
          <w:rFonts w:hint="eastAsia" w:ascii="宋体" w:hAnsi="宋体" w:cs="宋体"/>
          <w:bCs/>
          <w:color w:val="auto"/>
          <w:highlight w:val="none"/>
        </w:rPr>
        <w:t>3、本表投标人可根据企业自身及项目实际情况自行增加人员配置。</w:t>
      </w:r>
    </w:p>
    <w:p>
      <w:pPr>
        <w:shd w:val="clear" w:color="auto" w:fill="FFFFFF"/>
        <w:adjustRightInd w:val="0"/>
        <w:ind w:firstLine="525" w:firstLineChars="250"/>
        <w:rPr>
          <w:rFonts w:ascii="宋体" w:hAnsi="宋体" w:cs="宋体"/>
          <w:bCs/>
          <w:color w:val="auto"/>
          <w:highlight w:val="none"/>
        </w:rPr>
      </w:pPr>
      <w:r>
        <w:rPr>
          <w:rFonts w:hint="eastAsia" w:ascii="宋体" w:hAnsi="宋体" w:cs="宋体"/>
          <w:bCs/>
          <w:color w:val="auto"/>
          <w:highlight w:val="none"/>
        </w:rPr>
        <w:t>4、拟投入的项目部人员，未经招标人同意，中标后不得更换，否则按合同约定承担违约责任。</w:t>
      </w:r>
    </w:p>
    <w:p>
      <w:pPr>
        <w:ind w:firstLine="551" w:firstLineChars="196"/>
        <w:rPr>
          <w:rFonts w:ascii="仿宋" w:hAnsi="仿宋" w:eastAsia="仿宋"/>
          <w:b/>
          <w:bCs/>
          <w:color w:val="auto"/>
          <w:sz w:val="28"/>
          <w:szCs w:val="28"/>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bookmarkStart w:id="143" w:name="_Toc4489951"/>
      <w:bookmarkStart w:id="144" w:name="_Toc177015504"/>
      <w:bookmarkStart w:id="145" w:name="_Toc4486083"/>
      <w:bookmarkStart w:id="146" w:name="_Toc181984153"/>
      <w:bookmarkStart w:id="147" w:name="_Toc177015373"/>
      <w:bookmarkStart w:id="148" w:name="_Toc174439519"/>
      <w:bookmarkStart w:id="149" w:name="_Toc182301153"/>
      <w:bookmarkStart w:id="150" w:name="_Toc177015447"/>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eastAsia="黑体"/>
          <w:color w:val="auto"/>
          <w:spacing w:val="4"/>
          <w:kern w:val="0"/>
          <w:sz w:val="24"/>
          <w:szCs w:val="24"/>
          <w:highlight w:val="none"/>
        </w:rPr>
        <w:br w:type="page"/>
      </w:r>
      <w:bookmarkStart w:id="151" w:name="_Toc62056041"/>
      <w:bookmarkStart w:id="152" w:name="_Toc29476919"/>
      <w:bookmarkStart w:id="153" w:name="_Toc6313"/>
      <w:bookmarkStart w:id="154" w:name="_Toc24199"/>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八</w:t>
      </w:r>
      <w:r>
        <w:rPr>
          <w:rFonts w:hint="eastAsia" w:ascii="宋体" w:hAnsi="宋体"/>
          <w:color w:val="auto"/>
          <w:spacing w:val="4"/>
          <w:kern w:val="0"/>
          <w:sz w:val="24"/>
          <w:szCs w:val="24"/>
          <w:highlight w:val="none"/>
        </w:rPr>
        <w:t>：</w:t>
      </w:r>
      <w:bookmarkEnd w:id="151"/>
      <w:bookmarkEnd w:id="152"/>
      <w:r>
        <w:rPr>
          <w:rFonts w:hint="eastAsia" w:ascii="宋体" w:hAnsi="宋体"/>
          <w:color w:val="auto"/>
          <w:spacing w:val="4"/>
          <w:kern w:val="0"/>
          <w:sz w:val="24"/>
          <w:szCs w:val="24"/>
          <w:highlight w:val="none"/>
        </w:rPr>
        <w:t>施工组织方案</w:t>
      </w:r>
      <w:bookmarkEnd w:id="153"/>
      <w:bookmarkEnd w:id="154"/>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施工组织方案</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由投标人有针对性的描述，各部分文字直接简炼。</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施工组织方案包括但不限于以下方面内容：</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eastAsia="Times New Roman"/>
          <w:snapToGrid w:val="0"/>
          <w:color w:val="auto"/>
          <w:spacing w:val="4"/>
          <w:sz w:val="24"/>
          <w:szCs w:val="24"/>
          <w:highlight w:val="none"/>
        </w:rPr>
        <w:t>一、施工方案</w:t>
      </w:r>
    </w:p>
    <w:p>
      <w:pPr>
        <w:widowControl/>
        <w:topLinePunct/>
        <w:adjustRightInd w:val="0"/>
        <w:snapToGrid w:val="0"/>
        <w:spacing w:line="400" w:lineRule="exact"/>
        <w:ind w:firstLine="496" w:firstLineChars="200"/>
        <w:jc w:val="left"/>
        <w:rPr>
          <w:rFonts w:hint="eastAsia" w:ascii="宋体" w:hAnsi="宋体" w:eastAsia="宋体" w:cs="宋体"/>
          <w:snapToGrid w:val="0"/>
          <w:color w:val="auto"/>
          <w:spacing w:val="4"/>
          <w:sz w:val="24"/>
          <w:szCs w:val="24"/>
          <w:highlight w:val="none"/>
        </w:rPr>
      </w:pPr>
      <w:r>
        <w:rPr>
          <w:rFonts w:hint="eastAsia" w:eastAsia="Times New Roman"/>
          <w:snapToGrid w:val="0"/>
          <w:color w:val="auto"/>
          <w:spacing w:val="4"/>
          <w:sz w:val="24"/>
          <w:szCs w:val="24"/>
          <w:highlight w:val="none"/>
        </w:rPr>
        <w:t>二、</w:t>
      </w:r>
      <w:r>
        <w:rPr>
          <w:rFonts w:hint="eastAsia" w:ascii="宋体" w:hAnsi="宋体" w:eastAsia="宋体" w:cs="宋体"/>
          <w:snapToGrid w:val="0"/>
          <w:color w:val="auto"/>
          <w:spacing w:val="4"/>
          <w:sz w:val="24"/>
          <w:szCs w:val="24"/>
          <w:highlight w:val="none"/>
        </w:rPr>
        <w:t>调试、验收方案</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三、运行维护及质保期服</w:t>
      </w:r>
      <w:r>
        <w:rPr>
          <w:rFonts w:hint="eastAsia" w:eastAsia="Times New Roman"/>
          <w:snapToGrid w:val="0"/>
          <w:color w:val="auto"/>
          <w:spacing w:val="4"/>
          <w:sz w:val="24"/>
          <w:szCs w:val="24"/>
          <w:highlight w:val="none"/>
        </w:rPr>
        <w:t>务方案</w:t>
      </w:r>
    </w:p>
    <w:p>
      <w:pPr>
        <w:widowControl/>
        <w:topLinePunct/>
        <w:adjustRightInd w:val="0"/>
        <w:snapToGrid w:val="0"/>
        <w:spacing w:line="400" w:lineRule="exact"/>
        <w:ind w:firstLine="496" w:firstLineChars="200"/>
        <w:jc w:val="left"/>
        <w:rPr>
          <w:snapToGrid w:val="0"/>
          <w:color w:val="auto"/>
          <w:spacing w:val="4"/>
          <w:sz w:val="24"/>
          <w:szCs w:val="24"/>
          <w:highlight w:val="none"/>
        </w:rPr>
      </w:pPr>
      <w:r>
        <w:rPr>
          <w:rFonts w:hint="eastAsia"/>
          <w:snapToGrid w:val="0"/>
          <w:color w:val="auto"/>
          <w:spacing w:val="4"/>
          <w:sz w:val="24"/>
          <w:szCs w:val="24"/>
          <w:highlight w:val="none"/>
        </w:rPr>
        <w:t>四、</w:t>
      </w:r>
      <w:r>
        <w:rPr>
          <w:rFonts w:hint="eastAsia" w:ascii="宋体" w:hAnsi="宋体" w:cs="宋体"/>
          <w:snapToGrid w:val="0"/>
          <w:color w:val="auto"/>
          <w:spacing w:val="4"/>
          <w:sz w:val="24"/>
          <w:szCs w:val="24"/>
          <w:highlight w:val="none"/>
        </w:rPr>
        <w:t>投标</w:t>
      </w:r>
      <w:r>
        <w:rPr>
          <w:rFonts w:hint="eastAsia"/>
          <w:snapToGrid w:val="0"/>
          <w:color w:val="auto"/>
          <w:spacing w:val="4"/>
          <w:sz w:val="24"/>
          <w:szCs w:val="24"/>
          <w:highlight w:val="none"/>
        </w:rPr>
        <w:t>人认为还需提供的其它资料</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注：此部分投标文件最后一页必须按下列格式签署盖章。</w:t>
      </w:r>
    </w:p>
    <w:p>
      <w:pPr>
        <w:widowControl/>
        <w:topLinePunct/>
        <w:adjustRightInd w:val="0"/>
        <w:snapToGrid w:val="0"/>
        <w:ind w:firstLine="3596" w:firstLineChars="1450"/>
        <w:jc w:val="left"/>
        <w:rPr>
          <w:rFonts w:eastAsia="Times New Roman"/>
          <w:snapToGrid w:val="0"/>
          <w:color w:val="auto"/>
          <w:spacing w:val="4"/>
          <w:sz w:val="24"/>
          <w:szCs w:val="24"/>
          <w:highlight w:val="none"/>
        </w:rPr>
      </w:pPr>
    </w:p>
    <w:p>
      <w:pPr>
        <w:widowControl/>
        <w:topLinePunct/>
        <w:adjustRightInd w:val="0"/>
        <w:snapToGrid w:val="0"/>
        <w:ind w:firstLine="3596" w:firstLineChars="145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596" w:firstLineChars="1450"/>
        <w:jc w:val="left"/>
        <w:rPr>
          <w:rFonts w:eastAsia="Times New Roman"/>
          <w:b/>
          <w:snapToGrid w:val="0"/>
          <w:color w:val="auto"/>
          <w:spacing w:val="4"/>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eastAsia="Times New Roman"/>
          <w:snapToGrid w:val="0"/>
          <w:color w:val="auto"/>
          <w:spacing w:val="4"/>
          <w:sz w:val="24"/>
          <w:szCs w:val="24"/>
          <w:highlight w:val="none"/>
        </w:rPr>
        <w:br w:type="page"/>
      </w:r>
      <w:bookmarkStart w:id="155" w:name="_Toc337720104"/>
      <w:bookmarkStart w:id="156" w:name="_Toc319444835"/>
      <w:bookmarkStart w:id="157" w:name="_Toc163337634"/>
      <w:bookmarkStart w:id="158" w:name="_Toc239311760"/>
      <w:bookmarkStart w:id="159" w:name="_Toc352240536"/>
      <w:bookmarkStart w:id="160" w:name="_Toc318924509"/>
      <w:bookmarkStart w:id="161" w:name="_Toc352623434"/>
      <w:bookmarkStart w:id="162" w:name="_Toc226209017"/>
      <w:bookmarkStart w:id="163" w:name="_Toc239216045"/>
      <w:bookmarkStart w:id="164" w:name="_Toc319444831"/>
      <w:bookmarkStart w:id="165" w:name="_Toc226209013"/>
      <w:bookmarkStart w:id="166" w:name="_Toc163337630"/>
      <w:bookmarkStart w:id="167" w:name="_Toc239216041"/>
      <w:bookmarkStart w:id="168" w:name="_Toc318924505"/>
      <w:bookmarkStart w:id="169" w:name="_Toc239311756"/>
      <w:r>
        <w:rPr>
          <w:rFonts w:hint="eastAsia" w:ascii="宋体" w:hAnsi="宋体" w:cs="宋体"/>
          <w:b/>
          <w:snapToGrid w:val="0"/>
          <w:color w:val="auto"/>
          <w:spacing w:val="4"/>
          <w:sz w:val="24"/>
          <w:szCs w:val="24"/>
          <w:highlight w:val="none"/>
        </w:rPr>
        <w:t>附表</w:t>
      </w:r>
      <w:r>
        <w:rPr>
          <w:rFonts w:hint="eastAsia" w:eastAsia="Times New Roman"/>
          <w:b/>
          <w:snapToGrid w:val="0"/>
          <w:color w:val="auto"/>
          <w:spacing w:val="4"/>
          <w:sz w:val="24"/>
          <w:szCs w:val="24"/>
          <w:highlight w:val="none"/>
        </w:rPr>
        <w:t>1</w:t>
      </w:r>
      <w:r>
        <w:rPr>
          <w:rFonts w:hint="eastAsia" w:ascii="宋体" w:hAnsi="宋体" w:cs="宋体"/>
          <w:b/>
          <w:snapToGrid w:val="0"/>
          <w:color w:val="auto"/>
          <w:spacing w:val="4"/>
          <w:sz w:val="24"/>
          <w:szCs w:val="24"/>
          <w:highlight w:val="none"/>
        </w:rPr>
        <w:t>：施工进度计划表</w:t>
      </w:r>
      <w:bookmarkEnd w:id="155"/>
      <w:bookmarkEnd w:id="156"/>
      <w:bookmarkEnd w:id="157"/>
      <w:bookmarkEnd w:id="158"/>
      <w:bookmarkEnd w:id="159"/>
      <w:bookmarkEnd w:id="160"/>
      <w:bookmarkEnd w:id="161"/>
      <w:bookmarkEnd w:id="162"/>
      <w:bookmarkEnd w:id="163"/>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施工进度计划表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工程项目</w:t>
            </w:r>
          </w:p>
        </w:tc>
        <w:tc>
          <w:tcPr>
            <w:tcW w:w="87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工程量</w:t>
            </w:r>
          </w:p>
        </w:tc>
        <w:tc>
          <w:tcPr>
            <w:tcW w:w="72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开工时间</w:t>
            </w:r>
          </w:p>
        </w:tc>
        <w:tc>
          <w:tcPr>
            <w:tcW w:w="77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完工时间</w:t>
            </w:r>
          </w:p>
        </w:tc>
        <w:tc>
          <w:tcPr>
            <w:tcW w:w="4860" w:type="dxa"/>
            <w:gridSpan w:val="9"/>
            <w:vAlign w:val="center"/>
          </w:tcPr>
          <w:p>
            <w:pPr>
              <w:jc w:val="center"/>
              <w:rPr>
                <w:rFonts w:ascii="宋体" w:hAnsi="宋体"/>
                <w:color w:val="auto"/>
                <w:szCs w:val="21"/>
                <w:highlight w:val="none"/>
              </w:rPr>
            </w:pPr>
            <w:r>
              <w:rPr>
                <w:rFonts w:hint="eastAsia" w:ascii="宋体" w:hAnsi="宋体"/>
                <w:color w:val="auto"/>
                <w:szCs w:val="21"/>
                <w:highlight w:val="none"/>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vAlign w:val="center"/>
          </w:tcPr>
          <w:p>
            <w:pPr>
              <w:jc w:val="center"/>
              <w:rPr>
                <w:rFonts w:ascii="宋体" w:hAnsi="宋体"/>
                <w:color w:val="auto"/>
                <w:szCs w:val="21"/>
                <w:highlight w:val="none"/>
              </w:rPr>
            </w:pPr>
          </w:p>
        </w:tc>
        <w:tc>
          <w:tcPr>
            <w:tcW w:w="1620" w:type="dxa"/>
            <w:vMerge w:val="continue"/>
            <w:vAlign w:val="center"/>
          </w:tcPr>
          <w:p>
            <w:pPr>
              <w:jc w:val="center"/>
              <w:rPr>
                <w:rFonts w:ascii="宋体" w:hAnsi="宋体"/>
                <w:color w:val="auto"/>
                <w:szCs w:val="21"/>
                <w:highlight w:val="none"/>
              </w:rPr>
            </w:pPr>
          </w:p>
        </w:tc>
        <w:tc>
          <w:tcPr>
            <w:tcW w:w="876" w:type="dxa"/>
            <w:vMerge w:val="continue"/>
            <w:vAlign w:val="center"/>
          </w:tcPr>
          <w:p>
            <w:pPr>
              <w:jc w:val="center"/>
              <w:rPr>
                <w:rFonts w:ascii="宋体" w:hAnsi="宋体"/>
                <w:color w:val="auto"/>
                <w:szCs w:val="21"/>
                <w:highlight w:val="none"/>
              </w:rPr>
            </w:pPr>
          </w:p>
        </w:tc>
        <w:tc>
          <w:tcPr>
            <w:tcW w:w="720" w:type="dxa"/>
            <w:vMerge w:val="continue"/>
            <w:vAlign w:val="center"/>
          </w:tcPr>
          <w:p>
            <w:pPr>
              <w:jc w:val="center"/>
              <w:rPr>
                <w:rFonts w:ascii="宋体" w:hAnsi="宋体"/>
                <w:color w:val="auto"/>
                <w:szCs w:val="21"/>
                <w:highlight w:val="none"/>
              </w:rPr>
            </w:pPr>
          </w:p>
        </w:tc>
        <w:tc>
          <w:tcPr>
            <w:tcW w:w="776" w:type="dxa"/>
            <w:vMerge w:val="continue"/>
            <w:vAlign w:val="center"/>
          </w:tcPr>
          <w:p>
            <w:pPr>
              <w:jc w:val="center"/>
              <w:rPr>
                <w:rFonts w:ascii="宋体" w:hAnsi="宋体"/>
                <w:color w:val="auto"/>
                <w:szCs w:val="21"/>
                <w:highlight w:val="none"/>
              </w:rPr>
            </w:pPr>
          </w:p>
        </w:tc>
        <w:tc>
          <w:tcPr>
            <w:tcW w:w="4860" w:type="dxa"/>
            <w:gridSpan w:val="9"/>
            <w:vAlign w:val="center"/>
          </w:tcPr>
          <w:p>
            <w:pPr>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vAlign w:val="center"/>
          </w:tcPr>
          <w:p>
            <w:pPr>
              <w:jc w:val="center"/>
              <w:rPr>
                <w:rFonts w:ascii="宋体" w:hAnsi="宋体"/>
                <w:color w:val="auto"/>
                <w:szCs w:val="21"/>
                <w:highlight w:val="none"/>
              </w:rPr>
            </w:pPr>
          </w:p>
        </w:tc>
        <w:tc>
          <w:tcPr>
            <w:tcW w:w="1620" w:type="dxa"/>
            <w:vMerge w:val="continue"/>
            <w:vAlign w:val="center"/>
          </w:tcPr>
          <w:p>
            <w:pPr>
              <w:jc w:val="center"/>
              <w:rPr>
                <w:rFonts w:ascii="宋体" w:hAnsi="宋体"/>
                <w:color w:val="auto"/>
                <w:szCs w:val="21"/>
                <w:highlight w:val="none"/>
              </w:rPr>
            </w:pPr>
          </w:p>
        </w:tc>
        <w:tc>
          <w:tcPr>
            <w:tcW w:w="876" w:type="dxa"/>
            <w:vMerge w:val="continue"/>
            <w:vAlign w:val="center"/>
          </w:tcPr>
          <w:p>
            <w:pPr>
              <w:jc w:val="center"/>
              <w:rPr>
                <w:rFonts w:ascii="宋体" w:hAnsi="宋体"/>
                <w:color w:val="auto"/>
                <w:szCs w:val="21"/>
                <w:highlight w:val="none"/>
              </w:rPr>
            </w:pPr>
          </w:p>
        </w:tc>
        <w:tc>
          <w:tcPr>
            <w:tcW w:w="720" w:type="dxa"/>
            <w:vMerge w:val="continue"/>
            <w:vAlign w:val="center"/>
          </w:tcPr>
          <w:p>
            <w:pPr>
              <w:jc w:val="center"/>
              <w:rPr>
                <w:rFonts w:ascii="宋体" w:hAnsi="宋体"/>
                <w:color w:val="auto"/>
                <w:szCs w:val="21"/>
                <w:highlight w:val="none"/>
              </w:rPr>
            </w:pPr>
          </w:p>
        </w:tc>
        <w:tc>
          <w:tcPr>
            <w:tcW w:w="776" w:type="dxa"/>
            <w:vMerge w:val="continue"/>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w:t>
            </w:r>
          </w:p>
        </w:tc>
        <w:tc>
          <w:tcPr>
            <w:tcW w:w="1620" w:type="dxa"/>
            <w:vAlign w:val="center"/>
          </w:tcPr>
          <w:p>
            <w:pPr>
              <w:jc w:val="left"/>
              <w:rPr>
                <w:rFonts w:ascii="宋体" w:hAnsi="宋体"/>
                <w:color w:val="auto"/>
                <w:sz w:val="18"/>
                <w:szCs w:val="18"/>
                <w:highlight w:val="none"/>
              </w:rPr>
            </w:pPr>
            <w:r>
              <w:rPr>
                <w:rFonts w:hint="eastAsia" w:ascii="宋体" w:hAnsi="宋体"/>
                <w:color w:val="auto"/>
                <w:sz w:val="18"/>
                <w:szCs w:val="18"/>
                <w:highlight w:val="none"/>
              </w:rPr>
              <w:t>施工准备</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2</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3</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4</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5</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6</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7</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8</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9</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10</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11</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12</w:t>
            </w:r>
          </w:p>
        </w:tc>
        <w:tc>
          <w:tcPr>
            <w:tcW w:w="1620" w:type="dxa"/>
            <w:vAlign w:val="center"/>
          </w:tcPr>
          <w:p>
            <w:pPr>
              <w:jc w:val="left"/>
              <w:rPr>
                <w:rFonts w:ascii="宋体" w:hAnsi="宋体"/>
                <w:color w:val="auto"/>
                <w:sz w:val="15"/>
                <w:szCs w:val="24"/>
                <w:highlight w:val="none"/>
              </w:rPr>
            </w:pPr>
            <w:r>
              <w:rPr>
                <w:rFonts w:ascii="宋体" w:hAnsi="宋体"/>
                <w:color w:val="auto"/>
                <w:szCs w:val="24"/>
                <w:highlight w:val="none"/>
              </w:rPr>
              <w:t>……</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bl>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jc w:val="left"/>
        <w:rPr>
          <w:b/>
          <w:snapToGrid w:val="0"/>
          <w:color w:val="auto"/>
          <w:spacing w:val="4"/>
          <w:sz w:val="24"/>
          <w:szCs w:val="24"/>
          <w:highlight w:val="none"/>
        </w:rPr>
      </w:pPr>
      <w:r>
        <w:rPr>
          <w:rFonts w:ascii="黑体" w:hAnsi="宋体" w:eastAsia="黑体"/>
          <w:b/>
          <w:bCs/>
          <w:snapToGrid w:val="0"/>
          <w:color w:val="auto"/>
          <w:spacing w:val="4"/>
          <w:sz w:val="24"/>
          <w:szCs w:val="24"/>
          <w:highlight w:val="none"/>
        </w:rPr>
        <w:br w:type="page"/>
      </w:r>
      <w:bookmarkStart w:id="170" w:name="_Toc478044846"/>
      <w:bookmarkStart w:id="171" w:name="_Toc28233"/>
      <w:bookmarkStart w:id="172" w:name="_Toc19204"/>
      <w:bookmarkStart w:id="173" w:name="_Toc9094"/>
      <w:bookmarkStart w:id="174" w:name="_Toc7013"/>
      <w:bookmarkStart w:id="175" w:name="_Toc6395"/>
      <w:bookmarkStart w:id="176" w:name="_Toc11050"/>
      <w:bookmarkStart w:id="177" w:name="_Toc15133"/>
      <w:bookmarkStart w:id="178" w:name="_Toc16347"/>
      <w:r>
        <w:rPr>
          <w:rFonts w:hint="eastAsia" w:ascii="宋体" w:hAnsi="宋体" w:cs="宋体"/>
          <w:b/>
          <w:snapToGrid w:val="0"/>
          <w:color w:val="auto"/>
          <w:spacing w:val="4"/>
          <w:sz w:val="24"/>
          <w:szCs w:val="24"/>
          <w:highlight w:val="none"/>
        </w:rPr>
        <w:t>附表2：投入劳动力计划表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投入劳动力计划表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440"/>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序号</w:t>
            </w:r>
          </w:p>
        </w:tc>
        <w:tc>
          <w:tcPr>
            <w:tcW w:w="721"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工种</w:t>
            </w:r>
          </w:p>
        </w:tc>
        <w:tc>
          <w:tcPr>
            <w:tcW w:w="1440"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投入总数量</w:t>
            </w:r>
          </w:p>
        </w:tc>
        <w:tc>
          <w:tcPr>
            <w:tcW w:w="6825"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pPr>
              <w:jc w:val="left"/>
              <w:rPr>
                <w:rFonts w:ascii="宋体" w:hAnsi="宋体"/>
                <w:color w:val="auto"/>
                <w:szCs w:val="21"/>
                <w:highlight w:val="none"/>
              </w:rPr>
            </w:pPr>
          </w:p>
        </w:tc>
        <w:tc>
          <w:tcPr>
            <w:tcW w:w="721" w:type="dxa"/>
            <w:vMerge w:val="continue"/>
            <w:vAlign w:val="center"/>
          </w:tcPr>
          <w:p>
            <w:pPr>
              <w:jc w:val="left"/>
              <w:rPr>
                <w:rFonts w:ascii="宋体" w:hAnsi="宋体"/>
                <w:color w:val="auto"/>
                <w:szCs w:val="21"/>
                <w:highlight w:val="none"/>
              </w:rPr>
            </w:pPr>
          </w:p>
        </w:tc>
        <w:tc>
          <w:tcPr>
            <w:tcW w:w="1440" w:type="dxa"/>
            <w:vMerge w:val="continue"/>
            <w:vAlign w:val="center"/>
          </w:tcPr>
          <w:p>
            <w:pPr>
              <w:jc w:val="left"/>
              <w:rPr>
                <w:rFonts w:ascii="宋体" w:hAnsi="宋体"/>
                <w:color w:val="auto"/>
                <w:szCs w:val="21"/>
                <w:highlight w:val="none"/>
              </w:rPr>
            </w:pPr>
          </w:p>
        </w:tc>
        <w:tc>
          <w:tcPr>
            <w:tcW w:w="6825" w:type="dxa"/>
            <w:gridSpan w:val="6"/>
            <w:tcBorders>
              <w:bottom w:val="nil"/>
            </w:tcBorders>
            <w:vAlign w:val="center"/>
          </w:tcPr>
          <w:p>
            <w:pPr>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pPr>
              <w:jc w:val="left"/>
              <w:rPr>
                <w:rFonts w:ascii="宋体" w:hAnsi="宋体"/>
                <w:color w:val="auto"/>
                <w:szCs w:val="21"/>
                <w:highlight w:val="none"/>
              </w:rPr>
            </w:pPr>
          </w:p>
        </w:tc>
        <w:tc>
          <w:tcPr>
            <w:tcW w:w="721" w:type="dxa"/>
            <w:vMerge w:val="continue"/>
            <w:vAlign w:val="center"/>
          </w:tcPr>
          <w:p>
            <w:pPr>
              <w:jc w:val="left"/>
              <w:rPr>
                <w:rFonts w:ascii="宋体" w:hAnsi="宋体"/>
                <w:color w:val="auto"/>
                <w:szCs w:val="21"/>
                <w:highlight w:val="none"/>
              </w:rPr>
            </w:pPr>
          </w:p>
        </w:tc>
        <w:tc>
          <w:tcPr>
            <w:tcW w:w="1440" w:type="dxa"/>
            <w:vMerge w:val="continue"/>
            <w:vAlign w:val="center"/>
          </w:tcPr>
          <w:p>
            <w:pPr>
              <w:jc w:val="left"/>
              <w:rPr>
                <w:rFonts w:ascii="宋体" w:hAnsi="宋体"/>
                <w:color w:val="auto"/>
                <w:szCs w:val="21"/>
                <w:highlight w:val="none"/>
              </w:rPr>
            </w:pPr>
          </w:p>
        </w:tc>
        <w:tc>
          <w:tcPr>
            <w:tcW w:w="1137" w:type="dxa"/>
            <w:tcBorders>
              <w:top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8"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7"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8"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7"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8"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1</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2</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3</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4</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5</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6</w:t>
            </w:r>
          </w:p>
        </w:tc>
        <w:tc>
          <w:tcPr>
            <w:tcW w:w="721" w:type="dxa"/>
            <w:vAlign w:val="center"/>
          </w:tcPr>
          <w:p>
            <w:pPr>
              <w:jc w:val="left"/>
              <w:rPr>
                <w:rFonts w:ascii="宋体" w:hAnsi="宋体"/>
                <w:color w:val="auto"/>
                <w:szCs w:val="21"/>
                <w:highlight w:val="none"/>
              </w:rPr>
            </w:pPr>
            <w:r>
              <w:rPr>
                <w:rFonts w:hint="eastAsia" w:ascii="宋体" w:hAnsi="宋体"/>
                <w:color w:val="auto"/>
                <w:szCs w:val="21"/>
                <w:highlight w:val="none"/>
              </w:rPr>
              <w:t>…</w:t>
            </w: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bl>
    <w:p>
      <w:pPr>
        <w:jc w:val="left"/>
        <w:rPr>
          <w:rFonts w:ascii="宋体" w:hAnsi="宋体"/>
          <w:color w:val="auto"/>
          <w:szCs w:val="21"/>
          <w:highlight w:val="none"/>
        </w:rPr>
      </w:pPr>
      <w:r>
        <w:rPr>
          <w:rFonts w:hint="eastAsia" w:ascii="宋体" w:hAnsi="宋体"/>
          <w:color w:val="auto"/>
          <w:szCs w:val="21"/>
          <w:highlight w:val="none"/>
        </w:rPr>
        <w:t>注：本表后应附投入劳动力计划柱状图。</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r>
        <w:rPr>
          <w:rFonts w:eastAsia="Times New Roman"/>
          <w:snapToGrid w:val="0"/>
          <w:color w:val="auto"/>
          <w:spacing w:val="4"/>
          <w:sz w:val="24"/>
          <w:szCs w:val="24"/>
          <w:highlight w:val="none"/>
        </w:rPr>
        <w:t xml:space="preserve"> </w:t>
      </w:r>
    </w:p>
    <w:p>
      <w:pPr>
        <w:topLinePunct/>
        <w:adjustRightInd w:val="0"/>
        <w:snapToGrid w:val="0"/>
        <w:spacing w:after="156" w:afterLines="50"/>
        <w:jc w:val="left"/>
        <w:outlineLvl w:val="2"/>
        <w:rPr>
          <w:rFonts w:ascii="黑体" w:hAnsi="宋体" w:eastAsia="黑体"/>
          <w:snapToGrid w:val="0"/>
          <w:color w:val="auto"/>
          <w:spacing w:val="4"/>
          <w:sz w:val="24"/>
          <w:szCs w:val="24"/>
          <w:highlight w:val="none"/>
        </w:rPr>
        <w:sectPr>
          <w:pgSz w:w="11907" w:h="16840"/>
          <w:pgMar w:top="1418" w:right="1418" w:bottom="1418" w:left="1418" w:header="851" w:footer="851" w:gutter="0"/>
          <w:cols w:space="720" w:num="1"/>
          <w:docGrid w:type="lines" w:linePitch="312" w:charSpace="0"/>
        </w:sectPr>
      </w:pPr>
    </w:p>
    <w:p>
      <w:pPr>
        <w:widowControl/>
        <w:topLinePunct/>
        <w:adjustRightInd w:val="0"/>
        <w:snapToGrid w:val="0"/>
        <w:spacing w:line="360" w:lineRule="auto"/>
        <w:jc w:val="left"/>
        <w:rPr>
          <w:b/>
          <w:snapToGrid w:val="0"/>
          <w:color w:val="auto"/>
          <w:spacing w:val="4"/>
          <w:sz w:val="24"/>
          <w:szCs w:val="24"/>
          <w:highlight w:val="none"/>
        </w:rPr>
      </w:pPr>
      <w:bookmarkStart w:id="179" w:name="_Toc478044847"/>
      <w:bookmarkStart w:id="180" w:name="_Toc20133"/>
      <w:bookmarkStart w:id="181" w:name="_Toc163337631"/>
      <w:bookmarkStart w:id="182" w:name="_Toc16890"/>
      <w:bookmarkStart w:id="183" w:name="_Toc239216042"/>
      <w:bookmarkStart w:id="184" w:name="_Toc640"/>
      <w:bookmarkStart w:id="185" w:name="_Toc226209014"/>
      <w:bookmarkStart w:id="186" w:name="_Toc318924506"/>
      <w:bookmarkStart w:id="187" w:name="_Toc319444832"/>
      <w:bookmarkStart w:id="188" w:name="_Toc369536780"/>
      <w:bookmarkStart w:id="189" w:name="_Toc352240533"/>
      <w:bookmarkStart w:id="190" w:name="_Toc771"/>
      <w:bookmarkStart w:id="191" w:name="_Toc10968"/>
      <w:bookmarkStart w:id="192" w:name="_Toc3588"/>
      <w:bookmarkStart w:id="193" w:name="_Toc337720101"/>
      <w:bookmarkStart w:id="194" w:name="_Toc10552"/>
      <w:bookmarkStart w:id="195" w:name="_Toc239311757"/>
      <w:bookmarkStart w:id="196" w:name="_Toc20014"/>
      <w:bookmarkStart w:id="197" w:name="_Toc352623431"/>
      <w:bookmarkStart w:id="198" w:name="_Toc358370588"/>
      <w:r>
        <w:rPr>
          <w:rFonts w:hint="eastAsia" w:ascii="黑体" w:hAnsi="宋体" w:eastAsia="黑体"/>
          <w:b/>
          <w:bCs/>
          <w:snapToGrid w:val="0"/>
          <w:color w:val="auto"/>
          <w:spacing w:val="4"/>
          <w:sz w:val="24"/>
          <w:szCs w:val="24"/>
          <w:highlight w:val="none"/>
        </w:rPr>
        <w:t>附表3：主要材料、设备采购计划表</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主要材料、设备采购计划表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713"/>
        <w:gridCol w:w="749"/>
        <w:gridCol w:w="802"/>
        <w:gridCol w:w="966"/>
        <w:gridCol w:w="1687"/>
        <w:gridCol w:w="1417"/>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序号</w:t>
            </w:r>
          </w:p>
        </w:tc>
        <w:tc>
          <w:tcPr>
            <w:tcW w:w="1713"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材料设备名称</w:t>
            </w:r>
          </w:p>
        </w:tc>
        <w:tc>
          <w:tcPr>
            <w:tcW w:w="749"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规格型号</w:t>
            </w:r>
          </w:p>
        </w:tc>
        <w:tc>
          <w:tcPr>
            <w:tcW w:w="802"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计量单位</w:t>
            </w:r>
          </w:p>
        </w:tc>
        <w:tc>
          <w:tcPr>
            <w:tcW w:w="966"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暂定数量</w:t>
            </w:r>
          </w:p>
        </w:tc>
        <w:tc>
          <w:tcPr>
            <w:tcW w:w="1687"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采购合同签订时间</w:t>
            </w:r>
          </w:p>
        </w:tc>
        <w:tc>
          <w:tcPr>
            <w:tcW w:w="1417"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到货时间</w:t>
            </w:r>
          </w:p>
        </w:tc>
        <w:tc>
          <w:tcPr>
            <w:tcW w:w="1430"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bl>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widowControl/>
        <w:topLinePunct/>
        <w:adjustRightInd w:val="0"/>
        <w:snapToGrid w:val="0"/>
        <w:spacing w:line="360" w:lineRule="auto"/>
        <w:ind w:firstLine="3915" w:firstLineChars="1579"/>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915" w:firstLineChars="1579"/>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968" w:firstLineChars="16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sectPr>
          <w:footerReference r:id="rId15" w:type="default"/>
          <w:pgSz w:w="11907" w:h="16840"/>
          <w:pgMar w:top="1418" w:right="1418" w:bottom="1418" w:left="1418" w:header="851" w:footer="851" w:gutter="0"/>
          <w:cols w:space="720" w:num="1"/>
          <w:docGrid w:type="lines" w:linePitch="312" w:charSpace="0"/>
        </w:sectPr>
      </w:pPr>
    </w:p>
    <w:p>
      <w:pPr>
        <w:widowControl/>
        <w:topLinePunct/>
        <w:adjustRightInd w:val="0"/>
        <w:snapToGrid w:val="0"/>
        <w:spacing w:line="360" w:lineRule="auto"/>
        <w:jc w:val="left"/>
        <w:rPr>
          <w:b/>
          <w:snapToGrid w:val="0"/>
          <w:color w:val="auto"/>
          <w:spacing w:val="4"/>
          <w:sz w:val="24"/>
          <w:szCs w:val="24"/>
          <w:highlight w:val="none"/>
        </w:rPr>
      </w:pPr>
      <w:bookmarkStart w:id="199" w:name="_Toc239216043"/>
      <w:bookmarkStart w:id="200" w:name="_Toc352240534"/>
      <w:bookmarkStart w:id="201" w:name="_Toc395261110"/>
      <w:bookmarkStart w:id="202" w:name="_Toc337720102"/>
      <w:bookmarkStart w:id="203" w:name="_Toc369536781"/>
      <w:bookmarkStart w:id="204" w:name="_Toc318924507"/>
      <w:bookmarkStart w:id="205" w:name="_Toc239311758"/>
      <w:bookmarkStart w:id="206" w:name="_Toc352623432"/>
      <w:bookmarkStart w:id="207" w:name="_Toc358370589"/>
      <w:bookmarkStart w:id="208" w:name="_Toc163337632"/>
      <w:bookmarkStart w:id="209" w:name="_Toc226209015"/>
      <w:bookmarkStart w:id="210" w:name="_Toc319444833"/>
      <w:r>
        <w:rPr>
          <w:rFonts w:hint="eastAsia" w:ascii="黑体" w:hAnsi="宋体" w:eastAsia="黑体"/>
          <w:b/>
          <w:bCs/>
          <w:snapToGrid w:val="0"/>
          <w:color w:val="auto"/>
          <w:spacing w:val="4"/>
          <w:sz w:val="24"/>
          <w:szCs w:val="24"/>
          <w:highlight w:val="none"/>
        </w:rPr>
        <w:t>附表4：投入主要施工机械设备表</w:t>
      </w:r>
    </w:p>
    <w:bookmarkEnd w:id="199"/>
    <w:bookmarkEnd w:id="200"/>
    <w:bookmarkEnd w:id="201"/>
    <w:bookmarkEnd w:id="202"/>
    <w:bookmarkEnd w:id="203"/>
    <w:bookmarkEnd w:id="204"/>
    <w:bookmarkEnd w:id="205"/>
    <w:bookmarkEnd w:id="206"/>
    <w:bookmarkEnd w:id="207"/>
    <w:bookmarkEnd w:id="208"/>
    <w:bookmarkEnd w:id="209"/>
    <w:bookmarkEnd w:id="210"/>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投入主要施工机械设备表</w:t>
      </w:r>
    </w:p>
    <w:tbl>
      <w:tblPr>
        <w:tblStyle w:val="36"/>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2091"/>
        <w:gridCol w:w="2100"/>
        <w:gridCol w:w="900"/>
        <w:gridCol w:w="900"/>
        <w:gridCol w:w="1080"/>
        <w:gridCol w:w="816"/>
        <w:gridCol w:w="134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523" w:type="dxa"/>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名称及型号</w:t>
            </w:r>
          </w:p>
        </w:tc>
        <w:tc>
          <w:tcPr>
            <w:tcW w:w="7140"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523" w:type="dxa"/>
            <w:gridSpan w:val="2"/>
            <w:vMerge w:val="continue"/>
            <w:vAlign w:val="center"/>
          </w:tcPr>
          <w:p>
            <w:pPr>
              <w:jc w:val="center"/>
              <w:rPr>
                <w:rFonts w:ascii="宋体" w:hAnsi="宋体"/>
                <w:color w:val="auto"/>
                <w:szCs w:val="21"/>
                <w:highlight w:val="none"/>
              </w:rPr>
            </w:pPr>
          </w:p>
        </w:tc>
        <w:tc>
          <w:tcPr>
            <w:tcW w:w="2100" w:type="dxa"/>
            <w:vAlign w:val="center"/>
          </w:tcPr>
          <w:p>
            <w:pPr>
              <w:jc w:val="center"/>
              <w:rPr>
                <w:rFonts w:ascii="宋体" w:hAnsi="宋体"/>
                <w:color w:val="auto"/>
                <w:szCs w:val="21"/>
                <w:highlight w:val="none"/>
              </w:rPr>
            </w:pPr>
            <w:r>
              <w:rPr>
                <w:rFonts w:hint="eastAsia" w:ascii="宋体" w:hAnsi="宋体"/>
                <w:color w:val="auto"/>
                <w:szCs w:val="21"/>
                <w:highlight w:val="none"/>
              </w:rPr>
              <w:t>机械最少投入数量</w:t>
            </w:r>
          </w:p>
        </w:tc>
        <w:tc>
          <w:tcPr>
            <w:tcW w:w="5040"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5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p>
        </w:tc>
        <w:tc>
          <w:tcPr>
            <w:tcW w:w="2100" w:type="dxa"/>
            <w:vAlign w:val="center"/>
          </w:tcPr>
          <w:p>
            <w:pPr>
              <w:jc w:val="center"/>
              <w:rPr>
                <w:rFonts w:ascii="宋体" w:hAnsi="宋体"/>
                <w:color w:val="auto"/>
                <w:szCs w:val="21"/>
                <w:highlight w:val="none"/>
              </w:rPr>
            </w:pPr>
            <w:r>
              <w:rPr>
                <w:rFonts w:hint="eastAsia" w:ascii="宋体" w:hAnsi="宋体"/>
                <w:color w:val="auto"/>
                <w:szCs w:val="21"/>
                <w:highlight w:val="none"/>
              </w:rPr>
              <w:t>数量（台套）</w:t>
            </w:r>
          </w:p>
        </w:tc>
        <w:tc>
          <w:tcPr>
            <w:tcW w:w="900" w:type="dxa"/>
            <w:vAlign w:val="center"/>
          </w:tcPr>
          <w:p>
            <w:pPr>
              <w:jc w:val="center"/>
              <w:rPr>
                <w:rFonts w:ascii="宋体" w:hAnsi="宋体"/>
                <w:color w:val="auto"/>
                <w:szCs w:val="21"/>
                <w:highlight w:val="none"/>
              </w:rPr>
            </w:pPr>
            <w:r>
              <w:rPr>
                <w:rFonts w:hint="eastAsia" w:ascii="宋体" w:hAnsi="宋体"/>
                <w:color w:val="auto"/>
                <w:szCs w:val="21"/>
                <w:highlight w:val="none"/>
              </w:rPr>
              <w:t>小计</w:t>
            </w:r>
          </w:p>
        </w:tc>
        <w:tc>
          <w:tcPr>
            <w:tcW w:w="900" w:type="dxa"/>
            <w:vAlign w:val="center"/>
          </w:tcPr>
          <w:p>
            <w:pPr>
              <w:jc w:val="center"/>
              <w:rPr>
                <w:rFonts w:ascii="宋体" w:hAnsi="宋体"/>
                <w:color w:val="auto"/>
                <w:szCs w:val="21"/>
                <w:highlight w:val="none"/>
              </w:rPr>
            </w:pPr>
            <w:r>
              <w:rPr>
                <w:rFonts w:hint="eastAsia" w:ascii="宋体" w:hAnsi="宋体"/>
                <w:color w:val="auto"/>
                <w:szCs w:val="21"/>
                <w:highlight w:val="none"/>
              </w:rPr>
              <w:t>新购</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自有</w:t>
            </w:r>
          </w:p>
        </w:tc>
        <w:tc>
          <w:tcPr>
            <w:tcW w:w="816" w:type="dxa"/>
            <w:vAlign w:val="center"/>
          </w:tcPr>
          <w:p>
            <w:pPr>
              <w:jc w:val="center"/>
              <w:rPr>
                <w:rFonts w:ascii="宋体" w:hAnsi="宋体"/>
                <w:color w:val="auto"/>
                <w:szCs w:val="21"/>
                <w:highlight w:val="none"/>
              </w:rPr>
            </w:pPr>
            <w:r>
              <w:rPr>
                <w:rFonts w:hint="eastAsia" w:ascii="宋体" w:hAnsi="宋体"/>
                <w:color w:val="auto"/>
                <w:szCs w:val="21"/>
                <w:highlight w:val="none"/>
              </w:rPr>
              <w:t>租赁</w:t>
            </w:r>
          </w:p>
        </w:tc>
        <w:tc>
          <w:tcPr>
            <w:tcW w:w="1344" w:type="dxa"/>
            <w:vAlign w:val="center"/>
          </w:tcPr>
          <w:p>
            <w:pPr>
              <w:jc w:val="center"/>
              <w:rPr>
                <w:rFonts w:ascii="宋体" w:hAnsi="宋体"/>
                <w:color w:val="auto"/>
                <w:szCs w:val="21"/>
                <w:highlight w:val="none"/>
              </w:rPr>
            </w:pPr>
            <w:r>
              <w:rPr>
                <w:rFonts w:hint="eastAsia" w:ascii="宋体" w:hAnsi="宋体"/>
                <w:color w:val="auto"/>
                <w:szCs w:val="21"/>
                <w:highlight w:val="none"/>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施工机械设备</w:t>
            </w: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其他设备</w:t>
            </w:r>
          </w:p>
        </w:tc>
        <w:tc>
          <w:tcPr>
            <w:tcW w:w="2091" w:type="dxa"/>
            <w:vAlign w:val="center"/>
          </w:tcPr>
          <w:p>
            <w:pPr>
              <w:jc w:val="left"/>
              <w:rPr>
                <w:rFonts w:ascii="宋体" w:hAnsi="宋体"/>
                <w:color w:val="auto"/>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szCs w:val="21"/>
                <w:highlight w:val="none"/>
              </w:rPr>
            </w:pPr>
            <w:r>
              <w:rPr>
                <w:rFonts w:ascii="宋体" w:hAnsi="宋体"/>
                <w:color w:val="auto"/>
                <w:szCs w:val="21"/>
                <w:highlight w:val="none"/>
              </w:rPr>
              <w:t>…</w:t>
            </w:r>
          </w:p>
        </w:tc>
        <w:tc>
          <w:tcPr>
            <w:tcW w:w="21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bl>
    <w:p>
      <w:pPr>
        <w:widowControl/>
        <w:topLinePunct/>
        <w:adjustRightInd w:val="0"/>
        <w:snapToGrid w:val="0"/>
        <w:ind w:firstLine="436" w:firstLineChars="200"/>
        <w:jc w:val="left"/>
        <w:rPr>
          <w:rFonts w:eastAsia="Times New Roman"/>
          <w:snapToGrid w:val="0"/>
          <w:color w:val="auto"/>
          <w:spacing w:val="4"/>
          <w:szCs w:val="21"/>
          <w:highlight w:val="none"/>
        </w:rPr>
      </w:pPr>
      <w:r>
        <w:rPr>
          <w:rFonts w:hint="eastAsia" w:ascii="宋体" w:hAnsi="宋体" w:cs="宋体"/>
          <w:snapToGrid w:val="0"/>
          <w:color w:val="auto"/>
          <w:spacing w:val="4"/>
          <w:szCs w:val="21"/>
          <w:highlight w:val="none"/>
        </w:rPr>
        <w:t>注：</w:t>
      </w:r>
      <w:r>
        <w:rPr>
          <w:rFonts w:hint="eastAsia" w:eastAsia="Times New Roman"/>
          <w:snapToGrid w:val="0"/>
          <w:color w:val="auto"/>
          <w:spacing w:val="4"/>
          <w:szCs w:val="21"/>
          <w:highlight w:val="none"/>
        </w:rPr>
        <w:t>1</w:t>
      </w:r>
      <w:r>
        <w:rPr>
          <w:rFonts w:hint="eastAsia" w:ascii="宋体" w:hAnsi="宋体" w:cs="宋体"/>
          <w:snapToGrid w:val="0"/>
          <w:color w:val="auto"/>
          <w:spacing w:val="4"/>
          <w:szCs w:val="21"/>
          <w:highlight w:val="none"/>
        </w:rPr>
        <w:t>、设备名称及要求数量由投标人视本工程具体情况结合招标人对本工程的具体要求自行配备；</w:t>
      </w:r>
    </w:p>
    <w:p>
      <w:pPr>
        <w:ind w:firstLine="420" w:firstLineChars="200"/>
        <w:jc w:val="left"/>
        <w:rPr>
          <w:rFonts w:ascii="宋体" w:hAnsi="宋体"/>
          <w:color w:val="auto"/>
          <w:szCs w:val="21"/>
          <w:highlight w:val="none"/>
        </w:rPr>
      </w:pPr>
      <w:r>
        <w:rPr>
          <w:rFonts w:hint="eastAsia" w:ascii="宋体" w:hAnsi="宋体"/>
          <w:color w:val="auto"/>
          <w:szCs w:val="21"/>
          <w:highlight w:val="none"/>
        </w:rPr>
        <w:t>2、投入的设备如为自有，须附购货发票、报关单（如为进口）；如为租用，须附租赁合同及上述证明资料，并准备原件待查。</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596" w:firstLineChars="1450"/>
        <w:jc w:val="left"/>
        <w:rPr>
          <w:rFonts w:ascii="宋体"/>
          <w:color w:val="auto"/>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bookmarkEnd w:id="143"/>
      <w:bookmarkEnd w:id="144"/>
      <w:bookmarkEnd w:id="145"/>
      <w:bookmarkEnd w:id="146"/>
      <w:bookmarkEnd w:id="147"/>
      <w:bookmarkEnd w:id="148"/>
      <w:bookmarkEnd w:id="149"/>
      <w:bookmarkEnd w:id="150"/>
      <w:r>
        <w:rPr>
          <w:color w:val="auto"/>
          <w:szCs w:val="21"/>
          <w:highlight w:val="none"/>
        </w:rPr>
        <w:br w:type="page"/>
      </w:r>
      <w:bookmarkStart w:id="211" w:name="_Toc62056045"/>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九</w:t>
      </w:r>
      <w:r>
        <w:rPr>
          <w:rFonts w:hint="eastAsia" w:ascii="宋体" w:hAnsi="宋体"/>
          <w:color w:val="auto"/>
          <w:spacing w:val="4"/>
          <w:kern w:val="0"/>
          <w:sz w:val="24"/>
          <w:szCs w:val="24"/>
          <w:highlight w:val="none"/>
        </w:rPr>
        <w:t>：参与编制技术标投标文件人员名单</w:t>
      </w:r>
      <w:bookmarkEnd w:id="211"/>
    </w:p>
    <w:p>
      <w:pPr>
        <w:autoSpaceDE w:val="0"/>
        <w:autoSpaceDN w:val="0"/>
        <w:adjustRightInd w:val="0"/>
        <w:rPr>
          <w:color w:val="auto"/>
          <w:szCs w:val="21"/>
          <w:highlight w:val="none"/>
        </w:rPr>
      </w:pPr>
    </w:p>
    <w:p>
      <w:pPr>
        <w:tabs>
          <w:tab w:val="left" w:pos="720"/>
        </w:tabs>
        <w:snapToGrid w:val="0"/>
        <w:spacing w:line="360" w:lineRule="auto"/>
        <w:jc w:val="center"/>
        <w:rPr>
          <w:b/>
          <w:color w:val="auto"/>
          <w:szCs w:val="21"/>
          <w:highlight w:val="none"/>
        </w:rPr>
      </w:pPr>
      <w:r>
        <w:rPr>
          <w:rFonts w:hint="eastAsia"/>
          <w:b/>
          <w:color w:val="auto"/>
          <w:szCs w:val="21"/>
          <w:highlight w:val="none"/>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注：参与编制技术标投标文件所有人员名单应包括如编制技术投标方案、负责清样校对、负责打印及复印等所有人员在内的人员名单。</w:t>
      </w:r>
    </w:p>
    <w:p>
      <w:pPr>
        <w:pStyle w:val="116"/>
        <w:autoSpaceDE w:val="0"/>
        <w:autoSpaceDN w:val="0"/>
        <w:ind w:right="496" w:firstLine="0" w:firstLineChars="0"/>
        <w:jc w:val="left"/>
        <w:outlineLvl w:val="2"/>
        <w:rPr>
          <w:rFonts w:ascii="宋体" w:hAnsi="宋体"/>
          <w:color w:val="auto"/>
          <w:highlight w:val="none"/>
        </w:rPr>
      </w:pPr>
      <w:bookmarkStart w:id="212" w:name="_Toc62056046"/>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rFonts w:ascii="宋体" w:hAnsi="宋体"/>
          <w:color w:val="auto"/>
          <w:highlight w:val="none"/>
        </w:rPr>
      </w:pPr>
    </w:p>
    <w:p>
      <w:pPr>
        <w:pStyle w:val="116"/>
        <w:autoSpaceDE w:val="0"/>
        <w:autoSpaceDN w:val="0"/>
        <w:ind w:right="496" w:firstLine="0" w:firstLineChars="0"/>
        <w:jc w:val="left"/>
        <w:outlineLvl w:val="2"/>
        <w:rPr>
          <w:b/>
          <w:color w:val="auto"/>
          <w:highlight w:val="none"/>
        </w:rPr>
      </w:pPr>
      <w:bookmarkStart w:id="213" w:name="_Toc15122"/>
      <w:bookmarkStart w:id="214" w:name="_Toc1198"/>
      <w:r>
        <w:rPr>
          <w:rFonts w:hint="eastAsia" w:ascii="宋体" w:hAnsi="宋体"/>
          <w:color w:val="auto"/>
          <w:highlight w:val="none"/>
        </w:rPr>
        <w:t xml:space="preserve">格式十 </w:t>
      </w:r>
      <w:bookmarkEnd w:id="212"/>
      <w:r>
        <w:rPr>
          <w:rFonts w:hint="eastAsia"/>
          <w:b/>
          <w:color w:val="auto"/>
          <w:highlight w:val="none"/>
        </w:rPr>
        <w:t>危险性较大的分部分项工程安全管理措施</w:t>
      </w:r>
      <w:bookmarkEnd w:id="213"/>
      <w:bookmarkEnd w:id="214"/>
    </w:p>
    <w:p>
      <w:pPr>
        <w:pStyle w:val="120"/>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危险性较大的分部分项工程清单及</w:t>
      </w:r>
    </w:p>
    <w:p>
      <w:pPr>
        <w:pStyle w:val="120"/>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超过一定规模的危险性较大的分部分项工程清单</w:t>
      </w:r>
    </w:p>
    <w:p>
      <w:pPr>
        <w:pStyle w:val="111"/>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1"/>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1"/>
        <w:numPr>
          <w:ilvl w:val="0"/>
          <w:numId w:val="8"/>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pStyle w:val="111"/>
        <w:numPr>
          <w:ilvl w:val="0"/>
          <w:numId w:val="8"/>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pStyle w:val="111"/>
        <w:numPr>
          <w:ilvl w:val="0"/>
          <w:numId w:val="8"/>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pStyle w:val="111"/>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投标单位应当在投标时根据招标人提供的下述第5点清单，在投标施工组织中编制专项施工方案。</w:t>
      </w:r>
    </w:p>
    <w:p>
      <w:pPr>
        <w:pStyle w:val="111"/>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pPr>
        <w:pStyle w:val="111"/>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6"/>
        <w:gridCol w:w="1200"/>
        <w:gridCol w:w="1106"/>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vAlign w:val="center"/>
          </w:tcPr>
          <w:p>
            <w:pPr>
              <w:spacing w:line="276"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投标单位</w:t>
            </w:r>
          </w:p>
        </w:tc>
        <w:tc>
          <w:tcPr>
            <w:tcW w:w="659"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color w:val="auto"/>
                <w:szCs w:val="21"/>
                <w:highlight w:val="none"/>
              </w:rPr>
              <w:t>√</w:t>
            </w:r>
            <w:r>
              <w:rPr>
                <w:rFonts w:hint="eastAsia" w:ascii="Times New Roman" w:hAnsi="Times New Roman"/>
                <w:color w:val="auto"/>
                <w:szCs w:val="21"/>
                <w:highlight w:val="none"/>
              </w:rPr>
              <w:t xml:space="preserve">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rPr>
              <w:t>√</w:t>
            </w:r>
            <w:r>
              <w:rPr>
                <w:rFonts w:hint="eastAsia" w:ascii="Times New Roman" w:hAnsi="Times New Roman"/>
                <w:color w:val="auto"/>
                <w:szCs w:val="21"/>
                <w:highlight w:val="none"/>
              </w:rPr>
              <w:t xml:space="preserve">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vAlign w:val="center"/>
          </w:tcPr>
          <w:p>
            <w:pPr>
              <w:widowControl/>
              <w:spacing w:line="276" w:lineRule="auto"/>
              <w:rPr>
                <w:rFonts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200" w:type="dxa"/>
            <w:vAlign w:val="center"/>
          </w:tcPr>
          <w:p>
            <w:pPr>
              <w:spacing w:line="276" w:lineRule="auto"/>
              <w:jc w:val="center"/>
              <w:rPr>
                <w:rFonts w:ascii="Times New Roman" w:hAnsi="Times New Roman"/>
                <w:color w:val="auto"/>
                <w:szCs w:val="21"/>
                <w:highlight w:val="none"/>
              </w:rPr>
            </w:pPr>
          </w:p>
        </w:tc>
        <w:tc>
          <w:tcPr>
            <w:tcW w:w="1106" w:type="dxa"/>
            <w:vAlign w:val="center"/>
          </w:tcPr>
          <w:p>
            <w:pPr>
              <w:spacing w:line="276" w:lineRule="auto"/>
              <w:jc w:val="center"/>
              <w:rPr>
                <w:rFonts w:ascii="Times New Roman" w:hAnsi="Times New Roman"/>
                <w:color w:val="auto"/>
                <w:szCs w:val="21"/>
                <w:highlight w:val="none"/>
              </w:rPr>
            </w:pP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200"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00"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00"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bl>
    <w:p>
      <w:pPr>
        <w:pStyle w:val="116"/>
        <w:ind w:firstLine="496"/>
        <w:rPr>
          <w:color w:val="auto"/>
          <w:highlight w:val="none"/>
        </w:rPr>
      </w:pPr>
    </w:p>
    <w:p>
      <w:pPr>
        <w:spacing w:line="360" w:lineRule="auto"/>
        <w:ind w:firstLine="5520"/>
        <w:jc w:val="right"/>
        <w:rPr>
          <w:rFonts w:cs="宋体"/>
          <w:color w:val="auto"/>
          <w:sz w:val="24"/>
          <w:szCs w:val="20"/>
          <w:highlight w:val="none"/>
        </w:rPr>
      </w:pPr>
      <w:r>
        <w:rPr>
          <w:rFonts w:hint="eastAsia" w:cs="宋体"/>
          <w:color w:val="auto"/>
          <w:sz w:val="24"/>
          <w:szCs w:val="20"/>
          <w:highlight w:val="none"/>
        </w:rPr>
        <w:t>投标人名称（盖法人公章）：</w:t>
      </w:r>
    </w:p>
    <w:p>
      <w:pPr>
        <w:spacing w:line="360" w:lineRule="auto"/>
        <w:ind w:right="26"/>
        <w:jc w:val="right"/>
        <w:rPr>
          <w:rFonts w:cs="宋体"/>
          <w:color w:val="auto"/>
          <w:sz w:val="24"/>
          <w:szCs w:val="20"/>
          <w:highlight w:val="none"/>
        </w:rPr>
      </w:pPr>
      <w:r>
        <w:rPr>
          <w:rFonts w:hint="eastAsia" w:cs="宋体"/>
          <w:color w:val="auto"/>
          <w:sz w:val="24"/>
          <w:szCs w:val="20"/>
          <w:highlight w:val="none"/>
        </w:rPr>
        <w:t>法定代表人或被授权人（签字或盖章）：</w:t>
      </w:r>
    </w:p>
    <w:p>
      <w:pPr>
        <w:widowControl/>
        <w:topLinePunct/>
        <w:adjustRightInd w:val="0"/>
        <w:snapToGrid w:val="0"/>
        <w:spacing w:after="200"/>
        <w:jc w:val="left"/>
        <w:outlineLvl w:val="2"/>
        <w:rPr>
          <w:color w:val="auto"/>
          <w:highlight w:val="none"/>
        </w:rPr>
      </w:pPr>
      <w:bookmarkStart w:id="215" w:name="_Toc15638"/>
      <w:bookmarkStart w:id="216" w:name="_Toc13721"/>
      <w:r>
        <w:rPr>
          <w:rFonts w:hint="eastAsia" w:cs="宋体"/>
          <w:color w:val="auto"/>
          <w:sz w:val="24"/>
          <w:szCs w:val="20"/>
          <w:highlight w:val="none"/>
        </w:rPr>
        <w:t>日期：   年  月  日</w:t>
      </w:r>
      <w:bookmarkEnd w:id="215"/>
      <w:bookmarkEnd w:id="216"/>
    </w:p>
    <w:p>
      <w:pPr>
        <w:widowControl/>
        <w:topLinePunct/>
        <w:adjustRightInd w:val="0"/>
        <w:snapToGrid w:val="0"/>
        <w:spacing w:after="200"/>
        <w:jc w:val="left"/>
        <w:outlineLvl w:val="1"/>
        <w:rPr>
          <w:rFonts w:ascii="宋体" w:hAnsi="宋体"/>
          <w:b/>
          <w:color w:val="auto"/>
          <w:sz w:val="28"/>
          <w:highlight w:val="none"/>
        </w:rPr>
        <w:sectPr>
          <w:pgSz w:w="11906" w:h="16838"/>
          <w:pgMar w:top="1440" w:right="1800" w:bottom="1440" w:left="1800" w:header="851" w:footer="992" w:gutter="0"/>
          <w:cols w:space="425" w:num="1"/>
          <w:docGrid w:type="lines" w:linePitch="312" w:charSpace="0"/>
        </w:sectPr>
      </w:pPr>
      <w:bookmarkStart w:id="217" w:name="_Toc504722518"/>
      <w:bookmarkStart w:id="218" w:name="_Toc1507"/>
    </w:p>
    <w:p>
      <w:pPr>
        <w:pStyle w:val="116"/>
        <w:autoSpaceDE w:val="0"/>
        <w:autoSpaceDN w:val="0"/>
        <w:ind w:right="496" w:firstLine="0"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格式十</w:t>
      </w:r>
      <w:bookmarkStart w:id="219" w:name="_Toc103592038"/>
      <w:bookmarkStart w:id="220" w:name="_Toc23550"/>
      <w:bookmarkStart w:id="221" w:name="_Toc152042581"/>
      <w:bookmarkStart w:id="222" w:name="_Toc247527832"/>
      <w:bookmarkStart w:id="223" w:name="_Toc300835214"/>
      <w:bookmarkStart w:id="224" w:name="_Toc144974861"/>
      <w:bookmarkStart w:id="225" w:name="_Toc13469"/>
      <w:bookmarkStart w:id="226" w:name="_Toc384308381"/>
      <w:bookmarkStart w:id="227" w:name="_Toc533334223"/>
      <w:bookmarkStart w:id="228" w:name="_Toc247514284"/>
      <w:bookmarkStart w:id="229" w:name="_Toc361508757"/>
      <w:bookmarkStart w:id="230" w:name="_Toc369531702"/>
      <w:bookmarkStart w:id="231" w:name="_Toc352691666"/>
      <w:bookmarkStart w:id="232" w:name="_Toc152045792"/>
      <w:r>
        <w:rPr>
          <w:rFonts w:hint="eastAsia" w:ascii="宋体" w:hAnsi="宋体" w:cs="Times New Roman"/>
          <w:color w:val="auto"/>
          <w:highlight w:val="none"/>
          <w:lang w:val="en-US" w:eastAsia="zh-CN"/>
        </w:rPr>
        <w:t>一</w:t>
      </w:r>
      <w:r>
        <w:rPr>
          <w:rFonts w:hint="eastAsia" w:ascii="宋体" w:hAnsi="宋体" w:eastAsia="宋体" w:cs="Times New Roman"/>
          <w:color w:val="auto"/>
          <w:highlight w:val="none"/>
          <w:lang w:val="en-US" w:eastAsia="zh-CN"/>
        </w:rPr>
        <w:t xml:space="preserve">   </w:t>
      </w:r>
    </w:p>
    <w:p>
      <w:pPr>
        <w:pStyle w:val="116"/>
        <w:autoSpaceDE w:val="0"/>
        <w:autoSpaceDN w:val="0"/>
        <w:ind w:right="496" w:firstLine="0" w:firstLineChars="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投标保证金凭证</w:t>
      </w:r>
      <w:bookmarkEnd w:id="219"/>
      <w:bookmarkEnd w:id="220"/>
    </w:p>
    <w:bookmarkEnd w:id="221"/>
    <w:bookmarkEnd w:id="222"/>
    <w:bookmarkEnd w:id="223"/>
    <w:bookmarkEnd w:id="224"/>
    <w:bookmarkEnd w:id="225"/>
    <w:bookmarkEnd w:id="226"/>
    <w:bookmarkEnd w:id="227"/>
    <w:bookmarkEnd w:id="228"/>
    <w:bookmarkEnd w:id="229"/>
    <w:bookmarkEnd w:id="230"/>
    <w:bookmarkEnd w:id="231"/>
    <w:bookmarkEnd w:id="232"/>
    <w:p>
      <w:pPr>
        <w:spacing w:line="360" w:lineRule="auto"/>
        <w:ind w:firstLine="420" w:firstLineChars="200"/>
        <w:rPr>
          <w:rFonts w:ascii="宋体" w:hAnsi="宋体"/>
          <w:color w:val="auto"/>
          <w:highlight w:val="none"/>
        </w:rPr>
      </w:pPr>
      <w:r>
        <w:rPr>
          <w:rFonts w:hint="eastAsia" w:ascii="宋体" w:hAnsi="宋体"/>
          <w:color w:val="auto"/>
          <w:highlight w:val="none"/>
        </w:rPr>
        <w:t>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代收的，在此提供经</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确认的投标保证金回执；</w:t>
      </w:r>
    </w:p>
    <w:p>
      <w:pPr>
        <w:spacing w:line="360" w:lineRule="auto"/>
        <w:rPr>
          <w:rFonts w:ascii="宋体" w:hAnsi="宋体"/>
          <w:color w:val="auto"/>
          <w:highlight w:val="none"/>
        </w:rPr>
      </w:pPr>
      <w:r>
        <w:rPr>
          <w:rFonts w:hint="eastAsia" w:ascii="宋体" w:hAnsi="宋体"/>
          <w:color w:val="auto"/>
          <w:highlight w:val="none"/>
        </w:rPr>
        <w:t xml:space="preserve">   如采用投标保函或投标保证保险方式提交的，在此提供投标保函或投标保证保险扫描件。</w:t>
      </w:r>
    </w:p>
    <w:p>
      <w:pPr>
        <w:widowControl/>
        <w:topLinePunct/>
        <w:adjustRightInd w:val="0"/>
        <w:snapToGrid w:val="0"/>
        <w:spacing w:after="200"/>
        <w:jc w:val="left"/>
        <w:outlineLvl w:val="1"/>
        <w:rPr>
          <w:rFonts w:hint="default" w:ascii="宋体" w:hAnsi="宋体" w:eastAsia="宋体"/>
          <w:b/>
          <w:color w:val="auto"/>
          <w:sz w:val="28"/>
          <w:highlight w:val="none"/>
          <w:lang w:val="en-US" w:eastAsia="zh-CN"/>
        </w:rPr>
        <w:sectPr>
          <w:pgSz w:w="11906" w:h="16838"/>
          <w:pgMar w:top="1440" w:right="1800" w:bottom="1440" w:left="1800" w:header="851" w:footer="992" w:gutter="0"/>
          <w:cols w:space="425" w:num="1"/>
          <w:docGrid w:type="lines" w:linePitch="312" w:charSpace="0"/>
        </w:sectPr>
      </w:pPr>
    </w:p>
    <w:p>
      <w:pPr>
        <w:pStyle w:val="20"/>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（一）中小企业声明函</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本企业郑重声明，根据《关于印发中小企业划型标准规定的通知》（工信部联企业〔2011〕300号）的规定，本企业具体情况如下：</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本企业属于建筑业行业；营业收入为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万元，属于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（中型企业、小型企业、微型企业）；</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本企业对上述声明内容的真实性负责。如有虚假，将依法承担相应责任。 </w:t>
      </w:r>
    </w:p>
    <w:p>
      <w:pPr>
        <w:pStyle w:val="20"/>
        <w:spacing w:line="560" w:lineRule="exact"/>
        <w:ind w:firstLine="4200" w:firstLineChars="1500"/>
        <w:rPr>
          <w:rFonts w:hint="eastAsia" w:ascii="宋体" w:hAnsi="宋体" w:eastAsia="宋体" w:cs="宋体"/>
          <w:color w:val="auto"/>
          <w:sz w:val="28"/>
          <w:szCs w:val="28"/>
          <w:highlight w:val="none"/>
        </w:rPr>
      </w:pPr>
    </w:p>
    <w:p>
      <w:pPr>
        <w:pStyle w:val="20"/>
        <w:spacing w:line="560" w:lineRule="exact"/>
        <w:ind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企业名称（盖章）：</w:t>
      </w:r>
    </w:p>
    <w:p>
      <w:pPr>
        <w:pStyle w:val="20"/>
        <w:spacing w:line="560" w:lineRule="exact"/>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1、营业收入、资产总额填报上一年度数据，无上一年度数据的新成立企业可不填报。</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2、《中小企业声明函》须按照本函格式填写，否则评标委员会有权视其为非中小企业，不享受免于提交投标保证金的优惠政策。</w:t>
      </w:r>
    </w:p>
    <w:p>
      <w:pPr>
        <w:pStyle w:val="2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3、招标人、招标代理机构将按有关规定公开《中小企业声明函》。</w:t>
      </w:r>
    </w:p>
    <w:p>
      <w:pPr>
        <w:widowControl/>
        <w:jc w:val="left"/>
        <w:rPr>
          <w:color w:val="auto"/>
          <w:highlight w:val="none"/>
        </w:rPr>
      </w:pPr>
      <w:r>
        <w:rPr>
          <w:color w:val="auto"/>
          <w:highlight w:val="none"/>
        </w:rPr>
        <w:br w:type="page"/>
      </w:r>
    </w:p>
    <w:p>
      <w:pPr>
        <w:pStyle w:val="20"/>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rPr>
        <w:t>（二）关于投标保证金的承诺</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本招标项目招标人及招标监管机构：</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本公司就参加</w:t>
      </w:r>
      <w:r>
        <w:rPr>
          <w:rFonts w:hint="eastAsia" w:ascii="宋体" w:hAnsi="宋体" w:eastAsia="宋体" w:cs="宋体"/>
          <w:color w:val="auto"/>
          <w:sz w:val="28"/>
          <w:szCs w:val="28"/>
          <w:highlight w:val="none"/>
          <w:u w:val="single"/>
        </w:rPr>
        <w:t xml:space="preserve">      （招标项目名称）     </w:t>
      </w:r>
      <w:r>
        <w:rPr>
          <w:rFonts w:hint="eastAsia" w:ascii="宋体" w:hAnsi="宋体" w:eastAsia="宋体" w:cs="宋体"/>
          <w:color w:val="auto"/>
          <w:sz w:val="28"/>
          <w:szCs w:val="28"/>
          <w:highlight w:val="none"/>
        </w:rPr>
        <w:t>项目的投标工作，作出郑重声明：</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8"/>
          <w:szCs w:val="28"/>
          <w:highlight w:val="none"/>
        </w:rPr>
        <w:t>一旦发生符合招标文件规定的不予退还投标保证金情形的，将</w:t>
      </w:r>
      <w:r>
        <w:rPr>
          <w:rFonts w:hint="eastAsia" w:ascii="宋体" w:hAnsi="宋体" w:eastAsia="宋体" w:cs="宋体"/>
          <w:color w:val="auto"/>
          <w:sz w:val="28"/>
          <w:szCs w:val="28"/>
          <w:highlight w:val="none"/>
        </w:rPr>
        <w:t>按照招标人的要求，在规定的时间内向招标人足额补交投标保证金。</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本公司违反上述保证的，将被视为虚假承诺，按相关规定进行信用记录。本公司对失信行为产生的一切后果已知悉，并承担由此产生的相应责任。</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autoSpaceDE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autoSpaceDE w:val="0"/>
        <w:ind w:firstLine="3640" w:firstLineChars="1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  （盖章）</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pPr>
        <w:widowControl/>
        <w:topLinePunct/>
        <w:adjustRightInd w:val="0"/>
        <w:snapToGrid w:val="0"/>
        <w:spacing w:after="200"/>
        <w:jc w:val="left"/>
        <w:outlineLvl w:val="1"/>
        <w:rPr>
          <w:rFonts w:ascii="宋体" w:hAnsi="宋体"/>
          <w:b/>
          <w:color w:val="auto"/>
          <w:sz w:val="28"/>
          <w:highlight w:val="none"/>
        </w:rPr>
      </w:pPr>
      <w:r>
        <w:rPr>
          <w:rFonts w:ascii="宋体" w:hAnsi="宋体"/>
          <w:b/>
          <w:color w:val="auto"/>
          <w:sz w:val="28"/>
          <w:highlight w:val="none"/>
        </w:rPr>
        <w:br w:type="page"/>
      </w:r>
      <w:bookmarkStart w:id="233" w:name="_Toc18933"/>
      <w:bookmarkStart w:id="234" w:name="_Toc28464"/>
      <w:bookmarkStart w:id="235" w:name="_Toc62056047"/>
      <w:r>
        <w:rPr>
          <w:rFonts w:hint="eastAsia" w:ascii="宋体" w:hAnsi="宋体"/>
          <w:b/>
          <w:color w:val="auto"/>
          <w:sz w:val="28"/>
          <w:highlight w:val="none"/>
        </w:rPr>
        <w:t>二、经济标投标文件格式</w:t>
      </w:r>
      <w:bookmarkEnd w:id="217"/>
      <w:bookmarkEnd w:id="218"/>
      <w:bookmarkEnd w:id="233"/>
      <w:bookmarkEnd w:id="234"/>
      <w:bookmarkEnd w:id="235"/>
    </w:p>
    <w:p>
      <w:pPr>
        <w:rPr>
          <w:color w:val="auto"/>
          <w:highlight w:val="none"/>
        </w:rPr>
      </w:pP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236" w:name="_Toc29476922"/>
      <w:bookmarkStart w:id="237" w:name="_Toc62056048"/>
      <w:bookmarkStart w:id="238" w:name="_Toc4489953"/>
      <w:bookmarkStart w:id="239" w:name="_Toc504722519"/>
      <w:bookmarkStart w:id="240" w:name="_Toc7061"/>
      <w:bookmarkStart w:id="241" w:name="_Toc22912"/>
      <w:bookmarkStart w:id="242" w:name="_Toc7429"/>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一</w:t>
      </w:r>
      <w:r>
        <w:rPr>
          <w:rFonts w:hint="eastAsia" w:ascii="宋体" w:hAnsi="宋体"/>
          <w:color w:val="auto"/>
          <w:spacing w:val="4"/>
          <w:kern w:val="0"/>
          <w:sz w:val="24"/>
          <w:szCs w:val="24"/>
          <w:highlight w:val="none"/>
        </w:rPr>
        <w:t>：经济标封面</w:t>
      </w:r>
      <w:bookmarkEnd w:id="236"/>
      <w:bookmarkEnd w:id="237"/>
      <w:bookmarkEnd w:id="238"/>
      <w:bookmarkEnd w:id="239"/>
      <w:bookmarkEnd w:id="240"/>
      <w:bookmarkEnd w:id="241"/>
      <w:bookmarkEnd w:id="242"/>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243" w:name="_Toc318924517"/>
      <w:bookmarkStart w:id="244" w:name="_Toc163337643"/>
      <w:bookmarkStart w:id="245" w:name="_Toc337720111"/>
      <w:bookmarkStart w:id="246" w:name="_Toc226209025"/>
      <w:bookmarkStart w:id="247" w:name="_Toc239311767"/>
      <w:bookmarkStart w:id="248" w:name="_Toc239216052"/>
      <w:bookmarkStart w:id="249" w:name="_Toc358370596"/>
      <w:bookmarkStart w:id="250" w:name="_Toc352623441"/>
      <w:bookmarkStart w:id="251" w:name="_Toc352240543"/>
      <w:bookmarkStart w:id="252" w:name="_Toc484958710"/>
      <w:bookmarkStart w:id="253" w:name="_Toc369536788"/>
      <w:bookmarkStart w:id="254" w:name="_Toc449308436"/>
      <w:bookmarkStart w:id="255" w:name="_Toc395261116"/>
      <w:bookmarkStart w:id="256" w:name="_Toc464131240"/>
      <w:r>
        <w:rPr>
          <w:rFonts w:hint="eastAsia" w:ascii="宋体" w:hAnsi="宋体"/>
          <w:color w:val="auto"/>
          <w:spacing w:val="4"/>
          <w:kern w:val="0"/>
          <w:sz w:val="30"/>
          <w:szCs w:val="30"/>
          <w:highlight w:val="none"/>
          <w:u w:val="single"/>
        </w:rPr>
        <w:t xml:space="preserve">       （填写投标人单位</w:t>
      </w:r>
      <w:bookmarkEnd w:id="243"/>
      <w:bookmarkEnd w:id="244"/>
      <w:bookmarkEnd w:id="245"/>
      <w:bookmarkEnd w:id="246"/>
      <w:bookmarkEnd w:id="247"/>
      <w:bookmarkEnd w:id="248"/>
      <w:r>
        <w:rPr>
          <w:rFonts w:hint="eastAsia" w:ascii="宋体" w:hAnsi="宋体"/>
          <w:color w:val="auto"/>
          <w:spacing w:val="4"/>
          <w:kern w:val="0"/>
          <w:sz w:val="30"/>
          <w:szCs w:val="30"/>
          <w:highlight w:val="none"/>
          <w:u w:val="single"/>
        </w:rPr>
        <w:t xml:space="preserve">名称）  </w:t>
      </w:r>
      <w:bookmarkEnd w:id="249"/>
      <w:bookmarkEnd w:id="250"/>
      <w:bookmarkEnd w:id="251"/>
      <w:bookmarkEnd w:id="252"/>
      <w:bookmarkEnd w:id="253"/>
      <w:bookmarkEnd w:id="254"/>
      <w:bookmarkEnd w:id="255"/>
      <w:bookmarkEnd w:id="256"/>
      <w:r>
        <w:rPr>
          <w:rFonts w:hint="eastAsia" w:ascii="宋体" w:hAnsi="宋体"/>
          <w:color w:val="auto"/>
          <w:spacing w:val="4"/>
          <w:kern w:val="0"/>
          <w:sz w:val="30"/>
          <w:szCs w:val="30"/>
          <w:highlight w:val="none"/>
          <w:u w:val="single"/>
        </w:rPr>
        <w:t xml:space="preserve">     （盖章）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法定代表人或其委托代理人：</w:t>
      </w:r>
      <w:r>
        <w:rPr>
          <w:rFonts w:hint="eastAsia" w:ascii="宋体" w:hAnsi="宋体"/>
          <w:color w:val="auto"/>
          <w:spacing w:val="4"/>
          <w:kern w:val="0"/>
          <w:sz w:val="30"/>
          <w:szCs w:val="30"/>
          <w:highlight w:val="none"/>
          <w:u w:val="single"/>
        </w:rPr>
        <w:t xml:space="preserve">            （签字或盖章）</w:t>
      </w:r>
    </w:p>
    <w:p>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color w:val="auto"/>
          <w:spacing w:val="4"/>
          <w:kern w:val="0"/>
          <w:sz w:val="24"/>
          <w:szCs w:val="24"/>
          <w:highlight w:val="none"/>
        </w:rPr>
        <w:br w:type="page"/>
      </w:r>
      <w:bookmarkStart w:id="257" w:name="_Toc8957"/>
      <w:bookmarkStart w:id="258" w:name="_Toc19679"/>
      <w:bookmarkStart w:id="259" w:name="_Toc29476923"/>
      <w:bookmarkStart w:id="260" w:name="_Toc4489954"/>
      <w:bookmarkStart w:id="261" w:name="_Toc62056049"/>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二</w:t>
      </w:r>
      <w:r>
        <w:rPr>
          <w:rFonts w:hint="eastAsia" w:ascii="宋体" w:hAnsi="宋体"/>
          <w:color w:val="auto"/>
          <w:spacing w:val="4"/>
          <w:kern w:val="0"/>
          <w:sz w:val="24"/>
          <w:szCs w:val="24"/>
          <w:highlight w:val="none"/>
        </w:rPr>
        <w:t>：广州建设工程施工招标投标书</w:t>
      </w:r>
      <w:bookmarkEnd w:id="257"/>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ascii="宋体" w:hAnsi="Times New Roman" w:cs="宋体"/>
                <w:b/>
                <w:bCs/>
                <w:color w:val="auto"/>
                <w:sz w:val="24"/>
                <w:szCs w:val="24"/>
                <w:highlight w:val="none"/>
                <w:lang w:val="zh-CN"/>
              </w:rPr>
              <w:t>按现行工程质量验收标准达到一次性竣工验收合格，并符合施工图纸要求和国家、行业有关标准</w:t>
            </w:r>
            <w:r>
              <w:rPr>
                <w:rFonts w:hint="eastAsia" w:ascii="宋体" w:hAnsi="Times New Roman" w:cs="宋体"/>
                <w:b/>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038" w:firstLineChars="846"/>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bl>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hint="eastAsia" w:ascii="宋体" w:hAnsi="宋体"/>
          <w:color w:val="auto"/>
          <w:spacing w:val="4"/>
          <w:kern w:val="0"/>
          <w:sz w:val="24"/>
          <w:szCs w:val="24"/>
          <w:highlight w:val="none"/>
        </w:rPr>
      </w:pPr>
    </w:p>
    <w:p>
      <w:pPr>
        <w:widowControl/>
        <w:topLinePunct/>
        <w:adjustRightInd w:val="0"/>
        <w:snapToGrid w:val="0"/>
        <w:spacing w:after="200"/>
        <w:jc w:val="left"/>
        <w:outlineLvl w:val="2"/>
        <w:rPr>
          <w:rFonts w:ascii="黑体" w:hAnsi="宋体" w:eastAsia="黑体"/>
          <w:b/>
          <w:color w:val="auto"/>
          <w:spacing w:val="4"/>
          <w:kern w:val="0"/>
          <w:sz w:val="24"/>
          <w:szCs w:val="24"/>
          <w:highlight w:val="none"/>
        </w:rPr>
      </w:pPr>
      <w:bookmarkStart w:id="262" w:name="_Toc3853"/>
      <w:r>
        <w:rPr>
          <w:rFonts w:hint="eastAsia" w:ascii="宋体" w:hAnsi="宋体"/>
          <w:color w:val="auto"/>
          <w:spacing w:val="4"/>
          <w:kern w:val="0"/>
          <w:sz w:val="24"/>
          <w:szCs w:val="24"/>
          <w:highlight w:val="none"/>
        </w:rPr>
        <w:t>格式</w:t>
      </w:r>
      <w:bookmarkStart w:id="263" w:name="_Toc29524"/>
      <w:bookmarkStart w:id="264" w:name="_Toc504722521"/>
      <w:r>
        <w:rPr>
          <w:rFonts w:hint="eastAsia" w:ascii="宋体" w:hAnsi="宋体"/>
          <w:color w:val="auto"/>
          <w:spacing w:val="4"/>
          <w:kern w:val="0"/>
          <w:sz w:val="24"/>
          <w:szCs w:val="24"/>
          <w:highlight w:val="none"/>
          <w:lang w:val="en-US" w:eastAsia="zh-CN"/>
        </w:rPr>
        <w:t>三</w:t>
      </w:r>
      <w:r>
        <w:rPr>
          <w:rFonts w:hint="eastAsia" w:ascii="宋体" w:hAnsi="宋体"/>
          <w:color w:val="auto"/>
          <w:spacing w:val="4"/>
          <w:kern w:val="0"/>
          <w:sz w:val="24"/>
          <w:szCs w:val="24"/>
          <w:highlight w:val="none"/>
        </w:rPr>
        <w:t>：工程量清单计价表</w:t>
      </w:r>
      <w:bookmarkEnd w:id="258"/>
      <w:bookmarkEnd w:id="259"/>
      <w:bookmarkEnd w:id="260"/>
      <w:bookmarkEnd w:id="261"/>
      <w:bookmarkEnd w:id="262"/>
      <w:bookmarkEnd w:id="263"/>
      <w:bookmarkEnd w:id="264"/>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7"/>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tabs>
          <w:tab w:val="left" w:pos="720"/>
        </w:tabs>
        <w:snapToGrid w:val="0"/>
        <w:spacing w:line="360" w:lineRule="auto"/>
        <w:jc w:val="center"/>
        <w:rPr>
          <w:rFonts w:ascii="宋体" w:hAnsi="宋体"/>
          <w:color w:val="auto"/>
          <w:highlight w:val="none"/>
        </w:rPr>
      </w:pPr>
      <w:r>
        <w:rPr>
          <w:rFonts w:hint="eastAsia" w:ascii="宋体" w:hAnsi="宋体"/>
          <w:color w:val="auto"/>
          <w:highlight w:val="none"/>
        </w:rPr>
        <w:t>本部分内容详见招标文件第七章工程量清单。</w:t>
      </w:r>
    </w:p>
    <w:p>
      <w:pPr>
        <w:tabs>
          <w:tab w:val="left" w:pos="720"/>
        </w:tabs>
        <w:snapToGrid w:val="0"/>
        <w:spacing w:line="360" w:lineRule="auto"/>
        <w:outlineLvl w:val="2"/>
        <w:rPr>
          <w:rFonts w:ascii="宋体" w:hAnsi="宋体"/>
          <w:snapToGrid w:val="0"/>
          <w:color w:val="auto"/>
          <w:spacing w:val="4"/>
          <w:kern w:val="0"/>
          <w:sz w:val="24"/>
          <w:szCs w:val="24"/>
          <w:highlight w:val="none"/>
        </w:rPr>
      </w:pPr>
      <w:r>
        <w:rPr>
          <w:color w:val="auto"/>
          <w:highlight w:val="none"/>
        </w:rPr>
        <w:br w:type="page"/>
      </w:r>
      <w:bookmarkStart w:id="265" w:name="_Toc4037"/>
      <w:bookmarkStart w:id="266" w:name="_Toc62056050"/>
      <w:bookmarkStart w:id="267" w:name="_Toc7846"/>
      <w:r>
        <w:rPr>
          <w:rFonts w:hint="eastAsia" w:ascii="宋体" w:hAnsi="宋体"/>
          <w:snapToGrid w:val="0"/>
          <w:color w:val="auto"/>
          <w:spacing w:val="4"/>
          <w:kern w:val="0"/>
          <w:sz w:val="24"/>
          <w:szCs w:val="24"/>
          <w:highlight w:val="none"/>
        </w:rPr>
        <w:t>格式</w:t>
      </w:r>
      <w:r>
        <w:rPr>
          <w:rFonts w:hint="eastAsia" w:ascii="宋体" w:hAnsi="宋体"/>
          <w:snapToGrid w:val="0"/>
          <w:color w:val="auto"/>
          <w:spacing w:val="4"/>
          <w:kern w:val="0"/>
          <w:sz w:val="24"/>
          <w:szCs w:val="24"/>
          <w:highlight w:val="none"/>
          <w:lang w:val="en-US" w:eastAsia="zh-CN"/>
        </w:rPr>
        <w:t>四</w:t>
      </w:r>
      <w:r>
        <w:rPr>
          <w:rFonts w:hint="eastAsia" w:ascii="宋体" w:hAnsi="宋体"/>
          <w:snapToGrid w:val="0"/>
          <w:color w:val="auto"/>
          <w:spacing w:val="4"/>
          <w:kern w:val="0"/>
          <w:sz w:val="24"/>
          <w:szCs w:val="24"/>
          <w:highlight w:val="none"/>
        </w:rPr>
        <w:t>：</w:t>
      </w:r>
      <w:r>
        <w:rPr>
          <w:rFonts w:hint="eastAsia"/>
          <w:color w:val="auto"/>
          <w:sz w:val="24"/>
          <w:szCs w:val="24"/>
          <w:highlight w:val="none"/>
        </w:rPr>
        <w:t>参与编制经济标投标文件人员名单</w:t>
      </w:r>
      <w:bookmarkEnd w:id="265"/>
      <w:bookmarkEnd w:id="266"/>
      <w:bookmarkEnd w:id="267"/>
    </w:p>
    <w:p>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color w:val="auto"/>
          <w:kern w:val="0"/>
          <w:sz w:val="24"/>
          <w:szCs w:val="24"/>
          <w:highlight w:val="none"/>
        </w:rPr>
      </w:pPr>
    </w:p>
    <w:p>
      <w:pPr>
        <w:autoSpaceDE w:val="0"/>
        <w:autoSpaceDN w:val="0"/>
        <w:adjustRightInd w:val="0"/>
        <w:outlineLvl w:val="2"/>
        <w:rPr>
          <w:color w:val="auto"/>
          <w:szCs w:val="21"/>
          <w:highlight w:val="none"/>
        </w:rPr>
      </w:pPr>
      <w:r>
        <w:rPr>
          <w:color w:val="auto"/>
          <w:szCs w:val="21"/>
          <w:highlight w:val="none"/>
        </w:rPr>
        <w:br w:type="page"/>
      </w:r>
      <w:bookmarkStart w:id="268" w:name="_Toc5169"/>
      <w:bookmarkStart w:id="269" w:name="_Toc62056051"/>
      <w:bookmarkStart w:id="270" w:name="_Toc19312"/>
      <w:r>
        <w:rPr>
          <w:rFonts w:hint="eastAsia" w:ascii="宋体" w:hAnsi="宋体"/>
          <w:snapToGrid w:val="0"/>
          <w:color w:val="auto"/>
          <w:spacing w:val="4"/>
          <w:kern w:val="0"/>
          <w:sz w:val="24"/>
          <w:szCs w:val="24"/>
          <w:highlight w:val="none"/>
        </w:rPr>
        <w:t>格式</w:t>
      </w:r>
      <w:r>
        <w:rPr>
          <w:rFonts w:hint="eastAsia" w:ascii="宋体" w:hAnsi="宋体"/>
          <w:snapToGrid w:val="0"/>
          <w:color w:val="auto"/>
          <w:spacing w:val="4"/>
          <w:kern w:val="0"/>
          <w:sz w:val="24"/>
          <w:szCs w:val="24"/>
          <w:highlight w:val="none"/>
          <w:lang w:val="en-US" w:eastAsia="zh-CN"/>
        </w:rPr>
        <w:t>五</w:t>
      </w:r>
      <w:r>
        <w:rPr>
          <w:rFonts w:hint="eastAsia" w:ascii="宋体" w:hAnsi="宋体"/>
          <w:snapToGrid w:val="0"/>
          <w:color w:val="auto"/>
          <w:spacing w:val="4"/>
          <w:kern w:val="0"/>
          <w:sz w:val="24"/>
          <w:szCs w:val="24"/>
          <w:highlight w:val="none"/>
        </w:rPr>
        <w:t>：对投标文件编制的承诺</w:t>
      </w:r>
      <w:bookmarkEnd w:id="268"/>
      <w:bookmarkEnd w:id="269"/>
      <w:bookmarkEnd w:id="270"/>
    </w:p>
    <w:p>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spacing w:line="360" w:lineRule="auto"/>
        <w:rPr>
          <w:b/>
          <w:color w:val="auto"/>
          <w:kern w:val="0"/>
          <w:sz w:val="32"/>
          <w:szCs w:val="32"/>
          <w:highlight w:val="none"/>
        </w:rPr>
      </w:pPr>
    </w:p>
    <w:p>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电脑类型</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电脑所属单位</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widowControl/>
        <w:jc w:val="left"/>
        <w:rPr>
          <w:bCs/>
          <w:color w:val="auto"/>
          <w:szCs w:val="21"/>
          <w:highlight w:val="none"/>
        </w:rPr>
      </w:pPr>
    </w:p>
    <w:p>
      <w:pPr>
        <w:tabs>
          <w:tab w:val="left" w:pos="720"/>
        </w:tabs>
        <w:snapToGrid w:val="0"/>
        <w:spacing w:line="360" w:lineRule="auto"/>
        <w:jc w:val="center"/>
        <w:rPr>
          <w:rStyle w:val="61"/>
          <w:color w:val="auto"/>
          <w:highlight w:val="none"/>
        </w:rPr>
      </w:pPr>
      <w:r>
        <w:rPr>
          <w:color w:val="auto"/>
          <w:sz w:val="24"/>
          <w:szCs w:val="24"/>
          <w:highlight w:val="none"/>
        </w:rPr>
        <w:br w:type="page"/>
      </w:r>
      <w:bookmarkStart w:id="271" w:name="_Toc2272568"/>
      <w:bookmarkStart w:id="272" w:name="_Toc21525513"/>
      <w:bookmarkStart w:id="273" w:name="_Toc28034"/>
      <w:r>
        <w:rPr>
          <w:rStyle w:val="61"/>
          <w:rFonts w:hint="eastAsia"/>
          <w:color w:val="auto"/>
          <w:highlight w:val="none"/>
        </w:rPr>
        <w:t>第五章</w:t>
      </w:r>
      <w:r>
        <w:rPr>
          <w:rStyle w:val="61"/>
          <w:color w:val="auto"/>
          <w:highlight w:val="none"/>
        </w:rPr>
        <w:t xml:space="preserve">  </w:t>
      </w:r>
      <w:r>
        <w:rPr>
          <w:rStyle w:val="61"/>
          <w:rFonts w:hint="eastAsia"/>
          <w:color w:val="auto"/>
          <w:highlight w:val="none"/>
        </w:rPr>
        <w:t>技术条件（工程建设标准）</w:t>
      </w:r>
      <w:bookmarkEnd w:id="271"/>
      <w:bookmarkEnd w:id="272"/>
    </w:p>
    <w:bookmarkEnd w:id="273"/>
    <w:p>
      <w:pPr>
        <w:pStyle w:val="3"/>
        <w:jc w:val="left"/>
        <w:rPr>
          <w:rStyle w:val="61"/>
          <w:rFonts w:ascii="宋体" w:hAnsi="宋体" w:cs="宋体"/>
          <w:b w:val="0"/>
          <w:color w:val="auto"/>
          <w:szCs w:val="21"/>
          <w:highlight w:val="none"/>
        </w:rPr>
      </w:pPr>
      <w:bookmarkStart w:id="274" w:name="_Toc5642"/>
      <w:bookmarkStart w:id="275" w:name="_Toc10065"/>
      <w:bookmarkStart w:id="276" w:name="_Toc503284277"/>
      <w:bookmarkStart w:id="277" w:name="_Toc43251299"/>
      <w:bookmarkStart w:id="278" w:name="_Toc7274"/>
      <w:r>
        <w:rPr>
          <w:rStyle w:val="61"/>
          <w:rFonts w:hint="eastAsia" w:ascii="宋体" w:hAnsi="宋体" w:cs="宋体"/>
          <w:b w:val="0"/>
          <w:color w:val="auto"/>
          <w:szCs w:val="21"/>
          <w:highlight w:val="none"/>
        </w:rPr>
        <w:t>1、具体按施工图纸。</w:t>
      </w:r>
      <w:bookmarkEnd w:id="274"/>
      <w:bookmarkEnd w:id="275"/>
      <w:bookmarkEnd w:id="276"/>
      <w:bookmarkEnd w:id="277"/>
      <w:bookmarkEnd w:id="278"/>
    </w:p>
    <w:p>
      <w:pPr>
        <w:pStyle w:val="3"/>
        <w:jc w:val="left"/>
        <w:rPr>
          <w:rStyle w:val="61"/>
          <w:rFonts w:hint="eastAsia"/>
          <w:b w:val="0"/>
          <w:color w:val="auto"/>
          <w:szCs w:val="21"/>
          <w:highlight w:val="none"/>
        </w:rPr>
      </w:pPr>
      <w:bookmarkStart w:id="279" w:name="_Toc43251300"/>
      <w:bookmarkStart w:id="280" w:name="_Toc12842"/>
      <w:bookmarkStart w:id="281" w:name="_Toc12020"/>
      <w:bookmarkStart w:id="282" w:name="_Toc503284278"/>
      <w:bookmarkStart w:id="283" w:name="_Toc25867"/>
      <w:r>
        <w:rPr>
          <w:rStyle w:val="61"/>
          <w:rFonts w:hint="eastAsia" w:ascii="宋体" w:hAnsi="宋体" w:cs="宋体"/>
          <w:b w:val="0"/>
          <w:color w:val="auto"/>
          <w:szCs w:val="21"/>
          <w:highlight w:val="none"/>
        </w:rPr>
        <w:t>2、依据设计文件的要求，本招标工程项目的材料、设备、施工须达到中华人民共和国以及省、市或行业的工程建设标准、规范的要求。</w:t>
      </w:r>
      <w:bookmarkEnd w:id="279"/>
      <w:bookmarkEnd w:id="280"/>
      <w:bookmarkEnd w:id="281"/>
      <w:bookmarkEnd w:id="282"/>
      <w:bookmarkEnd w:id="283"/>
    </w:p>
    <w:p>
      <w:pPr>
        <w:pStyle w:val="3"/>
        <w:jc w:val="left"/>
        <w:rPr>
          <w:rStyle w:val="61"/>
          <w:rFonts w:hint="eastAsia" w:ascii="宋体" w:hAnsi="宋体" w:cs="宋体"/>
          <w:b w:val="0"/>
          <w:color w:val="auto"/>
          <w:szCs w:val="21"/>
          <w:highlight w:val="none"/>
        </w:rPr>
      </w:pPr>
      <w:bookmarkStart w:id="284" w:name="_Toc3345"/>
      <w:bookmarkStart w:id="285" w:name="_Toc2272569"/>
      <w:bookmarkStart w:id="286" w:name="_Toc21525514"/>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施工现场建筑垃圾源头减量的具体要求和建筑垃圾综合利用产品的使用要求：</w:t>
      </w:r>
      <w:bookmarkEnd w:id="284"/>
    </w:p>
    <w:p>
      <w:pPr>
        <w:pStyle w:val="3"/>
        <w:jc w:val="left"/>
        <w:rPr>
          <w:rStyle w:val="61"/>
          <w:rFonts w:hint="eastAsia" w:ascii="宋体" w:hAnsi="宋体" w:cs="宋体"/>
          <w:b w:val="0"/>
          <w:color w:val="auto"/>
          <w:szCs w:val="21"/>
          <w:highlight w:val="none"/>
        </w:rPr>
      </w:pPr>
      <w:bookmarkStart w:id="287" w:name="_Toc18804"/>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.1投标人应当建立建筑垃圾管理台账，分类收集、贮存和及时清运施工过程中产生的建筑垃圾，采取有效措施防止混合已分类的建筑垃圾；</w:t>
      </w:r>
      <w:bookmarkEnd w:id="287"/>
    </w:p>
    <w:p>
      <w:pPr>
        <w:pStyle w:val="3"/>
        <w:jc w:val="left"/>
        <w:rPr>
          <w:rStyle w:val="61"/>
          <w:rFonts w:hint="eastAsia" w:ascii="宋体" w:hAnsi="宋体" w:cs="宋体"/>
          <w:b w:val="0"/>
          <w:color w:val="auto"/>
          <w:szCs w:val="21"/>
          <w:highlight w:val="none"/>
        </w:rPr>
      </w:pPr>
      <w:bookmarkStart w:id="288" w:name="_Toc2137"/>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.2投标人应优化施工组织设计，实现精准下料、精细管理，降低建筑材料损耗率；</w:t>
      </w:r>
      <w:bookmarkEnd w:id="288"/>
    </w:p>
    <w:p>
      <w:pPr>
        <w:pStyle w:val="3"/>
        <w:jc w:val="left"/>
        <w:rPr>
          <w:rStyle w:val="61"/>
          <w:rFonts w:hint="eastAsia" w:ascii="宋体" w:hAnsi="宋体" w:cs="宋体"/>
          <w:b w:val="0"/>
          <w:color w:val="auto"/>
          <w:szCs w:val="21"/>
          <w:highlight w:val="none"/>
        </w:rPr>
      </w:pPr>
      <w:bookmarkStart w:id="289" w:name="_Toc31533"/>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.3投标人应严格按要求控制进场材料和设备的质量，减少因质量问题导致的返工或修补。加强对已完工工程的成品保护，避免二次损坏；</w:t>
      </w:r>
      <w:bookmarkEnd w:id="289"/>
    </w:p>
    <w:p>
      <w:pPr>
        <w:pStyle w:val="3"/>
        <w:jc w:val="left"/>
        <w:rPr>
          <w:rStyle w:val="61"/>
          <w:rFonts w:hint="eastAsia" w:ascii="宋体" w:hAnsi="宋体" w:cs="宋体"/>
          <w:b w:val="0"/>
          <w:color w:val="auto"/>
          <w:szCs w:val="21"/>
          <w:highlight w:val="none"/>
        </w:rPr>
      </w:pPr>
      <w:bookmarkStart w:id="290" w:name="_Toc12568"/>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.4投标人应实时统计并监控建筑垃圾产生量，及时采取针对性措施降低建筑垃圾排放量；</w:t>
      </w:r>
      <w:bookmarkEnd w:id="290"/>
    </w:p>
    <w:p>
      <w:pPr>
        <w:pStyle w:val="3"/>
        <w:jc w:val="left"/>
        <w:rPr>
          <w:rStyle w:val="61"/>
          <w:rFonts w:hint="eastAsia" w:ascii="宋体" w:hAnsi="宋体" w:cs="宋体"/>
          <w:b w:val="0"/>
          <w:color w:val="auto"/>
          <w:szCs w:val="21"/>
          <w:highlight w:val="none"/>
        </w:rPr>
      </w:pPr>
      <w:bookmarkStart w:id="291" w:name="_Toc19790"/>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.5鼓励投标人选择技术指标符合设计要求及满足使用功能的建筑垃圾综合利用产品；</w:t>
      </w:r>
      <w:bookmarkEnd w:id="291"/>
    </w:p>
    <w:p>
      <w:pPr>
        <w:pStyle w:val="3"/>
        <w:jc w:val="left"/>
        <w:rPr>
          <w:rStyle w:val="61"/>
          <w:rFonts w:hint="eastAsia" w:ascii="宋体" w:hAnsi="宋体" w:cs="宋体"/>
          <w:b w:val="0"/>
          <w:color w:val="auto"/>
          <w:szCs w:val="21"/>
          <w:highlight w:val="none"/>
        </w:rPr>
      </w:pPr>
      <w:bookmarkStart w:id="292" w:name="_Toc17210"/>
      <w:r>
        <w:rPr>
          <w:rStyle w:val="61"/>
          <w:rFonts w:hint="eastAsia" w:ascii="宋体" w:hAnsi="宋体" w:cs="宋体"/>
          <w:b w:val="0"/>
          <w:color w:val="auto"/>
          <w:szCs w:val="21"/>
          <w:highlight w:val="none"/>
          <w:lang w:eastAsia="zh-CN"/>
        </w:rPr>
        <w:t>3</w:t>
      </w:r>
      <w:r>
        <w:rPr>
          <w:rStyle w:val="61"/>
          <w:rFonts w:ascii="宋体" w:hAnsi="宋体" w:cs="宋体"/>
          <w:b w:val="0"/>
          <w:color w:val="auto"/>
          <w:szCs w:val="21"/>
          <w:highlight w:val="none"/>
        </w:rPr>
        <w:t>.6其他要求详见《广东省建筑垃圾管理条例》相关规定。</w:t>
      </w:r>
      <w:bookmarkEnd w:id="292"/>
    </w:p>
    <w:p>
      <w:pPr>
        <w:pStyle w:val="3"/>
        <w:jc w:val="left"/>
        <w:rPr>
          <w:rStyle w:val="61"/>
          <w:rFonts w:hint="eastAsia" w:ascii="宋体" w:hAnsi="宋体" w:cs="宋体"/>
          <w:b w:val="0"/>
          <w:color w:val="auto"/>
          <w:szCs w:val="21"/>
          <w:highlight w:val="none"/>
        </w:rPr>
        <w:sectPr>
          <w:headerReference r:id="rId16" w:type="default"/>
          <w:footerReference r:id="rId17" w:type="default"/>
          <w:pgSz w:w="11907" w:h="16839"/>
          <w:pgMar w:top="1440" w:right="1083" w:bottom="1440" w:left="1083" w:header="0" w:footer="1476" w:gutter="0"/>
          <w:cols w:space="720" w:num="1"/>
        </w:sectPr>
      </w:pPr>
    </w:p>
    <w:p>
      <w:pPr>
        <w:rPr>
          <w:rFonts w:hint="eastAsia"/>
          <w:color w:val="auto"/>
          <w:highlight w:val="none"/>
        </w:rPr>
      </w:pPr>
    </w:p>
    <w:p>
      <w:pPr>
        <w:pStyle w:val="3"/>
        <w:rPr>
          <w:color w:val="auto"/>
          <w:highlight w:val="none"/>
        </w:rPr>
      </w:pPr>
      <w:bookmarkStart w:id="293" w:name="_Toc13438"/>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85"/>
      <w:bookmarkEnd w:id="286"/>
      <w:bookmarkEnd w:id="293"/>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3"/>
        <w:rPr>
          <w:color w:val="auto"/>
          <w:highlight w:val="none"/>
        </w:rPr>
      </w:pPr>
      <w:r>
        <w:rPr>
          <w:color w:val="auto"/>
          <w:sz w:val="24"/>
          <w:szCs w:val="24"/>
          <w:highlight w:val="none"/>
        </w:rPr>
        <w:br w:type="page"/>
      </w:r>
      <w:bookmarkStart w:id="294" w:name="_Toc2272570"/>
      <w:bookmarkStart w:id="295" w:name="_Toc3974"/>
      <w:bookmarkStart w:id="296" w:name="_Toc21525515"/>
      <w:r>
        <w:rPr>
          <w:rFonts w:hint="eastAsia"/>
          <w:color w:val="auto"/>
          <w:highlight w:val="none"/>
        </w:rPr>
        <w:t>第七章</w:t>
      </w:r>
      <w:r>
        <w:rPr>
          <w:color w:val="auto"/>
          <w:highlight w:val="none"/>
        </w:rPr>
        <w:t xml:space="preserve">  </w:t>
      </w:r>
      <w:r>
        <w:rPr>
          <w:rFonts w:hint="eastAsia"/>
          <w:color w:val="auto"/>
          <w:highlight w:val="none"/>
        </w:rPr>
        <w:t>工程量清单</w:t>
      </w:r>
      <w:bookmarkEnd w:id="294"/>
      <w:bookmarkEnd w:id="295"/>
      <w:bookmarkEnd w:id="296"/>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297" w:name="_Toc2272571"/>
      <w:bookmarkStart w:id="298" w:name="_Toc14882"/>
      <w:bookmarkStart w:id="299" w:name="_Toc21525516"/>
      <w:r>
        <w:rPr>
          <w:rFonts w:hint="eastAsia"/>
          <w:color w:val="auto"/>
          <w:highlight w:val="none"/>
        </w:rPr>
        <w:t>第八章</w:t>
      </w:r>
      <w:r>
        <w:rPr>
          <w:color w:val="auto"/>
          <w:highlight w:val="none"/>
        </w:rPr>
        <w:t xml:space="preserve">  </w:t>
      </w:r>
      <w:r>
        <w:rPr>
          <w:rFonts w:hint="eastAsia"/>
          <w:color w:val="auto"/>
          <w:highlight w:val="none"/>
        </w:rPr>
        <w:t>最高投标限价</w:t>
      </w:r>
      <w:bookmarkEnd w:id="297"/>
      <w:bookmarkEnd w:id="298"/>
      <w:bookmarkEnd w:id="299"/>
    </w:p>
    <w:p>
      <w:pPr>
        <w:spacing w:line="360" w:lineRule="auto"/>
        <w:ind w:firstLine="48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详见最高投标限价公布函。</w:t>
      </w:r>
    </w:p>
    <w:p>
      <w:pPr>
        <w:spacing w:line="360" w:lineRule="auto"/>
        <w:ind w:firstLine="48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53</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82207"/>
    </w:sdtPr>
    <w:sdtContent>
      <w:p>
        <w:pPr>
          <w:pStyle w:val="25"/>
          <w:jc w:val="right"/>
        </w:pPr>
        <w:r>
          <w:fldChar w:fldCharType="begin"/>
        </w:r>
        <w:r>
          <w:instrText xml:space="preserve">PAGE   \* MERGEFORMAT</w:instrText>
        </w:r>
        <w:r>
          <w:fldChar w:fldCharType="separate"/>
        </w:r>
        <w:r>
          <w:rPr>
            <w:lang w:val="zh-CN"/>
          </w:rPr>
          <w:t>50</w:t>
        </w:r>
        <w:r>
          <w:fldChar w:fldCharType="end"/>
        </w:r>
      </w:p>
    </w:sdtContent>
  </w:sdt>
  <w:p>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67</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1"/>
      </w:rPr>
      <w:fldChar w:fldCharType="begin"/>
    </w:r>
    <w:r>
      <w:rPr>
        <w:rStyle w:val="41"/>
      </w:rPr>
      <w:instrText xml:space="preserve"> PAGE </w:instrText>
    </w:r>
    <w:r>
      <w:rPr>
        <w:rStyle w:val="41"/>
      </w:rPr>
      <w:fldChar w:fldCharType="separate"/>
    </w:r>
    <w:r>
      <w:rPr>
        <w:rStyle w:val="41"/>
      </w:rPr>
      <w:t>54</w:t>
    </w:r>
    <w:r>
      <w:rPr>
        <w:rStyle w:val="4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77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83"/>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68D3D"/>
    <w:multiLevelType w:val="singleLevel"/>
    <w:tmpl w:val="AB368D3D"/>
    <w:lvl w:ilvl="0" w:tentative="0">
      <w:start w:val="31"/>
      <w:numFmt w:val="decimal"/>
      <w:suff w:val="nothing"/>
      <w:lvlText w:val="%1．"/>
      <w:lvlJc w:val="left"/>
    </w:lvl>
  </w:abstractNum>
  <w:abstractNum w:abstractNumId="1">
    <w:nsid w:val="B2409596"/>
    <w:multiLevelType w:val="singleLevel"/>
    <w:tmpl w:val="B2409596"/>
    <w:lvl w:ilvl="0" w:tentative="0">
      <w:start w:val="1"/>
      <w:numFmt w:val="decimal"/>
      <w:lvlText w:val="%1."/>
      <w:lvlJc w:val="left"/>
      <w:pPr>
        <w:ind w:left="425" w:hanging="425"/>
      </w:pPr>
      <w:rPr>
        <w:rFonts w:hint="default"/>
      </w:rPr>
    </w:lvl>
  </w:abstractNum>
  <w:abstractNum w:abstractNumId="2">
    <w:nsid w:val="CA2D4391"/>
    <w:multiLevelType w:val="singleLevel"/>
    <w:tmpl w:val="CA2D4391"/>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6">
    <w:nsid w:val="7370694D"/>
    <w:multiLevelType w:val="multilevel"/>
    <w:tmpl w:val="7370694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5"/>
  </w:num>
  <w:num w:numId="2">
    <w:abstractNumId w:val="7"/>
  </w:num>
  <w:num w:numId="3">
    <w:abstractNumId w:val="1"/>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YjVkM2YxZjI4YzczOTI0MTdiYWE5ZDExNzk1YmIifQ=="/>
  </w:docVars>
  <w:rsids>
    <w:rsidRoot w:val="007B41BE"/>
    <w:rsid w:val="00006429"/>
    <w:rsid w:val="000200EE"/>
    <w:rsid w:val="000320AB"/>
    <w:rsid w:val="0003663D"/>
    <w:rsid w:val="000425DB"/>
    <w:rsid w:val="0004347B"/>
    <w:rsid w:val="000575F8"/>
    <w:rsid w:val="00065975"/>
    <w:rsid w:val="0006767F"/>
    <w:rsid w:val="00085E30"/>
    <w:rsid w:val="00094639"/>
    <w:rsid w:val="000C1007"/>
    <w:rsid w:val="000C11E0"/>
    <w:rsid w:val="000C2710"/>
    <w:rsid w:val="000C2C31"/>
    <w:rsid w:val="000C38C7"/>
    <w:rsid w:val="000D396E"/>
    <w:rsid w:val="000F0E92"/>
    <w:rsid w:val="000F3F80"/>
    <w:rsid w:val="00112589"/>
    <w:rsid w:val="001130A2"/>
    <w:rsid w:val="00135545"/>
    <w:rsid w:val="001674D3"/>
    <w:rsid w:val="001769A4"/>
    <w:rsid w:val="00181CAA"/>
    <w:rsid w:val="001949DF"/>
    <w:rsid w:val="001B5334"/>
    <w:rsid w:val="001B71D1"/>
    <w:rsid w:val="001C1BB1"/>
    <w:rsid w:val="001C273E"/>
    <w:rsid w:val="001D392E"/>
    <w:rsid w:val="001E0786"/>
    <w:rsid w:val="001E1A86"/>
    <w:rsid w:val="001F50C5"/>
    <w:rsid w:val="00213CF6"/>
    <w:rsid w:val="002164B5"/>
    <w:rsid w:val="0028444F"/>
    <w:rsid w:val="002A27DF"/>
    <w:rsid w:val="002A70A7"/>
    <w:rsid w:val="00300178"/>
    <w:rsid w:val="00336AA3"/>
    <w:rsid w:val="0037385D"/>
    <w:rsid w:val="003879DD"/>
    <w:rsid w:val="0039049E"/>
    <w:rsid w:val="003E43F3"/>
    <w:rsid w:val="003E61FC"/>
    <w:rsid w:val="004219A2"/>
    <w:rsid w:val="00424082"/>
    <w:rsid w:val="004370EC"/>
    <w:rsid w:val="004424B8"/>
    <w:rsid w:val="00451EA6"/>
    <w:rsid w:val="0046136A"/>
    <w:rsid w:val="00477162"/>
    <w:rsid w:val="004B295D"/>
    <w:rsid w:val="004C728D"/>
    <w:rsid w:val="0050213B"/>
    <w:rsid w:val="005041AD"/>
    <w:rsid w:val="00504FF2"/>
    <w:rsid w:val="0052726F"/>
    <w:rsid w:val="00533B4F"/>
    <w:rsid w:val="00554382"/>
    <w:rsid w:val="00575509"/>
    <w:rsid w:val="005866FB"/>
    <w:rsid w:val="005C212B"/>
    <w:rsid w:val="005C4AB6"/>
    <w:rsid w:val="005D1411"/>
    <w:rsid w:val="006036EF"/>
    <w:rsid w:val="006127D8"/>
    <w:rsid w:val="006158F4"/>
    <w:rsid w:val="0063398A"/>
    <w:rsid w:val="0065308B"/>
    <w:rsid w:val="00673B83"/>
    <w:rsid w:val="00676C82"/>
    <w:rsid w:val="00680BFD"/>
    <w:rsid w:val="006B1C0E"/>
    <w:rsid w:val="006B6B0D"/>
    <w:rsid w:val="006C345F"/>
    <w:rsid w:val="006D3A80"/>
    <w:rsid w:val="006F3576"/>
    <w:rsid w:val="0073229B"/>
    <w:rsid w:val="00746239"/>
    <w:rsid w:val="007744DF"/>
    <w:rsid w:val="00780EC8"/>
    <w:rsid w:val="0079191D"/>
    <w:rsid w:val="00793B30"/>
    <w:rsid w:val="007B41BE"/>
    <w:rsid w:val="007C0968"/>
    <w:rsid w:val="007D0CBC"/>
    <w:rsid w:val="007D6D06"/>
    <w:rsid w:val="008146A8"/>
    <w:rsid w:val="00835C9E"/>
    <w:rsid w:val="00882181"/>
    <w:rsid w:val="008A4C5B"/>
    <w:rsid w:val="008D2515"/>
    <w:rsid w:val="008E4AD1"/>
    <w:rsid w:val="00920E49"/>
    <w:rsid w:val="009477A3"/>
    <w:rsid w:val="00976975"/>
    <w:rsid w:val="00991949"/>
    <w:rsid w:val="009A704D"/>
    <w:rsid w:val="009C625D"/>
    <w:rsid w:val="009E1438"/>
    <w:rsid w:val="00A01D8D"/>
    <w:rsid w:val="00A0387A"/>
    <w:rsid w:val="00A0619D"/>
    <w:rsid w:val="00A20AF3"/>
    <w:rsid w:val="00A227AC"/>
    <w:rsid w:val="00A2579D"/>
    <w:rsid w:val="00A50D34"/>
    <w:rsid w:val="00A64E29"/>
    <w:rsid w:val="00A77EB7"/>
    <w:rsid w:val="00A83ADA"/>
    <w:rsid w:val="00A857ED"/>
    <w:rsid w:val="00A97626"/>
    <w:rsid w:val="00AB4980"/>
    <w:rsid w:val="00AB5B43"/>
    <w:rsid w:val="00AC40F7"/>
    <w:rsid w:val="00AD3DEE"/>
    <w:rsid w:val="00AD5731"/>
    <w:rsid w:val="00AD6716"/>
    <w:rsid w:val="00AE3791"/>
    <w:rsid w:val="00AE4A01"/>
    <w:rsid w:val="00B22E77"/>
    <w:rsid w:val="00B5769C"/>
    <w:rsid w:val="00B66488"/>
    <w:rsid w:val="00B849A8"/>
    <w:rsid w:val="00B874B6"/>
    <w:rsid w:val="00BA702D"/>
    <w:rsid w:val="00BC7B91"/>
    <w:rsid w:val="00BD3A23"/>
    <w:rsid w:val="00BE1732"/>
    <w:rsid w:val="00BE216D"/>
    <w:rsid w:val="00C17AD6"/>
    <w:rsid w:val="00C2307C"/>
    <w:rsid w:val="00C254EF"/>
    <w:rsid w:val="00C267C0"/>
    <w:rsid w:val="00C32C1E"/>
    <w:rsid w:val="00C33D00"/>
    <w:rsid w:val="00C3703A"/>
    <w:rsid w:val="00C408D3"/>
    <w:rsid w:val="00C75AEA"/>
    <w:rsid w:val="00C81F53"/>
    <w:rsid w:val="00C82C8A"/>
    <w:rsid w:val="00C8578D"/>
    <w:rsid w:val="00CD156B"/>
    <w:rsid w:val="00CD451C"/>
    <w:rsid w:val="00D0090D"/>
    <w:rsid w:val="00D05E2F"/>
    <w:rsid w:val="00D06AFB"/>
    <w:rsid w:val="00D50C75"/>
    <w:rsid w:val="00D60911"/>
    <w:rsid w:val="00D646F3"/>
    <w:rsid w:val="00D64AAD"/>
    <w:rsid w:val="00D75B45"/>
    <w:rsid w:val="00D84E64"/>
    <w:rsid w:val="00DB6CBE"/>
    <w:rsid w:val="00DF0249"/>
    <w:rsid w:val="00E06EEC"/>
    <w:rsid w:val="00E10990"/>
    <w:rsid w:val="00E21EBC"/>
    <w:rsid w:val="00E22EAB"/>
    <w:rsid w:val="00E3063A"/>
    <w:rsid w:val="00E423BC"/>
    <w:rsid w:val="00E457F6"/>
    <w:rsid w:val="00E60CBB"/>
    <w:rsid w:val="00E638F3"/>
    <w:rsid w:val="00E70809"/>
    <w:rsid w:val="00E91172"/>
    <w:rsid w:val="00E9344A"/>
    <w:rsid w:val="00EA534F"/>
    <w:rsid w:val="00EB6530"/>
    <w:rsid w:val="00EC014E"/>
    <w:rsid w:val="00EC259D"/>
    <w:rsid w:val="00EC2950"/>
    <w:rsid w:val="00EC709A"/>
    <w:rsid w:val="00EF56CA"/>
    <w:rsid w:val="00F40301"/>
    <w:rsid w:val="00F40C0E"/>
    <w:rsid w:val="00F42086"/>
    <w:rsid w:val="00F7129C"/>
    <w:rsid w:val="00F7467F"/>
    <w:rsid w:val="00F83252"/>
    <w:rsid w:val="00F903CD"/>
    <w:rsid w:val="00FA5926"/>
    <w:rsid w:val="00FC5596"/>
    <w:rsid w:val="012859DF"/>
    <w:rsid w:val="012862E0"/>
    <w:rsid w:val="01912822"/>
    <w:rsid w:val="020153E9"/>
    <w:rsid w:val="022C0942"/>
    <w:rsid w:val="02E92345"/>
    <w:rsid w:val="03A95216"/>
    <w:rsid w:val="03C63023"/>
    <w:rsid w:val="04CB3E7D"/>
    <w:rsid w:val="053B310D"/>
    <w:rsid w:val="05716ECB"/>
    <w:rsid w:val="05935ABA"/>
    <w:rsid w:val="062370D4"/>
    <w:rsid w:val="064E65F8"/>
    <w:rsid w:val="06990D05"/>
    <w:rsid w:val="069D2020"/>
    <w:rsid w:val="072F44E3"/>
    <w:rsid w:val="07A34FF1"/>
    <w:rsid w:val="08F724AD"/>
    <w:rsid w:val="09922983"/>
    <w:rsid w:val="09F33618"/>
    <w:rsid w:val="0A922DED"/>
    <w:rsid w:val="0B18224D"/>
    <w:rsid w:val="0BBC4223"/>
    <w:rsid w:val="0BFB63DB"/>
    <w:rsid w:val="0C493ED1"/>
    <w:rsid w:val="0C990D6B"/>
    <w:rsid w:val="0CBB102F"/>
    <w:rsid w:val="0CC62F7A"/>
    <w:rsid w:val="0E032C8D"/>
    <w:rsid w:val="0E39635B"/>
    <w:rsid w:val="0E831AE5"/>
    <w:rsid w:val="0ED63EFE"/>
    <w:rsid w:val="0EF05B91"/>
    <w:rsid w:val="0F7E4AB5"/>
    <w:rsid w:val="0FDC48C0"/>
    <w:rsid w:val="0FEF45D8"/>
    <w:rsid w:val="1033671D"/>
    <w:rsid w:val="10C607D4"/>
    <w:rsid w:val="116E272C"/>
    <w:rsid w:val="11BE163A"/>
    <w:rsid w:val="11E35BA1"/>
    <w:rsid w:val="11E8746F"/>
    <w:rsid w:val="121C57F5"/>
    <w:rsid w:val="124F79E9"/>
    <w:rsid w:val="12C02EFB"/>
    <w:rsid w:val="12CA0DD4"/>
    <w:rsid w:val="135E56F6"/>
    <w:rsid w:val="141D7112"/>
    <w:rsid w:val="14D34591"/>
    <w:rsid w:val="1528122B"/>
    <w:rsid w:val="163065E9"/>
    <w:rsid w:val="1687517E"/>
    <w:rsid w:val="16E865EE"/>
    <w:rsid w:val="17CF1E32"/>
    <w:rsid w:val="18151F96"/>
    <w:rsid w:val="181C07FE"/>
    <w:rsid w:val="18233D92"/>
    <w:rsid w:val="18251EC7"/>
    <w:rsid w:val="18586E57"/>
    <w:rsid w:val="19425463"/>
    <w:rsid w:val="19592823"/>
    <w:rsid w:val="1A2F4635"/>
    <w:rsid w:val="1ACF1B46"/>
    <w:rsid w:val="1AD03189"/>
    <w:rsid w:val="1AF75BCA"/>
    <w:rsid w:val="1B425EC3"/>
    <w:rsid w:val="1B6046B1"/>
    <w:rsid w:val="1B7B1927"/>
    <w:rsid w:val="1D7F49B2"/>
    <w:rsid w:val="1DAC40AF"/>
    <w:rsid w:val="1DF60FCA"/>
    <w:rsid w:val="1E167DA9"/>
    <w:rsid w:val="1E486D96"/>
    <w:rsid w:val="1EBA5A37"/>
    <w:rsid w:val="1FA1395A"/>
    <w:rsid w:val="23E80503"/>
    <w:rsid w:val="2447791E"/>
    <w:rsid w:val="24A972CC"/>
    <w:rsid w:val="252E0005"/>
    <w:rsid w:val="25DB577D"/>
    <w:rsid w:val="26CF74AD"/>
    <w:rsid w:val="26D67E2C"/>
    <w:rsid w:val="275477D4"/>
    <w:rsid w:val="275E4ED9"/>
    <w:rsid w:val="27714DB7"/>
    <w:rsid w:val="27A71F87"/>
    <w:rsid w:val="28303B7B"/>
    <w:rsid w:val="28790229"/>
    <w:rsid w:val="289B6BAD"/>
    <w:rsid w:val="295178D7"/>
    <w:rsid w:val="2A7A5E78"/>
    <w:rsid w:val="2A880A7B"/>
    <w:rsid w:val="2AF6062B"/>
    <w:rsid w:val="2AFA6460"/>
    <w:rsid w:val="2AFD391A"/>
    <w:rsid w:val="2AFF440D"/>
    <w:rsid w:val="2C6E6B90"/>
    <w:rsid w:val="2DC01F23"/>
    <w:rsid w:val="2DC4660F"/>
    <w:rsid w:val="2E180CEC"/>
    <w:rsid w:val="2EA94D33"/>
    <w:rsid w:val="2FA417C3"/>
    <w:rsid w:val="2FF563EE"/>
    <w:rsid w:val="30997F39"/>
    <w:rsid w:val="315F530D"/>
    <w:rsid w:val="319D1FE7"/>
    <w:rsid w:val="32BF3509"/>
    <w:rsid w:val="336062F5"/>
    <w:rsid w:val="33A16D02"/>
    <w:rsid w:val="34C65CBE"/>
    <w:rsid w:val="35115F87"/>
    <w:rsid w:val="35516B4C"/>
    <w:rsid w:val="3579103D"/>
    <w:rsid w:val="35F92E7B"/>
    <w:rsid w:val="368D5637"/>
    <w:rsid w:val="37073AA7"/>
    <w:rsid w:val="375D203C"/>
    <w:rsid w:val="38026A6F"/>
    <w:rsid w:val="382819FC"/>
    <w:rsid w:val="3856171A"/>
    <w:rsid w:val="39C15447"/>
    <w:rsid w:val="3A6C1087"/>
    <w:rsid w:val="3ACC4283"/>
    <w:rsid w:val="3B2225DD"/>
    <w:rsid w:val="3B484CC6"/>
    <w:rsid w:val="3B9432C7"/>
    <w:rsid w:val="3BA70C12"/>
    <w:rsid w:val="3C223913"/>
    <w:rsid w:val="3C3B2277"/>
    <w:rsid w:val="3CD80FAC"/>
    <w:rsid w:val="3D110B2C"/>
    <w:rsid w:val="3D60411F"/>
    <w:rsid w:val="3DF871B1"/>
    <w:rsid w:val="3F2C2198"/>
    <w:rsid w:val="4028527E"/>
    <w:rsid w:val="41A3115F"/>
    <w:rsid w:val="41E657FF"/>
    <w:rsid w:val="422210F1"/>
    <w:rsid w:val="42BC2818"/>
    <w:rsid w:val="42FF2D1C"/>
    <w:rsid w:val="43170066"/>
    <w:rsid w:val="43741014"/>
    <w:rsid w:val="44801246"/>
    <w:rsid w:val="454D643E"/>
    <w:rsid w:val="454F69F1"/>
    <w:rsid w:val="45A04F83"/>
    <w:rsid w:val="45A8081F"/>
    <w:rsid w:val="45B263A1"/>
    <w:rsid w:val="46372010"/>
    <w:rsid w:val="478D1D86"/>
    <w:rsid w:val="47A95DE3"/>
    <w:rsid w:val="48523C0A"/>
    <w:rsid w:val="49867CF3"/>
    <w:rsid w:val="49F552ED"/>
    <w:rsid w:val="4A3B6AE1"/>
    <w:rsid w:val="4A461F3D"/>
    <w:rsid w:val="4AE75331"/>
    <w:rsid w:val="4B3F6B82"/>
    <w:rsid w:val="4B6B7860"/>
    <w:rsid w:val="4C2032CB"/>
    <w:rsid w:val="4C5D2882"/>
    <w:rsid w:val="4D7417E6"/>
    <w:rsid w:val="4DFA13E7"/>
    <w:rsid w:val="4E3C4E24"/>
    <w:rsid w:val="4E6C325B"/>
    <w:rsid w:val="4EB8094F"/>
    <w:rsid w:val="4F3A25E5"/>
    <w:rsid w:val="504B1150"/>
    <w:rsid w:val="52F0763D"/>
    <w:rsid w:val="53075FED"/>
    <w:rsid w:val="53F92C98"/>
    <w:rsid w:val="545C4D54"/>
    <w:rsid w:val="55214D74"/>
    <w:rsid w:val="57404A40"/>
    <w:rsid w:val="582A1347"/>
    <w:rsid w:val="58BE4750"/>
    <w:rsid w:val="58C1761D"/>
    <w:rsid w:val="58C3061C"/>
    <w:rsid w:val="5943175D"/>
    <w:rsid w:val="59C87E43"/>
    <w:rsid w:val="59C9560C"/>
    <w:rsid w:val="5CDC0081"/>
    <w:rsid w:val="5CDF456F"/>
    <w:rsid w:val="5CEA51C8"/>
    <w:rsid w:val="5D0E1B62"/>
    <w:rsid w:val="5D314285"/>
    <w:rsid w:val="5D572C78"/>
    <w:rsid w:val="5D5E3674"/>
    <w:rsid w:val="5E286A9B"/>
    <w:rsid w:val="5E8A398A"/>
    <w:rsid w:val="5E905FD2"/>
    <w:rsid w:val="5F084F1A"/>
    <w:rsid w:val="5F4B72E8"/>
    <w:rsid w:val="5F562FF3"/>
    <w:rsid w:val="61E67129"/>
    <w:rsid w:val="622457FC"/>
    <w:rsid w:val="626C4459"/>
    <w:rsid w:val="62B86D17"/>
    <w:rsid w:val="630C52F1"/>
    <w:rsid w:val="636B3D8A"/>
    <w:rsid w:val="6490562C"/>
    <w:rsid w:val="64B5517A"/>
    <w:rsid w:val="64C26724"/>
    <w:rsid w:val="653505E7"/>
    <w:rsid w:val="65451B94"/>
    <w:rsid w:val="6545310B"/>
    <w:rsid w:val="658A5755"/>
    <w:rsid w:val="65F36023"/>
    <w:rsid w:val="65FF223C"/>
    <w:rsid w:val="66526610"/>
    <w:rsid w:val="66CE059C"/>
    <w:rsid w:val="672B23E7"/>
    <w:rsid w:val="688007AB"/>
    <w:rsid w:val="689678FE"/>
    <w:rsid w:val="697D1440"/>
    <w:rsid w:val="69B72349"/>
    <w:rsid w:val="6B5477F9"/>
    <w:rsid w:val="6BCF4E29"/>
    <w:rsid w:val="6C7621DF"/>
    <w:rsid w:val="6C787452"/>
    <w:rsid w:val="6CEF4F0F"/>
    <w:rsid w:val="6CF32166"/>
    <w:rsid w:val="6D341690"/>
    <w:rsid w:val="6D361005"/>
    <w:rsid w:val="6D9867E5"/>
    <w:rsid w:val="6DAB59DE"/>
    <w:rsid w:val="6DBF3EF8"/>
    <w:rsid w:val="6E7812D4"/>
    <w:rsid w:val="6F21151B"/>
    <w:rsid w:val="6F4C1D19"/>
    <w:rsid w:val="6F73290D"/>
    <w:rsid w:val="6FB97C34"/>
    <w:rsid w:val="707F1C41"/>
    <w:rsid w:val="70D52114"/>
    <w:rsid w:val="716C4614"/>
    <w:rsid w:val="72741777"/>
    <w:rsid w:val="736D52FD"/>
    <w:rsid w:val="73AA1C34"/>
    <w:rsid w:val="73CC483B"/>
    <w:rsid w:val="749367DF"/>
    <w:rsid w:val="74DF50FB"/>
    <w:rsid w:val="75750A98"/>
    <w:rsid w:val="76515061"/>
    <w:rsid w:val="76780840"/>
    <w:rsid w:val="76D80BC1"/>
    <w:rsid w:val="770A5210"/>
    <w:rsid w:val="77114627"/>
    <w:rsid w:val="77BD1CC3"/>
    <w:rsid w:val="781034B1"/>
    <w:rsid w:val="78B76111"/>
    <w:rsid w:val="78FD72DD"/>
    <w:rsid w:val="79904738"/>
    <w:rsid w:val="79A5034F"/>
    <w:rsid w:val="79D57D57"/>
    <w:rsid w:val="79EB30D7"/>
    <w:rsid w:val="79FF36F2"/>
    <w:rsid w:val="7A0718DE"/>
    <w:rsid w:val="7ADC31A8"/>
    <w:rsid w:val="7BD84DCC"/>
    <w:rsid w:val="7C4C3E63"/>
    <w:rsid w:val="7CBD0AA9"/>
    <w:rsid w:val="7D421296"/>
    <w:rsid w:val="7D910439"/>
    <w:rsid w:val="7E4454A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1"/>
    <w:qFormat/>
    <w:uiPriority w:val="0"/>
    <w:pPr>
      <w:keepNext/>
      <w:keepLines/>
      <w:spacing w:after="120" w:line="360" w:lineRule="auto"/>
      <w:outlineLvl w:val="0"/>
    </w:pPr>
    <w:rPr>
      <w:kern w:val="44"/>
      <w:sz w:val="28"/>
      <w:szCs w:val="28"/>
    </w:rPr>
  </w:style>
  <w:style w:type="paragraph" w:styleId="6">
    <w:name w:val="heading 2"/>
    <w:basedOn w:val="1"/>
    <w:next w:val="1"/>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4"/>
    <w:qFormat/>
    <w:uiPriority w:val="0"/>
    <w:pPr>
      <w:numPr>
        <w:ilvl w:val="4"/>
      </w:numPr>
      <w:spacing w:line="240" w:lineRule="exact"/>
      <w:outlineLvl w:val="4"/>
    </w:pPr>
  </w:style>
  <w:style w:type="paragraph" w:styleId="11">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rPr>
      <w:rFonts w:ascii="Times New Roman" w:hAnsi="Times New Roman"/>
      <w:szCs w:val="20"/>
    </w:rPr>
  </w:style>
  <w:style w:type="paragraph" w:styleId="4">
    <w:name w:val="Title"/>
    <w:basedOn w:val="1"/>
    <w:link w:val="70"/>
    <w:qFormat/>
    <w:uiPriority w:val="0"/>
    <w:pPr>
      <w:spacing w:before="120" w:after="60"/>
      <w:jc w:val="center"/>
    </w:pPr>
    <w:rPr>
      <w:rFonts w:ascii="Arial" w:hAnsi="Arial"/>
      <w:b/>
      <w:sz w:val="44"/>
      <w:szCs w:val="20"/>
    </w:rPr>
  </w:style>
  <w:style w:type="paragraph" w:styleId="5">
    <w:name w:val="Body Text First Indent"/>
    <w:basedOn w:val="2"/>
    <w:link w:val="74"/>
    <w:qFormat/>
    <w:uiPriority w:val="0"/>
    <w:pPr>
      <w:ind w:firstLine="420"/>
    </w:pPr>
  </w:style>
  <w:style w:type="paragraph" w:styleId="9">
    <w:name w:val="Normal Indent"/>
    <w:basedOn w:val="1"/>
    <w:next w:val="1"/>
    <w:link w:val="122"/>
    <w:qFormat/>
    <w:uiPriority w:val="0"/>
    <w:pPr>
      <w:ind w:firstLine="420"/>
    </w:pPr>
    <w:rPr>
      <w:rFonts w:ascii="Times New Roman" w:hAnsi="Times New Roman"/>
      <w:szCs w:val="20"/>
    </w:rPr>
  </w:style>
  <w:style w:type="paragraph" w:styleId="15">
    <w:name w:val="Document Map"/>
    <w:basedOn w:val="1"/>
    <w:link w:val="80"/>
    <w:qFormat/>
    <w:uiPriority w:val="0"/>
    <w:pPr>
      <w:shd w:val="clear" w:color="auto" w:fill="000080"/>
    </w:pPr>
    <w:rPr>
      <w:rFonts w:ascii="Times New Roman" w:hAnsi="Times New Roman"/>
      <w:szCs w:val="20"/>
    </w:rPr>
  </w:style>
  <w:style w:type="paragraph" w:styleId="16">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7">
    <w:name w:val="Body Text Indent"/>
    <w:basedOn w:val="1"/>
    <w:next w:val="18"/>
    <w:link w:val="78"/>
    <w:qFormat/>
    <w:uiPriority w:val="0"/>
    <w:pPr>
      <w:ind w:firstLine="570"/>
    </w:pPr>
    <w:rPr>
      <w:rFonts w:ascii="Times New Roman" w:hAnsi="Times New Roman"/>
      <w:sz w:val="28"/>
      <w:szCs w:val="20"/>
    </w:rPr>
  </w:style>
  <w:style w:type="paragraph" w:styleId="18">
    <w:name w:val="envelope return"/>
    <w:basedOn w:val="1"/>
    <w:qFormat/>
    <w:uiPriority w:val="0"/>
    <w:pPr>
      <w:snapToGrid w:val="0"/>
    </w:pPr>
    <w:rPr>
      <w:rFonts w:ascii="Arial" w:hAnsi="Arial"/>
      <w:szCs w:val="24"/>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2"/>
    <w:qFormat/>
    <w:uiPriority w:val="0"/>
    <w:rPr>
      <w:rFonts w:ascii="宋体" w:hAnsi="Courier New"/>
      <w:szCs w:val="20"/>
    </w:rPr>
  </w:style>
  <w:style w:type="paragraph" w:styleId="21">
    <w:name w:val="Date"/>
    <w:basedOn w:val="1"/>
    <w:next w:val="1"/>
    <w:link w:val="76"/>
    <w:qFormat/>
    <w:uiPriority w:val="0"/>
    <w:rPr>
      <w:rFonts w:ascii="Times New Roman" w:hAnsi="Times New Roman"/>
      <w:szCs w:val="20"/>
    </w:rPr>
  </w:style>
  <w:style w:type="paragraph" w:styleId="22">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3">
    <w:name w:val="endnote text"/>
    <w:basedOn w:val="1"/>
    <w:link w:val="93"/>
    <w:qFormat/>
    <w:uiPriority w:val="0"/>
    <w:pPr>
      <w:snapToGrid w:val="0"/>
      <w:jc w:val="left"/>
    </w:pPr>
    <w:rPr>
      <w:rFonts w:ascii="Times New Roman" w:hAnsi="Times New Roman"/>
      <w:szCs w:val="20"/>
    </w:rPr>
  </w:style>
  <w:style w:type="paragraph" w:styleId="24">
    <w:name w:val="Balloon Text"/>
    <w:basedOn w:val="1"/>
    <w:link w:val="103"/>
    <w:qFormat/>
    <w:uiPriority w:val="0"/>
    <w:rPr>
      <w:rFonts w:ascii="Times New Roman" w:hAnsi="Times New Roman"/>
      <w:sz w:val="18"/>
      <w:szCs w:val="18"/>
    </w:rPr>
  </w:style>
  <w:style w:type="paragraph" w:styleId="25">
    <w:name w:val="footer"/>
    <w:basedOn w:val="1"/>
    <w:link w:val="60"/>
    <w:unhideWhenUsed/>
    <w:qFormat/>
    <w:uiPriority w:val="99"/>
    <w:pPr>
      <w:tabs>
        <w:tab w:val="center" w:pos="4153"/>
        <w:tab w:val="right" w:pos="8306"/>
      </w:tabs>
      <w:snapToGrid w:val="0"/>
      <w:jc w:val="left"/>
    </w:pPr>
    <w:rPr>
      <w:sz w:val="18"/>
      <w:szCs w:val="18"/>
    </w:rPr>
  </w:style>
  <w:style w:type="paragraph" w:styleId="26">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0"/>
    <w:qFormat/>
    <w:uiPriority w:val="0"/>
    <w:rPr>
      <w:rFonts w:ascii="宋体" w:hAnsi="宋体"/>
      <w:szCs w:val="24"/>
      <w:u w:val="single"/>
    </w:rPr>
  </w:style>
  <w:style w:type="paragraph" w:styleId="32">
    <w:name w:val="Normal (Web)"/>
    <w:basedOn w:val="1"/>
    <w:qFormat/>
    <w:uiPriority w:val="0"/>
    <w:rPr>
      <w:rFonts w:ascii="Times New Roman" w:hAnsi="Times New Roman" w:eastAsia="等线" w:cs="等线"/>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110"/>
    <w:qFormat/>
    <w:uiPriority w:val="0"/>
    <w:rPr>
      <w:b/>
      <w:bCs/>
    </w:rPr>
  </w:style>
  <w:style w:type="paragraph" w:styleId="35">
    <w:name w:val="Body Text First Indent 2"/>
    <w:basedOn w:val="17"/>
    <w:link w:val="113"/>
    <w:unhideWhenUsed/>
    <w:qFormat/>
    <w:uiPriority w:val="99"/>
    <w:pPr>
      <w:spacing w:after="120"/>
      <w:ind w:left="420" w:leftChars="200" w:firstLine="420" w:firstLineChars="200"/>
    </w:pPr>
    <w:rPr>
      <w:rFonts w:ascii="Calibri" w:hAnsi="Calibri"/>
      <w:sz w:val="21"/>
      <w:szCs w:val="2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paragraph" w:customStyle="1" w:styleId="46">
    <w:name w:val="样式 宋体 行距: 1.5 倍行距"/>
    <w:basedOn w:val="1"/>
    <w:qFormat/>
    <w:uiPriority w:val="0"/>
    <w:pPr>
      <w:jc w:val="center"/>
    </w:pPr>
    <w:rPr>
      <w:rFonts w:ascii="Calibri" w:hAnsi="Calibri"/>
      <w:b/>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字符1"/>
    <w:link w:val="7"/>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字符1"/>
    <w:link w:val="26"/>
    <w:qFormat/>
    <w:uiPriority w:val="99"/>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字符1"/>
    <w:link w:val="25"/>
    <w:qFormat/>
    <w:uiPriority w:val="99"/>
    <w:rPr>
      <w:rFonts w:ascii="Calibri" w:hAnsi="Calibri" w:eastAsia="宋体" w:cs="Times New Roman"/>
      <w:sz w:val="18"/>
      <w:szCs w:val="18"/>
    </w:rPr>
  </w:style>
  <w:style w:type="character" w:customStyle="1" w:styleId="61">
    <w:name w:val="标题 1 字符1"/>
    <w:link w:val="3"/>
    <w:qFormat/>
    <w:uiPriority w:val="0"/>
    <w:rPr>
      <w:rFonts w:ascii="Arial" w:hAnsi="Arial" w:eastAsia="宋体"/>
      <w:b/>
      <w:kern w:val="44"/>
      <w:sz w:val="28"/>
      <w:szCs w:val="28"/>
    </w:rPr>
  </w:style>
  <w:style w:type="character" w:customStyle="1" w:styleId="62">
    <w:name w:val="标题 2 字符1"/>
    <w:link w:val="6"/>
    <w:qFormat/>
    <w:uiPriority w:val="0"/>
    <w:rPr>
      <w:rFonts w:ascii="Arial" w:hAnsi="Arial" w:eastAsia="宋体" w:cs="Times New Roman"/>
      <w:b/>
      <w:color w:val="000000"/>
      <w:sz w:val="24"/>
      <w:szCs w:val="24"/>
    </w:rPr>
  </w:style>
  <w:style w:type="character" w:customStyle="1" w:styleId="63">
    <w:name w:val="标题 4 字符1"/>
    <w:link w:val="8"/>
    <w:qFormat/>
    <w:uiPriority w:val="0"/>
    <w:rPr>
      <w:rFonts w:ascii="Arial" w:hAnsi="Arial" w:eastAsia="宋体" w:cs="Times New Roman"/>
      <w:color w:val="000000"/>
      <w:szCs w:val="21"/>
    </w:rPr>
  </w:style>
  <w:style w:type="character" w:customStyle="1" w:styleId="64">
    <w:name w:val="标题 5 字符1"/>
    <w:link w:val="10"/>
    <w:qFormat/>
    <w:uiPriority w:val="0"/>
    <w:rPr>
      <w:rFonts w:ascii="Arial" w:hAnsi="Arial" w:eastAsia="宋体" w:cs="Times New Roman"/>
      <w:color w:val="000000"/>
      <w:szCs w:val="21"/>
    </w:rPr>
  </w:style>
  <w:style w:type="character" w:customStyle="1" w:styleId="65">
    <w:name w:val="标题 6 字符1"/>
    <w:link w:val="11"/>
    <w:qFormat/>
    <w:uiPriority w:val="0"/>
    <w:rPr>
      <w:rFonts w:ascii="Arial" w:hAnsi="Arial" w:eastAsia="黑体" w:cs="Times New Roman"/>
      <w:b/>
      <w:bCs/>
      <w:sz w:val="24"/>
      <w:szCs w:val="24"/>
    </w:rPr>
  </w:style>
  <w:style w:type="character" w:customStyle="1" w:styleId="66">
    <w:name w:val="标题 7 字符1"/>
    <w:link w:val="12"/>
    <w:qFormat/>
    <w:uiPriority w:val="0"/>
    <w:rPr>
      <w:rFonts w:ascii="Times New Roman" w:hAnsi="Times New Roman" w:eastAsia="宋体" w:cs="Times New Roman"/>
      <w:b/>
      <w:sz w:val="24"/>
      <w:szCs w:val="20"/>
    </w:rPr>
  </w:style>
  <w:style w:type="character" w:customStyle="1" w:styleId="67">
    <w:name w:val="标题 8 字符1"/>
    <w:link w:val="13"/>
    <w:qFormat/>
    <w:uiPriority w:val="0"/>
    <w:rPr>
      <w:rFonts w:ascii="Arial" w:hAnsi="Arial" w:eastAsia="黑体" w:cs="Times New Roman"/>
      <w:sz w:val="24"/>
      <w:szCs w:val="20"/>
    </w:rPr>
  </w:style>
  <w:style w:type="character" w:customStyle="1" w:styleId="68">
    <w:name w:val="标题 9 字符1"/>
    <w:link w:val="14"/>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字符1"/>
    <w:link w:val="4"/>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字符1"/>
    <w:link w:val="2"/>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字符1"/>
    <w:link w:val="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字符1"/>
    <w:link w:val="21"/>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字符1"/>
    <w:link w:val="17"/>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字符1"/>
    <w:link w:val="15"/>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字符1"/>
    <w:link w:val="20"/>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字符1"/>
    <w:link w:val="22"/>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字符1"/>
    <w:link w:val="29"/>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字符1"/>
    <w:link w:val="31"/>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字符1"/>
    <w:link w:val="23"/>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9"/>
    <w:qFormat/>
    <w:uiPriority w:val="0"/>
    <w:pPr>
      <w:ind w:firstLine="0"/>
    </w:pPr>
    <w:rPr>
      <w:rFonts w:ascii="仿宋_GB2312" w:eastAsia="仿宋_GB2312"/>
      <w:sz w:val="30"/>
      <w:szCs w:val="24"/>
    </w:rPr>
  </w:style>
  <w:style w:type="paragraph" w:customStyle="1" w:styleId="97">
    <w:name w:val="Char Char Char1 Char"/>
    <w:basedOn w:val="15"/>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字符1"/>
    <w:link w:val="24"/>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字符1"/>
    <w:link w:val="16"/>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字符1"/>
    <w:link w:val="28"/>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字符1"/>
    <w:link w:val="34"/>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character" w:customStyle="1" w:styleId="113">
    <w:name w:val="正文首行缩进 2 字符"/>
    <w:basedOn w:val="78"/>
    <w:link w:val="35"/>
    <w:qFormat/>
    <w:uiPriority w:val="99"/>
    <w:rPr>
      <w:rFonts w:ascii="Calibri" w:hAnsi="Calibri" w:eastAsia="宋体" w:cs="Times New Roman"/>
      <w:kern w:val="2"/>
      <w:sz w:val="21"/>
      <w:szCs w:val="22"/>
    </w:rPr>
  </w:style>
  <w:style w:type="paragraph" w:customStyle="1" w:styleId="114">
    <w:name w:val="正文文本3"/>
    <w:basedOn w:val="1"/>
    <w:qFormat/>
    <w:uiPriority w:val="0"/>
    <w:pPr>
      <w:shd w:val="clear" w:color="auto" w:fill="FFFFFF"/>
      <w:spacing w:line="0" w:lineRule="atLeast"/>
      <w:jc w:val="left"/>
    </w:pPr>
    <w:rPr>
      <w:rFonts w:ascii="宋体" w:hAnsi="宋体"/>
      <w:kern w:val="0"/>
      <w:sz w:val="19"/>
      <w:szCs w:val="19"/>
    </w:rPr>
  </w:style>
  <w:style w:type="character" w:customStyle="1" w:styleId="115">
    <w:name w:val="文一 Char"/>
    <w:link w:val="116"/>
    <w:qFormat/>
    <w:uiPriority w:val="0"/>
    <w:rPr>
      <w:rFonts w:ascii="Times New Roman" w:hAnsi="Times New Roman" w:eastAsia="宋体"/>
      <w:spacing w:val="4"/>
      <w:sz w:val="24"/>
      <w:szCs w:val="24"/>
    </w:rPr>
  </w:style>
  <w:style w:type="paragraph" w:customStyle="1" w:styleId="116">
    <w:name w:val="文一"/>
    <w:basedOn w:val="1"/>
    <w:link w:val="115"/>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7">
    <w:name w:val="封二"/>
    <w:basedOn w:val="116"/>
    <w:next w:val="116"/>
    <w:qFormat/>
    <w:uiPriority w:val="0"/>
    <w:pPr>
      <w:ind w:firstLine="0" w:firstLineChars="0"/>
      <w:jc w:val="center"/>
    </w:pPr>
    <w:rPr>
      <w:rFonts w:eastAsia="黑体"/>
      <w:b/>
      <w:sz w:val="36"/>
      <w:szCs w:val="36"/>
    </w:rPr>
  </w:style>
  <w:style w:type="paragraph" w:customStyle="1" w:styleId="118">
    <w:name w:val="封四"/>
    <w:basedOn w:val="116"/>
    <w:next w:val="116"/>
    <w:qFormat/>
    <w:uiPriority w:val="0"/>
    <w:pPr>
      <w:jc w:val="left"/>
    </w:pPr>
    <w:rPr>
      <w:sz w:val="30"/>
      <w:szCs w:val="30"/>
    </w:rPr>
  </w:style>
  <w:style w:type="paragraph" w:customStyle="1" w:styleId="119">
    <w:name w:val="封一"/>
    <w:basedOn w:val="116"/>
    <w:next w:val="116"/>
    <w:qFormat/>
    <w:uiPriority w:val="0"/>
    <w:pPr>
      <w:ind w:firstLine="0" w:firstLineChars="0"/>
      <w:jc w:val="center"/>
    </w:pPr>
    <w:rPr>
      <w:rFonts w:eastAsia="黑体"/>
      <w:b/>
      <w:sz w:val="84"/>
      <w:szCs w:val="84"/>
    </w:rPr>
  </w:style>
  <w:style w:type="paragraph" w:customStyle="1" w:styleId="120">
    <w:name w:val="正题"/>
    <w:basedOn w:val="1"/>
    <w:next w:val="116"/>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21">
    <w:name w:val="文二"/>
    <w:basedOn w:val="1"/>
    <w:qFormat/>
    <w:uiPriority w:val="0"/>
    <w:pPr>
      <w:jc w:val="left"/>
    </w:pPr>
    <w:rPr>
      <w:rFonts w:ascii="宋体" w:hAnsi="宋体"/>
      <w:szCs w:val="21"/>
    </w:rPr>
  </w:style>
  <w:style w:type="character" w:customStyle="1" w:styleId="122">
    <w:name w:val="正文缩进 字符"/>
    <w:link w:val="9"/>
    <w:qFormat/>
    <w:uiPriority w:val="0"/>
    <w:rPr>
      <w:rFonts w:ascii="Times New Roman" w:hAnsi="Times New Roman" w:eastAsia="宋体"/>
      <w:kern w:val="2"/>
      <w:sz w:val="21"/>
    </w:rPr>
  </w:style>
  <w:style w:type="paragraph" w:customStyle="1" w:styleId="123">
    <w:name w:val="修订2"/>
    <w:hidden/>
    <w:unhideWhenUsed/>
    <w:qFormat/>
    <w:uiPriority w:val="99"/>
    <w:rPr>
      <w:rFonts w:ascii="Calibri" w:hAnsi="Calibri" w:eastAsia="宋体" w:cs="Times New Roman"/>
      <w:kern w:val="2"/>
      <w:sz w:val="21"/>
      <w:szCs w:val="22"/>
      <w:lang w:val="en-US" w:eastAsia="zh-CN" w:bidi="ar-SA"/>
    </w:rPr>
  </w:style>
  <w:style w:type="character" w:customStyle="1" w:styleId="124">
    <w:name w:val="NormalCharacter"/>
    <w:qFormat/>
    <w:uiPriority w:val="0"/>
  </w:style>
  <w:style w:type="paragraph" w:customStyle="1" w:styleId="125">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6">
    <w:name w:val="font51"/>
    <w:qFormat/>
    <w:uiPriority w:val="0"/>
    <w:rPr>
      <w:rFonts w:hint="eastAsia" w:ascii="宋体" w:hAnsi="宋体" w:eastAsia="宋体"/>
      <w:color w:val="000000"/>
      <w:sz w:val="24"/>
      <w:szCs w:val="24"/>
      <w:u w:val="none"/>
    </w:rPr>
  </w:style>
  <w:style w:type="character" w:customStyle="1" w:styleId="127">
    <w:name w:val="font11"/>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9C3B4-2423-40FC-80B3-74CCFEFABD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34126</Words>
  <Characters>35575</Characters>
  <Lines>401</Lines>
  <Paragraphs>113</Paragraphs>
  <TotalTime>0</TotalTime>
  <ScaleCrop>false</ScaleCrop>
  <LinksUpToDate>false</LinksUpToDate>
  <CharactersWithSpaces>37222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2022-04-24T02:20:00Z</dcterms:created>
  <dc:creator>Lenovo</dc:creator>
  <cp:lastModifiedBy>迪迪</cp:lastModifiedBy>
  <cp:lastPrinted>2022-12-13T08:03:00Z</cp:lastPrinted>
  <dcterms:modified xsi:type="dcterms:W3CDTF">2023-07-31T08:30:49Z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315BC83680E5460FAA99C7684B4DD0CE</vt:lpwstr>
  </property>
</Properties>
</file>