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leader="dot" w:pos="9061"/>
        </w:tabs>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kern w:val="2"/>
          <w:sz w:val="28"/>
          <w:szCs w:val="28"/>
          <w:highlight w:val="none"/>
          <w:lang w:val="en-US" w:eastAsia="zh-CN" w:bidi="ar"/>
        </w:rPr>
        <w:t>封开县小型水库除险加固工程（2023年度14宗）监理</w:t>
      </w:r>
      <w:r>
        <w:rPr>
          <w:rFonts w:hint="eastAsia" w:ascii="宋体" w:hAnsi="宋体" w:eastAsia="宋体" w:cs="宋体"/>
          <w:b/>
          <w:color w:val="auto"/>
          <w:sz w:val="28"/>
          <w:szCs w:val="28"/>
          <w:highlight w:val="none"/>
        </w:rPr>
        <w:t>招标公告</w:t>
      </w:r>
    </w:p>
    <w:p>
      <w:pPr>
        <w:rPr>
          <w:rFonts w:hint="eastAsia"/>
          <w:color w:val="auto"/>
          <w:highlight w:val="none"/>
        </w:rPr>
      </w:pP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1</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招标条件</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本招标项目</w:t>
      </w:r>
      <w:r>
        <w:rPr>
          <w:rFonts w:hint="eastAsia" w:asciiTheme="minorEastAsia" w:hAnsiTheme="minorEastAsia" w:eastAsiaTheme="minorEastAsia" w:cstheme="minorEastAsia"/>
          <w:color w:val="auto"/>
          <w:sz w:val="21"/>
          <w:szCs w:val="21"/>
          <w:highlight w:val="none"/>
          <w:u w:val="none"/>
          <w:lang w:val="en-US" w:eastAsia="zh-CN"/>
        </w:rPr>
        <w:t>封开县小型水库除险加固工程（2023年度14宗）监理</w:t>
      </w:r>
      <w:r>
        <w:rPr>
          <w:rFonts w:hint="eastAsia" w:asciiTheme="minorEastAsia" w:hAnsiTheme="minorEastAsia" w:eastAsiaTheme="minorEastAsia" w:cstheme="minorEastAsia"/>
          <w:color w:val="auto"/>
          <w:sz w:val="21"/>
          <w:szCs w:val="21"/>
          <w:highlight w:val="none"/>
          <w:u w:val="none"/>
          <w:lang w:eastAsia="zh-CN"/>
        </w:rPr>
        <w:t>已由</w:t>
      </w:r>
      <w:r>
        <w:rPr>
          <w:rFonts w:hint="eastAsia" w:asciiTheme="minorEastAsia" w:hAnsiTheme="minorEastAsia" w:eastAsiaTheme="minorEastAsia" w:cstheme="minorEastAsia"/>
          <w:color w:val="auto"/>
          <w:sz w:val="21"/>
          <w:szCs w:val="21"/>
          <w:highlight w:val="none"/>
          <w:u w:val="none"/>
          <w:lang w:val="en-US" w:eastAsia="zh-CN"/>
        </w:rPr>
        <w:t>封开县发展和改革局</w:t>
      </w:r>
      <w:r>
        <w:rPr>
          <w:rFonts w:hint="eastAsia" w:asciiTheme="minorEastAsia" w:hAnsiTheme="minorEastAsia" w:eastAsiaTheme="minorEastAsia" w:cstheme="minorEastAsia"/>
          <w:color w:val="auto"/>
          <w:sz w:val="21"/>
          <w:szCs w:val="21"/>
          <w:highlight w:val="none"/>
          <w:u w:val="none"/>
          <w:lang w:eastAsia="zh-CN"/>
        </w:rPr>
        <w:t>以</w:t>
      </w:r>
      <w:r>
        <w:rPr>
          <w:rFonts w:hint="eastAsia" w:asciiTheme="minorEastAsia" w:hAnsiTheme="minorEastAsia" w:eastAsiaTheme="minorEastAsia" w:cstheme="minorEastAsia"/>
          <w:color w:val="auto"/>
          <w:sz w:val="21"/>
          <w:szCs w:val="21"/>
          <w:highlight w:val="none"/>
          <w:u w:val="none"/>
          <w:lang w:val="en-US" w:eastAsia="zh-CN"/>
        </w:rPr>
        <w:t>封发改投审[2022]161号</w:t>
      </w:r>
      <w:r>
        <w:rPr>
          <w:rFonts w:hint="eastAsia" w:asciiTheme="minorEastAsia" w:hAnsiTheme="minorEastAsia" w:eastAsiaTheme="minorEastAsia" w:cstheme="minorEastAsia"/>
          <w:color w:val="auto"/>
          <w:sz w:val="21"/>
          <w:szCs w:val="21"/>
          <w:highlight w:val="none"/>
          <w:u w:val="none"/>
          <w:lang w:eastAsia="zh-CN"/>
        </w:rPr>
        <w:t>批准建设，建设资金由</w:t>
      </w:r>
      <w:r>
        <w:rPr>
          <w:rFonts w:hint="eastAsia" w:asciiTheme="minorEastAsia" w:hAnsiTheme="minorEastAsia" w:eastAsiaTheme="minorEastAsia" w:cstheme="minorEastAsia"/>
          <w:color w:val="auto"/>
          <w:sz w:val="21"/>
          <w:szCs w:val="21"/>
          <w:highlight w:val="none"/>
          <w:u w:val="none"/>
          <w:lang w:val="en-US" w:eastAsia="zh-CN"/>
        </w:rPr>
        <w:t>上级专项资金和地方自筹组成</w:t>
      </w:r>
      <w:r>
        <w:rPr>
          <w:rFonts w:hint="eastAsia" w:asciiTheme="minorEastAsia" w:hAnsiTheme="minorEastAsia" w:eastAsiaTheme="minorEastAsia" w:cstheme="minorEastAsia"/>
          <w:color w:val="auto"/>
          <w:sz w:val="21"/>
          <w:szCs w:val="21"/>
          <w:highlight w:val="none"/>
          <w:u w:val="none"/>
          <w:lang w:eastAsia="zh-CN"/>
        </w:rPr>
        <w:t>,招标人（项目业主）为封开县水利水电工程建设管理中心。项目</w:t>
      </w:r>
      <w:r>
        <w:rPr>
          <w:rFonts w:hint="eastAsia" w:asciiTheme="minorEastAsia" w:hAnsiTheme="minorEastAsia" w:eastAsiaTheme="minorEastAsia" w:cstheme="minorEastAsia"/>
          <w:color w:val="auto"/>
          <w:sz w:val="21"/>
          <w:szCs w:val="21"/>
          <w:highlight w:val="none"/>
          <w:u w:val="none"/>
          <w:lang w:val="en-US" w:eastAsia="zh-CN"/>
        </w:rPr>
        <w:t>已自</w:t>
      </w:r>
      <w:r>
        <w:rPr>
          <w:rFonts w:hint="eastAsia" w:asciiTheme="minorEastAsia" w:hAnsiTheme="minorEastAsia" w:eastAsiaTheme="minorEastAsia" w:cstheme="minorEastAsia"/>
          <w:color w:val="auto"/>
          <w:sz w:val="21"/>
          <w:szCs w:val="21"/>
          <w:highlight w:val="none"/>
          <w:u w:val="none"/>
          <w:lang w:eastAsia="zh-CN"/>
        </w:rPr>
        <w:t>具备招标条件，现对该项目的监理进行公开招标。</w:t>
      </w: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2</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工程概况及招标内容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2.1项目概况</w:t>
      </w:r>
      <w:r>
        <w:rPr>
          <w:rFonts w:hint="eastAsia" w:asciiTheme="minorEastAsia" w:hAnsiTheme="minorEastAsia" w:eastAsiaTheme="minorEastAsia" w:cstheme="minorEastAsia"/>
          <w:color w:val="auto"/>
          <w:sz w:val="21"/>
          <w:szCs w:val="21"/>
          <w:highlight w:val="none"/>
        </w:rPr>
        <w:t>：</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（1）封开县白泥塘水库除险加固工程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工程规模及主要建设内容：工程规模为小(2)型。正常蓄水位为73.13m (珠基，下同),相应库容17.62万m³。除险加固的建设内容：重建上游坝坡护坡；下游坝坡重设草皮护坡；重建溢洪道；重建输水涵等。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（2）封开县大木根水库除险加固工程</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工程规模及主要建设内容：工程规模为小(1)型。正常蓄水位为440.8m (珠基，下同),相应库容66.5万m³。除险加固的建设内容：大坝迎水坡新建混凝土护坡；坝身采用防渗墙加固，坝顶路面硬化等。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（3）封开县大塘水库除险加固工程</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工程规模及主要建设内容：工程规模为小(2)型。正常蓄水位为45.76m (珠基，下同),相应库容13.13万m³。除险加固的建设内容：新建防浪墙；修建下游侧坝坡，重建排水棱体，新建集渗沟，拆除重建溢洪道交通桥等。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（4）封开县东方红水库除险加固工程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工程规模及主要建设内容：工程规模为小(2)型。正常蓄水位为148.5m (珠基，下同),相应库容55.17万m³。除险加固的建设内容：对</w:t>
      </w:r>
      <w:r>
        <w:rPr>
          <w:rFonts w:hint="default" w:asciiTheme="minorEastAsia" w:hAnsiTheme="minorEastAsia" w:eastAsiaTheme="minorEastAsia" w:cstheme="minorEastAsia"/>
          <w:color w:val="auto"/>
          <w:sz w:val="21"/>
          <w:szCs w:val="21"/>
          <w:highlight w:val="none"/>
          <w:u w:val="none"/>
          <w:lang w:val="en-US" w:eastAsia="zh-CN"/>
        </w:rPr>
        <w:t>大坝坝体进行防渗处理，新建坝顶防撞墙，新建迎水坡护坡，修整背水坡，修复贴坡排水；对引水渠进行清淤和修复衬砌，新建开敞式溢洪道；拆除重建输水涵斜拉式进水口、启闭机室，更换闸门和启闭机；装修管养房，储备防汛物资，改造进库道路，增设沉降、渗流量监测设施等</w:t>
      </w:r>
      <w:r>
        <w:rPr>
          <w:rFonts w:hint="eastAsia" w:asciiTheme="minorEastAsia" w:hAnsiTheme="minorEastAsia" w:eastAsiaTheme="minorEastAsia" w:cstheme="minorEastAsia"/>
          <w:color w:val="auto"/>
          <w:sz w:val="21"/>
          <w:szCs w:val="21"/>
          <w:highlight w:val="none"/>
          <w:u w:val="none"/>
          <w:lang w:val="en-US" w:eastAsia="zh-CN"/>
        </w:rPr>
        <w:t>。</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(5)封开县东风水库除险加固工程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工程规模及主要建设内容：工程规模为小(2)型。正常蓄水位为158.8m (珠基，下同),相应库容6.80万m³。</w:t>
      </w:r>
      <w:r>
        <w:rPr>
          <w:rFonts w:hint="default" w:asciiTheme="minorEastAsia" w:hAnsiTheme="minorEastAsia" w:eastAsiaTheme="minorEastAsia" w:cstheme="minorEastAsia"/>
          <w:color w:val="auto"/>
          <w:sz w:val="21"/>
          <w:szCs w:val="21"/>
          <w:highlight w:val="none"/>
          <w:u w:val="none"/>
          <w:lang w:val="en-US" w:eastAsia="zh-CN"/>
        </w:rPr>
        <w:t>除险加固的主要建设内容：对大坝坝体进行防渗处理，新建防浪墙，重建迎水坡砼护坡，修整和重建背水坡草皮护坡，重建贴坡排水，增加马道、步级等；对溢洪道进行部份拆除重建及衬砌加固；拆除输水涵斜拉闸进水口，新建梯级放水涵；新建管养房，改造进库道路，增设沉降、渗流量监测设施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（6）封开县高塘水库除险加固工程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工程规模及主要建设内容：工程规模为小(2)型。正常蓄水位为93.3m (珠基，下同),相应库容28.73万m³。除险加固的建设内容：</w:t>
      </w:r>
      <w:r>
        <w:rPr>
          <w:rFonts w:hint="default" w:asciiTheme="minorEastAsia" w:hAnsiTheme="minorEastAsia" w:eastAsiaTheme="minorEastAsia" w:cstheme="minorEastAsia"/>
          <w:color w:val="auto"/>
          <w:sz w:val="21"/>
          <w:szCs w:val="21"/>
          <w:highlight w:val="none"/>
          <w:u w:val="none"/>
          <w:lang w:val="en-US" w:eastAsia="zh-CN"/>
        </w:rPr>
        <w:t>新建防浪墙，大坝迎水坡新建砼护坡并进行防渗处理，坝顶路面硬底化，修整背水坡，新建排水棱体及排水系统；全段加固溢洪道，增设出口消能措施；拆除重建输水涵进口段，清理涵身内部并对涵身区域防渗加固；进坝道路硬底化处理；新建管理房，增设水库安全监测设施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（7）封开县河蒙水库除险加固工程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工程规模及主要建设内容：工程规模为小(2)型。正常蓄水位为108.94m (珠基，下同),相应库容34.12万m³。除险加固的建设内容：</w:t>
      </w:r>
      <w:r>
        <w:rPr>
          <w:rFonts w:hint="default" w:asciiTheme="minorEastAsia" w:hAnsiTheme="minorEastAsia" w:eastAsiaTheme="minorEastAsia" w:cstheme="minorEastAsia"/>
          <w:color w:val="auto"/>
          <w:sz w:val="21"/>
          <w:szCs w:val="21"/>
          <w:highlight w:val="none"/>
          <w:u w:val="none"/>
          <w:lang w:val="en-US" w:eastAsia="zh-CN"/>
        </w:rPr>
        <w:t>大坝迎水坡新建砼护坡，并采用土工膜防渗，坝顶路面硬底化，新建排水棱体及排水系统，新建上下游坡面巡查步级；重建溢洪道进口段和控制段，控制段顶板兼做交通桥，修复泄槽段底板，增设消能设施；重建输水涵进口段和出口段，拆除原斜拉闸进水口改为塔式进水口，新建工作桥；进坝及库区道路硬底化；新建管养房，重建渡槽，增设水库安全监测设施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（8）封开县九源冲水库除险加固工程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工程规模及主要建设内容：工程规模为小(2)型。正常蓄水位为84.30m (珠基，下同),相应库容25.95万m³。除险加固的建设内容：</w:t>
      </w:r>
      <w:r>
        <w:rPr>
          <w:rFonts w:hint="default" w:asciiTheme="minorEastAsia" w:hAnsiTheme="minorEastAsia" w:eastAsiaTheme="minorEastAsia" w:cstheme="minorEastAsia"/>
          <w:color w:val="auto"/>
          <w:sz w:val="21"/>
          <w:szCs w:val="21"/>
          <w:highlight w:val="none"/>
          <w:u w:val="none"/>
          <w:lang w:val="en-US" w:eastAsia="zh-CN"/>
        </w:rPr>
        <w:t>拆除重建迎水坡砼护坡，坝顶加高，下游坝坡培厚，重设草皮护坡，新建排水棱体；修复溢洪道控制段；修复输水涵；增设大坝观测设施，改造进库道路等。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（9）封开县龙崩水库除险加固工程</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工程规模及主要建设内容：工程规模为小(2)型。正常蓄水位为67.50m (珠基，下同),相应库容9.2万m³。除险加固的建设内容：大坝迎水坡新建砼护坡并采用</w:t>
      </w:r>
      <w:r>
        <w:rPr>
          <w:rFonts w:hint="default" w:asciiTheme="minorEastAsia" w:hAnsiTheme="minorEastAsia" w:eastAsiaTheme="minorEastAsia" w:cstheme="minorEastAsia"/>
          <w:color w:val="auto"/>
          <w:sz w:val="21"/>
          <w:szCs w:val="21"/>
          <w:highlight w:val="none"/>
          <w:u w:val="none"/>
          <w:lang w:val="en-US" w:eastAsia="zh-CN"/>
        </w:rPr>
        <w:t>锥探灌浆防渗措施，坝顶路面硬底化，修整大坝背水坡，采用草皮护坡，新建排水棱体及集渗沟；新建溢洪道，控制段顶板兼做交通桥，增设底流消能设施；重建输水涵进口段和出口段，内衬钢管，涵身局部防渗加固；新建管理房，重建巡查步级和排水沟，整修进库道路；增设工程安全监测设施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（10）封开县罗马水库除险加固工程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工程规模及主要建设内容：工程规模为小(1)型。正常蓄水位为109.10m (珠基，下同),相应库容83.13万m³。除险加固的建设内容：</w:t>
      </w:r>
      <w:r>
        <w:rPr>
          <w:rFonts w:hint="default" w:asciiTheme="minorEastAsia" w:hAnsiTheme="minorEastAsia" w:eastAsiaTheme="minorEastAsia" w:cstheme="minorEastAsia"/>
          <w:color w:val="auto"/>
          <w:sz w:val="21"/>
          <w:szCs w:val="21"/>
          <w:highlight w:val="none"/>
          <w:u w:val="none"/>
          <w:lang w:val="en-US" w:eastAsia="zh-CN"/>
        </w:rPr>
        <w:t>坝体迎水坡防渗加固、坝顶路面硬底化、重建迎水坡护坡、背水坡植草皮护坡并拆除重建贴坡排水体；扩建溢洪道；延长输水涵梯级进水口，拆除重建输水隧洞斜拉闸进水口、启闭室，更换闸门及启闭设备，对存在隐患的洞身段进行充填灌浆；增设大坝安全监测设施；改造进坝道路；修缮管养房。</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（11）封开县</w:t>
      </w:r>
      <w:r>
        <w:rPr>
          <w:rFonts w:hint="default" w:asciiTheme="minorEastAsia" w:hAnsiTheme="minorEastAsia" w:eastAsiaTheme="minorEastAsia" w:cstheme="minorEastAsia"/>
          <w:color w:val="auto"/>
          <w:sz w:val="21"/>
          <w:szCs w:val="21"/>
          <w:highlight w:val="none"/>
          <w:u w:val="none"/>
          <w:lang w:val="en-US" w:eastAsia="zh-CN"/>
        </w:rPr>
        <w:t>牛蕴冲</w:t>
      </w:r>
      <w:r>
        <w:rPr>
          <w:rFonts w:hint="eastAsia" w:asciiTheme="minorEastAsia" w:hAnsiTheme="minorEastAsia" w:eastAsiaTheme="minorEastAsia" w:cstheme="minorEastAsia"/>
          <w:color w:val="auto"/>
          <w:sz w:val="21"/>
          <w:szCs w:val="21"/>
          <w:highlight w:val="none"/>
          <w:u w:val="none"/>
          <w:lang w:val="en-US" w:eastAsia="zh-CN"/>
        </w:rPr>
        <w:t>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工程规模及主要建设内容：工程规模为小(2)型。正常蓄水位为121.9m (珠基，下同),相应库容10.15万m³。除险加固的建设内容：</w:t>
      </w:r>
      <w:r>
        <w:rPr>
          <w:rFonts w:hint="default" w:asciiTheme="minorEastAsia" w:hAnsiTheme="minorEastAsia" w:eastAsiaTheme="minorEastAsia" w:cstheme="minorEastAsia"/>
          <w:color w:val="auto"/>
          <w:sz w:val="21"/>
          <w:szCs w:val="21"/>
          <w:highlight w:val="none"/>
          <w:u w:val="none"/>
          <w:lang w:val="en-US" w:eastAsia="zh-CN"/>
        </w:rPr>
        <w:t>新建防浪墙，坝顶路面硬底化，修整坝坡局部新建砼护坡，重建上下游坡面步级及排水沟，新建排水棱体；重建溢洪道，增设底流消措施；输水隧洞洞身喷锚加固，增加隧洞出口段及出水渠；增设水库安全监测设施，装修管理房，进坝及库区道路硬底化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（12）封开县松坪水库除险加固工程</w:t>
      </w:r>
    </w:p>
    <w:p>
      <w:pPr>
        <w:spacing w:line="360" w:lineRule="auto"/>
        <w:ind w:left="0" w:leftChars="0" w:firstLine="420" w:firstLineChars="200"/>
        <w:jc w:val="left"/>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工程规模及主要建设内容：工程规模为小(1)型。正常蓄水位为120.86m (珠基，下同),相应库容237.22万m³。除险加固的建设内容：</w:t>
      </w:r>
      <w:r>
        <w:rPr>
          <w:rFonts w:hint="default" w:asciiTheme="minorEastAsia" w:hAnsiTheme="minorEastAsia" w:eastAsiaTheme="minorEastAsia" w:cstheme="minorEastAsia"/>
          <w:color w:val="auto"/>
          <w:sz w:val="21"/>
          <w:szCs w:val="21"/>
          <w:highlight w:val="none"/>
          <w:u w:val="none"/>
          <w:lang w:val="en-US" w:eastAsia="zh-CN"/>
        </w:rPr>
        <w:t>大坝防渗加固，新建迎水坡砼护坡；新建溢洪道出水渠；拆除重建输水涵进水口段；增设大坝监测设施，修缮管理房，改造进库道路等。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（13）封开县新丰水库除险加固工程</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工程规模及主要建设内容：工程规模为小(1)型。正常蓄水位为113.84m (珠基，下同),相应库容183.97万m³。除险加固的建设内容：大坝迎水坡新建混凝土护坡并</w:t>
      </w:r>
      <w:r>
        <w:rPr>
          <w:rFonts w:hint="default" w:asciiTheme="minorEastAsia" w:hAnsiTheme="minorEastAsia" w:eastAsiaTheme="minorEastAsia" w:cstheme="minorEastAsia"/>
          <w:color w:val="auto"/>
          <w:sz w:val="21"/>
          <w:szCs w:val="21"/>
          <w:highlight w:val="none"/>
          <w:u w:val="none"/>
          <w:lang w:val="en-US" w:eastAsia="zh-CN"/>
        </w:rPr>
        <w:t>采用复合土工膜、局部锥探灌浆的防渗措施，坝顶路面硬底化，重建背水坡巡查步级和排水沟，新建排水棱体集渗沟；重建溢洪道进水口翼墙、控制段和消力池，修复泄槽段挡墙，新建机耕桥、海漫段；重建输水涵进水口及人行桥，新建出水口消能设施，涵身局部防渗加固；增设工程安全监测设施；重建管理房，加固进库道路等。</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（14）封开县长冲水库除险加固工程</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工程规模及主要建设内容：工程规模为小(2)型。正常蓄水位为131.36m (珠基，下同),相应库容17.31万m³。除险加固的建设内容：大坝迎水坡培厚并修建混凝土</w:t>
      </w:r>
      <w:r>
        <w:rPr>
          <w:rFonts w:hint="default" w:asciiTheme="minorEastAsia" w:hAnsiTheme="minorEastAsia" w:eastAsiaTheme="minorEastAsia" w:cstheme="minorEastAsia"/>
          <w:color w:val="auto"/>
          <w:sz w:val="21"/>
          <w:szCs w:val="21"/>
          <w:highlight w:val="none"/>
          <w:u w:val="none"/>
          <w:lang w:val="en-US" w:eastAsia="zh-CN"/>
        </w:rPr>
        <w:t>护坡，坝顶路面硬底化，重建排水棱体；重建溢洪道、交通桥；重建输水涵进口段和出口段，内衬钢管，涵身局部防渗加固；增设工程安全监测设施；新建管理房等。</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2.2计划工期：6个月（具体开工日期以发包人批准开工报告日期为准）。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招标范围：</w:t>
      </w:r>
      <w:r>
        <w:rPr>
          <w:rFonts w:hint="eastAsia" w:asciiTheme="minorEastAsia" w:hAnsiTheme="minorEastAsia" w:eastAsiaTheme="minorEastAsia" w:cstheme="minorEastAsia"/>
          <w:color w:val="auto"/>
          <w:sz w:val="21"/>
          <w:szCs w:val="21"/>
          <w:highlight w:val="none"/>
          <w:u w:val="single"/>
        </w:rPr>
        <w:t>监理内容包括但不限于以下内容：施工准备阶段、施工阶段、工程收尾阶段（包括但不限于竣工验收、整改、工程移交及实物移交、工程结算等）、工程质量保修阶段（缺陷责任期）的质量控制、投资控制、进度控制、合同管理、信息管理、职业健康、安全生产及环境监督管理、检（监）测工作、组织协调等全过程监理工作。</w:t>
      </w:r>
    </w:p>
    <w:p>
      <w:pPr>
        <w:spacing w:line="360" w:lineRule="auto"/>
        <w:ind w:firstLine="420" w:firstLineChars="0"/>
        <w:outlineLvl w:val="9"/>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监理服务期限：</w:t>
      </w:r>
      <w:r>
        <w:rPr>
          <w:rFonts w:hint="eastAsia" w:asciiTheme="minorEastAsia" w:hAnsiTheme="minorEastAsia" w:eastAsiaTheme="minorEastAsia" w:cstheme="minorEastAsia"/>
          <w:color w:val="auto"/>
          <w:sz w:val="21"/>
          <w:szCs w:val="21"/>
          <w:highlight w:val="none"/>
          <w:u w:val="single"/>
          <w:lang w:val="en-US" w:eastAsia="zh-CN"/>
        </w:rPr>
        <w:t>从</w:t>
      </w:r>
      <w:r>
        <w:rPr>
          <w:rFonts w:hint="eastAsia" w:asciiTheme="minorEastAsia" w:hAnsiTheme="minorEastAsia" w:eastAsiaTheme="minorEastAsia" w:cstheme="minorEastAsia"/>
          <w:color w:val="auto"/>
          <w:sz w:val="21"/>
          <w:szCs w:val="21"/>
          <w:highlight w:val="none"/>
          <w:u w:val="single"/>
        </w:rPr>
        <w:t>监理合同签定之日起算，至工程办妥竣工结算且保修期结束止，包括本工程的施工准备阶段、施工阶段、竣工结算阶段、保修阶段等全过程监理服务</w:t>
      </w:r>
      <w:r>
        <w:rPr>
          <w:rFonts w:hint="eastAsia" w:asciiTheme="minorEastAsia" w:hAnsiTheme="minorEastAsia" w:eastAsiaTheme="minorEastAsia" w:cstheme="minorEastAsia"/>
          <w:color w:val="auto"/>
          <w:sz w:val="21"/>
          <w:szCs w:val="21"/>
          <w:highlight w:val="none"/>
          <w:u w:val="single"/>
          <w:lang w:eastAsia="zh-CN"/>
        </w:rPr>
        <w:t>。</w:t>
      </w: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3</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最高投标限价：本项目最高限价为</w:t>
      </w:r>
      <w:r>
        <w:rPr>
          <w:rFonts w:hint="eastAsia" w:asciiTheme="minorEastAsia" w:hAnsiTheme="minorEastAsia" w:eastAsiaTheme="minorEastAsia" w:cstheme="minorEastAsia"/>
          <w:b/>
          <w:color w:val="auto"/>
          <w:kern w:val="0"/>
          <w:sz w:val="21"/>
          <w:szCs w:val="21"/>
          <w:highlight w:val="none"/>
          <w:u w:val="single"/>
        </w:rPr>
        <w:t>￥</w:t>
      </w:r>
      <w:r>
        <w:rPr>
          <w:rFonts w:hint="eastAsia" w:asciiTheme="minorEastAsia" w:hAnsiTheme="minorEastAsia" w:eastAsiaTheme="minorEastAsia" w:cstheme="minorEastAsia"/>
          <w:b/>
          <w:color w:val="auto"/>
          <w:kern w:val="0"/>
          <w:sz w:val="21"/>
          <w:szCs w:val="21"/>
          <w:highlight w:val="none"/>
          <w:u w:val="single"/>
          <w:lang w:val="en-US" w:eastAsia="zh-CN"/>
        </w:rPr>
        <w:t>2089600.00</w:t>
      </w:r>
      <w:r>
        <w:rPr>
          <w:rFonts w:hint="eastAsia" w:asciiTheme="minorEastAsia" w:hAnsiTheme="minorEastAsia" w:eastAsiaTheme="minorEastAsia" w:cstheme="minorEastAsia"/>
          <w:b/>
          <w:color w:val="auto"/>
          <w:kern w:val="0"/>
          <w:sz w:val="21"/>
          <w:szCs w:val="21"/>
          <w:highlight w:val="none"/>
        </w:rPr>
        <w:t>元。</w:t>
      </w: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4</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投标人资格要求：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4.1具有独立法人资格的企业或事业单位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4.2具有水利部颁发的水利工程施工监理乙级或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以上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4.3拟任本项目的总监理工程师具有：①工程类高级或以上职称；②《监理工程师注册证书》（注册专业：水利工程施工监理），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证书在有效期内，且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执业单位为投标人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4.4投标人需要在投标截止时间前在广东水利建设市场信用信息平台完成信息录入手续；凡在广东水利建设与管理信息网公布禁止</w:t>
      </w:r>
      <w:r>
        <w:rPr>
          <w:rFonts w:hint="eastAsia" w:asciiTheme="minorEastAsia" w:hAnsiTheme="minorEastAsia" w:eastAsiaTheme="minorEastAsia" w:cstheme="minorEastAsia"/>
          <w:color w:val="auto"/>
          <w:sz w:val="21"/>
          <w:szCs w:val="21"/>
          <w:highlight w:val="none"/>
        </w:rPr>
        <w:t>参加省内水利工程建设投标期限内的单位不得参加本工程的投标</w:t>
      </w:r>
      <w:r>
        <w:rPr>
          <w:rFonts w:hint="eastAsia" w:asciiTheme="minorEastAsia" w:hAnsiTheme="minorEastAsia" w:eastAsiaTheme="minorEastAsia" w:cstheme="minorEastAsia"/>
          <w:color w:val="auto"/>
          <w:sz w:val="21"/>
          <w:szCs w:val="21"/>
          <w:highlight w:val="none"/>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4.5本工程不允许联合体投标。</w:t>
      </w:r>
    </w:p>
    <w:p>
      <w:pPr>
        <w:spacing w:line="360" w:lineRule="auto"/>
        <w:ind w:firstLine="42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4.6</w:t>
      </w:r>
      <w:r>
        <w:rPr>
          <w:rFonts w:hint="eastAsia" w:asciiTheme="minorEastAsia" w:hAnsiTheme="minorEastAsia" w:eastAsiaTheme="minorEastAsia" w:cstheme="minorEastAsia"/>
          <w:color w:val="auto"/>
          <w:sz w:val="21"/>
          <w:szCs w:val="21"/>
          <w:highlight w:val="none"/>
        </w:rPr>
        <w:t>其他要求：</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①投标人参加投标的意思表达清楚，投标人代表被授权有效。</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②投标人均具有独立法人资格，持有工商行政管理部门核发的法人营业执照，按国家法律经营。</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③投标人已按规定格式签名盖章《投标人声明》（详见附件一）。</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④资格审查前，投标人须在</w:t>
      </w:r>
      <w:r>
        <w:rPr>
          <w:rFonts w:hint="eastAsia" w:asciiTheme="minorEastAsia" w:hAnsiTheme="minorEastAsia" w:eastAsiaTheme="minorEastAsia" w:cstheme="minorEastAsia"/>
          <w:color w:val="auto"/>
          <w:kern w:val="0"/>
          <w:sz w:val="21"/>
          <w:szCs w:val="21"/>
          <w:highlight w:val="none"/>
          <w:u w:val="single"/>
        </w:rPr>
        <w:t>广州公共资源交易中心办理企业信息登记</w:t>
      </w:r>
      <w:r>
        <w:rPr>
          <w:rFonts w:hint="eastAsia" w:asciiTheme="minorEastAsia" w:hAnsiTheme="minorEastAsia" w:eastAsiaTheme="minorEastAsia" w:cstheme="minorEastAsia"/>
          <w:color w:val="auto"/>
          <w:sz w:val="21"/>
          <w:szCs w:val="21"/>
          <w:highlight w:val="none"/>
          <w:u w:val="single"/>
        </w:rPr>
        <w:t>及拟担任本工程总监理工程师须是</w:t>
      </w:r>
      <w:r>
        <w:rPr>
          <w:rFonts w:hint="eastAsia" w:asciiTheme="minorEastAsia" w:hAnsiTheme="minorEastAsia" w:eastAsiaTheme="minorEastAsia" w:cstheme="minorEastAsia"/>
          <w:color w:val="auto"/>
          <w:kern w:val="0"/>
          <w:sz w:val="21"/>
          <w:szCs w:val="21"/>
          <w:highlight w:val="none"/>
          <w:u w:val="single"/>
        </w:rPr>
        <w:t>本企业登记信息中</w:t>
      </w:r>
      <w:r>
        <w:rPr>
          <w:rFonts w:hint="eastAsia" w:asciiTheme="minorEastAsia" w:hAnsiTheme="minorEastAsia" w:eastAsiaTheme="minorEastAsia" w:cstheme="minorEastAsia"/>
          <w:color w:val="auto"/>
          <w:sz w:val="21"/>
          <w:szCs w:val="21"/>
          <w:highlight w:val="none"/>
          <w:u w:val="single"/>
        </w:rPr>
        <w:t>的在册人员。</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⑥投标人未被纳入国家、市、区的失信联合惩戒名单的（按广州公共资源交易中心交易系统比对结果进行评审）。</w:t>
      </w:r>
    </w:p>
    <w:p>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注：未在招标公告第</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条单列的投标人资格要求条件，不作为资审不合格的依据。</w:t>
      </w: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rPr>
      </w:pPr>
      <w:bookmarkStart w:id="0" w:name="_Toc85787734"/>
      <w:bookmarkStart w:id="1" w:name="_Toc35246066"/>
      <w:r>
        <w:rPr>
          <w:rFonts w:hint="eastAsia" w:asciiTheme="minorEastAsia" w:hAnsiTheme="minorEastAsia" w:eastAsiaTheme="minorEastAsia" w:cstheme="minorEastAsia"/>
          <w:b/>
          <w:color w:val="auto"/>
          <w:kern w:val="0"/>
          <w:sz w:val="21"/>
          <w:szCs w:val="21"/>
          <w:highlight w:val="none"/>
          <w:lang w:val="en-US" w:eastAsia="zh-CN"/>
        </w:rPr>
        <w:t>5.</w:t>
      </w:r>
      <w:r>
        <w:rPr>
          <w:rFonts w:hint="eastAsia" w:asciiTheme="minorEastAsia" w:hAnsiTheme="minorEastAsia" w:eastAsiaTheme="minorEastAsia" w:cstheme="minorEastAsia"/>
          <w:b/>
          <w:color w:val="auto"/>
          <w:kern w:val="0"/>
          <w:sz w:val="21"/>
          <w:szCs w:val="21"/>
          <w:highlight w:val="none"/>
        </w:rPr>
        <w:t>招标文件的获取</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bookmarkStart w:id="2" w:name="_Toc3471142"/>
      <w:bookmarkStart w:id="3" w:name="_Toc514099628"/>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.1凡有意参加投标者，请于2023年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分至2023年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北京时间，下同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，登录广州公共资源交易中心网站（http://www.gzggzy.cn）下载电子招标文件。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bookmarkStart w:id="4" w:name="_Toc511557030"/>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.2发布招标公告时间（含本日）2023年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分至2023年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注：发布招标公告的时间为招标公告发出之日起至递交投标文件截止时间止。</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.2.2开标时间：2023年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.3本项目采用资格后审方式。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注：（1）电子招投标操作流程详见广州公共资源交易中心网站发布的最新版操作指引。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840" w:firstLineChars="400"/>
        <w:textAlignment w:val="auto"/>
        <w:rPr>
          <w:rFonts w:hint="eastAsia" w:asciiTheme="minorEastAsia" w:hAnsiTheme="minorEastAsia" w:eastAsiaTheme="minorEastAsia" w:cstheme="minorEastAsia"/>
          <w:color w:val="auto"/>
          <w:sz w:val="21"/>
          <w:szCs w:val="21"/>
          <w:highlight w:val="none"/>
        </w:rPr>
      </w:pPr>
      <w:bookmarkStart w:id="5" w:name="_Toc27470_WPSOffice_Level3"/>
      <w:r>
        <w:rPr>
          <w:rFonts w:hint="eastAsia" w:asciiTheme="minorEastAsia" w:hAnsiTheme="minorEastAsia" w:eastAsiaTheme="minorEastAsia" w:cstheme="minorEastAsia"/>
          <w:color w:val="auto"/>
          <w:sz w:val="21"/>
          <w:szCs w:val="21"/>
          <w:highlight w:val="none"/>
        </w:rPr>
        <w:t>（2）本公告发布之日起开始计算备标时间。</w:t>
      </w:r>
      <w:bookmarkEnd w:id="5"/>
    </w:p>
    <w:bookmarkEnd w:id="2"/>
    <w:bookmarkEnd w:id="3"/>
    <w:bookmarkEnd w:id="4"/>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6.投标文件的递交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.1投标文件递交的截止时间（投标截止时间，下同）为2023年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lang w:val="en-US" w:eastAsia="zh-CN"/>
        </w:rPr>
        <w:t>00</w:t>
      </w:r>
      <w:r>
        <w:rPr>
          <w:rFonts w:hint="eastAsia" w:asciiTheme="minorEastAsia" w:hAnsiTheme="minorEastAsia" w:eastAsiaTheme="minorEastAsia" w:cstheme="minorEastAsia"/>
          <w:color w:val="auto"/>
          <w:sz w:val="21"/>
          <w:szCs w:val="21"/>
          <w:highlight w:val="none"/>
        </w:rPr>
        <w:t>分，投标人应在截止时间前通过广州公共资源交易中心数字交易平台（http://www.gzggzy.cn）递交电子投标文件。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递交备用投标文件电子光盘的规定：时间为2023年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时</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分至2023年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时</w:t>
      </w:r>
      <w:r>
        <w:rPr>
          <w:rFonts w:hint="eastAsia" w:asciiTheme="minorEastAsia" w:hAnsiTheme="minorEastAsia" w:eastAsiaTheme="minorEastAsia" w:cstheme="minorEastAsia"/>
          <w:color w:val="auto"/>
          <w:sz w:val="21"/>
          <w:szCs w:val="21"/>
          <w:highlight w:val="none"/>
          <w:u w:val="single"/>
          <w:lang w:val="en-US" w:eastAsia="zh-CN"/>
        </w:rPr>
        <w:t>00</w:t>
      </w:r>
      <w:r>
        <w:rPr>
          <w:rFonts w:hint="eastAsia" w:asciiTheme="minorEastAsia" w:hAnsiTheme="minorEastAsia" w:eastAsiaTheme="minorEastAsia" w:cstheme="minorEastAsia"/>
          <w:color w:val="auto"/>
          <w:sz w:val="21"/>
          <w:szCs w:val="21"/>
          <w:highlight w:val="none"/>
          <w:lang w:val="en-US" w:eastAsia="zh-CN"/>
        </w:rPr>
        <w:t>分；地点：广州公共资源交易中心指定开标室。（电子光盘需按规定封装。投标人将数据刻录到光盘之后，投标前自行检查文件是否可以读取。）</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.2采取电子投标时，逾期送达的投标文件，电子招标投标交易平台将予以拒收。逾期未上传成功的电子投标文件，招标人拒绝接收。</w:t>
      </w:r>
    </w:p>
    <w:p>
      <w:pPr>
        <w:pStyle w:val="5"/>
        <w:spacing w:before="120" w:beforeLines="50" w:after="156" w:line="360" w:lineRule="auto"/>
        <w:jc w:val="both"/>
        <w:outlineLvl w:val="1"/>
        <w:rPr>
          <w:rFonts w:hint="eastAsia" w:asciiTheme="minorEastAsia" w:hAnsiTheme="minorEastAsia" w:eastAsiaTheme="minorEastAsia" w:cstheme="minorEastAsia"/>
          <w:b/>
          <w:color w:val="auto"/>
          <w:kern w:val="0"/>
          <w:sz w:val="21"/>
          <w:szCs w:val="21"/>
          <w:highlight w:val="none"/>
          <w:lang w:val="en-US" w:eastAsia="zh-CN"/>
        </w:rPr>
      </w:pPr>
      <w:bookmarkStart w:id="6" w:name="_Toc535938700"/>
      <w:r>
        <w:rPr>
          <w:rFonts w:hint="eastAsia" w:asciiTheme="minorEastAsia" w:hAnsiTheme="minorEastAsia" w:eastAsiaTheme="minorEastAsia" w:cstheme="minorEastAsia"/>
          <w:b/>
          <w:color w:val="auto"/>
          <w:kern w:val="0"/>
          <w:sz w:val="21"/>
          <w:szCs w:val="21"/>
          <w:highlight w:val="none"/>
          <w:lang w:val="en-US" w:eastAsia="zh-CN"/>
        </w:rPr>
        <w:t>7</w:t>
      </w:r>
      <w:bookmarkEnd w:id="6"/>
      <w:bookmarkStart w:id="7" w:name="_Toc535938701"/>
      <w:r>
        <w:rPr>
          <w:rFonts w:hint="eastAsia" w:asciiTheme="minorEastAsia" w:hAnsiTheme="minorEastAsia" w:eastAsiaTheme="minorEastAsia" w:cstheme="minorEastAsia"/>
          <w:b/>
          <w:color w:val="auto"/>
          <w:kern w:val="0"/>
          <w:sz w:val="21"/>
          <w:szCs w:val="21"/>
          <w:highlight w:val="none"/>
          <w:lang w:val="en-US" w:eastAsia="zh-CN"/>
        </w:rPr>
        <w:t>.发布公告的媒介</w:t>
      </w:r>
      <w:bookmarkEnd w:id="7"/>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招标公告同时在广州公共资源交易中心网（网址：http://www.gzggzy.cn）、广东省招标投标监管网（网址：http://zbtb.gd.gov.cn）和中国招标投标公共服务平台（网址：http：//www.cebpubservice.com/）等媒体上发布，本公告的修改、补充，在广州公共资源交易中心网站上发布。本公告在各媒体发布的文本如有不同之处，以在广州公共资源交易网发布的文本为准。</w:t>
      </w:r>
    </w:p>
    <w:p>
      <w:pPr>
        <w:pStyle w:val="5"/>
        <w:spacing w:before="120" w:beforeLines="50" w:after="156" w:line="360" w:lineRule="auto"/>
        <w:jc w:val="both"/>
        <w:outlineLvl w:val="1"/>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8</w:t>
      </w:r>
      <w:bookmarkEnd w:id="0"/>
      <w:bookmarkEnd w:id="1"/>
      <w:bookmarkStart w:id="8" w:name="_Toc152042293"/>
      <w:bookmarkStart w:id="9" w:name="_Toc247513940"/>
      <w:bookmarkStart w:id="10" w:name="_Toc85787735"/>
      <w:bookmarkStart w:id="11" w:name="_Toc144974485"/>
      <w:bookmarkStart w:id="12" w:name="_Toc502648251"/>
      <w:bookmarkStart w:id="13" w:name="_Toc152045517"/>
      <w:bookmarkStart w:id="14" w:name="_Toc247527541"/>
      <w:r>
        <w:rPr>
          <w:rFonts w:hint="eastAsia" w:ascii="宋体" w:hAnsi="宋体" w:eastAsia="宋体" w:cs="宋体"/>
          <w:b/>
          <w:color w:val="auto"/>
          <w:kern w:val="0"/>
          <w:sz w:val="21"/>
          <w:szCs w:val="21"/>
          <w:highlight w:val="none"/>
          <w:lang w:val="en-US" w:eastAsia="zh-CN"/>
        </w:rPr>
        <w:t>、联系方式</w:t>
      </w:r>
      <w:bookmarkEnd w:id="8"/>
      <w:bookmarkEnd w:id="9"/>
      <w:bookmarkEnd w:id="10"/>
      <w:bookmarkEnd w:id="11"/>
      <w:bookmarkEnd w:id="12"/>
      <w:bookmarkEnd w:id="13"/>
      <w:bookmarkEnd w:id="14"/>
    </w:p>
    <w:tbl>
      <w:tblPr>
        <w:tblStyle w:val="7"/>
        <w:tblW w:w="8771" w:type="dxa"/>
        <w:tblInd w:w="0" w:type="dxa"/>
        <w:tblLayout w:type="autofit"/>
        <w:tblCellMar>
          <w:top w:w="0" w:type="dxa"/>
          <w:left w:w="108" w:type="dxa"/>
          <w:bottom w:w="0" w:type="dxa"/>
          <w:right w:w="108" w:type="dxa"/>
        </w:tblCellMar>
      </w:tblPr>
      <w:tblGrid>
        <w:gridCol w:w="4121"/>
        <w:gridCol w:w="4650"/>
      </w:tblGrid>
      <w:tr>
        <w:tblPrEx>
          <w:tblCellMar>
            <w:top w:w="0" w:type="dxa"/>
            <w:left w:w="108" w:type="dxa"/>
            <w:bottom w:w="0" w:type="dxa"/>
            <w:right w:w="108" w:type="dxa"/>
          </w:tblCellMar>
        </w:tblPrEx>
        <w:trPr>
          <w:trHeight w:val="2657" w:hRule="atLeast"/>
        </w:trPr>
        <w:tc>
          <w:tcPr>
            <w:tcW w:w="4121" w:type="dxa"/>
            <w:noWrap w:val="0"/>
            <w:vAlign w:val="top"/>
          </w:tcPr>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招标人：封开县水利水电工程建设管理中心</w:t>
            </w: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地址：江口镇建设一路13号</w:t>
            </w: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联系人：李工</w:t>
            </w: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电话：0758-6666804</w:t>
            </w: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tc>
        <w:tc>
          <w:tcPr>
            <w:tcW w:w="4650" w:type="dxa"/>
            <w:noWrap w:val="0"/>
            <w:vAlign w:val="top"/>
          </w:tcPr>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招标代理机构：广东海纳工程管理咨询有限公司</w:t>
            </w:r>
          </w:p>
          <w:p>
            <w:pPr>
              <w:autoSpaceDE w:val="0"/>
              <w:autoSpaceDN w:val="0"/>
              <w:adjustRightInd w:val="0"/>
              <w:spacing w:line="4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广州市天河区天寿路</w:t>
            </w:r>
            <w:r>
              <w:rPr>
                <w:rFonts w:hint="eastAsia" w:ascii="宋体" w:hAnsi="宋体" w:cs="宋体"/>
                <w:color w:val="auto"/>
                <w:sz w:val="21"/>
                <w:szCs w:val="21"/>
                <w:highlight w:val="none"/>
                <w:lang w:val="en-US" w:eastAsia="zh-CN"/>
              </w:rPr>
              <w:t>101号</w:t>
            </w:r>
          </w:p>
          <w:p>
            <w:pPr>
              <w:autoSpaceDE w:val="0"/>
              <w:autoSpaceDN w:val="0"/>
              <w:adjustRightIn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刘工</w:t>
            </w:r>
          </w:p>
          <w:p>
            <w:pPr>
              <w:autoSpaceDE w:val="0"/>
              <w:autoSpaceDN w:val="0"/>
              <w:adjustRightInd w:val="0"/>
              <w:spacing w:line="4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电话：</w:t>
            </w:r>
            <w:r>
              <w:rPr>
                <w:rFonts w:hint="eastAsia" w:ascii="宋体" w:hAnsi="宋体" w:cs="宋体"/>
                <w:color w:val="auto"/>
                <w:sz w:val="21"/>
                <w:szCs w:val="21"/>
                <w:highlight w:val="none"/>
                <w:lang w:val="en-US" w:eastAsia="zh-CN"/>
              </w:rPr>
              <w:t>020-38036239</w:t>
            </w: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p>
        </w:tc>
      </w:tr>
    </w:tbl>
    <w:p>
      <w:pPr>
        <w:wordWrap w:val="0"/>
        <w:spacing w:line="4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2"/>
        <w:wordWrap/>
        <w:rPr>
          <w:rFonts w:hint="eastAsia" w:ascii="宋体" w:hAnsi="宋体" w:eastAsia="宋体" w:cs="宋体"/>
          <w:color w:val="auto"/>
          <w:sz w:val="24"/>
          <w:szCs w:val="24"/>
          <w:highlight w:val="none"/>
        </w:rPr>
      </w:pPr>
    </w:p>
    <w:p>
      <w:pPr>
        <w:pStyle w:val="4"/>
        <w:jc w:val="both"/>
        <w:outlineLvl w:val="2"/>
        <w:rPr>
          <w:color w:val="auto"/>
          <w:sz w:val="21"/>
          <w:szCs w:val="21"/>
          <w:highlight w:val="none"/>
        </w:rPr>
      </w:pPr>
      <w:r>
        <w:rPr>
          <w:rFonts w:hint="eastAsia"/>
          <w:color w:val="auto"/>
          <w:sz w:val="21"/>
          <w:szCs w:val="21"/>
          <w:highlight w:val="none"/>
        </w:rPr>
        <w:t>附件一：</w:t>
      </w:r>
    </w:p>
    <w:p>
      <w:pPr>
        <w:widowControl/>
        <w:snapToGrid w:val="0"/>
        <w:spacing w:after="240" w:line="360" w:lineRule="auto"/>
        <w:ind w:right="386"/>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投标人声明</w:t>
      </w:r>
    </w:p>
    <w:p>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本招标项目招标人及招标监管机构：</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本公司就参加</w:t>
      </w:r>
      <w:r>
        <w:rPr>
          <w:rFonts w:hint="eastAsia" w:ascii="宋体" w:hAnsi="宋体" w:cs="宋体"/>
          <w:color w:val="auto"/>
          <w:kern w:val="0"/>
          <w:sz w:val="21"/>
          <w:szCs w:val="21"/>
          <w:highlight w:val="none"/>
          <w:u w:val="single"/>
        </w:rPr>
        <w:t>                </w:t>
      </w:r>
      <w:r>
        <w:rPr>
          <w:rFonts w:hint="eastAsia" w:ascii="宋体" w:hAnsi="宋体" w:cs="宋体"/>
          <w:color w:val="auto"/>
          <w:kern w:val="0"/>
          <w:sz w:val="21"/>
          <w:szCs w:val="21"/>
          <w:highlight w:val="none"/>
        </w:rPr>
        <w:t>项目投标工作，作出郑重声明：</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一、本公司保证投标</w:t>
      </w:r>
      <w:r>
        <w:rPr>
          <w:rFonts w:hint="eastAsia" w:ascii="宋体" w:hAnsi="宋体" w:cs="宋体"/>
          <w:color w:val="auto"/>
          <w:kern w:val="0"/>
          <w:sz w:val="21"/>
          <w:szCs w:val="21"/>
          <w:highlight w:val="none"/>
          <w:u w:val="none"/>
        </w:rPr>
        <w:t>登记</w:t>
      </w:r>
      <w:r>
        <w:rPr>
          <w:rFonts w:hint="eastAsia" w:ascii="宋体" w:hAnsi="宋体" w:cs="宋体"/>
          <w:color w:val="auto"/>
          <w:kern w:val="0"/>
          <w:sz w:val="21"/>
          <w:szCs w:val="21"/>
          <w:highlight w:val="none"/>
        </w:rPr>
        <w:t>材料及其后提供的一切材料都是真实的。如我司成为本项目中标候选人，我司同意并授权招标人将我司投标文件商务部分的人员、业绩、奖项等资料进行公开。</w:t>
      </w:r>
    </w:p>
    <w:p>
      <w:pPr>
        <w:spacing w:line="360" w:lineRule="auto"/>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三、本公司不存在招标文件第二章投标人须知第1.</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项所规定的任何一种情形。</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四、本公司及其有隶属关系的机构，没有参加本项目招标文件的编写工作；本公司与本次招标的招标代理机构没有隶属关系或其他利害关系。</w:t>
      </w:r>
    </w:p>
    <w:p>
      <w:pPr>
        <w:spacing w:line="360" w:lineRule="auto"/>
        <w:ind w:firstLine="420" w:firstLineChars="200"/>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五、本公司承诺，中标后严格执行安全生产相关管理规定。</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六、与本公司单位负责人为同一人或者与本公司存在控股、管理关系的其他单位包括：</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。（注：本条由投标人如实填写，如有，应列出全部满足招标公告资质要求的相关单位的名称；如无，则填写“无”。）</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七、本公司承诺，本公司及拟派</w:t>
      </w:r>
      <w:r>
        <w:rPr>
          <w:rFonts w:hint="eastAsia" w:ascii="宋体" w:hAnsi="宋体" w:cs="宋体"/>
          <w:color w:val="auto"/>
          <w:kern w:val="0"/>
          <w:sz w:val="21"/>
          <w:szCs w:val="21"/>
          <w:highlight w:val="none"/>
          <w:lang w:eastAsia="zh-CN"/>
        </w:rPr>
        <w:t>总监理工程师</w:t>
      </w:r>
      <w:r>
        <w:rPr>
          <w:rFonts w:hint="eastAsia" w:ascii="宋体" w:hAnsi="宋体" w:cs="宋体"/>
          <w:color w:val="auto"/>
          <w:kern w:val="0"/>
          <w:sz w:val="21"/>
          <w:szCs w:val="21"/>
          <w:highlight w:val="none"/>
        </w:rPr>
        <w:t>近</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年未在“信用中国”网站或各级信用信息共享平台中列入失信被执行人名单</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如核实存在上述情况，招标人有权取消本公司的中标资格。</w:t>
      </w:r>
    </w:p>
    <w:p>
      <w:pPr>
        <w:spacing w:line="360" w:lineRule="auto"/>
        <w:ind w:firstLine="422" w:firstLineChars="200"/>
        <w:rPr>
          <w:rFonts w:ascii="宋体" w:hAnsi="宋体" w:cs="宋体"/>
          <w:color w:val="auto"/>
          <w:kern w:val="0"/>
          <w:sz w:val="21"/>
          <w:szCs w:val="21"/>
          <w:highlight w:val="none"/>
        </w:rPr>
      </w:pPr>
      <w:r>
        <w:rPr>
          <w:rFonts w:hint="eastAsia" w:ascii="宋体" w:hAnsi="宋体" w:cs="宋体"/>
          <w:b/>
          <w:color w:val="auto"/>
          <w:kern w:val="0"/>
          <w:sz w:val="21"/>
          <w:szCs w:val="21"/>
          <w:highlight w:val="none"/>
        </w:rPr>
        <w:t>本公司违反上述承诺，或本声明陈述与事实不符，经查实，本公司愿意接受公开通报，愿意按照</w:t>
      </w:r>
      <w:r>
        <w:rPr>
          <w:rFonts w:hint="eastAsia" w:ascii="宋体" w:hAnsi="宋体" w:cs="宋体"/>
          <w:b/>
          <w:color w:val="auto"/>
          <w:kern w:val="0"/>
          <w:sz w:val="21"/>
          <w:szCs w:val="21"/>
          <w:highlight w:val="none"/>
          <w:lang w:eastAsia="zh-CN"/>
        </w:rPr>
        <w:t>相关</w:t>
      </w:r>
      <w:r>
        <w:rPr>
          <w:rFonts w:hint="eastAsia" w:ascii="宋体" w:hAnsi="宋体" w:cs="宋体"/>
          <w:b/>
          <w:color w:val="auto"/>
          <w:kern w:val="0"/>
          <w:sz w:val="21"/>
          <w:szCs w:val="21"/>
          <w:highlight w:val="none"/>
        </w:rPr>
        <w:t>规定被记录为失信信息，</w:t>
      </w:r>
      <w:r>
        <w:rPr>
          <w:rFonts w:hint="eastAsia" w:ascii="宋体" w:hAnsi="宋体" w:cs="宋体"/>
          <w:color w:val="auto"/>
          <w:kern w:val="0"/>
          <w:sz w:val="21"/>
          <w:szCs w:val="21"/>
          <w:highlight w:val="none"/>
        </w:rPr>
        <w:t>承担由此带来的一切后果。</w:t>
      </w:r>
    </w:p>
    <w:p>
      <w:pPr>
        <w:widowControl/>
        <w:shd w:val="clear" w:color="auto" w:fill="FFFFFF"/>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特此声明。</w:t>
      </w:r>
    </w:p>
    <w:p>
      <w:pPr>
        <w:snapToGrid w:val="0"/>
        <w:spacing w:line="360" w:lineRule="auto"/>
        <w:ind w:firstLine="3780" w:firstLineChars="18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声明企业：</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企业公章</w:t>
      </w:r>
      <w:r>
        <w:rPr>
          <w:rFonts w:hint="eastAsia" w:ascii="宋体" w:hAnsi="宋体" w:cs="宋体"/>
          <w:color w:val="auto"/>
          <w:kern w:val="0"/>
          <w:sz w:val="21"/>
          <w:szCs w:val="21"/>
          <w:highlight w:val="none"/>
          <w:lang w:eastAsia="zh-CN"/>
        </w:rPr>
        <w:t>）</w:t>
      </w:r>
    </w:p>
    <w:p>
      <w:pPr>
        <w:snapToGrid w:val="0"/>
        <w:spacing w:line="360" w:lineRule="auto"/>
        <w:ind w:firstLine="3780" w:firstLineChars="18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pPr>
        <w:snapToGrid w:val="0"/>
        <w:spacing w:line="360" w:lineRule="auto"/>
        <w:ind w:firstLine="3721" w:firstLineChars="1772"/>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法定代表人：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pPr>
        <w:spacing w:line="360" w:lineRule="auto"/>
        <w:ind w:firstLine="6825" w:firstLineChars="3250"/>
      </w:pPr>
      <w:r>
        <w:rPr>
          <w:rFonts w:hint="eastAsia" w:ascii="宋体" w:hAnsi="宋体" w:cs="宋体"/>
          <w:color w:val="auto"/>
          <w:kern w:val="0"/>
          <w:sz w:val="21"/>
          <w:szCs w:val="21"/>
          <w:highlight w:val="none"/>
        </w:rPr>
        <w:t>年   月   日</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ZWI5NzUzMjdiZTgzZDgzNzJlYjdkYjg1NzYzMGQifQ=="/>
  </w:docVars>
  <w:rsids>
    <w:rsidRoot w:val="41FD4245"/>
    <w:rsid w:val="01203FAE"/>
    <w:rsid w:val="22FC62D2"/>
    <w:rsid w:val="41FD4245"/>
    <w:rsid w:val="446F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qFormat/>
    <w:uiPriority w:val="9"/>
    <w:pPr>
      <w:keepNext/>
      <w:keepLines/>
      <w:adjustRightInd w:val="0"/>
      <w:snapToGrid w:val="0"/>
      <w:spacing w:before="240" w:after="240" w:line="360" w:lineRule="auto"/>
      <w:jc w:val="center"/>
      <w:outlineLvl w:val="0"/>
    </w:pPr>
    <w:rPr>
      <w:rFonts w:ascii="宋体" w:hAnsi="Times New Roman"/>
      <w:b/>
      <w:bCs/>
      <w:kern w:val="44"/>
      <w:sz w:val="32"/>
      <w:szCs w:val="32"/>
    </w:rPr>
  </w:style>
  <w:style w:type="paragraph" w:styleId="4">
    <w:name w:val="heading 2"/>
    <w:basedOn w:val="1"/>
    <w:next w:val="1"/>
    <w:qFormat/>
    <w:uiPriority w:val="9"/>
    <w:pPr>
      <w:keepNext/>
      <w:keepLines/>
      <w:adjustRightInd w:val="0"/>
      <w:snapToGrid w:val="0"/>
      <w:spacing w:before="156" w:beforeLines="50" w:after="156" w:afterLines="50" w:line="360" w:lineRule="auto"/>
      <w:jc w:val="center"/>
      <w:outlineLvl w:val="1"/>
    </w:pPr>
    <w:rPr>
      <w:rFonts w:ascii="宋体" w:hAnsi="宋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styleId="5">
    <w:name w:val="Plain Text"/>
    <w:basedOn w:val="1"/>
    <w:unhideWhenUsed/>
    <w:qFormat/>
    <w:uiPriority w:val="0"/>
    <w:rPr>
      <w:rFonts w:ascii="宋体" w:hAnsi="Courier New"/>
      <w:szCs w:val="21"/>
    </w:rPr>
  </w:style>
  <w:style w:type="paragraph" w:styleId="6">
    <w:name w:val="toc 1"/>
    <w:basedOn w:val="1"/>
    <w:next w:val="1"/>
    <w:unhideWhenUsed/>
    <w:qFormat/>
    <w:uiPriority w:val="39"/>
    <w:pPr>
      <w:spacing w:before="120" w:after="120"/>
      <w:jc w:val="left"/>
    </w:pPr>
    <w:rPr>
      <w:rFonts w:ascii="Calibri" w:hAnsi="Calibri" w:cs="Calibri"/>
      <w:b/>
      <w:bCs/>
      <w:caps/>
      <w:sz w:val="20"/>
      <w:szCs w:val="20"/>
    </w:rPr>
  </w:style>
  <w:style w:type="paragraph" w:styleId="9">
    <w:name w:val="List Paragraph"/>
    <w:basedOn w:val="1"/>
    <w:qFormat/>
    <w:uiPriority w:val="34"/>
    <w:pPr>
      <w:spacing w:line="400" w:lineRule="exact"/>
      <w:ind w:firstLine="420" w:firstLineChars="200"/>
    </w:pPr>
    <w:rPr>
      <w:rFonts w:ascii="Times New Roman" w:hAnsi="宋体"/>
      <w:kern w:val="0"/>
      <w:szCs w:val="20"/>
    </w:rPr>
  </w:style>
  <w:style w:type="character" w:customStyle="1" w:styleId="10">
    <w:name w:val="标题 1 Char"/>
    <w:link w:val="3"/>
    <w:qFormat/>
    <w:uiPriority w:val="9"/>
    <w:rPr>
      <w:rFonts w:ascii="宋体" w:hAnsi="Times New Roman"/>
      <w:b/>
      <w:bCs/>
      <w:kern w:val="44"/>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2023-08-03T07:31:00Z</dcterms:created>
  <dc:creator>家怡哥</dc:creator>
  <cp:lastModifiedBy>家怡哥</cp:lastModifiedBy>
  <dcterms:modified xsi:type="dcterms:W3CDTF">2023-08-04T02:09:56Z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3F639C55572B47E2A51D5CA49FA00957_11</vt:lpwstr>
  </property>
</Properties>
</file>