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imes New Roman"/>
          <w:b/>
          <w:bCs/>
          <w:color w:val="auto"/>
          <w:sz w:val="36"/>
          <w:szCs w:val="36"/>
          <w:highlight w:val="none"/>
        </w:rPr>
      </w:pPr>
      <w:r>
        <w:rPr>
          <w:rFonts w:hint="eastAsia" w:cs="宋体"/>
          <w:b/>
          <w:bCs/>
          <w:color w:val="auto"/>
          <w:sz w:val="36"/>
          <w:szCs w:val="36"/>
          <w:highlight w:val="none"/>
        </w:rPr>
        <w:t>暨南大学番禺校区二期工程</w:t>
      </w:r>
    </w:p>
    <w:p>
      <w:pPr>
        <w:jc w:val="center"/>
        <w:rPr>
          <w:rFonts w:cs="Times New Roman"/>
          <w:b/>
          <w:bCs/>
          <w:color w:val="auto"/>
          <w:sz w:val="36"/>
          <w:szCs w:val="36"/>
          <w:highlight w:val="none"/>
        </w:rPr>
      </w:pPr>
      <w:r>
        <w:rPr>
          <w:rFonts w:hint="eastAsia" w:cs="宋体"/>
          <w:b/>
          <w:bCs/>
          <w:color w:val="auto"/>
          <w:sz w:val="36"/>
          <w:szCs w:val="36"/>
          <w:highlight w:val="none"/>
        </w:rPr>
        <w:t>综合体</w:t>
      </w:r>
      <w:r>
        <w:rPr>
          <w:b/>
          <w:bCs/>
          <w:color w:val="auto"/>
          <w:sz w:val="36"/>
          <w:szCs w:val="36"/>
          <w:highlight w:val="none"/>
        </w:rPr>
        <w:t>S</w:t>
      </w:r>
      <w:r>
        <w:rPr>
          <w:rFonts w:hint="eastAsia" w:cs="宋体"/>
          <w:b/>
          <w:bCs/>
          <w:color w:val="auto"/>
          <w:sz w:val="36"/>
          <w:szCs w:val="36"/>
          <w:highlight w:val="none"/>
        </w:rPr>
        <w:t>组团建设需求书</w:t>
      </w:r>
    </w:p>
    <w:p>
      <w:pPr>
        <w:jc w:val="center"/>
        <w:rPr>
          <w:rFonts w:cs="Times New Roman"/>
          <w:b/>
          <w:bCs/>
          <w:color w:val="auto"/>
          <w:sz w:val="36"/>
          <w:szCs w:val="36"/>
          <w:highlight w:val="none"/>
        </w:rPr>
      </w:pPr>
    </w:p>
    <w:p>
      <w:pPr>
        <w:pStyle w:val="9"/>
        <w:widowControl/>
        <w:tabs>
          <w:tab w:val="left" w:pos="2340"/>
        </w:tabs>
        <w:spacing w:line="21" w:lineRule="atLeast"/>
        <w:ind w:firstLine="560" w:firstLineChars="200"/>
        <w:textAlignment w:val="center"/>
        <w:rPr>
          <w:rFonts w:cs="Times New Roman"/>
          <w:color w:val="auto"/>
          <w:sz w:val="28"/>
          <w:szCs w:val="28"/>
          <w:highlight w:val="none"/>
        </w:rPr>
      </w:pPr>
      <w:r>
        <w:rPr>
          <w:rFonts w:hint="eastAsia" w:cs="宋体"/>
          <w:color w:val="auto"/>
          <w:sz w:val="28"/>
          <w:szCs w:val="28"/>
          <w:highlight w:val="none"/>
        </w:rPr>
        <w:t>本项目的建设内容应包括：建筑、结构、装修装饰、消防、通风、给排水、电梯、强电、智能化弱电（含机房工程）、灯光音响专项设计和声学专项设计、后厨工艺设计</w:t>
      </w:r>
      <w:r>
        <w:rPr>
          <w:rFonts w:hint="eastAsia" w:cs="宋体"/>
          <w:color w:val="auto"/>
          <w:sz w:val="28"/>
          <w:szCs w:val="28"/>
          <w:highlight w:val="none"/>
          <w:lang w:eastAsia="zh-CN"/>
        </w:rPr>
        <w:t>、燃气</w:t>
      </w:r>
      <w:r>
        <w:rPr>
          <w:rFonts w:hint="eastAsia" w:cs="宋体"/>
          <w:color w:val="auto"/>
          <w:sz w:val="28"/>
          <w:szCs w:val="28"/>
          <w:highlight w:val="none"/>
        </w:rPr>
        <w:t>及周边道路、园林绿化（含屋面绿化）、景观照明等市政设施。采用绿色建筑二星级设计，满足《绿建筑评价标准》</w:t>
      </w:r>
      <w:r>
        <w:rPr>
          <w:color w:val="auto"/>
          <w:sz w:val="28"/>
          <w:szCs w:val="28"/>
          <w:highlight w:val="none"/>
        </w:rPr>
        <w:t xml:space="preserve"> (GB/I 50378-201</w:t>
      </w:r>
      <w:r>
        <w:rPr>
          <w:rFonts w:hint="eastAsia"/>
          <w:color w:val="auto"/>
          <w:sz w:val="28"/>
          <w:szCs w:val="28"/>
          <w:highlight w:val="none"/>
          <w:lang w:val="en-US" w:eastAsia="zh-CN"/>
        </w:rPr>
        <w:t>9</w:t>
      </w:r>
      <w:r>
        <w:rPr>
          <w:rFonts w:hint="eastAsia" w:cs="宋体"/>
          <w:color w:val="auto"/>
          <w:sz w:val="28"/>
          <w:szCs w:val="28"/>
          <w:highlight w:val="none"/>
        </w:rPr>
        <w:t>）的相关规定。</w:t>
      </w:r>
    </w:p>
    <w:p>
      <w:pPr>
        <w:numPr>
          <w:ilvl w:val="255"/>
          <w:numId w:val="0"/>
        </w:numPr>
        <w:ind w:firstLine="560" w:firstLineChars="200"/>
        <w:rPr>
          <w:rFonts w:cs="Times New Roman"/>
          <w:color w:val="auto"/>
          <w:sz w:val="28"/>
          <w:szCs w:val="28"/>
          <w:highlight w:val="none"/>
        </w:rPr>
      </w:pPr>
      <w:r>
        <w:rPr>
          <w:rFonts w:hint="eastAsia" w:ascii="宋体" w:hAnsi="宋体" w:cs="宋体"/>
          <w:color w:val="auto"/>
          <w:sz w:val="28"/>
          <w:szCs w:val="28"/>
          <w:highlight w:val="none"/>
        </w:rPr>
        <w:t>本子项建设地块的绿地率和用地范围需满足规划总平面图的要求；子项中各建筑单体的</w:t>
      </w:r>
      <w:r>
        <w:rPr>
          <w:rFonts w:hint="eastAsia" w:cs="宋体"/>
          <w:color w:val="auto"/>
          <w:sz w:val="28"/>
          <w:szCs w:val="28"/>
          <w:highlight w:val="none"/>
        </w:rPr>
        <w:t>外立面色彩和建筑风格设计</w:t>
      </w:r>
      <w:r>
        <w:rPr>
          <w:rFonts w:hint="eastAsia" w:ascii="宋体" w:hAnsi="宋体" w:cs="宋体"/>
          <w:color w:val="auto"/>
          <w:sz w:val="28"/>
          <w:szCs w:val="28"/>
          <w:highlight w:val="none"/>
        </w:rPr>
        <w:t>需遵循番禺校区的整体规划理念，与校园现有建筑的整体风格相协调</w:t>
      </w:r>
      <w:r>
        <w:rPr>
          <w:rFonts w:ascii="宋体" w:cs="宋体"/>
          <w:color w:val="auto"/>
          <w:sz w:val="28"/>
          <w:szCs w:val="28"/>
          <w:highlight w:val="none"/>
        </w:rPr>
        <w:t>,</w:t>
      </w:r>
      <w:r>
        <w:rPr>
          <w:rFonts w:hint="eastAsia" w:cs="宋体"/>
          <w:color w:val="auto"/>
          <w:sz w:val="28"/>
          <w:szCs w:val="28"/>
          <w:highlight w:val="none"/>
        </w:rPr>
        <w:t>立面要充分考虑空调室外机、给水管道的遮挡装饰效果；做到整体风格相和谐、与校园自然景观相和谐、与楼宇学科布局相和谐的“三和谐”原则。</w:t>
      </w:r>
    </w:p>
    <w:p>
      <w:pPr>
        <w:ind w:firstLine="560" w:firstLineChars="200"/>
        <w:rPr>
          <w:rFonts w:ascii="宋体" w:cs="Times New Roman"/>
          <w:color w:val="auto"/>
          <w:sz w:val="28"/>
          <w:szCs w:val="28"/>
          <w:highlight w:val="none"/>
        </w:rPr>
      </w:pPr>
      <w:r>
        <w:rPr>
          <w:rFonts w:hint="eastAsia" w:ascii="宋体" w:hAnsi="宋体" w:cs="宋体"/>
          <w:color w:val="auto"/>
          <w:sz w:val="28"/>
          <w:szCs w:val="28"/>
          <w:highlight w:val="none"/>
        </w:rPr>
        <w:t>各建筑单体设计的平面系数</w:t>
      </w:r>
      <w:r>
        <w:rPr>
          <w:rFonts w:ascii="宋体" w:hAnsi="宋体" w:cs="宋体"/>
          <w:color w:val="auto"/>
          <w:sz w:val="28"/>
          <w:szCs w:val="28"/>
          <w:highlight w:val="none"/>
        </w:rPr>
        <w:t>K</w:t>
      </w:r>
      <w:r>
        <w:rPr>
          <w:rFonts w:hint="eastAsia" w:ascii="宋体" w:hAnsi="宋体" w:cs="宋体"/>
          <w:color w:val="auto"/>
          <w:sz w:val="28"/>
          <w:szCs w:val="28"/>
          <w:highlight w:val="none"/>
        </w:rPr>
        <w:t>值不应低于教育部《普通高等学校建筑面积指标》（建标</w:t>
      </w:r>
      <w:r>
        <w:rPr>
          <w:rFonts w:ascii="宋体" w:hAnsi="宋体" w:cs="宋体"/>
          <w:color w:val="auto"/>
          <w:sz w:val="28"/>
          <w:szCs w:val="28"/>
          <w:highlight w:val="none"/>
        </w:rPr>
        <w:t>191-2018</w:t>
      </w:r>
      <w:r>
        <w:rPr>
          <w:rFonts w:hint="eastAsia" w:ascii="宋体" w:hAnsi="宋体" w:cs="宋体"/>
          <w:color w:val="auto"/>
          <w:sz w:val="28"/>
          <w:szCs w:val="28"/>
          <w:highlight w:val="none"/>
        </w:rPr>
        <w:t>）要求。</w:t>
      </w:r>
    </w:p>
    <w:p>
      <w:pPr>
        <w:pStyle w:val="9"/>
        <w:widowControl/>
        <w:numPr>
          <w:ilvl w:val="0"/>
          <w:numId w:val="1"/>
        </w:numPr>
        <w:spacing w:before="75" w:line="315" w:lineRule="atLeast"/>
        <w:ind w:firstLine="560" w:firstLineChars="200"/>
        <w:rPr>
          <w:rFonts w:cs="Times New Roman"/>
          <w:color w:val="auto"/>
          <w:sz w:val="28"/>
          <w:szCs w:val="28"/>
          <w:highlight w:val="none"/>
        </w:rPr>
      </w:pPr>
      <w:r>
        <w:rPr>
          <w:rFonts w:hint="eastAsia" w:cs="宋体"/>
          <w:color w:val="auto"/>
          <w:sz w:val="28"/>
          <w:szCs w:val="28"/>
          <w:highlight w:val="none"/>
        </w:rPr>
        <w:t>该组团总建筑面积</w:t>
      </w:r>
      <w:r>
        <w:rPr>
          <w:color w:val="auto"/>
          <w:sz w:val="28"/>
          <w:szCs w:val="28"/>
          <w:highlight w:val="none"/>
        </w:rPr>
        <w:t>101912</w:t>
      </w:r>
      <w:r>
        <w:rPr>
          <w:rFonts w:hint="eastAsia" w:cs="宋体"/>
          <w:color w:val="auto"/>
          <w:sz w:val="28"/>
          <w:szCs w:val="28"/>
          <w:highlight w:val="none"/>
        </w:rPr>
        <w:t>平方米，计容建筑面积</w:t>
      </w:r>
      <w:r>
        <w:rPr>
          <w:color w:val="auto"/>
          <w:sz w:val="28"/>
          <w:szCs w:val="28"/>
          <w:highlight w:val="none"/>
        </w:rPr>
        <w:t>77478</w:t>
      </w:r>
      <w:r>
        <w:rPr>
          <w:rFonts w:hint="eastAsia" w:cs="宋体"/>
          <w:color w:val="auto"/>
          <w:sz w:val="28"/>
          <w:szCs w:val="28"/>
          <w:highlight w:val="none"/>
        </w:rPr>
        <w:t>平方米，地下车库及民防工程</w:t>
      </w:r>
      <w:r>
        <w:rPr>
          <w:color w:val="auto"/>
          <w:sz w:val="28"/>
          <w:szCs w:val="28"/>
          <w:highlight w:val="none"/>
        </w:rPr>
        <w:t>23972</w:t>
      </w:r>
      <w:r>
        <w:rPr>
          <w:rFonts w:hint="eastAsia" w:cs="宋体"/>
          <w:color w:val="auto"/>
          <w:sz w:val="28"/>
          <w:szCs w:val="28"/>
          <w:highlight w:val="none"/>
        </w:rPr>
        <w:t>平方米。其中，港澳台侨培训及职业提升教育中心建筑面积</w:t>
      </w:r>
      <w:r>
        <w:rPr>
          <w:rFonts w:hint="eastAsia"/>
          <w:color w:val="auto"/>
          <w:sz w:val="28"/>
          <w:szCs w:val="28"/>
          <w:highlight w:val="none"/>
          <w:lang w:val="en-US" w:eastAsia="zh-CN"/>
        </w:rPr>
        <w:t>19055</w:t>
      </w:r>
      <w:r>
        <w:rPr>
          <w:rFonts w:hint="eastAsia" w:cs="宋体"/>
          <w:color w:val="auto"/>
          <w:sz w:val="28"/>
          <w:szCs w:val="28"/>
          <w:highlight w:val="none"/>
        </w:rPr>
        <w:t>平方米（可参照酒店式管理，提供约</w:t>
      </w:r>
      <w:r>
        <w:rPr>
          <w:color w:val="auto"/>
          <w:sz w:val="28"/>
          <w:szCs w:val="28"/>
          <w:highlight w:val="none"/>
        </w:rPr>
        <w:t>375</w:t>
      </w:r>
      <w:r>
        <w:rPr>
          <w:rFonts w:hint="eastAsia" w:cs="宋体"/>
          <w:color w:val="auto"/>
          <w:sz w:val="28"/>
          <w:szCs w:val="28"/>
          <w:highlight w:val="none"/>
        </w:rPr>
        <w:t>间住宿用房，宿舍部</w:t>
      </w:r>
      <w:bookmarkStart w:id="0" w:name="_GoBack"/>
      <w:bookmarkEnd w:id="0"/>
      <w:r>
        <w:rPr>
          <w:rFonts w:hint="eastAsia" w:cs="宋体"/>
          <w:color w:val="auto"/>
          <w:sz w:val="28"/>
          <w:szCs w:val="28"/>
          <w:highlight w:val="none"/>
        </w:rPr>
        <w:t>分</w:t>
      </w:r>
      <w:r>
        <w:rPr>
          <w:rFonts w:hint="eastAsia" w:cs="宋体"/>
          <w:color w:val="auto"/>
          <w:sz w:val="28"/>
          <w:szCs w:val="28"/>
          <w:highlight w:val="none"/>
          <w:lang w:val="en-US" w:eastAsia="zh-CN"/>
        </w:rPr>
        <w:t>建筑面积</w:t>
      </w:r>
      <w:r>
        <w:rPr>
          <w:color w:val="auto"/>
          <w:sz w:val="28"/>
          <w:szCs w:val="28"/>
          <w:highlight w:val="none"/>
        </w:rPr>
        <w:t>14500</w:t>
      </w:r>
      <w:r>
        <w:rPr>
          <w:rFonts w:hint="eastAsia" w:cs="宋体"/>
          <w:color w:val="auto"/>
          <w:sz w:val="28"/>
          <w:szCs w:val="28"/>
          <w:highlight w:val="none"/>
        </w:rPr>
        <w:t>平方米、餐厅部分</w:t>
      </w:r>
      <w:r>
        <w:rPr>
          <w:color w:val="auto"/>
          <w:sz w:val="28"/>
          <w:szCs w:val="28"/>
          <w:highlight w:val="none"/>
        </w:rPr>
        <w:t>3000</w:t>
      </w:r>
      <w:r>
        <w:rPr>
          <w:rFonts w:hint="eastAsia" w:cs="宋体"/>
          <w:color w:val="auto"/>
          <w:sz w:val="28"/>
          <w:szCs w:val="28"/>
          <w:highlight w:val="none"/>
        </w:rPr>
        <w:t>平方米、文体活动用房</w:t>
      </w:r>
      <w:r>
        <w:rPr>
          <w:color w:val="auto"/>
          <w:sz w:val="28"/>
          <w:szCs w:val="28"/>
          <w:highlight w:val="none"/>
        </w:rPr>
        <w:t>300</w:t>
      </w:r>
      <w:r>
        <w:rPr>
          <w:rFonts w:hint="eastAsia" w:cs="宋体"/>
          <w:color w:val="auto"/>
          <w:sz w:val="28"/>
          <w:szCs w:val="28"/>
          <w:highlight w:val="none"/>
        </w:rPr>
        <w:t>平方米、</w:t>
      </w:r>
      <w:r>
        <w:rPr>
          <w:rFonts w:hint="eastAsia" w:cs="宋体"/>
          <w:color w:val="auto"/>
          <w:sz w:val="28"/>
          <w:szCs w:val="28"/>
          <w:highlight w:val="none"/>
          <w:lang w:eastAsia="zh-CN"/>
        </w:rPr>
        <w:t>培训研讨用房1255</w:t>
      </w:r>
      <w:r>
        <w:rPr>
          <w:rFonts w:hint="eastAsia" w:cs="宋体"/>
          <w:color w:val="auto"/>
          <w:sz w:val="28"/>
          <w:szCs w:val="28"/>
          <w:highlight w:val="none"/>
        </w:rPr>
        <w:t>平方米），后勤及附属用房</w:t>
      </w:r>
      <w:r>
        <w:rPr>
          <w:rFonts w:hint="eastAsia" w:cs="宋体"/>
          <w:color w:val="auto"/>
          <w:sz w:val="28"/>
          <w:szCs w:val="28"/>
          <w:highlight w:val="none"/>
          <w:lang w:eastAsia="zh-CN"/>
        </w:rPr>
        <w:t>建筑面积</w:t>
      </w:r>
      <w:r>
        <w:rPr>
          <w:color w:val="auto"/>
          <w:sz w:val="28"/>
          <w:szCs w:val="28"/>
          <w:highlight w:val="none"/>
        </w:rPr>
        <w:t>3841</w:t>
      </w:r>
      <w:r>
        <w:rPr>
          <w:rFonts w:hint="eastAsia" w:cs="宋体"/>
          <w:color w:val="auto"/>
          <w:sz w:val="28"/>
          <w:szCs w:val="28"/>
          <w:highlight w:val="none"/>
        </w:rPr>
        <w:t>平方米</w:t>
      </w:r>
      <w:r>
        <w:rPr>
          <w:rFonts w:hint="eastAsia" w:cs="宋体"/>
          <w:color w:val="auto"/>
          <w:sz w:val="28"/>
          <w:szCs w:val="28"/>
          <w:highlight w:val="none"/>
          <w:lang w:eastAsia="zh-CN"/>
        </w:rPr>
        <w:t>，</w:t>
      </w:r>
      <w:r>
        <w:rPr>
          <w:rFonts w:hint="eastAsia" w:cs="宋体"/>
          <w:color w:val="auto"/>
          <w:sz w:val="28"/>
          <w:szCs w:val="28"/>
          <w:highlight w:val="none"/>
        </w:rPr>
        <w:t>教室兼</w:t>
      </w:r>
      <w:r>
        <w:rPr>
          <w:rFonts w:hint="eastAsia" w:cs="宋体"/>
          <w:color w:val="auto"/>
          <w:sz w:val="28"/>
          <w:szCs w:val="28"/>
          <w:highlight w:val="none"/>
          <w:lang w:eastAsia="zh-CN"/>
        </w:rPr>
        <w:t>研讨</w:t>
      </w:r>
      <w:r>
        <w:rPr>
          <w:rFonts w:hint="eastAsia" w:cs="宋体"/>
          <w:color w:val="auto"/>
          <w:sz w:val="28"/>
          <w:szCs w:val="28"/>
          <w:highlight w:val="none"/>
        </w:rPr>
        <w:t>用房</w:t>
      </w:r>
      <w:r>
        <w:rPr>
          <w:rFonts w:hint="eastAsia" w:cs="宋体"/>
          <w:color w:val="auto"/>
          <w:sz w:val="28"/>
          <w:szCs w:val="28"/>
          <w:highlight w:val="none"/>
          <w:lang w:eastAsia="zh-CN"/>
        </w:rPr>
        <w:t>建筑面积</w:t>
      </w:r>
      <w:r>
        <w:rPr>
          <w:rFonts w:hint="eastAsia" w:cs="宋体"/>
          <w:color w:val="auto"/>
          <w:sz w:val="28"/>
          <w:szCs w:val="28"/>
          <w:highlight w:val="none"/>
        </w:rPr>
        <w:t>2512平方米、演艺厅</w:t>
      </w:r>
      <w:r>
        <w:rPr>
          <w:rFonts w:hint="eastAsia" w:cs="宋体"/>
          <w:color w:val="auto"/>
          <w:sz w:val="28"/>
          <w:szCs w:val="28"/>
          <w:highlight w:val="none"/>
          <w:lang w:eastAsia="zh-CN"/>
        </w:rPr>
        <w:t>建筑面积</w:t>
      </w:r>
      <w:r>
        <w:rPr>
          <w:color w:val="auto"/>
          <w:sz w:val="28"/>
          <w:szCs w:val="28"/>
          <w:highlight w:val="none"/>
        </w:rPr>
        <w:t>1185</w:t>
      </w:r>
      <w:r>
        <w:rPr>
          <w:rFonts w:hint="eastAsia" w:cs="宋体"/>
          <w:color w:val="auto"/>
          <w:sz w:val="28"/>
          <w:szCs w:val="28"/>
          <w:highlight w:val="none"/>
        </w:rPr>
        <w:t>平方米、展厅</w:t>
      </w:r>
      <w:r>
        <w:rPr>
          <w:rFonts w:hint="eastAsia" w:cs="宋体"/>
          <w:color w:val="auto"/>
          <w:sz w:val="28"/>
          <w:szCs w:val="28"/>
          <w:highlight w:val="none"/>
          <w:lang w:eastAsia="zh-CN"/>
        </w:rPr>
        <w:t>建筑面积</w:t>
      </w:r>
      <w:r>
        <w:rPr>
          <w:color w:val="auto"/>
          <w:sz w:val="28"/>
          <w:szCs w:val="28"/>
          <w:highlight w:val="none"/>
        </w:rPr>
        <w:t>2500</w:t>
      </w:r>
      <w:r>
        <w:rPr>
          <w:rFonts w:hint="eastAsia" w:cs="宋体"/>
          <w:color w:val="auto"/>
          <w:sz w:val="28"/>
          <w:szCs w:val="28"/>
          <w:highlight w:val="none"/>
        </w:rPr>
        <w:t>平方米、心理咨询室</w:t>
      </w:r>
      <w:r>
        <w:rPr>
          <w:rFonts w:hint="eastAsia" w:cs="宋体"/>
          <w:color w:val="auto"/>
          <w:sz w:val="28"/>
          <w:szCs w:val="28"/>
          <w:highlight w:val="none"/>
          <w:lang w:eastAsia="zh-CN"/>
        </w:rPr>
        <w:t>建筑面积</w:t>
      </w:r>
      <w:r>
        <w:rPr>
          <w:color w:val="auto"/>
          <w:sz w:val="28"/>
          <w:szCs w:val="28"/>
          <w:highlight w:val="none"/>
        </w:rPr>
        <w:t>1000</w:t>
      </w:r>
      <w:r>
        <w:rPr>
          <w:rFonts w:hint="eastAsia" w:cs="宋体"/>
          <w:color w:val="auto"/>
          <w:sz w:val="28"/>
          <w:szCs w:val="28"/>
          <w:highlight w:val="none"/>
        </w:rPr>
        <w:t>平方米，粤港澳台学生创新创业基地</w:t>
      </w:r>
      <w:r>
        <w:rPr>
          <w:rFonts w:hint="eastAsia" w:cs="宋体"/>
          <w:color w:val="auto"/>
          <w:sz w:val="28"/>
          <w:szCs w:val="28"/>
          <w:highlight w:val="none"/>
          <w:lang w:eastAsia="zh-CN"/>
        </w:rPr>
        <w:t>研修室建筑面积</w:t>
      </w:r>
      <w:r>
        <w:rPr>
          <w:rFonts w:hint="eastAsia" w:cs="宋体"/>
          <w:color w:val="auto"/>
          <w:sz w:val="28"/>
          <w:szCs w:val="28"/>
          <w:highlight w:val="none"/>
        </w:rPr>
        <w:t>共计</w:t>
      </w:r>
      <w:r>
        <w:rPr>
          <w:color w:val="auto"/>
          <w:sz w:val="28"/>
          <w:szCs w:val="28"/>
          <w:highlight w:val="none"/>
        </w:rPr>
        <w:t>5730</w:t>
      </w:r>
      <w:r>
        <w:rPr>
          <w:rFonts w:hint="eastAsia" w:cs="宋体"/>
          <w:color w:val="auto"/>
          <w:sz w:val="28"/>
          <w:szCs w:val="28"/>
          <w:highlight w:val="none"/>
        </w:rPr>
        <w:t>平方米、综合办事大厅</w:t>
      </w:r>
      <w:r>
        <w:rPr>
          <w:rFonts w:hint="eastAsia" w:cs="宋体"/>
          <w:color w:val="auto"/>
          <w:sz w:val="28"/>
          <w:szCs w:val="28"/>
          <w:highlight w:val="none"/>
          <w:lang w:eastAsia="zh-CN"/>
        </w:rPr>
        <w:t>建筑面积</w:t>
      </w:r>
      <w:r>
        <w:rPr>
          <w:color w:val="auto"/>
          <w:sz w:val="28"/>
          <w:szCs w:val="28"/>
          <w:highlight w:val="none"/>
        </w:rPr>
        <w:t>600</w:t>
      </w:r>
      <w:r>
        <w:rPr>
          <w:rFonts w:hint="eastAsia" w:cs="宋体"/>
          <w:color w:val="auto"/>
          <w:sz w:val="28"/>
          <w:szCs w:val="28"/>
          <w:highlight w:val="none"/>
        </w:rPr>
        <w:t>平方米、</w:t>
      </w:r>
      <w:r>
        <w:rPr>
          <w:rFonts w:hint="eastAsia" w:cs="宋体"/>
          <w:color w:val="auto"/>
          <w:sz w:val="28"/>
          <w:szCs w:val="28"/>
          <w:highlight w:val="none"/>
          <w:lang w:eastAsia="zh-CN"/>
        </w:rPr>
        <w:t>日常研讨室建筑面积</w:t>
      </w:r>
      <w:r>
        <w:rPr>
          <w:color w:val="auto"/>
          <w:sz w:val="28"/>
          <w:szCs w:val="28"/>
          <w:highlight w:val="none"/>
        </w:rPr>
        <w:t>675</w:t>
      </w:r>
      <w:r>
        <w:rPr>
          <w:rFonts w:hint="eastAsia" w:cs="宋体"/>
          <w:color w:val="auto"/>
          <w:sz w:val="28"/>
          <w:szCs w:val="28"/>
          <w:highlight w:val="none"/>
        </w:rPr>
        <w:t>平方米、校网络机房</w:t>
      </w:r>
      <w:r>
        <w:rPr>
          <w:rFonts w:hint="eastAsia" w:cs="宋体"/>
          <w:color w:val="auto"/>
          <w:sz w:val="28"/>
          <w:szCs w:val="28"/>
          <w:highlight w:val="none"/>
          <w:lang w:eastAsia="zh-CN"/>
        </w:rPr>
        <w:t>建筑面积</w:t>
      </w:r>
      <w:r>
        <w:rPr>
          <w:color w:val="auto"/>
          <w:sz w:val="28"/>
          <w:szCs w:val="28"/>
          <w:highlight w:val="none"/>
        </w:rPr>
        <w:t>1667</w:t>
      </w:r>
      <w:r>
        <w:rPr>
          <w:rFonts w:hint="eastAsia" w:cs="宋体"/>
          <w:color w:val="auto"/>
          <w:sz w:val="28"/>
          <w:szCs w:val="28"/>
          <w:highlight w:val="none"/>
        </w:rPr>
        <w:t>平方米、教学实验及科技创新用房</w:t>
      </w:r>
      <w:r>
        <w:rPr>
          <w:rFonts w:hint="eastAsia" w:cs="宋体"/>
          <w:color w:val="auto"/>
          <w:sz w:val="28"/>
          <w:szCs w:val="28"/>
          <w:highlight w:val="none"/>
          <w:lang w:eastAsia="zh-CN"/>
        </w:rPr>
        <w:t>建筑面积</w:t>
      </w:r>
      <w:r>
        <w:rPr>
          <w:color w:val="auto"/>
          <w:sz w:val="28"/>
          <w:szCs w:val="28"/>
          <w:highlight w:val="none"/>
        </w:rPr>
        <w:t>38713</w:t>
      </w:r>
      <w:r>
        <w:rPr>
          <w:rFonts w:hint="eastAsia" w:cs="宋体"/>
          <w:color w:val="auto"/>
          <w:sz w:val="28"/>
          <w:szCs w:val="28"/>
          <w:highlight w:val="none"/>
        </w:rPr>
        <w:t>平方米（主要包含信息科学技术学院用房、</w:t>
      </w:r>
      <w:r>
        <w:rPr>
          <w:rFonts w:hint="eastAsia" w:cs="宋体"/>
          <w:color w:val="auto"/>
          <w:sz w:val="28"/>
          <w:szCs w:val="28"/>
          <w:highlight w:val="none"/>
          <w:lang w:eastAsia="zh-CN"/>
        </w:rPr>
        <w:t>计算传播研究中心</w:t>
      </w:r>
      <w:r>
        <w:rPr>
          <w:rFonts w:hint="eastAsia" w:cs="宋体"/>
          <w:color w:val="auto"/>
          <w:sz w:val="28"/>
          <w:szCs w:val="28"/>
          <w:highlight w:val="none"/>
        </w:rPr>
        <w:t>用房和预留实验室）</w:t>
      </w:r>
      <w:r>
        <w:rPr>
          <w:rFonts w:hint="eastAsia" w:cs="宋体"/>
          <w:color w:val="auto"/>
          <w:sz w:val="28"/>
          <w:szCs w:val="28"/>
          <w:highlight w:val="none"/>
          <w:lang w:eastAsia="zh-CN"/>
        </w:rPr>
        <w:t>以及</w:t>
      </w:r>
      <w:r>
        <w:rPr>
          <w:rFonts w:hint="eastAsia" w:cs="宋体"/>
          <w:color w:val="auto"/>
          <w:sz w:val="28"/>
          <w:szCs w:val="28"/>
          <w:highlight w:val="none"/>
          <w:lang w:eastAsia="zh-CN"/>
        </w:rPr>
        <w:t>架空层建筑面积</w:t>
      </w:r>
      <w:r>
        <w:rPr>
          <w:rFonts w:hint="eastAsia" w:cs="宋体"/>
          <w:color w:val="auto"/>
          <w:sz w:val="28"/>
          <w:szCs w:val="28"/>
          <w:highlight w:val="none"/>
          <w:lang w:val="en-US" w:eastAsia="zh-CN"/>
        </w:rPr>
        <w:t>462平方米</w:t>
      </w:r>
      <w:r>
        <w:rPr>
          <w:rFonts w:hint="eastAsia" w:cs="宋体"/>
          <w:color w:val="auto"/>
          <w:sz w:val="28"/>
          <w:szCs w:val="28"/>
          <w:highlight w:val="none"/>
        </w:rPr>
        <w:t>。各用房面积在满足学校使用功能的前提下，可根据设计方案</w:t>
      </w:r>
      <w:r>
        <w:rPr>
          <w:rFonts w:hint="eastAsia" w:cs="宋体"/>
          <w:color w:val="auto"/>
          <w:sz w:val="28"/>
          <w:szCs w:val="28"/>
          <w:highlight w:val="none"/>
          <w:lang w:eastAsia="zh-CN"/>
        </w:rPr>
        <w:t>适当</w:t>
      </w:r>
      <w:r>
        <w:rPr>
          <w:rFonts w:hint="eastAsia" w:cs="宋体"/>
          <w:color w:val="auto"/>
          <w:sz w:val="28"/>
          <w:szCs w:val="28"/>
          <w:highlight w:val="none"/>
        </w:rPr>
        <w:t>优化调整</w:t>
      </w:r>
    </w:p>
    <w:p>
      <w:pPr>
        <w:pStyle w:val="9"/>
        <w:widowControl/>
        <w:spacing w:before="75" w:line="315" w:lineRule="atLeast"/>
        <w:ind w:firstLine="560" w:firstLineChars="200"/>
        <w:rPr>
          <w:rFonts w:cs="Times New Roman"/>
          <w:color w:val="auto"/>
          <w:sz w:val="28"/>
          <w:szCs w:val="28"/>
          <w:highlight w:val="none"/>
        </w:rPr>
      </w:pPr>
      <w:r>
        <w:rPr>
          <w:color w:val="auto"/>
          <w:sz w:val="28"/>
          <w:szCs w:val="28"/>
          <w:highlight w:val="none"/>
        </w:rPr>
        <w:t>S</w:t>
      </w:r>
      <w:r>
        <w:rPr>
          <w:rFonts w:hint="eastAsia" w:cs="宋体"/>
          <w:color w:val="auto"/>
          <w:sz w:val="28"/>
          <w:szCs w:val="28"/>
          <w:highlight w:val="none"/>
        </w:rPr>
        <w:t>组团中实验室涉及国家有关保密要求的，需配合相关预留设计，并参照《数据中心设计规范》（</w:t>
      </w:r>
      <w:r>
        <w:rPr>
          <w:color w:val="auto"/>
          <w:sz w:val="28"/>
          <w:szCs w:val="28"/>
          <w:highlight w:val="none"/>
        </w:rPr>
        <w:t>GB50174-2017</w:t>
      </w:r>
      <w:r>
        <w:rPr>
          <w:rFonts w:hint="eastAsia" w:cs="宋体"/>
          <w:color w:val="auto"/>
          <w:sz w:val="28"/>
          <w:szCs w:val="28"/>
          <w:highlight w:val="none"/>
        </w:rPr>
        <w:t>）、《计算机场地安全要求》（</w:t>
      </w:r>
      <w:r>
        <w:rPr>
          <w:color w:val="auto"/>
          <w:sz w:val="28"/>
          <w:szCs w:val="28"/>
          <w:highlight w:val="none"/>
        </w:rPr>
        <w:t>GB/T 9361-2011</w:t>
      </w:r>
      <w:r>
        <w:rPr>
          <w:rFonts w:hint="eastAsia" w:cs="宋体"/>
          <w:color w:val="auto"/>
          <w:sz w:val="28"/>
          <w:szCs w:val="28"/>
          <w:highlight w:val="none"/>
        </w:rPr>
        <w:t>）中相关标准。相关学院情况参考暨南大学校园网主页</w:t>
      </w:r>
      <w:r>
        <w:rPr>
          <w:color w:val="auto"/>
          <w:sz w:val="28"/>
          <w:szCs w:val="28"/>
          <w:highlight w:val="none"/>
        </w:rPr>
        <w:t>“</w:t>
      </w:r>
      <w:r>
        <w:rPr>
          <w:rFonts w:hint="eastAsia" w:cs="宋体"/>
          <w:color w:val="auto"/>
          <w:sz w:val="28"/>
          <w:szCs w:val="28"/>
          <w:highlight w:val="none"/>
        </w:rPr>
        <w:t>院系导航</w:t>
      </w:r>
      <w:r>
        <w:rPr>
          <w:color w:val="auto"/>
          <w:sz w:val="28"/>
          <w:szCs w:val="28"/>
          <w:highlight w:val="none"/>
        </w:rPr>
        <w:t>”</w:t>
      </w:r>
      <w:r>
        <w:rPr>
          <w:rFonts w:hint="eastAsia" w:cs="宋体"/>
          <w:color w:val="auto"/>
          <w:sz w:val="28"/>
          <w:szCs w:val="28"/>
          <w:highlight w:val="none"/>
        </w:rPr>
        <w:t>中信息科学技术学院</w:t>
      </w:r>
      <w:r>
        <w:rPr>
          <w:color w:val="auto"/>
          <w:sz w:val="28"/>
          <w:szCs w:val="28"/>
          <w:highlight w:val="none"/>
        </w:rPr>
        <w:t>/</w:t>
      </w:r>
      <w:r>
        <w:rPr>
          <w:rFonts w:hint="eastAsia" w:cs="宋体"/>
          <w:color w:val="auto"/>
          <w:sz w:val="28"/>
          <w:szCs w:val="28"/>
          <w:highlight w:val="none"/>
        </w:rPr>
        <w:t>网络空间安全学院。</w:t>
      </w:r>
      <w:r>
        <w:rPr>
          <w:color w:val="auto"/>
          <w:sz w:val="28"/>
          <w:szCs w:val="28"/>
          <w:highlight w:val="none"/>
        </w:rPr>
        <w:t>S</w:t>
      </w:r>
      <w:r>
        <w:rPr>
          <w:rFonts w:hint="eastAsia" w:cs="宋体"/>
          <w:color w:val="auto"/>
          <w:sz w:val="28"/>
          <w:szCs w:val="28"/>
          <w:highlight w:val="none"/>
        </w:rPr>
        <w:t>组团主要功能用房需求表述如下：</w:t>
      </w:r>
    </w:p>
    <w:p>
      <w:pPr>
        <w:pStyle w:val="9"/>
        <w:widowControl/>
        <w:numPr>
          <w:ilvl w:val="0"/>
          <w:numId w:val="2"/>
        </w:numPr>
        <w:spacing w:before="75" w:line="315" w:lineRule="atLeast"/>
        <w:ind w:firstLine="200"/>
        <w:rPr>
          <w:rFonts w:cs="Times New Roman"/>
          <w:b/>
          <w:bCs/>
          <w:color w:val="auto"/>
          <w:sz w:val="28"/>
          <w:szCs w:val="28"/>
          <w:highlight w:val="none"/>
        </w:rPr>
      </w:pPr>
      <w:r>
        <w:rPr>
          <w:rFonts w:hint="eastAsia" w:cs="宋体"/>
          <w:b/>
          <w:bCs/>
          <w:color w:val="auto"/>
          <w:sz w:val="28"/>
          <w:szCs w:val="28"/>
          <w:highlight w:val="none"/>
        </w:rPr>
        <w:t>港澳台侨培训及职业提升教育中心</w:t>
      </w:r>
    </w:p>
    <w:p>
      <w:pPr>
        <w:pStyle w:val="9"/>
        <w:widowControl/>
        <w:spacing w:before="75" w:line="315" w:lineRule="atLeast"/>
        <w:ind w:firstLine="560" w:firstLineChars="200"/>
        <w:rPr>
          <w:rFonts w:hint="eastAsia" w:cs="宋体"/>
          <w:color w:val="auto"/>
          <w:sz w:val="28"/>
          <w:szCs w:val="28"/>
          <w:highlight w:val="none"/>
          <w:lang w:eastAsia="zh-CN"/>
        </w:rPr>
      </w:pPr>
      <w:r>
        <w:rPr>
          <w:rFonts w:hint="eastAsia" w:cs="宋体"/>
          <w:color w:val="auto"/>
          <w:sz w:val="28"/>
          <w:szCs w:val="28"/>
          <w:highlight w:val="none"/>
        </w:rPr>
        <w:t>港澳台侨培训及职业提升教育中心</w:t>
      </w:r>
      <w:r>
        <w:rPr>
          <w:rFonts w:hint="eastAsia" w:cs="宋体"/>
          <w:color w:val="auto"/>
          <w:sz w:val="28"/>
          <w:szCs w:val="28"/>
          <w:highlight w:val="none"/>
          <w:lang w:eastAsia="zh-CN"/>
        </w:rPr>
        <w:t>主要为学校定期举办港澳台侨学生学术文化交流活动和校内师生职业技能培训的重要场所，包含</w:t>
      </w:r>
      <w:r>
        <w:rPr>
          <w:rFonts w:hint="eastAsia" w:cs="宋体"/>
          <w:color w:val="auto"/>
          <w:sz w:val="28"/>
          <w:szCs w:val="28"/>
          <w:highlight w:val="none"/>
        </w:rPr>
        <w:t>住宿</w:t>
      </w:r>
      <w:r>
        <w:rPr>
          <w:rFonts w:hint="eastAsia" w:cs="宋体"/>
          <w:color w:val="auto"/>
          <w:sz w:val="28"/>
          <w:szCs w:val="28"/>
          <w:highlight w:val="none"/>
          <w:lang w:eastAsia="zh-CN"/>
        </w:rPr>
        <w:t>、餐饮、</w:t>
      </w:r>
      <w:r>
        <w:rPr>
          <w:rFonts w:hint="eastAsia" w:cs="宋体"/>
          <w:color w:val="auto"/>
          <w:sz w:val="28"/>
          <w:szCs w:val="28"/>
          <w:highlight w:val="none"/>
        </w:rPr>
        <w:t>文体活动</w:t>
      </w:r>
      <w:r>
        <w:rPr>
          <w:rFonts w:hint="eastAsia" w:cs="宋体"/>
          <w:color w:val="auto"/>
          <w:sz w:val="28"/>
          <w:szCs w:val="28"/>
          <w:highlight w:val="none"/>
          <w:lang w:eastAsia="zh-CN"/>
        </w:rPr>
        <w:t>、培训研讨以及</w:t>
      </w:r>
      <w:r>
        <w:rPr>
          <w:rFonts w:hint="eastAsia" w:cs="宋体"/>
          <w:color w:val="auto"/>
          <w:sz w:val="28"/>
          <w:szCs w:val="28"/>
          <w:highlight w:val="none"/>
        </w:rPr>
        <w:t>后勤及附属</w:t>
      </w:r>
      <w:r>
        <w:rPr>
          <w:rFonts w:hint="eastAsia" w:cs="宋体"/>
          <w:color w:val="auto"/>
          <w:sz w:val="28"/>
          <w:szCs w:val="28"/>
          <w:highlight w:val="none"/>
          <w:lang w:eastAsia="zh-CN"/>
        </w:rPr>
        <w:t>等功能</w:t>
      </w:r>
      <w:r>
        <w:rPr>
          <w:rFonts w:hint="eastAsia" w:cs="宋体"/>
          <w:color w:val="auto"/>
          <w:sz w:val="28"/>
          <w:szCs w:val="28"/>
          <w:highlight w:val="none"/>
        </w:rPr>
        <w:t>用房</w:t>
      </w:r>
      <w:r>
        <w:rPr>
          <w:rFonts w:hint="eastAsia" w:cs="宋体"/>
          <w:color w:val="auto"/>
          <w:sz w:val="28"/>
          <w:szCs w:val="28"/>
          <w:highlight w:val="none"/>
          <w:lang w:eastAsia="zh-CN"/>
        </w:rPr>
        <w:t>。应考虑该教育中心的各功能用房以及地下车库空间集中布置，以便于后续相对独立的运营和参照酒店式的管理。</w:t>
      </w:r>
    </w:p>
    <w:p>
      <w:pPr>
        <w:pStyle w:val="9"/>
        <w:widowControl/>
        <w:spacing w:before="75" w:line="315" w:lineRule="atLeast"/>
        <w:ind w:firstLine="560" w:firstLineChars="200"/>
        <w:rPr>
          <w:rFonts w:hint="default" w:eastAsia="宋体" w:cs="宋体"/>
          <w:color w:val="auto"/>
          <w:sz w:val="28"/>
          <w:szCs w:val="28"/>
          <w:highlight w:val="none"/>
          <w:lang w:val="en-US" w:eastAsia="zh-CN"/>
        </w:rPr>
      </w:pPr>
      <w:r>
        <w:rPr>
          <w:rFonts w:hint="eastAsia" w:cs="宋体"/>
          <w:color w:val="auto"/>
          <w:sz w:val="28"/>
          <w:szCs w:val="28"/>
          <w:highlight w:val="none"/>
          <w:lang w:val="en-US" w:eastAsia="zh-CN"/>
        </w:rPr>
        <w:t>教育中心首层设置宽敞的</w:t>
      </w:r>
      <w:r>
        <w:rPr>
          <w:rFonts w:hint="eastAsia" w:cs="宋体"/>
          <w:color w:val="auto"/>
          <w:sz w:val="28"/>
          <w:szCs w:val="28"/>
          <w:highlight w:val="none"/>
          <w:lang w:eastAsia="zh-CN"/>
        </w:rPr>
        <w:t>接待大厅，</w:t>
      </w:r>
      <w:r>
        <w:rPr>
          <w:rFonts w:hint="eastAsia" w:cs="宋体"/>
          <w:color w:val="auto"/>
          <w:sz w:val="28"/>
          <w:szCs w:val="28"/>
          <w:highlight w:val="none"/>
          <w:lang w:val="en-US" w:eastAsia="zh-CN"/>
        </w:rPr>
        <w:t>应考虑充足的层高净空和光照条件，并适当利用公共区域设置</w:t>
      </w:r>
      <w:r>
        <w:rPr>
          <w:rFonts w:hint="eastAsia" w:cs="宋体"/>
          <w:color w:val="auto"/>
          <w:sz w:val="28"/>
          <w:szCs w:val="28"/>
          <w:highlight w:val="none"/>
          <w:lang w:eastAsia="zh-CN"/>
        </w:rPr>
        <w:t>休息场所。</w:t>
      </w:r>
      <w:r>
        <w:rPr>
          <w:rFonts w:hint="eastAsia" w:cs="宋体"/>
          <w:color w:val="auto"/>
          <w:sz w:val="28"/>
          <w:szCs w:val="28"/>
          <w:highlight w:val="none"/>
          <w:lang w:val="en-US" w:eastAsia="zh-CN"/>
        </w:rPr>
        <w:t>宿舍单间应考虑不同房型组合；餐厅和厨房应结合中餐厅和西餐厅风格分别合理布局，适当考虑小宴会厅、酒吧间等功能需求；培训研讨用房可考虑不同的大小组合，应保证至少能容纳200人会议的培训研讨用房；后勤及附属用房面积中应考虑接待大厅、开闭所、变电所和其他便民商店、文印室等用房面积。</w:t>
      </w:r>
    </w:p>
    <w:p>
      <w:pPr>
        <w:pStyle w:val="9"/>
        <w:widowControl/>
        <w:numPr>
          <w:ilvl w:val="0"/>
          <w:numId w:val="2"/>
        </w:numPr>
        <w:spacing w:before="75" w:line="315" w:lineRule="atLeast"/>
        <w:ind w:firstLine="200"/>
        <w:rPr>
          <w:rFonts w:cs="Times New Roman"/>
          <w:b/>
          <w:bCs/>
          <w:color w:val="auto"/>
          <w:sz w:val="28"/>
          <w:szCs w:val="28"/>
          <w:highlight w:val="none"/>
        </w:rPr>
      </w:pPr>
      <w:r>
        <w:rPr>
          <w:rFonts w:hint="eastAsia" w:cs="宋体"/>
          <w:b/>
          <w:bCs/>
          <w:color w:val="auto"/>
          <w:sz w:val="28"/>
          <w:szCs w:val="28"/>
          <w:highlight w:val="none"/>
          <w:lang w:eastAsia="zh-CN"/>
        </w:rPr>
        <w:t>演艺厅</w:t>
      </w:r>
    </w:p>
    <w:p>
      <w:pPr>
        <w:pStyle w:val="9"/>
        <w:widowControl/>
        <w:spacing w:before="75" w:line="315" w:lineRule="atLeast"/>
        <w:ind w:firstLine="560" w:firstLineChars="200"/>
        <w:rPr>
          <w:rFonts w:cs="Times New Roman"/>
          <w:color w:val="auto"/>
          <w:sz w:val="28"/>
          <w:szCs w:val="28"/>
          <w:highlight w:val="none"/>
        </w:rPr>
      </w:pPr>
      <w:r>
        <w:rPr>
          <w:rFonts w:hint="eastAsia" w:cs="宋体"/>
          <w:color w:val="auto"/>
          <w:sz w:val="28"/>
          <w:szCs w:val="28"/>
          <w:highlight w:val="none"/>
        </w:rPr>
        <w:t>演艺厅观众坐席规模不少于</w:t>
      </w:r>
      <w:r>
        <w:rPr>
          <w:color w:val="auto"/>
          <w:sz w:val="28"/>
          <w:szCs w:val="28"/>
          <w:highlight w:val="none"/>
        </w:rPr>
        <w:t>600</w:t>
      </w:r>
      <w:r>
        <w:rPr>
          <w:rFonts w:hint="eastAsia" w:cs="宋体"/>
          <w:color w:val="auto"/>
          <w:sz w:val="28"/>
          <w:szCs w:val="28"/>
          <w:highlight w:val="none"/>
        </w:rPr>
        <w:t>座，相关设计可参考《剧场建筑设计规范</w:t>
      </w:r>
      <w:r>
        <w:rPr>
          <w:color w:val="auto"/>
          <w:sz w:val="28"/>
          <w:szCs w:val="28"/>
          <w:highlight w:val="none"/>
        </w:rPr>
        <w:t>JGJ 57-2016</w:t>
      </w:r>
      <w:r>
        <w:rPr>
          <w:rFonts w:hint="eastAsia" w:cs="宋体"/>
          <w:color w:val="auto"/>
          <w:sz w:val="28"/>
          <w:szCs w:val="28"/>
          <w:highlight w:val="none"/>
        </w:rPr>
        <w:t>》中的相关标准。演艺厅场地选址应相对独立，以减少对其他功能用房的干扰，须进行灯光音响专项设计和声学专项设计，应控制噪声影响满足《建筑隔声评价标准》（</w:t>
      </w:r>
      <w:r>
        <w:rPr>
          <w:color w:val="auto"/>
          <w:sz w:val="28"/>
          <w:szCs w:val="28"/>
          <w:highlight w:val="none"/>
        </w:rPr>
        <w:t>GB/T50121-2005</w:t>
      </w:r>
      <w:r>
        <w:rPr>
          <w:rFonts w:hint="eastAsia" w:cs="宋体"/>
          <w:color w:val="auto"/>
          <w:sz w:val="28"/>
          <w:szCs w:val="28"/>
          <w:highlight w:val="none"/>
        </w:rPr>
        <w:t>）相关设计规范。演艺厅应满足学校学术报告、文艺表演、电影放映等功能需求，主要由主舞台、侧舞台、后舞台、带伸缩座椅的观众厅、休息厅、放映厅和其他附属功能房间组成，各功能性房间应围绕舞台及观众厅进行合理布置。</w:t>
      </w:r>
    </w:p>
    <w:p>
      <w:pPr>
        <w:pStyle w:val="9"/>
        <w:widowControl/>
        <w:numPr>
          <w:ilvl w:val="0"/>
          <w:numId w:val="2"/>
        </w:numPr>
        <w:spacing w:before="75" w:line="315" w:lineRule="atLeast"/>
        <w:ind w:firstLine="200"/>
        <w:rPr>
          <w:rFonts w:cs="Times New Roman"/>
          <w:b/>
          <w:bCs/>
          <w:color w:val="auto"/>
          <w:sz w:val="28"/>
          <w:szCs w:val="28"/>
          <w:highlight w:val="none"/>
        </w:rPr>
      </w:pPr>
      <w:r>
        <w:rPr>
          <w:rFonts w:hint="eastAsia" w:cs="宋体"/>
          <w:b/>
          <w:bCs/>
          <w:color w:val="auto"/>
          <w:sz w:val="28"/>
          <w:szCs w:val="28"/>
          <w:highlight w:val="none"/>
        </w:rPr>
        <w:t>展厅</w:t>
      </w:r>
    </w:p>
    <w:p>
      <w:pPr>
        <w:pStyle w:val="9"/>
        <w:widowControl/>
        <w:spacing w:before="75" w:line="315" w:lineRule="atLeast"/>
        <w:ind w:firstLine="560" w:firstLineChars="200"/>
        <w:rPr>
          <w:rFonts w:cs="Times New Roman"/>
          <w:color w:val="auto"/>
          <w:sz w:val="28"/>
          <w:szCs w:val="28"/>
          <w:highlight w:val="none"/>
        </w:rPr>
      </w:pPr>
      <w:r>
        <w:rPr>
          <w:rFonts w:hint="eastAsia" w:cs="宋体"/>
          <w:color w:val="auto"/>
          <w:sz w:val="28"/>
          <w:szCs w:val="28"/>
          <w:highlight w:val="none"/>
        </w:rPr>
        <w:t>展厅用于学校各部门、学院及团体组织、开展内容丰富、特点明显、经常性、系列化的展览活动，具有考察、调研接待、作品展览、成果推介、文化展示等综合功能，暂按使用面积</w:t>
      </w:r>
      <w:r>
        <w:rPr>
          <w:rFonts w:hint="eastAsia"/>
          <w:color w:val="auto"/>
          <w:sz w:val="28"/>
          <w:szCs w:val="28"/>
          <w:highlight w:val="none"/>
          <w:lang w:eastAsia="zh-CN"/>
        </w:rPr>
        <w:t>约</w:t>
      </w:r>
      <w:r>
        <w:rPr>
          <w:rFonts w:hint="eastAsia"/>
          <w:color w:val="auto"/>
          <w:sz w:val="28"/>
          <w:szCs w:val="28"/>
          <w:highlight w:val="none"/>
          <w:lang w:val="en-US" w:eastAsia="zh-CN"/>
        </w:rPr>
        <w:t>1500平方米</w:t>
      </w:r>
      <w:r>
        <w:rPr>
          <w:rFonts w:hint="eastAsia" w:cs="宋体"/>
          <w:color w:val="auto"/>
          <w:sz w:val="28"/>
          <w:szCs w:val="28"/>
          <w:highlight w:val="none"/>
        </w:rPr>
        <w:t>进行考虑。展厅主要设置展示区、简易采访区、仓储区和其他配套附属用房。设计应本着高档次、多功能的原则，考虑整体布局，并能使有限的场地发挥最大作用，相关选址条件、平面布置、建筑、设备、防火和室内环境等设计可参照行业标准《展览建筑设计规范》（</w:t>
      </w:r>
      <w:r>
        <w:rPr>
          <w:color w:val="auto"/>
          <w:sz w:val="28"/>
          <w:szCs w:val="28"/>
          <w:highlight w:val="none"/>
        </w:rPr>
        <w:t>JGJ218-2010</w:t>
      </w:r>
      <w:r>
        <w:rPr>
          <w:rFonts w:hint="eastAsia" w:cs="宋体"/>
          <w:color w:val="auto"/>
          <w:sz w:val="28"/>
          <w:szCs w:val="28"/>
          <w:highlight w:val="none"/>
        </w:rPr>
        <w:t>）。</w:t>
      </w:r>
    </w:p>
    <w:p>
      <w:pPr>
        <w:pStyle w:val="9"/>
        <w:widowControl/>
        <w:numPr>
          <w:ilvl w:val="0"/>
          <w:numId w:val="2"/>
        </w:numPr>
        <w:spacing w:before="75" w:line="315" w:lineRule="atLeast"/>
        <w:ind w:firstLine="200"/>
        <w:rPr>
          <w:rFonts w:cs="Times New Roman"/>
          <w:b/>
          <w:bCs/>
          <w:color w:val="auto"/>
          <w:sz w:val="28"/>
          <w:szCs w:val="28"/>
          <w:highlight w:val="none"/>
        </w:rPr>
      </w:pPr>
      <w:r>
        <w:rPr>
          <w:rFonts w:hint="eastAsia" w:cs="宋体"/>
          <w:b/>
          <w:bCs/>
          <w:color w:val="auto"/>
          <w:sz w:val="28"/>
          <w:szCs w:val="28"/>
          <w:highlight w:val="none"/>
        </w:rPr>
        <w:t>心理咨询室</w:t>
      </w:r>
    </w:p>
    <w:p>
      <w:pPr>
        <w:pStyle w:val="9"/>
        <w:widowControl/>
        <w:spacing w:before="75" w:line="315" w:lineRule="atLeast"/>
        <w:ind w:firstLine="560" w:firstLineChars="200"/>
        <w:rPr>
          <w:rFonts w:cs="Times New Roman"/>
          <w:color w:val="auto"/>
          <w:sz w:val="28"/>
          <w:szCs w:val="28"/>
          <w:highlight w:val="none"/>
        </w:rPr>
      </w:pPr>
      <w:r>
        <w:rPr>
          <w:rFonts w:hint="eastAsia" w:cs="宋体"/>
          <w:color w:val="auto"/>
          <w:sz w:val="28"/>
          <w:szCs w:val="28"/>
          <w:highlight w:val="none"/>
        </w:rPr>
        <w:t>心理咨询室是学校开展心理健康教育工作的场所，其选址和平面布置的合理性对心理健康教育工作有重要意义。心理咨询室</w:t>
      </w:r>
      <w:r>
        <w:rPr>
          <w:rFonts w:hint="eastAsia" w:cs="宋体"/>
          <w:color w:val="auto"/>
          <w:sz w:val="28"/>
          <w:szCs w:val="28"/>
          <w:highlight w:val="none"/>
          <w:lang w:val="en-US" w:eastAsia="zh-CN"/>
        </w:rPr>
        <w:t>建筑</w:t>
      </w:r>
      <w:r>
        <w:rPr>
          <w:rFonts w:hint="eastAsia" w:cs="宋体"/>
          <w:color w:val="auto"/>
          <w:sz w:val="28"/>
          <w:szCs w:val="28"/>
          <w:highlight w:val="none"/>
        </w:rPr>
        <w:t>面积规模约</w:t>
      </w:r>
      <w:r>
        <w:rPr>
          <w:color w:val="auto"/>
          <w:sz w:val="28"/>
          <w:szCs w:val="28"/>
          <w:highlight w:val="none"/>
        </w:rPr>
        <w:t>1000</w:t>
      </w:r>
      <w:r>
        <w:rPr>
          <w:rFonts w:hint="eastAsia" w:cs="宋体"/>
          <w:color w:val="auto"/>
          <w:sz w:val="28"/>
          <w:szCs w:val="28"/>
          <w:highlight w:val="none"/>
        </w:rPr>
        <w:t>平方米，设置接待室、心理咨询室、沙盘室、漫读室、心理游戏室、心理宣泄室、影音室、团体辅导室和其他</w:t>
      </w:r>
      <w:r>
        <w:rPr>
          <w:rFonts w:hint="eastAsia" w:cs="宋体"/>
          <w:color w:val="auto"/>
          <w:sz w:val="28"/>
          <w:szCs w:val="28"/>
          <w:highlight w:val="none"/>
          <w:lang w:eastAsia="zh-CN"/>
        </w:rPr>
        <w:t>研讨</w:t>
      </w:r>
      <w:r>
        <w:rPr>
          <w:rFonts w:hint="eastAsia" w:cs="宋体"/>
          <w:color w:val="auto"/>
          <w:sz w:val="28"/>
          <w:szCs w:val="28"/>
          <w:highlight w:val="none"/>
        </w:rPr>
        <w:t>用房等。心理咨询室选址应满足便于来访，且噪声、人流干扰较小的要求，以减少噪音、人流对心理咨询工作的影响，并保障咨询人隐私。咨询室应有良好的通风、采光条件。</w:t>
      </w:r>
    </w:p>
    <w:p>
      <w:pPr>
        <w:pStyle w:val="9"/>
        <w:widowControl/>
        <w:spacing w:before="75" w:line="315" w:lineRule="atLeast"/>
        <w:ind w:firstLine="560" w:firstLineChars="200"/>
        <w:rPr>
          <w:rFonts w:cs="Times New Roman"/>
          <w:color w:val="auto"/>
          <w:sz w:val="28"/>
          <w:szCs w:val="28"/>
          <w:highlight w:val="none"/>
        </w:rPr>
      </w:pPr>
      <w:r>
        <w:rPr>
          <w:rFonts w:hint="eastAsia" w:cs="宋体"/>
          <w:color w:val="auto"/>
          <w:sz w:val="28"/>
          <w:szCs w:val="28"/>
          <w:highlight w:val="none"/>
        </w:rPr>
        <w:t>心理咨询室的具体需求详见附件</w:t>
      </w:r>
      <w:r>
        <w:rPr>
          <w:color w:val="auto"/>
          <w:sz w:val="28"/>
          <w:szCs w:val="28"/>
          <w:highlight w:val="none"/>
        </w:rPr>
        <w:t>3</w:t>
      </w:r>
      <w:r>
        <w:rPr>
          <w:rFonts w:hint="eastAsia" w:cs="宋体"/>
          <w:color w:val="auto"/>
          <w:sz w:val="28"/>
          <w:szCs w:val="28"/>
          <w:highlight w:val="none"/>
        </w:rPr>
        <w:t>《</w:t>
      </w:r>
      <w:r>
        <w:rPr>
          <w:color w:val="auto"/>
          <w:sz w:val="28"/>
          <w:szCs w:val="28"/>
          <w:highlight w:val="none"/>
        </w:rPr>
        <w:t>S</w:t>
      </w:r>
      <w:r>
        <w:rPr>
          <w:rFonts w:hint="eastAsia" w:cs="宋体"/>
          <w:color w:val="auto"/>
          <w:sz w:val="28"/>
          <w:szCs w:val="28"/>
          <w:highlight w:val="none"/>
        </w:rPr>
        <w:t>组团</w:t>
      </w:r>
      <w:r>
        <w:rPr>
          <w:color w:val="auto"/>
          <w:sz w:val="28"/>
          <w:szCs w:val="28"/>
          <w:highlight w:val="none"/>
        </w:rPr>
        <w:t>——</w:t>
      </w:r>
      <w:r>
        <w:rPr>
          <w:rFonts w:hint="eastAsia" w:cs="宋体"/>
          <w:color w:val="auto"/>
          <w:sz w:val="28"/>
          <w:szCs w:val="28"/>
          <w:highlight w:val="none"/>
        </w:rPr>
        <w:t>心理健康教育中心院系二期用房需求情况汇总表》。</w:t>
      </w:r>
    </w:p>
    <w:p>
      <w:pPr>
        <w:pStyle w:val="9"/>
        <w:widowControl/>
        <w:numPr>
          <w:ilvl w:val="0"/>
          <w:numId w:val="2"/>
        </w:numPr>
        <w:spacing w:before="75" w:line="315" w:lineRule="atLeast"/>
        <w:ind w:firstLine="200"/>
        <w:rPr>
          <w:rFonts w:cs="Times New Roman"/>
          <w:b/>
          <w:bCs/>
          <w:color w:val="auto"/>
          <w:sz w:val="28"/>
          <w:szCs w:val="28"/>
          <w:highlight w:val="none"/>
        </w:rPr>
      </w:pPr>
      <w:r>
        <w:rPr>
          <w:rFonts w:hint="eastAsia" w:cs="宋体"/>
          <w:b/>
          <w:bCs/>
          <w:color w:val="auto"/>
          <w:sz w:val="28"/>
          <w:szCs w:val="28"/>
          <w:highlight w:val="none"/>
          <w:lang w:eastAsia="zh-CN"/>
        </w:rPr>
        <w:t>日常研讨室</w:t>
      </w:r>
    </w:p>
    <w:p>
      <w:pPr>
        <w:pStyle w:val="9"/>
        <w:widowControl/>
        <w:spacing w:before="75" w:line="315" w:lineRule="atLeast"/>
        <w:ind w:firstLine="560" w:firstLineChars="200"/>
        <w:rPr>
          <w:rFonts w:cs="Times New Roman"/>
          <w:color w:val="auto"/>
          <w:sz w:val="28"/>
          <w:szCs w:val="28"/>
          <w:highlight w:val="none"/>
        </w:rPr>
      </w:pPr>
      <w:r>
        <w:rPr>
          <w:rFonts w:hint="eastAsia" w:cs="宋体"/>
          <w:color w:val="auto"/>
          <w:sz w:val="28"/>
          <w:szCs w:val="28"/>
          <w:highlight w:val="none"/>
          <w:lang w:eastAsia="zh-CN"/>
        </w:rPr>
        <w:t>日常研讨室</w:t>
      </w:r>
      <w:r>
        <w:rPr>
          <w:rFonts w:hint="eastAsia" w:cs="宋体"/>
          <w:color w:val="auto"/>
          <w:sz w:val="28"/>
          <w:szCs w:val="28"/>
          <w:highlight w:val="none"/>
        </w:rPr>
        <w:t>暂按使用面积</w:t>
      </w:r>
      <w:r>
        <w:rPr>
          <w:color w:val="auto"/>
          <w:sz w:val="28"/>
          <w:szCs w:val="28"/>
          <w:highlight w:val="none"/>
        </w:rPr>
        <w:t>35</w:t>
      </w:r>
      <w:r>
        <w:rPr>
          <w:rFonts w:hint="eastAsia" w:cs="宋体"/>
          <w:color w:val="auto"/>
          <w:sz w:val="28"/>
          <w:szCs w:val="28"/>
          <w:highlight w:val="none"/>
        </w:rPr>
        <w:t>㎡</w:t>
      </w:r>
      <w:r>
        <w:rPr>
          <w:color w:val="auto"/>
          <w:sz w:val="28"/>
          <w:szCs w:val="28"/>
          <w:highlight w:val="none"/>
        </w:rPr>
        <w:t>/</w:t>
      </w:r>
      <w:r>
        <w:rPr>
          <w:rFonts w:hint="eastAsia" w:cs="宋体"/>
          <w:color w:val="auto"/>
          <w:sz w:val="28"/>
          <w:szCs w:val="28"/>
          <w:highlight w:val="none"/>
        </w:rPr>
        <w:t>间</w:t>
      </w:r>
      <w:r>
        <w:rPr>
          <w:color w:val="auto"/>
          <w:sz w:val="28"/>
          <w:szCs w:val="28"/>
          <w:highlight w:val="none"/>
        </w:rPr>
        <w:t>*3</w:t>
      </w:r>
      <w:r>
        <w:rPr>
          <w:rFonts w:hint="eastAsia" w:cs="宋体"/>
          <w:color w:val="auto"/>
          <w:sz w:val="28"/>
          <w:szCs w:val="28"/>
          <w:highlight w:val="none"/>
        </w:rPr>
        <w:t>间、</w:t>
      </w:r>
      <w:r>
        <w:rPr>
          <w:color w:val="auto"/>
          <w:sz w:val="28"/>
          <w:szCs w:val="28"/>
          <w:highlight w:val="none"/>
        </w:rPr>
        <w:t>50</w:t>
      </w:r>
      <w:r>
        <w:rPr>
          <w:rFonts w:hint="eastAsia" w:cs="宋体"/>
          <w:color w:val="auto"/>
          <w:sz w:val="28"/>
          <w:szCs w:val="28"/>
          <w:highlight w:val="none"/>
        </w:rPr>
        <w:t>㎡</w:t>
      </w:r>
      <w:r>
        <w:rPr>
          <w:color w:val="auto"/>
          <w:sz w:val="28"/>
          <w:szCs w:val="28"/>
          <w:highlight w:val="none"/>
        </w:rPr>
        <w:t>/</w:t>
      </w:r>
      <w:r>
        <w:rPr>
          <w:rFonts w:hint="eastAsia" w:cs="宋体"/>
          <w:color w:val="auto"/>
          <w:sz w:val="28"/>
          <w:szCs w:val="28"/>
          <w:highlight w:val="none"/>
        </w:rPr>
        <w:t>间</w:t>
      </w:r>
      <w:r>
        <w:rPr>
          <w:color w:val="auto"/>
          <w:sz w:val="28"/>
          <w:szCs w:val="28"/>
          <w:highlight w:val="none"/>
        </w:rPr>
        <w:t>*4</w:t>
      </w:r>
      <w:r>
        <w:rPr>
          <w:rFonts w:hint="eastAsia" w:cs="宋体"/>
          <w:color w:val="auto"/>
          <w:sz w:val="28"/>
          <w:szCs w:val="28"/>
          <w:highlight w:val="none"/>
        </w:rPr>
        <w:t>间、</w:t>
      </w:r>
      <w:r>
        <w:rPr>
          <w:color w:val="auto"/>
          <w:sz w:val="28"/>
          <w:szCs w:val="28"/>
          <w:highlight w:val="none"/>
        </w:rPr>
        <w:t>100</w:t>
      </w:r>
      <w:r>
        <w:rPr>
          <w:rFonts w:hint="eastAsia" w:cs="宋体"/>
          <w:color w:val="auto"/>
          <w:sz w:val="28"/>
          <w:szCs w:val="28"/>
          <w:highlight w:val="none"/>
        </w:rPr>
        <w:t>㎡</w:t>
      </w:r>
      <w:r>
        <w:rPr>
          <w:color w:val="auto"/>
          <w:sz w:val="28"/>
          <w:szCs w:val="28"/>
          <w:highlight w:val="none"/>
        </w:rPr>
        <w:t>/</w:t>
      </w:r>
      <w:r>
        <w:rPr>
          <w:rFonts w:hint="eastAsia" w:cs="宋体"/>
          <w:color w:val="auto"/>
          <w:sz w:val="28"/>
          <w:szCs w:val="28"/>
          <w:highlight w:val="none"/>
        </w:rPr>
        <w:t>间</w:t>
      </w:r>
      <w:r>
        <w:rPr>
          <w:color w:val="auto"/>
          <w:sz w:val="28"/>
          <w:szCs w:val="28"/>
          <w:highlight w:val="none"/>
        </w:rPr>
        <w:t>*1</w:t>
      </w:r>
      <w:r>
        <w:rPr>
          <w:rFonts w:hint="eastAsia" w:cs="宋体"/>
          <w:color w:val="auto"/>
          <w:sz w:val="28"/>
          <w:szCs w:val="28"/>
          <w:highlight w:val="none"/>
        </w:rPr>
        <w:t>间设置，分布在</w:t>
      </w:r>
      <w:r>
        <w:rPr>
          <w:rFonts w:hint="eastAsia" w:cs="宋体"/>
          <w:color w:val="auto"/>
          <w:sz w:val="28"/>
          <w:szCs w:val="28"/>
          <w:highlight w:val="none"/>
          <w:lang w:eastAsia="zh-CN"/>
        </w:rPr>
        <w:t>研修室</w:t>
      </w:r>
      <w:r>
        <w:rPr>
          <w:rFonts w:hint="eastAsia" w:cs="宋体"/>
          <w:color w:val="auto"/>
          <w:sz w:val="28"/>
          <w:szCs w:val="28"/>
          <w:highlight w:val="none"/>
        </w:rPr>
        <w:t>区域。</w:t>
      </w:r>
    </w:p>
    <w:p>
      <w:pPr>
        <w:pStyle w:val="9"/>
        <w:widowControl/>
        <w:numPr>
          <w:ilvl w:val="0"/>
          <w:numId w:val="2"/>
        </w:numPr>
        <w:spacing w:before="75" w:line="315" w:lineRule="atLeast"/>
        <w:ind w:firstLine="200"/>
        <w:rPr>
          <w:rFonts w:cs="Times New Roman"/>
          <w:b/>
          <w:bCs/>
          <w:color w:val="auto"/>
          <w:sz w:val="28"/>
          <w:szCs w:val="28"/>
          <w:highlight w:val="none"/>
        </w:rPr>
      </w:pPr>
      <w:r>
        <w:rPr>
          <w:rFonts w:hint="eastAsia" w:cs="宋体"/>
          <w:b/>
          <w:bCs/>
          <w:color w:val="auto"/>
          <w:sz w:val="28"/>
          <w:szCs w:val="28"/>
          <w:highlight w:val="none"/>
        </w:rPr>
        <w:t>综合办事大厅</w:t>
      </w:r>
    </w:p>
    <w:p>
      <w:pPr>
        <w:pStyle w:val="9"/>
        <w:widowControl/>
        <w:spacing w:before="75" w:line="315" w:lineRule="atLeast"/>
        <w:ind w:firstLine="560" w:firstLineChars="200"/>
        <w:rPr>
          <w:rFonts w:cs="Times New Roman"/>
          <w:color w:val="auto"/>
          <w:sz w:val="28"/>
          <w:szCs w:val="28"/>
          <w:highlight w:val="none"/>
        </w:rPr>
      </w:pPr>
      <w:r>
        <w:rPr>
          <w:rFonts w:hint="eastAsia" w:cs="宋体"/>
          <w:color w:val="auto"/>
          <w:sz w:val="28"/>
          <w:szCs w:val="28"/>
          <w:highlight w:val="none"/>
        </w:rPr>
        <w:t>综合办事大厅服务于全校师生，实行教务、财务、学生活动审批、后勤、安保等一站式窗口服务，该大厅建筑面积约</w:t>
      </w:r>
      <w:r>
        <w:rPr>
          <w:color w:val="auto"/>
          <w:sz w:val="28"/>
          <w:szCs w:val="28"/>
          <w:highlight w:val="none"/>
        </w:rPr>
        <w:t>600</w:t>
      </w:r>
      <w:r>
        <w:rPr>
          <w:rFonts w:hint="eastAsia" w:cs="宋体"/>
          <w:color w:val="auto"/>
          <w:sz w:val="28"/>
          <w:szCs w:val="28"/>
          <w:highlight w:val="none"/>
        </w:rPr>
        <w:t>平方米，选址应满足师生便于到达的要求，平面布置应符合集中式、开放式工作环境的要求，以实现便民高效，规范运行的目的。综合办事大厅可参考设置以下相关区域：</w:t>
      </w:r>
    </w:p>
    <w:p>
      <w:pPr>
        <w:pStyle w:val="9"/>
        <w:widowControl/>
        <w:numPr>
          <w:ilvl w:val="0"/>
          <w:numId w:val="3"/>
        </w:numPr>
        <w:spacing w:before="75" w:line="315" w:lineRule="atLeast"/>
        <w:rPr>
          <w:rFonts w:cs="Times New Roman"/>
          <w:color w:val="auto"/>
          <w:sz w:val="28"/>
          <w:szCs w:val="28"/>
          <w:highlight w:val="none"/>
        </w:rPr>
      </w:pPr>
      <w:r>
        <w:rPr>
          <w:rFonts w:hint="eastAsia" w:cs="宋体"/>
          <w:color w:val="auto"/>
          <w:sz w:val="28"/>
          <w:szCs w:val="28"/>
          <w:highlight w:val="none"/>
        </w:rPr>
        <w:t>窗口服务区：应按照事项的业务关联性合理布局窗口，设置前台、后台，窗口台面样式一致。</w:t>
      </w:r>
    </w:p>
    <w:p>
      <w:pPr>
        <w:pStyle w:val="9"/>
        <w:widowControl/>
        <w:numPr>
          <w:ilvl w:val="0"/>
          <w:numId w:val="3"/>
        </w:numPr>
        <w:spacing w:before="75" w:line="315" w:lineRule="atLeast"/>
        <w:rPr>
          <w:rFonts w:cs="Times New Roman"/>
          <w:color w:val="auto"/>
          <w:sz w:val="28"/>
          <w:szCs w:val="28"/>
          <w:highlight w:val="none"/>
        </w:rPr>
      </w:pPr>
      <w:r>
        <w:rPr>
          <w:rFonts w:hint="eastAsia" w:cs="宋体"/>
          <w:color w:val="auto"/>
          <w:sz w:val="28"/>
          <w:szCs w:val="28"/>
          <w:highlight w:val="none"/>
        </w:rPr>
        <w:t>咨询服务区：咨询服务区应设置在综合办事大厅入口或醒目的地方。</w:t>
      </w:r>
    </w:p>
    <w:p>
      <w:pPr>
        <w:pStyle w:val="9"/>
        <w:widowControl/>
        <w:numPr>
          <w:ilvl w:val="0"/>
          <w:numId w:val="3"/>
        </w:numPr>
        <w:spacing w:before="75" w:line="315" w:lineRule="atLeast"/>
        <w:rPr>
          <w:rFonts w:cs="Times New Roman"/>
          <w:color w:val="auto"/>
          <w:sz w:val="28"/>
          <w:szCs w:val="28"/>
          <w:highlight w:val="none"/>
        </w:rPr>
      </w:pPr>
      <w:r>
        <w:rPr>
          <w:rFonts w:hint="eastAsia" w:cs="宋体"/>
          <w:color w:val="auto"/>
          <w:sz w:val="28"/>
          <w:szCs w:val="28"/>
          <w:highlight w:val="none"/>
        </w:rPr>
        <w:t>等候区：等候区应与窗口服务区关联设置，方便办事师生在办事窗口就近等候。</w:t>
      </w:r>
    </w:p>
    <w:p>
      <w:pPr>
        <w:pStyle w:val="9"/>
        <w:widowControl/>
        <w:numPr>
          <w:ilvl w:val="0"/>
          <w:numId w:val="3"/>
        </w:numPr>
        <w:spacing w:before="75" w:line="315" w:lineRule="atLeast"/>
        <w:rPr>
          <w:rFonts w:cs="Times New Roman"/>
          <w:color w:val="auto"/>
          <w:sz w:val="28"/>
          <w:szCs w:val="28"/>
          <w:highlight w:val="none"/>
        </w:rPr>
      </w:pPr>
      <w:r>
        <w:rPr>
          <w:rFonts w:hint="eastAsia" w:cs="宋体"/>
          <w:color w:val="auto"/>
          <w:sz w:val="28"/>
          <w:szCs w:val="28"/>
          <w:highlight w:val="none"/>
        </w:rPr>
        <w:t>自助服务区：应在综合办事大厅设置自助服务区，方便师生实现网上注册、预约、申请、查询及自助打印复印等服务。</w:t>
      </w:r>
    </w:p>
    <w:p>
      <w:pPr>
        <w:pStyle w:val="9"/>
        <w:widowControl/>
        <w:numPr>
          <w:ilvl w:val="0"/>
          <w:numId w:val="2"/>
        </w:numPr>
        <w:spacing w:before="75" w:line="315" w:lineRule="atLeast"/>
        <w:ind w:firstLine="200"/>
        <w:rPr>
          <w:rFonts w:cs="Times New Roman"/>
          <w:b/>
          <w:bCs/>
          <w:color w:val="auto"/>
          <w:sz w:val="28"/>
          <w:szCs w:val="28"/>
          <w:highlight w:val="none"/>
        </w:rPr>
      </w:pPr>
      <w:r>
        <w:rPr>
          <w:rFonts w:hint="eastAsia" w:cs="宋体"/>
          <w:b/>
          <w:bCs/>
          <w:color w:val="auto"/>
          <w:sz w:val="28"/>
          <w:szCs w:val="28"/>
          <w:highlight w:val="none"/>
        </w:rPr>
        <w:t>校网络机房</w:t>
      </w:r>
    </w:p>
    <w:p>
      <w:pPr>
        <w:pStyle w:val="9"/>
        <w:widowControl/>
        <w:spacing w:before="75" w:line="315" w:lineRule="atLeast"/>
        <w:ind w:firstLine="560" w:firstLineChars="200"/>
        <w:rPr>
          <w:rFonts w:cs="Times New Roman"/>
          <w:color w:val="auto"/>
          <w:sz w:val="28"/>
          <w:szCs w:val="28"/>
          <w:highlight w:val="none"/>
        </w:rPr>
      </w:pPr>
      <w:r>
        <w:rPr>
          <w:color w:val="auto"/>
          <w:sz w:val="28"/>
          <w:szCs w:val="28"/>
          <w:highlight w:val="none"/>
        </w:rPr>
        <w:t>S</w:t>
      </w:r>
      <w:r>
        <w:rPr>
          <w:rFonts w:hint="eastAsia" w:cs="宋体"/>
          <w:color w:val="auto"/>
          <w:sz w:val="28"/>
          <w:szCs w:val="28"/>
          <w:highlight w:val="none"/>
        </w:rPr>
        <w:t>组团中设置校网络机房，使用面积约</w:t>
      </w:r>
      <w:r>
        <w:rPr>
          <w:color w:val="auto"/>
          <w:sz w:val="28"/>
          <w:szCs w:val="28"/>
          <w:highlight w:val="none"/>
        </w:rPr>
        <w:t>1000</w:t>
      </w:r>
      <w:r>
        <w:rPr>
          <w:rFonts w:hint="eastAsia" w:cs="宋体"/>
          <w:color w:val="auto"/>
          <w:sz w:val="28"/>
          <w:szCs w:val="28"/>
          <w:highlight w:val="none"/>
        </w:rPr>
        <w:t>㎡，用于规划学校信息化底座空间，承载学校数据中心机房、各学院数据中心机房、重点学科所需的科研机房、信息化支撑功能室等，以满足学校发展需求，机房选址环境、土建结构、装修、消防系统、防雷接地系统、照明系统等设计可参照《数据中心设计规范》（</w:t>
      </w:r>
      <w:r>
        <w:rPr>
          <w:color w:val="auto"/>
          <w:sz w:val="28"/>
          <w:szCs w:val="28"/>
          <w:highlight w:val="none"/>
        </w:rPr>
        <w:t>GB50174-2017</w:t>
      </w:r>
      <w:r>
        <w:rPr>
          <w:rFonts w:hint="eastAsia" w:cs="宋体"/>
          <w:color w:val="auto"/>
          <w:sz w:val="28"/>
          <w:szCs w:val="28"/>
          <w:highlight w:val="none"/>
        </w:rPr>
        <w:t>）中相关标准，其中相关需求如下：</w:t>
      </w:r>
    </w:p>
    <w:p>
      <w:pPr>
        <w:pStyle w:val="9"/>
        <w:widowControl/>
        <w:numPr>
          <w:ilvl w:val="0"/>
          <w:numId w:val="4"/>
        </w:numPr>
        <w:spacing w:before="75" w:line="315" w:lineRule="atLeast"/>
        <w:ind w:firstLine="200"/>
        <w:rPr>
          <w:rFonts w:cs="Times New Roman"/>
          <w:color w:val="auto"/>
          <w:sz w:val="28"/>
          <w:szCs w:val="28"/>
          <w:highlight w:val="none"/>
        </w:rPr>
      </w:pPr>
      <w:r>
        <w:rPr>
          <w:rFonts w:hint="eastAsia" w:cs="宋体"/>
          <w:color w:val="auto"/>
          <w:sz w:val="28"/>
          <w:szCs w:val="28"/>
          <w:highlight w:val="none"/>
        </w:rPr>
        <w:t>校网络机房需按机房标准考虑二次装修，配套安装数据中心新风系统、精密空调系统和动力环境监控系统等，还需预留空调和新风系统外机放置空间、空调冷凝水排水出口。</w:t>
      </w:r>
    </w:p>
    <w:p>
      <w:pPr>
        <w:pStyle w:val="9"/>
        <w:widowControl/>
        <w:numPr>
          <w:ilvl w:val="0"/>
          <w:numId w:val="4"/>
        </w:numPr>
        <w:spacing w:before="75" w:line="315" w:lineRule="atLeast"/>
        <w:ind w:firstLine="200"/>
        <w:rPr>
          <w:rFonts w:cs="Times New Roman"/>
          <w:color w:val="auto"/>
          <w:sz w:val="28"/>
          <w:szCs w:val="28"/>
          <w:highlight w:val="none"/>
        </w:rPr>
      </w:pPr>
      <w:r>
        <w:rPr>
          <w:rFonts w:hint="eastAsia" w:cs="宋体"/>
          <w:color w:val="auto"/>
          <w:sz w:val="28"/>
          <w:szCs w:val="28"/>
          <w:highlight w:val="none"/>
        </w:rPr>
        <w:t>供配电系统需满足实现高压检修、故障时仍能保障校网络机房有至少一路供电，变压器配备按一用一备运行考虑，且具备相应的后备</w:t>
      </w:r>
      <w:r>
        <w:rPr>
          <w:color w:val="auto"/>
          <w:sz w:val="28"/>
          <w:szCs w:val="28"/>
          <w:highlight w:val="none"/>
        </w:rPr>
        <w:t>UPS</w:t>
      </w:r>
      <w:r>
        <w:rPr>
          <w:rFonts w:hint="eastAsia" w:cs="宋体"/>
          <w:color w:val="auto"/>
          <w:sz w:val="28"/>
          <w:szCs w:val="28"/>
          <w:highlight w:val="none"/>
        </w:rPr>
        <w:t>供电能力。</w:t>
      </w:r>
    </w:p>
    <w:p>
      <w:pPr>
        <w:pStyle w:val="9"/>
        <w:widowControl/>
        <w:numPr>
          <w:ilvl w:val="0"/>
          <w:numId w:val="4"/>
        </w:numPr>
        <w:spacing w:before="75" w:line="315" w:lineRule="atLeast"/>
        <w:ind w:firstLine="200"/>
        <w:rPr>
          <w:rFonts w:cs="Times New Roman"/>
          <w:color w:val="auto"/>
          <w:sz w:val="28"/>
          <w:szCs w:val="28"/>
          <w:highlight w:val="none"/>
        </w:rPr>
      </w:pPr>
      <w:r>
        <w:rPr>
          <w:rFonts w:hint="eastAsia" w:cs="宋体"/>
          <w:color w:val="auto"/>
          <w:sz w:val="28"/>
          <w:szCs w:val="28"/>
          <w:highlight w:val="none"/>
        </w:rPr>
        <w:t>机房的核心区域宜安排在二楼或以上，楼板载荷不小于</w:t>
      </w:r>
      <w:r>
        <w:rPr>
          <w:color w:val="auto"/>
          <w:sz w:val="28"/>
          <w:szCs w:val="28"/>
          <w:highlight w:val="none"/>
        </w:rPr>
        <w:t>16kN/</w:t>
      </w:r>
      <w:r>
        <w:rPr>
          <w:rFonts w:hint="eastAsia" w:cs="宋体"/>
          <w:color w:val="auto"/>
          <w:sz w:val="28"/>
          <w:szCs w:val="28"/>
          <w:highlight w:val="none"/>
        </w:rPr>
        <w:t>㎡。</w:t>
      </w:r>
    </w:p>
    <w:p>
      <w:pPr>
        <w:pStyle w:val="9"/>
        <w:widowControl/>
        <w:numPr>
          <w:ilvl w:val="0"/>
          <w:numId w:val="4"/>
        </w:numPr>
        <w:spacing w:before="75" w:line="315" w:lineRule="atLeast"/>
        <w:ind w:firstLine="200"/>
        <w:rPr>
          <w:rFonts w:cs="Times New Roman"/>
          <w:color w:val="auto"/>
          <w:sz w:val="28"/>
          <w:szCs w:val="28"/>
          <w:highlight w:val="none"/>
        </w:rPr>
      </w:pPr>
      <w:r>
        <w:rPr>
          <w:rFonts w:hint="eastAsia" w:cs="宋体"/>
          <w:color w:val="auto"/>
          <w:sz w:val="28"/>
          <w:szCs w:val="28"/>
          <w:highlight w:val="none"/>
        </w:rPr>
        <w:t>机房需设置：变配电室、空调机房、不间断电源系统用房、消防设施用房等；上述用房面积可与</w:t>
      </w:r>
      <w:r>
        <w:rPr>
          <w:rFonts w:hint="eastAsia" w:cs="宋体"/>
          <w:color w:val="auto"/>
          <w:sz w:val="28"/>
          <w:szCs w:val="28"/>
          <w:highlight w:val="none"/>
          <w:lang w:eastAsia="zh-CN"/>
        </w:rPr>
        <w:t>计算传播研究中心</w:t>
      </w:r>
      <w:r>
        <w:rPr>
          <w:rFonts w:hint="eastAsia" w:cs="宋体"/>
          <w:color w:val="auto"/>
          <w:sz w:val="28"/>
          <w:szCs w:val="28"/>
          <w:highlight w:val="none"/>
        </w:rPr>
        <w:t>相关配套用房统筹考虑。</w:t>
      </w:r>
    </w:p>
    <w:p>
      <w:pPr>
        <w:pStyle w:val="9"/>
        <w:widowControl/>
        <w:numPr>
          <w:ilvl w:val="0"/>
          <w:numId w:val="4"/>
        </w:numPr>
        <w:spacing w:before="75" w:line="315" w:lineRule="atLeast"/>
        <w:ind w:firstLine="200"/>
        <w:rPr>
          <w:rFonts w:cs="Times New Roman"/>
          <w:color w:val="auto"/>
          <w:sz w:val="28"/>
          <w:szCs w:val="28"/>
          <w:highlight w:val="none"/>
        </w:rPr>
      </w:pPr>
      <w:r>
        <w:rPr>
          <w:rFonts w:hint="eastAsia" w:cs="宋体"/>
          <w:color w:val="auto"/>
          <w:sz w:val="28"/>
          <w:szCs w:val="28"/>
          <w:highlight w:val="none"/>
        </w:rPr>
        <w:t>其他详细需求可参照附件</w:t>
      </w:r>
      <w:r>
        <w:rPr>
          <w:color w:val="auto"/>
          <w:sz w:val="28"/>
          <w:szCs w:val="28"/>
          <w:highlight w:val="none"/>
        </w:rPr>
        <w:t>4</w:t>
      </w:r>
      <w:r>
        <w:rPr>
          <w:rFonts w:hint="eastAsia" w:cs="宋体"/>
          <w:color w:val="auto"/>
          <w:sz w:val="28"/>
          <w:szCs w:val="28"/>
          <w:highlight w:val="none"/>
        </w:rPr>
        <w:t>《</w:t>
      </w:r>
      <w:r>
        <w:rPr>
          <w:color w:val="auto"/>
          <w:sz w:val="28"/>
          <w:szCs w:val="28"/>
          <w:highlight w:val="none"/>
        </w:rPr>
        <w:t>S</w:t>
      </w:r>
      <w:r>
        <w:rPr>
          <w:rFonts w:hint="eastAsia" w:cs="宋体"/>
          <w:color w:val="auto"/>
          <w:sz w:val="28"/>
          <w:szCs w:val="28"/>
          <w:highlight w:val="none"/>
        </w:rPr>
        <w:t>组团</w:t>
      </w:r>
      <w:r>
        <w:rPr>
          <w:color w:val="auto"/>
          <w:sz w:val="28"/>
          <w:szCs w:val="28"/>
          <w:highlight w:val="none"/>
        </w:rPr>
        <w:t>——</w:t>
      </w:r>
      <w:r>
        <w:rPr>
          <w:rFonts w:hint="eastAsia" w:cs="宋体"/>
          <w:color w:val="auto"/>
          <w:sz w:val="28"/>
          <w:szCs w:val="28"/>
          <w:highlight w:val="none"/>
        </w:rPr>
        <w:t>网络与教育技术中心二期用房建设需求情况汇总表》。</w:t>
      </w:r>
    </w:p>
    <w:p>
      <w:pPr>
        <w:pStyle w:val="9"/>
        <w:widowControl/>
        <w:numPr>
          <w:ilvl w:val="0"/>
          <w:numId w:val="2"/>
        </w:numPr>
        <w:spacing w:before="75" w:line="315" w:lineRule="atLeast"/>
        <w:ind w:firstLine="200"/>
        <w:rPr>
          <w:rFonts w:cs="Times New Roman"/>
          <w:b/>
          <w:bCs/>
          <w:color w:val="auto"/>
          <w:sz w:val="28"/>
          <w:szCs w:val="28"/>
          <w:highlight w:val="none"/>
        </w:rPr>
      </w:pPr>
      <w:r>
        <w:rPr>
          <w:rFonts w:hint="eastAsia" w:cs="宋体"/>
          <w:b/>
          <w:bCs/>
          <w:color w:val="auto"/>
          <w:sz w:val="28"/>
          <w:szCs w:val="28"/>
          <w:highlight w:val="none"/>
          <w:lang w:eastAsia="zh-CN"/>
        </w:rPr>
        <w:t>计算传播研究中心</w:t>
      </w:r>
    </w:p>
    <w:p>
      <w:pPr>
        <w:pStyle w:val="9"/>
        <w:widowControl/>
        <w:spacing w:before="75" w:line="315" w:lineRule="atLeast"/>
        <w:ind w:firstLine="560" w:firstLineChars="200"/>
        <w:rPr>
          <w:rFonts w:cs="Times New Roman"/>
          <w:color w:val="auto"/>
          <w:sz w:val="28"/>
          <w:szCs w:val="28"/>
          <w:highlight w:val="none"/>
        </w:rPr>
      </w:pPr>
      <w:r>
        <w:rPr>
          <w:color w:val="auto"/>
          <w:sz w:val="28"/>
          <w:szCs w:val="28"/>
          <w:highlight w:val="none"/>
        </w:rPr>
        <w:t>S</w:t>
      </w:r>
      <w:r>
        <w:rPr>
          <w:rFonts w:hint="eastAsia" w:cs="宋体"/>
          <w:color w:val="auto"/>
          <w:sz w:val="28"/>
          <w:szCs w:val="28"/>
          <w:highlight w:val="none"/>
        </w:rPr>
        <w:t>组团中的</w:t>
      </w:r>
      <w:r>
        <w:rPr>
          <w:rFonts w:hint="eastAsia" w:cs="宋体"/>
          <w:color w:val="auto"/>
          <w:sz w:val="28"/>
          <w:szCs w:val="28"/>
          <w:highlight w:val="none"/>
          <w:lang w:eastAsia="zh-CN"/>
        </w:rPr>
        <w:t>计算传播研究中心</w:t>
      </w:r>
      <w:r>
        <w:rPr>
          <w:rFonts w:hint="eastAsia" w:cs="宋体"/>
          <w:color w:val="auto"/>
          <w:sz w:val="28"/>
          <w:szCs w:val="28"/>
          <w:highlight w:val="none"/>
        </w:rPr>
        <w:t>，使用面积合计约</w:t>
      </w:r>
      <w:r>
        <w:rPr>
          <w:color w:val="auto"/>
          <w:sz w:val="28"/>
          <w:szCs w:val="28"/>
          <w:highlight w:val="none"/>
        </w:rPr>
        <w:t>863</w:t>
      </w:r>
      <w:r>
        <w:rPr>
          <w:rFonts w:hint="eastAsia" w:cs="宋体"/>
          <w:color w:val="auto"/>
          <w:sz w:val="28"/>
          <w:szCs w:val="28"/>
          <w:highlight w:val="none"/>
        </w:rPr>
        <w:t>㎡，包括：专用屏蔽机房</w:t>
      </w:r>
      <w:r>
        <w:rPr>
          <w:color w:val="auto"/>
          <w:sz w:val="28"/>
          <w:szCs w:val="28"/>
          <w:highlight w:val="none"/>
        </w:rPr>
        <w:t>180m²</w:t>
      </w:r>
      <w:r>
        <w:rPr>
          <w:rFonts w:hint="eastAsia" w:cs="宋体"/>
          <w:color w:val="auto"/>
          <w:sz w:val="28"/>
          <w:szCs w:val="28"/>
          <w:highlight w:val="none"/>
        </w:rPr>
        <w:t>、专用</w:t>
      </w:r>
      <w:r>
        <w:rPr>
          <w:rFonts w:hint="eastAsia" w:cs="宋体"/>
          <w:color w:val="auto"/>
          <w:sz w:val="28"/>
          <w:szCs w:val="28"/>
          <w:highlight w:val="none"/>
          <w:lang w:eastAsia="zh-CN"/>
        </w:rPr>
        <w:t>研修室</w:t>
      </w:r>
      <w:r>
        <w:rPr>
          <w:color w:val="auto"/>
          <w:sz w:val="28"/>
          <w:szCs w:val="28"/>
          <w:highlight w:val="none"/>
        </w:rPr>
        <w:t>203</w:t>
      </w:r>
      <w:r>
        <w:rPr>
          <w:rFonts w:hint="eastAsia" w:cs="宋体"/>
          <w:color w:val="auto"/>
          <w:sz w:val="28"/>
          <w:szCs w:val="28"/>
          <w:highlight w:val="none"/>
        </w:rPr>
        <w:t>㎡、</w:t>
      </w:r>
      <w:r>
        <w:rPr>
          <w:rFonts w:hint="eastAsia" w:cs="宋体"/>
          <w:color w:val="auto"/>
          <w:sz w:val="28"/>
          <w:szCs w:val="28"/>
          <w:highlight w:val="none"/>
          <w:lang w:eastAsia="zh-CN"/>
        </w:rPr>
        <w:t>计算传播研究中心</w:t>
      </w:r>
      <w:r>
        <w:rPr>
          <w:rFonts w:hint="eastAsia" w:cs="宋体"/>
          <w:color w:val="auto"/>
          <w:sz w:val="28"/>
          <w:szCs w:val="28"/>
          <w:highlight w:val="none"/>
        </w:rPr>
        <w:t>机房</w:t>
      </w:r>
      <w:r>
        <w:rPr>
          <w:color w:val="auto"/>
          <w:sz w:val="28"/>
          <w:szCs w:val="28"/>
          <w:highlight w:val="none"/>
        </w:rPr>
        <w:t>300m²</w:t>
      </w:r>
      <w:r>
        <w:rPr>
          <w:rFonts w:hint="eastAsia" w:cs="宋体"/>
          <w:color w:val="auto"/>
          <w:sz w:val="28"/>
          <w:szCs w:val="28"/>
          <w:highlight w:val="none"/>
        </w:rPr>
        <w:t>、</w:t>
      </w:r>
      <w:r>
        <w:rPr>
          <w:rFonts w:hint="eastAsia" w:cs="宋体"/>
          <w:color w:val="auto"/>
          <w:sz w:val="28"/>
          <w:szCs w:val="28"/>
          <w:highlight w:val="none"/>
          <w:lang w:eastAsia="zh-CN"/>
        </w:rPr>
        <w:t>计算传播研究中心</w:t>
      </w:r>
      <w:r>
        <w:rPr>
          <w:rFonts w:hint="eastAsia" w:cs="宋体"/>
          <w:color w:val="auto"/>
          <w:sz w:val="28"/>
          <w:szCs w:val="28"/>
          <w:highlight w:val="none"/>
        </w:rPr>
        <w:t>机房</w:t>
      </w:r>
      <w:r>
        <w:rPr>
          <w:rFonts w:hint="eastAsia" w:cs="宋体"/>
          <w:color w:val="auto"/>
          <w:sz w:val="28"/>
          <w:szCs w:val="28"/>
          <w:highlight w:val="none"/>
          <w:lang w:eastAsia="zh-CN"/>
        </w:rPr>
        <w:t>研修室</w:t>
      </w:r>
      <w:r>
        <w:rPr>
          <w:color w:val="auto"/>
          <w:sz w:val="28"/>
          <w:szCs w:val="28"/>
          <w:highlight w:val="none"/>
        </w:rPr>
        <w:t>180m²</w:t>
      </w:r>
      <w:r>
        <w:rPr>
          <w:rFonts w:hint="eastAsia" w:cs="宋体"/>
          <w:color w:val="auto"/>
          <w:sz w:val="28"/>
          <w:szCs w:val="28"/>
          <w:highlight w:val="none"/>
        </w:rPr>
        <w:t>，</w:t>
      </w:r>
      <w:r>
        <w:rPr>
          <w:rFonts w:hint="eastAsia" w:cs="宋体"/>
          <w:color w:val="auto"/>
          <w:sz w:val="28"/>
          <w:szCs w:val="28"/>
          <w:highlight w:val="none"/>
          <w:lang w:eastAsia="zh-CN"/>
        </w:rPr>
        <w:t>计算传播研究中心</w:t>
      </w:r>
      <w:r>
        <w:rPr>
          <w:rFonts w:hint="eastAsia" w:cs="宋体"/>
          <w:color w:val="auto"/>
          <w:sz w:val="28"/>
          <w:szCs w:val="28"/>
          <w:highlight w:val="none"/>
        </w:rPr>
        <w:t>在选址环境、土建结构、装修等方面设计可参照《数据中心设计规范》（</w:t>
      </w:r>
      <w:r>
        <w:rPr>
          <w:color w:val="auto"/>
          <w:sz w:val="28"/>
          <w:szCs w:val="28"/>
          <w:highlight w:val="none"/>
        </w:rPr>
        <w:t>GB50174-2017</w:t>
      </w:r>
      <w:r>
        <w:rPr>
          <w:rFonts w:hint="eastAsia" w:cs="宋体"/>
          <w:color w:val="auto"/>
          <w:sz w:val="28"/>
          <w:szCs w:val="28"/>
          <w:highlight w:val="none"/>
        </w:rPr>
        <w:t>）中相关标准；在防火、防水、防震、电力、布线、配电、温湿度、防雷、防静电等方面设计可参照《计算机场地安全要求》（</w:t>
      </w:r>
      <w:r>
        <w:rPr>
          <w:color w:val="auto"/>
          <w:sz w:val="28"/>
          <w:szCs w:val="28"/>
          <w:highlight w:val="none"/>
        </w:rPr>
        <w:t>GB/T 9361-2011</w:t>
      </w:r>
      <w:r>
        <w:rPr>
          <w:rFonts w:hint="eastAsia" w:cs="宋体"/>
          <w:color w:val="auto"/>
          <w:sz w:val="28"/>
          <w:szCs w:val="28"/>
          <w:highlight w:val="none"/>
        </w:rPr>
        <w:t>）中相关要求，其中相关需求如下：</w:t>
      </w:r>
    </w:p>
    <w:p>
      <w:pPr>
        <w:pStyle w:val="9"/>
        <w:widowControl/>
        <w:numPr>
          <w:ilvl w:val="0"/>
          <w:numId w:val="5"/>
        </w:numPr>
        <w:spacing w:before="75" w:line="315" w:lineRule="atLeast"/>
        <w:ind w:firstLine="200"/>
        <w:rPr>
          <w:rFonts w:cs="Times New Roman"/>
          <w:color w:val="auto"/>
          <w:sz w:val="28"/>
          <w:szCs w:val="28"/>
          <w:highlight w:val="none"/>
        </w:rPr>
      </w:pPr>
      <w:r>
        <w:rPr>
          <w:rFonts w:hint="eastAsia" w:cs="宋体"/>
          <w:color w:val="auto"/>
          <w:sz w:val="28"/>
          <w:szCs w:val="28"/>
          <w:highlight w:val="none"/>
        </w:rPr>
        <w:t>专用屏蔽机房和专用</w:t>
      </w:r>
      <w:r>
        <w:rPr>
          <w:rFonts w:hint="eastAsia" w:cs="宋体"/>
          <w:color w:val="auto"/>
          <w:sz w:val="28"/>
          <w:szCs w:val="28"/>
          <w:highlight w:val="none"/>
          <w:lang w:eastAsia="zh-CN"/>
        </w:rPr>
        <w:t>研修室</w:t>
      </w:r>
      <w:r>
        <w:rPr>
          <w:rFonts w:hint="eastAsia" w:cs="宋体"/>
          <w:color w:val="auto"/>
          <w:sz w:val="28"/>
          <w:szCs w:val="28"/>
          <w:highlight w:val="none"/>
        </w:rPr>
        <w:t>由于相关保密要求，专用</w:t>
      </w:r>
      <w:r>
        <w:rPr>
          <w:rFonts w:hint="eastAsia" w:cs="宋体"/>
          <w:color w:val="auto"/>
          <w:sz w:val="28"/>
          <w:szCs w:val="28"/>
          <w:highlight w:val="none"/>
          <w:lang w:eastAsia="zh-CN"/>
        </w:rPr>
        <w:t>研修室</w:t>
      </w:r>
      <w:r>
        <w:rPr>
          <w:rFonts w:hint="eastAsia" w:cs="宋体"/>
          <w:color w:val="auto"/>
          <w:sz w:val="28"/>
          <w:szCs w:val="28"/>
          <w:highlight w:val="none"/>
        </w:rPr>
        <w:t>与专用机房外侧周边设大于</w:t>
      </w:r>
      <w:r>
        <w:rPr>
          <w:color w:val="auto"/>
          <w:sz w:val="28"/>
          <w:szCs w:val="28"/>
          <w:highlight w:val="none"/>
        </w:rPr>
        <w:t>1</w:t>
      </w:r>
      <w:r>
        <w:rPr>
          <w:rFonts w:hint="eastAsia" w:cs="宋体"/>
          <w:color w:val="auto"/>
          <w:sz w:val="28"/>
          <w:szCs w:val="28"/>
          <w:highlight w:val="none"/>
        </w:rPr>
        <w:t>米的警戒距离。保密区域须满足独立安全步梯进入；电梯（客梯、货梯）支持经授权人员刷卡开门，非授权人员无法通过电梯进入相应楼层。</w:t>
      </w:r>
    </w:p>
    <w:p>
      <w:pPr>
        <w:pStyle w:val="9"/>
        <w:widowControl/>
        <w:numPr>
          <w:ilvl w:val="0"/>
          <w:numId w:val="5"/>
        </w:numPr>
        <w:spacing w:before="75" w:line="315" w:lineRule="atLeast"/>
        <w:ind w:firstLine="200"/>
        <w:rPr>
          <w:rFonts w:cs="Times New Roman"/>
          <w:color w:val="auto"/>
          <w:sz w:val="28"/>
          <w:szCs w:val="28"/>
          <w:highlight w:val="none"/>
        </w:rPr>
      </w:pPr>
      <w:r>
        <w:rPr>
          <w:rFonts w:hint="eastAsia" w:cs="宋体"/>
          <w:color w:val="auto"/>
          <w:sz w:val="28"/>
          <w:szCs w:val="28"/>
          <w:highlight w:val="none"/>
        </w:rPr>
        <w:t>专用屏蔽机房和</w:t>
      </w:r>
      <w:r>
        <w:rPr>
          <w:rFonts w:hint="eastAsia" w:cs="宋体"/>
          <w:color w:val="auto"/>
          <w:sz w:val="28"/>
          <w:szCs w:val="28"/>
          <w:highlight w:val="none"/>
          <w:lang w:eastAsia="zh-CN"/>
        </w:rPr>
        <w:t>计算传播研究中心</w:t>
      </w:r>
      <w:r>
        <w:rPr>
          <w:rFonts w:hint="eastAsia" w:cs="宋体"/>
          <w:color w:val="auto"/>
          <w:sz w:val="28"/>
          <w:szCs w:val="28"/>
          <w:highlight w:val="none"/>
        </w:rPr>
        <w:t>机房两区域结构应分别按</w:t>
      </w:r>
      <w:r>
        <w:rPr>
          <w:color w:val="auto"/>
          <w:sz w:val="28"/>
          <w:szCs w:val="28"/>
          <w:highlight w:val="none"/>
        </w:rPr>
        <w:t>A</w:t>
      </w:r>
      <w:r>
        <w:rPr>
          <w:rFonts w:hint="eastAsia" w:cs="宋体"/>
          <w:color w:val="auto"/>
          <w:sz w:val="28"/>
          <w:szCs w:val="28"/>
          <w:highlight w:val="none"/>
        </w:rPr>
        <w:t>级和</w:t>
      </w:r>
      <w:r>
        <w:rPr>
          <w:color w:val="auto"/>
          <w:sz w:val="28"/>
          <w:szCs w:val="28"/>
          <w:highlight w:val="none"/>
        </w:rPr>
        <w:t>B</w:t>
      </w:r>
      <w:r>
        <w:rPr>
          <w:rFonts w:hint="eastAsia" w:cs="宋体"/>
          <w:color w:val="auto"/>
          <w:sz w:val="28"/>
          <w:szCs w:val="28"/>
          <w:highlight w:val="none"/>
        </w:rPr>
        <w:t>级机房抗震标准设计，楼板承重不低于</w:t>
      </w:r>
      <w:r>
        <w:rPr>
          <w:color w:val="auto"/>
          <w:sz w:val="28"/>
          <w:szCs w:val="28"/>
          <w:highlight w:val="none"/>
        </w:rPr>
        <w:t>16KN/m²</w:t>
      </w:r>
      <w:r>
        <w:rPr>
          <w:rFonts w:hint="eastAsia" w:cs="宋体"/>
          <w:color w:val="auto"/>
          <w:sz w:val="28"/>
          <w:szCs w:val="28"/>
          <w:highlight w:val="none"/>
        </w:rPr>
        <w:t>；机房区域上方不应穿过水管，上层不应有用水设备。</w:t>
      </w:r>
    </w:p>
    <w:p>
      <w:pPr>
        <w:pStyle w:val="9"/>
        <w:widowControl/>
        <w:numPr>
          <w:ilvl w:val="0"/>
          <w:numId w:val="5"/>
        </w:numPr>
        <w:spacing w:before="75" w:line="315" w:lineRule="atLeast"/>
        <w:ind w:firstLine="200"/>
        <w:rPr>
          <w:color w:val="auto"/>
          <w:sz w:val="28"/>
          <w:szCs w:val="28"/>
          <w:highlight w:val="none"/>
        </w:rPr>
      </w:pPr>
      <w:r>
        <w:rPr>
          <w:rFonts w:hint="eastAsia" w:cs="宋体"/>
          <w:color w:val="auto"/>
          <w:sz w:val="28"/>
          <w:szCs w:val="28"/>
          <w:highlight w:val="none"/>
          <w:lang w:eastAsia="zh-CN"/>
        </w:rPr>
        <w:t>计算传播研究中心</w:t>
      </w:r>
      <w:r>
        <w:rPr>
          <w:rFonts w:hint="eastAsia" w:cs="宋体"/>
          <w:color w:val="auto"/>
          <w:sz w:val="28"/>
          <w:szCs w:val="28"/>
          <w:highlight w:val="none"/>
        </w:rPr>
        <w:t>各区域需配备三相双回路供电，变压器配备按一用一备运行考虑</w:t>
      </w:r>
      <w:r>
        <w:rPr>
          <w:color w:val="auto"/>
          <w:sz w:val="28"/>
          <w:szCs w:val="28"/>
          <w:highlight w:val="none"/>
        </w:rPr>
        <w:t>.</w:t>
      </w:r>
    </w:p>
    <w:p>
      <w:pPr>
        <w:pStyle w:val="9"/>
        <w:widowControl/>
        <w:numPr>
          <w:ilvl w:val="0"/>
          <w:numId w:val="5"/>
        </w:numPr>
        <w:spacing w:before="75" w:line="315" w:lineRule="atLeast"/>
        <w:ind w:firstLine="200"/>
        <w:rPr>
          <w:rFonts w:cs="Times New Roman"/>
          <w:color w:val="auto"/>
          <w:sz w:val="28"/>
          <w:szCs w:val="28"/>
          <w:highlight w:val="none"/>
        </w:rPr>
      </w:pPr>
      <w:r>
        <w:rPr>
          <w:rFonts w:hint="eastAsia" w:cs="宋体"/>
          <w:color w:val="auto"/>
          <w:sz w:val="28"/>
          <w:szCs w:val="28"/>
          <w:highlight w:val="none"/>
        </w:rPr>
        <w:t>预留门禁系统、视频监控系统、红外报警系统等通讯和供电接口。</w:t>
      </w:r>
    </w:p>
    <w:p>
      <w:pPr>
        <w:pStyle w:val="9"/>
        <w:widowControl/>
        <w:numPr>
          <w:ilvl w:val="0"/>
          <w:numId w:val="5"/>
        </w:numPr>
        <w:spacing w:before="75" w:line="315" w:lineRule="atLeast"/>
        <w:ind w:firstLine="200"/>
        <w:rPr>
          <w:rFonts w:cs="Times New Roman"/>
          <w:color w:val="auto"/>
          <w:sz w:val="28"/>
          <w:szCs w:val="28"/>
          <w:highlight w:val="none"/>
        </w:rPr>
      </w:pPr>
      <w:r>
        <w:rPr>
          <w:rFonts w:hint="eastAsia" w:cs="宋体"/>
          <w:color w:val="auto"/>
          <w:sz w:val="28"/>
          <w:szCs w:val="28"/>
          <w:highlight w:val="none"/>
        </w:rPr>
        <w:t>机房需设置：变配电室、柴油发电机房、空调机房、不间断电源系统用房、消防设施用房等；上述用房面积可与校网络机房相关配套用房统筹考虑。</w:t>
      </w:r>
    </w:p>
    <w:p>
      <w:pPr>
        <w:pStyle w:val="9"/>
        <w:widowControl/>
        <w:numPr>
          <w:ilvl w:val="0"/>
          <w:numId w:val="5"/>
        </w:numPr>
        <w:spacing w:before="75" w:line="315" w:lineRule="atLeast"/>
        <w:ind w:firstLine="200"/>
        <w:rPr>
          <w:rFonts w:cs="Times New Roman"/>
          <w:color w:val="auto"/>
          <w:sz w:val="28"/>
          <w:szCs w:val="28"/>
          <w:highlight w:val="none"/>
        </w:rPr>
      </w:pPr>
      <w:r>
        <w:rPr>
          <w:rFonts w:hint="eastAsia" w:cs="宋体"/>
          <w:color w:val="auto"/>
          <w:sz w:val="28"/>
          <w:szCs w:val="28"/>
          <w:highlight w:val="none"/>
        </w:rPr>
        <w:t>其他详细需求可参照附件</w:t>
      </w:r>
      <w:r>
        <w:rPr>
          <w:color w:val="auto"/>
          <w:sz w:val="28"/>
          <w:szCs w:val="28"/>
          <w:highlight w:val="none"/>
        </w:rPr>
        <w:t>5</w:t>
      </w:r>
      <w:r>
        <w:rPr>
          <w:rFonts w:hint="eastAsia" w:cs="宋体"/>
          <w:color w:val="auto"/>
          <w:sz w:val="28"/>
          <w:szCs w:val="28"/>
          <w:highlight w:val="none"/>
        </w:rPr>
        <w:t>《</w:t>
      </w:r>
      <w:r>
        <w:rPr>
          <w:color w:val="auto"/>
          <w:sz w:val="28"/>
          <w:szCs w:val="28"/>
          <w:highlight w:val="none"/>
        </w:rPr>
        <w:t>S</w:t>
      </w:r>
      <w:r>
        <w:rPr>
          <w:rFonts w:hint="eastAsia" w:cs="宋体"/>
          <w:color w:val="auto"/>
          <w:sz w:val="28"/>
          <w:szCs w:val="28"/>
          <w:highlight w:val="none"/>
        </w:rPr>
        <w:t>组团</w:t>
      </w:r>
      <w:r>
        <w:rPr>
          <w:color w:val="auto"/>
          <w:sz w:val="28"/>
          <w:szCs w:val="28"/>
          <w:highlight w:val="none"/>
        </w:rPr>
        <w:t>——</w:t>
      </w:r>
      <w:r>
        <w:rPr>
          <w:rFonts w:hint="eastAsia" w:cs="宋体"/>
          <w:color w:val="auto"/>
          <w:sz w:val="28"/>
          <w:szCs w:val="28"/>
          <w:highlight w:val="none"/>
          <w:lang w:eastAsia="zh-CN"/>
        </w:rPr>
        <w:t>计算传播研究中心</w:t>
      </w:r>
      <w:r>
        <w:rPr>
          <w:rFonts w:hint="eastAsia" w:cs="宋体"/>
          <w:color w:val="auto"/>
          <w:sz w:val="28"/>
          <w:szCs w:val="28"/>
          <w:highlight w:val="none"/>
        </w:rPr>
        <w:t>二期用房建设需求情况汇总表》。</w:t>
      </w:r>
    </w:p>
    <w:p>
      <w:pPr>
        <w:pStyle w:val="9"/>
        <w:widowControl/>
        <w:numPr>
          <w:ilvl w:val="0"/>
          <w:numId w:val="2"/>
        </w:numPr>
        <w:spacing w:before="75" w:line="315" w:lineRule="atLeast"/>
        <w:ind w:firstLine="200"/>
        <w:rPr>
          <w:rFonts w:cs="Times New Roman"/>
          <w:b/>
          <w:bCs/>
          <w:color w:val="auto"/>
          <w:sz w:val="28"/>
          <w:szCs w:val="28"/>
          <w:highlight w:val="none"/>
        </w:rPr>
      </w:pPr>
      <w:r>
        <w:rPr>
          <w:rFonts w:hint="eastAsia" w:cs="宋体"/>
          <w:b/>
          <w:bCs/>
          <w:color w:val="auto"/>
          <w:sz w:val="28"/>
          <w:szCs w:val="28"/>
          <w:highlight w:val="none"/>
        </w:rPr>
        <w:t>信息科学技术学院</w:t>
      </w:r>
    </w:p>
    <w:p>
      <w:pPr>
        <w:pStyle w:val="9"/>
        <w:widowControl/>
        <w:spacing w:before="75" w:line="315" w:lineRule="atLeast"/>
        <w:ind w:firstLine="560" w:firstLineChars="200"/>
        <w:rPr>
          <w:rFonts w:cs="Times New Roman"/>
          <w:color w:val="auto"/>
          <w:sz w:val="28"/>
          <w:szCs w:val="28"/>
          <w:highlight w:val="none"/>
        </w:rPr>
      </w:pPr>
      <w:r>
        <w:rPr>
          <w:color w:val="auto"/>
          <w:sz w:val="28"/>
          <w:szCs w:val="28"/>
          <w:highlight w:val="none"/>
        </w:rPr>
        <w:t>S</w:t>
      </w:r>
      <w:r>
        <w:rPr>
          <w:rFonts w:hint="eastAsia" w:cs="宋体"/>
          <w:color w:val="auto"/>
          <w:sz w:val="28"/>
          <w:szCs w:val="28"/>
          <w:highlight w:val="none"/>
        </w:rPr>
        <w:t>组团中的信息科学技术学院，使用面积合计约</w:t>
      </w:r>
      <w:r>
        <w:rPr>
          <w:color w:val="auto"/>
          <w:sz w:val="28"/>
          <w:szCs w:val="28"/>
          <w:highlight w:val="none"/>
        </w:rPr>
        <w:t>18963</w:t>
      </w:r>
      <w:r>
        <w:rPr>
          <w:rFonts w:hint="eastAsia" w:cs="宋体"/>
          <w:color w:val="auto"/>
          <w:sz w:val="28"/>
          <w:szCs w:val="28"/>
          <w:highlight w:val="none"/>
        </w:rPr>
        <w:t>㎡，包含：教学实验室</w:t>
      </w:r>
      <w:r>
        <w:rPr>
          <w:color w:val="auto"/>
          <w:sz w:val="28"/>
          <w:szCs w:val="28"/>
          <w:highlight w:val="none"/>
        </w:rPr>
        <w:t>3070</w:t>
      </w:r>
      <w:r>
        <w:rPr>
          <w:rFonts w:hint="eastAsia" w:cs="宋体"/>
          <w:color w:val="auto"/>
          <w:sz w:val="28"/>
          <w:szCs w:val="28"/>
          <w:highlight w:val="none"/>
        </w:rPr>
        <w:t>㎡、科研实验室</w:t>
      </w:r>
      <w:r>
        <w:rPr>
          <w:color w:val="auto"/>
          <w:sz w:val="28"/>
          <w:szCs w:val="28"/>
          <w:highlight w:val="none"/>
        </w:rPr>
        <w:t>13191</w:t>
      </w:r>
      <w:r>
        <w:rPr>
          <w:rFonts w:hint="eastAsia" w:cs="宋体"/>
          <w:color w:val="auto"/>
          <w:sz w:val="28"/>
          <w:szCs w:val="28"/>
          <w:highlight w:val="none"/>
        </w:rPr>
        <w:t>㎡、研究室</w:t>
      </w:r>
      <w:r>
        <w:rPr>
          <w:color w:val="auto"/>
          <w:sz w:val="28"/>
          <w:szCs w:val="28"/>
          <w:highlight w:val="none"/>
        </w:rPr>
        <w:t>822</w:t>
      </w:r>
      <w:r>
        <w:rPr>
          <w:rFonts w:hint="eastAsia" w:cs="宋体"/>
          <w:color w:val="auto"/>
          <w:sz w:val="28"/>
          <w:szCs w:val="28"/>
          <w:highlight w:val="none"/>
        </w:rPr>
        <w:t>㎡、其他用房</w:t>
      </w:r>
      <w:r>
        <w:rPr>
          <w:color w:val="auto"/>
          <w:sz w:val="28"/>
          <w:szCs w:val="28"/>
          <w:highlight w:val="none"/>
        </w:rPr>
        <w:t>1880</w:t>
      </w:r>
      <w:r>
        <w:rPr>
          <w:rFonts w:hint="eastAsia" w:cs="宋体"/>
          <w:color w:val="auto"/>
          <w:sz w:val="28"/>
          <w:szCs w:val="28"/>
          <w:highlight w:val="none"/>
        </w:rPr>
        <w:t>㎡，建筑设计可参照《科研建筑设计标准》（</w:t>
      </w:r>
      <w:r>
        <w:rPr>
          <w:color w:val="auto"/>
          <w:sz w:val="28"/>
          <w:szCs w:val="28"/>
          <w:highlight w:val="none"/>
        </w:rPr>
        <w:t>JGJ 91-2019</w:t>
      </w:r>
      <w:r>
        <w:rPr>
          <w:rFonts w:hint="eastAsia" w:cs="宋体"/>
          <w:color w:val="auto"/>
          <w:sz w:val="28"/>
          <w:szCs w:val="28"/>
          <w:highlight w:val="none"/>
        </w:rPr>
        <w:t>）相关要求，其中相关需求如下：</w:t>
      </w:r>
    </w:p>
    <w:p>
      <w:pPr>
        <w:pStyle w:val="9"/>
        <w:widowControl/>
        <w:numPr>
          <w:ilvl w:val="0"/>
          <w:numId w:val="6"/>
        </w:numPr>
        <w:spacing w:before="75" w:line="315" w:lineRule="atLeast"/>
        <w:ind w:firstLine="200"/>
        <w:rPr>
          <w:rFonts w:cs="Times New Roman"/>
          <w:color w:val="auto"/>
          <w:sz w:val="28"/>
          <w:szCs w:val="28"/>
          <w:highlight w:val="none"/>
        </w:rPr>
      </w:pPr>
      <w:r>
        <w:rPr>
          <w:rFonts w:hint="eastAsia" w:cs="宋体"/>
          <w:color w:val="auto"/>
          <w:sz w:val="28"/>
          <w:szCs w:val="28"/>
          <w:highlight w:val="none"/>
        </w:rPr>
        <w:t>平面布局时宜考虑：</w:t>
      </w:r>
      <w:r>
        <w:rPr>
          <w:rFonts w:hint="eastAsia" w:ascii="宋体" w:hAnsi="宋体" w:cs="宋体"/>
          <w:color w:val="auto"/>
          <w:sz w:val="28"/>
          <w:szCs w:val="28"/>
          <w:highlight w:val="none"/>
        </w:rPr>
        <w:t>学科相近的基础型实验室相对集中，通用性实验室相对集中，研究生实验室与导师工作室相对集中等原则；科研实验室楼层宜较高，本科教学实验室及</w:t>
      </w:r>
      <w:r>
        <w:rPr>
          <w:rFonts w:hint="eastAsia" w:ascii="宋体" w:hAnsi="宋体" w:cs="宋体"/>
          <w:color w:val="auto"/>
          <w:sz w:val="28"/>
          <w:szCs w:val="28"/>
          <w:highlight w:val="none"/>
          <w:lang w:eastAsia="zh-CN"/>
        </w:rPr>
        <w:t>研讨室</w:t>
      </w:r>
      <w:r>
        <w:rPr>
          <w:rFonts w:hint="eastAsia" w:ascii="宋体" w:hAnsi="宋体" w:cs="宋体"/>
          <w:color w:val="auto"/>
          <w:sz w:val="28"/>
          <w:szCs w:val="28"/>
          <w:highlight w:val="none"/>
        </w:rPr>
        <w:t>楼层宜较低。</w:t>
      </w:r>
    </w:p>
    <w:p>
      <w:pPr>
        <w:pStyle w:val="9"/>
        <w:widowControl/>
        <w:numPr>
          <w:ilvl w:val="0"/>
          <w:numId w:val="6"/>
        </w:numPr>
        <w:spacing w:before="75" w:line="315" w:lineRule="atLeast"/>
        <w:ind w:firstLine="200"/>
        <w:rPr>
          <w:rFonts w:cs="Times New Roman"/>
          <w:color w:val="auto"/>
          <w:sz w:val="28"/>
          <w:szCs w:val="28"/>
          <w:highlight w:val="none"/>
        </w:rPr>
      </w:pPr>
      <w:r>
        <w:rPr>
          <w:rFonts w:hint="eastAsia" w:cs="宋体"/>
          <w:color w:val="auto"/>
          <w:sz w:val="28"/>
          <w:szCs w:val="28"/>
          <w:highlight w:val="none"/>
        </w:rPr>
        <w:t>其他详细需求可参照附件</w:t>
      </w:r>
      <w:r>
        <w:rPr>
          <w:color w:val="auto"/>
          <w:sz w:val="28"/>
          <w:szCs w:val="28"/>
          <w:highlight w:val="none"/>
        </w:rPr>
        <w:t>6</w:t>
      </w:r>
      <w:r>
        <w:rPr>
          <w:rFonts w:hint="eastAsia" w:cs="宋体"/>
          <w:color w:val="auto"/>
          <w:sz w:val="28"/>
          <w:szCs w:val="28"/>
          <w:highlight w:val="none"/>
        </w:rPr>
        <w:t>《</w:t>
      </w:r>
      <w:r>
        <w:rPr>
          <w:color w:val="auto"/>
          <w:sz w:val="28"/>
          <w:szCs w:val="28"/>
          <w:highlight w:val="none"/>
        </w:rPr>
        <w:t>S</w:t>
      </w:r>
      <w:r>
        <w:rPr>
          <w:rFonts w:hint="eastAsia" w:cs="宋体"/>
          <w:color w:val="auto"/>
          <w:sz w:val="28"/>
          <w:szCs w:val="28"/>
          <w:highlight w:val="none"/>
        </w:rPr>
        <w:t>组团</w:t>
      </w:r>
      <w:r>
        <w:rPr>
          <w:color w:val="auto"/>
          <w:sz w:val="28"/>
          <w:szCs w:val="28"/>
          <w:highlight w:val="none"/>
        </w:rPr>
        <w:t>——</w:t>
      </w:r>
      <w:r>
        <w:rPr>
          <w:rFonts w:hint="eastAsia" w:cs="宋体"/>
          <w:color w:val="auto"/>
          <w:sz w:val="28"/>
          <w:szCs w:val="28"/>
          <w:highlight w:val="none"/>
        </w:rPr>
        <w:t>信息科学技术学院二期用房建设需求情况汇总表》。</w:t>
      </w:r>
    </w:p>
    <w:p>
      <w:pPr>
        <w:rPr>
          <w:rFonts w:cs="Times New Roman"/>
          <w:b/>
          <w:bCs/>
          <w:color w:val="auto"/>
          <w:sz w:val="28"/>
          <w:szCs w:val="28"/>
          <w:highlight w:val="none"/>
        </w:rPr>
      </w:pPr>
      <w:r>
        <w:rPr>
          <w:rFonts w:hint="eastAsia" w:cs="宋体"/>
          <w:b/>
          <w:bCs/>
          <w:color w:val="auto"/>
          <w:sz w:val="28"/>
          <w:szCs w:val="28"/>
          <w:highlight w:val="none"/>
        </w:rPr>
        <w:t>二、设备系统需求</w:t>
      </w:r>
    </w:p>
    <w:p>
      <w:pPr>
        <w:rPr>
          <w:rFonts w:cs="Times New Roman"/>
          <w:color w:val="auto"/>
          <w:sz w:val="28"/>
          <w:szCs w:val="28"/>
          <w:highlight w:val="none"/>
        </w:rPr>
      </w:pPr>
      <w:r>
        <w:rPr>
          <w:color w:val="auto"/>
          <w:sz w:val="28"/>
          <w:szCs w:val="28"/>
          <w:highlight w:val="none"/>
        </w:rPr>
        <w:t>1</w:t>
      </w:r>
      <w:r>
        <w:rPr>
          <w:rFonts w:hint="eastAsia" w:cs="宋体"/>
          <w:color w:val="auto"/>
          <w:sz w:val="28"/>
          <w:szCs w:val="28"/>
          <w:highlight w:val="none"/>
        </w:rPr>
        <w:t>、电梯</w:t>
      </w:r>
    </w:p>
    <w:p>
      <w:pPr>
        <w:ind w:firstLine="420" w:firstLineChars="150"/>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1</w:t>
      </w:r>
      <w:r>
        <w:rPr>
          <w:rFonts w:hint="eastAsia" w:cs="宋体"/>
          <w:color w:val="auto"/>
          <w:sz w:val="28"/>
          <w:szCs w:val="28"/>
          <w:highlight w:val="none"/>
        </w:rPr>
        <w:t>）电梯的型号和厢门材料、结构、上升速度、设置数量，均应配合建筑类型和装饰标准考虑。</w:t>
      </w:r>
    </w:p>
    <w:p>
      <w:pPr>
        <w:ind w:firstLine="420" w:firstLineChars="150"/>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2</w:t>
      </w:r>
      <w:r>
        <w:rPr>
          <w:rFonts w:hint="eastAsia" w:cs="宋体"/>
          <w:color w:val="auto"/>
          <w:sz w:val="28"/>
          <w:szCs w:val="28"/>
          <w:highlight w:val="none"/>
        </w:rPr>
        <w:t>）结合日常使用人数以及高峰期人数非常集中的实际情况，合理设置电梯的数量、运载参数等。</w:t>
      </w:r>
    </w:p>
    <w:p>
      <w:pPr>
        <w:pStyle w:val="2"/>
        <w:rPr>
          <w:rFonts w:cs="Times New Roman"/>
          <w:color w:val="auto"/>
          <w:highlight w:val="none"/>
        </w:rPr>
      </w:pPr>
      <w:r>
        <w:rPr>
          <w:rFonts w:hint="eastAsia" w:cs="宋体"/>
          <w:color w:val="auto"/>
          <w:sz w:val="28"/>
          <w:szCs w:val="28"/>
          <w:highlight w:val="none"/>
        </w:rPr>
        <w:t>（</w:t>
      </w:r>
      <w:r>
        <w:rPr>
          <w:color w:val="auto"/>
          <w:sz w:val="28"/>
          <w:szCs w:val="28"/>
          <w:highlight w:val="none"/>
        </w:rPr>
        <w:t>3</w:t>
      </w:r>
      <w:r>
        <w:rPr>
          <w:rFonts w:hint="eastAsia" w:cs="宋体"/>
          <w:color w:val="auto"/>
          <w:sz w:val="28"/>
          <w:szCs w:val="28"/>
          <w:highlight w:val="none"/>
        </w:rPr>
        <w:t>）电梯结构井道预留需满足多数品牌电梯安装要求。</w:t>
      </w:r>
    </w:p>
    <w:p>
      <w:pPr>
        <w:ind w:firstLine="420" w:firstLineChars="150"/>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4</w:t>
      </w:r>
      <w:r>
        <w:rPr>
          <w:rFonts w:hint="eastAsia" w:cs="宋体"/>
          <w:color w:val="auto"/>
          <w:sz w:val="28"/>
          <w:szCs w:val="28"/>
          <w:highlight w:val="none"/>
        </w:rPr>
        <w:t>）电梯运行系统接入校区建筑设备监控系统（</w:t>
      </w:r>
      <w:r>
        <w:rPr>
          <w:color w:val="auto"/>
          <w:sz w:val="28"/>
          <w:szCs w:val="28"/>
          <w:highlight w:val="none"/>
        </w:rPr>
        <w:t>BA</w:t>
      </w:r>
      <w:r>
        <w:rPr>
          <w:rFonts w:hint="eastAsia" w:cs="宋体"/>
          <w:color w:val="auto"/>
          <w:sz w:val="28"/>
          <w:szCs w:val="28"/>
          <w:highlight w:val="none"/>
        </w:rPr>
        <w:t>系统）。</w:t>
      </w:r>
    </w:p>
    <w:p>
      <w:pPr>
        <w:ind w:firstLine="420" w:firstLineChars="150"/>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5</w:t>
      </w:r>
      <w:r>
        <w:rPr>
          <w:rFonts w:hint="eastAsia" w:cs="宋体"/>
          <w:color w:val="auto"/>
          <w:sz w:val="28"/>
          <w:szCs w:val="28"/>
          <w:highlight w:val="none"/>
        </w:rPr>
        <w:t>）每个轿厢内均应设置视频监控、对讲，并将系统接入校区总监控中心。</w:t>
      </w:r>
    </w:p>
    <w:p>
      <w:pPr>
        <w:pStyle w:val="2"/>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6</w:t>
      </w:r>
      <w:r>
        <w:rPr>
          <w:rFonts w:hint="eastAsia" w:cs="宋体"/>
          <w:color w:val="auto"/>
          <w:sz w:val="28"/>
          <w:szCs w:val="28"/>
          <w:highlight w:val="none"/>
        </w:rPr>
        <w:t>）所有电梯产品选型时须考虑独立空调配置。</w:t>
      </w:r>
    </w:p>
    <w:p>
      <w:pPr>
        <w:pStyle w:val="2"/>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7</w:t>
      </w:r>
      <w:r>
        <w:rPr>
          <w:rFonts w:hint="eastAsia" w:cs="宋体"/>
          <w:color w:val="auto"/>
          <w:sz w:val="28"/>
          <w:szCs w:val="28"/>
          <w:highlight w:val="none"/>
        </w:rPr>
        <w:t>）实验楼需设置客、货梯，并结合日常使用人数、设备运输等实际情况，合理设置电梯的数量、客货梯位置、轿厢尺寸、运载参数等。</w:t>
      </w:r>
    </w:p>
    <w:p>
      <w:pPr>
        <w:rPr>
          <w:rFonts w:cs="Times New Roman"/>
          <w:color w:val="auto"/>
          <w:sz w:val="28"/>
          <w:szCs w:val="28"/>
          <w:highlight w:val="none"/>
        </w:rPr>
      </w:pPr>
      <w:r>
        <w:rPr>
          <w:color w:val="auto"/>
          <w:sz w:val="28"/>
          <w:szCs w:val="28"/>
          <w:highlight w:val="none"/>
        </w:rPr>
        <w:t>2</w:t>
      </w:r>
      <w:r>
        <w:rPr>
          <w:rFonts w:hint="eastAsia" w:cs="宋体"/>
          <w:color w:val="auto"/>
          <w:sz w:val="28"/>
          <w:szCs w:val="28"/>
          <w:highlight w:val="none"/>
        </w:rPr>
        <w:t>、供电与照明系统</w:t>
      </w:r>
    </w:p>
    <w:p>
      <w:pPr>
        <w:ind w:firstLine="560" w:firstLineChars="200"/>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1</w:t>
      </w:r>
      <w:r>
        <w:rPr>
          <w:rFonts w:hint="eastAsia" w:cs="宋体"/>
          <w:color w:val="auto"/>
          <w:sz w:val="28"/>
          <w:szCs w:val="28"/>
          <w:highlight w:val="none"/>
        </w:rPr>
        <w:t>）在</w:t>
      </w:r>
      <w:r>
        <w:rPr>
          <w:color w:val="auto"/>
          <w:sz w:val="28"/>
          <w:szCs w:val="28"/>
          <w:highlight w:val="none"/>
        </w:rPr>
        <w:t>S</w:t>
      </w:r>
      <w:r>
        <w:rPr>
          <w:rFonts w:hint="eastAsia" w:cs="宋体"/>
          <w:color w:val="auto"/>
          <w:sz w:val="28"/>
          <w:szCs w:val="28"/>
          <w:highlight w:val="none"/>
        </w:rPr>
        <w:t>组团首层设置独立</w:t>
      </w:r>
      <w:r>
        <w:rPr>
          <w:color w:val="auto"/>
          <w:sz w:val="28"/>
          <w:szCs w:val="28"/>
          <w:highlight w:val="none"/>
        </w:rPr>
        <w:t>10KV</w:t>
      </w:r>
      <w:r>
        <w:rPr>
          <w:rFonts w:hint="eastAsia" w:cs="宋体"/>
          <w:color w:val="auto"/>
          <w:sz w:val="28"/>
          <w:szCs w:val="28"/>
          <w:highlight w:val="none"/>
        </w:rPr>
        <w:t>开闭所和变电所（附设在教育建筑内的变电所，不与教室相贴邻），变电所包括：二级高压室、变压器室和低压配电房，均需独立设置。开闭所和变电所内的电气设备选型时应考虑带通讯接口配置，以满足学校能源监控系统接入，另在地下室设置自启动柴油发电机组作为自备应急电源。</w:t>
      </w:r>
    </w:p>
    <w:p>
      <w:pPr>
        <w:ind w:firstLine="560" w:firstLineChars="200"/>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2</w:t>
      </w:r>
      <w:r>
        <w:rPr>
          <w:rFonts w:hint="eastAsia" w:cs="宋体"/>
          <w:color w:val="auto"/>
          <w:sz w:val="28"/>
          <w:szCs w:val="28"/>
          <w:highlight w:val="none"/>
        </w:rPr>
        <w:t>）在满足</w:t>
      </w:r>
      <w:r>
        <w:rPr>
          <w:color w:val="auto"/>
          <w:sz w:val="28"/>
          <w:szCs w:val="28"/>
          <w:highlight w:val="none"/>
        </w:rPr>
        <w:t>S</w:t>
      </w:r>
      <w:r>
        <w:rPr>
          <w:rFonts w:hint="eastAsia" w:cs="宋体"/>
          <w:color w:val="auto"/>
          <w:sz w:val="28"/>
          <w:szCs w:val="28"/>
          <w:highlight w:val="none"/>
        </w:rPr>
        <w:t>组团各功能用房用电需求条件下，还需适当预留未来的负荷增量，低压配电房、强电井和各楼层配电箱应预留一定的备用开关和相应电气设备安装空间。</w:t>
      </w:r>
    </w:p>
    <w:p>
      <w:pPr>
        <w:ind w:firstLine="560" w:firstLineChars="200"/>
        <w:rPr>
          <w:rFonts w:cs="Times New Roman"/>
          <w:color w:val="auto"/>
          <w:highlight w:val="none"/>
        </w:rPr>
      </w:pPr>
      <w:r>
        <w:rPr>
          <w:rFonts w:hint="eastAsia" w:cs="宋体"/>
          <w:color w:val="auto"/>
          <w:sz w:val="28"/>
          <w:szCs w:val="28"/>
          <w:highlight w:val="none"/>
        </w:rPr>
        <w:t>（</w:t>
      </w:r>
      <w:r>
        <w:rPr>
          <w:color w:val="auto"/>
          <w:sz w:val="28"/>
          <w:szCs w:val="28"/>
          <w:highlight w:val="none"/>
        </w:rPr>
        <w:t>3</w:t>
      </w:r>
      <w:r>
        <w:rPr>
          <w:rFonts w:hint="eastAsia" w:cs="宋体"/>
          <w:color w:val="auto"/>
          <w:sz w:val="28"/>
          <w:szCs w:val="28"/>
          <w:highlight w:val="none"/>
        </w:rPr>
        <w:t>）高、低压电缆选型应考虑番禺地区属于白蚁频发区的特点，选用防白蚁相应型号产品。高、低压房和强电井内应配备驱鼠设备。</w:t>
      </w:r>
    </w:p>
    <w:p>
      <w:pPr>
        <w:ind w:firstLine="555"/>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4</w:t>
      </w:r>
      <w:r>
        <w:rPr>
          <w:rFonts w:hint="eastAsia" w:cs="宋体"/>
          <w:color w:val="auto"/>
          <w:sz w:val="28"/>
          <w:szCs w:val="28"/>
          <w:highlight w:val="none"/>
        </w:rPr>
        <w:t>）配电箱内的电表应选用直流供电智能电表，具备远程监控功能，需连接至食堂</w:t>
      </w:r>
      <w:r>
        <w:rPr>
          <w:color w:val="auto"/>
          <w:sz w:val="28"/>
          <w:szCs w:val="28"/>
          <w:highlight w:val="none"/>
        </w:rPr>
        <w:t>N-2</w:t>
      </w:r>
      <w:r>
        <w:rPr>
          <w:rFonts w:hint="eastAsia" w:cs="宋体"/>
          <w:color w:val="auto"/>
          <w:sz w:val="28"/>
          <w:szCs w:val="28"/>
          <w:highlight w:val="none"/>
        </w:rPr>
        <w:t>的节能平台系统，设备采用需与系统匹配。</w:t>
      </w:r>
    </w:p>
    <w:p>
      <w:pPr>
        <w:ind w:firstLine="555"/>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5</w:t>
      </w:r>
      <w:r>
        <w:rPr>
          <w:rFonts w:hint="eastAsia" w:cs="宋体"/>
          <w:color w:val="auto"/>
          <w:sz w:val="28"/>
          <w:szCs w:val="28"/>
          <w:highlight w:val="none"/>
        </w:rPr>
        <w:t>）室外照明宜采用</w:t>
      </w:r>
      <w:r>
        <w:rPr>
          <w:color w:val="auto"/>
          <w:sz w:val="28"/>
          <w:szCs w:val="28"/>
          <w:highlight w:val="none"/>
        </w:rPr>
        <w:t>LED</w:t>
      </w:r>
      <w:r>
        <w:rPr>
          <w:rFonts w:hint="eastAsia" w:cs="宋体"/>
          <w:color w:val="auto"/>
          <w:sz w:val="28"/>
          <w:szCs w:val="28"/>
          <w:highlight w:val="none"/>
        </w:rPr>
        <w:t>、太阳能等节能灯，室内公共区域和地下室应采用</w:t>
      </w:r>
      <w:r>
        <w:rPr>
          <w:color w:val="auto"/>
          <w:sz w:val="28"/>
          <w:szCs w:val="28"/>
          <w:highlight w:val="none"/>
        </w:rPr>
        <w:t>LED</w:t>
      </w:r>
      <w:r>
        <w:rPr>
          <w:rFonts w:hint="eastAsia" w:cs="宋体"/>
          <w:color w:val="auto"/>
          <w:sz w:val="28"/>
          <w:szCs w:val="28"/>
          <w:highlight w:val="none"/>
        </w:rPr>
        <w:t>等节能灯具；走廊等公共区域的照明控制以声光控开关为主，所有灯具应易于维护修理和清洁，并具有可替换性。</w:t>
      </w:r>
    </w:p>
    <w:p>
      <w:pPr>
        <w:rPr>
          <w:rFonts w:cs="Times New Roman"/>
          <w:color w:val="auto"/>
          <w:sz w:val="28"/>
          <w:szCs w:val="28"/>
          <w:highlight w:val="none"/>
        </w:rPr>
      </w:pPr>
      <w:r>
        <w:rPr>
          <w:color w:val="auto"/>
          <w:sz w:val="28"/>
          <w:szCs w:val="28"/>
          <w:highlight w:val="none"/>
        </w:rPr>
        <w:t>3</w:t>
      </w:r>
      <w:r>
        <w:rPr>
          <w:rFonts w:hint="eastAsia" w:cs="宋体"/>
          <w:color w:val="auto"/>
          <w:sz w:val="28"/>
          <w:szCs w:val="28"/>
          <w:highlight w:val="none"/>
        </w:rPr>
        <w:t>、弱电系统</w:t>
      </w:r>
    </w:p>
    <w:p>
      <w:pPr>
        <w:ind w:firstLine="560" w:firstLineChars="200"/>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1</w:t>
      </w:r>
      <w:r>
        <w:rPr>
          <w:rFonts w:hint="eastAsia" w:cs="宋体"/>
          <w:color w:val="auto"/>
          <w:sz w:val="28"/>
          <w:szCs w:val="28"/>
          <w:highlight w:val="none"/>
        </w:rPr>
        <w:t>）各功能用房内应设置计算机网络（有线网络、无线网络）。信息网络系统采用二层网络结构，包括汇聚层和接入层。汇聚层交换机接入</w:t>
      </w:r>
      <w:r>
        <w:rPr>
          <w:color w:val="auto"/>
          <w:sz w:val="28"/>
          <w:szCs w:val="28"/>
          <w:highlight w:val="none"/>
        </w:rPr>
        <w:t>S</w:t>
      </w:r>
      <w:r>
        <w:rPr>
          <w:rFonts w:hint="eastAsia" w:cs="宋体"/>
          <w:color w:val="auto"/>
          <w:sz w:val="28"/>
          <w:szCs w:val="28"/>
          <w:highlight w:val="none"/>
        </w:rPr>
        <w:t>组团校网络机房和图书馆数据中心机房。接入层交换机设置在相应楼层弱电间综合布线机柜内。</w:t>
      </w:r>
    </w:p>
    <w:p>
      <w:pPr>
        <w:ind w:firstLine="560" w:firstLineChars="200"/>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2</w:t>
      </w:r>
      <w:r>
        <w:rPr>
          <w:rFonts w:hint="eastAsia" w:cs="宋体"/>
          <w:color w:val="auto"/>
          <w:sz w:val="28"/>
          <w:szCs w:val="28"/>
          <w:highlight w:val="none"/>
        </w:rPr>
        <w:t>）信息科学技术学院中的</w:t>
      </w:r>
      <w:r>
        <w:rPr>
          <w:rFonts w:hint="eastAsia" w:ascii="宋体" w:hAnsi="宋体" w:cs="宋体"/>
          <w:color w:val="auto"/>
          <w:kern w:val="0"/>
          <w:sz w:val="28"/>
          <w:szCs w:val="28"/>
          <w:highlight w:val="none"/>
        </w:rPr>
        <w:t>本科</w:t>
      </w:r>
      <w:r>
        <w:rPr>
          <w:rFonts w:hint="eastAsia" w:ascii="宋体" w:hAnsi="宋体" w:cs="宋体"/>
          <w:color w:val="auto"/>
          <w:sz w:val="28"/>
          <w:szCs w:val="28"/>
          <w:highlight w:val="none"/>
        </w:rPr>
        <w:t>教学实</w:t>
      </w:r>
      <w:r>
        <w:rPr>
          <w:rFonts w:hint="eastAsia" w:ascii="宋体" w:hAnsi="宋体" w:cs="宋体"/>
          <w:color w:val="auto"/>
          <w:kern w:val="0"/>
          <w:sz w:val="28"/>
          <w:szCs w:val="28"/>
          <w:highlight w:val="none"/>
        </w:rPr>
        <w:t>验室区域需配备</w:t>
      </w:r>
      <w:r>
        <w:rPr>
          <w:rFonts w:hint="eastAsia" w:cs="宋体"/>
          <w:color w:val="auto"/>
          <w:sz w:val="28"/>
          <w:szCs w:val="28"/>
          <w:highlight w:val="none"/>
        </w:rPr>
        <w:t>广播系统，覆盖课室、走廊等区域，与消防广播分开设置。</w:t>
      </w:r>
    </w:p>
    <w:p>
      <w:pPr>
        <w:ind w:firstLine="560" w:firstLineChars="200"/>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3</w:t>
      </w:r>
      <w:r>
        <w:rPr>
          <w:rFonts w:hint="eastAsia" w:cs="宋体"/>
          <w:color w:val="auto"/>
          <w:sz w:val="28"/>
          <w:szCs w:val="28"/>
          <w:highlight w:val="none"/>
        </w:rPr>
        <w:t>）各栋单体及周边需设置安防监控系统，接入校区总安防监控平台。各单体楼内需设置巡更系统。</w:t>
      </w:r>
    </w:p>
    <w:p>
      <w:pPr>
        <w:ind w:firstLine="560" w:firstLineChars="200"/>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4</w:t>
      </w:r>
      <w:r>
        <w:rPr>
          <w:rFonts w:hint="eastAsia" w:cs="宋体"/>
          <w:color w:val="auto"/>
          <w:sz w:val="28"/>
          <w:szCs w:val="28"/>
          <w:highlight w:val="none"/>
        </w:rPr>
        <w:t>）每栋建筑单体首层门厅设置信息显示屏，如：实现滚动播放欢迎词及相关公益广告的功能。</w:t>
      </w:r>
    </w:p>
    <w:p>
      <w:pPr>
        <w:ind w:firstLine="560" w:firstLineChars="200"/>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5</w:t>
      </w:r>
      <w:r>
        <w:rPr>
          <w:rFonts w:hint="eastAsia" w:cs="宋体"/>
          <w:color w:val="auto"/>
          <w:sz w:val="28"/>
          <w:szCs w:val="28"/>
          <w:highlight w:val="none"/>
        </w:rPr>
        <w:t>）在弱电井预留按照移动通讯（中国移动、联通、电信）设备的空间，并在各楼层走廊和电梯井预留安装馈线线线槽和天线的位置，为后期安装和调试给予便利。</w:t>
      </w:r>
    </w:p>
    <w:p>
      <w:pPr>
        <w:ind w:firstLine="560" w:firstLineChars="200"/>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6</w:t>
      </w:r>
      <w:r>
        <w:rPr>
          <w:rFonts w:hint="eastAsia" w:cs="宋体"/>
          <w:color w:val="auto"/>
          <w:sz w:val="28"/>
          <w:szCs w:val="28"/>
          <w:highlight w:val="none"/>
        </w:rPr>
        <w:t>）各系统应与校区相应管理平台无缝连接，并实施实现无缝连接所必须的调试、扩容改造。</w:t>
      </w:r>
    </w:p>
    <w:p>
      <w:pPr>
        <w:rPr>
          <w:rFonts w:cs="Times New Roman"/>
          <w:color w:val="auto"/>
          <w:sz w:val="28"/>
          <w:szCs w:val="28"/>
          <w:highlight w:val="none"/>
        </w:rPr>
      </w:pPr>
      <w:r>
        <w:rPr>
          <w:color w:val="auto"/>
          <w:sz w:val="28"/>
          <w:szCs w:val="28"/>
          <w:highlight w:val="none"/>
        </w:rPr>
        <w:t>4</w:t>
      </w:r>
      <w:r>
        <w:rPr>
          <w:rFonts w:hint="eastAsia" w:cs="宋体"/>
          <w:color w:val="auto"/>
          <w:sz w:val="28"/>
          <w:szCs w:val="28"/>
          <w:highlight w:val="none"/>
        </w:rPr>
        <w:t>、给排水系统</w:t>
      </w:r>
    </w:p>
    <w:p>
      <w:pPr>
        <w:ind w:firstLine="560" w:firstLineChars="200"/>
        <w:rPr>
          <w:rFonts w:cs="Times New Roman"/>
          <w:color w:val="auto"/>
          <w:sz w:val="28"/>
          <w:szCs w:val="28"/>
          <w:highlight w:val="none"/>
        </w:rPr>
      </w:pPr>
      <w:r>
        <w:rPr>
          <w:rFonts w:hint="eastAsia" w:cs="宋体"/>
          <w:color w:val="auto"/>
          <w:sz w:val="28"/>
          <w:szCs w:val="28"/>
          <w:highlight w:val="none"/>
        </w:rPr>
        <w:t>本子项中各楼栋生活供水由项目选址北边的</w:t>
      </w:r>
      <w:r>
        <w:rPr>
          <w:color w:val="auto"/>
          <w:sz w:val="28"/>
          <w:szCs w:val="28"/>
          <w:highlight w:val="none"/>
        </w:rPr>
        <w:t>A</w:t>
      </w:r>
      <w:r>
        <w:rPr>
          <w:rFonts w:hint="eastAsia" w:cs="宋体"/>
          <w:color w:val="auto"/>
          <w:sz w:val="28"/>
          <w:szCs w:val="28"/>
          <w:highlight w:val="none"/>
        </w:rPr>
        <w:t>组团地下室生活泵房加压供给。</w:t>
      </w:r>
    </w:p>
    <w:p>
      <w:pPr>
        <w:ind w:firstLine="560" w:firstLineChars="200"/>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1</w:t>
      </w:r>
      <w:r>
        <w:rPr>
          <w:rFonts w:hint="eastAsia" w:cs="宋体"/>
          <w:color w:val="auto"/>
          <w:sz w:val="28"/>
          <w:szCs w:val="28"/>
          <w:highlight w:val="none"/>
        </w:rPr>
        <w:t>）每栋大楼独立设置总水表，总水表应选用未设内置程序的智能化水表。</w:t>
      </w:r>
    </w:p>
    <w:p>
      <w:pPr>
        <w:ind w:firstLine="560" w:firstLineChars="200"/>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2</w:t>
      </w:r>
      <w:r>
        <w:rPr>
          <w:rFonts w:hint="eastAsia" w:cs="宋体"/>
          <w:color w:val="auto"/>
          <w:sz w:val="28"/>
          <w:szCs w:val="28"/>
          <w:highlight w:val="none"/>
        </w:rPr>
        <w:t>）各楼栋应实现分区供水计量，各类功能用房均独立设置智能水表，宿舍还需设置智能热水水表。水表选用直流供电智能水表，具备远程监控功能，需连接至食堂</w:t>
      </w:r>
      <w:r>
        <w:rPr>
          <w:color w:val="auto"/>
          <w:sz w:val="28"/>
          <w:szCs w:val="28"/>
          <w:highlight w:val="none"/>
        </w:rPr>
        <w:t>N-2</w:t>
      </w:r>
      <w:r>
        <w:rPr>
          <w:rFonts w:hint="eastAsia" w:cs="宋体"/>
          <w:color w:val="auto"/>
          <w:sz w:val="28"/>
          <w:szCs w:val="28"/>
          <w:highlight w:val="none"/>
        </w:rPr>
        <w:t>新建的节能平台系统，设备采用需与系统匹配，同时因实验室特殊要求，不能断水，故应设置只监不控。</w:t>
      </w:r>
    </w:p>
    <w:p>
      <w:pPr>
        <w:ind w:firstLine="560" w:firstLineChars="200"/>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3</w:t>
      </w:r>
      <w:r>
        <w:rPr>
          <w:rFonts w:hint="eastAsia" w:cs="宋体"/>
          <w:color w:val="auto"/>
          <w:sz w:val="28"/>
          <w:szCs w:val="28"/>
          <w:highlight w:val="none"/>
        </w:rPr>
        <w:t>）宿舍区域的热水供应系统</w:t>
      </w:r>
    </w:p>
    <w:p>
      <w:pPr>
        <w:ind w:firstLine="560" w:firstLineChars="200"/>
        <w:rPr>
          <w:rFonts w:cs="Times New Roman"/>
          <w:color w:val="auto"/>
          <w:sz w:val="28"/>
          <w:szCs w:val="28"/>
          <w:highlight w:val="none"/>
        </w:rPr>
      </w:pPr>
      <w:r>
        <w:rPr>
          <w:rFonts w:hint="eastAsia" w:cs="宋体"/>
          <w:color w:val="auto"/>
          <w:sz w:val="28"/>
          <w:szCs w:val="28"/>
          <w:highlight w:val="none"/>
        </w:rPr>
        <w:t>热水供应应采用空气源热泵</w:t>
      </w:r>
      <w:r>
        <w:rPr>
          <w:color w:val="auto"/>
          <w:sz w:val="28"/>
          <w:szCs w:val="28"/>
          <w:highlight w:val="none"/>
        </w:rPr>
        <w:t>+</w:t>
      </w:r>
      <w:r>
        <w:rPr>
          <w:rFonts w:hint="eastAsia" w:cs="宋体"/>
          <w:color w:val="auto"/>
          <w:sz w:val="28"/>
          <w:szCs w:val="28"/>
          <w:highlight w:val="none"/>
        </w:rPr>
        <w:t>太阳能方式，热水应供应至每间宿舍的淋浴间。</w:t>
      </w:r>
    </w:p>
    <w:p>
      <w:pPr>
        <w:ind w:firstLine="560" w:firstLineChars="200"/>
        <w:rPr>
          <w:rFonts w:cs="Times New Roman"/>
          <w:color w:val="auto"/>
          <w:sz w:val="28"/>
          <w:szCs w:val="28"/>
          <w:highlight w:val="none"/>
        </w:rPr>
      </w:pPr>
      <w:r>
        <w:rPr>
          <w:rFonts w:hint="eastAsia" w:cs="宋体"/>
          <w:color w:val="auto"/>
          <w:sz w:val="28"/>
          <w:szCs w:val="28"/>
          <w:highlight w:val="none"/>
        </w:rPr>
        <w:t>热水设计应充分考虑使用时间相对集中等各种不利因素，确保每间淋浴间的热水供应。</w:t>
      </w:r>
    </w:p>
    <w:p>
      <w:pPr>
        <w:ind w:firstLine="560" w:firstLineChars="200"/>
        <w:rPr>
          <w:rFonts w:cs="Times New Roman"/>
          <w:color w:val="auto"/>
          <w:sz w:val="28"/>
          <w:szCs w:val="28"/>
          <w:highlight w:val="none"/>
        </w:rPr>
      </w:pPr>
      <w:r>
        <w:rPr>
          <w:rFonts w:hint="eastAsia" w:cs="宋体"/>
          <w:color w:val="auto"/>
          <w:sz w:val="28"/>
          <w:szCs w:val="28"/>
          <w:highlight w:val="none"/>
        </w:rPr>
        <w:t>热水系统的设计以及主要设备、零部件的选用要合理，要重点保证热水水量的供应以及系统运行的可靠性、稳定性，减少系统故障导致热水供应不足的隐患。例如，系统采用机械浮球阀补水或电动蝶阀补水，以减少采用电磁阀而容易出现的补水阀门故障、堵塞现象；加大串联平衡管的尺寸以确保全部水箱水位前段与末端的平衡等等。</w:t>
      </w:r>
    </w:p>
    <w:p>
      <w:pPr>
        <w:ind w:firstLine="560" w:firstLineChars="200"/>
        <w:rPr>
          <w:rFonts w:cs="Times New Roman"/>
          <w:color w:val="auto"/>
          <w:sz w:val="28"/>
          <w:szCs w:val="28"/>
          <w:highlight w:val="none"/>
        </w:rPr>
      </w:pPr>
      <w:r>
        <w:rPr>
          <w:rFonts w:hint="eastAsia" w:cs="宋体"/>
          <w:color w:val="auto"/>
          <w:sz w:val="28"/>
          <w:szCs w:val="28"/>
          <w:highlight w:val="none"/>
        </w:rPr>
        <w:t>每间淋浴间的热水应单独设置可监可控的未设内置程序的智能化水表。热水系统设置总水表，总水表选用未设内置程序的智能化水表。</w:t>
      </w:r>
    </w:p>
    <w:p>
      <w:pPr>
        <w:rPr>
          <w:rFonts w:cs="Times New Roman"/>
          <w:color w:val="auto"/>
          <w:sz w:val="28"/>
          <w:szCs w:val="28"/>
          <w:highlight w:val="none"/>
        </w:rPr>
      </w:pPr>
      <w:r>
        <w:rPr>
          <w:color w:val="auto"/>
          <w:sz w:val="28"/>
          <w:szCs w:val="28"/>
          <w:highlight w:val="none"/>
        </w:rPr>
        <w:t>5</w:t>
      </w:r>
      <w:r>
        <w:rPr>
          <w:rFonts w:hint="eastAsia" w:cs="宋体"/>
          <w:color w:val="auto"/>
          <w:sz w:val="28"/>
          <w:szCs w:val="28"/>
          <w:highlight w:val="none"/>
        </w:rPr>
        <w:t>、消防系统</w:t>
      </w:r>
    </w:p>
    <w:p>
      <w:pPr>
        <w:ind w:firstLine="560" w:firstLineChars="200"/>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1</w:t>
      </w:r>
      <w:r>
        <w:rPr>
          <w:rFonts w:hint="eastAsia" w:cs="宋体"/>
          <w:color w:val="auto"/>
          <w:sz w:val="28"/>
          <w:szCs w:val="28"/>
          <w:highlight w:val="none"/>
        </w:rPr>
        <w:t>）本子项中各楼栋消防用水由</w:t>
      </w:r>
      <w:r>
        <w:rPr>
          <w:rFonts w:hint="eastAsia" w:cs="宋体"/>
          <w:color w:val="auto"/>
          <w:sz w:val="28"/>
          <w:szCs w:val="28"/>
          <w:highlight w:val="none"/>
          <w:lang w:eastAsia="zh-CN"/>
        </w:rPr>
        <w:t>学生宿舍</w:t>
      </w:r>
      <w:r>
        <w:rPr>
          <w:rFonts w:hint="eastAsia" w:cs="宋体"/>
          <w:color w:val="auto"/>
          <w:sz w:val="28"/>
          <w:szCs w:val="28"/>
          <w:highlight w:val="none"/>
        </w:rPr>
        <w:t>组团地下室的消防水池供给。</w:t>
      </w:r>
    </w:p>
    <w:p>
      <w:pPr>
        <w:ind w:firstLine="560" w:firstLineChars="200"/>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2</w:t>
      </w:r>
      <w:r>
        <w:rPr>
          <w:rFonts w:hint="eastAsia" w:cs="宋体"/>
          <w:color w:val="auto"/>
          <w:sz w:val="28"/>
          <w:szCs w:val="28"/>
          <w:highlight w:val="none"/>
        </w:rPr>
        <w:t>）各单体建筑内设置消防控制中心，各消防控制中心的消防信息需传输至图书馆首层的总消防控制中心。</w:t>
      </w:r>
    </w:p>
    <w:p>
      <w:pPr>
        <w:ind w:firstLine="560" w:firstLineChars="200"/>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3</w:t>
      </w:r>
      <w:r>
        <w:rPr>
          <w:rFonts w:hint="eastAsia" w:cs="宋体"/>
          <w:color w:val="auto"/>
          <w:sz w:val="28"/>
          <w:szCs w:val="28"/>
          <w:highlight w:val="none"/>
        </w:rPr>
        <w:t>）在校区总消防控制中心应能监测到本子项中各消防系统的运行情况并实现控制。总消防控制中心内设有图形显示系统，本项目应接入该系统。</w:t>
      </w:r>
    </w:p>
    <w:p>
      <w:pPr>
        <w:ind w:firstLine="560" w:firstLineChars="200"/>
        <w:rPr>
          <w:rFonts w:cs="Times New Roman"/>
          <w:color w:val="auto"/>
          <w:sz w:val="28"/>
          <w:szCs w:val="28"/>
          <w:highlight w:val="none"/>
        </w:rPr>
      </w:pPr>
      <w:r>
        <w:rPr>
          <w:rFonts w:hint="eastAsia" w:cs="宋体"/>
          <w:color w:val="auto"/>
          <w:sz w:val="28"/>
          <w:szCs w:val="28"/>
          <w:highlight w:val="none"/>
        </w:rPr>
        <w:t>（</w:t>
      </w:r>
      <w:r>
        <w:rPr>
          <w:color w:val="auto"/>
          <w:sz w:val="28"/>
          <w:szCs w:val="28"/>
          <w:highlight w:val="none"/>
        </w:rPr>
        <w:t>4</w:t>
      </w:r>
      <w:r>
        <w:rPr>
          <w:rFonts w:hint="eastAsia" w:cs="宋体"/>
          <w:color w:val="auto"/>
          <w:sz w:val="28"/>
          <w:szCs w:val="28"/>
          <w:highlight w:val="none"/>
        </w:rPr>
        <w:t>）消防系统应实现与校区总消防控制中心平台的无缝连接，并实施实现无缝连接所必须的调试、扩容改造。</w:t>
      </w:r>
    </w:p>
    <w:p>
      <w:pPr>
        <w:rPr>
          <w:rFonts w:cs="Times New Roman"/>
          <w:color w:val="auto"/>
          <w:sz w:val="28"/>
          <w:szCs w:val="28"/>
          <w:highlight w:val="none"/>
        </w:rPr>
      </w:pPr>
      <w:r>
        <w:rPr>
          <w:color w:val="auto"/>
          <w:sz w:val="28"/>
          <w:szCs w:val="28"/>
          <w:highlight w:val="none"/>
        </w:rPr>
        <w:t>6</w:t>
      </w:r>
      <w:r>
        <w:rPr>
          <w:rFonts w:hint="eastAsia" w:cs="宋体"/>
          <w:color w:val="auto"/>
          <w:sz w:val="28"/>
          <w:szCs w:val="28"/>
          <w:highlight w:val="none"/>
        </w:rPr>
        <w:t>、防雷</w:t>
      </w:r>
    </w:p>
    <w:p>
      <w:pPr>
        <w:ind w:firstLine="563"/>
        <w:rPr>
          <w:rFonts w:cs="Times New Roman"/>
          <w:color w:val="auto"/>
          <w:sz w:val="28"/>
          <w:szCs w:val="28"/>
          <w:highlight w:val="none"/>
        </w:rPr>
      </w:pPr>
      <w:r>
        <w:rPr>
          <w:rFonts w:hint="eastAsia" w:cs="宋体"/>
          <w:color w:val="auto"/>
          <w:sz w:val="28"/>
          <w:szCs w:val="28"/>
          <w:highlight w:val="none"/>
        </w:rPr>
        <w:t>由于校区处于雷区，除做好大楼的防雷设计外，还需加强电梯、强弱电设备等重要设备以及与校区现有各个管理平台连接线路的防雷措施。</w:t>
      </w:r>
    </w:p>
    <w:p>
      <w:pPr>
        <w:pStyle w:val="2"/>
        <w:ind w:firstLine="0"/>
        <w:rPr>
          <w:rFonts w:cs="Times New Roman"/>
          <w:color w:val="auto"/>
          <w:sz w:val="28"/>
          <w:szCs w:val="28"/>
          <w:highlight w:val="none"/>
        </w:rPr>
      </w:pPr>
      <w:r>
        <w:rPr>
          <w:color w:val="auto"/>
          <w:sz w:val="28"/>
          <w:szCs w:val="28"/>
          <w:highlight w:val="none"/>
        </w:rPr>
        <w:t>7</w:t>
      </w:r>
      <w:r>
        <w:rPr>
          <w:rFonts w:hint="eastAsia" w:cs="宋体"/>
          <w:color w:val="auto"/>
          <w:sz w:val="28"/>
          <w:szCs w:val="28"/>
          <w:highlight w:val="none"/>
        </w:rPr>
        <w:t>、通风空调设计要求</w:t>
      </w:r>
    </w:p>
    <w:p>
      <w:pPr>
        <w:pStyle w:val="2"/>
        <w:rPr>
          <w:rFonts w:cs="Times New Roman"/>
          <w:color w:val="auto"/>
          <w:sz w:val="28"/>
          <w:szCs w:val="28"/>
          <w:highlight w:val="none"/>
        </w:rPr>
      </w:pPr>
      <w:r>
        <w:rPr>
          <w:rFonts w:hint="eastAsia" w:cs="宋体"/>
          <w:color w:val="auto"/>
          <w:sz w:val="28"/>
          <w:szCs w:val="28"/>
          <w:highlight w:val="none"/>
        </w:rPr>
        <w:t>空调系统设计时应兼顾经济性：即采用成熟的先进技术，以节省运行费。以绿色、环保节能为目标，选用环保节能产品，合理处理空调系统产生的废水、废气及噪声，配合其它专业共同营造舒适的环境。</w:t>
      </w:r>
    </w:p>
    <w:p>
      <w:pPr>
        <w:pStyle w:val="2"/>
        <w:rPr>
          <w:rFonts w:cs="Times New Roman"/>
          <w:color w:val="auto"/>
          <w:sz w:val="28"/>
          <w:szCs w:val="28"/>
          <w:highlight w:val="none"/>
        </w:rPr>
      </w:pPr>
      <w:r>
        <w:rPr>
          <w:rFonts w:hint="eastAsia" w:cs="宋体"/>
          <w:color w:val="auto"/>
          <w:sz w:val="28"/>
          <w:szCs w:val="28"/>
          <w:highlight w:val="none"/>
        </w:rPr>
        <w:t>部分功能用房，如校网络中心、</w:t>
      </w:r>
      <w:r>
        <w:rPr>
          <w:rFonts w:hint="eastAsia" w:cs="宋体"/>
          <w:color w:val="auto"/>
          <w:sz w:val="28"/>
          <w:szCs w:val="28"/>
          <w:highlight w:val="none"/>
          <w:lang w:eastAsia="zh-CN"/>
        </w:rPr>
        <w:t>计算传播研究中心</w:t>
      </w:r>
      <w:r>
        <w:rPr>
          <w:rFonts w:hint="eastAsia" w:cs="宋体"/>
          <w:color w:val="auto"/>
          <w:sz w:val="28"/>
          <w:szCs w:val="28"/>
          <w:highlight w:val="none"/>
        </w:rPr>
        <w:t>等需结合用房功能特点选用精密空调系统。</w:t>
      </w:r>
    </w:p>
    <w:p>
      <w:pPr>
        <w:pStyle w:val="2"/>
        <w:rPr>
          <w:rFonts w:hint="eastAsia" w:cs="宋体"/>
          <w:color w:val="auto"/>
          <w:sz w:val="28"/>
          <w:szCs w:val="28"/>
          <w:highlight w:val="none"/>
        </w:rPr>
      </w:pPr>
      <w:r>
        <w:rPr>
          <w:rFonts w:hint="eastAsia" w:cs="宋体"/>
          <w:color w:val="auto"/>
          <w:sz w:val="28"/>
          <w:szCs w:val="28"/>
          <w:highlight w:val="none"/>
        </w:rPr>
        <w:t>通风空调系统方式须进行比选分析。</w:t>
      </w:r>
    </w:p>
    <w:p>
      <w:pPr>
        <w:pStyle w:val="2"/>
        <w:ind w:firstLine="0"/>
        <w:rPr>
          <w:rFonts w:hint="eastAsia" w:cs="宋体"/>
          <w:color w:val="auto"/>
          <w:sz w:val="28"/>
          <w:szCs w:val="28"/>
          <w:highlight w:val="none"/>
        </w:rPr>
      </w:pPr>
      <w:r>
        <w:rPr>
          <w:rFonts w:hint="eastAsia" w:cs="宋体"/>
          <w:color w:val="auto"/>
          <w:sz w:val="28"/>
          <w:szCs w:val="28"/>
          <w:highlight w:val="none"/>
          <w:lang w:val="en-US" w:eastAsia="zh-CN"/>
        </w:rPr>
        <w:t>8</w:t>
      </w:r>
      <w:r>
        <w:rPr>
          <w:rFonts w:hint="eastAsia" w:cs="宋体"/>
          <w:color w:val="auto"/>
          <w:sz w:val="28"/>
          <w:szCs w:val="28"/>
          <w:highlight w:val="none"/>
        </w:rPr>
        <w:t>、燃气工程设计要求</w:t>
      </w:r>
    </w:p>
    <w:p>
      <w:pPr>
        <w:pStyle w:val="2"/>
        <w:rPr>
          <w:rFonts w:hint="eastAsia" w:cs="宋体"/>
          <w:color w:val="auto"/>
          <w:sz w:val="28"/>
          <w:szCs w:val="28"/>
          <w:highlight w:val="none"/>
        </w:rPr>
      </w:pPr>
      <w:r>
        <w:rPr>
          <w:rFonts w:hint="eastAsia" w:cs="宋体"/>
          <w:color w:val="auto"/>
          <w:sz w:val="28"/>
          <w:szCs w:val="28"/>
          <w:highlight w:val="none"/>
        </w:rPr>
        <w:t>本项目的港澳台侨培训及职业提升教育中心</w:t>
      </w:r>
      <w:r>
        <w:rPr>
          <w:rFonts w:hint="eastAsia" w:cs="宋体"/>
          <w:color w:val="auto"/>
          <w:sz w:val="28"/>
          <w:szCs w:val="28"/>
          <w:highlight w:val="none"/>
          <w:lang w:eastAsia="zh-CN"/>
        </w:rPr>
        <w:t>后厨需要接入燃气，</w:t>
      </w:r>
      <w:r>
        <w:rPr>
          <w:rFonts w:hint="eastAsia" w:cs="宋体"/>
          <w:color w:val="auto"/>
          <w:sz w:val="28"/>
          <w:szCs w:val="28"/>
          <w:highlight w:val="none"/>
        </w:rPr>
        <w:t>天然气气源取自</w:t>
      </w:r>
      <w:r>
        <w:rPr>
          <w:rFonts w:hint="eastAsia" w:cs="宋体"/>
          <w:color w:val="auto"/>
          <w:sz w:val="28"/>
          <w:szCs w:val="28"/>
          <w:highlight w:val="none"/>
          <w:lang w:eastAsia="zh-CN"/>
        </w:rPr>
        <w:t>校园内</w:t>
      </w:r>
      <w:r>
        <w:rPr>
          <w:rFonts w:hint="eastAsia" w:cs="宋体"/>
          <w:color w:val="auto"/>
          <w:sz w:val="28"/>
          <w:szCs w:val="28"/>
          <w:highlight w:val="none"/>
        </w:rPr>
        <w:t>天然气管网</w:t>
      </w:r>
      <w:r>
        <w:rPr>
          <w:rFonts w:hint="eastAsia" w:cs="宋体"/>
          <w:color w:val="auto"/>
          <w:sz w:val="28"/>
          <w:szCs w:val="28"/>
          <w:highlight w:val="none"/>
          <w:lang w:eastAsia="zh-CN"/>
        </w:rPr>
        <w:t>。</w:t>
      </w:r>
      <w:r>
        <w:rPr>
          <w:rFonts w:hint="eastAsia" w:cs="宋体"/>
          <w:color w:val="auto"/>
          <w:sz w:val="28"/>
          <w:szCs w:val="28"/>
          <w:highlight w:val="none"/>
        </w:rPr>
        <w:t>燃气管道与其它管道、道路、构造物等相互间最小距离应符合《城市工程管线综合规划规范》（GB50289-2016）的相关要求。调压柜外观装饰应与周边景观相协调。</w:t>
      </w:r>
    </w:p>
    <w:p>
      <w:pPr>
        <w:rPr>
          <w:rFonts w:cs="Times New Roman"/>
          <w:b/>
          <w:bCs/>
          <w:color w:val="auto"/>
          <w:sz w:val="28"/>
          <w:szCs w:val="28"/>
          <w:highlight w:val="none"/>
        </w:rPr>
      </w:pPr>
      <w:r>
        <w:rPr>
          <w:rFonts w:hint="eastAsia" w:cs="宋体"/>
          <w:b/>
          <w:bCs/>
          <w:color w:val="auto"/>
          <w:sz w:val="28"/>
          <w:szCs w:val="28"/>
          <w:highlight w:val="none"/>
        </w:rPr>
        <w:t>三、质保和维保</w:t>
      </w:r>
    </w:p>
    <w:p>
      <w:pPr>
        <w:pStyle w:val="2"/>
        <w:rPr>
          <w:rFonts w:cs="Times New Roman"/>
          <w:color w:val="auto"/>
          <w:sz w:val="28"/>
          <w:szCs w:val="28"/>
          <w:highlight w:val="none"/>
        </w:rPr>
      </w:pPr>
      <w:r>
        <w:rPr>
          <w:rFonts w:hint="eastAsia" w:cs="宋体"/>
          <w:color w:val="auto"/>
          <w:sz w:val="28"/>
          <w:szCs w:val="28"/>
          <w:highlight w:val="none"/>
        </w:rPr>
        <w:t>在项目验收合格移交用户使用后，在国家规定的两年质量保修期内，电梯、热水系统、消防系统、安防系统、强弱电系统、通风系统等系统及设备均需要由施工单位派驻专业人员驻校进行两年维护保养。保修期满并保证设备运行正常后移交给学校。</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Segoe UI Symbol">
    <w:panose1 w:val="020B0502040204020203"/>
    <w:charset w:val="00"/>
    <w:family w:val="swiss"/>
    <w:pitch w:val="default"/>
    <w:sig w:usb0="8000006F" w:usb1="1200FBEF" w:usb2="0064C000" w:usb3="00000002" w:csb0="00000001" w:csb1="40000000"/>
  </w:font>
  <w:font w:name="微软雅黑">
    <w:panose1 w:val="020B0503020204020204"/>
    <w:charset w:val="86"/>
    <w:family w:val="swiss"/>
    <w:pitch w:val="default"/>
    <w:sig w:usb0="80000287" w:usb1="280F3C52"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cs="Times New Roma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7"/>
                            <w:rPr>
                              <w:rFonts w:cs="Times New Roman"/>
                            </w:rPr>
                          </w:pPr>
                          <w:r>
                            <w:rPr>
                              <w:rFonts w:hint="eastAsia" w:cs="宋体"/>
                            </w:rPr>
                            <w:t>第</w:t>
                          </w:r>
                          <w:r>
                            <w:t xml:space="preserve"> </w:t>
                          </w:r>
                          <w:r>
                            <w:fldChar w:fldCharType="begin"/>
                          </w:r>
                          <w:r>
                            <w:instrText xml:space="preserve"> PAGE  \* MERGEFORMAT </w:instrText>
                          </w:r>
                          <w:r>
                            <w:fldChar w:fldCharType="separate"/>
                          </w:r>
                          <w:r>
                            <w:t>3</w:t>
                          </w:r>
                          <w:r>
                            <w:fldChar w:fldCharType="end"/>
                          </w:r>
                          <w:r>
                            <w:t xml:space="preserve"> </w:t>
                          </w:r>
                          <w:r>
                            <w:rPr>
                              <w:rFonts w:hint="eastAsia" w:cs="宋体"/>
                            </w:rPr>
                            <w:t>页</w:t>
                          </w:r>
                          <w:r>
                            <w:t xml:space="preserve"> </w:t>
                          </w:r>
                          <w:r>
                            <w:rPr>
                              <w:rFonts w:hint="eastAsia" w:cs="宋体"/>
                            </w:rPr>
                            <w:t>共</w:t>
                          </w:r>
                          <w:r>
                            <w:t xml:space="preserve"> </w:t>
                          </w:r>
                          <w:r>
                            <w:fldChar w:fldCharType="begin"/>
                          </w:r>
                          <w:r>
                            <w:instrText xml:space="preserve"> NUMPAGES  \* MERGEFORMAT </w:instrText>
                          </w:r>
                          <w:r>
                            <w:fldChar w:fldCharType="separate"/>
                          </w:r>
                          <w:r>
                            <w:t>12</w:t>
                          </w:r>
                          <w:r>
                            <w:fldChar w:fldCharType="end"/>
                          </w:r>
                          <w:r>
                            <w:t xml:space="preserve"> </w:t>
                          </w:r>
                          <w:r>
                            <w:rPr>
                              <w:rFonts w:hint="eastAsia" w:cs="宋体"/>
                            </w:rPr>
                            <w:t>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1NShz0QEAAKIDAAAOAAAAAAAAAAEAIAAAAB8BAABk&#10;cnMvZTJvRG9jLnhtbFBLBQYAAAAABgAGAFkBAABiBQAAAAA=&#10;">
              <v:fill on="f" focussize="0,0"/>
              <v:stroke on="f" weight="0.5pt"/>
              <v:imagedata o:title=""/>
              <o:lock v:ext="edit" aspectratio="f"/>
              <v:textbox inset="0mm,0mm,0mm,0mm" style="mso-fit-shape-to-text:t;">
                <w:txbxContent>
                  <w:p>
                    <w:pPr>
                      <w:pStyle w:val="7"/>
                      <w:rPr>
                        <w:rFonts w:cs="Times New Roman"/>
                      </w:rPr>
                    </w:pPr>
                    <w:r>
                      <w:rPr>
                        <w:rFonts w:hint="eastAsia" w:cs="宋体"/>
                      </w:rPr>
                      <w:t>第</w:t>
                    </w:r>
                    <w:r>
                      <w:t xml:space="preserve"> </w:t>
                    </w:r>
                    <w:r>
                      <w:fldChar w:fldCharType="begin"/>
                    </w:r>
                    <w:r>
                      <w:instrText xml:space="preserve"> PAGE  \* MERGEFORMAT </w:instrText>
                    </w:r>
                    <w:r>
                      <w:fldChar w:fldCharType="separate"/>
                    </w:r>
                    <w:r>
                      <w:t>3</w:t>
                    </w:r>
                    <w:r>
                      <w:fldChar w:fldCharType="end"/>
                    </w:r>
                    <w:r>
                      <w:t xml:space="preserve"> </w:t>
                    </w:r>
                    <w:r>
                      <w:rPr>
                        <w:rFonts w:hint="eastAsia" w:cs="宋体"/>
                      </w:rPr>
                      <w:t>页</w:t>
                    </w:r>
                    <w:r>
                      <w:t xml:space="preserve"> </w:t>
                    </w:r>
                    <w:r>
                      <w:rPr>
                        <w:rFonts w:hint="eastAsia" w:cs="宋体"/>
                      </w:rPr>
                      <w:t>共</w:t>
                    </w:r>
                    <w:r>
                      <w:t xml:space="preserve"> </w:t>
                    </w:r>
                    <w:r>
                      <w:fldChar w:fldCharType="begin"/>
                    </w:r>
                    <w:r>
                      <w:instrText xml:space="preserve"> NUMPAGES  \* MERGEFORMAT </w:instrText>
                    </w:r>
                    <w:r>
                      <w:fldChar w:fldCharType="separate"/>
                    </w:r>
                    <w:r>
                      <w:t>12</w:t>
                    </w:r>
                    <w:r>
                      <w:fldChar w:fldCharType="end"/>
                    </w:r>
                    <w:r>
                      <w:t xml:space="preserve"> </w:t>
                    </w:r>
                    <w:r>
                      <w:rPr>
                        <w:rFonts w:hint="eastAsia" w:cs="宋体"/>
                      </w:rP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top w:val="none" w:color="auto" w:sz="0" w:space="0"/>
        <w:left w:val="none" w:color="auto" w:sz="0" w:space="0"/>
        <w:bottom w:val="none" w:color="auto" w:sz="0" w:space="0"/>
        <w:right w:val="none" w:color="auto" w:sz="0" w:space="0"/>
      </w:pBdr>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4C5BE1"/>
    <w:multiLevelType w:val="singleLevel"/>
    <w:tmpl w:val="9A4C5BE1"/>
    <w:lvl w:ilvl="0" w:tentative="0">
      <w:start w:val="1"/>
      <w:numFmt w:val="decimal"/>
      <w:suff w:val="nothing"/>
      <w:lvlText w:val="%1、"/>
      <w:lvlJc w:val="left"/>
    </w:lvl>
  </w:abstractNum>
  <w:abstractNum w:abstractNumId="1">
    <w:nsid w:val="A6813446"/>
    <w:multiLevelType w:val="singleLevel"/>
    <w:tmpl w:val="A6813446"/>
    <w:lvl w:ilvl="0" w:tentative="0">
      <w:start w:val="1"/>
      <w:numFmt w:val="lowerLetter"/>
      <w:suff w:val="nothing"/>
      <w:lvlText w:val="%1、"/>
      <w:lvlJc w:val="left"/>
    </w:lvl>
  </w:abstractNum>
  <w:abstractNum w:abstractNumId="2">
    <w:nsid w:val="A966EBDB"/>
    <w:multiLevelType w:val="singleLevel"/>
    <w:tmpl w:val="A966EBDB"/>
    <w:lvl w:ilvl="0" w:tentative="0">
      <w:start w:val="1"/>
      <w:numFmt w:val="lowerLetter"/>
      <w:suff w:val="nothing"/>
      <w:lvlText w:val="%1、"/>
      <w:lvlJc w:val="left"/>
    </w:lvl>
  </w:abstractNum>
  <w:abstractNum w:abstractNumId="3">
    <w:nsid w:val="0488C7FA"/>
    <w:multiLevelType w:val="singleLevel"/>
    <w:tmpl w:val="0488C7FA"/>
    <w:lvl w:ilvl="0" w:tentative="0">
      <w:start w:val="1"/>
      <w:numFmt w:val="chineseCounting"/>
      <w:suff w:val="nothing"/>
      <w:lvlText w:val="%1、"/>
      <w:lvlJc w:val="left"/>
      <w:rPr>
        <w:rFonts w:hint="eastAsia"/>
      </w:rPr>
    </w:lvl>
  </w:abstractNum>
  <w:abstractNum w:abstractNumId="4">
    <w:nsid w:val="570D8918"/>
    <w:multiLevelType w:val="singleLevel"/>
    <w:tmpl w:val="570D8918"/>
    <w:lvl w:ilvl="0" w:tentative="0">
      <w:start w:val="1"/>
      <w:numFmt w:val="lowerLetter"/>
      <w:suff w:val="nothing"/>
      <w:lvlText w:val="%1、"/>
      <w:lvlJc w:val="left"/>
    </w:lvl>
  </w:abstractNum>
  <w:abstractNum w:abstractNumId="5">
    <w:nsid w:val="76A8E7CC"/>
    <w:multiLevelType w:val="singleLevel"/>
    <w:tmpl w:val="76A8E7CC"/>
    <w:lvl w:ilvl="0" w:tentative="0">
      <w:start w:val="1"/>
      <w:numFmt w:val="lowerLetter"/>
      <w:suff w:val="nothing"/>
      <w:lvlText w:val="%1、"/>
      <w:lvlJc w:val="left"/>
    </w:lvl>
  </w:abstractNum>
  <w:num w:numId="1">
    <w:abstractNumId w:val="3"/>
  </w:num>
  <w:num w:numId="2">
    <w:abstractNumId w:val="0"/>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2Y2ZkYjc1YzdhOTYzOTc2MWMwYWNhZjNjZWE1NTEifQ=="/>
  </w:docVars>
  <w:rsids>
    <w:rsidRoot w:val="00C47FFB"/>
    <w:rsid w:val="000271BA"/>
    <w:rsid w:val="000C1712"/>
    <w:rsid w:val="000E4D6A"/>
    <w:rsid w:val="00100FFE"/>
    <w:rsid w:val="00107258"/>
    <w:rsid w:val="00120F1A"/>
    <w:rsid w:val="00135DF0"/>
    <w:rsid w:val="00150983"/>
    <w:rsid w:val="00170612"/>
    <w:rsid w:val="001A59A9"/>
    <w:rsid w:val="001B6019"/>
    <w:rsid w:val="001D20B8"/>
    <w:rsid w:val="00204A4C"/>
    <w:rsid w:val="002507D8"/>
    <w:rsid w:val="002549DF"/>
    <w:rsid w:val="00263628"/>
    <w:rsid w:val="00274110"/>
    <w:rsid w:val="002743CF"/>
    <w:rsid w:val="00286BD3"/>
    <w:rsid w:val="002E1720"/>
    <w:rsid w:val="002E44D7"/>
    <w:rsid w:val="004064E0"/>
    <w:rsid w:val="004B3C68"/>
    <w:rsid w:val="004D32B2"/>
    <w:rsid w:val="00547F3B"/>
    <w:rsid w:val="00564FF6"/>
    <w:rsid w:val="005924D7"/>
    <w:rsid w:val="005F061E"/>
    <w:rsid w:val="00601574"/>
    <w:rsid w:val="00627D9A"/>
    <w:rsid w:val="006C19DD"/>
    <w:rsid w:val="006C7B92"/>
    <w:rsid w:val="006E7226"/>
    <w:rsid w:val="00716842"/>
    <w:rsid w:val="007512FE"/>
    <w:rsid w:val="0078169C"/>
    <w:rsid w:val="007B6293"/>
    <w:rsid w:val="007C47B7"/>
    <w:rsid w:val="007F3ED7"/>
    <w:rsid w:val="00875294"/>
    <w:rsid w:val="008969CA"/>
    <w:rsid w:val="008D1D8A"/>
    <w:rsid w:val="008D2344"/>
    <w:rsid w:val="008D6D3D"/>
    <w:rsid w:val="008F3B85"/>
    <w:rsid w:val="00936042"/>
    <w:rsid w:val="00985EB1"/>
    <w:rsid w:val="009E357C"/>
    <w:rsid w:val="00A16EC4"/>
    <w:rsid w:val="00A26792"/>
    <w:rsid w:val="00A41DE3"/>
    <w:rsid w:val="00A66C64"/>
    <w:rsid w:val="00B03609"/>
    <w:rsid w:val="00BD3784"/>
    <w:rsid w:val="00C47FFB"/>
    <w:rsid w:val="00C753A8"/>
    <w:rsid w:val="00C77AE6"/>
    <w:rsid w:val="00C90AA5"/>
    <w:rsid w:val="00C9579B"/>
    <w:rsid w:val="00CA6C9C"/>
    <w:rsid w:val="00CB63C6"/>
    <w:rsid w:val="00D230F2"/>
    <w:rsid w:val="00D65EA7"/>
    <w:rsid w:val="00DB054B"/>
    <w:rsid w:val="00DB48CD"/>
    <w:rsid w:val="00DD7923"/>
    <w:rsid w:val="00E05D22"/>
    <w:rsid w:val="00E119C8"/>
    <w:rsid w:val="00E176F8"/>
    <w:rsid w:val="00EA02E8"/>
    <w:rsid w:val="00EC5EA1"/>
    <w:rsid w:val="00EE2D33"/>
    <w:rsid w:val="00F41895"/>
    <w:rsid w:val="00FA4AB9"/>
    <w:rsid w:val="00FB3DA8"/>
    <w:rsid w:val="00FB46D7"/>
    <w:rsid w:val="03702FA4"/>
    <w:rsid w:val="044F1892"/>
    <w:rsid w:val="062E7691"/>
    <w:rsid w:val="072A0D44"/>
    <w:rsid w:val="08816859"/>
    <w:rsid w:val="0A9E2A21"/>
    <w:rsid w:val="0B514550"/>
    <w:rsid w:val="0E172A24"/>
    <w:rsid w:val="11C374AB"/>
    <w:rsid w:val="14306397"/>
    <w:rsid w:val="14EC06C3"/>
    <w:rsid w:val="151614F8"/>
    <w:rsid w:val="160339B9"/>
    <w:rsid w:val="18D661A9"/>
    <w:rsid w:val="1AB27051"/>
    <w:rsid w:val="1B973D21"/>
    <w:rsid w:val="1BB276CC"/>
    <w:rsid w:val="21F46B90"/>
    <w:rsid w:val="2B6B3243"/>
    <w:rsid w:val="309C6C3A"/>
    <w:rsid w:val="388C4EC0"/>
    <w:rsid w:val="39754E22"/>
    <w:rsid w:val="3AE12937"/>
    <w:rsid w:val="3BA94CCD"/>
    <w:rsid w:val="3C5F08F8"/>
    <w:rsid w:val="439C1073"/>
    <w:rsid w:val="4F38200B"/>
    <w:rsid w:val="543E1C32"/>
    <w:rsid w:val="61327135"/>
    <w:rsid w:val="68C47EDE"/>
    <w:rsid w:val="796A38C5"/>
    <w:rsid w:val="7C8D57BA"/>
    <w:rsid w:val="7E5E71F3"/>
    <w:rsid w:val="7ECF059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nhideWhenUsed="0" w:uiPriority="0" w:semiHidden="0" w:name="heading 3" w:locked="1"/>
    <w:lsdException w:qFormat="1" w:unhideWhenUsed="0" w:uiPriority="0" w:semiHidden="0"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99"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qFormat="1" w:unhideWhenUsed="0" w:uiPriority="99"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nhideWhenUsed="0" w:uiPriority="0" w:semiHidden="0" w:name="HTML Preformatted"/>
    <w:lsdException w:qFormat="1" w:unhideWhenUsed="0" w:uiPriority="99"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3"/>
    <w:basedOn w:val="1"/>
    <w:next w:val="1"/>
    <w:qFormat/>
    <w:locked/>
    <w:uiPriority w:val="0"/>
    <w:pPr>
      <w:keepNext/>
      <w:keepLines/>
      <w:spacing w:before="260" w:after="260" w:line="416" w:lineRule="auto"/>
      <w:outlineLvl w:val="2"/>
    </w:pPr>
    <w:rPr>
      <w:rFonts w:ascii="Times New Roman" w:hAnsi="Times New Roman" w:eastAsia="黑体"/>
      <w:bCs/>
      <w:kern w:val="0"/>
      <w:sz w:val="28"/>
      <w:szCs w:val="32"/>
    </w:rPr>
  </w:style>
  <w:style w:type="paragraph" w:styleId="4">
    <w:name w:val="heading 4"/>
    <w:basedOn w:val="3"/>
    <w:next w:val="1"/>
    <w:qFormat/>
    <w:locked/>
    <w:uiPriority w:val="0"/>
    <w:pPr>
      <w:spacing w:line="415" w:lineRule="auto"/>
      <w:outlineLvl w:val="3"/>
    </w:pPr>
    <w:rPr>
      <w:rFonts w:ascii="宋体" w:hAnsi="宋体"/>
      <w:color w:val="000000"/>
    </w:rPr>
  </w:style>
  <w:style w:type="character" w:default="1" w:styleId="12">
    <w:name w:val="Default Paragraph Font"/>
    <w:semiHidden/>
    <w:qFormat/>
    <w:uiPriority w:val="99"/>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5">
    <w:name w:val="annotation text"/>
    <w:basedOn w:val="1"/>
    <w:link w:val="22"/>
    <w:semiHidden/>
    <w:qFormat/>
    <w:uiPriority w:val="99"/>
    <w:pPr>
      <w:jc w:val="left"/>
    </w:pPr>
  </w:style>
  <w:style w:type="paragraph" w:styleId="6">
    <w:name w:val="Balloon Text"/>
    <w:basedOn w:val="1"/>
    <w:link w:val="23"/>
    <w:semiHidden/>
    <w:qFormat/>
    <w:uiPriority w:val="99"/>
    <w:rPr>
      <w:sz w:val="18"/>
      <w:szCs w:val="18"/>
    </w:rPr>
  </w:style>
  <w:style w:type="paragraph" w:styleId="7">
    <w:name w:val="footer"/>
    <w:basedOn w:val="1"/>
    <w:link w:val="24"/>
    <w:qFormat/>
    <w:uiPriority w:val="99"/>
    <w:pPr>
      <w:tabs>
        <w:tab w:val="center" w:pos="4153"/>
        <w:tab w:val="right" w:pos="8306"/>
      </w:tabs>
      <w:snapToGrid w:val="0"/>
      <w:jc w:val="left"/>
    </w:pPr>
    <w:rPr>
      <w:sz w:val="18"/>
      <w:szCs w:val="18"/>
    </w:rPr>
  </w:style>
  <w:style w:type="paragraph" w:styleId="8">
    <w:name w:val="header"/>
    <w:basedOn w:val="1"/>
    <w:link w:val="25"/>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18"/>
    </w:rPr>
  </w:style>
  <w:style w:type="paragraph" w:styleId="9">
    <w:name w:val="Normal (Web)"/>
    <w:basedOn w:val="1"/>
    <w:qFormat/>
    <w:uiPriority w:val="99"/>
    <w:pPr>
      <w:jc w:val="left"/>
    </w:pPr>
    <w:rPr>
      <w:kern w:val="0"/>
      <w:sz w:val="24"/>
      <w:szCs w:val="24"/>
    </w:rPr>
  </w:style>
  <w:style w:type="paragraph" w:styleId="10">
    <w:name w:val="annotation subject"/>
    <w:basedOn w:val="5"/>
    <w:next w:val="5"/>
    <w:link w:val="26"/>
    <w:semiHidden/>
    <w:qFormat/>
    <w:uiPriority w:val="99"/>
    <w:rPr>
      <w:b/>
      <w:bCs/>
    </w:rPr>
  </w:style>
  <w:style w:type="character" w:styleId="13">
    <w:name w:val="Strong"/>
    <w:basedOn w:val="12"/>
    <w:qFormat/>
    <w:uiPriority w:val="99"/>
    <w:rPr>
      <w:b/>
      <w:bCs/>
    </w:rPr>
  </w:style>
  <w:style w:type="character" w:styleId="14">
    <w:name w:val="FollowedHyperlink"/>
    <w:basedOn w:val="12"/>
    <w:qFormat/>
    <w:uiPriority w:val="99"/>
    <w:rPr>
      <w:color w:val="auto"/>
      <w:u w:val="none"/>
    </w:rPr>
  </w:style>
  <w:style w:type="character" w:styleId="15">
    <w:name w:val="Emphasis"/>
    <w:basedOn w:val="12"/>
    <w:qFormat/>
    <w:uiPriority w:val="99"/>
  </w:style>
  <w:style w:type="character" w:styleId="16">
    <w:name w:val="HTML Definition"/>
    <w:basedOn w:val="12"/>
    <w:qFormat/>
    <w:uiPriority w:val="99"/>
    <w:rPr>
      <w:i/>
      <w:iCs/>
    </w:rPr>
  </w:style>
  <w:style w:type="character" w:styleId="17">
    <w:name w:val="Hyperlink"/>
    <w:basedOn w:val="12"/>
    <w:qFormat/>
    <w:uiPriority w:val="99"/>
    <w:rPr>
      <w:color w:val="auto"/>
      <w:u w:val="none"/>
    </w:rPr>
  </w:style>
  <w:style w:type="character" w:styleId="18">
    <w:name w:val="HTML Code"/>
    <w:basedOn w:val="12"/>
    <w:qFormat/>
    <w:uiPriority w:val="99"/>
    <w:rPr>
      <w:rFonts w:ascii="Consolas" w:hAnsi="Consolas" w:cs="Consolas"/>
      <w:color w:val="auto"/>
      <w:sz w:val="21"/>
      <w:szCs w:val="21"/>
      <w:shd w:val="clear" w:color="auto" w:fill="auto"/>
    </w:rPr>
  </w:style>
  <w:style w:type="character" w:styleId="19">
    <w:name w:val="annotation reference"/>
    <w:basedOn w:val="12"/>
    <w:semiHidden/>
    <w:qFormat/>
    <w:uiPriority w:val="99"/>
    <w:rPr>
      <w:sz w:val="21"/>
      <w:szCs w:val="21"/>
    </w:rPr>
  </w:style>
  <w:style w:type="character" w:styleId="20">
    <w:name w:val="HTML Keyboard"/>
    <w:basedOn w:val="12"/>
    <w:qFormat/>
    <w:uiPriority w:val="99"/>
    <w:rPr>
      <w:rFonts w:ascii="Consolas" w:hAnsi="Consolas" w:cs="Consolas"/>
      <w:color w:val="FFFFFF"/>
      <w:sz w:val="21"/>
      <w:szCs w:val="21"/>
      <w:shd w:val="clear" w:color="auto" w:fill="auto"/>
    </w:rPr>
  </w:style>
  <w:style w:type="character" w:styleId="21">
    <w:name w:val="HTML Sample"/>
    <w:basedOn w:val="12"/>
    <w:qFormat/>
    <w:uiPriority w:val="99"/>
    <w:rPr>
      <w:rFonts w:ascii="Consolas" w:hAnsi="Consolas" w:cs="Consolas"/>
      <w:sz w:val="21"/>
      <w:szCs w:val="21"/>
    </w:rPr>
  </w:style>
  <w:style w:type="character" w:customStyle="1" w:styleId="22">
    <w:name w:val="Comment Text Char"/>
    <w:basedOn w:val="12"/>
    <w:link w:val="5"/>
    <w:qFormat/>
    <w:locked/>
    <w:uiPriority w:val="99"/>
    <w:rPr>
      <w:rFonts w:ascii="Calibri" w:hAnsi="Calibri" w:eastAsia="宋体" w:cs="Calibri"/>
      <w:kern w:val="2"/>
      <w:sz w:val="24"/>
      <w:szCs w:val="24"/>
    </w:rPr>
  </w:style>
  <w:style w:type="character" w:customStyle="1" w:styleId="23">
    <w:name w:val="Balloon Text Char"/>
    <w:basedOn w:val="12"/>
    <w:link w:val="6"/>
    <w:qFormat/>
    <w:locked/>
    <w:uiPriority w:val="99"/>
    <w:rPr>
      <w:kern w:val="2"/>
      <w:sz w:val="18"/>
      <w:szCs w:val="18"/>
    </w:rPr>
  </w:style>
  <w:style w:type="character" w:customStyle="1" w:styleId="24">
    <w:name w:val="Footer Char"/>
    <w:basedOn w:val="12"/>
    <w:link w:val="7"/>
    <w:semiHidden/>
    <w:qFormat/>
    <w:locked/>
    <w:uiPriority w:val="99"/>
    <w:rPr>
      <w:rFonts w:ascii="Calibri" w:hAnsi="Calibri" w:cs="Calibri"/>
      <w:sz w:val="18"/>
      <w:szCs w:val="18"/>
    </w:rPr>
  </w:style>
  <w:style w:type="character" w:customStyle="1" w:styleId="25">
    <w:name w:val="Header Char"/>
    <w:basedOn w:val="12"/>
    <w:link w:val="8"/>
    <w:semiHidden/>
    <w:qFormat/>
    <w:locked/>
    <w:uiPriority w:val="99"/>
    <w:rPr>
      <w:rFonts w:ascii="Calibri" w:hAnsi="Calibri" w:cs="Calibri"/>
      <w:sz w:val="18"/>
      <w:szCs w:val="18"/>
    </w:rPr>
  </w:style>
  <w:style w:type="character" w:customStyle="1" w:styleId="26">
    <w:name w:val="Comment Subject Char"/>
    <w:basedOn w:val="22"/>
    <w:link w:val="10"/>
    <w:qFormat/>
    <w:locked/>
    <w:uiPriority w:val="99"/>
    <w:rPr>
      <w:b/>
      <w:bCs/>
    </w:rPr>
  </w:style>
  <w:style w:type="character" w:customStyle="1" w:styleId="27">
    <w:name w:val="font51"/>
    <w:basedOn w:val="12"/>
    <w:qFormat/>
    <w:uiPriority w:val="99"/>
    <w:rPr>
      <w:rFonts w:ascii="Calibri" w:hAnsi="Calibri" w:cs="Calibri"/>
      <w:color w:val="000000"/>
      <w:sz w:val="24"/>
      <w:szCs w:val="24"/>
      <w:u w:val="none"/>
    </w:rPr>
  </w:style>
  <w:style w:type="character" w:customStyle="1" w:styleId="28">
    <w:name w:val="font71"/>
    <w:basedOn w:val="12"/>
    <w:qFormat/>
    <w:uiPriority w:val="99"/>
    <w:rPr>
      <w:rFonts w:ascii="宋体" w:hAnsi="宋体" w:eastAsia="宋体" w:cs="宋体"/>
      <w:color w:val="000000"/>
      <w:sz w:val="24"/>
      <w:szCs w:val="24"/>
      <w:u w:val="none"/>
    </w:rPr>
  </w:style>
  <w:style w:type="character" w:customStyle="1" w:styleId="29">
    <w:name w:val="font112"/>
    <w:basedOn w:val="12"/>
    <w:qFormat/>
    <w:uiPriority w:val="99"/>
    <w:rPr>
      <w:rFonts w:ascii="Segoe UI Symbol" w:hAnsi="Segoe UI Symbol" w:cs="Segoe UI Symbol"/>
      <w:color w:val="000000"/>
      <w:sz w:val="24"/>
      <w:szCs w:val="24"/>
      <w:u w:val="none"/>
    </w:rPr>
  </w:style>
  <w:style w:type="character" w:customStyle="1" w:styleId="30">
    <w:name w:val="font81"/>
    <w:basedOn w:val="12"/>
    <w:qFormat/>
    <w:uiPriority w:val="99"/>
    <w:rPr>
      <w:rFonts w:ascii="Calibri" w:hAnsi="Calibri" w:cs="Calibri"/>
      <w:color w:val="000000"/>
      <w:sz w:val="24"/>
      <w:szCs w:val="24"/>
      <w:u w:val="none"/>
    </w:rPr>
  </w:style>
  <w:style w:type="character" w:customStyle="1" w:styleId="31">
    <w:name w:val="font121"/>
    <w:basedOn w:val="12"/>
    <w:qFormat/>
    <w:uiPriority w:val="99"/>
    <w:rPr>
      <w:rFonts w:ascii="宋体" w:hAnsi="宋体" w:eastAsia="宋体" w:cs="宋体"/>
      <w:color w:val="000000"/>
      <w:sz w:val="24"/>
      <w:szCs w:val="24"/>
      <w:u w:val="none"/>
    </w:rPr>
  </w:style>
  <w:style w:type="character" w:customStyle="1" w:styleId="32">
    <w:name w:val="font131"/>
    <w:basedOn w:val="12"/>
    <w:qFormat/>
    <w:uiPriority w:val="99"/>
    <w:rPr>
      <w:rFonts w:ascii="微软雅黑" w:hAnsi="微软雅黑" w:eastAsia="微软雅黑" w:cs="微软雅黑"/>
      <w:color w:val="000000"/>
      <w:sz w:val="24"/>
      <w:szCs w:val="24"/>
      <w:u w:val="none"/>
    </w:rPr>
  </w:style>
  <w:style w:type="character" w:customStyle="1" w:styleId="33">
    <w:name w:val="font141"/>
    <w:basedOn w:val="12"/>
    <w:qFormat/>
    <w:uiPriority w:val="99"/>
    <w:rPr>
      <w:rFonts w:ascii="等线" w:hAnsi="等线" w:eastAsia="等线" w:cs="等线"/>
      <w:color w:val="000000"/>
      <w:sz w:val="24"/>
      <w:szCs w:val="24"/>
      <w:u w:val="none"/>
    </w:rPr>
  </w:style>
  <w:style w:type="character" w:customStyle="1" w:styleId="34">
    <w:name w:val="font91"/>
    <w:basedOn w:val="12"/>
    <w:qFormat/>
    <w:uiPriority w:val="99"/>
    <w:rPr>
      <w:rFonts w:ascii="Calibri" w:hAnsi="Calibri" w:cs="Calibri"/>
      <w:color w:val="FF0000"/>
      <w:sz w:val="24"/>
      <w:szCs w:val="24"/>
      <w:u w:val="none"/>
    </w:rPr>
  </w:style>
  <w:style w:type="character" w:customStyle="1" w:styleId="35">
    <w:name w:val="font41"/>
    <w:basedOn w:val="12"/>
    <w:qFormat/>
    <w:uiPriority w:val="99"/>
    <w:rPr>
      <w:rFonts w:ascii="Calibri" w:hAnsi="Calibri" w:cs="Calibri"/>
      <w:color w:val="000000"/>
      <w:sz w:val="24"/>
      <w:szCs w:val="24"/>
      <w:u w:val="none"/>
    </w:rPr>
  </w:style>
  <w:style w:type="character" w:customStyle="1" w:styleId="36">
    <w:name w:val="main-news-y"/>
    <w:basedOn w:val="12"/>
    <w:qFormat/>
    <w:uiPriority w:val="99"/>
    <w:rPr>
      <w:sz w:val="18"/>
      <w:szCs w:val="18"/>
    </w:rPr>
  </w:style>
  <w:style w:type="character" w:customStyle="1" w:styleId="37">
    <w:name w:val="item-name"/>
    <w:basedOn w:val="12"/>
    <w:qFormat/>
    <w:uiPriority w:val="99"/>
  </w:style>
  <w:style w:type="character" w:customStyle="1" w:styleId="38">
    <w:name w:val="item-name1"/>
    <w:basedOn w:val="12"/>
    <w:qFormat/>
    <w:uiPriority w:val="99"/>
  </w:style>
  <w:style w:type="character" w:customStyle="1" w:styleId="39">
    <w:name w:val="pages"/>
    <w:basedOn w:val="12"/>
    <w:qFormat/>
    <w:uiPriority w:val="99"/>
  </w:style>
  <w:style w:type="character" w:customStyle="1" w:styleId="40">
    <w:name w:val="before2"/>
    <w:basedOn w:val="12"/>
    <w:qFormat/>
    <w:uiPriority w:val="99"/>
  </w:style>
  <w:style w:type="character" w:customStyle="1" w:styleId="41">
    <w:name w:val="main-news-m"/>
    <w:basedOn w:val="12"/>
    <w:qFormat/>
    <w:uiPriority w:val="99"/>
    <w:rPr>
      <w:sz w:val="24"/>
      <w:szCs w:val="24"/>
    </w:rPr>
  </w:style>
  <w:style w:type="character" w:customStyle="1" w:styleId="42">
    <w:name w:val="font21"/>
    <w:basedOn w:val="12"/>
    <w:qFormat/>
    <w:uiPriority w:val="99"/>
    <w:rPr>
      <w:rFonts w:ascii="宋体" w:hAnsi="宋体" w:eastAsia="宋体" w:cs="宋体"/>
      <w:b/>
      <w:bCs/>
      <w:color w:val="000000"/>
      <w:sz w:val="22"/>
      <w:szCs w:val="22"/>
      <w:u w:val="none"/>
    </w:rPr>
  </w:style>
  <w:style w:type="character" w:customStyle="1" w:styleId="43">
    <w:name w:val="font11"/>
    <w:basedOn w:val="12"/>
    <w:qFormat/>
    <w:uiPriority w:val="99"/>
    <w:rPr>
      <w:rFonts w:ascii="宋体" w:hAnsi="宋体" w:eastAsia="宋体" w:cs="宋体"/>
      <w:color w:val="000000"/>
      <w:sz w:val="22"/>
      <w:szCs w:val="22"/>
      <w:u w:val="none"/>
    </w:rPr>
  </w:style>
  <w:style w:type="character" w:customStyle="1" w:styleId="44">
    <w:name w:val="font61"/>
    <w:basedOn w:val="12"/>
    <w:qFormat/>
    <w:uiPriority w:val="99"/>
    <w:rPr>
      <w:rFonts w:ascii="宋体" w:hAnsi="宋体" w:eastAsia="宋体" w:cs="宋体"/>
      <w:color w:val="000000"/>
      <w:sz w:val="22"/>
      <w:szCs w:val="22"/>
      <w:u w:val="none"/>
    </w:rPr>
  </w:style>
  <w:style w:type="character" w:customStyle="1" w:styleId="45">
    <w:name w:val="font31"/>
    <w:basedOn w:val="12"/>
    <w:qFormat/>
    <w:uiPriority w:val="99"/>
    <w:rPr>
      <w:rFonts w:ascii="宋体" w:hAnsi="宋体" w:eastAsia="宋体" w:cs="宋体"/>
      <w:color w:val="000000"/>
      <w:sz w:val="22"/>
      <w:szCs w:val="22"/>
      <w:u w:val="none"/>
    </w:rPr>
  </w:style>
  <w:style w:type="paragraph" w:styleId="46">
    <w:name w:val="List Paragraph"/>
    <w:basedOn w:val="1"/>
    <w:qFormat/>
    <w:uiPriority w:val="99"/>
    <w:pPr>
      <w:ind w:firstLine="420" w:firstLineChars="200"/>
    </w:pPr>
  </w:style>
  <w:style w:type="paragraph" w:customStyle="1" w:styleId="47">
    <w:name w:val="Revision1"/>
    <w:hidden/>
    <w:semiHidden/>
    <w:qFormat/>
    <w:uiPriority w:val="99"/>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Lenovo</Company>
  <Pages>12</Pages>
  <Words>5501</Words>
  <Characters>5768</Characters>
  <Lines>0</Lines>
  <Paragraphs>0</Paragraphs>
  <TotalTime>1</TotalTime>
  <ScaleCrop>false</ScaleCrop>
  <LinksUpToDate>false</LinksUpToDate>
  <CharactersWithSpaces>5774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2023-04-04T03:59:00Z</dcterms:created>
  <dc:creator>阿地</dc:creator>
  <cp:lastModifiedBy>z浩</cp:lastModifiedBy>
  <cp:lastPrinted>2022-08-22T19:09:00Z</cp:lastPrinted>
  <dcterms:modified xsi:type="dcterms:W3CDTF">2023-05-05T07:57:16Z</dcterms:modified>
  <dc:title>暨南大学番禺校区二期工程</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B1E20FEF596741E8A7487457BA527402_13</vt:lpwstr>
  </property>
</Properties>
</file>