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360" w:lineRule="auto"/>
        <w:jc w:val="center"/>
        <w:rPr>
          <w:rFonts w:hint="eastAsia" w:eastAsia="宋体" w:cs="宋体"/>
          <w:b/>
          <w:sz w:val="28"/>
          <w:szCs w:val="32"/>
        </w:rPr>
      </w:pPr>
      <w:r>
        <w:rPr>
          <w:rFonts w:hint="eastAsia" w:eastAsia="宋体" w:cs="宋体"/>
          <w:b/>
          <w:sz w:val="28"/>
          <w:szCs w:val="32"/>
        </w:rPr>
        <w:t>广州市净水有限公司江高净水厂物联感知设备升级改造项目</w:t>
      </w:r>
    </w:p>
    <w:p>
      <w:pPr>
        <w:pStyle w:val="5"/>
        <w:spacing w:line="360" w:lineRule="auto"/>
        <w:jc w:val="center"/>
        <w:rPr>
          <w:rFonts w:hint="eastAsia" w:eastAsia="宋体" w:cs="宋体"/>
          <w:b/>
          <w:sz w:val="28"/>
          <w:szCs w:val="32"/>
          <w:u w:val="none"/>
        </w:rPr>
      </w:pPr>
      <w:r>
        <w:rPr>
          <w:rFonts w:hint="eastAsia" w:eastAsia="宋体" w:cs="宋体"/>
          <w:b/>
          <w:sz w:val="28"/>
          <w:szCs w:val="32"/>
          <w:u w:val="none"/>
        </w:rPr>
        <w:t>招标公告</w:t>
      </w:r>
    </w:p>
    <w:p>
      <w:pPr>
        <w:pStyle w:val="9"/>
        <w:numPr>
          <w:ilvl w:val="0"/>
          <w:numId w:val="1"/>
        </w:numPr>
        <w:spacing w:line="312" w:lineRule="auto"/>
        <w:ind w:firstLineChars="0"/>
        <w:rPr>
          <w:rFonts w:hint="eastAsia" w:ascii="宋体" w:hAnsi="宋体" w:cs="宋体"/>
          <w:b/>
          <w:sz w:val="24"/>
          <w:szCs w:val="24"/>
        </w:rPr>
      </w:pPr>
      <w:bookmarkStart w:id="0" w:name="_Toc221949923"/>
      <w:r>
        <w:rPr>
          <w:rFonts w:hint="eastAsia" w:ascii="宋体" w:hAnsi="宋体" w:cs="宋体"/>
          <w:b/>
          <w:sz w:val="24"/>
          <w:szCs w:val="24"/>
        </w:rPr>
        <w:t>招标条件</w:t>
      </w:r>
    </w:p>
    <w:p>
      <w:pPr>
        <w:spacing w:line="312" w:lineRule="auto"/>
        <w:ind w:firstLine="540" w:firstLineChars="225"/>
        <w:rPr>
          <w:rFonts w:hint="eastAsia" w:ascii="宋体" w:hAnsi="宋体" w:cs="宋体"/>
          <w:sz w:val="24"/>
          <w:szCs w:val="24"/>
        </w:rPr>
      </w:pPr>
      <w:r>
        <w:rPr>
          <w:rFonts w:hint="eastAsia" w:ascii="宋体" w:hAnsi="宋体" w:cs="宋体"/>
          <w:sz w:val="24"/>
          <w:szCs w:val="24"/>
        </w:rPr>
        <w:t>本招标项目</w:t>
      </w:r>
      <w:r>
        <w:rPr>
          <w:rFonts w:hint="eastAsia" w:ascii="宋体" w:hAnsi="宋体" w:cs="宋体"/>
          <w:sz w:val="24"/>
          <w:szCs w:val="24"/>
          <w:u w:val="single"/>
        </w:rPr>
        <w:t>广州市净水有限公司江高净水厂物联感知设备升级改造项目</w:t>
      </w:r>
      <w:r>
        <w:rPr>
          <w:rFonts w:hint="eastAsia" w:ascii="宋体" w:hAnsi="宋体" w:cs="宋体"/>
          <w:sz w:val="24"/>
          <w:szCs w:val="24"/>
        </w:rPr>
        <w:t>，项目业主为</w:t>
      </w:r>
      <w:r>
        <w:rPr>
          <w:rFonts w:hint="eastAsia" w:ascii="宋体" w:hAnsi="宋体" w:cs="宋体"/>
          <w:sz w:val="24"/>
          <w:szCs w:val="24"/>
          <w:u w:val="single"/>
        </w:rPr>
        <w:t>广州市净水有限公司</w:t>
      </w:r>
      <w:r>
        <w:rPr>
          <w:rFonts w:hint="eastAsia" w:ascii="宋体" w:hAnsi="宋体" w:cs="宋体"/>
          <w:sz w:val="24"/>
          <w:szCs w:val="24"/>
        </w:rPr>
        <w:t>，建设资金来自</w:t>
      </w:r>
      <w:r>
        <w:rPr>
          <w:rFonts w:hint="eastAsia" w:ascii="宋体" w:hAnsi="宋体" w:cs="宋体"/>
          <w:sz w:val="24"/>
          <w:szCs w:val="24"/>
          <w:u w:val="single"/>
        </w:rPr>
        <w:t>企业自筹资金</w:t>
      </w:r>
      <w:r>
        <w:rPr>
          <w:rFonts w:hint="eastAsia" w:ascii="宋体" w:hAnsi="宋体" w:cs="宋体"/>
          <w:sz w:val="24"/>
          <w:szCs w:val="24"/>
        </w:rPr>
        <w:t>，项目出资比例为</w:t>
      </w:r>
      <w:r>
        <w:rPr>
          <w:rFonts w:hint="eastAsia" w:ascii="宋体" w:hAnsi="宋体" w:cs="宋体"/>
          <w:sz w:val="24"/>
          <w:szCs w:val="24"/>
          <w:u w:val="single"/>
        </w:rPr>
        <w:t>100%</w:t>
      </w:r>
      <w:r>
        <w:rPr>
          <w:rFonts w:hint="eastAsia" w:ascii="宋体" w:hAnsi="宋体" w:cs="宋体"/>
          <w:sz w:val="24"/>
          <w:szCs w:val="24"/>
        </w:rPr>
        <w:t>, 招标人为</w:t>
      </w:r>
      <w:r>
        <w:rPr>
          <w:rFonts w:hint="eastAsia" w:ascii="宋体" w:hAnsi="宋体" w:cs="宋体"/>
          <w:sz w:val="24"/>
          <w:szCs w:val="24"/>
          <w:u w:val="single"/>
        </w:rPr>
        <w:t>广州市净水有限公司</w:t>
      </w:r>
      <w:r>
        <w:rPr>
          <w:rFonts w:hint="eastAsia" w:ascii="宋体" w:hAnsi="宋体" w:cs="宋体"/>
          <w:sz w:val="24"/>
          <w:szCs w:val="24"/>
        </w:rPr>
        <w:t>。项目已具备招标条件，现对该项目进行公开招标。</w:t>
      </w:r>
      <w:bookmarkEnd w:id="0"/>
    </w:p>
    <w:p>
      <w:pPr>
        <w:spacing w:line="312" w:lineRule="auto"/>
        <w:ind w:firstLine="542" w:firstLineChars="225"/>
        <w:rPr>
          <w:rFonts w:hint="eastAsia" w:ascii="宋体" w:hAnsi="宋体" w:cs="宋体"/>
          <w:b/>
          <w:sz w:val="24"/>
          <w:szCs w:val="24"/>
        </w:rPr>
      </w:pPr>
      <w:bookmarkStart w:id="1" w:name="_Toc221949924"/>
      <w:bookmarkStart w:id="2" w:name="_Toc168475627"/>
      <w:bookmarkStart w:id="3" w:name="_Toc222033815"/>
      <w:bookmarkStart w:id="4" w:name="_Toc144974481"/>
      <w:bookmarkStart w:id="5" w:name="_Toc168476030"/>
      <w:bookmarkStart w:id="6" w:name="_Toc222029464"/>
      <w:bookmarkStart w:id="7" w:name="_Toc222032633"/>
      <w:bookmarkStart w:id="8" w:name="_Toc222030966"/>
      <w:bookmarkStart w:id="9" w:name="_Toc259524297"/>
      <w:bookmarkStart w:id="10" w:name="_Toc229305324"/>
      <w:r>
        <w:rPr>
          <w:rFonts w:hint="eastAsia" w:ascii="宋体" w:hAnsi="宋体" w:cs="宋体"/>
          <w:b/>
          <w:sz w:val="24"/>
          <w:szCs w:val="24"/>
        </w:rPr>
        <w:t>2. 项目概况与招标范围</w:t>
      </w:r>
      <w:bookmarkEnd w:id="1"/>
      <w:bookmarkEnd w:id="2"/>
      <w:bookmarkEnd w:id="3"/>
      <w:bookmarkEnd w:id="4"/>
      <w:bookmarkEnd w:id="5"/>
      <w:bookmarkEnd w:id="6"/>
      <w:bookmarkEnd w:id="7"/>
      <w:bookmarkEnd w:id="8"/>
      <w:bookmarkEnd w:id="9"/>
      <w:bookmarkEnd w:id="10"/>
    </w:p>
    <w:p>
      <w:pPr>
        <w:spacing w:line="312" w:lineRule="auto"/>
        <w:ind w:firstLine="540" w:firstLineChars="225"/>
        <w:rPr>
          <w:rFonts w:hint="eastAsia" w:ascii="宋体" w:hAnsi="宋体" w:cs="宋体"/>
          <w:sz w:val="24"/>
          <w:szCs w:val="24"/>
        </w:rPr>
      </w:pPr>
      <w:r>
        <w:rPr>
          <w:rFonts w:hint="eastAsia" w:ascii="宋体" w:hAnsi="宋体" w:cs="宋体"/>
          <w:sz w:val="24"/>
          <w:szCs w:val="24"/>
        </w:rPr>
        <w:t>2.1建设地点：广州市。</w:t>
      </w:r>
    </w:p>
    <w:p>
      <w:pPr>
        <w:spacing w:line="312" w:lineRule="auto"/>
        <w:ind w:firstLine="540" w:firstLineChars="225"/>
        <w:rPr>
          <w:rFonts w:hint="eastAsia" w:ascii="宋体" w:hAnsi="宋体" w:cs="宋体"/>
          <w:sz w:val="24"/>
          <w:szCs w:val="24"/>
        </w:rPr>
      </w:pPr>
      <w:r>
        <w:rPr>
          <w:rFonts w:hint="eastAsia" w:ascii="宋体" w:hAnsi="宋体" w:cs="宋体"/>
          <w:sz w:val="24"/>
          <w:szCs w:val="24"/>
        </w:rPr>
        <w:t>2.2项目规模：广州市净水有限公司江高净水厂工艺仪表设备新增改造、生产区域安防监控新增改造及配套设备安装和软件调试。</w:t>
      </w:r>
    </w:p>
    <w:p>
      <w:pPr>
        <w:spacing w:line="312" w:lineRule="auto"/>
        <w:ind w:firstLine="540" w:firstLineChars="225"/>
        <w:rPr>
          <w:rFonts w:hint="eastAsia" w:ascii="宋体" w:hAnsi="宋体" w:cs="宋体"/>
          <w:b/>
          <w:bCs/>
          <w:sz w:val="24"/>
          <w:szCs w:val="24"/>
        </w:rPr>
      </w:pPr>
      <w:r>
        <w:rPr>
          <w:rFonts w:hint="eastAsia" w:ascii="宋体" w:hAnsi="宋体" w:cs="宋体"/>
          <w:sz w:val="24"/>
          <w:szCs w:val="24"/>
        </w:rPr>
        <w:t>2.3本次最高投标限价（招标控制价）：</w:t>
      </w:r>
      <w:r>
        <w:rPr>
          <w:rFonts w:hint="eastAsia" w:ascii="宋体" w:hAnsi="宋体" w:cs="宋体"/>
          <w:sz w:val="24"/>
          <w:szCs w:val="24"/>
          <w:u w:val="single"/>
        </w:rPr>
        <w:t>8032716.81</w:t>
      </w:r>
      <w:r>
        <w:rPr>
          <w:rFonts w:hint="eastAsia" w:ascii="宋体" w:hAnsi="宋体" w:cs="宋体"/>
          <w:b/>
          <w:bCs/>
          <w:sz w:val="24"/>
          <w:szCs w:val="24"/>
        </w:rPr>
        <w:t>元。</w:t>
      </w:r>
    </w:p>
    <w:p>
      <w:pPr>
        <w:adjustRightInd w:val="0"/>
        <w:spacing w:line="312" w:lineRule="auto"/>
        <w:ind w:firstLine="482" w:firstLineChars="200"/>
        <w:rPr>
          <w:rFonts w:hint="eastAsia" w:ascii="宋体" w:hAnsi="宋体" w:cs="宋体"/>
          <w:sz w:val="24"/>
          <w:szCs w:val="24"/>
        </w:rPr>
      </w:pPr>
      <w:r>
        <w:rPr>
          <w:rFonts w:hint="eastAsia" w:ascii="宋体" w:hAnsi="宋体" w:cs="宋体"/>
          <w:b/>
          <w:sz w:val="24"/>
          <w:szCs w:val="24"/>
        </w:rPr>
        <w:t>注:投标人的投标总报价高于最高投标限价的，则其投标将被拒绝（具体详见最高投标限价公布函）。</w:t>
      </w:r>
    </w:p>
    <w:p>
      <w:pPr>
        <w:spacing w:line="312" w:lineRule="auto"/>
        <w:ind w:firstLine="540" w:firstLineChars="225"/>
        <w:rPr>
          <w:rFonts w:hint="eastAsia" w:ascii="宋体" w:hAnsi="宋体" w:cs="宋体"/>
          <w:sz w:val="24"/>
          <w:szCs w:val="24"/>
        </w:rPr>
      </w:pPr>
      <w:r>
        <w:rPr>
          <w:rFonts w:hint="eastAsia" w:ascii="宋体" w:hAnsi="宋体" w:cs="宋体"/>
          <w:sz w:val="24"/>
          <w:szCs w:val="24"/>
        </w:rPr>
        <w:t>2.4工期：合同现场施工工期8个月(不包含系统测试期)，6个月内完成所有硬件的安装，剩余2个月内完成系统部署，在系统测试连续稳定运行不少于1个月，达到验收标准后，组织竣工验收。</w:t>
      </w:r>
    </w:p>
    <w:p>
      <w:pPr>
        <w:spacing w:line="312" w:lineRule="auto"/>
        <w:ind w:firstLine="540" w:firstLineChars="225"/>
        <w:rPr>
          <w:rFonts w:hint="eastAsia" w:ascii="宋体" w:hAnsi="宋体" w:cs="宋体"/>
          <w:sz w:val="24"/>
          <w:szCs w:val="24"/>
        </w:rPr>
      </w:pPr>
      <w:r>
        <w:rPr>
          <w:rFonts w:hint="eastAsia" w:ascii="宋体" w:hAnsi="宋体" w:cs="宋体"/>
          <w:sz w:val="24"/>
          <w:szCs w:val="24"/>
        </w:rPr>
        <w:t>2.5招标内容：包括2部分：工艺仪表设备新增改造、生产区域安防监控新增改造。具体内容详见《技术需求书》。</w:t>
      </w:r>
    </w:p>
    <w:p>
      <w:pPr>
        <w:spacing w:line="312" w:lineRule="auto"/>
        <w:ind w:firstLine="540" w:firstLineChars="225"/>
        <w:rPr>
          <w:rFonts w:hint="eastAsia" w:ascii="宋体" w:hAnsi="宋体" w:cs="宋体"/>
          <w:sz w:val="24"/>
          <w:szCs w:val="24"/>
        </w:rPr>
      </w:pPr>
      <w:r>
        <w:rPr>
          <w:rFonts w:hint="eastAsia" w:ascii="宋体" w:hAnsi="宋体" w:cs="宋体"/>
          <w:sz w:val="24"/>
          <w:szCs w:val="24"/>
        </w:rPr>
        <w:t>2.6标段划分：本项目为1个标段。</w:t>
      </w:r>
    </w:p>
    <w:p>
      <w:pPr>
        <w:spacing w:line="312" w:lineRule="auto"/>
        <w:ind w:firstLine="540" w:firstLineChars="225"/>
        <w:rPr>
          <w:rFonts w:hint="eastAsia" w:ascii="宋体" w:hAnsi="宋体" w:cs="宋体"/>
          <w:sz w:val="24"/>
          <w:szCs w:val="24"/>
        </w:rPr>
      </w:pPr>
      <w:r>
        <w:rPr>
          <w:rFonts w:hint="eastAsia" w:ascii="宋体" w:hAnsi="宋体" w:cs="宋体"/>
          <w:sz w:val="24"/>
          <w:szCs w:val="24"/>
        </w:rPr>
        <w:t>2.7承包方式：综合单价包干。</w:t>
      </w:r>
    </w:p>
    <w:p>
      <w:pPr>
        <w:pStyle w:val="10"/>
        <w:widowControl w:val="0"/>
        <w:spacing w:before="0" w:after="0" w:line="312" w:lineRule="auto"/>
        <w:ind w:firstLine="540"/>
        <w:rPr>
          <w:rFonts w:hint="eastAsia"/>
          <w:sz w:val="21"/>
          <w:szCs w:val="21"/>
        </w:rPr>
      </w:pPr>
      <w:bookmarkStart w:id="11" w:name="_Toc259524298"/>
      <w:bookmarkStart w:id="12" w:name="_Toc168476031"/>
      <w:bookmarkStart w:id="13" w:name="_Toc144974482"/>
      <w:bookmarkStart w:id="14" w:name="_Toc221949926"/>
      <w:bookmarkStart w:id="15" w:name="_Toc222029465"/>
      <w:bookmarkStart w:id="16" w:name="_Toc222030967"/>
      <w:bookmarkStart w:id="17" w:name="_Toc222033816"/>
      <w:bookmarkStart w:id="18" w:name="_Toc229305325"/>
      <w:bookmarkStart w:id="19" w:name="_Toc222032634"/>
      <w:bookmarkStart w:id="20" w:name="_Toc168475628"/>
      <w:r>
        <w:rPr>
          <w:rFonts w:hint="eastAsia"/>
          <w:b/>
        </w:rPr>
        <w:t>3. 投标人资格要求</w:t>
      </w:r>
      <w:bookmarkEnd w:id="11"/>
      <w:bookmarkEnd w:id="12"/>
      <w:bookmarkEnd w:id="13"/>
      <w:bookmarkEnd w:id="14"/>
      <w:bookmarkEnd w:id="15"/>
      <w:bookmarkEnd w:id="16"/>
      <w:bookmarkEnd w:id="17"/>
      <w:bookmarkEnd w:id="18"/>
      <w:bookmarkEnd w:id="19"/>
      <w:bookmarkEnd w:id="20"/>
    </w:p>
    <w:p>
      <w:pPr>
        <w:spacing w:line="312" w:lineRule="auto"/>
        <w:ind w:firstLine="566" w:firstLineChars="236"/>
        <w:rPr>
          <w:rFonts w:hint="eastAsia" w:ascii="宋体" w:hAnsi="宋体" w:cs="宋体"/>
          <w:bCs/>
          <w:sz w:val="24"/>
          <w:szCs w:val="24"/>
        </w:rPr>
      </w:pPr>
      <w:r>
        <w:rPr>
          <w:rFonts w:hint="eastAsia" w:ascii="宋体" w:hAnsi="宋体" w:cs="宋体"/>
          <w:sz w:val="24"/>
          <w:szCs w:val="24"/>
        </w:rPr>
        <w:t>3.1</w:t>
      </w:r>
      <w:r>
        <w:rPr>
          <w:rFonts w:hint="eastAsia" w:ascii="宋体" w:hAnsi="宋体" w:cs="宋体"/>
          <w:bCs/>
          <w:sz w:val="24"/>
          <w:szCs w:val="24"/>
        </w:rPr>
        <w:t>投标人应具备承担本项目施工的资质条件、能力和信誉。</w:t>
      </w:r>
    </w:p>
    <w:p>
      <w:pPr>
        <w:pStyle w:val="10"/>
        <w:widowControl w:val="0"/>
        <w:spacing w:before="0" w:after="0" w:line="312" w:lineRule="auto"/>
        <w:ind w:firstLine="567"/>
        <w:jc w:val="both"/>
        <w:rPr>
          <w:rFonts w:hint="eastAsia"/>
        </w:rPr>
      </w:pPr>
      <w:r>
        <w:rPr>
          <w:rFonts w:hint="eastAsia"/>
        </w:rPr>
        <w:t>3.1.1</w:t>
      </w:r>
      <w:r>
        <w:rPr>
          <w:rFonts w:hint="eastAsia"/>
          <w:bCs/>
        </w:rPr>
        <w:t>投标人</w:t>
      </w:r>
      <w:r>
        <w:rPr>
          <w:rFonts w:hint="eastAsia"/>
        </w:rPr>
        <w:t>具有独立法人资格，需提供营业执照（营业执照处于有效期）。</w:t>
      </w:r>
    </w:p>
    <w:p>
      <w:pPr>
        <w:pStyle w:val="10"/>
        <w:widowControl w:val="0"/>
        <w:spacing w:before="0" w:after="0" w:line="312" w:lineRule="auto"/>
        <w:ind w:firstLine="567"/>
        <w:jc w:val="both"/>
        <w:rPr>
          <w:rFonts w:hint="eastAsia"/>
        </w:rPr>
      </w:pPr>
      <w:r>
        <w:rPr>
          <w:rFonts w:hint="eastAsia"/>
        </w:rPr>
        <w:t>3.1.2具有承接本工程所需的电子与智能化工程专业承包二级（或以上级别）资质。</w:t>
      </w:r>
    </w:p>
    <w:p>
      <w:pPr>
        <w:pStyle w:val="10"/>
        <w:widowControl w:val="0"/>
        <w:spacing w:before="0" w:after="0" w:line="312" w:lineRule="auto"/>
        <w:ind w:firstLine="567"/>
        <w:jc w:val="both"/>
        <w:rPr>
          <w:rFonts w:hint="eastAsia"/>
        </w:rPr>
      </w:pPr>
      <w:r>
        <w:rPr>
          <w:rFonts w:hint="eastAsia"/>
        </w:rPr>
        <w:t>3.1.3投标人需具有有效的建设行政主管部门颁发的安全生产许可证。</w:t>
      </w:r>
    </w:p>
    <w:p>
      <w:pPr>
        <w:pStyle w:val="10"/>
        <w:widowControl w:val="0"/>
        <w:spacing w:before="0" w:after="0" w:line="312" w:lineRule="auto"/>
        <w:ind w:firstLine="567"/>
        <w:jc w:val="both"/>
        <w:rPr>
          <w:rFonts w:hint="eastAsia"/>
        </w:rPr>
      </w:pPr>
      <w:r>
        <w:rPr>
          <w:rFonts w:hint="eastAsia"/>
        </w:rPr>
        <w:t>3.1.4投标人拟担任本工程的项目负责人须具有机电工程专业二级（或以上级别）的注册建造师，为投标申请人本企业信息登记中的在册人员。同时持有安全培训考核合格证（B类）或建筑施工企业项目负责人安全生产考核合格证书。</w:t>
      </w:r>
    </w:p>
    <w:p>
      <w:pPr>
        <w:spacing w:line="312" w:lineRule="auto"/>
        <w:ind w:firstLine="480" w:firstLineChars="200"/>
        <w:rPr>
          <w:rFonts w:hint="eastAsia" w:ascii="宋体" w:hAnsi="宋体" w:cs="宋体"/>
          <w:kern w:val="0"/>
          <w:sz w:val="24"/>
          <w:szCs w:val="24"/>
        </w:rPr>
      </w:pPr>
      <w:r>
        <w:rPr>
          <w:rFonts w:hint="eastAsia" w:ascii="宋体" w:hAnsi="宋体" w:cs="宋体"/>
          <w:kern w:val="0"/>
          <w:sz w:val="24"/>
          <w:szCs w:val="24"/>
        </w:rPr>
        <w:t>注：①根据广东省住建厅《关于明确二级建造师注册执业有关问题的通知》（粤建市函[2023]469号），二级建造师应在考试取得执业资格的省、自治区、直辖市申请注册，二级注册建造师可随注册企业在全国范围内执业（注册建造师电子证书须由本人在个人签名处手写签名，未手写签名或与签名图像笔迹不一致的，电子证书无效）。</w:t>
      </w:r>
    </w:p>
    <w:p>
      <w:pPr>
        <w:spacing w:line="312" w:lineRule="auto"/>
        <w:ind w:firstLine="480" w:firstLineChars="200"/>
        <w:rPr>
          <w:rFonts w:hint="eastAsia" w:ascii="宋体" w:hAnsi="宋体" w:cs="宋体"/>
          <w:kern w:val="0"/>
          <w:sz w:val="24"/>
          <w:szCs w:val="24"/>
        </w:rPr>
      </w:pPr>
      <w:r>
        <w:rPr>
          <w:rFonts w:hint="eastAsia" w:ascii="宋体" w:hAnsi="宋体" w:cs="宋体"/>
          <w:kern w:val="0"/>
          <w:sz w:val="24"/>
          <w:szCs w:val="24"/>
        </w:rPr>
        <w:t>②项目负责人在任职期间不得担任专职安全员，项目专职安全员在任职期间也不得担任项目负责人，项目负责人和安全员不为同一人。</w:t>
      </w:r>
    </w:p>
    <w:p>
      <w:pPr>
        <w:spacing w:line="312" w:lineRule="auto"/>
        <w:ind w:firstLine="480" w:firstLineChars="200"/>
        <w:rPr>
          <w:rFonts w:hint="eastAsia" w:ascii="宋体" w:hAnsi="宋体" w:cs="宋体"/>
          <w:kern w:val="0"/>
          <w:sz w:val="24"/>
          <w:szCs w:val="24"/>
        </w:rPr>
      </w:pPr>
      <w:r>
        <w:rPr>
          <w:rFonts w:hint="eastAsia" w:ascii="宋体" w:hAnsi="宋体" w:cs="宋体"/>
          <w:kern w:val="0"/>
          <w:sz w:val="24"/>
          <w:szCs w:val="24"/>
        </w:rPr>
        <w:t>③资质内容按照建市[2014]159号文颁布的《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和《广东省住房和城乡建设厅关于建设工程企业资质有关事宜的通知》（粤建许函〔2022〕846号）的要求设置。</w:t>
      </w:r>
    </w:p>
    <w:p>
      <w:pPr>
        <w:pStyle w:val="10"/>
        <w:widowControl w:val="0"/>
        <w:spacing w:before="0" w:after="0" w:line="312" w:lineRule="auto"/>
        <w:ind w:firstLine="540"/>
        <w:rPr>
          <w:rFonts w:hint="eastAsia"/>
        </w:rPr>
      </w:pPr>
      <w:r>
        <w:rPr>
          <w:rFonts w:hint="eastAsia"/>
        </w:rPr>
        <w:t>④投标人拟派的项目负责人应未被广州交易集团有限公司（广州公共资源交易中心）锁定，投标人办理网上投标登记时，拟派项目负责人将被锁定。若在评标时发现该项目负责人已被其他项目锁定，则投标人将不可被推荐为中标候选人。项目负责人的解锁和更换按《广州市水务工程建设项目负责人更换与解锁办事指引》办理。</w:t>
      </w:r>
    </w:p>
    <w:p>
      <w:pPr>
        <w:pStyle w:val="10"/>
        <w:widowControl w:val="0"/>
        <w:spacing w:before="0" w:after="0" w:line="312" w:lineRule="auto"/>
        <w:ind w:firstLine="540"/>
        <w:rPr>
          <w:rFonts w:hint="eastAsia"/>
        </w:rPr>
      </w:pPr>
      <w:r>
        <w:rPr>
          <w:rFonts w:hint="eastAsia"/>
        </w:rPr>
        <w:t>3.1.5专职安全员须具有有效的建设行政主管部门颁发的安全生产考核合格证（C类）或建筑施工企业专职安全生产管理人员安全生产考核合格证书（C3类），专职安全员和项目负责人不得为同一人。</w:t>
      </w:r>
    </w:p>
    <w:p>
      <w:pPr>
        <w:pStyle w:val="10"/>
        <w:widowControl w:val="0"/>
        <w:spacing w:before="0" w:after="0" w:line="312" w:lineRule="auto"/>
        <w:ind w:firstLine="540"/>
        <w:rPr>
          <w:rFonts w:hint="eastAsia"/>
        </w:rPr>
      </w:pPr>
      <w:r>
        <w:rPr>
          <w:rFonts w:hint="eastAsia"/>
        </w:rPr>
        <w:t>3.1.6投标申请人须保证授权的委托代理人及项目部主要组成人员（项目负责人、专职安全员）均为本单位的正式职工，必须具有离投标截止时间最近三个月（时间为：2023年5月-7月）在本单位交纳的社保证明文件（以加盖社会保险基金管理中心印章的《投保单》或《社会保险参保人员证明》资料为准）。</w:t>
      </w:r>
    </w:p>
    <w:p>
      <w:pPr>
        <w:spacing w:line="312"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3.1.7投标人不得存在下列情形之一（投标人按招标文件规定格式提供《投标人声明》，除非另有要求，不需要在投标文件中提供证明材料）：</w:t>
      </w:r>
    </w:p>
    <w:p>
      <w:pPr>
        <w:spacing w:line="312" w:lineRule="auto"/>
        <w:ind w:firstLine="480" w:firstLineChars="200"/>
        <w:rPr>
          <w:rFonts w:hint="eastAsia" w:ascii="宋体" w:hAnsi="宋体" w:cs="宋体"/>
          <w:kern w:val="0"/>
          <w:sz w:val="24"/>
          <w:szCs w:val="24"/>
        </w:rPr>
      </w:pPr>
      <w:r>
        <w:rPr>
          <w:rFonts w:hint="eastAsia" w:ascii="宋体" w:hAnsi="宋体" w:cs="宋体"/>
          <w:kern w:val="0"/>
          <w:sz w:val="24"/>
          <w:szCs w:val="24"/>
        </w:rPr>
        <w:t>（1）为招标人不具有独立法人资格的附属机构（单位）；</w:t>
      </w:r>
    </w:p>
    <w:p>
      <w:pPr>
        <w:spacing w:line="312" w:lineRule="auto"/>
        <w:ind w:firstLine="480" w:firstLineChars="200"/>
        <w:rPr>
          <w:rFonts w:hint="eastAsia" w:ascii="宋体" w:hAnsi="宋体" w:cs="宋体"/>
          <w:kern w:val="0"/>
          <w:sz w:val="24"/>
          <w:szCs w:val="24"/>
        </w:rPr>
      </w:pPr>
      <w:r>
        <w:rPr>
          <w:rFonts w:hint="eastAsia" w:ascii="宋体" w:hAnsi="宋体" w:cs="宋体"/>
          <w:kern w:val="0"/>
          <w:sz w:val="24"/>
          <w:szCs w:val="24"/>
        </w:rPr>
        <w:t>（2）为本标段前期准备提供设计或咨询服务或者与本项目设计人或提供咨询服务的机构存在附属关系的；</w:t>
      </w:r>
    </w:p>
    <w:p>
      <w:pPr>
        <w:spacing w:line="312" w:lineRule="auto"/>
        <w:ind w:firstLine="480" w:firstLineChars="200"/>
        <w:rPr>
          <w:rFonts w:hint="eastAsia" w:ascii="宋体" w:hAnsi="宋体" w:cs="宋体"/>
          <w:kern w:val="0"/>
          <w:sz w:val="24"/>
          <w:szCs w:val="24"/>
        </w:rPr>
      </w:pPr>
      <w:r>
        <w:rPr>
          <w:rFonts w:hint="eastAsia" w:ascii="宋体" w:hAnsi="宋体" w:cs="宋体"/>
          <w:kern w:val="0"/>
          <w:sz w:val="24"/>
          <w:szCs w:val="24"/>
        </w:rPr>
        <w:t>（3）为本标段监理人或者与本标段监理人存在隶属关系或者其他利害关系；</w:t>
      </w:r>
    </w:p>
    <w:p>
      <w:pPr>
        <w:spacing w:line="312" w:lineRule="auto"/>
        <w:ind w:firstLine="480" w:firstLineChars="200"/>
        <w:rPr>
          <w:rFonts w:hint="eastAsia" w:ascii="宋体" w:hAnsi="宋体" w:cs="宋体"/>
          <w:kern w:val="0"/>
          <w:sz w:val="24"/>
          <w:szCs w:val="24"/>
        </w:rPr>
      </w:pPr>
      <w:r>
        <w:rPr>
          <w:rFonts w:hint="eastAsia" w:ascii="宋体" w:hAnsi="宋体" w:cs="宋体"/>
          <w:kern w:val="0"/>
          <w:sz w:val="24"/>
          <w:szCs w:val="24"/>
        </w:rPr>
        <w:t>（4）为本标段的代建人；</w:t>
      </w:r>
    </w:p>
    <w:p>
      <w:pPr>
        <w:spacing w:line="312" w:lineRule="auto"/>
        <w:ind w:firstLine="480" w:firstLineChars="200"/>
        <w:rPr>
          <w:rFonts w:hint="eastAsia" w:ascii="宋体" w:hAnsi="宋体" w:cs="宋体"/>
          <w:kern w:val="0"/>
          <w:sz w:val="24"/>
          <w:szCs w:val="24"/>
        </w:rPr>
      </w:pPr>
      <w:r>
        <w:rPr>
          <w:rFonts w:hint="eastAsia" w:ascii="宋体" w:hAnsi="宋体" w:cs="宋体"/>
          <w:kern w:val="0"/>
          <w:sz w:val="24"/>
          <w:szCs w:val="24"/>
        </w:rPr>
        <w:t>（5）为本标段提供招标代理服务的； </w:t>
      </w:r>
    </w:p>
    <w:p>
      <w:pPr>
        <w:spacing w:line="312" w:lineRule="auto"/>
        <w:ind w:firstLine="480" w:firstLineChars="200"/>
        <w:rPr>
          <w:rFonts w:hint="eastAsia" w:ascii="宋体" w:hAnsi="宋体" w:cs="宋体"/>
          <w:kern w:val="0"/>
          <w:sz w:val="24"/>
          <w:szCs w:val="24"/>
        </w:rPr>
      </w:pPr>
      <w:r>
        <w:rPr>
          <w:rFonts w:hint="eastAsia" w:ascii="宋体" w:hAnsi="宋体" w:cs="宋体"/>
          <w:kern w:val="0"/>
          <w:sz w:val="24"/>
          <w:szCs w:val="24"/>
        </w:rPr>
        <w:t>（6）与本标段的监理人或代建人或招标代理机构同为一个法定代表人的；</w:t>
      </w:r>
    </w:p>
    <w:p>
      <w:pPr>
        <w:spacing w:line="312" w:lineRule="auto"/>
        <w:ind w:firstLine="480" w:firstLineChars="200"/>
        <w:rPr>
          <w:rFonts w:hint="eastAsia" w:ascii="宋体" w:hAnsi="宋体" w:cs="宋体"/>
          <w:kern w:val="0"/>
          <w:sz w:val="24"/>
          <w:szCs w:val="24"/>
        </w:rPr>
      </w:pPr>
      <w:r>
        <w:rPr>
          <w:rFonts w:hint="eastAsia" w:ascii="宋体" w:hAnsi="宋体" w:cs="宋体"/>
          <w:kern w:val="0"/>
          <w:sz w:val="24"/>
          <w:szCs w:val="24"/>
        </w:rPr>
        <w:t>（7）与本标段的监理人或代建人或招标代理机构相互控股或参股的；</w:t>
      </w:r>
    </w:p>
    <w:p>
      <w:pPr>
        <w:spacing w:line="312" w:lineRule="auto"/>
        <w:ind w:firstLine="480" w:firstLineChars="200"/>
        <w:rPr>
          <w:rFonts w:hint="eastAsia" w:ascii="宋体" w:hAnsi="宋体" w:cs="宋体"/>
          <w:kern w:val="0"/>
          <w:sz w:val="24"/>
          <w:szCs w:val="24"/>
        </w:rPr>
      </w:pPr>
      <w:r>
        <w:rPr>
          <w:rFonts w:hint="eastAsia" w:ascii="宋体" w:hAnsi="宋体" w:cs="宋体"/>
          <w:kern w:val="0"/>
          <w:sz w:val="24"/>
          <w:szCs w:val="24"/>
        </w:rPr>
        <w:t>（8）与本标段的监理人或代建人或招标代理机构相互任职或工作的；</w:t>
      </w:r>
    </w:p>
    <w:p>
      <w:pPr>
        <w:spacing w:line="312" w:lineRule="auto"/>
        <w:ind w:firstLine="480" w:firstLineChars="200"/>
        <w:rPr>
          <w:rFonts w:hint="eastAsia" w:ascii="宋体" w:hAnsi="宋体" w:cs="宋体"/>
          <w:kern w:val="0"/>
          <w:sz w:val="24"/>
          <w:szCs w:val="24"/>
        </w:rPr>
      </w:pPr>
      <w:r>
        <w:rPr>
          <w:rFonts w:hint="eastAsia" w:ascii="宋体" w:hAnsi="宋体" w:cs="宋体"/>
          <w:kern w:val="0"/>
          <w:sz w:val="24"/>
          <w:szCs w:val="24"/>
        </w:rPr>
        <w:t>（9）与本标段的检测机构有隶属关系或者其他利害关系；</w:t>
      </w:r>
    </w:p>
    <w:p>
      <w:pPr>
        <w:spacing w:line="312" w:lineRule="auto"/>
        <w:ind w:firstLine="480" w:firstLineChars="200"/>
        <w:rPr>
          <w:rFonts w:hint="eastAsia" w:ascii="宋体" w:hAnsi="宋体" w:cs="宋体"/>
          <w:kern w:val="0"/>
          <w:sz w:val="24"/>
          <w:szCs w:val="24"/>
        </w:rPr>
      </w:pPr>
      <w:r>
        <w:rPr>
          <w:rFonts w:hint="eastAsia" w:ascii="宋体" w:hAnsi="宋体" w:cs="宋体"/>
          <w:kern w:val="0"/>
          <w:sz w:val="24"/>
          <w:szCs w:val="24"/>
        </w:rPr>
        <w:t>（10）与招标人存在利害关系且可能影响招标公正性；</w:t>
      </w:r>
    </w:p>
    <w:p>
      <w:pPr>
        <w:spacing w:line="312" w:lineRule="auto"/>
        <w:ind w:firstLine="480" w:firstLineChars="200"/>
        <w:rPr>
          <w:rFonts w:hint="eastAsia" w:ascii="宋体" w:hAnsi="宋体" w:cs="宋体"/>
          <w:kern w:val="0"/>
          <w:sz w:val="24"/>
          <w:szCs w:val="24"/>
        </w:rPr>
      </w:pPr>
      <w:r>
        <w:rPr>
          <w:rFonts w:hint="eastAsia" w:ascii="宋体" w:hAnsi="宋体" w:cs="宋体"/>
          <w:kern w:val="0"/>
          <w:sz w:val="24"/>
          <w:szCs w:val="24"/>
        </w:rPr>
        <w:t>（11）被责令停产停业、暂扣或者吊销许可证、暂扣或者吊销执照的（本项事实应当以根据《中华人民共和国行政处罚法》依法作出并已经生效的行政处罚决定为认定依据）；</w:t>
      </w:r>
    </w:p>
    <w:p>
      <w:pPr>
        <w:spacing w:line="312" w:lineRule="auto"/>
        <w:ind w:firstLine="480" w:firstLineChars="200"/>
        <w:rPr>
          <w:rFonts w:hint="eastAsia" w:ascii="宋体" w:hAnsi="宋体" w:cs="宋体"/>
          <w:kern w:val="0"/>
          <w:sz w:val="24"/>
          <w:szCs w:val="24"/>
        </w:rPr>
      </w:pPr>
      <w:r>
        <w:rPr>
          <w:rFonts w:hint="eastAsia" w:ascii="宋体" w:hAnsi="宋体" w:cs="宋体"/>
          <w:kern w:val="0"/>
          <w:sz w:val="24"/>
          <w:szCs w:val="24"/>
        </w:rPr>
        <w:t>（12）被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pPr>
        <w:spacing w:line="312" w:lineRule="auto"/>
        <w:ind w:firstLine="480" w:firstLineChars="200"/>
        <w:rPr>
          <w:rFonts w:hint="eastAsia" w:ascii="宋体" w:hAnsi="宋体" w:cs="宋体"/>
          <w:kern w:val="0"/>
          <w:sz w:val="24"/>
          <w:szCs w:val="24"/>
        </w:rPr>
      </w:pPr>
      <w:r>
        <w:rPr>
          <w:rFonts w:hint="eastAsia" w:ascii="宋体" w:hAnsi="宋体" w:cs="宋体"/>
          <w:kern w:val="0"/>
          <w:sz w:val="24"/>
          <w:szCs w:val="24"/>
        </w:rPr>
        <w:t>（13）财产被接管或冻结的；</w:t>
      </w:r>
    </w:p>
    <w:p>
      <w:pPr>
        <w:spacing w:line="312" w:lineRule="auto"/>
        <w:ind w:firstLine="480" w:firstLineChars="200"/>
        <w:rPr>
          <w:rFonts w:hint="eastAsia" w:ascii="宋体" w:hAnsi="宋体" w:cs="宋体"/>
          <w:kern w:val="0"/>
          <w:sz w:val="24"/>
          <w:szCs w:val="24"/>
        </w:rPr>
      </w:pPr>
      <w:r>
        <w:rPr>
          <w:rFonts w:hint="eastAsia" w:ascii="宋体" w:hAnsi="宋体" w:cs="宋体"/>
          <w:kern w:val="0"/>
          <w:sz w:val="24"/>
          <w:szCs w:val="24"/>
        </w:rPr>
        <w:t>（14）单位负责人为同一人或者存在控股、管理关系的不同单位，同时参加本招标项目投标；</w:t>
      </w:r>
    </w:p>
    <w:p>
      <w:pPr>
        <w:spacing w:line="312" w:lineRule="auto"/>
        <w:ind w:firstLine="480" w:firstLineChars="200"/>
        <w:rPr>
          <w:rFonts w:hint="eastAsia" w:ascii="宋体" w:hAnsi="宋体" w:cs="宋体"/>
          <w:kern w:val="0"/>
          <w:sz w:val="24"/>
          <w:szCs w:val="24"/>
        </w:rPr>
      </w:pPr>
      <w:r>
        <w:rPr>
          <w:rFonts w:hint="eastAsia" w:ascii="宋体" w:hAnsi="宋体" w:cs="宋体"/>
          <w:kern w:val="0"/>
          <w:sz w:val="24"/>
          <w:szCs w:val="24"/>
        </w:rPr>
        <w:t>（15）投标人、投标人主要负责人及拟投入人员在招标投标、合同履行、安全事故方面因违反有关法律、法规规定受到相关行政管理部门的行政处罚，被取消投标资格的。</w:t>
      </w:r>
    </w:p>
    <w:p>
      <w:pPr>
        <w:spacing w:line="312" w:lineRule="auto"/>
        <w:ind w:firstLine="480" w:firstLineChars="200"/>
        <w:rPr>
          <w:rFonts w:hint="eastAsia" w:ascii="宋体" w:hAnsi="宋体" w:cs="宋体"/>
          <w:kern w:val="0"/>
          <w:sz w:val="24"/>
          <w:szCs w:val="24"/>
        </w:rPr>
      </w:pPr>
      <w:r>
        <w:rPr>
          <w:rFonts w:hint="eastAsia" w:ascii="宋体" w:hAnsi="宋体" w:cs="宋体"/>
          <w:kern w:val="0"/>
          <w:sz w:val="24"/>
          <w:szCs w:val="24"/>
        </w:rPr>
        <w:t>（16）进入清算程序，或被宣布破产，或其他丧失履约能力的情形；</w:t>
      </w:r>
    </w:p>
    <w:p>
      <w:pPr>
        <w:spacing w:line="312" w:lineRule="auto"/>
        <w:ind w:firstLine="480" w:firstLineChars="200"/>
        <w:rPr>
          <w:rFonts w:hint="eastAsia" w:ascii="宋体" w:hAnsi="宋体" w:cs="宋体"/>
          <w:kern w:val="0"/>
          <w:sz w:val="24"/>
          <w:szCs w:val="24"/>
        </w:rPr>
      </w:pPr>
      <w:r>
        <w:rPr>
          <w:rFonts w:hint="eastAsia" w:ascii="宋体" w:hAnsi="宋体" w:cs="宋体"/>
          <w:kern w:val="0"/>
          <w:sz w:val="24"/>
          <w:szCs w:val="24"/>
        </w:rPr>
        <w:t>（17）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spacing w:line="312" w:lineRule="auto"/>
        <w:ind w:firstLine="480" w:firstLineChars="200"/>
        <w:rPr>
          <w:rFonts w:hint="eastAsia" w:ascii="宋体" w:hAnsi="宋体" w:cs="宋体"/>
          <w:kern w:val="0"/>
          <w:sz w:val="24"/>
          <w:szCs w:val="24"/>
        </w:rPr>
      </w:pPr>
      <w:r>
        <w:rPr>
          <w:rFonts w:hint="eastAsia" w:ascii="宋体" w:hAnsi="宋体" w:cs="宋体"/>
          <w:kern w:val="0"/>
          <w:sz w:val="24"/>
          <w:szCs w:val="24"/>
        </w:rPr>
        <w:t>（18）被“信用广州”网站纳入失信联合惩戒名单（失信黑名单）；</w:t>
      </w:r>
    </w:p>
    <w:p>
      <w:pPr>
        <w:spacing w:line="312" w:lineRule="auto"/>
        <w:ind w:firstLine="480" w:firstLineChars="200"/>
        <w:rPr>
          <w:rFonts w:hint="eastAsia" w:ascii="宋体" w:hAnsi="宋体" w:cs="宋体"/>
          <w:kern w:val="0"/>
          <w:sz w:val="24"/>
          <w:szCs w:val="24"/>
        </w:rPr>
      </w:pPr>
      <w:r>
        <w:rPr>
          <w:rFonts w:hint="eastAsia" w:ascii="宋体" w:hAnsi="宋体" w:cs="宋体"/>
          <w:kern w:val="0"/>
          <w:sz w:val="24"/>
          <w:szCs w:val="24"/>
        </w:rPr>
        <w:t>（19）在近三年内投标人或其法定代表人、拟委派的项目负责人有行贿犯罪行为的；</w:t>
      </w:r>
    </w:p>
    <w:p>
      <w:pPr>
        <w:pStyle w:val="10"/>
        <w:widowControl w:val="0"/>
        <w:spacing w:before="0" w:after="0" w:line="312" w:lineRule="auto"/>
        <w:ind w:firstLine="480" w:firstLineChars="200"/>
        <w:rPr>
          <w:rFonts w:hint="eastAsia"/>
        </w:rPr>
      </w:pPr>
      <w:r>
        <w:rPr>
          <w:rFonts w:hint="eastAsia"/>
        </w:rPr>
        <w:t>（20）法律法规规定的其他情形。</w:t>
      </w:r>
    </w:p>
    <w:p>
      <w:pPr>
        <w:spacing w:line="312" w:lineRule="auto"/>
        <w:ind w:firstLine="540" w:firstLineChars="225"/>
        <w:rPr>
          <w:rFonts w:hint="eastAsia" w:ascii="宋体" w:hAnsi="宋体" w:cs="宋体"/>
          <w:sz w:val="24"/>
          <w:szCs w:val="24"/>
        </w:rPr>
      </w:pPr>
      <w:r>
        <w:rPr>
          <w:rFonts w:hint="eastAsia" w:ascii="宋体" w:hAnsi="宋体" w:cs="宋体"/>
          <w:sz w:val="24"/>
          <w:szCs w:val="24"/>
        </w:rPr>
        <w:t>3.2本次招标不接受联合体投标。</w:t>
      </w:r>
    </w:p>
    <w:p>
      <w:pPr>
        <w:spacing w:line="312" w:lineRule="auto"/>
        <w:ind w:firstLine="540" w:firstLineChars="225"/>
        <w:rPr>
          <w:rFonts w:hint="eastAsia" w:ascii="宋体" w:hAnsi="宋体" w:cs="宋体"/>
          <w:sz w:val="24"/>
          <w:szCs w:val="24"/>
        </w:rPr>
      </w:pPr>
      <w:r>
        <w:rPr>
          <w:rFonts w:hint="eastAsia" w:ascii="宋体" w:hAnsi="宋体" w:cs="宋体"/>
          <w:sz w:val="24"/>
          <w:szCs w:val="24"/>
        </w:rPr>
        <w:t>3.3本次招标要求投标人已在广州交易集团有限公司广州公共资源交易中心）办理信息登记等相关投标登记手续。</w:t>
      </w:r>
    </w:p>
    <w:p>
      <w:pPr>
        <w:spacing w:line="312" w:lineRule="auto"/>
        <w:ind w:firstLine="480" w:firstLineChars="200"/>
        <w:rPr>
          <w:rFonts w:hint="eastAsia" w:ascii="宋体" w:hAnsi="宋体" w:cs="宋体"/>
          <w:sz w:val="24"/>
          <w:szCs w:val="24"/>
        </w:rPr>
      </w:pPr>
      <w:bookmarkStart w:id="21" w:name="_Toc221949929"/>
      <w:r>
        <w:rPr>
          <w:rFonts w:hint="eastAsia" w:ascii="宋体" w:hAnsi="宋体" w:cs="宋体"/>
          <w:sz w:val="24"/>
          <w:szCs w:val="24"/>
        </w:rPr>
        <w:t>3.4</w:t>
      </w:r>
      <w:r>
        <w:rPr>
          <w:rStyle w:val="11"/>
          <w:rFonts w:hint="eastAsia" w:ascii="宋体" w:hAnsi="宋体" w:cs="宋体"/>
          <w:kern w:val="0"/>
          <w:sz w:val="24"/>
          <w:szCs w:val="24"/>
          <w:u w:val="single"/>
        </w:rPr>
        <w:t>投标人已按招标文件规定格式签署盖章的《投标人声明》，该声明必须由法定代表人或其委托代理人、项目负责人、技术负责人签字或签章及加盖单位公章</w:t>
      </w:r>
      <w:r>
        <w:rPr>
          <w:rFonts w:hint="eastAsia" w:ascii="宋体" w:hAnsi="宋体" w:cs="宋体"/>
          <w:sz w:val="24"/>
          <w:szCs w:val="24"/>
          <w:u w:val="single"/>
        </w:rPr>
        <w:t>，</w:t>
      </w:r>
      <w:r>
        <w:rPr>
          <w:rFonts w:hint="eastAsia" w:ascii="宋体" w:hAnsi="宋体" w:cs="宋体"/>
          <w:sz w:val="24"/>
          <w:szCs w:val="24"/>
        </w:rPr>
        <w:t>没有签字不予通过资格审查</w:t>
      </w:r>
      <w:bookmarkEnd w:id="21"/>
      <w:r>
        <w:rPr>
          <w:rFonts w:hint="eastAsia" w:ascii="宋体" w:hAnsi="宋体" w:cs="宋体"/>
          <w:sz w:val="24"/>
          <w:szCs w:val="24"/>
        </w:rPr>
        <w:t>。</w:t>
      </w:r>
    </w:p>
    <w:p>
      <w:pPr>
        <w:spacing w:line="312" w:lineRule="auto"/>
        <w:ind w:firstLine="480" w:firstLineChars="200"/>
        <w:rPr>
          <w:rFonts w:hint="eastAsia" w:ascii="宋体" w:hAnsi="宋体" w:cs="宋体"/>
          <w:sz w:val="24"/>
          <w:szCs w:val="24"/>
        </w:rPr>
      </w:pPr>
      <w:r>
        <w:rPr>
          <w:rFonts w:hint="eastAsia" w:ascii="宋体" w:hAnsi="宋体" w:cs="宋体"/>
          <w:sz w:val="24"/>
          <w:szCs w:val="24"/>
        </w:rPr>
        <w:t>3.5投标申请人须在投标文件中按招标文件要求提交签署盖章的《投标人廉洁承诺书》。</w:t>
      </w:r>
    </w:p>
    <w:p>
      <w:pPr>
        <w:spacing w:line="312" w:lineRule="auto"/>
        <w:ind w:firstLine="480" w:firstLineChars="200"/>
        <w:rPr>
          <w:rFonts w:hint="eastAsia" w:ascii="宋体" w:hAnsi="宋体" w:cs="宋体"/>
          <w:sz w:val="24"/>
          <w:szCs w:val="24"/>
        </w:rPr>
      </w:pPr>
      <w:r>
        <w:rPr>
          <w:rFonts w:hint="eastAsia" w:ascii="宋体" w:hAnsi="宋体" w:cs="宋体"/>
          <w:sz w:val="24"/>
          <w:szCs w:val="24"/>
        </w:rPr>
        <w:t>3.6本次招标实行资格后审,资格审查不合格的投标人投标文件将按无效投标处理被否决。</w:t>
      </w:r>
    </w:p>
    <w:p>
      <w:pPr>
        <w:spacing w:line="312" w:lineRule="auto"/>
        <w:ind w:firstLine="540" w:firstLineChars="225"/>
        <w:rPr>
          <w:rFonts w:hint="eastAsia" w:ascii="宋体" w:hAnsi="宋体" w:cs="宋体"/>
          <w:bCs/>
          <w:sz w:val="24"/>
          <w:szCs w:val="24"/>
        </w:rPr>
      </w:pPr>
      <w:r>
        <w:rPr>
          <w:rFonts w:hint="eastAsia" w:ascii="宋体" w:hAnsi="宋体" w:cs="宋体"/>
          <w:bCs/>
          <w:sz w:val="24"/>
          <w:szCs w:val="24"/>
        </w:rPr>
        <w:t>注：未在招标公告第3条单列的资审合格条件，不作为资审不合格的依据。</w:t>
      </w:r>
    </w:p>
    <w:p>
      <w:pPr>
        <w:spacing w:line="312" w:lineRule="auto"/>
        <w:ind w:firstLine="542" w:firstLineChars="225"/>
        <w:rPr>
          <w:rFonts w:hint="eastAsia" w:ascii="宋体" w:hAnsi="宋体" w:cs="宋体"/>
          <w:b/>
          <w:sz w:val="24"/>
          <w:szCs w:val="24"/>
        </w:rPr>
      </w:pPr>
      <w:bookmarkStart w:id="22" w:name="_Toc222032635"/>
      <w:bookmarkStart w:id="23" w:name="_Toc222033817"/>
      <w:bookmarkStart w:id="24" w:name="_Toc229305326"/>
      <w:bookmarkStart w:id="25" w:name="_Toc222029466"/>
      <w:bookmarkStart w:id="26" w:name="_Toc168476032"/>
      <w:bookmarkStart w:id="27" w:name="_Toc222030968"/>
      <w:bookmarkStart w:id="28" w:name="_Toc144974483"/>
      <w:bookmarkStart w:id="29" w:name="_Toc259524299"/>
      <w:bookmarkStart w:id="30" w:name="_Toc168475629"/>
      <w:bookmarkStart w:id="31" w:name="_Toc221949930"/>
      <w:r>
        <w:rPr>
          <w:rFonts w:hint="eastAsia" w:ascii="宋体" w:hAnsi="宋体" w:cs="宋体"/>
          <w:b/>
          <w:sz w:val="24"/>
          <w:szCs w:val="24"/>
        </w:rPr>
        <w:t>4. 招标公告和招标文件的获取</w:t>
      </w:r>
      <w:bookmarkEnd w:id="22"/>
      <w:bookmarkEnd w:id="23"/>
      <w:bookmarkEnd w:id="24"/>
      <w:bookmarkEnd w:id="25"/>
      <w:bookmarkEnd w:id="26"/>
      <w:bookmarkEnd w:id="27"/>
      <w:bookmarkEnd w:id="28"/>
      <w:bookmarkEnd w:id="29"/>
      <w:bookmarkEnd w:id="30"/>
      <w:bookmarkEnd w:id="31"/>
    </w:p>
    <w:p>
      <w:pPr>
        <w:shd w:val="clear" w:color="auto" w:fill="FFFFFF"/>
        <w:snapToGrid w:val="0"/>
        <w:spacing w:line="312" w:lineRule="auto"/>
        <w:ind w:left="567"/>
        <w:textAlignment w:val="baseline"/>
        <w:rPr>
          <w:rStyle w:val="11"/>
          <w:rFonts w:hint="eastAsia" w:ascii="宋体" w:hAnsi="宋体" w:cs="宋体"/>
          <w:bCs/>
          <w:sz w:val="24"/>
        </w:rPr>
      </w:pPr>
      <w:bookmarkStart w:id="32" w:name="_Toc221949931"/>
      <w:r>
        <w:rPr>
          <w:rFonts w:hint="eastAsia" w:ascii="宋体" w:hAnsi="宋体" w:cs="宋体"/>
          <w:sz w:val="24"/>
          <w:szCs w:val="24"/>
        </w:rPr>
        <w:t>4.1</w:t>
      </w:r>
      <w:r>
        <w:rPr>
          <w:rStyle w:val="11"/>
          <w:rFonts w:hint="eastAsia" w:ascii="宋体" w:hAnsi="宋体" w:cs="宋体"/>
          <w:bCs/>
          <w:sz w:val="24"/>
        </w:rPr>
        <w:t>招标公告发布时间</w:t>
      </w:r>
    </w:p>
    <w:p>
      <w:pPr>
        <w:shd w:val="clear" w:color="auto" w:fill="FFFFFF"/>
        <w:snapToGrid w:val="0"/>
        <w:spacing w:line="312" w:lineRule="auto"/>
        <w:ind w:firstLine="480" w:firstLineChars="200"/>
        <w:textAlignment w:val="baseline"/>
        <w:rPr>
          <w:rStyle w:val="11"/>
          <w:rFonts w:hint="eastAsia" w:ascii="宋体" w:hAnsi="宋体" w:cs="宋体"/>
          <w:sz w:val="24"/>
          <w:szCs w:val="24"/>
        </w:rPr>
      </w:pPr>
      <w:r>
        <w:rPr>
          <w:rStyle w:val="11"/>
          <w:rFonts w:hint="eastAsia" w:ascii="宋体" w:hAnsi="宋体" w:cs="宋体"/>
          <w:bCs/>
          <w:sz w:val="24"/>
        </w:rPr>
        <w:t>从2023年</w:t>
      </w:r>
      <w:r>
        <w:rPr>
          <w:rStyle w:val="11"/>
          <w:rFonts w:hint="eastAsia" w:ascii="宋体" w:hAnsi="宋体" w:cs="宋体"/>
          <w:bCs/>
          <w:sz w:val="24"/>
          <w:u w:val="single"/>
          <w:lang w:val="en-US"/>
        </w:rPr>
        <w:t>8</w:t>
      </w:r>
      <w:r>
        <w:rPr>
          <w:rStyle w:val="11"/>
          <w:rFonts w:hint="eastAsia" w:ascii="宋体" w:hAnsi="宋体" w:cs="宋体"/>
          <w:bCs/>
          <w:sz w:val="24"/>
        </w:rPr>
        <w:t>月</w:t>
      </w:r>
      <w:r>
        <w:rPr>
          <w:rStyle w:val="11"/>
          <w:rFonts w:hint="eastAsia" w:ascii="宋体" w:hAnsi="宋体" w:cs="宋体"/>
          <w:bCs/>
          <w:sz w:val="24"/>
          <w:u w:val="single"/>
          <w:lang w:val="en-US"/>
        </w:rPr>
        <w:t>3</w:t>
      </w:r>
      <w:r>
        <w:rPr>
          <w:rStyle w:val="11"/>
          <w:rFonts w:hint="eastAsia" w:ascii="宋体" w:hAnsi="宋体" w:cs="宋体"/>
          <w:bCs/>
          <w:sz w:val="24"/>
        </w:rPr>
        <w:t>日</w:t>
      </w:r>
      <w:r>
        <w:rPr>
          <w:rStyle w:val="11"/>
          <w:rFonts w:hint="eastAsia" w:ascii="宋体" w:hAnsi="宋体" w:cs="宋体"/>
          <w:bCs/>
          <w:sz w:val="24"/>
          <w:u w:val="single"/>
          <w:lang w:val="en-US"/>
        </w:rPr>
        <w:t>00</w:t>
      </w:r>
      <w:r>
        <w:rPr>
          <w:rStyle w:val="11"/>
          <w:rFonts w:hint="eastAsia" w:ascii="宋体" w:hAnsi="宋体" w:cs="宋体"/>
          <w:bCs/>
          <w:sz w:val="24"/>
        </w:rPr>
        <w:t>时</w:t>
      </w:r>
      <w:r>
        <w:rPr>
          <w:rStyle w:val="11"/>
          <w:rFonts w:hint="eastAsia" w:ascii="宋体" w:hAnsi="宋体" w:cs="宋体"/>
          <w:bCs/>
          <w:sz w:val="24"/>
          <w:u w:val="single"/>
          <w:lang w:val="en-US"/>
        </w:rPr>
        <w:t>00</w:t>
      </w:r>
      <w:r>
        <w:rPr>
          <w:rStyle w:val="11"/>
          <w:rFonts w:hint="eastAsia" w:ascii="宋体" w:hAnsi="宋体" w:cs="宋体"/>
          <w:bCs/>
          <w:sz w:val="24"/>
        </w:rPr>
        <w:t>分至2023年</w:t>
      </w:r>
      <w:r>
        <w:rPr>
          <w:rStyle w:val="11"/>
          <w:rFonts w:hint="eastAsia" w:ascii="宋体" w:hAnsi="宋体" w:cs="宋体"/>
          <w:bCs/>
          <w:sz w:val="24"/>
          <w:u w:val="single"/>
          <w:lang w:val="en-US"/>
        </w:rPr>
        <w:t>8</w:t>
      </w:r>
      <w:r>
        <w:rPr>
          <w:rStyle w:val="11"/>
          <w:rFonts w:hint="eastAsia" w:ascii="宋体" w:hAnsi="宋体" w:cs="宋体"/>
          <w:bCs/>
          <w:sz w:val="24"/>
        </w:rPr>
        <w:t>月</w:t>
      </w:r>
      <w:r>
        <w:rPr>
          <w:rStyle w:val="11"/>
          <w:rFonts w:hint="eastAsia" w:ascii="宋体" w:hAnsi="宋体" w:cs="宋体"/>
          <w:bCs/>
          <w:sz w:val="24"/>
          <w:u w:val="single"/>
          <w:lang w:val="en-US"/>
        </w:rPr>
        <w:t>23</w:t>
      </w:r>
      <w:r>
        <w:rPr>
          <w:rStyle w:val="11"/>
          <w:rFonts w:hint="eastAsia" w:ascii="宋体" w:hAnsi="宋体" w:cs="宋体"/>
          <w:bCs/>
          <w:sz w:val="24"/>
        </w:rPr>
        <w:t>日</w:t>
      </w:r>
      <w:r>
        <w:rPr>
          <w:rStyle w:val="11"/>
          <w:rFonts w:hint="eastAsia" w:ascii="宋体" w:hAnsi="宋体" w:cs="宋体"/>
          <w:bCs/>
          <w:sz w:val="24"/>
          <w:u w:val="single"/>
          <w:lang w:val="en-US"/>
        </w:rPr>
        <w:t>14</w:t>
      </w:r>
      <w:r>
        <w:rPr>
          <w:rStyle w:val="11"/>
          <w:rFonts w:hint="eastAsia" w:ascii="宋体" w:hAnsi="宋体" w:cs="宋体"/>
          <w:bCs/>
          <w:sz w:val="24"/>
        </w:rPr>
        <w:t>时</w:t>
      </w:r>
      <w:r>
        <w:rPr>
          <w:rStyle w:val="11"/>
          <w:rFonts w:hint="eastAsia" w:ascii="宋体" w:hAnsi="宋体" w:cs="宋体"/>
          <w:bCs/>
          <w:sz w:val="24"/>
          <w:u w:val="single"/>
          <w:lang w:val="en-US"/>
        </w:rPr>
        <w:t>30</w:t>
      </w:r>
      <w:r>
        <w:rPr>
          <w:rStyle w:val="11"/>
          <w:rFonts w:hint="eastAsia" w:ascii="宋体" w:hAnsi="宋体" w:cs="宋体"/>
          <w:bCs/>
          <w:sz w:val="24"/>
        </w:rPr>
        <w:t>分（注：发布招标公告的时间为招标公告发出之日起至投标截止时间止）。</w:t>
      </w:r>
    </w:p>
    <w:p>
      <w:pPr>
        <w:shd w:val="clear" w:color="auto" w:fill="FFFFFF"/>
        <w:snapToGrid w:val="0"/>
        <w:spacing w:line="312" w:lineRule="auto"/>
        <w:ind w:left="567"/>
        <w:textAlignment w:val="baseline"/>
        <w:rPr>
          <w:rStyle w:val="11"/>
          <w:rFonts w:hint="eastAsia" w:ascii="宋体" w:hAnsi="宋体" w:cs="宋体"/>
          <w:bCs/>
          <w:sz w:val="24"/>
        </w:rPr>
      </w:pPr>
      <w:r>
        <w:rPr>
          <w:rStyle w:val="11"/>
          <w:rFonts w:hint="eastAsia" w:ascii="宋体" w:hAnsi="宋体" w:cs="宋体"/>
          <w:bCs/>
          <w:sz w:val="24"/>
        </w:rPr>
        <w:t>4.2招标文件获取方式</w:t>
      </w:r>
    </w:p>
    <w:bookmarkEnd w:id="32"/>
    <w:p>
      <w:pPr>
        <w:spacing w:line="312" w:lineRule="auto"/>
        <w:ind w:firstLine="540" w:firstLineChars="225"/>
        <w:rPr>
          <w:rFonts w:hint="eastAsia" w:ascii="宋体" w:hAnsi="宋体" w:cs="宋体"/>
          <w:sz w:val="24"/>
          <w:szCs w:val="24"/>
        </w:rPr>
      </w:pPr>
      <w:bookmarkStart w:id="33" w:name="_Toc221949933"/>
      <w:r>
        <w:rPr>
          <w:rFonts w:hint="eastAsia" w:ascii="宋体" w:hAnsi="宋体" w:cs="宋体"/>
          <w:sz w:val="24"/>
          <w:szCs w:val="24"/>
        </w:rPr>
        <w:t>本项目招标文件随招标公告一并在广州交易集团有限公司（广州公共资源交易中心）网站发布，由投标人自行下载。</w:t>
      </w:r>
    </w:p>
    <w:p>
      <w:pPr>
        <w:spacing w:line="312" w:lineRule="auto"/>
        <w:ind w:firstLine="540" w:firstLineChars="225"/>
        <w:rPr>
          <w:rFonts w:hint="eastAsia" w:ascii="宋体" w:hAnsi="宋体" w:cs="宋体"/>
          <w:sz w:val="24"/>
          <w:szCs w:val="24"/>
        </w:rPr>
      </w:pPr>
      <w:r>
        <w:rPr>
          <w:rFonts w:hint="eastAsia" w:ascii="宋体" w:hAnsi="宋体" w:cs="宋体"/>
          <w:sz w:val="24"/>
          <w:szCs w:val="24"/>
        </w:rPr>
        <w:t>4.3如招标人需发布补充公告的，以最后发布的补充公告的时间起计算编制投标文件时间，并需在招标答疑中明确说明。</w:t>
      </w:r>
      <w:bookmarkEnd w:id="33"/>
    </w:p>
    <w:p>
      <w:pPr>
        <w:spacing w:line="312" w:lineRule="auto"/>
        <w:ind w:firstLine="542" w:firstLineChars="225"/>
        <w:rPr>
          <w:rFonts w:hint="eastAsia" w:ascii="宋体" w:hAnsi="宋体" w:cs="宋体"/>
          <w:b/>
          <w:sz w:val="24"/>
          <w:szCs w:val="24"/>
        </w:rPr>
      </w:pPr>
      <w:bookmarkStart w:id="34" w:name="_Toc229305327"/>
      <w:bookmarkStart w:id="35" w:name="_Toc222030969"/>
      <w:bookmarkStart w:id="36" w:name="_Toc144974484"/>
      <w:bookmarkStart w:id="37" w:name="_Toc222029467"/>
      <w:bookmarkStart w:id="38" w:name="_Toc222033818"/>
      <w:bookmarkStart w:id="39" w:name="_Toc168476033"/>
      <w:bookmarkStart w:id="40" w:name="_Toc221949934"/>
      <w:bookmarkStart w:id="41" w:name="_Toc259524300"/>
      <w:bookmarkStart w:id="42" w:name="_Toc168475630"/>
      <w:bookmarkStart w:id="43" w:name="_Toc222032636"/>
      <w:r>
        <w:rPr>
          <w:rFonts w:hint="eastAsia" w:ascii="宋体" w:hAnsi="宋体" w:cs="宋体"/>
          <w:b/>
          <w:sz w:val="24"/>
          <w:szCs w:val="24"/>
        </w:rPr>
        <w:t>5. 投标文件的递交</w:t>
      </w:r>
      <w:bookmarkEnd w:id="34"/>
      <w:bookmarkEnd w:id="35"/>
      <w:bookmarkEnd w:id="36"/>
      <w:bookmarkEnd w:id="37"/>
      <w:bookmarkEnd w:id="38"/>
      <w:bookmarkEnd w:id="39"/>
      <w:bookmarkEnd w:id="40"/>
      <w:bookmarkEnd w:id="41"/>
      <w:bookmarkEnd w:id="42"/>
      <w:bookmarkEnd w:id="43"/>
    </w:p>
    <w:p>
      <w:pPr>
        <w:shd w:val="clear" w:color="auto" w:fill="FFFFFF"/>
        <w:wordWrap w:val="0"/>
        <w:spacing w:line="312" w:lineRule="auto"/>
        <w:ind w:firstLine="566" w:firstLineChars="236"/>
        <w:rPr>
          <w:rFonts w:hint="eastAsia" w:ascii="宋体" w:hAnsi="宋体" w:cs="宋体"/>
          <w:sz w:val="24"/>
          <w:szCs w:val="24"/>
        </w:rPr>
      </w:pPr>
      <w:r>
        <w:rPr>
          <w:rFonts w:hint="eastAsia" w:ascii="宋体" w:hAnsi="宋体" w:cs="宋体"/>
          <w:sz w:val="24"/>
          <w:szCs w:val="24"/>
        </w:rPr>
        <w:t>5.1本项目采用电子投标，投标文件递交的截止时间（投标截止时间，下同）为2023年</w:t>
      </w:r>
      <w:r>
        <w:rPr>
          <w:rFonts w:hint="eastAsia" w:ascii="宋体" w:hAnsi="宋体" w:cs="宋体"/>
          <w:sz w:val="24"/>
          <w:szCs w:val="24"/>
          <w:u w:val="single"/>
          <w:lang w:val="en-US" w:eastAsia="zh-CN"/>
        </w:rPr>
        <w:t>8</w:t>
      </w:r>
      <w:r>
        <w:rPr>
          <w:rFonts w:hint="eastAsia" w:ascii="宋体" w:hAnsi="宋体" w:cs="宋体"/>
          <w:sz w:val="24"/>
          <w:szCs w:val="24"/>
        </w:rPr>
        <w:t>月</w:t>
      </w:r>
      <w:r>
        <w:rPr>
          <w:rFonts w:hint="eastAsia" w:ascii="宋体" w:hAnsi="宋体" w:cs="宋体"/>
          <w:sz w:val="24"/>
          <w:szCs w:val="24"/>
          <w:u w:val="single"/>
          <w:lang w:val="en-US" w:eastAsia="zh-CN"/>
        </w:rPr>
        <w:t>23</w:t>
      </w:r>
      <w:r>
        <w:rPr>
          <w:rFonts w:hint="eastAsia" w:ascii="宋体" w:hAnsi="宋体" w:cs="宋体"/>
          <w:sz w:val="24"/>
          <w:szCs w:val="24"/>
        </w:rPr>
        <w:t>日</w:t>
      </w:r>
      <w:r>
        <w:rPr>
          <w:rFonts w:hint="eastAsia" w:ascii="宋体" w:hAnsi="宋体" w:cs="宋体"/>
          <w:sz w:val="24"/>
          <w:szCs w:val="24"/>
          <w:u w:val="single"/>
          <w:lang w:val="en-US" w:eastAsia="zh-CN"/>
        </w:rPr>
        <w:t>14</w:t>
      </w:r>
      <w:r>
        <w:rPr>
          <w:rFonts w:hint="eastAsia" w:ascii="宋体" w:hAnsi="宋体" w:cs="宋体"/>
          <w:sz w:val="24"/>
          <w:szCs w:val="24"/>
        </w:rPr>
        <w:t>时</w:t>
      </w:r>
      <w:r>
        <w:rPr>
          <w:rFonts w:hint="eastAsia" w:ascii="宋体" w:hAnsi="宋体" w:cs="宋体"/>
          <w:sz w:val="24"/>
          <w:szCs w:val="24"/>
          <w:u w:val="single"/>
          <w:lang w:val="en-US" w:eastAsia="zh-CN"/>
        </w:rPr>
        <w:t>30</w:t>
      </w:r>
      <w:r>
        <w:rPr>
          <w:rFonts w:hint="eastAsia" w:ascii="宋体" w:hAnsi="宋体" w:cs="宋体"/>
          <w:sz w:val="24"/>
          <w:szCs w:val="24"/>
        </w:rPr>
        <w:t>分，具体递交要求以招标文件为准。有关电子投标的帮助文件可自行在广州交易集团有限公司（广州公共资源交易中心）网站相关栏目下载。路径为</w:t>
      </w:r>
      <w:r>
        <w:rPr>
          <w:rFonts w:hint="eastAsia" w:ascii="宋体" w:hAnsi="宋体" w:cs="宋体"/>
          <w:kern w:val="0"/>
          <w:sz w:val="24"/>
          <w:szCs w:val="24"/>
        </w:rPr>
        <w:t>广州交易集团有限公司（广州公共资源交易中心）网站服务指南》系统帮助》工具下载》</w:t>
      </w:r>
      <w:r>
        <w:rPr>
          <w:rFonts w:hint="eastAsia" w:ascii="宋体" w:hAnsi="宋体" w:cs="宋体"/>
          <w:sz w:val="24"/>
          <w:szCs w:val="24"/>
        </w:rPr>
        <w:fldChar w:fldCharType="begin"/>
      </w:r>
      <w:r>
        <w:rPr>
          <w:rFonts w:hint="eastAsia" w:ascii="宋体" w:hAnsi="宋体" w:cs="宋体"/>
          <w:sz w:val="24"/>
          <w:szCs w:val="24"/>
        </w:rPr>
        <w:instrText xml:space="preserve"> HYPERLINK "http://www.gzzb.gd.cn/cms/wz/view/index/layout3/index.jsp?siteId=1&amp;infoId=405036&amp;channelId=90" \t "_blank" </w:instrText>
      </w:r>
      <w:r>
        <w:rPr>
          <w:rFonts w:hint="eastAsia" w:ascii="宋体" w:hAnsi="宋体" w:cs="宋体"/>
          <w:sz w:val="24"/>
          <w:szCs w:val="24"/>
        </w:rPr>
        <w:fldChar w:fldCharType="separate"/>
      </w:r>
      <w:r>
        <w:rPr>
          <w:rStyle w:val="8"/>
          <w:rFonts w:hint="eastAsia" w:ascii="宋体" w:hAnsi="宋体" w:eastAsia="宋体" w:cs="宋体"/>
          <w:color w:val="auto"/>
          <w:sz w:val="24"/>
          <w:szCs w:val="24"/>
        </w:rPr>
        <w:t>电子资审、电子评标相关软件下载</w:t>
      </w:r>
      <w:r>
        <w:rPr>
          <w:rFonts w:hint="eastAsia" w:ascii="宋体" w:hAnsi="宋体" w:cs="宋体"/>
          <w:sz w:val="24"/>
          <w:szCs w:val="24"/>
        </w:rPr>
        <w:fldChar w:fldCharType="end"/>
      </w:r>
      <w:r>
        <w:rPr>
          <w:rFonts w:hint="eastAsia" w:ascii="宋体" w:hAnsi="宋体" w:cs="宋体"/>
          <w:kern w:val="0"/>
          <w:sz w:val="24"/>
          <w:szCs w:val="24"/>
        </w:rPr>
        <w:t>：</w:t>
      </w:r>
      <w:r>
        <w:rPr>
          <w:rFonts w:hint="eastAsia" w:ascii="宋体" w:hAnsi="宋体" w:cs="宋体"/>
        </w:rPr>
        <w:t>http://www.gzggzy.cn/cms/wz/view/index/layout3/index.jsp?siteId=1&amp;infoId=404111&amp;channelId=39。</w:t>
      </w:r>
    </w:p>
    <w:p>
      <w:pPr>
        <w:spacing w:line="312" w:lineRule="auto"/>
        <w:ind w:firstLine="540" w:firstLineChars="225"/>
        <w:rPr>
          <w:rFonts w:hint="eastAsia" w:ascii="宋体" w:hAnsi="宋体" w:cs="宋体"/>
          <w:sz w:val="24"/>
          <w:szCs w:val="24"/>
        </w:rPr>
      </w:pPr>
      <w:r>
        <w:rPr>
          <w:rFonts w:hint="eastAsia" w:ascii="宋体" w:hAnsi="宋体" w:cs="宋体"/>
          <w:sz w:val="24"/>
          <w:szCs w:val="24"/>
        </w:rPr>
        <w:t>5.2开标开始时间和地点：2023年</w:t>
      </w:r>
      <w:r>
        <w:rPr>
          <w:rFonts w:hint="eastAsia" w:ascii="宋体" w:hAnsi="宋体" w:cs="宋体"/>
          <w:sz w:val="24"/>
          <w:szCs w:val="24"/>
          <w:u w:val="single"/>
          <w:lang w:val="en-US" w:eastAsia="zh-CN"/>
        </w:rPr>
        <w:t>8</w:t>
      </w:r>
      <w:r>
        <w:rPr>
          <w:rFonts w:hint="eastAsia" w:ascii="宋体" w:hAnsi="宋体" w:cs="宋体"/>
          <w:sz w:val="24"/>
          <w:szCs w:val="24"/>
        </w:rPr>
        <w:t>月</w:t>
      </w:r>
      <w:r>
        <w:rPr>
          <w:rFonts w:hint="eastAsia" w:ascii="宋体" w:hAnsi="宋体" w:cs="宋体"/>
          <w:sz w:val="24"/>
          <w:szCs w:val="24"/>
          <w:u w:val="single"/>
          <w:lang w:val="en-US" w:eastAsia="zh-CN"/>
        </w:rPr>
        <w:t>23</w:t>
      </w:r>
      <w:r>
        <w:rPr>
          <w:rFonts w:hint="eastAsia" w:ascii="宋体" w:hAnsi="宋体" w:cs="宋体"/>
          <w:sz w:val="24"/>
          <w:szCs w:val="24"/>
        </w:rPr>
        <w:t>日</w:t>
      </w:r>
      <w:r>
        <w:rPr>
          <w:rFonts w:hint="eastAsia" w:ascii="宋体" w:hAnsi="宋体" w:cs="宋体"/>
          <w:sz w:val="24"/>
          <w:szCs w:val="24"/>
          <w:u w:val="single"/>
          <w:lang w:val="en-US" w:eastAsia="zh-CN"/>
        </w:rPr>
        <w:t>14</w:t>
      </w:r>
      <w:r>
        <w:rPr>
          <w:rFonts w:hint="eastAsia" w:ascii="宋体" w:hAnsi="宋体" w:cs="宋体"/>
          <w:sz w:val="24"/>
          <w:szCs w:val="24"/>
        </w:rPr>
        <w:t>时</w:t>
      </w:r>
      <w:r>
        <w:rPr>
          <w:rFonts w:hint="eastAsia" w:ascii="宋体" w:hAnsi="宋体" w:cs="宋体"/>
          <w:sz w:val="24"/>
          <w:szCs w:val="24"/>
          <w:u w:val="single"/>
          <w:lang w:val="en-US" w:eastAsia="zh-CN"/>
        </w:rPr>
        <w:t>30</w:t>
      </w:r>
      <w:r>
        <w:rPr>
          <w:rFonts w:hint="eastAsia" w:ascii="宋体" w:hAnsi="宋体" w:cs="宋体"/>
          <w:sz w:val="24"/>
          <w:szCs w:val="24"/>
        </w:rPr>
        <w:t>分在</w:t>
      </w:r>
      <w:r>
        <w:rPr>
          <w:rFonts w:hint="eastAsia" w:ascii="宋体" w:hAnsi="宋体" w:cs="宋体"/>
          <w:sz w:val="24"/>
          <w:szCs w:val="24"/>
          <w:u w:val="single"/>
        </w:rPr>
        <w:t>广州交易集团有限公司（广州公共资源交易中心）</w:t>
      </w:r>
      <w:r>
        <w:rPr>
          <w:rFonts w:hint="eastAsia" w:ascii="宋体" w:hAnsi="宋体" w:cs="宋体"/>
          <w:sz w:val="24"/>
          <w:szCs w:val="24"/>
        </w:rPr>
        <w:t>。(注：开标开始时间为投标人解密投标文件的结束时间之后，解密时间以招标文件规定为准。)</w:t>
      </w:r>
      <w:r>
        <w:rPr>
          <w:rFonts w:hint="eastAsia" w:ascii="宋体" w:hAnsi="宋体" w:cs="宋体"/>
          <w:sz w:val="24"/>
          <w:szCs w:val="24"/>
          <w:u w:val="single"/>
        </w:rPr>
        <w:t>投标人也可选择参加在线开标，具体按照交易平台相关指南进行操作。详见：广州交易集团有限公司（广州公共资源交易中心）网站。</w:t>
      </w:r>
    </w:p>
    <w:p>
      <w:pPr>
        <w:spacing w:line="312" w:lineRule="auto"/>
        <w:ind w:firstLine="540" w:firstLineChars="225"/>
        <w:rPr>
          <w:rFonts w:hint="eastAsia" w:ascii="宋体" w:hAnsi="宋体" w:cs="宋体"/>
          <w:sz w:val="24"/>
          <w:szCs w:val="24"/>
        </w:rPr>
      </w:pPr>
      <w:r>
        <w:rPr>
          <w:rFonts w:hint="eastAsia" w:ascii="宋体" w:hAnsi="宋体" w:cs="宋体"/>
          <w:sz w:val="24"/>
          <w:szCs w:val="24"/>
        </w:rPr>
        <w:t>5.3投标截止时间与开标开始时间是否有变化，请密切留意招标答疑中的相关信息。递交投标文件截止时间后，开标开始时间因故推迟的，相关评标信息仍以原递交投标文件截止时间的信息为准。</w:t>
      </w:r>
    </w:p>
    <w:p>
      <w:pPr>
        <w:spacing w:line="312" w:lineRule="auto"/>
        <w:ind w:firstLine="540" w:firstLineChars="225"/>
        <w:rPr>
          <w:rFonts w:hint="eastAsia" w:ascii="宋体" w:hAnsi="宋体" w:cs="宋体"/>
          <w:sz w:val="24"/>
          <w:szCs w:val="24"/>
        </w:rPr>
      </w:pPr>
      <w:bookmarkStart w:id="44" w:name="_Toc221949936"/>
      <w:r>
        <w:rPr>
          <w:rFonts w:hint="eastAsia" w:ascii="宋体" w:hAnsi="宋体" w:cs="宋体"/>
          <w:sz w:val="24"/>
          <w:szCs w:val="24"/>
        </w:rPr>
        <w:t>5.4逾期送达的或者未送达指定地点的投标文件，招标人不予受理。</w:t>
      </w:r>
      <w:bookmarkEnd w:id="44"/>
    </w:p>
    <w:p>
      <w:pPr>
        <w:spacing w:line="312" w:lineRule="auto"/>
        <w:ind w:firstLine="540" w:firstLineChars="225"/>
        <w:rPr>
          <w:rFonts w:hint="eastAsia" w:ascii="宋体" w:hAnsi="宋体" w:cs="宋体"/>
          <w:sz w:val="24"/>
          <w:szCs w:val="24"/>
        </w:rPr>
      </w:pPr>
      <w:r>
        <w:rPr>
          <w:rFonts w:hint="eastAsia" w:ascii="宋体" w:hAnsi="宋体" w:cs="宋体"/>
          <w:sz w:val="24"/>
          <w:szCs w:val="24"/>
        </w:rPr>
        <w:t>5.5投标人在递交投标文件前，应按广州交易集团有限公司（广州公共资源交易中心）要求办理进场和投标登记手续，否则后果自负。</w:t>
      </w:r>
    </w:p>
    <w:p>
      <w:pPr>
        <w:spacing w:line="312" w:lineRule="auto"/>
        <w:ind w:firstLine="480" w:firstLineChars="200"/>
        <w:rPr>
          <w:rFonts w:hint="eastAsia" w:ascii="宋体" w:hAnsi="宋体" w:cs="宋体"/>
          <w:sz w:val="24"/>
          <w:szCs w:val="24"/>
        </w:rPr>
      </w:pPr>
      <w:r>
        <w:rPr>
          <w:rFonts w:hint="eastAsia" w:ascii="宋体" w:hAnsi="宋体" w:cs="宋体"/>
          <w:kern w:val="0"/>
          <w:sz w:val="24"/>
          <w:szCs w:val="24"/>
        </w:rPr>
        <w:t>5.6</w:t>
      </w:r>
      <w:r>
        <w:rPr>
          <w:rFonts w:hint="eastAsia" w:ascii="宋体" w:hAnsi="宋体" w:cs="宋体"/>
          <w:sz w:val="24"/>
          <w:szCs w:val="24"/>
        </w:rPr>
        <w:t>工程量清单报价表应使用符合广东省标准《建设工程政府投资项目造价数据标准（DBJ/T15-145-2018）》及后续版本的有关规定。</w:t>
      </w:r>
    </w:p>
    <w:p>
      <w:pPr>
        <w:spacing w:line="312" w:lineRule="auto"/>
        <w:ind w:firstLine="480" w:firstLineChars="200"/>
        <w:rPr>
          <w:rFonts w:hint="eastAsia" w:ascii="宋体" w:hAnsi="宋体" w:cs="宋体"/>
          <w:sz w:val="24"/>
          <w:szCs w:val="24"/>
        </w:rPr>
      </w:pPr>
      <w:r>
        <w:rPr>
          <w:rFonts w:hint="eastAsia" w:ascii="宋体" w:hAnsi="宋体" w:cs="宋体"/>
          <w:sz w:val="24"/>
          <w:szCs w:val="24"/>
        </w:rPr>
        <w:t>5.7投标人应自行检查广州交易集团有限公司（广州公共资源交易中心）信息登记中的企业基础信息扫描件（包括企业资质证书、企业营业执照、企业安全生产许可证、项目负责人相关证书、安全员安全生产考核合格证等），评标委员会对上述资料的审查将以递交投标文件截止时间在广州交易集团有限公司（广州公共资源交易中心）信息登记的信息为依据。投标人应及时维护其在广州交易集团有限公司（广州公共资源交易中心）信息登记的信息，确保各项信息在有效期内。如因投标单位资料缺失导致资格审查不通过，责任由投标单位自行承担。</w:t>
      </w:r>
    </w:p>
    <w:p>
      <w:pPr>
        <w:spacing w:line="312" w:lineRule="auto"/>
        <w:ind w:firstLine="542" w:firstLineChars="225"/>
        <w:rPr>
          <w:rFonts w:hint="eastAsia" w:ascii="宋体" w:hAnsi="宋体" w:cs="宋体"/>
          <w:b/>
          <w:sz w:val="24"/>
          <w:szCs w:val="24"/>
        </w:rPr>
      </w:pPr>
      <w:bookmarkStart w:id="45" w:name="_Toc222033819"/>
      <w:bookmarkStart w:id="46" w:name="_Toc259524301"/>
      <w:bookmarkStart w:id="47" w:name="_Toc222029468"/>
      <w:bookmarkStart w:id="48" w:name="_Toc222032637"/>
      <w:bookmarkStart w:id="49" w:name="_Toc222030970"/>
      <w:bookmarkStart w:id="50" w:name="_Toc221949937"/>
      <w:bookmarkStart w:id="51" w:name="_Toc229305328"/>
      <w:r>
        <w:rPr>
          <w:rFonts w:hint="eastAsia" w:ascii="宋体" w:hAnsi="宋体" w:cs="宋体"/>
          <w:b/>
          <w:sz w:val="24"/>
          <w:szCs w:val="24"/>
        </w:rPr>
        <w:t>6. 办理投标登记手续</w:t>
      </w:r>
    </w:p>
    <w:p>
      <w:pPr>
        <w:spacing w:line="312" w:lineRule="auto"/>
        <w:ind w:firstLine="540" w:firstLineChars="225"/>
        <w:rPr>
          <w:rFonts w:hint="eastAsia" w:ascii="宋体" w:hAnsi="宋体" w:cs="宋体"/>
          <w:sz w:val="24"/>
          <w:szCs w:val="24"/>
        </w:rPr>
      </w:pPr>
      <w:r>
        <w:rPr>
          <w:rFonts w:hint="eastAsia" w:ascii="宋体" w:hAnsi="宋体" w:cs="宋体"/>
          <w:sz w:val="24"/>
          <w:szCs w:val="24"/>
        </w:rPr>
        <w:t>投标人应在投标截止时间前，登录广州交易集团有限公司（广州公共资源交易中心）网站办理网上投标登记手续。</w:t>
      </w:r>
    </w:p>
    <w:p>
      <w:pPr>
        <w:spacing w:line="312" w:lineRule="auto"/>
        <w:ind w:firstLine="540" w:firstLineChars="225"/>
        <w:rPr>
          <w:rFonts w:hint="eastAsia" w:ascii="宋体" w:hAnsi="宋体" w:cs="宋体"/>
          <w:sz w:val="24"/>
          <w:szCs w:val="24"/>
        </w:rPr>
      </w:pPr>
      <w:r>
        <w:rPr>
          <w:rFonts w:hint="eastAsia" w:ascii="宋体" w:hAnsi="宋体" w:cs="宋体"/>
          <w:sz w:val="24"/>
          <w:szCs w:val="24"/>
        </w:rPr>
        <w:t>6.1投标人应遵循以下程序完成网上投标登记手续：</w:t>
      </w:r>
    </w:p>
    <w:p>
      <w:pPr>
        <w:spacing w:line="312" w:lineRule="auto"/>
        <w:ind w:firstLine="424" w:firstLineChars="177"/>
        <w:rPr>
          <w:rFonts w:hint="eastAsia" w:ascii="宋体" w:hAnsi="宋体" w:cs="宋体"/>
          <w:sz w:val="24"/>
          <w:szCs w:val="24"/>
        </w:rPr>
      </w:pPr>
      <w:r>
        <w:rPr>
          <w:rFonts w:hint="eastAsia" w:ascii="宋体" w:hAnsi="宋体" w:cs="宋体"/>
          <w:sz w:val="24"/>
          <w:szCs w:val="24"/>
        </w:rPr>
        <w:t>（1）登录广州交易集团有限公司（广州公共资源交易中心）网站投标人服务专区完成的相关信息录入。</w:t>
      </w:r>
    </w:p>
    <w:p>
      <w:pPr>
        <w:spacing w:line="312" w:lineRule="auto"/>
        <w:ind w:firstLine="424" w:firstLineChars="177"/>
        <w:rPr>
          <w:rFonts w:hint="eastAsia" w:ascii="宋体" w:hAnsi="宋体" w:cs="宋体"/>
          <w:sz w:val="24"/>
          <w:szCs w:val="24"/>
        </w:rPr>
      </w:pPr>
      <w:r>
        <w:rPr>
          <w:rFonts w:hint="eastAsia" w:ascii="宋体" w:hAnsi="宋体" w:cs="宋体"/>
          <w:sz w:val="24"/>
          <w:szCs w:val="24"/>
        </w:rPr>
        <w:t>（2）核对并确认投标信息无误后，上传带有电子签章的加密投标文件。在投标截止时间前，投标人可以替换投标文件。投标文件须于投标截止时间前完整上传并保存到交易中心的电子评标系统。如果投标文件于投标截止时间未能上传完毕，该投标文件将视为无效投标文件。</w:t>
      </w:r>
    </w:p>
    <w:p>
      <w:pPr>
        <w:spacing w:line="312" w:lineRule="auto"/>
        <w:ind w:firstLine="480" w:firstLineChars="200"/>
        <w:rPr>
          <w:rFonts w:hint="eastAsia" w:ascii="宋体" w:hAnsi="宋体" w:cs="宋体"/>
          <w:sz w:val="24"/>
          <w:szCs w:val="24"/>
        </w:rPr>
      </w:pPr>
      <w:r>
        <w:rPr>
          <w:rFonts w:hint="eastAsia" w:ascii="宋体" w:hAnsi="宋体" w:cs="宋体"/>
          <w:sz w:val="24"/>
          <w:szCs w:val="24"/>
        </w:rPr>
        <w:t>6.2项目负责人的使用状态按投标文件提交截止时间，以在广州交易集团有限公司（广州公共资源交易中心）信息登记的为准。如出现拟报项目负责人不能被使用而造成投标信息无法录入广州交易集团有限公司（广州公共资源交易中心）交易服务系统的，其投标文件将视为无效投标文件。</w:t>
      </w:r>
    </w:p>
    <w:p>
      <w:pPr>
        <w:spacing w:line="312" w:lineRule="auto"/>
        <w:ind w:left="420" w:firstLine="96" w:firstLineChars="40"/>
        <w:rPr>
          <w:rFonts w:hint="eastAsia" w:ascii="宋体" w:hAnsi="宋体" w:cs="宋体"/>
          <w:b/>
          <w:kern w:val="0"/>
          <w:sz w:val="24"/>
          <w:szCs w:val="24"/>
        </w:rPr>
      </w:pPr>
      <w:r>
        <w:rPr>
          <w:rFonts w:hint="eastAsia" w:ascii="宋体" w:hAnsi="宋体" w:cs="宋体"/>
          <w:b/>
          <w:sz w:val="24"/>
          <w:szCs w:val="24"/>
        </w:rPr>
        <w:t>7.</w:t>
      </w:r>
      <w:r>
        <w:rPr>
          <w:rFonts w:hint="eastAsia" w:ascii="宋体" w:hAnsi="宋体" w:cs="宋体"/>
          <w:b/>
          <w:kern w:val="0"/>
          <w:sz w:val="24"/>
          <w:szCs w:val="24"/>
        </w:rPr>
        <w:t>异议和投诉处理</w:t>
      </w:r>
    </w:p>
    <w:p>
      <w:pPr>
        <w:adjustRightInd w:val="0"/>
        <w:snapToGrid w:val="0"/>
        <w:spacing w:line="312" w:lineRule="auto"/>
        <w:ind w:firstLine="480" w:firstLineChars="200"/>
        <w:rPr>
          <w:rFonts w:hint="eastAsia" w:ascii="宋体" w:hAnsi="宋体" w:cs="宋体"/>
          <w:sz w:val="24"/>
        </w:rPr>
      </w:pPr>
      <w:r>
        <w:rPr>
          <w:rFonts w:hint="eastAsia" w:ascii="宋体" w:hAnsi="宋体" w:cs="宋体"/>
          <w:sz w:val="24"/>
        </w:rPr>
        <w:t>潜在投标人或利害关系人对本招标公告及招标文件中任何违法及不公平内容有异议的，可以书面提出异议。如潜在投标人或其他利害关系人对招标人答复仍持有异议的，可按相关规定进行投诉。</w:t>
      </w:r>
    </w:p>
    <w:bookmarkEnd w:id="45"/>
    <w:bookmarkEnd w:id="46"/>
    <w:bookmarkEnd w:id="47"/>
    <w:bookmarkEnd w:id="48"/>
    <w:bookmarkEnd w:id="49"/>
    <w:bookmarkEnd w:id="50"/>
    <w:bookmarkEnd w:id="51"/>
    <w:p>
      <w:pPr>
        <w:adjustRightInd w:val="0"/>
        <w:snapToGrid w:val="0"/>
        <w:spacing w:line="312" w:lineRule="auto"/>
        <w:ind w:firstLine="480" w:firstLineChars="200"/>
        <w:rPr>
          <w:rFonts w:hint="eastAsia" w:ascii="宋体" w:hAnsi="宋体" w:cs="宋体"/>
          <w:sz w:val="24"/>
        </w:rPr>
      </w:pPr>
      <w:bookmarkStart w:id="52" w:name="_Toc168476034"/>
      <w:bookmarkStart w:id="53" w:name="_Toc221949939"/>
      <w:bookmarkStart w:id="54" w:name="_Toc222032638"/>
      <w:bookmarkStart w:id="55" w:name="_Toc168475631"/>
      <w:bookmarkStart w:id="56" w:name="_Toc222033820"/>
      <w:bookmarkStart w:id="57" w:name="_Toc222029469"/>
      <w:bookmarkStart w:id="58" w:name="_Toc259524302"/>
      <w:bookmarkStart w:id="59" w:name="_Toc222030971"/>
      <w:bookmarkStart w:id="60" w:name="_Toc229305329"/>
      <w:r>
        <w:rPr>
          <w:rFonts w:hint="eastAsia" w:ascii="宋体" w:hAnsi="宋体" w:cs="宋体"/>
          <w:sz w:val="24"/>
        </w:rPr>
        <w:t>异议受理部门：广州市净水有限公司</w:t>
      </w:r>
    </w:p>
    <w:p>
      <w:pPr>
        <w:adjustRightInd w:val="0"/>
        <w:snapToGrid w:val="0"/>
        <w:spacing w:line="312" w:lineRule="auto"/>
        <w:ind w:firstLine="480" w:firstLineChars="200"/>
        <w:rPr>
          <w:rFonts w:hint="eastAsia" w:ascii="宋体" w:hAnsi="宋体" w:cs="宋体"/>
          <w:sz w:val="24"/>
        </w:rPr>
      </w:pPr>
      <w:r>
        <w:rPr>
          <w:rFonts w:hint="eastAsia" w:ascii="宋体" w:hAnsi="宋体" w:cs="宋体"/>
          <w:sz w:val="24"/>
        </w:rPr>
        <w:t>电话：020-38890467</w:t>
      </w:r>
    </w:p>
    <w:p>
      <w:pPr>
        <w:adjustRightInd w:val="0"/>
        <w:snapToGrid w:val="0"/>
        <w:spacing w:line="312" w:lineRule="auto"/>
        <w:ind w:firstLine="480" w:firstLineChars="200"/>
        <w:rPr>
          <w:rFonts w:hint="eastAsia" w:ascii="宋体" w:hAnsi="宋体" w:cs="宋体"/>
          <w:sz w:val="24"/>
        </w:rPr>
      </w:pPr>
      <w:r>
        <w:rPr>
          <w:rFonts w:hint="eastAsia" w:ascii="宋体" w:hAnsi="宋体" w:cs="宋体"/>
          <w:sz w:val="24"/>
        </w:rPr>
        <w:t>地址：广州市临江大道501号</w:t>
      </w:r>
    </w:p>
    <w:p>
      <w:pPr>
        <w:adjustRightInd w:val="0"/>
        <w:snapToGrid w:val="0"/>
        <w:spacing w:line="312" w:lineRule="auto"/>
        <w:ind w:firstLine="480" w:firstLineChars="200"/>
        <w:rPr>
          <w:rFonts w:hint="eastAsia" w:ascii="宋体" w:hAnsi="宋体" w:cs="宋体"/>
          <w:sz w:val="24"/>
        </w:rPr>
      </w:pPr>
      <w:r>
        <w:rPr>
          <w:rFonts w:hint="eastAsia" w:ascii="宋体" w:hAnsi="宋体" w:cs="宋体"/>
          <w:sz w:val="24"/>
        </w:rPr>
        <w:t>投诉受理部门：广州市净水有限公司</w:t>
      </w:r>
    </w:p>
    <w:p>
      <w:pPr>
        <w:adjustRightInd w:val="0"/>
        <w:snapToGrid w:val="0"/>
        <w:spacing w:line="312" w:lineRule="auto"/>
        <w:ind w:firstLine="480" w:firstLineChars="200"/>
        <w:rPr>
          <w:rFonts w:hint="eastAsia" w:ascii="宋体" w:hAnsi="宋体" w:cs="宋体"/>
          <w:sz w:val="24"/>
        </w:rPr>
      </w:pPr>
      <w:r>
        <w:rPr>
          <w:rFonts w:hint="eastAsia" w:ascii="宋体" w:hAnsi="宋体" w:cs="宋体"/>
          <w:sz w:val="24"/>
        </w:rPr>
        <w:t>电话：020-62315524</w:t>
      </w:r>
      <w:r>
        <w:rPr>
          <w:rFonts w:ascii="宋体" w:hAnsi="宋体" w:cs="宋体"/>
          <w:sz w:val="24"/>
        </w:rPr>
        <w:br w:type="textWrapping"/>
      </w:r>
      <w:r>
        <w:rPr>
          <w:rFonts w:hint="eastAsia" w:ascii="宋体" w:hAnsi="宋体" w:cs="宋体"/>
          <w:sz w:val="24"/>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312" w:lineRule="auto"/>
        <w:ind w:firstLine="542" w:firstLineChars="225"/>
        <w:rPr>
          <w:rFonts w:hint="eastAsia" w:ascii="宋体" w:hAnsi="宋体" w:cs="宋体"/>
          <w:b/>
          <w:sz w:val="24"/>
          <w:szCs w:val="24"/>
        </w:rPr>
      </w:pPr>
      <w:r>
        <w:rPr>
          <w:rFonts w:hint="eastAsia" w:ascii="宋体" w:hAnsi="宋体" w:cs="宋体"/>
          <w:b/>
          <w:sz w:val="24"/>
          <w:szCs w:val="24"/>
        </w:rPr>
        <w:t>8. 发布公告的媒介</w:t>
      </w:r>
      <w:bookmarkEnd w:id="52"/>
      <w:bookmarkEnd w:id="53"/>
      <w:bookmarkEnd w:id="54"/>
      <w:bookmarkEnd w:id="55"/>
      <w:bookmarkEnd w:id="56"/>
      <w:bookmarkEnd w:id="57"/>
      <w:bookmarkEnd w:id="58"/>
      <w:bookmarkEnd w:id="59"/>
      <w:bookmarkEnd w:id="60"/>
    </w:p>
    <w:p>
      <w:pPr>
        <w:spacing w:line="312" w:lineRule="auto"/>
        <w:ind w:firstLine="540" w:firstLineChars="225"/>
        <w:rPr>
          <w:rFonts w:hint="eastAsia" w:ascii="宋体" w:hAnsi="宋体" w:cs="宋体"/>
          <w:sz w:val="24"/>
          <w:szCs w:val="24"/>
        </w:rPr>
      </w:pPr>
      <w:r>
        <w:rPr>
          <w:rFonts w:hint="eastAsia" w:ascii="宋体" w:hAnsi="宋体" w:cs="宋体"/>
          <w:sz w:val="24"/>
          <w:szCs w:val="24"/>
        </w:rPr>
        <w:t>8.1招标公告发布时间：从2023年</w:t>
      </w:r>
      <w:r>
        <w:rPr>
          <w:rFonts w:hint="eastAsia" w:ascii="宋体" w:hAnsi="宋体" w:cs="宋体"/>
          <w:sz w:val="24"/>
          <w:szCs w:val="24"/>
          <w:lang w:val="en-US" w:eastAsia="zh-CN"/>
        </w:rPr>
        <w:t>8</w:t>
      </w:r>
      <w:r>
        <w:rPr>
          <w:rFonts w:hint="eastAsia" w:ascii="宋体" w:hAnsi="宋体" w:cs="宋体"/>
          <w:sz w:val="24"/>
          <w:szCs w:val="24"/>
        </w:rPr>
        <w:t>月</w:t>
      </w:r>
      <w:r>
        <w:rPr>
          <w:rFonts w:hint="eastAsia" w:ascii="宋体" w:hAnsi="宋体" w:cs="宋体"/>
          <w:sz w:val="24"/>
          <w:szCs w:val="24"/>
          <w:lang w:val="en-US" w:eastAsia="zh-CN"/>
        </w:rPr>
        <w:t>3</w:t>
      </w:r>
      <w:r>
        <w:rPr>
          <w:rFonts w:hint="eastAsia" w:ascii="宋体" w:hAnsi="宋体" w:cs="宋体"/>
          <w:sz w:val="24"/>
          <w:szCs w:val="24"/>
        </w:rPr>
        <w:t>日至2023年</w:t>
      </w:r>
      <w:r>
        <w:rPr>
          <w:rFonts w:hint="eastAsia" w:ascii="宋体" w:hAnsi="宋体" w:cs="宋体"/>
          <w:sz w:val="24"/>
          <w:szCs w:val="24"/>
          <w:u w:val="single"/>
          <w:lang w:val="en-US" w:eastAsia="zh-CN"/>
        </w:rPr>
        <w:t>8</w:t>
      </w:r>
      <w:r>
        <w:rPr>
          <w:rFonts w:hint="eastAsia" w:ascii="宋体" w:hAnsi="宋体" w:cs="宋体"/>
          <w:sz w:val="24"/>
          <w:szCs w:val="24"/>
        </w:rPr>
        <w:t>月</w:t>
      </w:r>
      <w:r>
        <w:rPr>
          <w:rFonts w:hint="eastAsia" w:ascii="宋体" w:hAnsi="宋体" w:cs="宋体"/>
          <w:sz w:val="24"/>
          <w:szCs w:val="24"/>
          <w:u w:val="single"/>
          <w:lang w:val="en-US" w:eastAsia="zh-CN"/>
        </w:rPr>
        <w:t>23</w:t>
      </w:r>
      <w:r>
        <w:rPr>
          <w:rFonts w:hint="eastAsia" w:ascii="宋体" w:hAnsi="宋体" w:cs="宋体"/>
          <w:sz w:val="24"/>
          <w:szCs w:val="24"/>
        </w:rPr>
        <w:t>日</w:t>
      </w:r>
      <w:r>
        <w:rPr>
          <w:rFonts w:hint="eastAsia" w:ascii="宋体" w:hAnsi="宋体" w:cs="宋体"/>
          <w:sz w:val="24"/>
          <w:szCs w:val="24"/>
          <w:u w:val="single"/>
          <w:lang w:val="en-US" w:eastAsia="zh-CN"/>
        </w:rPr>
        <w:t>14</w:t>
      </w:r>
      <w:r>
        <w:rPr>
          <w:rFonts w:hint="eastAsia" w:ascii="宋体" w:hAnsi="宋体" w:cs="宋体"/>
          <w:sz w:val="24"/>
          <w:szCs w:val="24"/>
        </w:rPr>
        <w:t>时</w:t>
      </w:r>
      <w:r>
        <w:rPr>
          <w:rFonts w:hint="eastAsia" w:ascii="宋体" w:hAnsi="宋体" w:cs="宋体"/>
          <w:sz w:val="24"/>
          <w:szCs w:val="24"/>
          <w:u w:val="single"/>
          <w:lang w:val="en-US" w:eastAsia="zh-CN"/>
        </w:rPr>
        <w:t>3</w:t>
      </w:r>
      <w:bookmarkStart w:id="72" w:name="_GoBack"/>
      <w:bookmarkEnd w:id="72"/>
      <w:r>
        <w:rPr>
          <w:rFonts w:hint="eastAsia" w:ascii="宋体" w:hAnsi="宋体" w:cs="宋体"/>
          <w:sz w:val="24"/>
          <w:szCs w:val="24"/>
          <w:u w:val="single"/>
          <w:lang w:val="en-US" w:eastAsia="zh-CN"/>
        </w:rPr>
        <w:t>0</w:t>
      </w:r>
      <w:r>
        <w:rPr>
          <w:rFonts w:hint="eastAsia" w:ascii="宋体" w:hAnsi="宋体" w:cs="宋体"/>
          <w:sz w:val="24"/>
          <w:szCs w:val="24"/>
        </w:rPr>
        <w:t>分。</w:t>
      </w:r>
    </w:p>
    <w:p>
      <w:pPr>
        <w:spacing w:line="312" w:lineRule="auto"/>
        <w:ind w:firstLine="540" w:firstLineChars="225"/>
        <w:rPr>
          <w:rFonts w:hint="eastAsia" w:ascii="宋体" w:hAnsi="宋体" w:cs="宋体"/>
          <w:sz w:val="24"/>
          <w:szCs w:val="24"/>
        </w:rPr>
      </w:pPr>
      <w:r>
        <w:rPr>
          <w:rFonts w:hint="eastAsia" w:ascii="宋体" w:hAnsi="宋体" w:cs="宋体"/>
          <w:sz w:val="24"/>
          <w:szCs w:val="24"/>
        </w:rPr>
        <w:t>注：发布招标公告的时间为招标公告发出之日起至投标截止时间止。</w:t>
      </w:r>
    </w:p>
    <w:p>
      <w:pPr>
        <w:spacing w:line="312" w:lineRule="auto"/>
        <w:ind w:firstLine="566" w:firstLineChars="236"/>
        <w:rPr>
          <w:rFonts w:hint="eastAsia" w:ascii="宋体" w:hAnsi="宋体" w:cs="宋体"/>
          <w:sz w:val="24"/>
          <w:szCs w:val="24"/>
        </w:rPr>
      </w:pPr>
      <w:bookmarkStart w:id="61" w:name="_Toc221949940"/>
      <w:r>
        <w:rPr>
          <w:rFonts w:hint="eastAsia" w:ascii="宋体" w:hAnsi="宋体" w:cs="宋体"/>
          <w:sz w:val="24"/>
          <w:szCs w:val="24"/>
        </w:rPr>
        <w:t>8.2本次招标公告同时在广州交易集团有限公司（广州公共资源交易中心）网站和</w:t>
      </w:r>
      <w:r>
        <w:rPr>
          <w:rFonts w:hint="eastAsia" w:ascii="宋体" w:hAnsi="宋体" w:cs="宋体"/>
          <w:kern w:val="0"/>
          <w:sz w:val="24"/>
          <w:szCs w:val="24"/>
        </w:rPr>
        <w:t>中国招标投标公共服务平台（网址：http://www.cebpubservice.com/）</w:t>
      </w:r>
      <w:r>
        <w:rPr>
          <w:rFonts w:hint="eastAsia" w:ascii="宋体" w:hAnsi="宋体" w:cs="宋体"/>
          <w:sz w:val="24"/>
          <w:szCs w:val="24"/>
        </w:rPr>
        <w:t>上发布。有关本公告的修改、补充以广州交易集团有限公司（广州公共资源交易中心）网站发布为准。</w:t>
      </w:r>
      <w:bookmarkEnd w:id="61"/>
    </w:p>
    <w:p>
      <w:pPr>
        <w:spacing w:line="312" w:lineRule="auto"/>
        <w:ind w:firstLine="542" w:firstLineChars="225"/>
        <w:rPr>
          <w:rFonts w:hint="eastAsia" w:ascii="宋体" w:hAnsi="宋体" w:cs="宋体"/>
          <w:b/>
          <w:sz w:val="24"/>
          <w:szCs w:val="24"/>
        </w:rPr>
      </w:pPr>
      <w:bookmarkStart w:id="62" w:name="_Toc222032639"/>
      <w:bookmarkStart w:id="63" w:name="_Toc144974485"/>
      <w:bookmarkStart w:id="64" w:name="_Toc222030972"/>
      <w:bookmarkStart w:id="65" w:name="_Toc229305330"/>
      <w:bookmarkStart w:id="66" w:name="_Toc168475632"/>
      <w:bookmarkStart w:id="67" w:name="_Toc222033821"/>
      <w:bookmarkStart w:id="68" w:name="_Toc221949941"/>
      <w:bookmarkStart w:id="69" w:name="_Toc259524303"/>
      <w:bookmarkStart w:id="70" w:name="_Toc168476035"/>
      <w:bookmarkStart w:id="71" w:name="_Toc222029470"/>
      <w:r>
        <w:rPr>
          <w:rFonts w:hint="eastAsia" w:ascii="宋体" w:hAnsi="宋体" w:cs="宋体"/>
          <w:b/>
          <w:sz w:val="24"/>
          <w:szCs w:val="24"/>
        </w:rPr>
        <w:t>9. 联系方式</w:t>
      </w:r>
      <w:bookmarkEnd w:id="62"/>
      <w:bookmarkEnd w:id="63"/>
      <w:bookmarkEnd w:id="64"/>
      <w:bookmarkEnd w:id="65"/>
      <w:bookmarkEnd w:id="66"/>
      <w:bookmarkEnd w:id="67"/>
      <w:bookmarkEnd w:id="68"/>
      <w:bookmarkEnd w:id="69"/>
      <w:bookmarkEnd w:id="70"/>
      <w:bookmarkEnd w:id="71"/>
    </w:p>
    <w:tbl>
      <w:tblPr>
        <w:tblStyle w:val="6"/>
        <w:tblW w:w="8471" w:type="dxa"/>
        <w:jc w:val="center"/>
        <w:tblLayout w:type="autofit"/>
        <w:tblCellMar>
          <w:top w:w="0" w:type="dxa"/>
          <w:left w:w="108" w:type="dxa"/>
          <w:bottom w:w="0" w:type="dxa"/>
          <w:right w:w="108" w:type="dxa"/>
        </w:tblCellMar>
      </w:tblPr>
      <w:tblGrid>
        <w:gridCol w:w="4219"/>
        <w:gridCol w:w="4252"/>
      </w:tblGrid>
      <w:tr>
        <w:tblPrEx>
          <w:tblCellMar>
            <w:top w:w="0" w:type="dxa"/>
            <w:left w:w="108" w:type="dxa"/>
            <w:bottom w:w="0" w:type="dxa"/>
            <w:right w:w="108" w:type="dxa"/>
          </w:tblCellMar>
        </w:tblPrEx>
        <w:trPr>
          <w:jc w:val="center"/>
        </w:trPr>
        <w:tc>
          <w:tcPr>
            <w:tcW w:w="4219" w:type="dxa"/>
            <w:noWrap w:val="0"/>
            <w:vAlign w:val="top"/>
          </w:tcPr>
          <w:p>
            <w:pPr>
              <w:topLinePunct/>
              <w:spacing w:line="312" w:lineRule="auto"/>
              <w:ind w:right="31" w:rightChars="15"/>
              <w:rPr>
                <w:rFonts w:hint="eastAsia" w:ascii="宋体" w:hAnsi="宋体" w:cs="宋体"/>
                <w:sz w:val="24"/>
                <w:szCs w:val="21"/>
              </w:rPr>
            </w:pPr>
            <w:r>
              <w:rPr>
                <w:rFonts w:hint="eastAsia" w:ascii="宋体" w:hAnsi="宋体" w:cs="宋体"/>
                <w:sz w:val="24"/>
                <w:szCs w:val="21"/>
              </w:rPr>
              <w:t>招 标 人：</w:t>
            </w:r>
            <w:r>
              <w:rPr>
                <w:rFonts w:hint="eastAsia" w:ascii="宋体" w:hAnsi="宋体" w:cs="宋体"/>
                <w:sz w:val="24"/>
                <w:szCs w:val="21"/>
                <w:u w:val="single"/>
              </w:rPr>
              <w:t xml:space="preserve">广州市净水有限公司 </w:t>
            </w:r>
            <w:r>
              <w:rPr>
                <w:rFonts w:hint="eastAsia" w:ascii="宋体" w:hAnsi="宋体" w:cs="宋体"/>
                <w:sz w:val="24"/>
                <w:szCs w:val="21"/>
              </w:rPr>
              <w:t xml:space="preserve"> </w:t>
            </w:r>
          </w:p>
        </w:tc>
        <w:tc>
          <w:tcPr>
            <w:tcW w:w="4252" w:type="dxa"/>
            <w:noWrap w:val="0"/>
            <w:vAlign w:val="top"/>
          </w:tcPr>
          <w:p>
            <w:pPr>
              <w:topLinePunct/>
              <w:spacing w:line="312" w:lineRule="auto"/>
              <w:ind w:left="1591" w:leftChars="16" w:hanging="1557" w:hangingChars="649"/>
              <w:rPr>
                <w:rFonts w:hint="eastAsia" w:ascii="宋体" w:hAnsi="宋体" w:cs="宋体"/>
                <w:sz w:val="24"/>
                <w:szCs w:val="21"/>
                <w:u w:val="single"/>
              </w:rPr>
            </w:pPr>
            <w:r>
              <w:rPr>
                <w:rFonts w:hint="eastAsia" w:ascii="宋体" w:hAnsi="宋体" w:cs="宋体"/>
                <w:sz w:val="24"/>
                <w:szCs w:val="21"/>
              </w:rPr>
              <w:t>招标代理机构：</w:t>
            </w:r>
            <w:r>
              <w:rPr>
                <w:rFonts w:hint="eastAsia" w:ascii="宋体" w:hAnsi="宋体" w:cs="宋体"/>
                <w:sz w:val="24"/>
                <w:u w:val="single"/>
              </w:rPr>
              <w:t>广东省城规建设监理有限公司</w:t>
            </w:r>
          </w:p>
        </w:tc>
      </w:tr>
      <w:tr>
        <w:tblPrEx>
          <w:tblCellMar>
            <w:top w:w="0" w:type="dxa"/>
            <w:left w:w="108" w:type="dxa"/>
            <w:bottom w:w="0" w:type="dxa"/>
            <w:right w:w="108" w:type="dxa"/>
          </w:tblCellMar>
        </w:tblPrEx>
        <w:trPr>
          <w:jc w:val="center"/>
        </w:trPr>
        <w:tc>
          <w:tcPr>
            <w:tcW w:w="4219" w:type="dxa"/>
            <w:noWrap w:val="0"/>
            <w:vAlign w:val="top"/>
          </w:tcPr>
          <w:p>
            <w:pPr>
              <w:topLinePunct/>
              <w:spacing w:line="312" w:lineRule="auto"/>
              <w:rPr>
                <w:rFonts w:hint="eastAsia" w:ascii="宋体" w:hAnsi="宋体" w:cs="宋体"/>
                <w:sz w:val="24"/>
                <w:szCs w:val="21"/>
              </w:rPr>
            </w:pPr>
            <w:r>
              <w:rPr>
                <w:rFonts w:hint="eastAsia" w:ascii="宋体" w:hAnsi="宋体" w:cs="宋体"/>
                <w:sz w:val="24"/>
                <w:szCs w:val="21"/>
              </w:rPr>
              <w:t>地    址：</w:t>
            </w:r>
            <w:r>
              <w:rPr>
                <w:rFonts w:hint="eastAsia" w:ascii="宋体" w:hAnsi="宋体" w:cs="宋体"/>
                <w:sz w:val="24"/>
                <w:szCs w:val="24"/>
                <w:u w:val="single"/>
              </w:rPr>
              <w:t>广州市临江大道501号</w:t>
            </w:r>
          </w:p>
        </w:tc>
        <w:tc>
          <w:tcPr>
            <w:tcW w:w="4252" w:type="dxa"/>
            <w:noWrap w:val="0"/>
            <w:vAlign w:val="center"/>
          </w:tcPr>
          <w:p>
            <w:pPr>
              <w:topLinePunct/>
              <w:spacing w:line="312" w:lineRule="auto"/>
              <w:ind w:left="4" w:leftChars="2"/>
              <w:rPr>
                <w:rFonts w:hint="eastAsia" w:ascii="宋体" w:hAnsi="宋体" w:cs="宋体"/>
                <w:sz w:val="24"/>
                <w:szCs w:val="21"/>
              </w:rPr>
            </w:pPr>
            <w:r>
              <w:rPr>
                <w:rFonts w:hint="eastAsia" w:ascii="宋体" w:hAnsi="宋体" w:cs="宋体"/>
                <w:sz w:val="24"/>
                <w:szCs w:val="21"/>
              </w:rPr>
              <w:t>地    址：</w:t>
            </w:r>
            <w:r>
              <w:rPr>
                <w:rFonts w:hint="eastAsia" w:ascii="宋体" w:hAnsi="宋体" w:cs="宋体"/>
                <w:sz w:val="24"/>
                <w:szCs w:val="21"/>
                <w:u w:val="single"/>
              </w:rPr>
              <w:t>广州市越秀区东风中路300号之一20楼北向1-10房</w:t>
            </w:r>
          </w:p>
        </w:tc>
      </w:tr>
      <w:tr>
        <w:tblPrEx>
          <w:tblCellMar>
            <w:top w:w="0" w:type="dxa"/>
            <w:left w:w="108" w:type="dxa"/>
            <w:bottom w:w="0" w:type="dxa"/>
            <w:right w:w="108" w:type="dxa"/>
          </w:tblCellMar>
        </w:tblPrEx>
        <w:trPr>
          <w:jc w:val="center"/>
        </w:trPr>
        <w:tc>
          <w:tcPr>
            <w:tcW w:w="4219" w:type="dxa"/>
            <w:noWrap w:val="0"/>
            <w:vAlign w:val="top"/>
          </w:tcPr>
          <w:p>
            <w:pPr>
              <w:topLinePunct/>
              <w:spacing w:line="312" w:lineRule="auto"/>
              <w:rPr>
                <w:rFonts w:hint="eastAsia" w:ascii="宋体" w:hAnsi="宋体" w:cs="宋体"/>
                <w:sz w:val="24"/>
                <w:szCs w:val="21"/>
                <w:u w:val="single"/>
              </w:rPr>
            </w:pPr>
            <w:r>
              <w:rPr>
                <w:rFonts w:hint="eastAsia" w:ascii="宋体" w:hAnsi="宋体" w:cs="宋体"/>
                <w:sz w:val="24"/>
                <w:szCs w:val="21"/>
              </w:rPr>
              <w:t>邮    编：</w:t>
            </w:r>
            <w:r>
              <w:rPr>
                <w:rFonts w:hint="eastAsia" w:ascii="宋体" w:hAnsi="宋体" w:cs="宋体"/>
                <w:sz w:val="24"/>
                <w:szCs w:val="24"/>
                <w:u w:val="single"/>
              </w:rPr>
              <w:t>510655</w:t>
            </w:r>
          </w:p>
        </w:tc>
        <w:tc>
          <w:tcPr>
            <w:tcW w:w="4252" w:type="dxa"/>
            <w:noWrap w:val="0"/>
            <w:vAlign w:val="top"/>
          </w:tcPr>
          <w:p>
            <w:pPr>
              <w:topLinePunct/>
              <w:spacing w:line="312" w:lineRule="auto"/>
              <w:rPr>
                <w:rFonts w:hint="eastAsia" w:ascii="宋体" w:hAnsi="宋体" w:cs="宋体"/>
                <w:sz w:val="24"/>
                <w:szCs w:val="21"/>
              </w:rPr>
            </w:pPr>
            <w:r>
              <w:rPr>
                <w:rFonts w:hint="eastAsia" w:ascii="宋体" w:hAnsi="宋体" w:cs="宋体"/>
                <w:sz w:val="24"/>
                <w:szCs w:val="21"/>
              </w:rPr>
              <w:t>邮    编：</w:t>
            </w:r>
            <w:r>
              <w:rPr>
                <w:rFonts w:hint="eastAsia" w:ascii="宋体" w:hAnsi="宋体" w:cs="宋体"/>
                <w:sz w:val="24"/>
                <w:szCs w:val="21"/>
                <w:u w:val="single"/>
              </w:rPr>
              <w:t>510000</w:t>
            </w:r>
          </w:p>
        </w:tc>
      </w:tr>
      <w:tr>
        <w:tblPrEx>
          <w:tblCellMar>
            <w:top w:w="0" w:type="dxa"/>
            <w:left w:w="108" w:type="dxa"/>
            <w:bottom w:w="0" w:type="dxa"/>
            <w:right w:w="108" w:type="dxa"/>
          </w:tblCellMar>
        </w:tblPrEx>
        <w:trPr>
          <w:jc w:val="center"/>
        </w:trPr>
        <w:tc>
          <w:tcPr>
            <w:tcW w:w="4219" w:type="dxa"/>
            <w:noWrap w:val="0"/>
            <w:vAlign w:val="top"/>
          </w:tcPr>
          <w:p>
            <w:pPr>
              <w:topLinePunct/>
              <w:spacing w:line="312" w:lineRule="auto"/>
              <w:rPr>
                <w:rFonts w:hint="eastAsia" w:ascii="宋体" w:hAnsi="宋体" w:cs="宋体"/>
                <w:sz w:val="24"/>
                <w:szCs w:val="21"/>
              </w:rPr>
            </w:pPr>
            <w:r>
              <w:rPr>
                <w:rFonts w:hint="eastAsia" w:ascii="宋体" w:hAnsi="宋体" w:cs="宋体"/>
                <w:sz w:val="24"/>
                <w:szCs w:val="21"/>
              </w:rPr>
              <w:t>联 系 人：</w:t>
            </w:r>
            <w:r>
              <w:rPr>
                <w:rFonts w:hint="eastAsia" w:ascii="宋体" w:hAnsi="宋体" w:cs="宋体"/>
                <w:sz w:val="24"/>
                <w:szCs w:val="21"/>
                <w:u w:val="single"/>
              </w:rPr>
              <w:t xml:space="preserve">杜工  </w:t>
            </w:r>
          </w:p>
        </w:tc>
        <w:tc>
          <w:tcPr>
            <w:tcW w:w="4252" w:type="dxa"/>
            <w:noWrap w:val="0"/>
            <w:vAlign w:val="top"/>
          </w:tcPr>
          <w:p>
            <w:pPr>
              <w:spacing w:line="312" w:lineRule="auto"/>
              <w:rPr>
                <w:rFonts w:hint="eastAsia" w:ascii="宋体" w:hAnsi="宋体" w:cs="宋体"/>
                <w:sz w:val="24"/>
                <w:szCs w:val="24"/>
              </w:rPr>
            </w:pPr>
            <w:r>
              <w:rPr>
                <w:rFonts w:hint="eastAsia" w:ascii="宋体" w:hAnsi="宋体" w:cs="宋体"/>
                <w:sz w:val="24"/>
                <w:szCs w:val="21"/>
              </w:rPr>
              <w:t>联 系 人：</w:t>
            </w:r>
            <w:r>
              <w:rPr>
                <w:rFonts w:hint="eastAsia" w:ascii="宋体" w:hAnsi="宋体" w:cs="宋体"/>
                <w:sz w:val="24"/>
                <w:szCs w:val="21"/>
                <w:u w:val="single"/>
              </w:rPr>
              <w:t>严工</w:t>
            </w:r>
          </w:p>
        </w:tc>
      </w:tr>
      <w:tr>
        <w:tblPrEx>
          <w:tblCellMar>
            <w:top w:w="0" w:type="dxa"/>
            <w:left w:w="108" w:type="dxa"/>
            <w:bottom w:w="0" w:type="dxa"/>
            <w:right w:w="108" w:type="dxa"/>
          </w:tblCellMar>
        </w:tblPrEx>
        <w:trPr>
          <w:jc w:val="center"/>
        </w:trPr>
        <w:tc>
          <w:tcPr>
            <w:tcW w:w="4219" w:type="dxa"/>
            <w:noWrap w:val="0"/>
            <w:vAlign w:val="top"/>
          </w:tcPr>
          <w:p>
            <w:pPr>
              <w:topLinePunct/>
              <w:spacing w:line="312" w:lineRule="auto"/>
              <w:rPr>
                <w:rFonts w:hint="eastAsia" w:ascii="宋体" w:hAnsi="宋体" w:cs="宋体"/>
                <w:sz w:val="24"/>
                <w:szCs w:val="21"/>
              </w:rPr>
            </w:pPr>
            <w:r>
              <w:rPr>
                <w:rFonts w:hint="eastAsia" w:ascii="宋体" w:hAnsi="宋体" w:cs="宋体"/>
                <w:sz w:val="24"/>
                <w:szCs w:val="21"/>
              </w:rPr>
              <w:t>电    话：</w:t>
            </w:r>
            <w:r>
              <w:rPr>
                <w:rFonts w:hint="eastAsia" w:ascii="宋体" w:hAnsi="宋体" w:cs="宋体"/>
                <w:sz w:val="24"/>
                <w:szCs w:val="21"/>
                <w:u w:val="single"/>
              </w:rPr>
              <w:t xml:space="preserve">020-38890467 </w:t>
            </w:r>
          </w:p>
        </w:tc>
        <w:tc>
          <w:tcPr>
            <w:tcW w:w="4252" w:type="dxa"/>
            <w:noWrap w:val="0"/>
            <w:vAlign w:val="top"/>
          </w:tcPr>
          <w:p>
            <w:pPr>
              <w:topLinePunct/>
              <w:spacing w:line="312" w:lineRule="auto"/>
              <w:rPr>
                <w:rFonts w:hint="eastAsia" w:ascii="宋体" w:hAnsi="宋体" w:cs="宋体"/>
                <w:sz w:val="24"/>
                <w:szCs w:val="21"/>
                <w:u w:val="single"/>
              </w:rPr>
            </w:pPr>
            <w:r>
              <w:rPr>
                <w:rFonts w:hint="eastAsia" w:ascii="宋体" w:hAnsi="宋体" w:cs="宋体"/>
                <w:sz w:val="24"/>
                <w:szCs w:val="21"/>
              </w:rPr>
              <w:t>电    话：</w:t>
            </w:r>
            <w:r>
              <w:rPr>
                <w:rFonts w:hint="eastAsia" w:ascii="宋体" w:hAnsi="宋体" w:cs="宋体"/>
                <w:sz w:val="24"/>
                <w:szCs w:val="21"/>
                <w:u w:val="single"/>
              </w:rPr>
              <w:t>020-83562591</w:t>
            </w:r>
          </w:p>
        </w:tc>
      </w:tr>
      <w:tr>
        <w:tblPrEx>
          <w:tblCellMar>
            <w:top w:w="0" w:type="dxa"/>
            <w:left w:w="108" w:type="dxa"/>
            <w:bottom w:w="0" w:type="dxa"/>
            <w:right w:w="108" w:type="dxa"/>
          </w:tblCellMar>
        </w:tblPrEx>
        <w:trPr>
          <w:jc w:val="center"/>
        </w:trPr>
        <w:tc>
          <w:tcPr>
            <w:tcW w:w="4219" w:type="dxa"/>
            <w:noWrap w:val="0"/>
            <w:vAlign w:val="top"/>
          </w:tcPr>
          <w:p>
            <w:pPr>
              <w:topLinePunct/>
              <w:spacing w:line="312" w:lineRule="auto"/>
              <w:rPr>
                <w:rFonts w:hint="eastAsia" w:ascii="宋体" w:hAnsi="宋体" w:cs="宋体"/>
                <w:sz w:val="24"/>
                <w:szCs w:val="21"/>
              </w:rPr>
            </w:pPr>
            <w:r>
              <w:rPr>
                <w:rFonts w:hint="eastAsia" w:ascii="宋体" w:hAnsi="宋体" w:cs="宋体"/>
                <w:sz w:val="24"/>
                <w:szCs w:val="21"/>
              </w:rPr>
              <w:t>传    真：</w:t>
            </w:r>
            <w:r>
              <w:rPr>
                <w:rFonts w:hint="eastAsia" w:ascii="宋体" w:hAnsi="宋体" w:cs="宋体"/>
                <w:sz w:val="24"/>
                <w:szCs w:val="21"/>
                <w:u w:val="single"/>
              </w:rPr>
              <w:t>/</w:t>
            </w:r>
            <w:r>
              <w:rPr>
                <w:rFonts w:hint="eastAsia" w:ascii="宋体" w:hAnsi="宋体" w:cs="宋体"/>
                <w:sz w:val="24"/>
                <w:szCs w:val="21"/>
              </w:rPr>
              <w:t xml:space="preserve"> </w:t>
            </w:r>
          </w:p>
        </w:tc>
        <w:tc>
          <w:tcPr>
            <w:tcW w:w="4252" w:type="dxa"/>
            <w:noWrap w:val="0"/>
            <w:vAlign w:val="top"/>
          </w:tcPr>
          <w:p>
            <w:pPr>
              <w:topLinePunct/>
              <w:spacing w:line="312" w:lineRule="auto"/>
              <w:rPr>
                <w:rFonts w:hint="eastAsia" w:ascii="宋体" w:hAnsi="宋体" w:cs="宋体"/>
                <w:sz w:val="24"/>
                <w:szCs w:val="21"/>
              </w:rPr>
            </w:pPr>
            <w:r>
              <w:rPr>
                <w:rFonts w:hint="eastAsia" w:ascii="宋体" w:hAnsi="宋体" w:cs="宋体"/>
                <w:sz w:val="24"/>
                <w:szCs w:val="21"/>
              </w:rPr>
              <w:t>传    真：</w:t>
            </w:r>
            <w:r>
              <w:rPr>
                <w:rFonts w:hint="eastAsia" w:ascii="宋体" w:hAnsi="宋体" w:cs="宋体"/>
                <w:sz w:val="24"/>
                <w:szCs w:val="21"/>
                <w:u w:val="single"/>
              </w:rPr>
              <w:t>/</w:t>
            </w:r>
          </w:p>
        </w:tc>
      </w:tr>
      <w:tr>
        <w:tblPrEx>
          <w:tblCellMar>
            <w:top w:w="0" w:type="dxa"/>
            <w:left w:w="108" w:type="dxa"/>
            <w:bottom w:w="0" w:type="dxa"/>
            <w:right w:w="108" w:type="dxa"/>
          </w:tblCellMar>
        </w:tblPrEx>
        <w:trPr>
          <w:jc w:val="center"/>
        </w:trPr>
        <w:tc>
          <w:tcPr>
            <w:tcW w:w="4219" w:type="dxa"/>
            <w:noWrap w:val="0"/>
            <w:vAlign w:val="top"/>
          </w:tcPr>
          <w:p>
            <w:pPr>
              <w:topLinePunct/>
              <w:spacing w:line="312" w:lineRule="auto"/>
              <w:rPr>
                <w:rFonts w:hint="eastAsia" w:ascii="宋体" w:hAnsi="宋体" w:cs="宋体"/>
                <w:sz w:val="24"/>
                <w:szCs w:val="21"/>
              </w:rPr>
            </w:pPr>
            <w:r>
              <w:rPr>
                <w:rFonts w:hint="eastAsia" w:ascii="宋体" w:hAnsi="宋体" w:cs="宋体"/>
                <w:sz w:val="24"/>
                <w:szCs w:val="21"/>
              </w:rPr>
              <w:t>电子邮件：</w:t>
            </w:r>
            <w:r>
              <w:rPr>
                <w:rFonts w:hint="eastAsia" w:ascii="宋体" w:hAnsi="宋体" w:cs="宋体"/>
                <w:sz w:val="24"/>
                <w:szCs w:val="21"/>
                <w:u w:val="single"/>
              </w:rPr>
              <w:t>/</w:t>
            </w:r>
          </w:p>
        </w:tc>
        <w:tc>
          <w:tcPr>
            <w:tcW w:w="4252" w:type="dxa"/>
            <w:noWrap w:val="0"/>
            <w:vAlign w:val="top"/>
          </w:tcPr>
          <w:p>
            <w:pPr>
              <w:spacing w:line="312" w:lineRule="auto"/>
              <w:rPr>
                <w:rFonts w:hint="eastAsia" w:ascii="宋体" w:hAnsi="宋体" w:cs="宋体"/>
                <w:sz w:val="24"/>
                <w:szCs w:val="21"/>
                <w:u w:val="single"/>
              </w:rPr>
            </w:pPr>
            <w:r>
              <w:rPr>
                <w:rFonts w:hint="eastAsia" w:ascii="宋体" w:hAnsi="宋体" w:cs="宋体"/>
                <w:sz w:val="24"/>
                <w:szCs w:val="21"/>
              </w:rPr>
              <w:t>电子邮件：</w:t>
            </w:r>
            <w:r>
              <w:rPr>
                <w:rFonts w:hint="eastAsia" w:ascii="宋体" w:hAnsi="宋体" w:cs="宋体"/>
                <w:sz w:val="24"/>
                <w:szCs w:val="21"/>
                <w:u w:val="single"/>
              </w:rPr>
              <w:t>/</w:t>
            </w:r>
          </w:p>
        </w:tc>
      </w:tr>
    </w:tbl>
    <w:p>
      <w:pPr>
        <w:pStyle w:val="3"/>
        <w:spacing w:line="312" w:lineRule="auto"/>
        <w:ind w:firstLine="0" w:firstLineChars="0"/>
        <w:rPr>
          <w:rFonts w:hint="eastAsia" w:ascii="宋体" w:hAnsi="宋体" w:cs="宋体"/>
          <w:sz w:val="24"/>
          <w:szCs w:val="24"/>
        </w:rPr>
      </w:pPr>
    </w:p>
    <w:p>
      <w:pPr>
        <w:spacing w:line="312" w:lineRule="auto"/>
        <w:jc w:val="right"/>
        <w:rPr>
          <w:rFonts w:hint="eastAsia" w:ascii="宋体" w:hAnsi="宋体" w:cs="宋体"/>
          <w:b/>
          <w:sz w:val="28"/>
        </w:rPr>
      </w:pPr>
      <w:r>
        <w:rPr>
          <w:rFonts w:hint="eastAsia" w:ascii="宋体" w:hAnsi="宋体" w:cs="宋体"/>
          <w:sz w:val="24"/>
        </w:rPr>
        <w:t>2023年</w:t>
      </w:r>
      <w:r>
        <w:rPr>
          <w:rFonts w:hint="eastAsia" w:ascii="宋体" w:hAnsi="宋体" w:cs="宋体"/>
          <w:sz w:val="24"/>
          <w:u w:val="single"/>
          <w:lang w:val="en-US" w:eastAsia="zh-CN"/>
        </w:rPr>
        <w:t>8</w:t>
      </w:r>
      <w:r>
        <w:rPr>
          <w:rFonts w:hint="eastAsia" w:ascii="宋体" w:hAnsi="宋体" w:cs="宋体"/>
          <w:sz w:val="24"/>
        </w:rPr>
        <w:t>月</w:t>
      </w:r>
      <w:r>
        <w:rPr>
          <w:rFonts w:hint="eastAsia" w:ascii="宋体" w:hAnsi="宋体" w:cs="宋体"/>
          <w:sz w:val="24"/>
          <w:lang w:val="en-US" w:eastAsia="zh-CN"/>
        </w:rPr>
        <w:t>2</w:t>
      </w:r>
      <w:r>
        <w:rPr>
          <w:rFonts w:hint="eastAsia" w:ascii="宋体" w:hAnsi="宋体" w:cs="宋体"/>
          <w:sz w:val="24"/>
        </w:rPr>
        <w:t>日</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46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decimal"/>
      <w:lvlText w:val="%1."/>
      <w:lvlJc w:val="left"/>
      <w:pPr>
        <w:ind w:left="902" w:hanging="360"/>
      </w:pPr>
      <w:rPr>
        <w:rFonts w:hint="default"/>
      </w:rPr>
    </w:lvl>
    <w:lvl w:ilvl="1" w:tentative="0">
      <w:start w:val="1"/>
      <w:numFmt w:val="lowerLetter"/>
      <w:lvlText w:val="%2)"/>
      <w:lvlJc w:val="left"/>
      <w:pPr>
        <w:ind w:left="1382" w:hanging="420"/>
      </w:pPr>
    </w:lvl>
    <w:lvl w:ilvl="2" w:tentative="0">
      <w:start w:val="1"/>
      <w:numFmt w:val="lowerRoman"/>
      <w:lvlText w:val="%3."/>
      <w:lvlJc w:val="right"/>
      <w:pPr>
        <w:ind w:left="1802" w:hanging="420"/>
      </w:pPr>
    </w:lvl>
    <w:lvl w:ilvl="3" w:tentative="0">
      <w:start w:val="1"/>
      <w:numFmt w:val="decimal"/>
      <w:lvlText w:val="%4."/>
      <w:lvlJc w:val="left"/>
      <w:pPr>
        <w:ind w:left="2222" w:hanging="420"/>
      </w:pPr>
    </w:lvl>
    <w:lvl w:ilvl="4" w:tentative="0">
      <w:start w:val="1"/>
      <w:numFmt w:val="lowerLetter"/>
      <w:lvlText w:val="%5)"/>
      <w:lvlJc w:val="left"/>
      <w:pPr>
        <w:ind w:left="2642" w:hanging="420"/>
      </w:pPr>
    </w:lvl>
    <w:lvl w:ilvl="5" w:tentative="0">
      <w:start w:val="1"/>
      <w:numFmt w:val="lowerRoman"/>
      <w:lvlText w:val="%6."/>
      <w:lvlJc w:val="right"/>
      <w:pPr>
        <w:ind w:left="3062" w:hanging="420"/>
      </w:pPr>
    </w:lvl>
    <w:lvl w:ilvl="6" w:tentative="0">
      <w:start w:val="1"/>
      <w:numFmt w:val="decimal"/>
      <w:lvlText w:val="%7."/>
      <w:lvlJc w:val="left"/>
      <w:pPr>
        <w:ind w:left="3482" w:hanging="420"/>
      </w:pPr>
    </w:lvl>
    <w:lvl w:ilvl="7" w:tentative="0">
      <w:start w:val="1"/>
      <w:numFmt w:val="lowerLetter"/>
      <w:lvlText w:val="%8)"/>
      <w:lvlJc w:val="left"/>
      <w:pPr>
        <w:ind w:left="3902" w:hanging="420"/>
      </w:pPr>
    </w:lvl>
    <w:lvl w:ilvl="8" w:tentative="0">
      <w:start w:val="1"/>
      <w:numFmt w:val="lowerRoman"/>
      <w:lvlText w:val="%9."/>
      <w:lvlJc w:val="right"/>
      <w:pPr>
        <w:ind w:left="432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yODg0ZDJlNDQ1NzhjMzU2OTcyYmFkMzFhNjE0NmYifQ=="/>
  </w:docVars>
  <w:rsids>
    <w:rsidRoot w:val="41DA1A51"/>
    <w:rsid w:val="01853AB7"/>
    <w:rsid w:val="0FBA05A0"/>
    <w:rsid w:val="3329370D"/>
    <w:rsid w:val="41DA1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pPr>
      <w:spacing w:after="120"/>
    </w:pPr>
    <w:rPr>
      <w:kern w:val="0"/>
      <w:sz w:val="20"/>
      <w:szCs w:val="20"/>
    </w:rPr>
  </w:style>
  <w:style w:type="paragraph" w:styleId="3">
    <w:name w:val="Normal Indent"/>
    <w:basedOn w:val="1"/>
    <w:qFormat/>
    <w:uiPriority w:val="0"/>
    <w:pPr>
      <w:ind w:firstLine="420" w:firstLineChars="200"/>
    </w:pPr>
    <w:rPr>
      <w:rFonts w:ascii="Times New Roman" w:hAnsi="Times New Roman" w:eastAsia="宋体" w:cs="Times New Roman"/>
    </w:rPr>
  </w:style>
  <w:style w:type="paragraph" w:styleId="4">
    <w:name w:val="footer"/>
    <w:basedOn w:val="1"/>
    <w:qFormat/>
    <w:uiPriority w:val="0"/>
    <w:pPr>
      <w:tabs>
        <w:tab w:val="center" w:pos="4153"/>
        <w:tab w:val="right" w:pos="8306"/>
      </w:tabs>
      <w:snapToGrid w:val="0"/>
      <w:jc w:val="left"/>
    </w:pPr>
    <w:rPr>
      <w:kern w:val="0"/>
      <w:sz w:val="18"/>
      <w:szCs w:val="18"/>
    </w:rPr>
  </w:style>
  <w:style w:type="paragraph" w:styleId="5">
    <w:name w:val="Body Text 2"/>
    <w:basedOn w:val="1"/>
    <w:uiPriority w:val="0"/>
    <w:rPr>
      <w:rFonts w:ascii="宋体" w:hAnsi="宋体" w:eastAsia="楷体_GB2312"/>
      <w:kern w:val="0"/>
      <w:sz w:val="20"/>
      <w:szCs w:val="24"/>
      <w:u w:val="single"/>
    </w:rPr>
  </w:style>
  <w:style w:type="character" w:styleId="8">
    <w:name w:val="Hyperlink"/>
    <w:qFormat/>
    <w:uiPriority w:val="0"/>
    <w:rPr>
      <w:rFonts w:ascii="Arial" w:hAnsi="Arial" w:eastAsia="黑体" w:cs="Times New Roman"/>
      <w:color w:val="0000FF"/>
      <w:kern w:val="2"/>
      <w:sz w:val="21"/>
      <w:szCs w:val="21"/>
      <w:u w:val="single"/>
      <w:lang w:val="en-US" w:eastAsia="zh-CN" w:bidi="ar-SA"/>
    </w:rPr>
  </w:style>
  <w:style w:type="paragraph" w:styleId="9">
    <w:name w:val="List Paragraph"/>
    <w:basedOn w:val="1"/>
    <w:qFormat/>
    <w:uiPriority w:val="0"/>
    <w:pPr>
      <w:ind w:firstLine="420" w:firstLineChars="200"/>
    </w:pPr>
    <w:rPr>
      <w:rFonts w:ascii="Times New Roman" w:hAnsi="Times New Roman" w:eastAsia="宋体" w:cs="Times New Roman"/>
    </w:rPr>
  </w:style>
  <w:style w:type="paragraph" w:customStyle="1" w:styleId="10">
    <w:name w:val="p0"/>
    <w:basedOn w:val="1"/>
    <w:uiPriority w:val="0"/>
    <w:pPr>
      <w:widowControl/>
      <w:spacing w:before="75" w:after="75"/>
      <w:jc w:val="left"/>
    </w:pPr>
    <w:rPr>
      <w:rFonts w:ascii="宋体" w:hAnsi="宋体" w:eastAsia="宋体" w:cs="宋体"/>
      <w:kern w:val="0"/>
      <w:sz w:val="24"/>
      <w:szCs w:val="24"/>
    </w:rPr>
  </w:style>
  <w:style w:type="character" w:customStyle="1" w:styleId="11">
    <w:name w:val="NormalCharacter"/>
    <w:uiPriority w:val="0"/>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4551</Words>
  <Characters>4962</Characters>
  <Lines>0</Lines>
  <Paragraphs>0</Paragraphs>
  <TotalTime>0</TotalTime>
  <ScaleCrop>false</ScaleCrop>
  <LinksUpToDate>false</LinksUpToDate>
  <CharactersWithSpaces>5041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2023-08-02T03:51:00Z</dcterms:created>
  <dc:creator>y</dc:creator>
  <cp:lastModifiedBy>YIP</cp:lastModifiedBy>
  <dcterms:modified xsi:type="dcterms:W3CDTF">2023-08-02T07:43:14Z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0AC48716B60148AA95985688B6EAFE80_11</vt:lpwstr>
  </property>
</Properties>
</file>