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hAnsi="宋体" w:cs="宋体"/>
          <w:b/>
          <w:sz w:val="56"/>
          <w:szCs w:val="72"/>
        </w:rPr>
      </w:pPr>
    </w:p>
    <w:p>
      <w:pPr>
        <w:spacing w:line="300" w:lineRule="auto"/>
        <w:jc w:val="center"/>
        <w:rPr>
          <w:rFonts w:ascii="宋体" w:hAnsi="宋体" w:cs="宋体"/>
          <w:b/>
          <w:sz w:val="56"/>
          <w:szCs w:val="72"/>
        </w:rPr>
      </w:pPr>
      <w:r>
        <w:rPr>
          <w:rFonts w:hint="eastAsia" w:ascii="宋体" w:hAnsi="宋体" w:cs="宋体"/>
          <w:b/>
          <w:sz w:val="56"/>
          <w:szCs w:val="72"/>
        </w:rPr>
        <w:t>海珠区住宅类排水单元达标创建工程监理（标段三）</w:t>
      </w:r>
    </w:p>
    <w:p>
      <w:pPr>
        <w:spacing w:line="300" w:lineRule="auto"/>
        <w:jc w:val="center"/>
        <w:rPr>
          <w:rFonts w:ascii="宋体" w:hAnsi="宋体" w:cs="宋体"/>
          <w:sz w:val="36"/>
          <w:u w:val="single"/>
        </w:rPr>
      </w:pPr>
    </w:p>
    <w:p>
      <w:pPr>
        <w:spacing w:line="300" w:lineRule="auto"/>
        <w:jc w:val="center"/>
        <w:rPr>
          <w:rFonts w:ascii="宋体" w:hAnsi="宋体" w:cs="宋体"/>
          <w:sz w:val="36"/>
          <w:u w:val="single"/>
        </w:rPr>
      </w:pPr>
    </w:p>
    <w:p>
      <w:pPr>
        <w:pStyle w:val="2"/>
        <w:rPr>
          <w:lang w:val="en-US"/>
        </w:rPr>
      </w:pPr>
    </w:p>
    <w:p>
      <w:pPr>
        <w:spacing w:line="300" w:lineRule="auto"/>
        <w:jc w:val="center"/>
        <w:rPr>
          <w:rFonts w:ascii="宋体" w:hAnsi="宋体" w:cs="宋体"/>
          <w:b/>
          <w:spacing w:val="26"/>
          <w:sz w:val="110"/>
        </w:rPr>
      </w:pPr>
      <w:r>
        <w:rPr>
          <w:rFonts w:hint="eastAsia" w:ascii="宋体" w:hAnsi="宋体" w:cs="宋体"/>
          <w:b/>
          <w:spacing w:val="26"/>
          <w:sz w:val="110"/>
        </w:rPr>
        <w:t>招标文件</w:t>
      </w:r>
    </w:p>
    <w:p>
      <w:pPr>
        <w:jc w:val="center"/>
        <w:rPr>
          <w:rFonts w:ascii="宋体" w:hAnsi="宋体" w:cs="宋体"/>
          <w:b/>
          <w:sz w:val="30"/>
        </w:rPr>
      </w:pPr>
    </w:p>
    <w:p>
      <w:pPr>
        <w:spacing w:line="300" w:lineRule="auto"/>
        <w:jc w:val="center"/>
        <w:rPr>
          <w:rFonts w:ascii="宋体" w:hAnsi="宋体" w:cs="宋体"/>
          <w:sz w:val="32"/>
        </w:rPr>
      </w:pPr>
    </w:p>
    <w:p>
      <w:pPr>
        <w:spacing w:line="300" w:lineRule="auto"/>
        <w:jc w:val="center"/>
        <w:rPr>
          <w:rFonts w:ascii="宋体" w:hAnsi="宋体" w:cs="宋体"/>
          <w:sz w:val="32"/>
        </w:rPr>
      </w:pPr>
    </w:p>
    <w:p>
      <w:pPr>
        <w:spacing w:line="300" w:lineRule="auto"/>
        <w:jc w:val="center"/>
        <w:rPr>
          <w:rFonts w:ascii="宋体" w:hAnsi="宋体" w:cs="宋体"/>
          <w:sz w:val="32"/>
        </w:rPr>
      </w:pPr>
    </w:p>
    <w:p>
      <w:pPr>
        <w:spacing w:line="300" w:lineRule="auto"/>
        <w:rPr>
          <w:rFonts w:ascii="宋体" w:hAnsi="宋体" w:cs="宋体"/>
          <w:sz w:val="52"/>
        </w:rPr>
      </w:pPr>
    </w:p>
    <w:p>
      <w:pPr>
        <w:spacing w:line="300" w:lineRule="auto"/>
        <w:rPr>
          <w:rFonts w:ascii="宋体" w:hAnsi="宋体" w:cs="宋体"/>
          <w:sz w:val="52"/>
        </w:rPr>
      </w:pPr>
    </w:p>
    <w:p>
      <w:pPr>
        <w:spacing w:line="360" w:lineRule="auto"/>
        <w:ind w:firstLine="945"/>
        <w:rPr>
          <w:rFonts w:ascii="宋体" w:hAnsi="宋体" w:cs="宋体"/>
          <w:sz w:val="30"/>
          <w:u w:val="single"/>
        </w:rPr>
      </w:pPr>
      <w:r>
        <w:rPr>
          <w:rFonts w:hint="eastAsia" w:ascii="宋体" w:hAnsi="宋体" w:cs="宋体"/>
          <w:sz w:val="30"/>
        </w:rPr>
        <w:t>招  标 单 位：</w:t>
      </w:r>
      <w:r>
        <w:rPr>
          <w:rFonts w:hint="eastAsia" w:ascii="宋体" w:hAnsi="宋体" w:cs="宋体"/>
          <w:sz w:val="30"/>
          <w:u w:val="single"/>
        </w:rPr>
        <w:t>广州市海珠区河涌管理所</w:t>
      </w:r>
    </w:p>
    <w:p>
      <w:pPr>
        <w:spacing w:line="360" w:lineRule="auto"/>
        <w:ind w:firstLine="945"/>
        <w:rPr>
          <w:rFonts w:ascii="宋体" w:hAnsi="宋体" w:cs="宋体"/>
          <w:sz w:val="30"/>
          <w:u w:val="single"/>
        </w:rPr>
      </w:pPr>
      <w:r>
        <w:rPr>
          <w:rFonts w:hint="eastAsia" w:ascii="宋体" w:hAnsi="宋体" w:cs="宋体"/>
          <w:sz w:val="30"/>
        </w:rPr>
        <w:t>招标代理单位：</w:t>
      </w:r>
      <w:r>
        <w:rPr>
          <w:rFonts w:hint="eastAsia" w:ascii="宋体" w:hAnsi="宋体" w:cs="宋体"/>
          <w:sz w:val="30"/>
          <w:u w:val="single"/>
        </w:rPr>
        <w:t>广州建朋工程咨询有限公司</w:t>
      </w:r>
    </w:p>
    <w:p>
      <w:pPr>
        <w:spacing w:line="360" w:lineRule="auto"/>
        <w:ind w:firstLine="945"/>
        <w:rPr>
          <w:rFonts w:ascii="宋体" w:hAnsi="宋体" w:cs="宋体"/>
          <w:b/>
          <w:u w:val="single"/>
          <w:lang w:val="zh-CN"/>
        </w:rPr>
      </w:pPr>
      <w:r>
        <w:rPr>
          <w:rFonts w:hint="eastAsia" w:ascii="宋体" w:hAnsi="宋体" w:cs="宋体"/>
          <w:sz w:val="32"/>
        </w:rPr>
        <w:t>日       期：</w:t>
      </w:r>
      <w:r>
        <w:rPr>
          <w:rFonts w:hint="eastAsia" w:ascii="宋体" w:hAnsi="宋体" w:cs="宋体"/>
          <w:sz w:val="32"/>
          <w:u w:val="single"/>
        </w:rPr>
        <w:t>2023年7月</w:t>
      </w:r>
    </w:p>
    <w:p>
      <w:pPr>
        <w:pStyle w:val="75"/>
        <w:keepNext w:val="0"/>
        <w:keepLines w:val="0"/>
        <w:widowControl w:val="0"/>
        <w:spacing w:line="360" w:lineRule="auto"/>
        <w:jc w:val="center"/>
        <w:rPr>
          <w:rFonts w:ascii="宋体" w:hAnsi="宋体"/>
          <w:b w:val="0"/>
          <w:color w:val="auto"/>
          <w:lang w:val="zh-CN"/>
        </w:rPr>
        <w:sectPr>
          <w:pgSz w:w="12240" w:h="15840"/>
          <w:pgMar w:top="1440" w:right="1800" w:bottom="1440" w:left="1800" w:header="720" w:footer="720" w:gutter="0"/>
          <w:pgNumType w:start="1"/>
          <w:cols w:space="720" w:num="1"/>
          <w:docGrid w:linePitch="285" w:charSpace="0"/>
        </w:sectPr>
      </w:pPr>
    </w:p>
    <w:p>
      <w:pPr>
        <w:spacing w:line="360" w:lineRule="auto"/>
        <w:jc w:val="center"/>
        <w:rPr>
          <w:bCs/>
          <w:sz w:val="52"/>
        </w:rPr>
      </w:pPr>
      <w:r>
        <w:rPr>
          <w:rFonts w:hint="eastAsia"/>
          <w:bCs/>
          <w:sz w:val="52"/>
        </w:rPr>
        <w:t>重要提示</w:t>
      </w:r>
    </w:p>
    <w:p>
      <w:pPr>
        <w:spacing w:line="360" w:lineRule="auto"/>
        <w:ind w:firstLine="537" w:firstLineChars="224"/>
        <w:jc w:val="center"/>
        <w:rPr>
          <w:rFonts w:ascii="宋体"/>
          <w:bCs/>
          <w:sz w:val="24"/>
        </w:rPr>
      </w:pPr>
    </w:p>
    <w:p>
      <w:pPr>
        <w:spacing w:line="360" w:lineRule="auto"/>
        <w:ind w:firstLine="480" w:firstLineChars="200"/>
        <w:rPr>
          <w:sz w:val="24"/>
        </w:rPr>
      </w:pPr>
      <w:r>
        <w:rPr>
          <w:rFonts w:hint="eastAsia"/>
          <w:sz w:val="24"/>
        </w:rPr>
        <w:t>本项目实施电子招投标，投标人应先认真阅读《房屋建筑和市政基础设施工程全流程电子化项目专章》。</w:t>
      </w:r>
    </w:p>
    <w:p>
      <w:pPr>
        <w:spacing w:beforeLines="50" w:afterLines="50" w:line="360" w:lineRule="auto"/>
        <w:jc w:val="center"/>
        <w:rPr>
          <w:rFonts w:ascii="宋体" w:hAnsi="宋体"/>
          <w:sz w:val="44"/>
          <w:szCs w:val="30"/>
        </w:rPr>
      </w:pPr>
      <w:r>
        <w:rPr>
          <w:rFonts w:ascii="宋体" w:hAnsi="宋体"/>
          <w:sz w:val="44"/>
          <w:szCs w:val="30"/>
        </w:rPr>
        <w:br w:type="page"/>
      </w:r>
      <w:r>
        <w:rPr>
          <w:rFonts w:ascii="宋体" w:hAnsi="宋体"/>
          <w:sz w:val="44"/>
          <w:szCs w:val="30"/>
        </w:rPr>
        <w:t>目录</w:t>
      </w:r>
    </w:p>
    <w:p>
      <w:pPr>
        <w:pStyle w:val="68"/>
        <w:tabs>
          <w:tab w:val="right" w:leader="dot" w:pos="9356"/>
        </w:tabs>
        <w:spacing w:line="600" w:lineRule="exact"/>
        <w:rPr>
          <w:rFonts w:ascii="Calibri" w:hAnsi="Calibri"/>
          <w:sz w:val="28"/>
          <w:szCs w:val="28"/>
        </w:rPr>
      </w:pPr>
      <w:bookmarkStart w:id="0" w:name="_Toc6072_WPSOffice_Type1"/>
      <w:r>
        <w:rPr>
          <w:rFonts w:ascii="Calibri" w:hAnsi="Calibri"/>
          <w:sz w:val="28"/>
          <w:szCs w:val="28"/>
        </w:rPr>
        <w:fldChar w:fldCharType="begin"/>
      </w:r>
      <w:r>
        <w:rPr>
          <w:rFonts w:ascii="Calibri" w:hAnsi="Calibri"/>
          <w:sz w:val="28"/>
          <w:szCs w:val="28"/>
        </w:rPr>
        <w:instrText xml:space="preserve"> HYPERLINK \l _Toc25240_WPSOffice_Level1 </w:instrText>
      </w:r>
      <w:r>
        <w:rPr>
          <w:rFonts w:ascii="Calibri" w:hAnsi="Calibri"/>
          <w:sz w:val="28"/>
          <w:szCs w:val="28"/>
        </w:rPr>
        <w:fldChar w:fldCharType="separate"/>
      </w:r>
      <w:r>
        <w:rPr>
          <w:rFonts w:hint="eastAsia" w:ascii="Calibri" w:hAnsi="Calibri"/>
          <w:sz w:val="28"/>
          <w:szCs w:val="28"/>
        </w:rPr>
        <w:t>第一章招标公告</w:t>
      </w:r>
      <w:r>
        <w:rPr>
          <w:rFonts w:ascii="Calibri" w:hAnsi="Calibri"/>
          <w:sz w:val="28"/>
          <w:szCs w:val="28"/>
        </w:rPr>
        <w:tab/>
      </w:r>
      <w:bookmarkStart w:id="1" w:name="_Toc25240_WPSOffice_Level1Page"/>
      <w:r>
        <w:rPr>
          <w:rFonts w:ascii="Calibri" w:hAnsi="Calibri"/>
          <w:sz w:val="28"/>
          <w:szCs w:val="28"/>
        </w:rPr>
        <w:t>4</w:t>
      </w:r>
      <w:bookmarkEnd w:id="1"/>
      <w:r>
        <w:rPr>
          <w:rFonts w:ascii="Calibri" w:hAnsi="Calibri"/>
          <w:sz w:val="28"/>
          <w:szCs w:val="28"/>
        </w:rPr>
        <w:fldChar w:fldCharType="end"/>
      </w:r>
    </w:p>
    <w:p>
      <w:pPr>
        <w:pStyle w:val="68"/>
        <w:tabs>
          <w:tab w:val="right" w:leader="dot" w:pos="9356"/>
        </w:tabs>
        <w:spacing w:line="600" w:lineRule="exact"/>
        <w:rPr>
          <w:rFonts w:ascii="Calibri" w:hAnsi="Calibri"/>
          <w:sz w:val="28"/>
          <w:szCs w:val="28"/>
        </w:rPr>
      </w:pPr>
      <w:r>
        <w:fldChar w:fldCharType="begin"/>
      </w:r>
      <w:r>
        <w:instrText xml:space="preserve"> HYPERLINK \l "_Toc407_WPSOffice_Level1" </w:instrText>
      </w:r>
      <w:r>
        <w:fldChar w:fldCharType="separate"/>
      </w:r>
      <w:r>
        <w:rPr>
          <w:rFonts w:hint="eastAsia" w:ascii="Calibri" w:hAnsi="Calibri"/>
          <w:sz w:val="28"/>
          <w:szCs w:val="28"/>
        </w:rPr>
        <w:t>第二章投标人须知</w:t>
      </w:r>
      <w:r>
        <w:rPr>
          <w:rFonts w:ascii="Calibri" w:hAnsi="Calibri"/>
          <w:sz w:val="28"/>
          <w:szCs w:val="28"/>
        </w:rPr>
        <w:tab/>
      </w:r>
      <w:bookmarkStart w:id="2" w:name="_Toc407_WPSOffice_Level1Page"/>
      <w:r>
        <w:rPr>
          <w:rFonts w:ascii="Calibri" w:hAnsi="Calibri"/>
          <w:sz w:val="28"/>
          <w:szCs w:val="28"/>
        </w:rPr>
        <w:t>5</w:t>
      </w:r>
      <w:bookmarkEnd w:id="2"/>
      <w:r>
        <w:rPr>
          <w:rFonts w:ascii="Calibri" w:hAnsi="Calibri"/>
          <w:sz w:val="28"/>
          <w:szCs w:val="28"/>
        </w:rPr>
        <w:fldChar w:fldCharType="end"/>
      </w:r>
    </w:p>
    <w:p>
      <w:pPr>
        <w:pStyle w:val="68"/>
        <w:tabs>
          <w:tab w:val="right" w:leader="dot" w:pos="9356"/>
        </w:tabs>
        <w:spacing w:line="600" w:lineRule="exact"/>
        <w:rPr>
          <w:rFonts w:ascii="Calibri" w:hAnsi="Calibri"/>
          <w:sz w:val="28"/>
          <w:szCs w:val="28"/>
        </w:rPr>
      </w:pPr>
      <w:r>
        <w:fldChar w:fldCharType="begin"/>
      </w:r>
      <w:r>
        <w:instrText xml:space="preserve"> HYPERLINK \l "_Toc13620_WPSOffice_Level1" </w:instrText>
      </w:r>
      <w:r>
        <w:fldChar w:fldCharType="separate"/>
      </w:r>
      <w:r>
        <w:rPr>
          <w:rFonts w:hint="eastAsia" w:ascii="Calibri" w:hAnsi="Calibri"/>
          <w:sz w:val="28"/>
          <w:szCs w:val="28"/>
        </w:rPr>
        <w:t>第三章评标办法 (综合评估法)</w:t>
      </w:r>
      <w:r>
        <w:rPr>
          <w:rFonts w:ascii="Calibri" w:hAnsi="Calibri"/>
          <w:sz w:val="28"/>
          <w:szCs w:val="28"/>
        </w:rPr>
        <w:tab/>
      </w:r>
      <w:bookmarkStart w:id="3" w:name="_Toc13620_WPSOffice_Level1Page"/>
      <w:r>
        <w:rPr>
          <w:rFonts w:ascii="Calibri" w:hAnsi="Calibri"/>
          <w:sz w:val="28"/>
          <w:szCs w:val="28"/>
        </w:rPr>
        <w:t>3</w:t>
      </w:r>
      <w:bookmarkEnd w:id="3"/>
      <w:r>
        <w:rPr>
          <w:rFonts w:hint="eastAsia" w:ascii="Calibri" w:hAnsi="Calibri"/>
          <w:sz w:val="28"/>
          <w:szCs w:val="28"/>
        </w:rPr>
        <w:t>2</w:t>
      </w:r>
      <w:r>
        <w:rPr>
          <w:rFonts w:hint="eastAsia" w:ascii="Calibri" w:hAnsi="Calibri"/>
          <w:sz w:val="28"/>
          <w:szCs w:val="28"/>
        </w:rPr>
        <w:fldChar w:fldCharType="end"/>
      </w:r>
    </w:p>
    <w:p>
      <w:pPr>
        <w:pStyle w:val="68"/>
        <w:tabs>
          <w:tab w:val="right" w:leader="dot" w:pos="9356"/>
        </w:tabs>
        <w:spacing w:line="600" w:lineRule="exact"/>
        <w:rPr>
          <w:rFonts w:ascii="Calibri" w:hAnsi="Calibri"/>
          <w:sz w:val="28"/>
          <w:szCs w:val="28"/>
        </w:rPr>
      </w:pPr>
      <w:r>
        <w:fldChar w:fldCharType="begin"/>
      </w:r>
      <w:r>
        <w:instrText xml:space="preserve"> HYPERLINK \l "_Toc13951_WPSOffice_Level1" </w:instrText>
      </w:r>
      <w:r>
        <w:fldChar w:fldCharType="separate"/>
      </w:r>
      <w:r>
        <w:rPr>
          <w:rFonts w:hint="eastAsia" w:ascii="Calibri" w:hAnsi="Calibri"/>
          <w:sz w:val="28"/>
          <w:szCs w:val="28"/>
        </w:rPr>
        <w:t>第四章合同条款及格式</w:t>
      </w:r>
      <w:r>
        <w:rPr>
          <w:rFonts w:ascii="Calibri" w:hAnsi="Calibri"/>
          <w:sz w:val="28"/>
          <w:szCs w:val="28"/>
        </w:rPr>
        <w:tab/>
      </w:r>
      <w:bookmarkStart w:id="4" w:name="_Toc13951_WPSOffice_Level1Page"/>
      <w:r>
        <w:rPr>
          <w:rFonts w:ascii="Calibri" w:hAnsi="Calibri"/>
          <w:sz w:val="28"/>
          <w:szCs w:val="28"/>
        </w:rPr>
        <w:t>4</w:t>
      </w:r>
      <w:bookmarkEnd w:id="4"/>
      <w:r>
        <w:rPr>
          <w:rFonts w:hint="eastAsia" w:ascii="Calibri" w:hAnsi="Calibri"/>
          <w:sz w:val="28"/>
          <w:szCs w:val="28"/>
        </w:rPr>
        <w:t>0</w:t>
      </w:r>
      <w:r>
        <w:rPr>
          <w:rFonts w:hint="eastAsia" w:ascii="Calibri" w:hAnsi="Calibri"/>
          <w:sz w:val="28"/>
          <w:szCs w:val="28"/>
        </w:rPr>
        <w:fldChar w:fldCharType="end"/>
      </w:r>
    </w:p>
    <w:p>
      <w:pPr>
        <w:pStyle w:val="68"/>
        <w:tabs>
          <w:tab w:val="right" w:leader="dot" w:pos="9356"/>
        </w:tabs>
        <w:spacing w:line="600" w:lineRule="exact"/>
        <w:rPr>
          <w:rFonts w:ascii="Calibri" w:hAnsi="Calibri"/>
          <w:sz w:val="28"/>
          <w:szCs w:val="28"/>
        </w:rPr>
      </w:pPr>
      <w:r>
        <w:fldChar w:fldCharType="begin"/>
      </w:r>
      <w:r>
        <w:instrText xml:space="preserve"> HYPERLINK \l "_Toc13421_WPSOffice_Level1" </w:instrText>
      </w:r>
      <w:r>
        <w:fldChar w:fldCharType="separate"/>
      </w:r>
      <w:r>
        <w:rPr>
          <w:rFonts w:hint="eastAsia" w:ascii="Calibri" w:hAnsi="Calibri"/>
          <w:sz w:val="28"/>
          <w:szCs w:val="28"/>
        </w:rPr>
        <w:t>第五章委托人要求</w:t>
      </w:r>
      <w:r>
        <w:rPr>
          <w:rFonts w:ascii="Calibri" w:hAnsi="Calibri"/>
          <w:sz w:val="28"/>
          <w:szCs w:val="28"/>
        </w:rPr>
        <w:tab/>
      </w:r>
      <w:bookmarkStart w:id="5" w:name="_Toc13421_WPSOffice_Level1Page"/>
      <w:r>
        <w:rPr>
          <w:rFonts w:ascii="Calibri" w:hAnsi="Calibri"/>
          <w:sz w:val="28"/>
          <w:szCs w:val="28"/>
        </w:rPr>
        <w:t>4</w:t>
      </w:r>
      <w:bookmarkEnd w:id="5"/>
      <w:r>
        <w:rPr>
          <w:rFonts w:hint="eastAsia" w:ascii="Calibri" w:hAnsi="Calibri"/>
          <w:sz w:val="28"/>
          <w:szCs w:val="28"/>
        </w:rPr>
        <w:t>1</w:t>
      </w:r>
      <w:r>
        <w:rPr>
          <w:rFonts w:hint="eastAsia" w:ascii="Calibri" w:hAnsi="Calibri"/>
          <w:sz w:val="28"/>
          <w:szCs w:val="28"/>
        </w:rPr>
        <w:fldChar w:fldCharType="end"/>
      </w:r>
    </w:p>
    <w:p>
      <w:pPr>
        <w:pStyle w:val="68"/>
        <w:tabs>
          <w:tab w:val="right" w:leader="dot" w:pos="9356"/>
        </w:tabs>
        <w:spacing w:line="600" w:lineRule="exact"/>
      </w:pPr>
      <w:r>
        <w:fldChar w:fldCharType="begin"/>
      </w:r>
      <w:r>
        <w:instrText xml:space="preserve"> HYPERLINK \l "_Toc29346_WPSOffice_Level1" </w:instrText>
      </w:r>
      <w:r>
        <w:fldChar w:fldCharType="separate"/>
      </w:r>
      <w:r>
        <w:rPr>
          <w:rFonts w:hint="eastAsia" w:ascii="Calibri" w:hAnsi="Calibri"/>
          <w:sz w:val="28"/>
          <w:szCs w:val="28"/>
        </w:rPr>
        <w:t>第六章投标文件格式</w:t>
      </w:r>
      <w:r>
        <w:rPr>
          <w:rFonts w:ascii="Calibri" w:hAnsi="Calibri"/>
          <w:sz w:val="28"/>
          <w:szCs w:val="28"/>
        </w:rPr>
        <w:tab/>
      </w:r>
      <w:bookmarkStart w:id="6" w:name="_Toc29346_WPSOffice_Level1Page"/>
      <w:r>
        <w:rPr>
          <w:rFonts w:ascii="Calibri" w:hAnsi="Calibri"/>
          <w:sz w:val="28"/>
          <w:szCs w:val="28"/>
        </w:rPr>
        <w:t>4</w:t>
      </w:r>
      <w:bookmarkEnd w:id="6"/>
      <w:r>
        <w:rPr>
          <w:rFonts w:hint="eastAsia" w:ascii="Calibri" w:hAnsi="Calibri"/>
          <w:sz w:val="28"/>
          <w:szCs w:val="28"/>
        </w:rPr>
        <w:t>2</w:t>
      </w:r>
      <w:r>
        <w:rPr>
          <w:rFonts w:hint="eastAsia" w:ascii="Calibri" w:hAnsi="Calibri"/>
          <w:sz w:val="28"/>
          <w:szCs w:val="28"/>
        </w:rPr>
        <w:fldChar w:fldCharType="end"/>
      </w:r>
      <w:bookmarkEnd w:id="0"/>
    </w:p>
    <w:p>
      <w:pPr>
        <w:adjustRightInd w:val="0"/>
        <w:snapToGrid w:val="0"/>
        <w:spacing w:beforeLines="50" w:afterLines="50" w:line="360" w:lineRule="auto"/>
        <w:jc w:val="center"/>
        <w:rPr>
          <w:rStyle w:val="43"/>
          <w:sz w:val="36"/>
          <w:szCs w:val="36"/>
        </w:rPr>
      </w:pPr>
    </w:p>
    <w:p>
      <w:pPr>
        <w:adjustRightInd w:val="0"/>
        <w:snapToGrid w:val="0"/>
        <w:spacing w:line="360" w:lineRule="auto"/>
        <w:jc w:val="center"/>
        <w:rPr>
          <w:rStyle w:val="43"/>
          <w:sz w:val="36"/>
          <w:szCs w:val="36"/>
        </w:rPr>
      </w:pPr>
      <w:bookmarkStart w:id="7" w:name="_Toc4659640"/>
      <w:r>
        <w:rPr>
          <w:rStyle w:val="43"/>
          <w:rFonts w:hint="eastAsia"/>
          <w:sz w:val="36"/>
          <w:szCs w:val="36"/>
        </w:rPr>
        <w:br w:type="page"/>
      </w:r>
    </w:p>
    <w:p>
      <w:pPr>
        <w:adjustRightInd w:val="0"/>
        <w:snapToGrid w:val="0"/>
        <w:spacing w:line="360" w:lineRule="auto"/>
        <w:jc w:val="center"/>
        <w:rPr>
          <w:rStyle w:val="43"/>
          <w:rFonts w:hint="eastAsia"/>
          <w:sz w:val="36"/>
          <w:szCs w:val="36"/>
        </w:rPr>
        <w:sectPr>
          <w:footerReference r:id="rId3" w:type="default"/>
          <w:pgSz w:w="12240" w:h="15840"/>
          <w:pgMar w:top="1440" w:right="1425" w:bottom="1440" w:left="1800" w:header="720" w:footer="720" w:gutter="0"/>
          <w:cols w:space="720" w:num="1"/>
          <w:docGrid w:linePitch="285" w:charSpace="0"/>
        </w:sectPr>
      </w:pPr>
      <w:bookmarkStart w:id="8" w:name="_Toc25240_WPSOffice_Level1"/>
    </w:p>
    <w:p>
      <w:pPr>
        <w:adjustRightInd w:val="0"/>
        <w:snapToGrid w:val="0"/>
        <w:spacing w:line="360" w:lineRule="auto"/>
        <w:jc w:val="center"/>
        <w:rPr>
          <w:b/>
          <w:sz w:val="36"/>
          <w:szCs w:val="36"/>
        </w:rPr>
      </w:pPr>
      <w:r>
        <w:rPr>
          <w:rStyle w:val="43"/>
          <w:rFonts w:hint="eastAsia"/>
          <w:sz w:val="36"/>
          <w:szCs w:val="36"/>
        </w:rPr>
        <w:t>第一章招标公告</w:t>
      </w:r>
      <w:bookmarkEnd w:id="7"/>
      <w:bookmarkEnd w:id="8"/>
    </w:p>
    <w:p>
      <w:pPr>
        <w:jc w:val="center"/>
        <w:rPr>
          <w:b/>
          <w:sz w:val="32"/>
          <w:szCs w:val="32"/>
        </w:rPr>
      </w:pPr>
      <w:r>
        <w:rPr>
          <w:rFonts w:hint="eastAsia"/>
          <w:b/>
          <w:sz w:val="32"/>
          <w:szCs w:val="32"/>
        </w:rPr>
        <w:t>另册</w:t>
      </w:r>
    </w:p>
    <w:p/>
    <w:p/>
    <w:p/>
    <w:p/>
    <w:p/>
    <w:p/>
    <w:p/>
    <w:p/>
    <w:p/>
    <w:p>
      <w:pPr>
        <w:jc w:val="center"/>
        <w:rPr>
          <w:rStyle w:val="43"/>
          <w:sz w:val="36"/>
          <w:szCs w:val="36"/>
        </w:rPr>
      </w:pPr>
      <w:r>
        <w:br w:type="page"/>
      </w:r>
      <w:bookmarkStart w:id="9" w:name="_Toc407_WPSOffice_Level1"/>
      <w:bookmarkStart w:id="10" w:name="_Toc511140161"/>
      <w:bookmarkStart w:id="11" w:name="_Toc4659643"/>
      <w:r>
        <w:rPr>
          <w:rStyle w:val="43"/>
          <w:rFonts w:hint="eastAsia"/>
          <w:sz w:val="36"/>
          <w:szCs w:val="36"/>
        </w:rPr>
        <w:t>第二章投标人须知</w:t>
      </w:r>
      <w:bookmarkEnd w:id="9"/>
      <w:bookmarkEnd w:id="10"/>
      <w:bookmarkEnd w:id="11"/>
    </w:p>
    <w:p>
      <w:pPr>
        <w:pStyle w:val="4"/>
        <w:jc w:val="center"/>
        <w:rPr>
          <w:rFonts w:ascii="Times New Roman" w:hAnsi="Times New Roman"/>
        </w:rPr>
      </w:pPr>
      <w:r>
        <w:rPr>
          <w:rFonts w:hint="eastAsia" w:ascii="Times New Roman" w:hAnsi="Times New Roman"/>
        </w:rPr>
        <w:t>投标人须知前附表</w:t>
      </w:r>
    </w:p>
    <w:tbl>
      <w:tblPr>
        <w:tblStyle w:val="28"/>
        <w:tblW w:w="9855" w:type="dxa"/>
        <w:tblInd w:w="-388" w:type="dxa"/>
        <w:tblLayout w:type="fixed"/>
        <w:tblCellMar>
          <w:top w:w="0" w:type="dxa"/>
          <w:left w:w="108" w:type="dxa"/>
          <w:bottom w:w="0" w:type="dxa"/>
          <w:right w:w="108" w:type="dxa"/>
        </w:tblCellMar>
      </w:tblPr>
      <w:tblGrid>
        <w:gridCol w:w="1230"/>
        <w:gridCol w:w="2700"/>
        <w:gridCol w:w="5925"/>
      </w:tblGrid>
      <w:tr>
        <w:tblPrEx>
          <w:tblCellMar>
            <w:top w:w="0" w:type="dxa"/>
            <w:left w:w="108" w:type="dxa"/>
            <w:bottom w:w="0" w:type="dxa"/>
            <w:right w:w="108" w:type="dxa"/>
          </w:tblCellMar>
        </w:tblPrEx>
        <w:trPr>
          <w:trHeight w:val="459" w:hRule="atLeast"/>
          <w:tblHeader/>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条款号</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条款名称</w:t>
            </w:r>
          </w:p>
        </w:tc>
        <w:tc>
          <w:tcPr>
            <w:tcW w:w="59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编列内容</w:t>
            </w:r>
          </w:p>
        </w:tc>
      </w:tr>
      <w:tr>
        <w:tblPrEx>
          <w:tblCellMar>
            <w:top w:w="0" w:type="dxa"/>
            <w:left w:w="108" w:type="dxa"/>
            <w:bottom w:w="0" w:type="dxa"/>
            <w:right w:w="108" w:type="dxa"/>
          </w:tblCellMar>
        </w:tblPrEx>
        <w:trPr>
          <w:trHeight w:val="1117"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1.1.2</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招标人</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名称：</w:t>
            </w:r>
            <w:r>
              <w:rPr>
                <w:rFonts w:hint="eastAsia" w:ascii="宋体" w:hAnsi="宋体" w:cs="宋体"/>
                <w:szCs w:val="21"/>
                <w:u w:val="single"/>
              </w:rPr>
              <w:t>广州市海珠区河涌管理所</w:t>
            </w:r>
          </w:p>
          <w:p>
            <w:pPr>
              <w:rPr>
                <w:rFonts w:ascii="宋体" w:hAnsi="宋体" w:cs="宋体"/>
                <w:szCs w:val="21"/>
              </w:rPr>
            </w:pPr>
            <w:r>
              <w:rPr>
                <w:rFonts w:hint="eastAsia" w:ascii="宋体" w:hAnsi="宋体" w:cs="宋体"/>
                <w:szCs w:val="21"/>
              </w:rPr>
              <w:t>地址：</w:t>
            </w:r>
            <w:r>
              <w:rPr>
                <w:rFonts w:hint="eastAsia" w:ascii="宋体" w:hAnsi="宋体"/>
                <w:szCs w:val="21"/>
                <w:u w:val="single"/>
              </w:rPr>
              <w:t>广州市海珠区前进路前桂大街19号</w:t>
            </w:r>
          </w:p>
          <w:p>
            <w:pPr>
              <w:rPr>
                <w:rFonts w:ascii="宋体" w:hAnsi="宋体" w:cs="宋体"/>
                <w:szCs w:val="21"/>
              </w:rPr>
            </w:pPr>
            <w:r>
              <w:rPr>
                <w:rFonts w:hint="eastAsia" w:ascii="宋体" w:hAnsi="宋体" w:cs="宋体"/>
                <w:szCs w:val="21"/>
              </w:rPr>
              <w:t>联系人：</w:t>
            </w:r>
            <w:r>
              <w:rPr>
                <w:rFonts w:hint="eastAsia" w:ascii="宋体" w:hAnsi="宋体" w:cs="宋体"/>
                <w:szCs w:val="21"/>
                <w:u w:val="single"/>
              </w:rPr>
              <w:t>黄工</w:t>
            </w:r>
          </w:p>
          <w:p>
            <w:pPr>
              <w:rPr>
                <w:rFonts w:ascii="宋体" w:hAnsi="宋体" w:cs="宋体"/>
                <w:szCs w:val="21"/>
              </w:rPr>
            </w:pPr>
            <w:r>
              <w:rPr>
                <w:rFonts w:hint="eastAsia" w:ascii="宋体" w:hAnsi="宋体" w:cs="宋体"/>
                <w:szCs w:val="21"/>
              </w:rPr>
              <w:t>电话：</w:t>
            </w:r>
            <w:r>
              <w:rPr>
                <w:rFonts w:hint="eastAsia" w:ascii="宋体" w:hAnsi="宋体" w:cs="宋体"/>
                <w:szCs w:val="21"/>
                <w:u w:val="single"/>
              </w:rPr>
              <w:t>020-</w:t>
            </w:r>
            <w:r>
              <w:rPr>
                <w:rFonts w:ascii="宋体" w:hAnsi="宋体" w:cs="宋体"/>
                <w:szCs w:val="21"/>
                <w:u w:val="single"/>
              </w:rPr>
              <w:t>89888086</w:t>
            </w:r>
          </w:p>
        </w:tc>
      </w:tr>
      <w:tr>
        <w:tblPrEx>
          <w:tblCellMar>
            <w:top w:w="0" w:type="dxa"/>
            <w:left w:w="108" w:type="dxa"/>
            <w:bottom w:w="0" w:type="dxa"/>
            <w:right w:w="108" w:type="dxa"/>
          </w:tblCellMar>
        </w:tblPrEx>
        <w:trPr>
          <w:trHeight w:val="1251"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1.1.3</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招标代理机构</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名称：</w:t>
            </w:r>
            <w:r>
              <w:rPr>
                <w:rFonts w:hint="eastAsia" w:ascii="宋体" w:hAnsi="宋体" w:cs="宋体"/>
                <w:szCs w:val="21"/>
                <w:u w:val="single"/>
              </w:rPr>
              <w:t>广州建朋工程咨询有限公司</w:t>
            </w:r>
          </w:p>
          <w:p>
            <w:pPr>
              <w:rPr>
                <w:rFonts w:hAnsi="宋体"/>
                <w:szCs w:val="21"/>
                <w:u w:val="single"/>
              </w:rPr>
            </w:pPr>
            <w:r>
              <w:rPr>
                <w:rFonts w:hint="eastAsia" w:ascii="宋体" w:hAnsi="宋体" w:cs="宋体"/>
                <w:szCs w:val="21"/>
              </w:rPr>
              <w:t>地址：</w:t>
            </w:r>
            <w:r>
              <w:rPr>
                <w:rFonts w:hAnsi="宋体"/>
                <w:szCs w:val="21"/>
                <w:u w:val="single"/>
              </w:rPr>
              <w:t>广州市黄埔区敏盛街1</w:t>
            </w:r>
            <w:r>
              <w:rPr>
                <w:rFonts w:hint="eastAsia" w:hAnsi="宋体"/>
                <w:szCs w:val="21"/>
                <w:u w:val="single"/>
              </w:rPr>
              <w:t>2</w:t>
            </w:r>
            <w:r>
              <w:rPr>
                <w:rFonts w:hAnsi="宋体"/>
                <w:szCs w:val="21"/>
                <w:u w:val="single"/>
              </w:rPr>
              <w:t>号80</w:t>
            </w:r>
            <w:r>
              <w:rPr>
                <w:rFonts w:hint="eastAsia" w:hAnsi="宋体"/>
                <w:szCs w:val="21"/>
                <w:u w:val="single"/>
              </w:rPr>
              <w:t>4</w:t>
            </w:r>
            <w:r>
              <w:rPr>
                <w:rFonts w:hAnsi="宋体"/>
                <w:szCs w:val="21"/>
                <w:u w:val="single"/>
              </w:rPr>
              <w:t>房</w:t>
            </w:r>
          </w:p>
          <w:p>
            <w:pPr>
              <w:rPr>
                <w:rFonts w:ascii="宋体" w:hAnsi="宋体" w:cs="宋体"/>
                <w:szCs w:val="21"/>
              </w:rPr>
            </w:pPr>
            <w:r>
              <w:rPr>
                <w:rFonts w:hint="eastAsia" w:ascii="宋体" w:hAnsi="宋体" w:cs="宋体"/>
                <w:szCs w:val="21"/>
              </w:rPr>
              <w:t>联系人：</w:t>
            </w:r>
            <w:r>
              <w:rPr>
                <w:rFonts w:hint="eastAsia" w:ascii="宋体" w:hAnsi="宋体" w:cs="宋体"/>
                <w:szCs w:val="21"/>
                <w:u w:val="single"/>
              </w:rPr>
              <w:t>许</w:t>
            </w:r>
            <w:r>
              <w:rPr>
                <w:rFonts w:hint="eastAsia" w:ascii="宋体" w:hAnsi="宋体"/>
                <w:szCs w:val="21"/>
                <w:u w:val="single"/>
              </w:rPr>
              <w:t>工</w:t>
            </w:r>
          </w:p>
          <w:p>
            <w:pPr>
              <w:rPr>
                <w:rFonts w:ascii="宋体" w:hAnsi="宋体" w:cs="宋体"/>
                <w:szCs w:val="21"/>
              </w:rPr>
            </w:pPr>
            <w:r>
              <w:rPr>
                <w:rFonts w:hint="eastAsia" w:ascii="宋体" w:hAnsi="宋体" w:cs="宋体"/>
                <w:szCs w:val="21"/>
              </w:rPr>
              <w:t>电话：</w:t>
            </w:r>
            <w:r>
              <w:rPr>
                <w:rFonts w:hint="eastAsia" w:ascii="宋体" w:hAnsi="宋体" w:cs="宋体"/>
                <w:szCs w:val="21"/>
                <w:u w:val="single"/>
              </w:rPr>
              <w:t>020-82257635</w:t>
            </w:r>
          </w:p>
        </w:tc>
      </w:tr>
      <w:tr>
        <w:tblPrEx>
          <w:tblCellMar>
            <w:top w:w="0" w:type="dxa"/>
            <w:left w:w="108" w:type="dxa"/>
            <w:bottom w:w="0" w:type="dxa"/>
            <w:right w:w="108" w:type="dxa"/>
          </w:tblCellMar>
        </w:tblPrEx>
        <w:trPr>
          <w:trHeight w:val="443"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1.1.4</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招标项目名称</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海珠区住宅类排水单元达标创建工程监理（标段三）</w:t>
            </w:r>
          </w:p>
        </w:tc>
      </w:tr>
      <w:tr>
        <w:tblPrEx>
          <w:tblCellMar>
            <w:top w:w="0" w:type="dxa"/>
            <w:left w:w="108" w:type="dxa"/>
            <w:bottom w:w="0" w:type="dxa"/>
            <w:right w:w="108" w:type="dxa"/>
          </w:tblCellMar>
        </w:tblPrEx>
        <w:trPr>
          <w:trHeight w:val="426"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1.1.5</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项目建设地点</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详见招标公告。</w:t>
            </w:r>
          </w:p>
        </w:tc>
      </w:tr>
      <w:tr>
        <w:tblPrEx>
          <w:tblCellMar>
            <w:top w:w="0" w:type="dxa"/>
            <w:left w:w="108" w:type="dxa"/>
            <w:bottom w:w="0" w:type="dxa"/>
            <w:right w:w="108" w:type="dxa"/>
          </w:tblCellMar>
        </w:tblPrEx>
        <w:trPr>
          <w:trHeight w:val="390"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1.1.6</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项目建设规模</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详见招标公告。</w:t>
            </w:r>
          </w:p>
        </w:tc>
      </w:tr>
      <w:tr>
        <w:tblPrEx>
          <w:tblCellMar>
            <w:top w:w="0" w:type="dxa"/>
            <w:left w:w="108" w:type="dxa"/>
            <w:bottom w:w="0" w:type="dxa"/>
            <w:right w:w="108" w:type="dxa"/>
          </w:tblCellMar>
        </w:tblPrEx>
        <w:trPr>
          <w:trHeight w:val="90"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1.1.7</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工程项目施工预计开工日期和建设周期</w:t>
            </w:r>
          </w:p>
        </w:tc>
        <w:tc>
          <w:tcPr>
            <w:tcW w:w="5925"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计划总工期</w:t>
            </w:r>
            <w:r>
              <w:rPr>
                <w:rFonts w:hint="eastAsia" w:ascii="宋体" w:hAnsi="宋体" w:cs="宋体"/>
                <w:szCs w:val="21"/>
                <w:u w:val="none"/>
              </w:rPr>
              <w:t>365</w:t>
            </w:r>
            <w:r>
              <w:rPr>
                <w:rFonts w:ascii="宋体" w:hAnsi="宋体" w:cs="宋体"/>
                <w:szCs w:val="21"/>
              </w:rPr>
              <w:t>个日历天</w:t>
            </w:r>
            <w:r>
              <w:rPr>
                <w:rFonts w:hint="eastAsia"/>
              </w:rPr>
              <w:t>；</w:t>
            </w:r>
          </w:p>
          <w:p>
            <w:pPr>
              <w:rPr>
                <w:rFonts w:ascii="宋体" w:hAnsi="宋体" w:cs="宋体"/>
                <w:szCs w:val="21"/>
              </w:rPr>
            </w:pPr>
            <w:r>
              <w:rPr>
                <w:rFonts w:hint="eastAsia" w:ascii="宋体" w:hAnsi="宋体" w:cs="宋体"/>
                <w:szCs w:val="21"/>
              </w:rPr>
              <w:t>计划开工日期：2023年8月31日；</w:t>
            </w:r>
          </w:p>
          <w:p>
            <w:pPr>
              <w:rPr>
                <w:rFonts w:ascii="宋体" w:hAnsi="宋体" w:cs="宋体"/>
                <w:szCs w:val="21"/>
                <w:shd w:val="clear" w:color="FFFFFF" w:fill="D9D9D9"/>
              </w:rPr>
            </w:pPr>
            <w:r>
              <w:rPr>
                <w:rFonts w:hint="eastAsia" w:ascii="宋体" w:hAnsi="宋体" w:cs="宋体"/>
                <w:szCs w:val="21"/>
              </w:rPr>
              <w:t>计划竣工日期：2024年8月30日。</w:t>
            </w:r>
          </w:p>
        </w:tc>
      </w:tr>
      <w:tr>
        <w:tblPrEx>
          <w:tblCellMar>
            <w:top w:w="0" w:type="dxa"/>
            <w:left w:w="108" w:type="dxa"/>
            <w:bottom w:w="0" w:type="dxa"/>
            <w:right w:w="108" w:type="dxa"/>
          </w:tblCellMar>
        </w:tblPrEx>
        <w:trPr>
          <w:trHeight w:val="592"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1.1.8</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建筑安装工程费/工程概算</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详见招标公告。</w:t>
            </w:r>
          </w:p>
        </w:tc>
      </w:tr>
      <w:tr>
        <w:tblPrEx>
          <w:tblCellMar>
            <w:top w:w="0" w:type="dxa"/>
            <w:left w:w="108" w:type="dxa"/>
            <w:bottom w:w="0" w:type="dxa"/>
            <w:right w:w="108" w:type="dxa"/>
          </w:tblCellMar>
        </w:tblPrEx>
        <w:trPr>
          <w:trHeight w:val="374"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资金来源及比例</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区财政资金，100%</w:t>
            </w:r>
          </w:p>
        </w:tc>
      </w:tr>
      <w:tr>
        <w:tblPrEx>
          <w:tblCellMar>
            <w:top w:w="0" w:type="dxa"/>
            <w:left w:w="108" w:type="dxa"/>
            <w:bottom w:w="0" w:type="dxa"/>
            <w:right w:w="108" w:type="dxa"/>
          </w:tblCellMar>
        </w:tblPrEx>
        <w:trPr>
          <w:trHeight w:val="455"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1.2.2</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资金落实情况</w:t>
            </w:r>
          </w:p>
        </w:tc>
        <w:tc>
          <w:tcPr>
            <w:tcW w:w="59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已落实。</w:t>
            </w:r>
          </w:p>
        </w:tc>
      </w:tr>
      <w:tr>
        <w:tblPrEx>
          <w:tblCellMar>
            <w:top w:w="0" w:type="dxa"/>
            <w:left w:w="108" w:type="dxa"/>
            <w:bottom w:w="0" w:type="dxa"/>
            <w:right w:w="108" w:type="dxa"/>
          </w:tblCellMar>
        </w:tblPrEx>
        <w:trPr>
          <w:trHeight w:val="355"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招标范围</w:t>
            </w:r>
          </w:p>
        </w:tc>
        <w:tc>
          <w:tcPr>
            <w:tcW w:w="59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详见招标公告。</w:t>
            </w:r>
          </w:p>
        </w:tc>
      </w:tr>
      <w:tr>
        <w:tblPrEx>
          <w:tblCellMar>
            <w:top w:w="0" w:type="dxa"/>
            <w:left w:w="108" w:type="dxa"/>
            <w:bottom w:w="0" w:type="dxa"/>
            <w:right w:w="108" w:type="dxa"/>
          </w:tblCellMar>
        </w:tblPrEx>
        <w:trPr>
          <w:trHeight w:val="410"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1.3.2</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监理服务期限</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详见招标公告。</w:t>
            </w:r>
          </w:p>
        </w:tc>
      </w:tr>
      <w:tr>
        <w:tblPrEx>
          <w:tblCellMar>
            <w:top w:w="0" w:type="dxa"/>
            <w:left w:w="108" w:type="dxa"/>
            <w:bottom w:w="0" w:type="dxa"/>
            <w:right w:w="108" w:type="dxa"/>
          </w:tblCellMar>
        </w:tblPrEx>
        <w:trPr>
          <w:trHeight w:val="710"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1.3.3</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质量标准</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质量控制目标：符合设计图纸要求和国家、省、市相关法律法规规定要求及行业颁发的工程质量合格标准，验收</w:t>
            </w:r>
            <w:r>
              <w:rPr>
                <w:rFonts w:hint="eastAsia" w:ascii="宋体" w:hAnsi="宋体" w:cs="宋体"/>
                <w:color w:val="auto"/>
                <w:szCs w:val="21"/>
                <w:highlight w:val="none"/>
              </w:rPr>
              <w:t>优</w:t>
            </w:r>
            <w:r>
              <w:rPr>
                <w:rFonts w:hint="eastAsia" w:ascii="宋体" w:hAnsi="宋体" w:cs="宋体"/>
                <w:szCs w:val="21"/>
                <w:highlight w:val="none"/>
              </w:rPr>
              <w:t>良</w:t>
            </w:r>
            <w:r>
              <w:rPr>
                <w:rFonts w:hint="eastAsia" w:ascii="宋体" w:hAnsi="宋体" w:cs="宋体"/>
                <w:szCs w:val="21"/>
              </w:rPr>
              <w:t>。</w:t>
            </w:r>
          </w:p>
        </w:tc>
      </w:tr>
      <w:tr>
        <w:tblPrEx>
          <w:tblCellMar>
            <w:top w:w="0" w:type="dxa"/>
            <w:left w:w="108" w:type="dxa"/>
            <w:bottom w:w="0" w:type="dxa"/>
            <w:right w:w="108" w:type="dxa"/>
          </w:tblCellMar>
        </w:tblPrEx>
        <w:trPr>
          <w:trHeight w:val="334"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bookmarkStart w:id="322" w:name="_GoBack" w:colFirst="2" w:colLast="2"/>
            <w:r>
              <w:rPr>
                <w:rFonts w:hint="eastAsia" w:ascii="宋体" w:hAnsi="宋体" w:cs="宋体"/>
                <w:szCs w:val="21"/>
              </w:rPr>
              <w:t>1.4.1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投标人资质条件、能力、信誉</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详见本项目招标公告第3点“投标人资格要求”。</w:t>
            </w:r>
          </w:p>
        </w:tc>
      </w:tr>
      <w:bookmarkEnd w:id="322"/>
      <w:tr>
        <w:tblPrEx>
          <w:tblCellMar>
            <w:top w:w="0" w:type="dxa"/>
            <w:left w:w="108" w:type="dxa"/>
            <w:bottom w:w="0" w:type="dxa"/>
            <w:right w:w="108" w:type="dxa"/>
          </w:tblCellMar>
        </w:tblPrEx>
        <w:trPr>
          <w:trHeight w:val="849"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1.4.2</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是否接受联合体投标</w:t>
            </w:r>
          </w:p>
        </w:tc>
        <w:tc>
          <w:tcPr>
            <w:tcW w:w="5925" w:type="dxa"/>
            <w:tcBorders>
              <w:top w:val="single" w:color="auto" w:sz="4" w:space="0"/>
              <w:left w:val="single" w:color="auto" w:sz="4" w:space="0"/>
              <w:bottom w:val="single" w:color="auto" w:sz="4" w:space="0"/>
              <w:right w:val="single" w:color="auto" w:sz="4" w:space="0"/>
            </w:tcBorders>
            <w:vAlign w:val="center"/>
          </w:tcPr>
          <w:p>
            <w:pPr>
              <w:topLinePunct/>
              <w:rPr>
                <w:rFonts w:ascii="宋体" w:hAnsi="宋体" w:cs="宋体"/>
                <w:szCs w:val="21"/>
              </w:rPr>
            </w:pPr>
            <w:r>
              <w:rPr>
                <w:rFonts w:hint="eastAsia" w:ascii="宋体" w:hAnsi="宋体" w:cs="宋体"/>
                <w:spacing w:val="-1"/>
                <w:szCs w:val="21"/>
              </w:rPr>
              <w:t>■</w:t>
            </w:r>
            <w:r>
              <w:rPr>
                <w:rFonts w:hint="eastAsia" w:ascii="宋体" w:hAnsi="宋体" w:cs="宋体"/>
                <w:szCs w:val="21"/>
              </w:rPr>
              <w:t>不接受</w:t>
            </w:r>
          </w:p>
          <w:p>
            <w:pPr>
              <w:rPr>
                <w:rFonts w:ascii="宋体" w:hAnsi="宋体" w:cs="宋体"/>
                <w:szCs w:val="21"/>
              </w:rPr>
            </w:pPr>
            <w:r>
              <w:rPr>
                <w:rFonts w:hint="eastAsia" w:ascii="宋体" w:hAnsi="宋体" w:cs="宋体"/>
                <w:szCs w:val="21"/>
              </w:rPr>
              <w:t>□接受，应满足下列要求：/</w:t>
            </w:r>
          </w:p>
        </w:tc>
      </w:tr>
      <w:tr>
        <w:tblPrEx>
          <w:tblCellMar>
            <w:top w:w="0" w:type="dxa"/>
            <w:left w:w="108" w:type="dxa"/>
            <w:bottom w:w="0" w:type="dxa"/>
            <w:right w:w="108" w:type="dxa"/>
          </w:tblCellMar>
        </w:tblPrEx>
        <w:trPr>
          <w:trHeight w:val="774"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1.4.3</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投标人不得存在的其他情形</w:t>
            </w:r>
          </w:p>
        </w:tc>
        <w:tc>
          <w:tcPr>
            <w:tcW w:w="5925" w:type="dxa"/>
            <w:tcBorders>
              <w:top w:val="single" w:color="auto" w:sz="4" w:space="0"/>
              <w:left w:val="single" w:color="auto" w:sz="4" w:space="0"/>
              <w:bottom w:val="single" w:color="auto" w:sz="4" w:space="0"/>
              <w:right w:val="single" w:color="auto" w:sz="4" w:space="0"/>
            </w:tcBorders>
            <w:vAlign w:val="center"/>
          </w:tcPr>
          <w:p>
            <w:pPr>
              <w:topLinePunct/>
              <w:spacing w:line="320" w:lineRule="exact"/>
              <w:rPr>
                <w:rFonts w:ascii="宋体" w:hAnsi="宋体"/>
                <w:szCs w:val="21"/>
              </w:rPr>
            </w:pPr>
            <w:r>
              <w:rPr>
                <w:rFonts w:hint="eastAsia" w:ascii="宋体" w:hAnsi="宋体" w:cs="宋体"/>
                <w:szCs w:val="21"/>
                <w:u w:val="single"/>
              </w:rPr>
              <w:t>/</w:t>
            </w:r>
          </w:p>
        </w:tc>
      </w:tr>
      <w:tr>
        <w:tblPrEx>
          <w:tblCellMar>
            <w:top w:w="0" w:type="dxa"/>
            <w:left w:w="108" w:type="dxa"/>
            <w:bottom w:w="0" w:type="dxa"/>
            <w:right w:w="108" w:type="dxa"/>
          </w:tblCellMar>
        </w:tblPrEx>
        <w:trPr>
          <w:trHeight w:val="1482"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1.9.1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踏勘现场</w:t>
            </w:r>
          </w:p>
        </w:tc>
        <w:tc>
          <w:tcPr>
            <w:tcW w:w="5925" w:type="dxa"/>
            <w:tcBorders>
              <w:top w:val="single" w:color="auto" w:sz="4" w:space="0"/>
              <w:left w:val="single" w:color="auto" w:sz="4" w:space="0"/>
              <w:bottom w:val="single" w:color="auto" w:sz="4" w:space="0"/>
              <w:right w:val="single" w:color="auto" w:sz="4" w:space="0"/>
            </w:tcBorders>
            <w:vAlign w:val="center"/>
          </w:tcPr>
          <w:p>
            <w:pPr>
              <w:pStyle w:val="10"/>
              <w:topLinePunct/>
              <w:spacing w:after="0" w:line="320" w:lineRule="exact"/>
              <w:rPr>
                <w:rFonts w:ascii="宋体" w:hAnsi="宋体" w:cs="宋体"/>
                <w:sz w:val="21"/>
                <w:szCs w:val="21"/>
              </w:rPr>
            </w:pPr>
            <w:r>
              <w:rPr>
                <w:rFonts w:hint="eastAsia" w:ascii="宋体" w:hAnsi="宋体" w:cs="宋体"/>
                <w:spacing w:val="-1"/>
                <w:sz w:val="21"/>
                <w:szCs w:val="21"/>
              </w:rPr>
              <w:t>■</w:t>
            </w:r>
            <w:r>
              <w:rPr>
                <w:rFonts w:hint="eastAsia" w:ascii="宋体" w:hAnsi="宋体" w:cs="宋体"/>
                <w:sz w:val="21"/>
                <w:szCs w:val="21"/>
              </w:rPr>
              <w:t>不组织，投标人可自行结合招标文件等对工程现场及周围环境进行踏勘，以便获取有关编制投标文件和签署合同所涉及现场的资料。考察期间所发生一切费用或意外由投标人自行负责。</w:t>
            </w:r>
          </w:p>
          <w:p>
            <w:pPr>
              <w:pStyle w:val="10"/>
              <w:topLinePunct/>
              <w:spacing w:after="0" w:line="320" w:lineRule="exact"/>
              <w:rPr>
                <w:rFonts w:ascii="宋体" w:hAnsi="宋体" w:cs="宋体"/>
                <w:sz w:val="21"/>
                <w:szCs w:val="21"/>
              </w:rPr>
            </w:pPr>
            <w:r>
              <w:rPr>
                <w:rFonts w:hint="eastAsia" w:ascii="宋体" w:hAnsi="宋体" w:cs="宋体"/>
                <w:sz w:val="21"/>
                <w:szCs w:val="21"/>
              </w:rPr>
              <w:t>□组织，踏勘时间：</w:t>
            </w:r>
            <w:r>
              <w:rPr>
                <w:rFonts w:hint="eastAsia" w:ascii="宋体" w:hAnsi="宋体" w:cs="宋体"/>
                <w:sz w:val="21"/>
                <w:szCs w:val="21"/>
                <w:u w:val="single"/>
              </w:rPr>
              <w:t>/</w:t>
            </w:r>
          </w:p>
          <w:p>
            <w:pPr>
              <w:pStyle w:val="10"/>
              <w:topLinePunct/>
              <w:spacing w:after="0" w:line="320" w:lineRule="exact"/>
              <w:ind w:firstLine="840" w:firstLineChars="400"/>
              <w:rPr>
                <w:rFonts w:ascii="宋体" w:hAnsi="宋体" w:cs="宋体"/>
                <w:sz w:val="21"/>
                <w:szCs w:val="21"/>
              </w:rPr>
            </w:pPr>
            <w:r>
              <w:rPr>
                <w:rFonts w:hint="eastAsia" w:ascii="宋体" w:hAnsi="宋体" w:cs="宋体"/>
                <w:sz w:val="21"/>
                <w:szCs w:val="21"/>
              </w:rPr>
              <w:t>踏勘集中地点：</w:t>
            </w:r>
            <w:r>
              <w:rPr>
                <w:rFonts w:hint="eastAsia" w:ascii="宋体" w:hAnsi="宋体" w:cs="宋体"/>
                <w:sz w:val="21"/>
                <w:szCs w:val="21"/>
                <w:u w:val="single"/>
              </w:rPr>
              <w:t>/</w:t>
            </w:r>
          </w:p>
        </w:tc>
      </w:tr>
      <w:tr>
        <w:tblPrEx>
          <w:tblCellMar>
            <w:top w:w="0" w:type="dxa"/>
            <w:left w:w="108" w:type="dxa"/>
            <w:bottom w:w="0" w:type="dxa"/>
            <w:right w:w="108" w:type="dxa"/>
          </w:tblCellMar>
        </w:tblPrEx>
        <w:trPr>
          <w:trHeight w:val="1242"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1.10.1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投标预备会</w:t>
            </w:r>
          </w:p>
        </w:tc>
        <w:tc>
          <w:tcPr>
            <w:tcW w:w="5925" w:type="dxa"/>
            <w:tcBorders>
              <w:top w:val="single" w:color="auto" w:sz="4" w:space="0"/>
              <w:left w:val="single" w:color="auto" w:sz="4" w:space="0"/>
              <w:bottom w:val="single" w:color="auto" w:sz="4" w:space="0"/>
              <w:right w:val="single" w:color="auto" w:sz="4" w:space="0"/>
            </w:tcBorders>
            <w:vAlign w:val="center"/>
          </w:tcPr>
          <w:p>
            <w:pPr>
              <w:pStyle w:val="10"/>
              <w:topLinePunct/>
              <w:rPr>
                <w:rFonts w:ascii="宋体" w:hAnsi="宋体" w:cs="宋体"/>
                <w:sz w:val="21"/>
                <w:szCs w:val="21"/>
              </w:rPr>
            </w:pPr>
            <w:r>
              <w:rPr>
                <w:rFonts w:hint="eastAsia" w:ascii="宋体" w:hAnsi="宋体" w:cs="宋体"/>
                <w:spacing w:val="-1"/>
                <w:sz w:val="21"/>
                <w:szCs w:val="21"/>
              </w:rPr>
              <w:t>■</w:t>
            </w:r>
            <w:r>
              <w:rPr>
                <w:rFonts w:hint="eastAsia" w:ascii="宋体" w:hAnsi="宋体" w:cs="宋体"/>
                <w:sz w:val="21"/>
                <w:szCs w:val="21"/>
              </w:rPr>
              <w:t>不召开</w:t>
            </w:r>
          </w:p>
          <w:p>
            <w:pPr>
              <w:rPr>
                <w:rFonts w:ascii="宋体" w:hAnsi="宋体" w:cs="宋体"/>
                <w:szCs w:val="21"/>
              </w:rPr>
            </w:pPr>
            <w:r>
              <w:rPr>
                <w:rFonts w:hint="eastAsia" w:ascii="宋体" w:hAnsi="宋体" w:cs="宋体"/>
                <w:szCs w:val="21"/>
              </w:rPr>
              <w:t>□召开，召开时间：</w:t>
            </w:r>
            <w:r>
              <w:rPr>
                <w:rFonts w:hint="eastAsia" w:ascii="宋体" w:hAnsi="宋体" w:cs="宋体"/>
                <w:szCs w:val="21"/>
                <w:u w:val="single"/>
              </w:rPr>
              <w:t>/</w:t>
            </w:r>
          </w:p>
          <w:p>
            <w:pPr>
              <w:ind w:firstLine="840" w:firstLineChars="400"/>
              <w:rPr>
                <w:rFonts w:ascii="宋体" w:hAnsi="宋体" w:cs="宋体"/>
                <w:szCs w:val="21"/>
              </w:rPr>
            </w:pPr>
            <w:r>
              <w:rPr>
                <w:rFonts w:hint="eastAsia" w:ascii="宋体" w:hAnsi="宋体" w:cs="宋体"/>
                <w:szCs w:val="21"/>
              </w:rPr>
              <w:t>召开地点：</w:t>
            </w:r>
            <w:r>
              <w:rPr>
                <w:rFonts w:hint="eastAsia" w:ascii="宋体" w:hAnsi="宋体" w:cs="宋体"/>
                <w:szCs w:val="21"/>
                <w:u w:val="single"/>
              </w:rPr>
              <w:t>/</w:t>
            </w:r>
          </w:p>
        </w:tc>
      </w:tr>
      <w:tr>
        <w:tblPrEx>
          <w:tblCellMar>
            <w:top w:w="0" w:type="dxa"/>
            <w:left w:w="108" w:type="dxa"/>
            <w:bottom w:w="0" w:type="dxa"/>
            <w:right w:w="108" w:type="dxa"/>
          </w:tblCellMar>
        </w:tblPrEx>
        <w:trPr>
          <w:trHeight w:val="362" w:hRule="atLeast"/>
        </w:trPr>
        <w:tc>
          <w:tcPr>
            <w:tcW w:w="1230"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1.10.2</w:t>
            </w:r>
          </w:p>
        </w:tc>
        <w:tc>
          <w:tcPr>
            <w:tcW w:w="2700"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投标人在投标预备会前提出问题</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时间：/</w:t>
            </w:r>
          </w:p>
        </w:tc>
      </w:tr>
      <w:tr>
        <w:tblPrEx>
          <w:tblCellMar>
            <w:top w:w="0" w:type="dxa"/>
            <w:left w:w="108" w:type="dxa"/>
            <w:bottom w:w="0" w:type="dxa"/>
            <w:right w:w="108" w:type="dxa"/>
          </w:tblCellMar>
        </w:tblPrEx>
        <w:trPr>
          <w:trHeight w:val="497" w:hRule="atLeast"/>
        </w:trPr>
        <w:tc>
          <w:tcPr>
            <w:tcW w:w="1230"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700"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形式：/</w:t>
            </w:r>
          </w:p>
        </w:tc>
      </w:tr>
      <w:tr>
        <w:tblPrEx>
          <w:tblCellMar>
            <w:top w:w="0" w:type="dxa"/>
            <w:left w:w="108" w:type="dxa"/>
            <w:bottom w:w="0" w:type="dxa"/>
            <w:right w:w="108" w:type="dxa"/>
          </w:tblCellMar>
        </w:tblPrEx>
        <w:trPr>
          <w:trHeight w:val="497" w:hRule="atLeast"/>
        </w:trPr>
        <w:tc>
          <w:tcPr>
            <w:tcW w:w="1230" w:type="dxa"/>
            <w:tcBorders>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1.10.3</w:t>
            </w:r>
          </w:p>
        </w:tc>
        <w:tc>
          <w:tcPr>
            <w:tcW w:w="2700" w:type="dxa"/>
            <w:tcBorders>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招标文件澄清发出的形式</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w:t>
            </w:r>
          </w:p>
        </w:tc>
      </w:tr>
      <w:tr>
        <w:tblPrEx>
          <w:tblCellMar>
            <w:top w:w="0" w:type="dxa"/>
            <w:left w:w="108" w:type="dxa"/>
            <w:bottom w:w="0" w:type="dxa"/>
            <w:right w:w="108" w:type="dxa"/>
          </w:tblCellMar>
        </w:tblPrEx>
        <w:trPr>
          <w:trHeight w:val="447"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1.12.1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实质性要求和条件</w:t>
            </w:r>
          </w:p>
        </w:tc>
        <w:tc>
          <w:tcPr>
            <w:tcW w:w="5925" w:type="dxa"/>
            <w:tcBorders>
              <w:top w:val="single" w:color="auto" w:sz="4" w:space="0"/>
              <w:left w:val="single" w:color="auto" w:sz="4" w:space="0"/>
              <w:bottom w:val="single" w:color="auto" w:sz="4" w:space="0"/>
              <w:right w:val="single" w:color="auto" w:sz="4" w:space="0"/>
            </w:tcBorders>
            <w:vAlign w:val="center"/>
          </w:tcPr>
          <w:p>
            <w:pPr>
              <w:pStyle w:val="10"/>
              <w:topLinePunct/>
              <w:rPr>
                <w:rFonts w:ascii="宋体" w:hAnsi="宋体" w:cs="宋体"/>
                <w:sz w:val="21"/>
                <w:szCs w:val="21"/>
              </w:rPr>
            </w:pPr>
            <w:r>
              <w:rPr>
                <w:rFonts w:hint="eastAsia" w:ascii="宋体" w:hAnsi="宋体" w:cs="宋体"/>
                <w:sz w:val="21"/>
                <w:szCs w:val="21"/>
                <w:u w:val="single"/>
              </w:rPr>
              <w:t>/</w:t>
            </w:r>
          </w:p>
        </w:tc>
      </w:tr>
      <w:tr>
        <w:tblPrEx>
          <w:tblCellMar>
            <w:top w:w="0" w:type="dxa"/>
            <w:left w:w="108" w:type="dxa"/>
            <w:bottom w:w="0" w:type="dxa"/>
            <w:right w:w="108" w:type="dxa"/>
          </w:tblCellMar>
        </w:tblPrEx>
        <w:trPr>
          <w:trHeight w:val="850"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1.12.3</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偏差</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pacing w:val="-1"/>
                <w:szCs w:val="21"/>
              </w:rPr>
              <w:t>■</w:t>
            </w:r>
            <w:r>
              <w:rPr>
                <w:rFonts w:hint="eastAsia" w:ascii="宋体" w:hAnsi="宋体" w:cs="宋体"/>
                <w:szCs w:val="21"/>
              </w:rPr>
              <w:t>不允许</w:t>
            </w:r>
          </w:p>
          <w:p>
            <w:pPr>
              <w:pStyle w:val="10"/>
              <w:topLinePunct/>
              <w:spacing w:after="0"/>
              <w:rPr>
                <w:rFonts w:ascii="宋体" w:hAnsi="宋体" w:cs="宋体"/>
                <w:sz w:val="21"/>
                <w:szCs w:val="21"/>
              </w:rPr>
            </w:pPr>
            <w:r>
              <w:rPr>
                <w:rFonts w:hint="eastAsia" w:ascii="宋体" w:hAnsi="宋体" w:cs="宋体"/>
                <w:sz w:val="21"/>
                <w:szCs w:val="21"/>
              </w:rPr>
              <w:t>□允许，偏差范围：</w:t>
            </w:r>
            <w:r>
              <w:rPr>
                <w:rFonts w:hint="eastAsia" w:ascii="宋体" w:hAnsi="宋体" w:cs="宋体"/>
                <w:sz w:val="21"/>
                <w:szCs w:val="21"/>
                <w:u w:val="single"/>
              </w:rPr>
              <w:t>/</w:t>
            </w:r>
          </w:p>
          <w:p>
            <w:pPr>
              <w:pStyle w:val="10"/>
              <w:topLinePunct/>
              <w:spacing w:after="0"/>
              <w:ind w:firstLine="840" w:firstLineChars="400"/>
              <w:rPr>
                <w:rFonts w:ascii="宋体" w:hAnsi="宋体" w:cs="宋体"/>
                <w:sz w:val="21"/>
                <w:szCs w:val="21"/>
              </w:rPr>
            </w:pPr>
            <w:r>
              <w:rPr>
                <w:rFonts w:hint="eastAsia" w:ascii="宋体" w:hAnsi="宋体" w:cs="宋体"/>
                <w:sz w:val="21"/>
                <w:szCs w:val="21"/>
              </w:rPr>
              <w:t>偏差幅度：</w:t>
            </w:r>
            <w:r>
              <w:rPr>
                <w:rFonts w:hint="eastAsia" w:ascii="宋体" w:hAnsi="宋体" w:cs="宋体"/>
                <w:sz w:val="21"/>
                <w:szCs w:val="21"/>
                <w:u w:val="single"/>
              </w:rPr>
              <w:t>/</w:t>
            </w:r>
          </w:p>
        </w:tc>
      </w:tr>
      <w:tr>
        <w:tblPrEx>
          <w:tblCellMar>
            <w:top w:w="0" w:type="dxa"/>
            <w:left w:w="108" w:type="dxa"/>
            <w:bottom w:w="0" w:type="dxa"/>
            <w:right w:w="108" w:type="dxa"/>
          </w:tblCellMar>
        </w:tblPrEx>
        <w:trPr>
          <w:trHeight w:val="562"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构成招标文件的其他资料</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答疑纪要、澄清文件等（如有）。</w:t>
            </w:r>
          </w:p>
        </w:tc>
      </w:tr>
      <w:tr>
        <w:tblPrEx>
          <w:tblCellMar>
            <w:top w:w="0" w:type="dxa"/>
            <w:left w:w="108" w:type="dxa"/>
            <w:bottom w:w="0" w:type="dxa"/>
            <w:right w:w="108" w:type="dxa"/>
          </w:tblCellMar>
        </w:tblPrEx>
        <w:trPr>
          <w:trHeight w:val="579" w:hRule="atLeast"/>
        </w:trPr>
        <w:tc>
          <w:tcPr>
            <w:tcW w:w="1230"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2.2.1</w:t>
            </w:r>
          </w:p>
        </w:tc>
        <w:tc>
          <w:tcPr>
            <w:tcW w:w="2700"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投标人要求澄清招标文件</w:t>
            </w:r>
          </w:p>
        </w:tc>
        <w:tc>
          <w:tcPr>
            <w:tcW w:w="5925"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时间：2023年  月  日  时前(具体见交易中心的日程安排)。</w:t>
            </w:r>
          </w:p>
        </w:tc>
      </w:tr>
      <w:tr>
        <w:tblPrEx>
          <w:tblCellMar>
            <w:top w:w="0" w:type="dxa"/>
            <w:left w:w="108" w:type="dxa"/>
            <w:bottom w:w="0" w:type="dxa"/>
            <w:right w:w="108" w:type="dxa"/>
          </w:tblCellMar>
        </w:tblPrEx>
        <w:trPr>
          <w:trHeight w:val="1326" w:hRule="atLeast"/>
        </w:trPr>
        <w:tc>
          <w:tcPr>
            <w:tcW w:w="1230"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700"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形式：投标人的疑问通过广州公共资源交易中心数字交易平台提交。按照广州公共资源交易中心数字交易平台关于全流程电子化项目的相关指南进行操作，详见：《房屋建筑和市政基础设施工程全流程电子化项目专章》。提问一律不得署名。</w:t>
            </w:r>
          </w:p>
        </w:tc>
      </w:tr>
      <w:tr>
        <w:tblPrEx>
          <w:tblCellMar>
            <w:top w:w="0" w:type="dxa"/>
            <w:left w:w="108" w:type="dxa"/>
            <w:bottom w:w="0" w:type="dxa"/>
            <w:right w:w="108" w:type="dxa"/>
          </w:tblCellMar>
        </w:tblPrEx>
        <w:trPr>
          <w:trHeight w:val="1060" w:hRule="atLeast"/>
        </w:trPr>
        <w:tc>
          <w:tcPr>
            <w:tcW w:w="1230" w:type="dxa"/>
            <w:tcBorders>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2.2.2</w:t>
            </w:r>
          </w:p>
        </w:tc>
        <w:tc>
          <w:tcPr>
            <w:tcW w:w="2700" w:type="dxa"/>
            <w:tcBorders>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招标文件澄清发出的形式</w:t>
            </w:r>
          </w:p>
        </w:tc>
        <w:tc>
          <w:tcPr>
            <w:tcW w:w="5925"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招标人应在递交投标文件截止时间15日前将招标文件澄清文件在广州公共资源交易中心网站答疑专区发布。不足15日的，招标人应当顺延投标文件的截止时间。</w:t>
            </w:r>
          </w:p>
        </w:tc>
      </w:tr>
      <w:tr>
        <w:tblPrEx>
          <w:tblCellMar>
            <w:top w:w="0" w:type="dxa"/>
            <w:left w:w="108" w:type="dxa"/>
            <w:bottom w:w="0" w:type="dxa"/>
            <w:right w:w="108" w:type="dxa"/>
          </w:tblCellMar>
        </w:tblPrEx>
        <w:trPr>
          <w:trHeight w:val="573" w:hRule="atLeast"/>
        </w:trPr>
        <w:tc>
          <w:tcPr>
            <w:tcW w:w="1230"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2.2.3</w:t>
            </w:r>
          </w:p>
        </w:tc>
        <w:tc>
          <w:tcPr>
            <w:tcW w:w="2700"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投标人确认收到招标文件澄清</w:t>
            </w:r>
          </w:p>
        </w:tc>
        <w:tc>
          <w:tcPr>
            <w:tcW w:w="5925"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时间：发出即视作收到。</w:t>
            </w:r>
          </w:p>
        </w:tc>
      </w:tr>
      <w:tr>
        <w:tblPrEx>
          <w:tblCellMar>
            <w:top w:w="0" w:type="dxa"/>
            <w:left w:w="108" w:type="dxa"/>
            <w:bottom w:w="0" w:type="dxa"/>
            <w:right w:w="108" w:type="dxa"/>
          </w:tblCellMar>
        </w:tblPrEx>
        <w:trPr>
          <w:trHeight w:val="1538" w:hRule="atLeast"/>
        </w:trPr>
        <w:tc>
          <w:tcPr>
            <w:tcW w:w="1230"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700"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59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u w:val="single"/>
              </w:rPr>
            </w:pPr>
            <w:r>
              <w:rPr>
                <w:rFonts w:hint="eastAsia" w:ascii="宋体" w:hAnsi="宋体" w:cs="宋体"/>
                <w:szCs w:val="21"/>
                <w:u w:val="single"/>
              </w:rPr>
              <w:t>形式：招标文件的澄清在广州公共资源交易中心网站答疑专区网上公开发布，发出即视作收到，以广州公共资源交易中心数字交易平台网站发布时间作为送达时间。无需投标人确认。投标人应自行关注，招标人不再一一通知。招标文件的修改内容作为招标文件的组成部分，具有约束作用。</w:t>
            </w:r>
          </w:p>
        </w:tc>
      </w:tr>
      <w:tr>
        <w:tblPrEx>
          <w:tblCellMar>
            <w:top w:w="0" w:type="dxa"/>
            <w:left w:w="108" w:type="dxa"/>
            <w:bottom w:w="0" w:type="dxa"/>
            <w:right w:w="108" w:type="dxa"/>
          </w:tblCellMar>
        </w:tblPrEx>
        <w:trPr>
          <w:trHeight w:val="1080" w:hRule="atLeast"/>
        </w:trPr>
        <w:tc>
          <w:tcPr>
            <w:tcW w:w="1230" w:type="dxa"/>
            <w:tcBorders>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2.3.1</w:t>
            </w:r>
          </w:p>
        </w:tc>
        <w:tc>
          <w:tcPr>
            <w:tcW w:w="2700" w:type="dxa"/>
            <w:tcBorders>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招标文件修改发出的形式</w:t>
            </w:r>
          </w:p>
        </w:tc>
        <w:tc>
          <w:tcPr>
            <w:tcW w:w="59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以补充公告或项目答疑澄清的方式在广州公共资源交易中心网站发布</w:t>
            </w:r>
          </w:p>
        </w:tc>
      </w:tr>
      <w:tr>
        <w:tblPrEx>
          <w:tblCellMar>
            <w:top w:w="0" w:type="dxa"/>
            <w:left w:w="108" w:type="dxa"/>
            <w:bottom w:w="0" w:type="dxa"/>
            <w:right w:w="108" w:type="dxa"/>
          </w:tblCellMar>
        </w:tblPrEx>
        <w:trPr>
          <w:trHeight w:val="527" w:hRule="atLeast"/>
        </w:trPr>
        <w:tc>
          <w:tcPr>
            <w:tcW w:w="1230"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2.3.2</w:t>
            </w:r>
          </w:p>
        </w:tc>
        <w:tc>
          <w:tcPr>
            <w:tcW w:w="2700" w:type="dxa"/>
            <w:vMerge w:val="restart"/>
            <w:tcBorders>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投标人确认收到招标文件修改</w:t>
            </w:r>
          </w:p>
        </w:tc>
        <w:tc>
          <w:tcPr>
            <w:tcW w:w="59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时间：发出即视作收到。</w:t>
            </w:r>
          </w:p>
        </w:tc>
      </w:tr>
      <w:tr>
        <w:tblPrEx>
          <w:tblCellMar>
            <w:top w:w="0" w:type="dxa"/>
            <w:left w:w="108" w:type="dxa"/>
            <w:bottom w:w="0" w:type="dxa"/>
            <w:right w:w="108" w:type="dxa"/>
          </w:tblCellMar>
        </w:tblPrEx>
        <w:trPr>
          <w:trHeight w:val="1707" w:hRule="atLeast"/>
        </w:trPr>
        <w:tc>
          <w:tcPr>
            <w:tcW w:w="1230"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700"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59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u w:val="single"/>
              </w:rPr>
            </w:pPr>
            <w:r>
              <w:rPr>
                <w:rFonts w:hint="eastAsia" w:ascii="宋体" w:hAnsi="宋体" w:cs="宋体"/>
                <w:szCs w:val="21"/>
              </w:rPr>
              <w:t>形式：</w:t>
            </w:r>
            <w:r>
              <w:rPr>
                <w:rFonts w:hint="eastAsia" w:ascii="宋体" w:hAnsi="宋体" w:cs="宋体"/>
                <w:szCs w:val="21"/>
                <w:u w:val="single"/>
              </w:rPr>
              <w:t>招标文件的修改一经在广州公共资源交易中心交易平台网站发布，视作已发放给所有投标人，以广州公共资源交易中心交易平台网站发布时间作为送达时间。无需投标人确认。投标人应自行关注，招标人不再一一通知。招标文件的修改内容作为招标文件的组成部分，具有约束作用。</w:t>
            </w:r>
          </w:p>
        </w:tc>
      </w:tr>
      <w:tr>
        <w:tblPrEx>
          <w:tblCellMar>
            <w:top w:w="0" w:type="dxa"/>
            <w:left w:w="108" w:type="dxa"/>
            <w:bottom w:w="0" w:type="dxa"/>
            <w:right w:w="108" w:type="dxa"/>
          </w:tblCellMar>
        </w:tblPrEx>
        <w:trPr>
          <w:trHeight w:val="774"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3.1.1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构成投标文件的其他资料</w:t>
            </w:r>
          </w:p>
        </w:tc>
        <w:tc>
          <w:tcPr>
            <w:tcW w:w="59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满足本项目评审要求的其他资料等投标人认为需要提供的资料。</w:t>
            </w:r>
          </w:p>
        </w:tc>
      </w:tr>
      <w:tr>
        <w:tblPrEx>
          <w:tblCellMar>
            <w:top w:w="0" w:type="dxa"/>
            <w:left w:w="108" w:type="dxa"/>
            <w:bottom w:w="0" w:type="dxa"/>
            <w:right w:w="108" w:type="dxa"/>
          </w:tblCellMar>
        </w:tblPrEx>
        <w:trPr>
          <w:trHeight w:val="676"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3.2.1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增值税税金的计算方法</w:t>
            </w:r>
          </w:p>
        </w:tc>
        <w:tc>
          <w:tcPr>
            <w:tcW w:w="59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 xml:space="preserve"> / </w:t>
            </w:r>
          </w:p>
        </w:tc>
      </w:tr>
      <w:tr>
        <w:tblPrEx>
          <w:tblCellMar>
            <w:top w:w="0" w:type="dxa"/>
            <w:left w:w="108" w:type="dxa"/>
            <w:bottom w:w="0" w:type="dxa"/>
            <w:right w:w="108" w:type="dxa"/>
          </w:tblCellMar>
        </w:tblPrEx>
        <w:trPr>
          <w:trHeight w:val="1455"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3.2.3</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报价方式</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cs="宋体"/>
                <w:szCs w:val="21"/>
                <w:u w:val="single"/>
              </w:rPr>
              <w:t>自行报价（以元为单位，精确到小数位后2位）。投标报价不得高于最高投标限价，由投标人根据招标文件要求以及企业自身情况填写报价。结算方式：按合同约定执行。</w:t>
            </w:r>
          </w:p>
        </w:tc>
      </w:tr>
      <w:tr>
        <w:tblPrEx>
          <w:tblCellMar>
            <w:top w:w="0" w:type="dxa"/>
            <w:left w:w="108" w:type="dxa"/>
            <w:bottom w:w="0" w:type="dxa"/>
            <w:right w:w="108" w:type="dxa"/>
          </w:tblCellMar>
        </w:tblPrEx>
        <w:trPr>
          <w:trHeight w:val="1381"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3.2.4</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最高投标限价</w:t>
            </w:r>
          </w:p>
        </w:tc>
        <w:tc>
          <w:tcPr>
            <w:tcW w:w="59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Cs w:val="21"/>
              </w:rPr>
            </w:pPr>
            <w:r>
              <w:rPr>
                <w:rFonts w:hint="eastAsia" w:ascii="宋体" w:hAnsi="宋体"/>
                <w:szCs w:val="21"/>
              </w:rPr>
              <w:t>□无</w:t>
            </w:r>
          </w:p>
          <w:p>
            <w:pPr>
              <w:jc w:val="left"/>
              <w:rPr>
                <w:rFonts w:ascii="宋体" w:hAnsi="宋体"/>
                <w:szCs w:val="21"/>
              </w:rPr>
            </w:pPr>
            <w:r>
              <w:rPr>
                <w:rFonts w:hint="eastAsia" w:ascii="宋体" w:hAnsi="宋体" w:cs="宋体"/>
                <w:spacing w:val="-1"/>
                <w:szCs w:val="21"/>
              </w:rPr>
              <w:t>■</w:t>
            </w:r>
            <w:r>
              <w:rPr>
                <w:rFonts w:hint="eastAsia" w:ascii="宋体" w:hAnsi="宋体"/>
                <w:szCs w:val="21"/>
              </w:rPr>
              <w:t>有，最高投标限价（总价）：</w:t>
            </w:r>
            <w:r>
              <w:rPr>
                <w:rFonts w:hint="eastAsia" w:ascii="宋体" w:hAnsi="宋体"/>
                <w:szCs w:val="21"/>
                <w:u w:val="single"/>
              </w:rPr>
              <w:t>129</w:t>
            </w:r>
            <w:r>
              <w:rPr>
                <w:rFonts w:hint="eastAsia" w:ascii="宋体" w:hAnsi="宋体"/>
                <w:szCs w:val="21"/>
                <w:u w:val="single"/>
                <w:lang w:val="en-US" w:eastAsia="zh-CN"/>
              </w:rPr>
              <w:t>.</w:t>
            </w:r>
            <w:r>
              <w:rPr>
                <w:rFonts w:hint="eastAsia" w:ascii="宋体" w:hAnsi="宋体"/>
                <w:szCs w:val="21"/>
                <w:u w:val="single"/>
              </w:rPr>
              <w:t>791573</w:t>
            </w:r>
            <w:r>
              <w:rPr>
                <w:rFonts w:hint="eastAsia" w:ascii="宋体" w:hAnsi="宋体"/>
                <w:szCs w:val="21"/>
                <w:u w:val="single"/>
                <w:lang w:val="en-US" w:eastAsia="zh-CN"/>
              </w:rPr>
              <w:t>万</w:t>
            </w:r>
            <w:r>
              <w:rPr>
                <w:rFonts w:hint="eastAsia" w:ascii="宋体" w:hAnsi="宋体"/>
                <w:szCs w:val="21"/>
                <w:u w:val="single"/>
              </w:rPr>
              <w:t>元</w:t>
            </w:r>
            <w:r>
              <w:rPr>
                <w:rFonts w:hint="eastAsia" w:ascii="宋体" w:hAnsi="宋体"/>
                <w:szCs w:val="21"/>
              </w:rPr>
              <w:t>。</w:t>
            </w:r>
          </w:p>
          <w:p>
            <w:pPr>
              <w:pStyle w:val="2"/>
              <w:ind w:firstLine="0"/>
              <w:rPr>
                <w:rFonts w:ascii="宋体" w:hAnsi="宋体"/>
                <w:szCs w:val="21"/>
                <w:lang w:val="en-US"/>
              </w:rPr>
            </w:pPr>
            <w:r>
              <w:rPr>
                <w:rFonts w:hint="eastAsia" w:ascii="宋体" w:hAnsi="宋体"/>
                <w:b/>
                <w:szCs w:val="21"/>
                <w:u w:val="single"/>
                <w:lang w:val="en-US"/>
              </w:rPr>
              <w:t>投标报价不得高于最高投标限价总价，否则由评标委员作无效标处理。</w:t>
            </w:r>
          </w:p>
        </w:tc>
      </w:tr>
      <w:tr>
        <w:tblPrEx>
          <w:tblCellMar>
            <w:top w:w="0" w:type="dxa"/>
            <w:left w:w="108" w:type="dxa"/>
            <w:bottom w:w="0" w:type="dxa"/>
            <w:right w:w="108" w:type="dxa"/>
          </w:tblCellMar>
        </w:tblPrEx>
        <w:trPr>
          <w:trHeight w:val="1092"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3.2.5</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投标报价的其他要求</w:t>
            </w:r>
          </w:p>
        </w:tc>
        <w:tc>
          <w:tcPr>
            <w:tcW w:w="5925"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s="宋体"/>
                <w:szCs w:val="21"/>
              </w:rPr>
            </w:pPr>
            <w:r>
              <w:rPr>
                <w:rFonts w:hint="eastAsia" w:ascii="宋体" w:hAnsi="宋体" w:cs="宋体"/>
                <w:szCs w:val="21"/>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pPr>
              <w:pStyle w:val="2"/>
              <w:spacing w:line="276" w:lineRule="auto"/>
              <w:ind w:firstLine="0"/>
              <w:rPr>
                <w:lang w:val="en-US"/>
              </w:rPr>
            </w:pPr>
            <w:r>
              <w:rPr>
                <w:rFonts w:hint="eastAsia"/>
                <w:lang w:val="en-US"/>
              </w:rPr>
              <w:t>投标人必须详细审阅全部招标文件，充分考虑职责和义务,全面地理解招标文件对投标报价的要求,并按招标人提出的条件及内容进行报价。</w:t>
            </w:r>
          </w:p>
        </w:tc>
      </w:tr>
      <w:tr>
        <w:tblPrEx>
          <w:tblCellMar>
            <w:top w:w="0" w:type="dxa"/>
            <w:left w:w="108" w:type="dxa"/>
            <w:bottom w:w="0" w:type="dxa"/>
            <w:right w:w="108" w:type="dxa"/>
          </w:tblCellMar>
        </w:tblPrEx>
        <w:trPr>
          <w:trHeight w:val="955"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3.3.1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投标有效期</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90日历天（从递交投标文件截止之日计起），如出现异议或投诉，则投标有效期自动延长至异议或投诉处理结束，确定中标人并发放中标通知书为止。</w:t>
            </w:r>
          </w:p>
        </w:tc>
      </w:tr>
      <w:tr>
        <w:tblPrEx>
          <w:tblCellMar>
            <w:top w:w="0" w:type="dxa"/>
            <w:left w:w="108" w:type="dxa"/>
            <w:bottom w:w="0" w:type="dxa"/>
            <w:right w:w="108" w:type="dxa"/>
          </w:tblCellMar>
        </w:tblPrEx>
        <w:trPr>
          <w:trHeight w:val="465"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3.4.1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投标担保</w:t>
            </w:r>
          </w:p>
        </w:tc>
        <w:tc>
          <w:tcPr>
            <w:tcW w:w="59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highlight w:val="none"/>
              </w:rPr>
              <w:t>本项目不要求提交投标担保。</w:t>
            </w:r>
          </w:p>
        </w:tc>
      </w:tr>
      <w:tr>
        <w:tblPrEx>
          <w:tblCellMar>
            <w:top w:w="0" w:type="dxa"/>
            <w:left w:w="108" w:type="dxa"/>
            <w:bottom w:w="0" w:type="dxa"/>
            <w:right w:w="108" w:type="dxa"/>
          </w:tblCellMar>
        </w:tblPrEx>
        <w:trPr>
          <w:trHeight w:val="1485"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3.4.4</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其他可以不予退还投标保证金的情形</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906"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3.5</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资格审查资料的特殊要求</w:t>
            </w:r>
          </w:p>
        </w:tc>
        <w:tc>
          <w:tcPr>
            <w:tcW w:w="5925" w:type="dxa"/>
            <w:tcBorders>
              <w:top w:val="single" w:color="auto" w:sz="4" w:space="0"/>
              <w:left w:val="single" w:color="auto" w:sz="4" w:space="0"/>
              <w:bottom w:val="single" w:color="auto" w:sz="4" w:space="0"/>
              <w:right w:val="single" w:color="auto" w:sz="4" w:space="0"/>
            </w:tcBorders>
            <w:vAlign w:val="center"/>
          </w:tcPr>
          <w:p>
            <w:pPr>
              <w:pStyle w:val="10"/>
              <w:topLinePunct/>
              <w:rPr>
                <w:rFonts w:ascii="宋体" w:hAnsi="宋体" w:cs="宋体"/>
                <w:sz w:val="21"/>
                <w:szCs w:val="21"/>
              </w:rPr>
            </w:pPr>
            <w:r>
              <w:rPr>
                <w:rFonts w:hint="eastAsia" w:ascii="宋体" w:hAnsi="宋体" w:cs="宋体"/>
                <w:sz w:val="21"/>
                <w:szCs w:val="21"/>
              </w:rPr>
              <w:t>□无</w:t>
            </w:r>
          </w:p>
          <w:p>
            <w:pPr>
              <w:pStyle w:val="10"/>
              <w:topLinePunct/>
              <w:rPr>
                <w:rFonts w:ascii="宋体" w:hAnsi="宋体" w:cs="宋体"/>
                <w:sz w:val="21"/>
                <w:szCs w:val="21"/>
              </w:rPr>
            </w:pPr>
            <w:r>
              <w:rPr>
                <w:rFonts w:hint="eastAsia" w:ascii="宋体" w:hAnsi="宋体" w:cs="宋体"/>
                <w:spacing w:val="-1"/>
                <w:sz w:val="21"/>
                <w:szCs w:val="21"/>
              </w:rPr>
              <w:t>■</w:t>
            </w:r>
            <w:r>
              <w:rPr>
                <w:rFonts w:hint="eastAsia" w:ascii="宋体" w:hAnsi="宋体" w:cs="宋体"/>
                <w:sz w:val="21"/>
                <w:szCs w:val="21"/>
              </w:rPr>
              <w:t>有，具体要求：</w:t>
            </w:r>
          </w:p>
          <w:p>
            <w:pPr>
              <w:pStyle w:val="10"/>
              <w:topLinePunct/>
              <w:rPr>
                <w:rFonts w:ascii="宋体" w:hAnsi="宋体" w:cs="宋体"/>
                <w:dstrike/>
                <w:sz w:val="21"/>
                <w:szCs w:val="21"/>
              </w:rPr>
            </w:pPr>
            <w:r>
              <w:rPr>
                <w:rFonts w:hint="eastAsia" w:ascii="宋体" w:hAnsi="宋体" w:cs="宋体"/>
                <w:sz w:val="21"/>
                <w:szCs w:val="21"/>
              </w:rPr>
              <w:t>1、本招标项目不要求提供“近年财务状况表”、“正在监理和新承接的项目情况表”、“近年发生的诉讼及仲裁情况”及“近年完成的类似监理项目情况表”，不作为资格审查内容。本招标项目要求提供“拟委任的主要人员汇总表”、“主要人员简历表”、“拟投入本项目的主要试验检测仪器设备表”资料，但不作为资格审查内容，上述内容资料需提供且作为评标资料（如有）。</w:t>
            </w:r>
          </w:p>
        </w:tc>
      </w:tr>
      <w:tr>
        <w:tblPrEx>
          <w:tblCellMar>
            <w:top w:w="0" w:type="dxa"/>
            <w:left w:w="108" w:type="dxa"/>
            <w:bottom w:w="0" w:type="dxa"/>
            <w:right w:w="108" w:type="dxa"/>
          </w:tblCellMar>
        </w:tblPrEx>
        <w:trPr>
          <w:trHeight w:val="906"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3.5.2</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近年财务状况的年份要求</w:t>
            </w:r>
          </w:p>
        </w:tc>
        <w:tc>
          <w:tcPr>
            <w:tcW w:w="5925"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cs="宋体"/>
                <w:szCs w:val="21"/>
                <w:u w:val="single"/>
              </w:rPr>
            </w:pPr>
            <w:r>
              <w:rPr>
                <w:rFonts w:hint="eastAsia" w:ascii="宋体" w:hAnsi="宋体" w:cs="宋体"/>
                <w:szCs w:val="21"/>
                <w:u w:val="single"/>
              </w:rPr>
              <w:t>/</w:t>
            </w:r>
          </w:p>
        </w:tc>
      </w:tr>
      <w:tr>
        <w:tblPrEx>
          <w:tblCellMar>
            <w:top w:w="0" w:type="dxa"/>
            <w:left w:w="108" w:type="dxa"/>
            <w:bottom w:w="0" w:type="dxa"/>
            <w:right w:w="108" w:type="dxa"/>
          </w:tblCellMar>
        </w:tblPrEx>
        <w:trPr>
          <w:trHeight w:val="906"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3.5.3</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近年完成的类似项目情况的时间要求</w:t>
            </w:r>
          </w:p>
        </w:tc>
        <w:tc>
          <w:tcPr>
            <w:tcW w:w="5925"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cs="宋体"/>
                <w:szCs w:val="21"/>
              </w:rPr>
            </w:pPr>
            <w:r>
              <w:rPr>
                <w:rFonts w:hint="eastAsia" w:ascii="宋体" w:hAnsi="宋体" w:cs="宋体"/>
                <w:szCs w:val="21"/>
                <w:u w:val="single"/>
              </w:rPr>
              <w:t>/</w:t>
            </w:r>
          </w:p>
        </w:tc>
      </w:tr>
      <w:tr>
        <w:tblPrEx>
          <w:tblCellMar>
            <w:top w:w="0" w:type="dxa"/>
            <w:left w:w="108" w:type="dxa"/>
            <w:bottom w:w="0" w:type="dxa"/>
            <w:right w:w="108" w:type="dxa"/>
          </w:tblCellMar>
        </w:tblPrEx>
        <w:trPr>
          <w:trHeight w:val="906"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3.5.5</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近年发生的诉讼及仲裁情况的时间要求</w:t>
            </w:r>
          </w:p>
        </w:tc>
        <w:tc>
          <w:tcPr>
            <w:tcW w:w="5925"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cs="宋体"/>
                <w:szCs w:val="21"/>
              </w:rPr>
            </w:pPr>
            <w:r>
              <w:rPr>
                <w:rFonts w:hint="eastAsia" w:ascii="宋体" w:hAnsi="宋体" w:cs="宋体"/>
                <w:szCs w:val="21"/>
                <w:u w:val="single"/>
              </w:rPr>
              <w:t>/</w:t>
            </w:r>
          </w:p>
        </w:tc>
      </w:tr>
      <w:tr>
        <w:tblPrEx>
          <w:tblCellMar>
            <w:top w:w="0" w:type="dxa"/>
            <w:left w:w="108" w:type="dxa"/>
            <w:bottom w:w="0" w:type="dxa"/>
            <w:right w:w="108" w:type="dxa"/>
          </w:tblCellMar>
        </w:tblPrEx>
        <w:trPr>
          <w:trHeight w:val="906"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3.6.1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是否允许递交备选投标方案</w:t>
            </w:r>
          </w:p>
        </w:tc>
        <w:tc>
          <w:tcPr>
            <w:tcW w:w="5925" w:type="dxa"/>
            <w:tcBorders>
              <w:top w:val="single" w:color="auto" w:sz="4" w:space="0"/>
              <w:left w:val="single" w:color="auto" w:sz="4" w:space="0"/>
              <w:bottom w:val="single" w:color="auto" w:sz="4" w:space="0"/>
              <w:right w:val="single" w:color="auto" w:sz="4" w:space="0"/>
            </w:tcBorders>
            <w:vAlign w:val="center"/>
          </w:tcPr>
          <w:p>
            <w:pPr>
              <w:pStyle w:val="10"/>
              <w:topLinePunct/>
              <w:rPr>
                <w:rFonts w:ascii="宋体" w:hAnsi="宋体" w:cs="宋体"/>
                <w:sz w:val="21"/>
                <w:szCs w:val="21"/>
              </w:rPr>
            </w:pPr>
            <w:r>
              <w:rPr>
                <w:rFonts w:hint="eastAsia" w:ascii="宋体" w:hAnsi="宋体" w:cs="宋体"/>
                <w:spacing w:val="-1"/>
                <w:sz w:val="21"/>
                <w:szCs w:val="21"/>
              </w:rPr>
              <w:t>■</w:t>
            </w:r>
            <w:r>
              <w:rPr>
                <w:rFonts w:hint="eastAsia" w:ascii="宋体" w:hAnsi="宋体" w:cs="宋体"/>
                <w:sz w:val="21"/>
                <w:szCs w:val="21"/>
              </w:rPr>
              <w:t>不允许</w:t>
            </w:r>
          </w:p>
          <w:p>
            <w:pPr>
              <w:rPr>
                <w:rFonts w:ascii="宋体" w:hAnsi="宋体" w:cs="宋体"/>
                <w:szCs w:val="21"/>
              </w:rPr>
            </w:pPr>
            <w:r>
              <w:rPr>
                <w:rFonts w:hint="eastAsia" w:ascii="宋体" w:hAnsi="宋体" w:cs="宋体"/>
                <w:szCs w:val="21"/>
              </w:rPr>
              <w:t>□允许</w:t>
            </w:r>
          </w:p>
        </w:tc>
      </w:tr>
      <w:tr>
        <w:tblPrEx>
          <w:tblCellMar>
            <w:top w:w="0" w:type="dxa"/>
            <w:left w:w="108" w:type="dxa"/>
            <w:bottom w:w="0" w:type="dxa"/>
            <w:right w:w="108" w:type="dxa"/>
          </w:tblCellMar>
        </w:tblPrEx>
        <w:trPr>
          <w:trHeight w:val="804"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3.7.3A（2）</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投标文件副本份数及其他要求</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w:t>
            </w:r>
          </w:p>
        </w:tc>
      </w:tr>
      <w:tr>
        <w:tblPrEx>
          <w:tblCellMar>
            <w:top w:w="0" w:type="dxa"/>
            <w:left w:w="108" w:type="dxa"/>
            <w:bottom w:w="0" w:type="dxa"/>
            <w:right w:w="108" w:type="dxa"/>
          </w:tblCellMar>
        </w:tblPrEx>
        <w:trPr>
          <w:trHeight w:val="532"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3.7.3A（3）</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投标文件是否需分册装订</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w:t>
            </w:r>
          </w:p>
        </w:tc>
      </w:tr>
      <w:tr>
        <w:tblPrEx>
          <w:tblCellMar>
            <w:top w:w="0" w:type="dxa"/>
            <w:left w:w="108" w:type="dxa"/>
            <w:bottom w:w="0" w:type="dxa"/>
            <w:right w:w="108" w:type="dxa"/>
          </w:tblCellMar>
        </w:tblPrEx>
        <w:trPr>
          <w:trHeight w:val="1047"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3.7.3（B）</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投标文件所附证书证件要求</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文件全部采用电子文档，投标文件所附证书证件需为原件清晰扫描件，并采用单位数字证书，按照招标文件要求在相应位置加盖电子印章。相关操作详见广州公共资源交易平台关于全流程电子化项目的相关指南。</w:t>
            </w:r>
          </w:p>
        </w:tc>
      </w:tr>
      <w:tr>
        <w:tblPrEx>
          <w:tblCellMar>
            <w:top w:w="0" w:type="dxa"/>
            <w:left w:w="108" w:type="dxa"/>
            <w:bottom w:w="0" w:type="dxa"/>
            <w:right w:w="108" w:type="dxa"/>
          </w:tblCellMar>
        </w:tblPrEx>
        <w:trPr>
          <w:trHeight w:val="1491"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3.7.3（B）</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投标文件签字或盖章要求</w:t>
            </w:r>
          </w:p>
        </w:tc>
        <w:tc>
          <w:tcPr>
            <w:tcW w:w="5925" w:type="dxa"/>
            <w:tcBorders>
              <w:top w:val="single" w:color="auto" w:sz="4" w:space="0"/>
              <w:left w:val="single" w:color="auto" w:sz="4" w:space="0"/>
              <w:bottom w:val="single" w:color="auto" w:sz="4" w:space="0"/>
              <w:right w:val="single" w:color="auto" w:sz="4" w:space="0"/>
            </w:tcBorders>
            <w:vAlign w:val="center"/>
          </w:tcPr>
          <w:p>
            <w:pPr>
              <w:topLinePunct/>
              <w:jc w:val="left"/>
              <w:rPr>
                <w:rFonts w:ascii="宋体" w:hAnsi="宋体" w:cs="宋体"/>
                <w:szCs w:val="21"/>
              </w:rPr>
            </w:pPr>
            <w:r>
              <w:rPr>
                <w:rFonts w:hint="eastAsia" w:ascii="宋体" w:hAnsi="宋体" w:cs="宋体"/>
                <w:szCs w:val="21"/>
              </w:rPr>
              <w:t>投标文件中需个人签字或盖章的，应加盖个人电子印章或在线下完成后扫描上传。投标文件按招标文件要求加盖单位电子印章。相关操作详见广州公共资源交易平台关于全流程电子化项目的相关指南。</w:t>
            </w:r>
          </w:p>
        </w:tc>
      </w:tr>
      <w:tr>
        <w:tblPrEx>
          <w:tblCellMar>
            <w:top w:w="0" w:type="dxa"/>
            <w:left w:w="108" w:type="dxa"/>
            <w:bottom w:w="0" w:type="dxa"/>
            <w:right w:w="108" w:type="dxa"/>
          </w:tblCellMar>
        </w:tblPrEx>
        <w:trPr>
          <w:trHeight w:val="1250"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4.1.1</w:t>
            </w:r>
          </w:p>
          <w:p>
            <w:pPr>
              <w:jc w:val="center"/>
              <w:rPr>
                <w:rFonts w:ascii="宋体" w:hAnsi="宋体" w:cs="宋体"/>
                <w:szCs w:val="21"/>
              </w:rPr>
            </w:pPr>
            <w:r>
              <w:rPr>
                <w:rFonts w:hint="eastAsia" w:ascii="宋体" w:hAnsi="宋体" w:cs="宋体"/>
                <w:szCs w:val="21"/>
              </w:rPr>
              <w:t>（A）</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投标文件的密封要求</w:t>
            </w:r>
          </w:p>
        </w:tc>
        <w:tc>
          <w:tcPr>
            <w:tcW w:w="5925" w:type="dxa"/>
            <w:tcBorders>
              <w:top w:val="single" w:color="auto" w:sz="4" w:space="0"/>
              <w:left w:val="single" w:color="auto" w:sz="4" w:space="0"/>
              <w:bottom w:val="single" w:color="auto" w:sz="4" w:space="0"/>
              <w:right w:val="single" w:color="auto" w:sz="4" w:space="0"/>
            </w:tcBorders>
            <w:vAlign w:val="center"/>
          </w:tcPr>
          <w:p>
            <w:pPr>
              <w:topLinePunct/>
              <w:jc w:val="left"/>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903"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4.1.1（B）</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投标文件加密要求</w:t>
            </w:r>
          </w:p>
        </w:tc>
        <w:tc>
          <w:tcPr>
            <w:tcW w:w="5925" w:type="dxa"/>
            <w:tcBorders>
              <w:top w:val="single" w:color="auto" w:sz="4" w:space="0"/>
              <w:left w:val="single" w:color="auto" w:sz="4" w:space="0"/>
              <w:bottom w:val="single" w:color="auto" w:sz="4" w:space="0"/>
              <w:right w:val="single" w:color="auto" w:sz="4" w:space="0"/>
            </w:tcBorders>
            <w:vAlign w:val="center"/>
          </w:tcPr>
          <w:p>
            <w:pPr>
              <w:topLinePunct/>
              <w:jc w:val="left"/>
              <w:rPr>
                <w:rFonts w:ascii="宋体" w:hAnsi="宋体" w:cs="宋体"/>
                <w:szCs w:val="21"/>
              </w:rPr>
            </w:pPr>
            <w:r>
              <w:rPr>
                <w:rFonts w:hint="eastAsia" w:ascii="宋体" w:hAnsi="宋体" w:cs="宋体"/>
                <w:szCs w:val="21"/>
                <w:u w:val="single"/>
              </w:rPr>
              <w:t>网上递交的电子投标文件须进行加密。未按要求加密的投标文件，交易平台将予以拒收。具体操作详见广州公共资源交易平台关于全流程电子化项目的相关指南。</w:t>
            </w:r>
          </w:p>
        </w:tc>
      </w:tr>
      <w:tr>
        <w:tblPrEx>
          <w:tblCellMar>
            <w:top w:w="0" w:type="dxa"/>
            <w:left w:w="108" w:type="dxa"/>
            <w:bottom w:w="0" w:type="dxa"/>
            <w:right w:w="108" w:type="dxa"/>
          </w:tblCellMar>
        </w:tblPrEx>
        <w:trPr>
          <w:trHeight w:val="622"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4.1.2</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封套上应载明的信息</w:t>
            </w:r>
          </w:p>
        </w:tc>
        <w:tc>
          <w:tcPr>
            <w:tcW w:w="5925" w:type="dxa"/>
            <w:tcBorders>
              <w:top w:val="single" w:color="auto" w:sz="4" w:space="0"/>
              <w:left w:val="single" w:color="auto" w:sz="4" w:space="0"/>
              <w:bottom w:val="single" w:color="auto" w:sz="4" w:space="0"/>
              <w:right w:val="single" w:color="auto" w:sz="4" w:space="0"/>
            </w:tcBorders>
            <w:vAlign w:val="center"/>
          </w:tcPr>
          <w:p>
            <w:pPr>
              <w:pStyle w:val="10"/>
              <w:topLinePunct/>
              <w:rPr>
                <w:rFonts w:ascii="宋体" w:hAnsi="宋体" w:cs="宋体"/>
                <w:sz w:val="21"/>
                <w:szCs w:val="21"/>
              </w:rPr>
            </w:pPr>
            <w:r>
              <w:rPr>
                <w:rFonts w:hint="eastAsia" w:ascii="宋体" w:hAnsi="宋体" w:cs="宋体"/>
                <w:sz w:val="21"/>
                <w:szCs w:val="21"/>
              </w:rPr>
              <w:t>如有提交投标文件光盘备用，封套上应注明如下信息：</w:t>
            </w:r>
          </w:p>
          <w:p>
            <w:pPr>
              <w:pStyle w:val="10"/>
              <w:topLinePunct/>
              <w:rPr>
                <w:rFonts w:ascii="宋体" w:hAnsi="宋体" w:cs="宋体"/>
                <w:sz w:val="21"/>
                <w:szCs w:val="21"/>
              </w:rPr>
            </w:pPr>
            <w:r>
              <w:rPr>
                <w:rFonts w:hint="eastAsia" w:ascii="宋体" w:hAnsi="宋体" w:cs="宋体"/>
                <w:sz w:val="21"/>
                <w:szCs w:val="21"/>
              </w:rPr>
              <w:t>招标人名称：</w:t>
            </w:r>
          </w:p>
          <w:p>
            <w:pPr>
              <w:pStyle w:val="10"/>
              <w:topLinePunct/>
              <w:rPr>
                <w:rFonts w:ascii="宋体" w:hAnsi="宋体" w:cs="宋体"/>
                <w:sz w:val="21"/>
                <w:szCs w:val="21"/>
              </w:rPr>
            </w:pPr>
            <w:r>
              <w:rPr>
                <w:rFonts w:hint="eastAsia" w:ascii="宋体" w:hAnsi="宋体" w:cs="宋体"/>
                <w:sz w:val="21"/>
                <w:szCs w:val="21"/>
              </w:rPr>
              <w:t>招标人地址：</w:t>
            </w:r>
          </w:p>
          <w:p>
            <w:pPr>
              <w:pStyle w:val="10"/>
              <w:topLinePunct/>
              <w:rPr>
                <w:rFonts w:ascii="宋体" w:hAnsi="宋体" w:cs="宋体"/>
                <w:sz w:val="21"/>
                <w:szCs w:val="21"/>
              </w:rPr>
            </w:pPr>
            <w:r>
              <w:rPr>
                <w:rFonts w:ascii="宋体" w:hAnsi="宋体" w:cs="宋体"/>
                <w:sz w:val="21"/>
                <w:szCs w:val="21"/>
                <w:u w:val="single"/>
              </w:rPr>
              <w:t>（项目名称）</w:t>
            </w:r>
            <w:r>
              <w:rPr>
                <w:rFonts w:hint="eastAsia" w:ascii="宋体" w:hAnsi="宋体" w:cs="宋体"/>
                <w:sz w:val="21"/>
                <w:szCs w:val="21"/>
              </w:rPr>
              <w:t>投标文件</w:t>
            </w:r>
          </w:p>
          <w:p>
            <w:pPr>
              <w:pStyle w:val="10"/>
              <w:topLinePunct/>
              <w:rPr>
                <w:rFonts w:ascii="宋体" w:hAnsi="宋体" w:cs="宋体"/>
                <w:sz w:val="21"/>
                <w:szCs w:val="21"/>
                <w:u w:val="single"/>
                <w:lang w:bidi="zh-CN"/>
              </w:rPr>
            </w:pPr>
            <w:r>
              <w:rPr>
                <w:rFonts w:hint="eastAsia" w:ascii="宋体" w:hAnsi="宋体" w:cs="宋体"/>
                <w:sz w:val="21"/>
                <w:szCs w:val="21"/>
                <w:lang w:bidi="zh-CN"/>
              </w:rPr>
              <w:t>投标人名称：</w:t>
            </w:r>
          </w:p>
          <w:p>
            <w:pPr>
              <w:pStyle w:val="10"/>
              <w:topLinePunct/>
              <w:rPr>
                <w:rFonts w:ascii="宋体" w:hAnsi="宋体" w:cs="宋体"/>
                <w:sz w:val="21"/>
                <w:szCs w:val="21"/>
              </w:rPr>
            </w:pPr>
            <w:r>
              <w:rPr>
                <w:rFonts w:hint="eastAsia" w:ascii="宋体" w:hAnsi="宋体" w:cs="宋体"/>
                <w:sz w:val="21"/>
                <w:szCs w:val="21"/>
              </w:rPr>
              <w:t>在年月日时前不得开启</w:t>
            </w:r>
          </w:p>
        </w:tc>
      </w:tr>
      <w:tr>
        <w:tblPrEx>
          <w:tblCellMar>
            <w:top w:w="0" w:type="dxa"/>
            <w:left w:w="108" w:type="dxa"/>
            <w:bottom w:w="0" w:type="dxa"/>
            <w:right w:w="108" w:type="dxa"/>
          </w:tblCellMar>
        </w:tblPrEx>
        <w:trPr>
          <w:trHeight w:val="607"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4.2.1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投标截止时间</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详见广州公共资源交易中心网站信息。具体时间可以到广州公共资源交易中心交易平台“建设工程→项目查询（日程安排、答疑纪要）”输入本项目编号或项目名称进行查询。</w:t>
            </w:r>
          </w:p>
        </w:tc>
      </w:tr>
      <w:tr>
        <w:tblPrEx>
          <w:tblCellMar>
            <w:top w:w="0" w:type="dxa"/>
            <w:left w:w="108" w:type="dxa"/>
            <w:bottom w:w="0" w:type="dxa"/>
            <w:right w:w="108" w:type="dxa"/>
          </w:tblCellMar>
        </w:tblPrEx>
        <w:trPr>
          <w:trHeight w:val="576"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4.2.2（A）</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递交投标文件地点</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w:t>
            </w:r>
          </w:p>
        </w:tc>
      </w:tr>
      <w:tr>
        <w:tblPrEx>
          <w:tblCellMar>
            <w:top w:w="0" w:type="dxa"/>
            <w:left w:w="108" w:type="dxa"/>
            <w:bottom w:w="0" w:type="dxa"/>
            <w:right w:w="108" w:type="dxa"/>
          </w:tblCellMar>
        </w:tblPrEx>
        <w:trPr>
          <w:trHeight w:val="639"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4.2.3</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投标文件是否退还</w:t>
            </w:r>
          </w:p>
        </w:tc>
        <w:tc>
          <w:tcPr>
            <w:tcW w:w="5925" w:type="dxa"/>
            <w:tcBorders>
              <w:top w:val="single" w:color="auto" w:sz="4" w:space="0"/>
              <w:left w:val="single" w:color="auto" w:sz="4" w:space="0"/>
              <w:bottom w:val="single" w:color="auto" w:sz="4" w:space="0"/>
              <w:right w:val="single" w:color="auto" w:sz="4" w:space="0"/>
            </w:tcBorders>
            <w:vAlign w:val="center"/>
          </w:tcPr>
          <w:p>
            <w:pPr>
              <w:pStyle w:val="10"/>
              <w:topLinePunct/>
              <w:spacing w:after="0"/>
              <w:rPr>
                <w:rFonts w:ascii="宋体" w:hAnsi="宋体" w:cs="宋体"/>
                <w:sz w:val="21"/>
                <w:szCs w:val="21"/>
              </w:rPr>
            </w:pPr>
            <w:r>
              <w:rPr>
                <w:rFonts w:hint="eastAsia" w:ascii="宋体" w:hAnsi="宋体" w:cs="宋体"/>
                <w:spacing w:val="-1"/>
                <w:sz w:val="21"/>
                <w:szCs w:val="21"/>
              </w:rPr>
              <w:t>■</w:t>
            </w:r>
            <w:r>
              <w:rPr>
                <w:rFonts w:hint="eastAsia" w:ascii="宋体" w:hAnsi="宋体" w:cs="宋体"/>
                <w:sz w:val="21"/>
                <w:szCs w:val="21"/>
              </w:rPr>
              <w:t>否</w:t>
            </w:r>
          </w:p>
          <w:p>
            <w:pPr>
              <w:pStyle w:val="10"/>
              <w:topLinePunct/>
              <w:spacing w:after="0"/>
              <w:rPr>
                <w:rFonts w:ascii="宋体" w:hAnsi="宋体" w:cs="宋体"/>
                <w:sz w:val="21"/>
                <w:szCs w:val="21"/>
              </w:rPr>
            </w:pPr>
            <w:r>
              <w:rPr>
                <w:rFonts w:hint="eastAsia" w:ascii="宋体" w:hAnsi="宋体" w:cs="宋体"/>
                <w:sz w:val="21"/>
                <w:szCs w:val="21"/>
              </w:rPr>
              <w:t>□是，退还时间：</w:t>
            </w:r>
          </w:p>
        </w:tc>
      </w:tr>
      <w:tr>
        <w:tblPrEx>
          <w:tblCellMar>
            <w:top w:w="0" w:type="dxa"/>
            <w:left w:w="108" w:type="dxa"/>
            <w:bottom w:w="0" w:type="dxa"/>
            <w:right w:w="108" w:type="dxa"/>
          </w:tblCellMar>
        </w:tblPrEx>
        <w:trPr>
          <w:trHeight w:val="580" w:hRule="atLeast"/>
        </w:trPr>
        <w:tc>
          <w:tcPr>
            <w:tcW w:w="1230" w:type="dxa"/>
            <w:tcBorders>
              <w:top w:val="single" w:color="auto" w:sz="4" w:space="0"/>
              <w:left w:val="single" w:color="auto" w:sz="4" w:space="0"/>
              <w:bottom w:val="nil"/>
              <w:right w:val="single" w:color="auto" w:sz="4" w:space="0"/>
            </w:tcBorders>
            <w:vAlign w:val="center"/>
          </w:tcPr>
          <w:p>
            <w:pPr>
              <w:jc w:val="center"/>
              <w:rPr>
                <w:rFonts w:ascii="宋体" w:hAnsi="宋体" w:cs="宋体"/>
                <w:szCs w:val="21"/>
              </w:rPr>
            </w:pPr>
            <w:r>
              <w:rPr>
                <w:rFonts w:hint="eastAsia" w:ascii="宋体" w:hAnsi="宋体" w:cs="宋体"/>
                <w:szCs w:val="21"/>
              </w:rPr>
              <w:t>5.1（A）</w:t>
            </w:r>
          </w:p>
        </w:tc>
        <w:tc>
          <w:tcPr>
            <w:tcW w:w="2700" w:type="dxa"/>
            <w:tcBorders>
              <w:top w:val="single" w:color="auto" w:sz="4" w:space="0"/>
              <w:left w:val="single" w:color="auto" w:sz="4" w:space="0"/>
              <w:bottom w:val="nil"/>
              <w:right w:val="single" w:color="auto" w:sz="4" w:space="0"/>
            </w:tcBorders>
            <w:vAlign w:val="center"/>
          </w:tcPr>
          <w:p>
            <w:pPr>
              <w:jc w:val="center"/>
              <w:rPr>
                <w:rFonts w:ascii="宋体" w:hAnsi="宋体" w:cs="宋体"/>
                <w:szCs w:val="21"/>
              </w:rPr>
            </w:pPr>
            <w:r>
              <w:rPr>
                <w:rFonts w:hint="eastAsia" w:ascii="宋体" w:hAnsi="宋体" w:cs="宋体"/>
                <w:szCs w:val="21"/>
              </w:rPr>
              <w:t>开标时间和地点</w:t>
            </w:r>
          </w:p>
        </w:tc>
        <w:tc>
          <w:tcPr>
            <w:tcW w:w="5925" w:type="dxa"/>
            <w:tcBorders>
              <w:top w:val="single" w:color="auto" w:sz="4" w:space="0"/>
              <w:left w:val="single" w:color="auto" w:sz="4" w:space="0"/>
              <w:bottom w:val="nil"/>
              <w:right w:val="single" w:color="auto" w:sz="4" w:space="0"/>
            </w:tcBorders>
            <w:vAlign w:val="center"/>
          </w:tcPr>
          <w:p>
            <w:pPr>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663"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5.2</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开标程序</w:t>
            </w:r>
          </w:p>
        </w:tc>
        <w:tc>
          <w:tcPr>
            <w:tcW w:w="592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r>
              <w:rPr>
                <w:rFonts w:hint="eastAsia" w:ascii="宋体" w:hAnsi="宋体" w:cs="宋体"/>
                <w:szCs w:val="21"/>
              </w:rPr>
              <w:t>按下列程序进行开标：</w:t>
            </w:r>
          </w:p>
          <w:p>
            <w:pPr>
              <w:jc w:val="left"/>
              <w:rPr>
                <w:rFonts w:ascii="宋体" w:hAnsi="宋体" w:cs="宋体"/>
                <w:szCs w:val="21"/>
              </w:rPr>
            </w:pPr>
            <w:r>
              <w:rPr>
                <w:rFonts w:hint="eastAsia" w:ascii="宋体" w:hAnsi="宋体" w:cs="宋体"/>
                <w:szCs w:val="21"/>
              </w:rPr>
              <w:t>（1）在投标截止时间后半小时内，投标人通过递交投标文件的交易平台对已递交的电子投标文件进行解密。投标人完成解密后，再由招标人进行解密（投标人只用执行一次解密，招标人执行解密次数根据招标文件开标次数确定）。</w:t>
            </w:r>
          </w:p>
          <w:p>
            <w:pPr>
              <w:jc w:val="left"/>
              <w:rPr>
                <w:rFonts w:ascii="宋体" w:hAnsi="宋体" w:cs="宋体"/>
                <w:szCs w:val="21"/>
              </w:rPr>
            </w:pPr>
            <w:r>
              <w:rPr>
                <w:rFonts w:hint="eastAsia" w:ascii="宋体" w:hAnsi="宋体" w:cs="宋体"/>
                <w:szCs w:val="21"/>
              </w:rPr>
              <w:t>（2）解密完成后，招标项目名称、投标人名称、</w:t>
            </w:r>
            <w:r>
              <w:rPr>
                <w:rFonts w:hint="eastAsia" w:ascii="宋体" w:hAnsi="宋体" w:cs="宋体"/>
                <w:strike/>
                <w:szCs w:val="21"/>
              </w:rPr>
              <w:t>投标保证金的递交情况</w:t>
            </w:r>
            <w:r>
              <w:rPr>
                <w:rFonts w:hint="eastAsia" w:ascii="宋体" w:hAnsi="宋体" w:cs="宋体"/>
                <w:szCs w:val="21"/>
              </w:rPr>
              <w:t>、投标报价、监理服务期限及其他内容，并记录在案；未在规定时间内解密的投标文件不参与开标、评标。</w:t>
            </w:r>
          </w:p>
          <w:p>
            <w:pPr>
              <w:jc w:val="left"/>
              <w:rPr>
                <w:rFonts w:ascii="宋体" w:hAnsi="宋体" w:cs="宋体"/>
                <w:szCs w:val="21"/>
              </w:rPr>
            </w:pPr>
            <w:r>
              <w:rPr>
                <w:rFonts w:hint="eastAsia" w:ascii="宋体" w:hAnsi="宋体" w:cs="宋体"/>
                <w:szCs w:val="21"/>
              </w:rPr>
              <w:t>（3）截标后，开标开始时间因故推迟的，相关评标信息仍以原定的开标开始时间的信息为准。</w:t>
            </w:r>
          </w:p>
          <w:p>
            <w:pPr>
              <w:jc w:val="left"/>
              <w:rPr>
                <w:rFonts w:ascii="宋体" w:hAnsi="宋体" w:cs="宋体"/>
                <w:szCs w:val="21"/>
              </w:rPr>
            </w:pPr>
            <w:r>
              <w:rPr>
                <w:rFonts w:hint="eastAsia" w:ascii="宋体" w:hAnsi="宋体" w:cs="宋体"/>
                <w:szCs w:val="21"/>
              </w:rPr>
              <w:t>（4）</w:t>
            </w:r>
            <w:r>
              <w:rPr>
                <w:rFonts w:hint="eastAsia" w:hAnsi="宋体"/>
                <w:szCs w:val="21"/>
              </w:rPr>
              <w:t>备用光盘的读取按</w:t>
            </w:r>
            <w:bookmarkStart w:id="12" w:name="_Hlk123218626"/>
            <w:r>
              <w:rPr>
                <w:rFonts w:hint="eastAsia" w:hAnsi="宋体"/>
                <w:szCs w:val="21"/>
              </w:rPr>
              <w:t>投标人须知前附表第</w:t>
            </w:r>
            <w:r>
              <w:rPr>
                <w:rFonts w:hAnsi="宋体"/>
                <w:szCs w:val="21"/>
              </w:rPr>
              <w:t>9</w:t>
            </w:r>
            <w:r>
              <w:rPr>
                <w:rFonts w:hint="eastAsia" w:hAnsi="宋体"/>
                <w:szCs w:val="21"/>
              </w:rPr>
              <w:t>条</w:t>
            </w:r>
            <w:bookmarkEnd w:id="12"/>
            <w:r>
              <w:rPr>
                <w:rFonts w:hint="eastAsia" w:hAnsi="宋体"/>
                <w:szCs w:val="21"/>
              </w:rPr>
              <w:t>的规定执行。</w:t>
            </w:r>
          </w:p>
          <w:p>
            <w:pPr>
              <w:jc w:val="left"/>
              <w:rPr>
                <w:rFonts w:ascii="宋体" w:hAnsi="宋体" w:cs="宋体"/>
                <w:szCs w:val="21"/>
              </w:rPr>
            </w:pPr>
            <w:r>
              <w:rPr>
                <w:rFonts w:hint="eastAsia" w:ascii="宋体" w:hAnsi="宋体" w:cs="宋体"/>
                <w:szCs w:val="21"/>
              </w:rPr>
              <w:t>（5）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jc w:val="left"/>
              <w:rPr>
                <w:rFonts w:ascii="宋体" w:hAnsi="宋体" w:cs="宋体"/>
                <w:szCs w:val="21"/>
              </w:rPr>
            </w:pPr>
            <w:r>
              <w:rPr>
                <w:rFonts w:hint="eastAsia" w:ascii="宋体" w:hAnsi="宋体" w:cs="宋体"/>
                <w:szCs w:val="21"/>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pPr>
              <w:jc w:val="left"/>
              <w:rPr>
                <w:rFonts w:ascii="宋体" w:hAnsi="宋体" w:cs="宋体"/>
                <w:szCs w:val="21"/>
              </w:rPr>
            </w:pPr>
            <w:r>
              <w:rPr>
                <w:rFonts w:hint="eastAsia" w:ascii="宋体" w:hAnsi="宋体" w:cs="宋体"/>
                <w:szCs w:val="21"/>
              </w:rPr>
              <w:t>（7）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jc w:val="left"/>
              <w:rPr>
                <w:rFonts w:ascii="宋体" w:hAnsi="宋体" w:cs="宋体"/>
                <w:szCs w:val="21"/>
              </w:rPr>
            </w:pPr>
            <w:r>
              <w:rPr>
                <w:rFonts w:hint="eastAsia" w:ascii="宋体" w:hAnsi="宋体" w:cs="宋体"/>
                <w:szCs w:val="21"/>
              </w:rPr>
              <w:t>（8）投标人未参加开标或在规定的时间内未提出异议的，视为对开标无异议。</w:t>
            </w:r>
          </w:p>
          <w:p>
            <w:pPr>
              <w:jc w:val="left"/>
              <w:rPr>
                <w:rFonts w:ascii="宋体" w:hAnsi="宋体" w:cs="宋体"/>
                <w:szCs w:val="21"/>
              </w:rPr>
            </w:pPr>
            <w:r>
              <w:rPr>
                <w:rFonts w:hint="eastAsia" w:ascii="宋体" w:hAnsi="宋体" w:cs="宋体"/>
                <w:szCs w:val="21"/>
              </w:rPr>
              <w:t>（9）开标时，两个（含两个）以上的投标人加密打包投标文件电脑机器特征码一致的，不参与下一程序，并由评标委员会否决其投标。</w:t>
            </w:r>
          </w:p>
        </w:tc>
      </w:tr>
      <w:tr>
        <w:tblPrEx>
          <w:tblCellMar>
            <w:top w:w="0" w:type="dxa"/>
            <w:left w:w="108" w:type="dxa"/>
            <w:bottom w:w="0" w:type="dxa"/>
            <w:right w:w="108" w:type="dxa"/>
          </w:tblCellMar>
        </w:tblPrEx>
        <w:trPr>
          <w:trHeight w:val="600"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6.1.1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评标委员会的组建</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评标委员会由招标人依法组建。</w:t>
            </w:r>
          </w:p>
        </w:tc>
      </w:tr>
      <w:tr>
        <w:tblPrEx>
          <w:tblCellMar>
            <w:top w:w="0" w:type="dxa"/>
            <w:left w:w="108" w:type="dxa"/>
            <w:bottom w:w="0" w:type="dxa"/>
            <w:right w:w="108" w:type="dxa"/>
          </w:tblCellMar>
        </w:tblPrEx>
        <w:trPr>
          <w:trHeight w:val="690"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6.3.2</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评标委员会推荐中标候选人的人数</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szCs w:val="21"/>
              </w:rPr>
              <w:t>推荐中标候选人</w:t>
            </w:r>
            <w:r>
              <w:rPr>
                <w:rFonts w:hint="eastAsia" w:ascii="宋体" w:hAnsi="宋体"/>
                <w:szCs w:val="21"/>
                <w:u w:val="single"/>
              </w:rPr>
              <w:t>3人。</w:t>
            </w:r>
          </w:p>
        </w:tc>
      </w:tr>
      <w:tr>
        <w:tblPrEx>
          <w:tblCellMar>
            <w:top w:w="0" w:type="dxa"/>
            <w:left w:w="108" w:type="dxa"/>
            <w:bottom w:w="0" w:type="dxa"/>
            <w:right w:w="108" w:type="dxa"/>
          </w:tblCellMar>
        </w:tblPrEx>
        <w:trPr>
          <w:trHeight w:val="895"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中标候选人公示媒介及期限</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公示媒介：中国招标投标公共服务平台、广东省招标投标监管网、广州公共资源交易网。</w:t>
            </w:r>
          </w:p>
          <w:p>
            <w:pPr>
              <w:rPr>
                <w:rFonts w:ascii="宋体" w:hAnsi="宋体"/>
                <w:szCs w:val="21"/>
              </w:rPr>
            </w:pPr>
            <w:r>
              <w:rPr>
                <w:rFonts w:hint="eastAsia" w:ascii="宋体" w:hAnsi="宋体"/>
                <w:szCs w:val="21"/>
              </w:rPr>
              <w:t>公示期限：3日。</w:t>
            </w:r>
          </w:p>
          <w:p>
            <w:pPr>
              <w:pStyle w:val="2"/>
              <w:ind w:firstLine="0"/>
              <w:rPr>
                <w:rFonts w:ascii="宋体" w:hAnsi="宋体"/>
                <w:szCs w:val="21"/>
              </w:rPr>
            </w:pPr>
            <w:r>
              <w:rPr>
                <w:rFonts w:hint="eastAsia" w:ascii="宋体" w:hAnsi="宋体"/>
                <w:szCs w:val="21"/>
                <w:lang w:val="en-US"/>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CellMar>
            <w:top w:w="0" w:type="dxa"/>
            <w:left w:w="108" w:type="dxa"/>
            <w:bottom w:w="0" w:type="dxa"/>
            <w:right w:w="108" w:type="dxa"/>
          </w:tblCellMar>
        </w:tblPrEx>
        <w:trPr>
          <w:trHeight w:val="645"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7.4</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是否授权评标委员会确定中标人</w:t>
            </w:r>
          </w:p>
        </w:tc>
        <w:tc>
          <w:tcPr>
            <w:tcW w:w="59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□是</w:t>
            </w:r>
          </w:p>
          <w:p>
            <w:pPr>
              <w:rPr>
                <w:rFonts w:ascii="宋体" w:hAnsi="宋体" w:cs="宋体"/>
                <w:szCs w:val="21"/>
              </w:rPr>
            </w:pPr>
            <w:r>
              <w:rPr>
                <w:rFonts w:hint="eastAsia" w:hAnsi="宋体"/>
                <w:szCs w:val="21"/>
              </w:rPr>
              <w:t>■否</w:t>
            </w:r>
          </w:p>
        </w:tc>
      </w:tr>
      <w:tr>
        <w:tblPrEx>
          <w:tblCellMar>
            <w:top w:w="0" w:type="dxa"/>
            <w:left w:w="108" w:type="dxa"/>
            <w:bottom w:w="0" w:type="dxa"/>
            <w:right w:w="108" w:type="dxa"/>
          </w:tblCellMar>
        </w:tblPrEx>
        <w:trPr>
          <w:trHeight w:val="1636"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7.6.1</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履约保证金</w:t>
            </w:r>
          </w:p>
        </w:tc>
        <w:tc>
          <w:tcPr>
            <w:tcW w:w="5925" w:type="dxa"/>
            <w:tcBorders>
              <w:top w:val="single" w:color="auto" w:sz="4" w:space="0"/>
              <w:left w:val="single" w:color="auto" w:sz="4" w:space="0"/>
              <w:bottom w:val="single" w:color="auto" w:sz="4" w:space="0"/>
              <w:right w:val="single" w:color="auto" w:sz="4" w:space="0"/>
            </w:tcBorders>
            <w:vAlign w:val="center"/>
          </w:tcPr>
          <w:p>
            <w:pPr>
              <w:pStyle w:val="10"/>
              <w:topLinePunct/>
              <w:spacing w:after="0"/>
              <w:rPr>
                <w:rFonts w:ascii="宋体" w:hAnsi="宋体" w:cs="宋体"/>
                <w:sz w:val="21"/>
                <w:szCs w:val="21"/>
              </w:rPr>
            </w:pPr>
            <w:r>
              <w:rPr>
                <w:rFonts w:hint="eastAsia" w:ascii="宋体" w:hAnsi="宋体" w:cs="宋体"/>
                <w:sz w:val="21"/>
                <w:szCs w:val="21"/>
              </w:rPr>
              <w:t>是否要求中标人提交履约保证金：</w:t>
            </w:r>
          </w:p>
          <w:p>
            <w:pPr>
              <w:pStyle w:val="10"/>
              <w:topLinePunct/>
              <w:spacing w:after="0"/>
              <w:rPr>
                <w:rFonts w:ascii="宋体" w:hAnsi="宋体" w:cs="宋体"/>
                <w:sz w:val="21"/>
                <w:szCs w:val="21"/>
                <w:u w:val="single"/>
              </w:rPr>
            </w:pPr>
            <w:r>
              <w:rPr>
                <w:rFonts w:hint="eastAsia" w:ascii="宋体" w:hAnsi="宋体" w:cs="宋体"/>
                <w:sz w:val="21"/>
                <w:szCs w:val="21"/>
              </w:rPr>
              <w:t>□要求，履约保证金的金额：/</w:t>
            </w:r>
          </w:p>
          <w:p>
            <w:pPr>
              <w:pStyle w:val="10"/>
              <w:topLinePunct/>
              <w:spacing w:after="0"/>
              <w:ind w:firstLine="840" w:firstLineChars="400"/>
              <w:rPr>
                <w:rFonts w:ascii="宋体" w:hAnsi="宋体" w:cs="宋体"/>
                <w:sz w:val="21"/>
                <w:szCs w:val="21"/>
              </w:rPr>
            </w:pPr>
            <w:r>
              <w:rPr>
                <w:rFonts w:hint="eastAsia" w:ascii="宋体" w:hAnsi="宋体" w:cs="宋体"/>
                <w:sz w:val="21"/>
                <w:szCs w:val="21"/>
              </w:rPr>
              <w:t>履约保证金的</w:t>
            </w:r>
            <w:r>
              <w:rPr>
                <w:rFonts w:hint="eastAsia" w:ascii="宋体" w:hAnsi="宋体" w:cs="宋体"/>
                <w:sz w:val="21"/>
                <w:szCs w:val="21"/>
                <w:u w:val="none"/>
              </w:rPr>
              <w:t>形式：</w:t>
            </w:r>
            <w:r>
              <w:rPr>
                <w:rFonts w:hint="eastAsia" w:ascii="宋体" w:hAnsi="宋体" w:cs="宋体"/>
                <w:sz w:val="21"/>
                <w:szCs w:val="21"/>
              </w:rPr>
              <w:t>/</w:t>
            </w:r>
          </w:p>
          <w:p>
            <w:pPr>
              <w:pStyle w:val="10"/>
              <w:topLinePunct/>
              <w:spacing w:after="0"/>
              <w:rPr>
                <w:rFonts w:ascii="宋体" w:hAnsi="宋体" w:cs="宋体"/>
                <w:sz w:val="21"/>
                <w:szCs w:val="21"/>
              </w:rPr>
            </w:pPr>
            <w:r>
              <w:rPr>
                <w:rFonts w:hint="eastAsia" w:ascii="宋体" w:hAnsi="宋体" w:cs="宋体"/>
                <w:spacing w:val="-1"/>
                <w:sz w:val="21"/>
                <w:szCs w:val="21"/>
              </w:rPr>
              <w:t>■</w:t>
            </w:r>
            <w:r>
              <w:rPr>
                <w:rFonts w:hint="eastAsia" w:ascii="宋体" w:hAnsi="宋体" w:cs="宋体"/>
                <w:sz w:val="21"/>
                <w:szCs w:val="21"/>
              </w:rPr>
              <w:t>不要求</w:t>
            </w:r>
          </w:p>
        </w:tc>
      </w:tr>
      <w:tr>
        <w:tblPrEx>
          <w:tblCellMar>
            <w:top w:w="0" w:type="dxa"/>
            <w:left w:w="108" w:type="dxa"/>
            <w:bottom w:w="0" w:type="dxa"/>
            <w:right w:w="108" w:type="dxa"/>
          </w:tblCellMar>
        </w:tblPrEx>
        <w:trPr>
          <w:trHeight w:val="573"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是否采用电子招标投标</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□否</w:t>
            </w:r>
          </w:p>
          <w:p>
            <w:pPr>
              <w:rPr>
                <w:rFonts w:ascii="宋体" w:hAnsi="宋体" w:cs="宋体"/>
                <w:szCs w:val="21"/>
              </w:rPr>
            </w:pPr>
            <w:r>
              <w:rPr>
                <w:rFonts w:hint="eastAsia" w:ascii="宋体" w:hAnsi="宋体" w:cs="宋体"/>
                <w:spacing w:val="-1"/>
                <w:szCs w:val="21"/>
              </w:rPr>
              <w:t>■</w:t>
            </w:r>
            <w:r>
              <w:rPr>
                <w:rFonts w:hint="eastAsia" w:ascii="宋体" w:hAnsi="宋体" w:cs="宋体"/>
                <w:szCs w:val="21"/>
              </w:rPr>
              <w:t>是，具体要求：</w:t>
            </w:r>
          </w:p>
          <w:p>
            <w:pPr>
              <w:spacing w:line="400" w:lineRule="exact"/>
              <w:rPr>
                <w:rFonts w:ascii="宋体" w:hAnsi="宋体" w:cs="宋体"/>
                <w:szCs w:val="21"/>
              </w:rPr>
            </w:pPr>
            <w:r>
              <w:rPr>
                <w:rFonts w:hint="eastAsia" w:ascii="宋体" w:hAnsi="宋体" w:cs="宋体"/>
                <w:szCs w:val="21"/>
              </w:rPr>
              <w:t>1、具体操作详见广州公共资源交易中心发布关于全流程电子化项目的相关指南。</w:t>
            </w:r>
          </w:p>
          <w:p>
            <w:pPr>
              <w:spacing w:line="400" w:lineRule="exact"/>
              <w:rPr>
                <w:rFonts w:ascii="宋体" w:hAnsi="宋体" w:cs="宋体"/>
                <w:szCs w:val="21"/>
              </w:rPr>
            </w:pPr>
            <w:r>
              <w:rPr>
                <w:rFonts w:hint="eastAsia" w:ascii="宋体" w:hAnsi="宋体" w:cs="宋体"/>
                <w:szCs w:val="21"/>
              </w:rPr>
              <w:t>2、现场提交投标文件备用光盘</w:t>
            </w:r>
          </w:p>
          <w:p>
            <w:pPr>
              <w:spacing w:line="400" w:lineRule="exact"/>
              <w:rPr>
                <w:rFonts w:ascii="宋体" w:hAnsi="宋体" w:cs="宋体"/>
                <w:szCs w:val="21"/>
              </w:rPr>
            </w:pPr>
            <w:r>
              <w:rPr>
                <w:rFonts w:hint="eastAsia" w:ascii="宋体" w:hAnsi="宋体" w:cs="宋体"/>
                <w:szCs w:val="21"/>
              </w:rPr>
              <w:t>投标人将按广州公共资源交易平台关于全流程电子化项目的相关指南的操作方法制作的非加密的电子投标文件刻入光盘（1份），在规定的时间、地点提交备用。刻录好的投标文件备用光盘密封在密封袋中，并在封口处加盖投标人单位公章。密封袋上应注明的内容见投标人须知前附表要求4.1.2。现场递交的投标文件（光盘）不得加密。光盘（投标文件）无法读取或导入的，则视为未提交投标文件备用光盘。如果投标人没有按规定通过交易平台网上递交电子投标文件的，不再读取现场提交的投标文件备用光盘。投标人也可不提交投标文件光盘(备用)。</w:t>
            </w:r>
          </w:p>
          <w:p>
            <w:pPr>
              <w:spacing w:line="400" w:lineRule="exact"/>
              <w:rPr>
                <w:rFonts w:ascii="宋体" w:hAnsi="宋体" w:cs="宋体"/>
                <w:szCs w:val="21"/>
              </w:rPr>
            </w:pPr>
            <w:r>
              <w:rPr>
                <w:rFonts w:hint="eastAsia" w:ascii="宋体" w:hAnsi="宋体" w:cs="宋体"/>
                <w:szCs w:val="21"/>
              </w:rPr>
              <w:t>3、补救方案</w:t>
            </w:r>
          </w:p>
          <w:p>
            <w:pPr>
              <w:spacing w:line="400" w:lineRule="exact"/>
              <w:rPr>
                <w:rFonts w:ascii="宋体" w:hAnsi="宋体" w:cs="宋体"/>
                <w:szCs w:val="21"/>
              </w:rPr>
            </w:pPr>
            <w:r>
              <w:rPr>
                <w:rFonts w:hint="eastAsia" w:ascii="宋体" w:hAnsi="宋体" w:cs="宋体"/>
                <w:szCs w:val="21"/>
              </w:rPr>
              <w:t>（1）投标文件解密失败的补救方案：</w:t>
            </w:r>
          </w:p>
          <w:p>
            <w:pPr>
              <w:spacing w:line="400" w:lineRule="exact"/>
              <w:rPr>
                <w:rFonts w:ascii="宋体" w:hAnsi="宋体" w:cs="宋体"/>
                <w:szCs w:val="21"/>
              </w:rPr>
            </w:pPr>
            <w:r>
              <w:rPr>
                <w:rFonts w:hint="eastAsia" w:ascii="宋体" w:hAnsi="宋体" w:cs="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400" w:lineRule="exact"/>
              <w:rPr>
                <w:rFonts w:ascii="宋体" w:hAnsi="宋体" w:cs="宋体"/>
                <w:szCs w:val="21"/>
              </w:rPr>
            </w:pPr>
            <w:r>
              <w:rPr>
                <w:rFonts w:hint="eastAsia" w:ascii="宋体" w:hAnsi="宋体" w:cs="宋体"/>
                <w:szCs w:val="21"/>
              </w:rPr>
              <w:t>（2）评标时突发情况的补救方案</w:t>
            </w:r>
          </w:p>
          <w:p>
            <w:pPr>
              <w:spacing w:line="400" w:lineRule="exact"/>
              <w:rPr>
                <w:rFonts w:ascii="宋体" w:hAnsi="宋体" w:cs="宋体"/>
                <w:szCs w:val="21"/>
              </w:rPr>
            </w:pPr>
            <w:r>
              <w:rPr>
                <w:rFonts w:hint="eastAsia" w:ascii="宋体" w:hAnsi="宋体" w:cs="宋体"/>
                <w:szCs w:val="21"/>
              </w:rPr>
              <w:t>若遇不可抗力发生（如：网络瘫痪、服务器损坏、交易系统故障短期无法恢复等因素），由评标委员会开启现场递交的全部投标文件光盘，并按光盘内容进行评审。</w:t>
            </w:r>
          </w:p>
          <w:p>
            <w:pPr>
              <w:spacing w:line="400" w:lineRule="exact"/>
              <w:rPr>
                <w:rFonts w:ascii="宋体" w:hAnsi="宋体" w:cs="宋体"/>
                <w:szCs w:val="21"/>
              </w:rPr>
            </w:pPr>
            <w:r>
              <w:rPr>
                <w:rFonts w:hint="eastAsia" w:ascii="宋体" w:hAnsi="宋体" w:cs="宋体"/>
                <w:szCs w:val="21"/>
              </w:rPr>
              <w:t>除发生上述情况外，开标评标均以投标人通过交易平台网上递交的电子投标文件为准。</w:t>
            </w:r>
          </w:p>
        </w:tc>
      </w:tr>
      <w:tr>
        <w:tblPrEx>
          <w:tblCellMar>
            <w:top w:w="0" w:type="dxa"/>
            <w:left w:w="108" w:type="dxa"/>
            <w:bottom w:w="0" w:type="dxa"/>
            <w:right w:w="108" w:type="dxa"/>
          </w:tblCellMar>
        </w:tblPrEx>
        <w:trPr>
          <w:trHeight w:val="573" w:hRule="atLeast"/>
        </w:trPr>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c>
          <w:tcPr>
            <w:tcW w:w="86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需要补充的其他内容</w:t>
            </w:r>
          </w:p>
        </w:tc>
      </w:tr>
      <w:tr>
        <w:tblPrEx>
          <w:tblCellMar>
            <w:top w:w="0" w:type="dxa"/>
            <w:left w:w="108" w:type="dxa"/>
            <w:bottom w:w="0" w:type="dxa"/>
            <w:right w:w="108" w:type="dxa"/>
          </w:tblCellMar>
        </w:tblPrEx>
        <w:trPr>
          <w:trHeight w:val="4480" w:hRule="atLeast"/>
        </w:trPr>
        <w:tc>
          <w:tcPr>
            <w:tcW w:w="12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10.1</w:t>
            </w:r>
          </w:p>
        </w:tc>
        <w:tc>
          <w:tcPr>
            <w:tcW w:w="270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特别提示</w:t>
            </w:r>
          </w:p>
        </w:tc>
        <w:tc>
          <w:tcPr>
            <w:tcW w:w="59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投标人在本项目招标人的工程项目中存在下列行为的，将被拒绝一年内参与我单位后续工程投标。（注：拒绝投标时限由招标人视严重程度确定，最低三个月起，自招标人发出通知之日起计）：</w:t>
            </w:r>
          </w:p>
          <w:p>
            <w:pPr>
              <w:rPr>
                <w:rFonts w:ascii="宋体" w:hAnsi="宋体" w:cs="宋体"/>
                <w:szCs w:val="21"/>
              </w:rPr>
            </w:pPr>
            <w:r>
              <w:rPr>
                <w:rFonts w:hint="eastAsia" w:ascii="宋体" w:hAnsi="宋体" w:cs="宋体"/>
                <w:szCs w:val="21"/>
              </w:rPr>
              <w:t>（1）将中标工程转包或者违法分包的；</w:t>
            </w:r>
          </w:p>
          <w:p>
            <w:pPr>
              <w:rPr>
                <w:rFonts w:ascii="宋体" w:hAnsi="宋体" w:cs="宋体"/>
                <w:szCs w:val="21"/>
              </w:rPr>
            </w:pPr>
            <w:r>
              <w:rPr>
                <w:rFonts w:hint="eastAsia" w:ascii="宋体" w:hAnsi="宋体" w:cs="宋体"/>
                <w:szCs w:val="21"/>
              </w:rPr>
              <w:t>（2）在中标工程中不执行质量、安全生产相关规定的，造成质量或安全事故的；</w:t>
            </w:r>
          </w:p>
          <w:p>
            <w:pPr>
              <w:rPr>
                <w:rFonts w:ascii="宋体" w:hAnsi="宋体" w:cs="宋体"/>
                <w:szCs w:val="21"/>
              </w:rPr>
            </w:pPr>
            <w:r>
              <w:rPr>
                <w:rFonts w:hint="eastAsia" w:ascii="宋体" w:hAnsi="宋体" w:cs="宋体"/>
                <w:szCs w:val="21"/>
              </w:rPr>
              <w:t>（3）存在围标或串标情形的；</w:t>
            </w:r>
          </w:p>
          <w:p>
            <w:pPr>
              <w:rPr>
                <w:rFonts w:ascii="宋体" w:hAnsi="宋体" w:cs="宋体"/>
                <w:szCs w:val="21"/>
              </w:rPr>
            </w:pPr>
            <w:r>
              <w:rPr>
                <w:rFonts w:hint="eastAsia" w:ascii="宋体" w:hAnsi="宋体" w:cs="宋体"/>
                <w:szCs w:val="21"/>
              </w:rPr>
              <w:t>（4）在投标文件中提供虚假材料的；</w:t>
            </w:r>
          </w:p>
          <w:p>
            <w:pPr>
              <w:rPr>
                <w:rFonts w:ascii="宋体" w:hAnsi="宋体" w:cs="宋体"/>
                <w:szCs w:val="21"/>
              </w:rPr>
            </w:pPr>
            <w:r>
              <w:rPr>
                <w:rFonts w:hint="eastAsia" w:ascii="宋体" w:hAnsi="宋体" w:cs="宋体"/>
                <w:szCs w:val="21"/>
              </w:rPr>
              <w:t xml:space="preserve">（5）存在行贿情形的； </w:t>
            </w:r>
          </w:p>
          <w:p>
            <w:pPr>
              <w:rPr>
                <w:rFonts w:ascii="宋体" w:hAnsi="宋体" w:cs="宋体"/>
                <w:szCs w:val="21"/>
              </w:rPr>
            </w:pPr>
            <w:r>
              <w:rPr>
                <w:rFonts w:hint="eastAsia" w:ascii="宋体" w:hAnsi="宋体" w:cs="宋体"/>
                <w:szCs w:val="21"/>
              </w:rPr>
              <w:t>（6）为招标人提供监理服务过程中存在因过错行为被生效法律文书认定承担违约或侵权责任的；</w:t>
            </w:r>
          </w:p>
          <w:p>
            <w:pPr>
              <w:rPr>
                <w:rFonts w:ascii="宋体" w:hAnsi="宋体" w:cs="宋体"/>
                <w:szCs w:val="21"/>
              </w:rPr>
            </w:pPr>
            <w:r>
              <w:rPr>
                <w:rFonts w:hint="eastAsia" w:ascii="宋体" w:hAnsi="宋体" w:cs="宋体"/>
                <w:szCs w:val="21"/>
              </w:rPr>
              <w:t>（7）违反监理合同约定自行调换或未按照招标人要求及时更换项目总监的；</w:t>
            </w:r>
          </w:p>
          <w:p>
            <w:pPr>
              <w:rPr>
                <w:rFonts w:ascii="宋体" w:hAnsi="宋体" w:cs="宋体"/>
                <w:szCs w:val="21"/>
              </w:rPr>
            </w:pPr>
            <w:r>
              <w:rPr>
                <w:rFonts w:hint="eastAsia" w:ascii="宋体" w:hAnsi="宋体" w:cs="宋体"/>
                <w:szCs w:val="21"/>
              </w:rPr>
              <w:t>（8）委派的项目总监已在其他在建项目中任职且任职数量不符合相关规定并拒绝按照任职承诺书的规定更换的。</w:t>
            </w:r>
          </w:p>
        </w:tc>
      </w:tr>
      <w:tr>
        <w:tblPrEx>
          <w:tblCellMar>
            <w:top w:w="0" w:type="dxa"/>
            <w:left w:w="108" w:type="dxa"/>
            <w:bottom w:w="0" w:type="dxa"/>
            <w:right w:w="108" w:type="dxa"/>
          </w:tblCellMar>
        </w:tblPrEx>
        <w:trPr>
          <w:trHeight w:val="947" w:hRule="atLeast"/>
        </w:trPr>
        <w:tc>
          <w:tcPr>
            <w:tcW w:w="12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10.2</w:t>
            </w:r>
          </w:p>
        </w:tc>
        <w:tc>
          <w:tcPr>
            <w:tcW w:w="2700" w:type="dxa"/>
            <w:tcBorders>
              <w:top w:val="single" w:color="auto" w:sz="4" w:space="0"/>
              <w:left w:val="single" w:color="auto" w:sz="4" w:space="0"/>
              <w:bottom w:val="single" w:color="auto" w:sz="4" w:space="0"/>
              <w:right w:val="single" w:color="auto" w:sz="4" w:space="0"/>
            </w:tcBorders>
            <w:vAlign w:val="center"/>
          </w:tcPr>
          <w:p>
            <w:pPr>
              <w:ind w:left="1"/>
              <w:jc w:val="center"/>
              <w:rPr>
                <w:rFonts w:ascii="宋体" w:hAnsi="宋体" w:cs="宋体"/>
                <w:szCs w:val="21"/>
              </w:rPr>
            </w:pPr>
            <w:r>
              <w:rPr>
                <w:rFonts w:hint="eastAsia"/>
              </w:rPr>
              <w:t>招标失败的情形</w:t>
            </w:r>
          </w:p>
        </w:tc>
        <w:tc>
          <w:tcPr>
            <w:tcW w:w="5925" w:type="dxa"/>
            <w:tcBorders>
              <w:top w:val="single" w:color="auto" w:sz="4" w:space="0"/>
              <w:left w:val="single" w:color="auto" w:sz="4" w:space="0"/>
              <w:bottom w:val="single" w:color="auto" w:sz="4" w:space="0"/>
              <w:right w:val="single" w:color="auto" w:sz="4" w:space="0"/>
            </w:tcBorders>
            <w:vAlign w:val="center"/>
          </w:tcPr>
          <w:p>
            <w:pPr>
              <w:ind w:left="1"/>
              <w:rPr>
                <w:rFonts w:ascii="宋体" w:hAnsi="宋体" w:cs="宋体"/>
                <w:szCs w:val="21"/>
              </w:rPr>
            </w:pPr>
            <w:r>
              <w:rPr>
                <w:rFonts w:hint="eastAsia" w:ascii="宋体" w:hAnsi="宋体" w:cs="宋体"/>
                <w:szCs w:val="21"/>
              </w:rPr>
              <w:t>本项目采用资格后审方式，满足资格审查合格条件或通过初步评审的投标申请人不足3名时为招标失败。招标人分析招标失败原因，修正招标方案后，重新组织招标。</w:t>
            </w:r>
          </w:p>
        </w:tc>
      </w:tr>
      <w:tr>
        <w:tblPrEx>
          <w:tblCellMar>
            <w:top w:w="0" w:type="dxa"/>
            <w:left w:w="108" w:type="dxa"/>
            <w:bottom w:w="0" w:type="dxa"/>
            <w:right w:w="108" w:type="dxa"/>
          </w:tblCellMar>
        </w:tblPrEx>
        <w:trPr>
          <w:trHeight w:val="1683" w:hRule="atLeast"/>
        </w:trPr>
        <w:tc>
          <w:tcPr>
            <w:tcW w:w="12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10.3</w:t>
            </w:r>
          </w:p>
        </w:tc>
        <w:tc>
          <w:tcPr>
            <w:tcW w:w="2700" w:type="dxa"/>
            <w:tcBorders>
              <w:top w:val="single" w:color="auto" w:sz="4" w:space="0"/>
              <w:left w:val="single" w:color="auto" w:sz="4" w:space="0"/>
              <w:bottom w:val="single" w:color="auto" w:sz="4" w:space="0"/>
              <w:right w:val="single" w:color="auto" w:sz="4" w:space="0"/>
            </w:tcBorders>
            <w:vAlign w:val="center"/>
          </w:tcPr>
          <w:p>
            <w:pPr>
              <w:ind w:left="1"/>
              <w:jc w:val="center"/>
              <w:rPr>
                <w:rFonts w:ascii="宋体" w:hAnsi="宋体" w:cs="宋体"/>
                <w:szCs w:val="21"/>
              </w:rPr>
            </w:pPr>
            <w:r>
              <w:rPr>
                <w:rFonts w:hint="eastAsia" w:ascii="宋体" w:hAnsi="宋体" w:cs="宋体"/>
                <w:szCs w:val="21"/>
              </w:rPr>
              <w:t>提交纸质投标文件要求</w:t>
            </w:r>
          </w:p>
        </w:tc>
        <w:tc>
          <w:tcPr>
            <w:tcW w:w="5925" w:type="dxa"/>
            <w:tcBorders>
              <w:top w:val="single" w:color="auto" w:sz="4" w:space="0"/>
              <w:left w:val="single" w:color="auto" w:sz="4" w:space="0"/>
              <w:bottom w:val="single" w:color="auto" w:sz="4" w:space="0"/>
              <w:right w:val="single" w:color="auto" w:sz="4" w:space="0"/>
            </w:tcBorders>
            <w:vAlign w:val="center"/>
          </w:tcPr>
          <w:p>
            <w:pPr>
              <w:ind w:left="1"/>
              <w:rPr>
                <w:rFonts w:ascii="宋体" w:hAnsi="宋体" w:cs="宋体"/>
                <w:szCs w:val="21"/>
              </w:rPr>
            </w:pPr>
            <w:r>
              <w:rPr>
                <w:rFonts w:hint="eastAsia" w:ascii="宋体" w:hAnsi="宋体" w:cs="宋体"/>
                <w:szCs w:val="21"/>
              </w:rPr>
              <w:t>在中标公示结束后5个工作日内，第一名中标候选人向招标人提交与在广州公共资源交易中心系统上传投标文件内容相同的已盖章的纸质版投标文件一正三副；第二名、第三名中标候选人向招标人提交与在广州公共资源交易中心系统上传投标文件内容相同的已盖章的纸质版投标文件正本一份。</w:t>
            </w:r>
          </w:p>
        </w:tc>
      </w:tr>
      <w:tr>
        <w:tblPrEx>
          <w:tblCellMar>
            <w:top w:w="0" w:type="dxa"/>
            <w:left w:w="108" w:type="dxa"/>
            <w:bottom w:w="0" w:type="dxa"/>
            <w:right w:w="108" w:type="dxa"/>
          </w:tblCellMar>
        </w:tblPrEx>
        <w:trPr>
          <w:trHeight w:val="990" w:hRule="atLeast"/>
        </w:trPr>
        <w:tc>
          <w:tcPr>
            <w:tcW w:w="12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r>
              <w:rPr>
                <w:rFonts w:hint="eastAsia" w:ascii="宋体" w:hAnsi="宋体" w:cs="宋体"/>
                <w:szCs w:val="21"/>
              </w:rPr>
              <w:t>10.4</w:t>
            </w:r>
          </w:p>
        </w:tc>
        <w:tc>
          <w:tcPr>
            <w:tcW w:w="2700" w:type="dxa"/>
            <w:tcBorders>
              <w:top w:val="single" w:color="auto" w:sz="4" w:space="0"/>
              <w:left w:val="single" w:color="auto" w:sz="4" w:space="0"/>
              <w:bottom w:val="single" w:color="auto" w:sz="4" w:space="0"/>
              <w:right w:val="single" w:color="auto" w:sz="4" w:space="0"/>
            </w:tcBorders>
            <w:vAlign w:val="center"/>
          </w:tcPr>
          <w:p>
            <w:pPr>
              <w:ind w:left="1"/>
              <w:jc w:val="center"/>
              <w:rPr>
                <w:rFonts w:ascii="宋体" w:hAnsi="宋体" w:cs="宋体"/>
                <w:szCs w:val="21"/>
              </w:rPr>
            </w:pPr>
            <w:r>
              <w:rPr>
                <w:rFonts w:hint="eastAsia" w:ascii="宋体" w:hAnsi="宋体" w:cs="宋体"/>
                <w:szCs w:val="21"/>
              </w:rPr>
              <w:t>中标候选人</w:t>
            </w:r>
          </w:p>
          <w:p>
            <w:pPr>
              <w:ind w:left="1"/>
              <w:jc w:val="center"/>
              <w:rPr>
                <w:rFonts w:ascii="宋体" w:hAnsi="宋体" w:cs="宋体"/>
                <w:szCs w:val="21"/>
              </w:rPr>
            </w:pPr>
            <w:r>
              <w:rPr>
                <w:rFonts w:hint="eastAsia" w:ascii="宋体" w:hAnsi="宋体" w:cs="宋体"/>
                <w:szCs w:val="21"/>
              </w:rPr>
              <w:t>投标文件公示</w:t>
            </w:r>
          </w:p>
        </w:tc>
        <w:tc>
          <w:tcPr>
            <w:tcW w:w="5925" w:type="dxa"/>
            <w:tcBorders>
              <w:top w:val="single" w:color="auto" w:sz="4" w:space="0"/>
              <w:left w:val="single" w:color="auto" w:sz="4" w:space="0"/>
              <w:bottom w:val="single" w:color="auto" w:sz="4" w:space="0"/>
              <w:right w:val="single" w:color="auto" w:sz="4" w:space="0"/>
            </w:tcBorders>
            <w:vAlign w:val="center"/>
          </w:tcPr>
          <w:p>
            <w:pPr>
              <w:ind w:left="1"/>
              <w:rPr>
                <w:rFonts w:ascii="宋体" w:hAnsi="宋体" w:cs="宋体"/>
                <w:szCs w:val="21"/>
              </w:rPr>
            </w:pPr>
            <w:r>
              <w:rPr>
                <w:rFonts w:hint="eastAsia" w:ascii="宋体" w:hAnsi="宋体" w:cs="宋体"/>
                <w:szCs w:val="21"/>
              </w:rPr>
              <w:t>在产生中标候选人后，招标人将中标候选人的投标文件商务部分的人员、业绩、奖项等资料在广州公共资源交易中心网站公开。</w:t>
            </w:r>
          </w:p>
        </w:tc>
      </w:tr>
      <w:tr>
        <w:tblPrEx>
          <w:tblCellMar>
            <w:top w:w="0" w:type="dxa"/>
            <w:left w:w="108" w:type="dxa"/>
            <w:bottom w:w="0" w:type="dxa"/>
            <w:right w:w="108" w:type="dxa"/>
          </w:tblCellMar>
        </w:tblPrEx>
        <w:trPr>
          <w:trHeight w:val="990" w:hRule="atLeast"/>
        </w:trPr>
        <w:tc>
          <w:tcPr>
            <w:tcW w:w="12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Cs w:val="21"/>
              </w:rPr>
            </w:pPr>
            <w:bookmarkStart w:id="13" w:name="_Toc517441168"/>
            <w:r>
              <w:rPr>
                <w:rFonts w:hint="eastAsia" w:ascii="宋体" w:hAnsi="宋体" w:cs="宋体"/>
                <w:szCs w:val="21"/>
              </w:rPr>
              <w:t>10.5</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adjustRightInd w:val="0"/>
              <w:jc w:val="center"/>
              <w:rPr>
                <w:rFonts w:ascii="宋体" w:hAnsi="宋体" w:cs="宋体"/>
                <w:szCs w:val="21"/>
              </w:rPr>
            </w:pPr>
            <w:r>
              <w:rPr>
                <w:rFonts w:hint="eastAsia" w:ascii="宋体" w:hAnsi="宋体" w:cs="宋体"/>
                <w:szCs w:val="21"/>
              </w:rPr>
              <w:t>否决性条款汇总</w:t>
            </w:r>
          </w:p>
        </w:tc>
        <w:tc>
          <w:tcPr>
            <w:tcW w:w="5925"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cs="宋体"/>
                <w:szCs w:val="21"/>
              </w:rPr>
            </w:pPr>
            <w:r>
              <w:rPr>
                <w:rFonts w:hint="eastAsia" w:ascii="宋体" w:hAnsi="宋体" w:cs="宋体"/>
                <w:szCs w:val="21"/>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w:t>
            </w:r>
          </w:p>
          <w:p>
            <w:pPr>
              <w:ind w:firstLine="420" w:firstLineChars="200"/>
              <w:rPr>
                <w:rFonts w:ascii="宋体" w:hAnsi="宋体" w:cs="宋体"/>
                <w:szCs w:val="21"/>
              </w:rPr>
            </w:pPr>
            <w:r>
              <w:rPr>
                <w:rFonts w:hint="eastAsia" w:ascii="宋体" w:hAnsi="宋体" w:cs="宋体"/>
                <w:szCs w:val="21"/>
              </w:rPr>
              <w:t>否决性条款指招标文件中规定的拒绝受理或者作无效标以及不合格标处理等否定投标文件效力的条款。</w:t>
            </w:r>
          </w:p>
          <w:p>
            <w:pPr>
              <w:ind w:firstLine="420" w:firstLineChars="200"/>
              <w:rPr>
                <w:rFonts w:ascii="宋体" w:hAnsi="宋体" w:cs="宋体"/>
                <w:szCs w:val="21"/>
              </w:rPr>
            </w:pPr>
            <w:r>
              <w:rPr>
                <w:rFonts w:hint="eastAsia" w:ascii="宋体" w:hAnsi="宋体" w:cs="宋体"/>
                <w:szCs w:val="21"/>
              </w:rPr>
              <w:t>1、拒绝受理投标文件的情形：</w:t>
            </w:r>
          </w:p>
          <w:p>
            <w:pPr>
              <w:ind w:firstLine="420" w:firstLineChars="200"/>
              <w:rPr>
                <w:rFonts w:ascii="宋体" w:hAnsi="宋体" w:cs="宋体"/>
                <w:szCs w:val="21"/>
              </w:rPr>
            </w:pPr>
            <w:r>
              <w:rPr>
                <w:rFonts w:hint="eastAsia" w:ascii="宋体" w:hAnsi="宋体" w:cs="宋体"/>
                <w:szCs w:val="21"/>
              </w:rPr>
              <w:t xml:space="preserve">（1）电子投标文件未在投标截止时间前完整上传并保存在广州交易集团有限公司（广州公共资源交易中心）电子评标系统且取得回执的； </w:t>
            </w:r>
          </w:p>
          <w:p>
            <w:pPr>
              <w:ind w:firstLine="420" w:firstLineChars="200"/>
              <w:rPr>
                <w:rFonts w:ascii="宋体" w:hAnsi="宋体" w:cs="宋体"/>
                <w:szCs w:val="21"/>
              </w:rPr>
            </w:pPr>
            <w:r>
              <w:rPr>
                <w:rFonts w:hint="eastAsia" w:ascii="宋体" w:hAnsi="宋体" w:cs="宋体"/>
                <w:szCs w:val="21"/>
              </w:rPr>
              <w:t>（2）投标文件未按招标文件要求进行电子签章，并进行加密的；</w:t>
            </w:r>
          </w:p>
          <w:p>
            <w:pPr>
              <w:ind w:firstLine="420" w:firstLineChars="200"/>
              <w:rPr>
                <w:rFonts w:ascii="宋体" w:hAnsi="宋体" w:cs="宋体"/>
                <w:szCs w:val="21"/>
              </w:rPr>
            </w:pPr>
            <w:r>
              <w:rPr>
                <w:rFonts w:hint="eastAsia" w:ascii="宋体" w:hAnsi="宋体" w:cs="宋体"/>
                <w:szCs w:val="21"/>
              </w:rPr>
              <w:t>（3）因投标人原因造成电子投标文件未解密或逾期解密的。</w:t>
            </w:r>
          </w:p>
          <w:p>
            <w:pPr>
              <w:ind w:firstLine="420" w:firstLineChars="200"/>
              <w:rPr>
                <w:rFonts w:ascii="宋体" w:hAnsi="宋体" w:cs="宋体"/>
                <w:szCs w:val="21"/>
              </w:rPr>
            </w:pPr>
            <w:r>
              <w:rPr>
                <w:rFonts w:hint="eastAsia" w:ascii="宋体" w:hAnsi="宋体" w:cs="宋体"/>
                <w:szCs w:val="21"/>
              </w:rPr>
              <w:t>2、作无效投标的情形</w:t>
            </w:r>
          </w:p>
          <w:p>
            <w:pPr>
              <w:ind w:firstLine="420" w:firstLineChars="200"/>
              <w:rPr>
                <w:rFonts w:ascii="宋体" w:hAnsi="宋体" w:cs="宋体"/>
                <w:szCs w:val="21"/>
              </w:rPr>
            </w:pPr>
            <w:r>
              <w:rPr>
                <w:rFonts w:hint="eastAsia" w:ascii="宋体" w:hAnsi="宋体" w:cs="宋体"/>
                <w:szCs w:val="21"/>
              </w:rPr>
              <w:t>（1）投标文件不符合招标文件评标办法中形式评审标准、资格评审标准、响应性评审标准的要求；</w:t>
            </w:r>
          </w:p>
          <w:p>
            <w:pPr>
              <w:ind w:firstLine="420" w:firstLineChars="200"/>
              <w:rPr>
                <w:rFonts w:ascii="宋体" w:hAnsi="宋体" w:cs="宋体"/>
                <w:szCs w:val="21"/>
              </w:rPr>
            </w:pPr>
            <w:r>
              <w:rPr>
                <w:rFonts w:hint="eastAsia" w:ascii="宋体" w:hAnsi="宋体" w:cs="宋体"/>
                <w:szCs w:val="21"/>
              </w:rPr>
              <w:t>（2）投标文件中的投标人、总监理工程师与投标登记时的信息不一致的；</w:t>
            </w:r>
          </w:p>
          <w:p>
            <w:pPr>
              <w:ind w:firstLine="420" w:firstLineChars="200"/>
              <w:rPr>
                <w:rFonts w:ascii="宋体" w:hAnsi="宋体" w:cs="宋体"/>
                <w:szCs w:val="21"/>
              </w:rPr>
            </w:pPr>
            <w:r>
              <w:rPr>
                <w:rFonts w:hint="eastAsia" w:ascii="宋体" w:hAnsi="宋体" w:cs="宋体"/>
                <w:szCs w:val="21"/>
              </w:rPr>
              <w:t>（3）第二章“投标人须知”第1.4.3项规定的任何一种情形的；</w:t>
            </w:r>
          </w:p>
          <w:p>
            <w:pPr>
              <w:ind w:firstLine="420" w:firstLineChars="200"/>
              <w:rPr>
                <w:rFonts w:ascii="宋体" w:hAnsi="宋体" w:cs="宋体"/>
                <w:szCs w:val="21"/>
              </w:rPr>
            </w:pPr>
            <w:r>
              <w:rPr>
                <w:rFonts w:hint="eastAsia" w:ascii="宋体" w:hAnsi="宋体" w:cs="宋体"/>
                <w:szCs w:val="21"/>
              </w:rPr>
              <w:t>（4）不按评标委员会要求澄清、说明或补正的；</w:t>
            </w:r>
          </w:p>
          <w:p>
            <w:pPr>
              <w:ind w:firstLine="420" w:firstLineChars="200"/>
              <w:rPr>
                <w:rFonts w:ascii="宋体" w:hAnsi="宋体" w:cs="宋体"/>
                <w:szCs w:val="21"/>
              </w:rPr>
            </w:pPr>
            <w:r>
              <w:rPr>
                <w:rFonts w:hint="eastAsia" w:ascii="宋体" w:hAnsi="宋体" w:cs="宋体"/>
                <w:szCs w:val="21"/>
              </w:rPr>
              <w:t>（5）投标人的报价明显低于其他投标报价，投标人不能合理说明或者不能提供相应证明材料的；</w:t>
            </w:r>
          </w:p>
          <w:p>
            <w:pPr>
              <w:ind w:firstLine="420" w:firstLineChars="200"/>
              <w:rPr>
                <w:rFonts w:ascii="宋体" w:hAnsi="宋体" w:cs="宋体"/>
                <w:szCs w:val="21"/>
              </w:rPr>
            </w:pPr>
            <w:r>
              <w:rPr>
                <w:rFonts w:hint="eastAsia" w:ascii="宋体" w:hAnsi="宋体" w:cs="宋体"/>
                <w:szCs w:val="21"/>
              </w:rPr>
              <w:t>（6）不对评标委员会修正后的价格进行书面确认；</w:t>
            </w:r>
          </w:p>
          <w:p>
            <w:pPr>
              <w:ind w:firstLine="420" w:firstLineChars="200"/>
              <w:rPr>
                <w:rFonts w:ascii="宋体" w:hAnsi="宋体" w:cs="宋体"/>
                <w:strike/>
                <w:szCs w:val="21"/>
              </w:rPr>
            </w:pPr>
            <w:r>
              <w:rPr>
                <w:rFonts w:hint="eastAsia" w:ascii="宋体" w:hAnsi="宋体" w:cs="宋体"/>
                <w:strike/>
                <w:szCs w:val="21"/>
              </w:rPr>
              <w:t>（7）要求提交投标保证金的，未按招标文件要求提供投标保证金的。</w:t>
            </w:r>
          </w:p>
          <w:p>
            <w:pPr>
              <w:ind w:firstLine="420" w:firstLineChars="200"/>
              <w:rPr>
                <w:rFonts w:ascii="宋体" w:hAnsi="宋体" w:cs="宋体"/>
                <w:szCs w:val="21"/>
              </w:rPr>
            </w:pPr>
            <w:r>
              <w:rPr>
                <w:rFonts w:hint="eastAsia" w:ascii="宋体" w:hAnsi="宋体" w:cs="宋体"/>
                <w:szCs w:val="21"/>
              </w:rPr>
              <w:t>3、其他否定投标文件效力情形</w:t>
            </w:r>
          </w:p>
          <w:p>
            <w:pPr>
              <w:ind w:firstLine="420" w:firstLineChars="200"/>
              <w:rPr>
                <w:rFonts w:ascii="宋体" w:hAnsi="宋体" w:cs="宋体"/>
                <w:szCs w:val="21"/>
              </w:rPr>
            </w:pPr>
            <w:r>
              <w:rPr>
                <w:rFonts w:hint="eastAsia" w:ascii="宋体" w:hAnsi="宋体" w:cs="宋体"/>
                <w:szCs w:val="21"/>
              </w:rPr>
              <w:t>（1）两个（含两个）以上的投标人加密打包投标文件电脑机器码一致的；</w:t>
            </w:r>
          </w:p>
          <w:p>
            <w:pPr>
              <w:ind w:firstLine="420" w:firstLineChars="200"/>
            </w:pPr>
            <w:r>
              <w:rPr>
                <w:rFonts w:hint="eastAsia" w:ascii="宋体" w:hAnsi="宋体" w:cs="宋体"/>
                <w:szCs w:val="21"/>
              </w:rPr>
              <w:t>（2）串通投标或弄虚作假或有其他违法行为的。</w:t>
            </w:r>
          </w:p>
        </w:tc>
      </w:tr>
    </w:tbl>
    <w:p>
      <w:pPr>
        <w:rPr>
          <w:rFonts w:ascii="宋体" w:hAnsi="宋体"/>
        </w:rPr>
      </w:pPr>
      <w:r>
        <w:rPr>
          <w:rFonts w:hint="eastAsia" w:ascii="宋体" w:hAnsi="宋体"/>
        </w:rPr>
        <w:br w:type="page"/>
      </w:r>
    </w:p>
    <w:p>
      <w:pPr>
        <w:pStyle w:val="4"/>
        <w:rPr>
          <w:rFonts w:ascii="宋体" w:hAnsi="宋体" w:eastAsia="宋体"/>
        </w:rPr>
      </w:pPr>
      <w:r>
        <w:rPr>
          <w:rFonts w:hint="eastAsia" w:ascii="宋体" w:hAnsi="宋体" w:eastAsia="宋体"/>
        </w:rPr>
        <w:t>1. 总则</w:t>
      </w:r>
      <w:bookmarkEnd w:id="13"/>
    </w:p>
    <w:p>
      <w:pPr>
        <w:pStyle w:val="5"/>
        <w:spacing w:beforeLines="20" w:afterLines="20"/>
        <w:rPr>
          <w:rFonts w:ascii="宋体" w:hAnsi="宋体"/>
          <w:szCs w:val="24"/>
        </w:rPr>
      </w:pPr>
      <w:bookmarkStart w:id="14" w:name="_Toc517441169"/>
      <w:r>
        <w:rPr>
          <w:rFonts w:hint="eastAsia" w:ascii="宋体" w:hAnsi="宋体"/>
          <w:szCs w:val="24"/>
        </w:rPr>
        <w:t>1.1 招标项目概况</w:t>
      </w:r>
      <w:bookmarkEnd w:id="14"/>
    </w:p>
    <w:p>
      <w:pPr>
        <w:spacing w:line="360" w:lineRule="auto"/>
        <w:ind w:firstLine="480" w:firstLineChars="200"/>
        <w:rPr>
          <w:rFonts w:ascii="宋体" w:hAnsi="宋体"/>
          <w:sz w:val="24"/>
          <w:szCs w:val="24"/>
        </w:rPr>
      </w:pPr>
      <w:r>
        <w:rPr>
          <w:rFonts w:hint="eastAsia" w:ascii="宋体" w:hAnsi="宋体"/>
          <w:sz w:val="24"/>
          <w:szCs w:val="24"/>
        </w:rPr>
        <w:t>1.1.1 根据《中华人民共和国招标投标法》、《中华人民共和国招标投标法实施条例》等有关法律、法规和规章的规定，本招标项目已具备招标条件，现对监理进行招标。</w:t>
      </w:r>
    </w:p>
    <w:p>
      <w:pPr>
        <w:spacing w:line="360" w:lineRule="auto"/>
        <w:ind w:firstLine="480" w:firstLineChars="200"/>
        <w:rPr>
          <w:rFonts w:ascii="宋体" w:hAnsi="宋体"/>
          <w:sz w:val="24"/>
          <w:szCs w:val="24"/>
        </w:rPr>
      </w:pPr>
      <w:r>
        <w:rPr>
          <w:rFonts w:hint="eastAsia" w:ascii="宋体" w:hAnsi="宋体"/>
          <w:sz w:val="24"/>
          <w:szCs w:val="24"/>
        </w:rPr>
        <w:t>1.1.2 招标人：见投标人须知前附表。</w:t>
      </w:r>
    </w:p>
    <w:p>
      <w:pPr>
        <w:spacing w:line="360" w:lineRule="auto"/>
        <w:ind w:firstLine="480" w:firstLineChars="200"/>
        <w:rPr>
          <w:rFonts w:ascii="宋体" w:hAnsi="宋体"/>
          <w:sz w:val="24"/>
          <w:szCs w:val="24"/>
        </w:rPr>
      </w:pPr>
      <w:r>
        <w:rPr>
          <w:rFonts w:hint="eastAsia" w:ascii="宋体" w:hAnsi="宋体"/>
          <w:sz w:val="24"/>
          <w:szCs w:val="24"/>
        </w:rPr>
        <w:t>1.1.3 招标代理机构：见投标人须知前附表。</w:t>
      </w:r>
    </w:p>
    <w:p>
      <w:pPr>
        <w:spacing w:line="360" w:lineRule="auto"/>
        <w:ind w:firstLine="480" w:firstLineChars="200"/>
        <w:rPr>
          <w:rFonts w:ascii="宋体" w:hAnsi="宋体"/>
          <w:sz w:val="24"/>
          <w:szCs w:val="24"/>
        </w:rPr>
      </w:pPr>
      <w:r>
        <w:rPr>
          <w:rFonts w:hint="eastAsia" w:ascii="宋体" w:hAnsi="宋体"/>
          <w:sz w:val="24"/>
          <w:szCs w:val="24"/>
        </w:rPr>
        <w:t>1.1.4 招标项目名称：见投标人须知前附表。</w:t>
      </w:r>
    </w:p>
    <w:p>
      <w:pPr>
        <w:spacing w:line="360" w:lineRule="auto"/>
        <w:ind w:firstLine="480" w:firstLineChars="200"/>
        <w:rPr>
          <w:rFonts w:ascii="宋体" w:hAnsi="宋体"/>
          <w:sz w:val="24"/>
          <w:szCs w:val="24"/>
        </w:rPr>
      </w:pPr>
      <w:r>
        <w:rPr>
          <w:rFonts w:hint="eastAsia" w:ascii="宋体" w:hAnsi="宋体"/>
          <w:sz w:val="24"/>
          <w:szCs w:val="24"/>
        </w:rPr>
        <w:t>1.1.5 项目建设地点：见投标人须知前附表。</w:t>
      </w:r>
    </w:p>
    <w:p>
      <w:pPr>
        <w:spacing w:line="360" w:lineRule="auto"/>
        <w:ind w:firstLine="480" w:firstLineChars="200"/>
        <w:rPr>
          <w:rFonts w:ascii="宋体" w:hAnsi="宋体"/>
          <w:sz w:val="24"/>
          <w:szCs w:val="24"/>
        </w:rPr>
      </w:pPr>
      <w:r>
        <w:rPr>
          <w:rFonts w:hint="eastAsia" w:ascii="宋体" w:hAnsi="宋体"/>
          <w:sz w:val="24"/>
          <w:szCs w:val="24"/>
        </w:rPr>
        <w:t>1.1.6 项目建设规模：见投标人须知前附表。</w:t>
      </w:r>
    </w:p>
    <w:p>
      <w:pPr>
        <w:spacing w:line="360" w:lineRule="auto"/>
        <w:ind w:firstLine="480" w:firstLineChars="200"/>
        <w:rPr>
          <w:rFonts w:ascii="宋体" w:hAnsi="宋体"/>
          <w:sz w:val="24"/>
          <w:szCs w:val="24"/>
        </w:rPr>
      </w:pPr>
      <w:r>
        <w:rPr>
          <w:rFonts w:hint="eastAsia" w:ascii="宋体" w:hAnsi="宋体"/>
          <w:sz w:val="24"/>
          <w:szCs w:val="24"/>
        </w:rPr>
        <w:t>1.1.7 工程项目施工预计开工日期和建设周期：见投标人须知前附表。</w:t>
      </w:r>
    </w:p>
    <w:p>
      <w:pPr>
        <w:spacing w:line="360" w:lineRule="auto"/>
        <w:ind w:firstLine="480" w:firstLineChars="200"/>
        <w:rPr>
          <w:rFonts w:ascii="宋体" w:hAnsi="宋体"/>
          <w:sz w:val="24"/>
          <w:szCs w:val="24"/>
        </w:rPr>
      </w:pPr>
      <w:r>
        <w:rPr>
          <w:rFonts w:hint="eastAsia" w:ascii="宋体" w:hAnsi="宋体"/>
          <w:sz w:val="24"/>
          <w:szCs w:val="24"/>
        </w:rPr>
        <w:t>1.1.8 建筑安装工程费/工程概算：见投标人须知前附表。</w:t>
      </w:r>
    </w:p>
    <w:p>
      <w:pPr>
        <w:pStyle w:val="5"/>
        <w:spacing w:beforeLines="20" w:afterLines="20"/>
        <w:rPr>
          <w:rFonts w:ascii="宋体" w:hAnsi="宋体"/>
          <w:szCs w:val="24"/>
        </w:rPr>
      </w:pPr>
      <w:bookmarkStart w:id="15" w:name="_Toc517441170"/>
      <w:r>
        <w:rPr>
          <w:rFonts w:hint="eastAsia" w:ascii="宋体" w:hAnsi="宋体"/>
          <w:szCs w:val="24"/>
        </w:rPr>
        <w:t>1.2 招标项目的资金来源和落实情况</w:t>
      </w:r>
      <w:bookmarkEnd w:id="15"/>
    </w:p>
    <w:p>
      <w:pPr>
        <w:spacing w:line="360" w:lineRule="auto"/>
        <w:ind w:firstLine="480" w:firstLineChars="200"/>
        <w:rPr>
          <w:rFonts w:ascii="宋体" w:hAnsi="宋体"/>
          <w:sz w:val="24"/>
          <w:szCs w:val="24"/>
        </w:rPr>
      </w:pPr>
      <w:r>
        <w:rPr>
          <w:rFonts w:hint="eastAsia" w:ascii="宋体" w:hAnsi="宋体"/>
          <w:sz w:val="24"/>
          <w:szCs w:val="24"/>
        </w:rPr>
        <w:t>1.2.1 资金来源及比例：见投标人须知前附表。</w:t>
      </w:r>
    </w:p>
    <w:p>
      <w:pPr>
        <w:spacing w:line="360" w:lineRule="auto"/>
        <w:ind w:firstLine="480" w:firstLineChars="200"/>
        <w:rPr>
          <w:rFonts w:ascii="宋体" w:hAnsi="宋体"/>
          <w:sz w:val="24"/>
          <w:szCs w:val="24"/>
        </w:rPr>
      </w:pPr>
      <w:r>
        <w:rPr>
          <w:rFonts w:hint="eastAsia" w:ascii="宋体" w:hAnsi="宋体"/>
          <w:sz w:val="24"/>
          <w:szCs w:val="24"/>
        </w:rPr>
        <w:t>1.2.2 资金落实情况：见投标人须知前附表。</w:t>
      </w:r>
    </w:p>
    <w:p>
      <w:pPr>
        <w:pStyle w:val="5"/>
        <w:spacing w:beforeLines="20" w:afterLines="20"/>
        <w:rPr>
          <w:rFonts w:ascii="宋体" w:hAnsi="宋体"/>
          <w:szCs w:val="24"/>
        </w:rPr>
      </w:pPr>
      <w:bookmarkStart w:id="16" w:name="_Toc517441171"/>
      <w:r>
        <w:rPr>
          <w:rFonts w:hint="eastAsia" w:ascii="宋体" w:hAnsi="宋体"/>
          <w:szCs w:val="24"/>
        </w:rPr>
        <w:t>1.3 招标范围、监理服务期限和质量标准</w:t>
      </w:r>
      <w:bookmarkEnd w:id="16"/>
    </w:p>
    <w:p>
      <w:pPr>
        <w:spacing w:line="360" w:lineRule="auto"/>
        <w:ind w:firstLine="480" w:firstLineChars="200"/>
        <w:rPr>
          <w:rFonts w:ascii="宋体" w:hAnsi="宋体"/>
          <w:sz w:val="24"/>
          <w:szCs w:val="24"/>
        </w:rPr>
      </w:pPr>
      <w:r>
        <w:rPr>
          <w:rFonts w:hint="eastAsia" w:ascii="宋体" w:hAnsi="宋体"/>
          <w:sz w:val="24"/>
          <w:szCs w:val="24"/>
        </w:rPr>
        <w:t>1.3.1 招标范围：见投标人须知前附表。</w:t>
      </w:r>
    </w:p>
    <w:p>
      <w:pPr>
        <w:spacing w:line="360" w:lineRule="auto"/>
        <w:ind w:firstLine="480" w:firstLineChars="200"/>
        <w:rPr>
          <w:rFonts w:ascii="宋体" w:hAnsi="宋体"/>
          <w:sz w:val="24"/>
          <w:szCs w:val="24"/>
        </w:rPr>
      </w:pPr>
      <w:r>
        <w:rPr>
          <w:rFonts w:hint="eastAsia" w:ascii="宋体" w:hAnsi="宋体"/>
          <w:sz w:val="24"/>
          <w:szCs w:val="24"/>
        </w:rPr>
        <w:t>1.3.2 监理服务期限：见投标人须知前附表。</w:t>
      </w:r>
    </w:p>
    <w:p>
      <w:pPr>
        <w:spacing w:line="360" w:lineRule="auto"/>
        <w:ind w:firstLine="480" w:firstLineChars="200"/>
        <w:rPr>
          <w:rFonts w:ascii="宋体" w:hAnsi="宋体"/>
          <w:sz w:val="24"/>
          <w:szCs w:val="24"/>
        </w:rPr>
      </w:pPr>
      <w:r>
        <w:rPr>
          <w:rFonts w:hint="eastAsia" w:ascii="宋体" w:hAnsi="宋体"/>
          <w:sz w:val="24"/>
          <w:szCs w:val="24"/>
        </w:rPr>
        <w:t>1.3.3 质量标准：见投标人须知前附表。</w:t>
      </w:r>
    </w:p>
    <w:p>
      <w:pPr>
        <w:pStyle w:val="5"/>
        <w:spacing w:beforeLines="20" w:afterLines="20"/>
        <w:rPr>
          <w:rFonts w:ascii="宋体" w:hAnsi="宋体"/>
          <w:szCs w:val="24"/>
        </w:rPr>
      </w:pPr>
      <w:bookmarkStart w:id="17" w:name="_Toc517441172"/>
      <w:r>
        <w:rPr>
          <w:rFonts w:hint="eastAsia" w:ascii="宋体" w:hAnsi="宋体"/>
          <w:szCs w:val="24"/>
        </w:rPr>
        <w:t>1.4 投标人资格要求</w:t>
      </w:r>
      <w:bookmarkEnd w:id="17"/>
    </w:p>
    <w:p>
      <w:pPr>
        <w:spacing w:line="360" w:lineRule="auto"/>
        <w:ind w:firstLine="480" w:firstLineChars="200"/>
        <w:rPr>
          <w:rFonts w:ascii="宋体" w:hAnsi="宋体"/>
          <w:sz w:val="24"/>
          <w:szCs w:val="24"/>
        </w:rPr>
      </w:pPr>
      <w:r>
        <w:rPr>
          <w:rFonts w:hint="eastAsia" w:ascii="宋体" w:hAnsi="宋体"/>
          <w:sz w:val="24"/>
          <w:szCs w:val="24"/>
        </w:rPr>
        <w:t>1.4.1 投标人应具备承担本招标项目资质条件、能力和信誉：</w:t>
      </w:r>
    </w:p>
    <w:p>
      <w:pPr>
        <w:spacing w:line="360" w:lineRule="auto"/>
        <w:ind w:firstLine="480" w:firstLineChars="200"/>
        <w:rPr>
          <w:rFonts w:ascii="宋体" w:hAnsi="宋体"/>
          <w:sz w:val="24"/>
          <w:szCs w:val="24"/>
        </w:rPr>
      </w:pPr>
      <w:r>
        <w:rPr>
          <w:rFonts w:hint="eastAsia" w:ascii="宋体" w:hAnsi="宋体"/>
          <w:sz w:val="24"/>
          <w:szCs w:val="24"/>
        </w:rPr>
        <w:t>（1）资质要求：见投标人须知前附表；</w:t>
      </w:r>
    </w:p>
    <w:p>
      <w:pPr>
        <w:spacing w:line="360" w:lineRule="auto"/>
        <w:ind w:firstLine="480" w:firstLineChars="200"/>
        <w:rPr>
          <w:rFonts w:ascii="宋体" w:hAnsi="宋体"/>
          <w:sz w:val="24"/>
          <w:szCs w:val="24"/>
        </w:rPr>
      </w:pPr>
      <w:r>
        <w:rPr>
          <w:rFonts w:hint="eastAsia" w:ascii="宋体" w:hAnsi="宋体"/>
          <w:sz w:val="24"/>
          <w:szCs w:val="24"/>
        </w:rPr>
        <w:t>（2）财务要求：见投标人须知前附表；</w:t>
      </w:r>
    </w:p>
    <w:p>
      <w:pPr>
        <w:spacing w:line="360" w:lineRule="auto"/>
        <w:ind w:firstLine="480" w:firstLineChars="200"/>
        <w:rPr>
          <w:rFonts w:ascii="宋体" w:hAnsi="宋体"/>
          <w:sz w:val="24"/>
          <w:szCs w:val="24"/>
        </w:rPr>
      </w:pPr>
      <w:r>
        <w:rPr>
          <w:rFonts w:hint="eastAsia" w:ascii="宋体" w:hAnsi="宋体"/>
          <w:sz w:val="24"/>
          <w:szCs w:val="24"/>
        </w:rPr>
        <w:t>（3）业绩要求：见投标人须知前附表；</w:t>
      </w:r>
    </w:p>
    <w:p>
      <w:pPr>
        <w:spacing w:line="360" w:lineRule="auto"/>
        <w:ind w:firstLine="480" w:firstLineChars="200"/>
        <w:rPr>
          <w:rFonts w:ascii="宋体" w:hAnsi="宋体"/>
          <w:sz w:val="24"/>
          <w:szCs w:val="24"/>
        </w:rPr>
      </w:pPr>
      <w:r>
        <w:rPr>
          <w:rFonts w:hint="eastAsia" w:ascii="宋体" w:hAnsi="宋体"/>
          <w:sz w:val="24"/>
          <w:szCs w:val="24"/>
        </w:rPr>
        <w:t>（4）信誉要求：见投标人须知前附表；</w:t>
      </w:r>
    </w:p>
    <w:p>
      <w:pPr>
        <w:spacing w:line="360" w:lineRule="auto"/>
        <w:ind w:firstLine="480" w:firstLineChars="200"/>
        <w:rPr>
          <w:rFonts w:ascii="宋体" w:hAnsi="宋体"/>
          <w:sz w:val="24"/>
          <w:szCs w:val="24"/>
        </w:rPr>
      </w:pPr>
      <w:r>
        <w:rPr>
          <w:rFonts w:hint="eastAsia" w:ascii="宋体" w:hAnsi="宋体"/>
          <w:sz w:val="24"/>
          <w:szCs w:val="24"/>
        </w:rPr>
        <w:t>（5）总监理工程师的资格要求：应当具备工程注册监理工程师执业资格（如有），具体要求见投标人须知前附表；</w:t>
      </w:r>
    </w:p>
    <w:p>
      <w:pPr>
        <w:spacing w:line="360" w:lineRule="auto"/>
        <w:ind w:firstLine="480" w:firstLineChars="200"/>
        <w:rPr>
          <w:rFonts w:ascii="宋体" w:hAnsi="宋体"/>
          <w:sz w:val="24"/>
          <w:szCs w:val="24"/>
        </w:rPr>
      </w:pPr>
      <w:r>
        <w:rPr>
          <w:rFonts w:hint="eastAsia" w:ascii="宋体" w:hAnsi="宋体"/>
          <w:sz w:val="24"/>
          <w:szCs w:val="24"/>
        </w:rPr>
        <w:t>（6）其他主要人员要求：见投标人须知前附表。</w:t>
      </w:r>
    </w:p>
    <w:p>
      <w:pPr>
        <w:spacing w:line="360" w:lineRule="auto"/>
        <w:ind w:firstLine="480" w:firstLineChars="200"/>
        <w:rPr>
          <w:rFonts w:ascii="宋体" w:hAnsi="宋体"/>
          <w:sz w:val="24"/>
          <w:szCs w:val="24"/>
        </w:rPr>
      </w:pPr>
      <w:r>
        <w:rPr>
          <w:rFonts w:hint="eastAsia" w:ascii="宋体" w:hAnsi="宋体"/>
          <w:sz w:val="24"/>
          <w:szCs w:val="24"/>
        </w:rPr>
        <w:t>（7）试验检测仪器设备要求：见投标人须知前附表。</w:t>
      </w:r>
    </w:p>
    <w:p>
      <w:pPr>
        <w:spacing w:line="360" w:lineRule="auto"/>
        <w:ind w:firstLine="480" w:firstLineChars="200"/>
        <w:rPr>
          <w:rFonts w:ascii="宋体" w:hAnsi="宋体"/>
          <w:sz w:val="24"/>
          <w:szCs w:val="24"/>
        </w:rPr>
      </w:pPr>
      <w:r>
        <w:rPr>
          <w:rFonts w:hint="eastAsia" w:ascii="宋体" w:hAnsi="宋体"/>
          <w:sz w:val="24"/>
          <w:szCs w:val="24"/>
        </w:rPr>
        <w:t>（8）其他要求：见投标人须知前附表。</w:t>
      </w:r>
    </w:p>
    <w:p>
      <w:pPr>
        <w:spacing w:line="360" w:lineRule="auto"/>
        <w:ind w:firstLine="480" w:firstLineChars="200"/>
        <w:rPr>
          <w:rFonts w:ascii="宋体" w:hAnsi="宋体"/>
          <w:sz w:val="24"/>
          <w:szCs w:val="24"/>
        </w:rPr>
      </w:pPr>
      <w:r>
        <w:rPr>
          <w:rFonts w:hint="eastAsia" w:ascii="宋体" w:hAnsi="宋体"/>
          <w:sz w:val="24"/>
          <w:szCs w:val="24"/>
        </w:rPr>
        <w:t>需要提交的相关证明材料见本章第 3.5 款的规定。</w:t>
      </w:r>
    </w:p>
    <w:p>
      <w:pPr>
        <w:spacing w:line="360" w:lineRule="auto"/>
        <w:ind w:firstLine="480" w:firstLineChars="200"/>
        <w:rPr>
          <w:rFonts w:ascii="宋体" w:hAnsi="宋体"/>
          <w:sz w:val="24"/>
          <w:szCs w:val="24"/>
        </w:rPr>
      </w:pPr>
      <w:r>
        <w:rPr>
          <w:rFonts w:hint="eastAsia" w:ascii="宋体" w:hAnsi="宋体"/>
          <w:sz w:val="24"/>
          <w:szCs w:val="24"/>
        </w:rPr>
        <w:t>1.4.2 投标人须知前附表规定接受联合体投标的，联合体除应符合本章第 1.4.1 项和投标人须知前附表的要求外，还应遵守以下规定：</w:t>
      </w:r>
    </w:p>
    <w:p>
      <w:pPr>
        <w:spacing w:line="360" w:lineRule="auto"/>
        <w:ind w:firstLine="480" w:firstLineChars="200"/>
        <w:rPr>
          <w:rFonts w:ascii="宋体" w:hAnsi="宋体"/>
          <w:sz w:val="24"/>
          <w:szCs w:val="24"/>
        </w:rPr>
      </w:pPr>
      <w:r>
        <w:rPr>
          <w:rFonts w:hint="eastAsia" w:ascii="宋体" w:hAnsi="宋体"/>
          <w:sz w:val="24"/>
          <w:szCs w:val="24"/>
        </w:rPr>
        <w:t>（1）联合体各方应按招标文件提供的格式签订联合体协议书，明确联合体牵头人和各方权利义务，并承诺就中标项目向招标人承担连带责任；</w:t>
      </w:r>
    </w:p>
    <w:p>
      <w:pPr>
        <w:spacing w:line="360" w:lineRule="auto"/>
        <w:ind w:firstLine="480" w:firstLineChars="200"/>
        <w:rPr>
          <w:rFonts w:ascii="宋体" w:hAnsi="宋体"/>
          <w:sz w:val="24"/>
          <w:szCs w:val="24"/>
        </w:rPr>
      </w:pPr>
      <w:r>
        <w:rPr>
          <w:rFonts w:hint="eastAsia" w:ascii="宋体" w:hAnsi="宋体"/>
          <w:sz w:val="24"/>
          <w:szCs w:val="24"/>
        </w:rPr>
        <w:t>（2）由同一专业的单位组成的联合体，按照资质等级较低的单位确定资质等级；</w:t>
      </w:r>
    </w:p>
    <w:p>
      <w:pPr>
        <w:spacing w:line="360" w:lineRule="auto"/>
        <w:ind w:firstLine="480" w:firstLineChars="200"/>
        <w:rPr>
          <w:rFonts w:ascii="宋体" w:hAnsi="宋体"/>
          <w:sz w:val="24"/>
          <w:szCs w:val="24"/>
        </w:rPr>
      </w:pPr>
      <w:r>
        <w:rPr>
          <w:rFonts w:hint="eastAsia" w:ascii="宋体" w:hAnsi="宋体"/>
          <w:sz w:val="24"/>
          <w:szCs w:val="24"/>
        </w:rPr>
        <w:t>（3）联合体各方不得再以自己名义单独或参加其他联合体在本招标项目中投标，否则各相关投标均无效。</w:t>
      </w:r>
    </w:p>
    <w:p>
      <w:pPr>
        <w:spacing w:line="360" w:lineRule="auto"/>
        <w:ind w:firstLine="480" w:firstLineChars="200"/>
        <w:rPr>
          <w:rFonts w:ascii="宋体" w:hAnsi="宋体"/>
          <w:sz w:val="24"/>
          <w:szCs w:val="24"/>
        </w:rPr>
      </w:pPr>
      <w:r>
        <w:rPr>
          <w:rFonts w:hint="eastAsia" w:ascii="宋体" w:hAnsi="宋体"/>
          <w:sz w:val="24"/>
          <w:szCs w:val="24"/>
        </w:rPr>
        <w:t>1.4.3 投标人不得存在下列情形之一：</w:t>
      </w:r>
    </w:p>
    <w:p>
      <w:pPr>
        <w:spacing w:line="360" w:lineRule="auto"/>
        <w:ind w:firstLine="480" w:firstLineChars="200"/>
        <w:rPr>
          <w:rFonts w:ascii="宋体" w:hAnsi="宋体"/>
          <w:sz w:val="24"/>
          <w:szCs w:val="24"/>
        </w:rPr>
      </w:pPr>
      <w:bookmarkStart w:id="18" w:name="_Toc517441173"/>
      <w:r>
        <w:rPr>
          <w:rFonts w:hint="eastAsia" w:ascii="宋体" w:hAnsi="宋体"/>
          <w:sz w:val="24"/>
          <w:szCs w:val="24"/>
        </w:rPr>
        <w:t>（1）为招标人不具有独立法人资格的附属机构（单位）；</w:t>
      </w:r>
    </w:p>
    <w:p>
      <w:pPr>
        <w:spacing w:line="360" w:lineRule="auto"/>
        <w:ind w:firstLine="480" w:firstLineChars="200"/>
        <w:rPr>
          <w:rFonts w:ascii="宋体" w:hAnsi="宋体"/>
          <w:sz w:val="24"/>
          <w:szCs w:val="24"/>
        </w:rPr>
      </w:pPr>
      <w:r>
        <w:rPr>
          <w:rFonts w:hint="eastAsia" w:ascii="宋体" w:hAnsi="宋体"/>
          <w:sz w:val="24"/>
          <w:szCs w:val="24"/>
        </w:rPr>
        <w:t>（2）与招标人存在利害关系且可能影响招标公正性；</w:t>
      </w:r>
    </w:p>
    <w:p>
      <w:pPr>
        <w:spacing w:line="360" w:lineRule="auto"/>
        <w:ind w:firstLine="480" w:firstLineChars="200"/>
        <w:rPr>
          <w:rFonts w:ascii="宋体" w:hAnsi="宋体"/>
          <w:sz w:val="24"/>
          <w:szCs w:val="24"/>
        </w:rPr>
      </w:pPr>
      <w:r>
        <w:rPr>
          <w:rFonts w:hint="eastAsia" w:ascii="宋体" w:hAnsi="宋体"/>
          <w:sz w:val="24"/>
          <w:szCs w:val="24"/>
        </w:rPr>
        <w:t>（3）与本招标项目的其他投标人为同一个单位负责人；</w:t>
      </w:r>
    </w:p>
    <w:p>
      <w:pPr>
        <w:spacing w:line="360" w:lineRule="auto"/>
        <w:ind w:firstLine="480" w:firstLineChars="200"/>
        <w:rPr>
          <w:rFonts w:ascii="宋体" w:hAnsi="宋体"/>
          <w:sz w:val="24"/>
          <w:szCs w:val="24"/>
        </w:rPr>
      </w:pPr>
      <w:r>
        <w:rPr>
          <w:rFonts w:hint="eastAsia" w:ascii="宋体" w:hAnsi="宋体"/>
          <w:sz w:val="24"/>
          <w:szCs w:val="24"/>
        </w:rPr>
        <w:t>（4）与本招标项目的其他投标人存在控股、管理关系；</w:t>
      </w:r>
    </w:p>
    <w:p>
      <w:pPr>
        <w:spacing w:line="360" w:lineRule="auto"/>
        <w:ind w:firstLine="480" w:firstLineChars="200"/>
        <w:rPr>
          <w:rFonts w:ascii="宋体" w:hAnsi="宋体"/>
          <w:sz w:val="24"/>
          <w:szCs w:val="24"/>
        </w:rPr>
      </w:pPr>
      <w:r>
        <w:rPr>
          <w:rFonts w:hint="eastAsia" w:ascii="宋体" w:hAnsi="宋体"/>
          <w:sz w:val="24"/>
          <w:szCs w:val="24"/>
        </w:rPr>
        <w:t>（5）为本招标项目的代建人；</w:t>
      </w:r>
    </w:p>
    <w:p>
      <w:pPr>
        <w:spacing w:line="360" w:lineRule="auto"/>
        <w:ind w:firstLine="480" w:firstLineChars="200"/>
        <w:rPr>
          <w:rFonts w:ascii="宋体" w:hAnsi="宋体"/>
          <w:sz w:val="24"/>
          <w:szCs w:val="24"/>
        </w:rPr>
      </w:pPr>
      <w:r>
        <w:rPr>
          <w:rFonts w:hint="eastAsia" w:ascii="宋体" w:hAnsi="宋体"/>
          <w:sz w:val="24"/>
          <w:szCs w:val="24"/>
        </w:rPr>
        <w:t>（6）为本招标项目的招标代理机构；</w:t>
      </w:r>
    </w:p>
    <w:p>
      <w:pPr>
        <w:spacing w:line="360" w:lineRule="auto"/>
        <w:ind w:firstLine="480" w:firstLineChars="200"/>
        <w:rPr>
          <w:rFonts w:ascii="宋体" w:hAnsi="宋体"/>
          <w:sz w:val="24"/>
          <w:szCs w:val="24"/>
        </w:rPr>
      </w:pPr>
      <w:r>
        <w:rPr>
          <w:rFonts w:hint="eastAsia" w:ascii="宋体" w:hAnsi="宋体"/>
          <w:sz w:val="24"/>
          <w:szCs w:val="24"/>
        </w:rPr>
        <w:t>（7）与本招标项目的代建人或招标代理机构同为一个法定代表人；</w:t>
      </w:r>
    </w:p>
    <w:p>
      <w:pPr>
        <w:spacing w:line="360" w:lineRule="auto"/>
        <w:ind w:firstLine="480" w:firstLineChars="200"/>
        <w:rPr>
          <w:rFonts w:ascii="宋体" w:hAnsi="宋体"/>
          <w:sz w:val="24"/>
          <w:szCs w:val="24"/>
        </w:rPr>
      </w:pPr>
      <w:r>
        <w:rPr>
          <w:rFonts w:hint="eastAsia" w:ascii="宋体" w:hAnsi="宋体"/>
          <w:sz w:val="24"/>
          <w:szCs w:val="24"/>
        </w:rPr>
        <w:t>（8）与本招标项目的代建人或招标代理机构存在控股或参股关系；</w:t>
      </w:r>
    </w:p>
    <w:p>
      <w:pPr>
        <w:spacing w:line="360" w:lineRule="auto"/>
        <w:ind w:firstLine="480" w:firstLineChars="200"/>
        <w:rPr>
          <w:rFonts w:ascii="宋体" w:hAnsi="宋体"/>
          <w:sz w:val="24"/>
          <w:szCs w:val="24"/>
        </w:rPr>
      </w:pPr>
      <w:r>
        <w:rPr>
          <w:rFonts w:hint="eastAsia" w:ascii="宋体" w:hAnsi="宋体"/>
          <w:sz w:val="24"/>
          <w:szCs w:val="24"/>
        </w:rPr>
        <w:t>（9）与本招标项目的施工承包人以及建筑材料、建筑构配件和设备供应商有隶属关系或者其他利害关系；</w:t>
      </w:r>
    </w:p>
    <w:p>
      <w:pPr>
        <w:spacing w:line="360" w:lineRule="auto"/>
        <w:ind w:firstLine="480" w:firstLineChars="200"/>
        <w:rPr>
          <w:rFonts w:ascii="宋体" w:hAnsi="宋体"/>
          <w:sz w:val="24"/>
          <w:szCs w:val="24"/>
        </w:rPr>
      </w:pPr>
      <w:r>
        <w:rPr>
          <w:rFonts w:hint="eastAsia" w:ascii="宋体" w:hAnsi="宋体"/>
          <w:sz w:val="24"/>
          <w:szCs w:val="24"/>
        </w:rPr>
        <w:t>（10）被依法暂停或者取消投标资格；</w:t>
      </w:r>
      <w:r>
        <w:rPr>
          <w:rFonts w:hint="eastAsia" w:ascii="宋体" w:hAnsi="宋体"/>
          <w:sz w:val="24"/>
          <w:szCs w:val="24"/>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pPr>
        <w:spacing w:line="360" w:lineRule="auto"/>
        <w:ind w:firstLine="480" w:firstLineChars="200"/>
        <w:rPr>
          <w:rFonts w:ascii="宋体" w:hAnsi="宋体"/>
          <w:sz w:val="24"/>
          <w:szCs w:val="24"/>
        </w:rPr>
      </w:pPr>
      <w:r>
        <w:rPr>
          <w:rFonts w:hint="eastAsia" w:ascii="宋体" w:hAnsi="宋体"/>
          <w:sz w:val="24"/>
          <w:szCs w:val="24"/>
        </w:rPr>
        <w:t>（11）被责令停产停业、暂扣或者吊销许可证、暂扣或者吊销执照；</w:t>
      </w:r>
      <w:r>
        <w:rPr>
          <w:rFonts w:hint="eastAsia" w:ascii="宋体" w:hAnsi="宋体"/>
          <w:sz w:val="24"/>
          <w:szCs w:val="24"/>
          <w:u w:val="single"/>
        </w:rPr>
        <w:t>（本项事实应当以根据《中华人民共和国行政处罚法》依法作出并已经生效的行政处罚决定为认定依据。）</w:t>
      </w:r>
    </w:p>
    <w:p>
      <w:pPr>
        <w:spacing w:line="360" w:lineRule="auto"/>
        <w:ind w:firstLine="480" w:firstLineChars="200"/>
        <w:rPr>
          <w:rFonts w:ascii="宋体" w:hAnsi="宋体"/>
          <w:sz w:val="24"/>
          <w:szCs w:val="24"/>
        </w:rPr>
      </w:pPr>
      <w:r>
        <w:rPr>
          <w:rFonts w:hint="eastAsia" w:ascii="宋体" w:hAnsi="宋体"/>
          <w:sz w:val="24"/>
          <w:szCs w:val="24"/>
        </w:rPr>
        <w:t>（12）进入清算程序，或被宣告破产，或其他丧失履约能力的情形；</w:t>
      </w:r>
    </w:p>
    <w:p>
      <w:pPr>
        <w:spacing w:line="360" w:lineRule="auto"/>
        <w:ind w:firstLine="480" w:firstLineChars="200"/>
        <w:rPr>
          <w:rFonts w:ascii="宋体" w:hAnsi="宋体"/>
          <w:sz w:val="24"/>
          <w:szCs w:val="24"/>
          <w:u w:val="single"/>
        </w:rPr>
      </w:pPr>
      <w:r>
        <w:rPr>
          <w:rFonts w:hint="eastAsia" w:ascii="宋体" w:hAnsi="宋体"/>
          <w:sz w:val="24"/>
          <w:szCs w:val="24"/>
          <w:u w:val="single"/>
        </w:rPr>
        <w:t>（13）在最近三年内发生重大监理质量问题（以相关行业主管部门的行政处罚决定或司法机关出具的有关法律文书为准；“最近三年”是指从投标截止时间之日起逆推三年，以相关行业主管部门、司法机关出具的生效文件的落款时间起计算）；</w:t>
      </w:r>
    </w:p>
    <w:p>
      <w:pPr>
        <w:spacing w:line="360" w:lineRule="auto"/>
        <w:ind w:firstLine="480" w:firstLineChars="200"/>
        <w:rPr>
          <w:rFonts w:ascii="宋体" w:hAnsi="宋体"/>
          <w:sz w:val="24"/>
          <w:szCs w:val="24"/>
        </w:rPr>
      </w:pPr>
      <w:r>
        <w:rPr>
          <w:rFonts w:hint="eastAsia" w:ascii="宋体" w:hAnsi="宋体"/>
          <w:sz w:val="24"/>
          <w:szCs w:val="24"/>
        </w:rPr>
        <w:t>（14）法律法规或投标人须知前附表规定的其他情形。</w:t>
      </w:r>
    </w:p>
    <w:p>
      <w:pPr>
        <w:pStyle w:val="5"/>
        <w:spacing w:beforeLines="20" w:afterLines="20"/>
        <w:rPr>
          <w:rFonts w:ascii="宋体" w:hAnsi="宋体"/>
        </w:rPr>
      </w:pPr>
      <w:r>
        <w:rPr>
          <w:rFonts w:hint="eastAsia" w:ascii="宋体" w:hAnsi="宋体"/>
        </w:rPr>
        <w:t>1.5 费用承担</w:t>
      </w:r>
      <w:bookmarkEnd w:id="18"/>
    </w:p>
    <w:p>
      <w:pPr>
        <w:spacing w:line="360" w:lineRule="auto"/>
        <w:ind w:firstLine="480" w:firstLineChars="200"/>
        <w:rPr>
          <w:rFonts w:ascii="宋体" w:hAnsi="宋体"/>
          <w:sz w:val="24"/>
          <w:szCs w:val="24"/>
        </w:rPr>
      </w:pPr>
      <w:r>
        <w:rPr>
          <w:rFonts w:hint="eastAsia" w:ascii="宋体" w:hAnsi="宋体"/>
          <w:sz w:val="24"/>
          <w:szCs w:val="24"/>
        </w:rPr>
        <w:t>投标人准备和参加投标活动发生的费用自理。</w:t>
      </w:r>
    </w:p>
    <w:p>
      <w:pPr>
        <w:pStyle w:val="5"/>
        <w:spacing w:beforeLines="20" w:afterLines="20"/>
        <w:rPr>
          <w:rFonts w:ascii="宋体" w:hAnsi="宋体"/>
        </w:rPr>
      </w:pPr>
      <w:bookmarkStart w:id="19" w:name="_Toc517441174"/>
      <w:r>
        <w:rPr>
          <w:rFonts w:hint="eastAsia" w:ascii="宋体" w:hAnsi="宋体"/>
        </w:rPr>
        <w:t>1.6 保密</w:t>
      </w:r>
      <w:bookmarkEnd w:id="19"/>
    </w:p>
    <w:p>
      <w:pPr>
        <w:spacing w:line="360" w:lineRule="auto"/>
        <w:ind w:firstLine="480" w:firstLineChars="200"/>
        <w:rPr>
          <w:rFonts w:ascii="宋体" w:hAnsi="宋体"/>
          <w:sz w:val="24"/>
          <w:szCs w:val="24"/>
        </w:rPr>
      </w:pPr>
      <w:r>
        <w:rPr>
          <w:rFonts w:hint="eastAsia" w:ascii="宋体" w:hAnsi="宋体"/>
          <w:sz w:val="24"/>
          <w:szCs w:val="24"/>
        </w:rPr>
        <w:t>参与招标投标活动的各方应对招标文件和投标文件中的商业和技术等秘密保密，否则应承担相应的法律责任。</w:t>
      </w:r>
    </w:p>
    <w:p>
      <w:pPr>
        <w:pStyle w:val="5"/>
        <w:spacing w:beforeLines="20" w:afterLines="20"/>
        <w:rPr>
          <w:rFonts w:ascii="宋体" w:hAnsi="宋体"/>
        </w:rPr>
      </w:pPr>
      <w:bookmarkStart w:id="20" w:name="_Toc517441175"/>
      <w:r>
        <w:rPr>
          <w:rFonts w:hint="eastAsia" w:ascii="宋体" w:hAnsi="宋体"/>
        </w:rPr>
        <w:t>1.7 语言文字</w:t>
      </w:r>
      <w:bookmarkEnd w:id="20"/>
    </w:p>
    <w:p>
      <w:pPr>
        <w:spacing w:line="360" w:lineRule="auto"/>
        <w:ind w:firstLine="480" w:firstLineChars="200"/>
        <w:rPr>
          <w:rFonts w:ascii="宋体" w:hAnsi="宋体"/>
          <w:sz w:val="24"/>
          <w:szCs w:val="24"/>
        </w:rPr>
      </w:pPr>
      <w:r>
        <w:rPr>
          <w:rFonts w:hint="eastAsia" w:ascii="宋体" w:hAnsi="宋体"/>
          <w:sz w:val="24"/>
          <w:szCs w:val="24"/>
        </w:rPr>
        <w:t>招标投标文件使用的语言文字为中文。专用术语使用外文的，应附有中文注释。</w:t>
      </w:r>
    </w:p>
    <w:p>
      <w:pPr>
        <w:pStyle w:val="5"/>
        <w:spacing w:beforeLines="20" w:afterLines="20"/>
        <w:rPr>
          <w:rFonts w:ascii="宋体" w:hAnsi="宋体"/>
        </w:rPr>
      </w:pPr>
      <w:bookmarkStart w:id="21" w:name="_Toc517441176"/>
      <w:r>
        <w:rPr>
          <w:rFonts w:hint="eastAsia" w:ascii="宋体" w:hAnsi="宋体"/>
        </w:rPr>
        <w:t>1.8 计量单位</w:t>
      </w:r>
      <w:bookmarkEnd w:id="21"/>
    </w:p>
    <w:p>
      <w:pPr>
        <w:spacing w:line="360" w:lineRule="auto"/>
        <w:ind w:firstLine="480" w:firstLineChars="200"/>
        <w:rPr>
          <w:rFonts w:ascii="宋体" w:hAnsi="宋体"/>
          <w:sz w:val="24"/>
          <w:szCs w:val="24"/>
        </w:rPr>
      </w:pPr>
      <w:r>
        <w:rPr>
          <w:rFonts w:hint="eastAsia" w:ascii="宋体" w:hAnsi="宋体"/>
          <w:sz w:val="24"/>
          <w:szCs w:val="24"/>
        </w:rPr>
        <w:t>所有计量均采用中华人民共和国法定计量单位。</w:t>
      </w:r>
    </w:p>
    <w:p>
      <w:pPr>
        <w:pStyle w:val="5"/>
        <w:spacing w:beforeLines="20" w:afterLines="20"/>
        <w:rPr>
          <w:rFonts w:ascii="宋体" w:hAnsi="宋体"/>
        </w:rPr>
      </w:pPr>
      <w:bookmarkStart w:id="22" w:name="_Toc517441177"/>
      <w:r>
        <w:rPr>
          <w:rFonts w:hint="eastAsia" w:ascii="宋体" w:hAnsi="宋体"/>
        </w:rPr>
        <w:t>1.9 踏勘现场</w:t>
      </w:r>
      <w:bookmarkEnd w:id="22"/>
    </w:p>
    <w:p>
      <w:pPr>
        <w:spacing w:line="360" w:lineRule="auto"/>
        <w:ind w:firstLine="480" w:firstLineChars="200"/>
        <w:rPr>
          <w:rFonts w:ascii="宋体" w:hAnsi="宋体"/>
          <w:sz w:val="24"/>
          <w:szCs w:val="24"/>
        </w:rPr>
      </w:pPr>
      <w:r>
        <w:rPr>
          <w:rFonts w:hint="eastAsia" w:ascii="宋体" w:hAnsi="宋体"/>
          <w:sz w:val="24"/>
          <w:szCs w:val="24"/>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宋体" w:hAnsi="宋体"/>
          <w:sz w:val="24"/>
          <w:szCs w:val="24"/>
        </w:rPr>
      </w:pPr>
      <w:r>
        <w:rPr>
          <w:rFonts w:hint="eastAsia" w:ascii="宋体" w:hAnsi="宋体"/>
          <w:sz w:val="24"/>
          <w:szCs w:val="24"/>
        </w:rPr>
        <w:t>1.9.2 投标人踏勘现场发生的费用自理。</w:t>
      </w:r>
    </w:p>
    <w:p>
      <w:pPr>
        <w:spacing w:line="360" w:lineRule="auto"/>
        <w:ind w:firstLine="480" w:firstLineChars="200"/>
        <w:rPr>
          <w:rFonts w:ascii="宋体" w:hAnsi="宋体"/>
          <w:sz w:val="24"/>
          <w:szCs w:val="24"/>
        </w:rPr>
      </w:pPr>
      <w:r>
        <w:rPr>
          <w:rFonts w:hint="eastAsia" w:ascii="宋体" w:hAnsi="宋体"/>
          <w:sz w:val="24"/>
          <w:szCs w:val="24"/>
        </w:rPr>
        <w:t>1.9.3 除招标人的原因外，投标人自行负责在踏勘现场中所发生的人员伤亡和财产损失。</w:t>
      </w:r>
    </w:p>
    <w:p>
      <w:pPr>
        <w:spacing w:line="360" w:lineRule="auto"/>
        <w:ind w:firstLine="480" w:firstLineChars="200"/>
        <w:rPr>
          <w:rFonts w:ascii="宋体" w:hAnsi="宋体"/>
        </w:rPr>
      </w:pPr>
      <w:r>
        <w:rPr>
          <w:rFonts w:hint="eastAsia" w:ascii="宋体" w:hAnsi="宋体"/>
          <w:sz w:val="24"/>
          <w:szCs w:val="24"/>
        </w:rPr>
        <w:t>1.9.4 招标人在踏勘现场中介绍的工程场地和相关的周边环境情况，供投标人在编制投标文件时参考，招标人不对投标人据此作出的判断和决策负责。</w:t>
      </w:r>
    </w:p>
    <w:p>
      <w:pPr>
        <w:pStyle w:val="5"/>
        <w:spacing w:beforeLines="20" w:afterLines="20"/>
        <w:rPr>
          <w:rFonts w:ascii="宋体" w:hAnsi="宋体"/>
        </w:rPr>
      </w:pPr>
      <w:bookmarkStart w:id="23" w:name="_Toc517441178"/>
      <w:r>
        <w:rPr>
          <w:rFonts w:hint="eastAsia" w:ascii="宋体" w:hAnsi="宋体"/>
        </w:rPr>
        <w:t>1.10 投标预备会</w:t>
      </w:r>
      <w:bookmarkEnd w:id="23"/>
    </w:p>
    <w:p>
      <w:pPr>
        <w:spacing w:line="360" w:lineRule="auto"/>
        <w:ind w:firstLine="480" w:firstLineChars="200"/>
        <w:rPr>
          <w:rFonts w:ascii="宋体" w:hAnsi="宋体"/>
          <w:sz w:val="24"/>
          <w:szCs w:val="24"/>
        </w:rPr>
      </w:pPr>
      <w:r>
        <w:rPr>
          <w:rFonts w:hint="eastAsia" w:ascii="宋体" w:hAnsi="宋体"/>
          <w:sz w:val="24"/>
          <w:szCs w:val="24"/>
        </w:rPr>
        <w:t>1.10.1  投标人须知前附表规定召开投标预备会的，招标人按投标人须知前附表规定的时间和地点召开投标预备会，澄清投标人提出的问题。</w:t>
      </w:r>
    </w:p>
    <w:p>
      <w:pPr>
        <w:spacing w:line="360" w:lineRule="auto"/>
        <w:ind w:firstLine="480" w:firstLineChars="200"/>
        <w:rPr>
          <w:rFonts w:ascii="宋体" w:hAnsi="宋体"/>
          <w:sz w:val="24"/>
          <w:szCs w:val="24"/>
        </w:rPr>
      </w:pPr>
      <w:r>
        <w:rPr>
          <w:rFonts w:hint="eastAsia" w:ascii="宋体" w:hAnsi="宋体"/>
          <w:sz w:val="24"/>
          <w:szCs w:val="24"/>
        </w:rPr>
        <w:t>1.10.2  投标人应按投标人须知前附表规定的时间和形式将提出的问题送达招标人，以便招标人在会议期间澄清。</w:t>
      </w:r>
    </w:p>
    <w:p>
      <w:pPr>
        <w:spacing w:line="360" w:lineRule="auto"/>
        <w:ind w:firstLine="480" w:firstLineChars="200"/>
        <w:rPr>
          <w:rFonts w:ascii="宋体" w:hAnsi="宋体"/>
          <w:sz w:val="24"/>
          <w:szCs w:val="24"/>
        </w:rPr>
      </w:pPr>
      <w:r>
        <w:rPr>
          <w:rFonts w:hint="eastAsia" w:ascii="宋体" w:hAnsi="宋体"/>
          <w:sz w:val="24"/>
          <w:szCs w:val="24"/>
        </w:rPr>
        <w:t>1.10.3  投标预备会后，招标人将对投标人所提问题的澄清，以投标人须知前附表规定的形式通知所有购买招标文件的投标人。该澄清内容为招标文件的组成部分。</w:t>
      </w:r>
    </w:p>
    <w:p>
      <w:pPr>
        <w:pStyle w:val="5"/>
        <w:spacing w:beforeLines="20" w:afterLines="20"/>
        <w:rPr>
          <w:rFonts w:ascii="宋体" w:hAnsi="宋体"/>
        </w:rPr>
      </w:pPr>
      <w:bookmarkStart w:id="24" w:name="_Toc517441179"/>
      <w:r>
        <w:rPr>
          <w:rFonts w:hint="eastAsia" w:ascii="宋体" w:hAnsi="宋体"/>
        </w:rPr>
        <w:t>1.11 分包</w:t>
      </w:r>
      <w:bookmarkEnd w:id="24"/>
    </w:p>
    <w:p>
      <w:pPr>
        <w:spacing w:line="360" w:lineRule="auto"/>
        <w:ind w:firstLine="480" w:firstLineChars="200"/>
        <w:rPr>
          <w:rFonts w:ascii="宋体" w:hAnsi="宋体"/>
          <w:sz w:val="24"/>
          <w:szCs w:val="24"/>
        </w:rPr>
      </w:pPr>
      <w:r>
        <w:rPr>
          <w:rFonts w:hint="eastAsia" w:ascii="宋体" w:hAnsi="宋体"/>
          <w:sz w:val="24"/>
          <w:szCs w:val="24"/>
        </w:rPr>
        <w:t>本项目严禁分包。</w:t>
      </w:r>
    </w:p>
    <w:p>
      <w:pPr>
        <w:pStyle w:val="5"/>
        <w:spacing w:beforeLines="20" w:afterLines="20"/>
        <w:rPr>
          <w:rFonts w:ascii="宋体" w:hAnsi="宋体"/>
        </w:rPr>
      </w:pPr>
      <w:bookmarkStart w:id="25" w:name="_Toc517441180"/>
      <w:r>
        <w:rPr>
          <w:rFonts w:hint="eastAsia" w:ascii="宋体" w:hAnsi="宋体"/>
        </w:rPr>
        <w:t>1.12 响应和偏差</w:t>
      </w:r>
      <w:bookmarkEnd w:id="25"/>
    </w:p>
    <w:p>
      <w:pPr>
        <w:spacing w:line="360" w:lineRule="auto"/>
        <w:ind w:firstLine="480" w:firstLineChars="200"/>
        <w:rPr>
          <w:rFonts w:ascii="宋体" w:hAnsi="宋体"/>
          <w:sz w:val="24"/>
          <w:szCs w:val="24"/>
        </w:rPr>
      </w:pPr>
      <w:r>
        <w:rPr>
          <w:rFonts w:hint="eastAsia" w:ascii="宋体" w:hAnsi="宋体"/>
          <w:sz w:val="24"/>
          <w:szCs w:val="24"/>
        </w:rPr>
        <w:t>1.12.1 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ascii="宋体" w:hAnsi="宋体"/>
          <w:sz w:val="24"/>
          <w:szCs w:val="24"/>
        </w:rPr>
      </w:pPr>
      <w:r>
        <w:rPr>
          <w:rFonts w:hint="eastAsia" w:ascii="宋体" w:hAnsi="宋体"/>
          <w:sz w:val="24"/>
          <w:szCs w:val="24"/>
        </w:rPr>
        <w:t>1.12.2 投标人应根据招标文件的要求提供投标监理大纲等内容以对招标文件作出响应。</w:t>
      </w:r>
    </w:p>
    <w:p>
      <w:pPr>
        <w:spacing w:line="360" w:lineRule="auto"/>
        <w:ind w:firstLine="480" w:firstLineChars="200"/>
        <w:rPr>
          <w:rFonts w:ascii="宋体" w:hAnsi="宋体"/>
          <w:sz w:val="24"/>
          <w:szCs w:val="24"/>
        </w:rPr>
      </w:pPr>
      <w:r>
        <w:rPr>
          <w:rFonts w:hint="eastAsia" w:ascii="宋体" w:hAnsi="宋体"/>
          <w:sz w:val="24"/>
          <w:szCs w:val="24"/>
        </w:rPr>
        <w:t>1.12.3 投标人须知前附表允许投标文件偏离招标文件某些要求的，偏差应当符合招标文件规定的偏差范围和幅度。</w:t>
      </w:r>
    </w:p>
    <w:p>
      <w:pPr>
        <w:pStyle w:val="4"/>
        <w:rPr>
          <w:rFonts w:ascii="宋体" w:hAnsi="宋体" w:eastAsia="宋体"/>
        </w:rPr>
      </w:pPr>
      <w:bookmarkStart w:id="26" w:name="_Toc517441181"/>
      <w:r>
        <w:rPr>
          <w:rFonts w:hint="eastAsia" w:ascii="宋体" w:hAnsi="宋体" w:eastAsia="宋体"/>
        </w:rPr>
        <w:t>2. 招标文件</w:t>
      </w:r>
      <w:bookmarkEnd w:id="26"/>
    </w:p>
    <w:p>
      <w:pPr>
        <w:pStyle w:val="5"/>
        <w:spacing w:beforeLines="20" w:afterLines="20"/>
        <w:rPr>
          <w:rFonts w:ascii="宋体" w:hAnsi="宋体"/>
          <w:szCs w:val="24"/>
        </w:rPr>
      </w:pPr>
      <w:bookmarkStart w:id="27" w:name="_Toc517441182"/>
      <w:r>
        <w:rPr>
          <w:rFonts w:hint="eastAsia" w:ascii="宋体" w:hAnsi="宋体"/>
          <w:szCs w:val="24"/>
        </w:rPr>
        <w:t>2.1 招标文件的组成</w:t>
      </w:r>
      <w:bookmarkEnd w:id="27"/>
    </w:p>
    <w:p>
      <w:pPr>
        <w:spacing w:line="360" w:lineRule="auto"/>
        <w:ind w:firstLine="480" w:firstLineChars="200"/>
        <w:rPr>
          <w:rFonts w:ascii="宋体" w:hAnsi="宋体"/>
          <w:sz w:val="24"/>
          <w:szCs w:val="24"/>
        </w:rPr>
      </w:pPr>
      <w:r>
        <w:rPr>
          <w:rFonts w:hint="eastAsia" w:ascii="宋体" w:hAnsi="宋体"/>
          <w:sz w:val="24"/>
          <w:szCs w:val="24"/>
        </w:rPr>
        <w:t>本招标文件包括：</w:t>
      </w:r>
    </w:p>
    <w:p>
      <w:pPr>
        <w:spacing w:line="360" w:lineRule="auto"/>
        <w:ind w:firstLine="480" w:firstLineChars="200"/>
        <w:rPr>
          <w:rFonts w:ascii="宋体" w:hAnsi="宋体"/>
          <w:sz w:val="24"/>
          <w:szCs w:val="24"/>
        </w:rPr>
      </w:pPr>
      <w:r>
        <w:rPr>
          <w:rFonts w:hint="eastAsia" w:ascii="宋体" w:hAnsi="宋体"/>
          <w:sz w:val="24"/>
          <w:szCs w:val="24"/>
        </w:rPr>
        <w:t>（1）招标公告（或投标邀请书）；</w:t>
      </w:r>
    </w:p>
    <w:p>
      <w:pPr>
        <w:spacing w:line="360" w:lineRule="auto"/>
        <w:ind w:firstLine="480" w:firstLineChars="200"/>
        <w:rPr>
          <w:rFonts w:ascii="宋体" w:hAnsi="宋体"/>
          <w:sz w:val="24"/>
          <w:szCs w:val="24"/>
        </w:rPr>
      </w:pPr>
      <w:r>
        <w:rPr>
          <w:rFonts w:hint="eastAsia" w:ascii="宋体" w:hAnsi="宋体"/>
          <w:sz w:val="24"/>
          <w:szCs w:val="24"/>
        </w:rPr>
        <w:t>（2）投标人须知；</w:t>
      </w:r>
    </w:p>
    <w:p>
      <w:pPr>
        <w:spacing w:line="360" w:lineRule="auto"/>
        <w:ind w:firstLine="480" w:firstLineChars="200"/>
        <w:rPr>
          <w:rFonts w:ascii="宋体" w:hAnsi="宋体"/>
          <w:sz w:val="24"/>
          <w:szCs w:val="24"/>
        </w:rPr>
      </w:pPr>
      <w:r>
        <w:rPr>
          <w:rFonts w:hint="eastAsia" w:ascii="宋体" w:hAnsi="宋体"/>
          <w:sz w:val="24"/>
          <w:szCs w:val="24"/>
        </w:rPr>
        <w:t>（3）评标办法（综合评估法）；</w:t>
      </w:r>
    </w:p>
    <w:p>
      <w:pPr>
        <w:spacing w:line="360" w:lineRule="auto"/>
        <w:ind w:firstLine="480" w:firstLineChars="200"/>
        <w:rPr>
          <w:rFonts w:ascii="宋体" w:hAnsi="宋体"/>
          <w:sz w:val="24"/>
          <w:szCs w:val="24"/>
        </w:rPr>
      </w:pPr>
      <w:r>
        <w:rPr>
          <w:rFonts w:hint="eastAsia" w:ascii="宋体" w:hAnsi="宋体"/>
          <w:sz w:val="24"/>
          <w:szCs w:val="24"/>
        </w:rPr>
        <w:t>（4）合同条款及格式；</w:t>
      </w:r>
    </w:p>
    <w:p>
      <w:pPr>
        <w:spacing w:line="360" w:lineRule="auto"/>
        <w:ind w:firstLine="480" w:firstLineChars="200"/>
        <w:rPr>
          <w:rFonts w:ascii="宋体" w:hAnsi="宋体"/>
          <w:sz w:val="24"/>
          <w:szCs w:val="24"/>
        </w:rPr>
      </w:pPr>
      <w:r>
        <w:rPr>
          <w:rFonts w:hint="eastAsia" w:ascii="宋体" w:hAnsi="宋体"/>
          <w:sz w:val="24"/>
          <w:szCs w:val="24"/>
        </w:rPr>
        <w:t>（5）委托人要求；</w:t>
      </w:r>
    </w:p>
    <w:p>
      <w:pPr>
        <w:spacing w:line="360" w:lineRule="auto"/>
        <w:ind w:firstLine="480" w:firstLineChars="200"/>
        <w:rPr>
          <w:rFonts w:ascii="宋体" w:hAnsi="宋体"/>
          <w:sz w:val="24"/>
          <w:szCs w:val="24"/>
        </w:rPr>
      </w:pPr>
      <w:r>
        <w:rPr>
          <w:rFonts w:hint="eastAsia" w:ascii="宋体" w:hAnsi="宋体"/>
          <w:sz w:val="24"/>
          <w:szCs w:val="24"/>
        </w:rPr>
        <w:t>（6）投标文件格式；</w:t>
      </w:r>
    </w:p>
    <w:p>
      <w:pPr>
        <w:spacing w:line="360" w:lineRule="auto"/>
        <w:ind w:firstLine="480" w:firstLineChars="200"/>
        <w:rPr>
          <w:rFonts w:ascii="宋体" w:hAnsi="宋体"/>
          <w:sz w:val="24"/>
          <w:szCs w:val="24"/>
        </w:rPr>
      </w:pPr>
      <w:r>
        <w:rPr>
          <w:rFonts w:hint="eastAsia" w:ascii="宋体" w:hAnsi="宋体"/>
          <w:sz w:val="24"/>
          <w:szCs w:val="24"/>
        </w:rPr>
        <w:t>（7）投标人须知前附表规定的其他资料。</w:t>
      </w:r>
    </w:p>
    <w:p>
      <w:pPr>
        <w:spacing w:line="360" w:lineRule="auto"/>
        <w:ind w:firstLine="480" w:firstLineChars="200"/>
        <w:rPr>
          <w:rFonts w:ascii="宋体" w:hAnsi="宋体"/>
          <w:sz w:val="24"/>
          <w:szCs w:val="24"/>
        </w:rPr>
      </w:pPr>
      <w:r>
        <w:rPr>
          <w:rFonts w:hint="eastAsia" w:ascii="宋体" w:hAnsi="宋体"/>
          <w:sz w:val="24"/>
          <w:szCs w:val="24"/>
        </w:rPr>
        <w:t>根据本章第 1.10 款、第 2.2 款和第 2.3 款对招标文件所作的澄清、修改，构成招标文件的组成部分。</w:t>
      </w:r>
    </w:p>
    <w:p>
      <w:pPr>
        <w:pStyle w:val="5"/>
        <w:spacing w:beforeLines="20" w:afterLines="20"/>
        <w:rPr>
          <w:rFonts w:ascii="宋体" w:hAnsi="宋体"/>
          <w:szCs w:val="24"/>
        </w:rPr>
      </w:pPr>
      <w:bookmarkStart w:id="28" w:name="_Toc517441183"/>
      <w:r>
        <w:rPr>
          <w:rFonts w:hint="eastAsia" w:ascii="宋体" w:hAnsi="宋体"/>
          <w:szCs w:val="24"/>
        </w:rPr>
        <w:t>2.2 招标文件的澄清</w:t>
      </w:r>
      <w:bookmarkEnd w:id="28"/>
    </w:p>
    <w:p>
      <w:pPr>
        <w:spacing w:line="360" w:lineRule="auto"/>
        <w:ind w:firstLine="480" w:firstLineChars="200"/>
        <w:rPr>
          <w:rFonts w:ascii="宋体" w:hAnsi="宋体"/>
          <w:sz w:val="24"/>
          <w:szCs w:val="24"/>
        </w:rPr>
      </w:pPr>
      <w:r>
        <w:rPr>
          <w:rFonts w:hint="eastAsia" w:ascii="宋体" w:hAnsi="宋体"/>
          <w:sz w:val="24"/>
          <w:szCs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80" w:firstLineChars="200"/>
        <w:rPr>
          <w:rFonts w:ascii="宋体" w:hAnsi="宋体"/>
          <w:sz w:val="24"/>
          <w:szCs w:val="24"/>
        </w:rPr>
      </w:pPr>
      <w:r>
        <w:rPr>
          <w:rFonts w:hint="eastAsia" w:ascii="宋体" w:hAnsi="宋体"/>
          <w:sz w:val="24"/>
          <w:szCs w:val="24"/>
        </w:rPr>
        <w:t>2.2.2招标文件的澄清以投标人须知前附表规定的形式发给所有购买招标文件的投标人，但不指明澄清问题的来源。澄清发出的时间距本章第 4.2.1 项规定的投标截止时间不足15日的，并且澄清内容可能影响投标文件编制的，将相应延长投标截止时间。</w:t>
      </w:r>
    </w:p>
    <w:p>
      <w:pPr>
        <w:spacing w:line="360" w:lineRule="auto"/>
        <w:ind w:firstLine="480" w:firstLineChars="200"/>
        <w:rPr>
          <w:rFonts w:ascii="宋体" w:hAnsi="宋体"/>
          <w:sz w:val="24"/>
          <w:szCs w:val="24"/>
        </w:rPr>
      </w:pPr>
      <w:r>
        <w:rPr>
          <w:rFonts w:hint="eastAsia" w:ascii="宋体" w:hAnsi="宋体"/>
          <w:sz w:val="24"/>
          <w:szCs w:val="24"/>
        </w:rPr>
        <w:t>2.2.3 投标人在收到澄清后，应按投标人须知前附表规定的时间和形式通知招标人，确认已收到该澄清。</w:t>
      </w:r>
    </w:p>
    <w:p>
      <w:pPr>
        <w:spacing w:line="360" w:lineRule="auto"/>
        <w:ind w:firstLine="480" w:firstLineChars="200"/>
        <w:rPr>
          <w:rFonts w:ascii="宋体" w:hAnsi="宋体"/>
          <w:sz w:val="24"/>
          <w:szCs w:val="24"/>
        </w:rPr>
      </w:pPr>
      <w:r>
        <w:rPr>
          <w:rFonts w:hint="eastAsia" w:ascii="宋体" w:hAnsi="宋体"/>
          <w:sz w:val="24"/>
          <w:szCs w:val="24"/>
        </w:rPr>
        <w:t>2.2.4 除非招标人认为确有必要答复，否则，招标人有权拒绝回复投标人在本章第 2.2.1 项规定的时间后的任何澄清要求。</w:t>
      </w:r>
    </w:p>
    <w:p>
      <w:pPr>
        <w:pStyle w:val="5"/>
        <w:spacing w:beforeLines="20" w:afterLines="20"/>
        <w:rPr>
          <w:rFonts w:ascii="宋体" w:hAnsi="宋体"/>
          <w:szCs w:val="24"/>
        </w:rPr>
      </w:pPr>
      <w:bookmarkStart w:id="29" w:name="_Toc517441184"/>
      <w:r>
        <w:rPr>
          <w:rFonts w:hint="eastAsia" w:ascii="宋体" w:hAnsi="宋体"/>
          <w:szCs w:val="24"/>
        </w:rPr>
        <w:t>2.3 招标文件的修改</w:t>
      </w:r>
      <w:bookmarkEnd w:id="29"/>
    </w:p>
    <w:p>
      <w:pPr>
        <w:spacing w:line="360" w:lineRule="auto"/>
        <w:ind w:firstLine="480" w:firstLineChars="200"/>
        <w:rPr>
          <w:rFonts w:ascii="宋体" w:hAnsi="宋体"/>
          <w:sz w:val="24"/>
          <w:szCs w:val="24"/>
        </w:rPr>
      </w:pPr>
      <w:r>
        <w:rPr>
          <w:rFonts w:hint="eastAsia" w:ascii="宋体" w:hAnsi="宋体"/>
          <w:sz w:val="24"/>
          <w:szCs w:val="24"/>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spacing w:line="360" w:lineRule="auto"/>
        <w:ind w:firstLine="480" w:firstLineChars="200"/>
        <w:rPr>
          <w:rFonts w:ascii="宋体" w:hAnsi="宋体"/>
          <w:sz w:val="24"/>
          <w:szCs w:val="24"/>
        </w:rPr>
      </w:pPr>
      <w:r>
        <w:rPr>
          <w:rFonts w:hint="eastAsia" w:ascii="宋体" w:hAnsi="宋体"/>
          <w:sz w:val="24"/>
          <w:szCs w:val="24"/>
        </w:rPr>
        <w:t>2.3.2 投标人收到修改内容后，应按投标人须知前附表规定的时间和形式通知招标人，确认已收到该修改。</w:t>
      </w:r>
    </w:p>
    <w:p>
      <w:pPr>
        <w:pStyle w:val="5"/>
        <w:spacing w:beforeLines="20" w:afterLines="20"/>
        <w:rPr>
          <w:rFonts w:ascii="宋体" w:hAnsi="宋体"/>
          <w:szCs w:val="24"/>
        </w:rPr>
      </w:pPr>
      <w:bookmarkStart w:id="30" w:name="_Toc517441185"/>
      <w:r>
        <w:rPr>
          <w:rFonts w:hint="eastAsia" w:ascii="宋体" w:hAnsi="宋体"/>
          <w:szCs w:val="24"/>
        </w:rPr>
        <w:t>2.4 招标文件的异议</w:t>
      </w:r>
      <w:bookmarkEnd w:id="30"/>
    </w:p>
    <w:p>
      <w:pPr>
        <w:spacing w:line="360" w:lineRule="auto"/>
        <w:ind w:firstLine="480" w:firstLineChars="200"/>
        <w:rPr>
          <w:rFonts w:ascii="宋体" w:hAnsi="宋体"/>
          <w:sz w:val="24"/>
          <w:szCs w:val="24"/>
        </w:rPr>
      </w:pPr>
      <w:r>
        <w:rPr>
          <w:rFonts w:hint="eastAsia" w:ascii="宋体" w:hAnsi="宋体"/>
          <w:sz w:val="24"/>
          <w:szCs w:val="24"/>
        </w:rPr>
        <w:t>投标人或者其他利害关系人对招标文件有异议的，应当在投标截止时间 10 日前以书面形式提出。招标人将在收到异议之日起 3 日内作出答复；作出答复前，将暂停招标投标活动。</w:t>
      </w:r>
      <w:bookmarkStart w:id="31" w:name="_Toc517441186"/>
    </w:p>
    <w:p>
      <w:pPr>
        <w:pStyle w:val="11"/>
        <w:rPr>
          <w:rFonts w:ascii="宋体" w:hAnsi="宋体"/>
          <w:sz w:val="24"/>
          <w:szCs w:val="24"/>
        </w:rPr>
      </w:pPr>
    </w:p>
    <w:p/>
    <w:p>
      <w:pPr>
        <w:pStyle w:val="4"/>
        <w:rPr>
          <w:rFonts w:ascii="宋体" w:hAnsi="宋体" w:eastAsia="宋体"/>
        </w:rPr>
      </w:pPr>
      <w:r>
        <w:rPr>
          <w:rFonts w:hint="eastAsia" w:ascii="宋体" w:hAnsi="宋体" w:eastAsia="宋体"/>
        </w:rPr>
        <w:t>3. 投标文件</w:t>
      </w:r>
      <w:bookmarkEnd w:id="31"/>
    </w:p>
    <w:p>
      <w:pPr>
        <w:pStyle w:val="5"/>
        <w:spacing w:beforeLines="20" w:afterLines="20"/>
        <w:rPr>
          <w:rFonts w:ascii="宋体" w:hAnsi="宋体"/>
          <w:szCs w:val="24"/>
        </w:rPr>
      </w:pPr>
      <w:bookmarkStart w:id="32" w:name="_Toc517441187"/>
      <w:r>
        <w:rPr>
          <w:rFonts w:hint="eastAsia" w:ascii="宋体" w:hAnsi="宋体"/>
          <w:szCs w:val="24"/>
        </w:rPr>
        <w:t>3.1 投标文件的组成</w:t>
      </w:r>
      <w:bookmarkEnd w:id="32"/>
    </w:p>
    <w:p>
      <w:pPr>
        <w:spacing w:line="360" w:lineRule="auto"/>
        <w:ind w:firstLine="480" w:firstLineChars="200"/>
        <w:rPr>
          <w:rFonts w:ascii="宋体" w:hAnsi="宋体"/>
          <w:sz w:val="24"/>
          <w:szCs w:val="24"/>
        </w:rPr>
      </w:pPr>
      <w:r>
        <w:rPr>
          <w:rFonts w:hint="eastAsia" w:ascii="宋体" w:hAnsi="宋体"/>
          <w:sz w:val="24"/>
          <w:szCs w:val="24"/>
        </w:rPr>
        <w:t>3.1.1 投标文件应包括下列内容：</w:t>
      </w:r>
    </w:p>
    <w:p>
      <w:pPr>
        <w:spacing w:line="360" w:lineRule="auto"/>
        <w:ind w:firstLine="480" w:firstLineChars="200"/>
        <w:rPr>
          <w:rFonts w:ascii="宋体" w:hAnsi="宋体"/>
          <w:sz w:val="24"/>
          <w:szCs w:val="24"/>
        </w:rPr>
      </w:pPr>
      <w:r>
        <w:rPr>
          <w:rFonts w:hint="eastAsia" w:ascii="宋体" w:hAnsi="宋体"/>
          <w:sz w:val="24"/>
          <w:szCs w:val="24"/>
        </w:rPr>
        <w:t>（1）投标函及投标函附录；</w:t>
      </w:r>
    </w:p>
    <w:p>
      <w:pPr>
        <w:spacing w:line="360" w:lineRule="auto"/>
        <w:ind w:firstLine="480" w:firstLineChars="200"/>
        <w:rPr>
          <w:rFonts w:ascii="宋体" w:hAnsi="宋体"/>
          <w:sz w:val="24"/>
          <w:szCs w:val="24"/>
        </w:rPr>
      </w:pPr>
      <w:r>
        <w:rPr>
          <w:rFonts w:hint="eastAsia" w:ascii="宋体" w:hAnsi="宋体"/>
          <w:sz w:val="24"/>
          <w:szCs w:val="24"/>
        </w:rPr>
        <w:t>（2）法定代表人身份证明或授权委托书；</w:t>
      </w:r>
    </w:p>
    <w:p>
      <w:pPr>
        <w:spacing w:line="360" w:lineRule="auto"/>
        <w:ind w:firstLine="480" w:firstLineChars="200"/>
        <w:rPr>
          <w:rFonts w:ascii="宋体" w:hAnsi="宋体"/>
          <w:sz w:val="24"/>
          <w:szCs w:val="24"/>
        </w:rPr>
      </w:pPr>
      <w:r>
        <w:rPr>
          <w:rFonts w:hint="eastAsia" w:ascii="宋体" w:hAnsi="宋体"/>
          <w:strike/>
          <w:sz w:val="24"/>
          <w:szCs w:val="24"/>
        </w:rPr>
        <w:t>（</w:t>
      </w:r>
      <w:r>
        <w:rPr>
          <w:rFonts w:ascii="宋体" w:hAnsi="宋体"/>
          <w:strike/>
          <w:sz w:val="24"/>
          <w:szCs w:val="24"/>
        </w:rPr>
        <w:t>3）联合体协议书</w:t>
      </w:r>
      <w:r>
        <w:rPr>
          <w:rFonts w:hint="eastAsia" w:ascii="宋体" w:hAnsi="宋体"/>
          <w:sz w:val="24"/>
          <w:szCs w:val="24"/>
        </w:rPr>
        <w:t>；</w:t>
      </w:r>
    </w:p>
    <w:p>
      <w:pPr>
        <w:spacing w:line="360" w:lineRule="auto"/>
        <w:ind w:firstLine="480" w:firstLineChars="200"/>
        <w:rPr>
          <w:rFonts w:ascii="宋体" w:hAnsi="宋体"/>
          <w:strike/>
          <w:sz w:val="24"/>
          <w:szCs w:val="24"/>
        </w:rPr>
      </w:pPr>
      <w:r>
        <w:rPr>
          <w:rFonts w:hint="eastAsia" w:ascii="宋体" w:hAnsi="宋体"/>
          <w:strike/>
          <w:sz w:val="24"/>
          <w:szCs w:val="24"/>
        </w:rPr>
        <w:t>（4）投标保证金；</w:t>
      </w:r>
    </w:p>
    <w:p>
      <w:pPr>
        <w:spacing w:line="360" w:lineRule="auto"/>
        <w:ind w:firstLine="480" w:firstLineChars="200"/>
        <w:rPr>
          <w:rFonts w:ascii="宋体" w:hAnsi="宋体"/>
          <w:sz w:val="24"/>
          <w:szCs w:val="24"/>
        </w:rPr>
      </w:pPr>
      <w:r>
        <w:rPr>
          <w:rFonts w:hint="eastAsia" w:ascii="宋体" w:hAnsi="宋体"/>
          <w:sz w:val="24"/>
          <w:szCs w:val="24"/>
        </w:rPr>
        <w:t>（5）监理报酬清单；</w:t>
      </w:r>
    </w:p>
    <w:p>
      <w:pPr>
        <w:spacing w:line="360" w:lineRule="auto"/>
        <w:ind w:firstLine="480" w:firstLineChars="200"/>
        <w:rPr>
          <w:rFonts w:ascii="宋体" w:hAnsi="宋体"/>
          <w:sz w:val="24"/>
          <w:szCs w:val="24"/>
        </w:rPr>
      </w:pPr>
      <w:r>
        <w:rPr>
          <w:rFonts w:hint="eastAsia" w:ascii="宋体" w:hAnsi="宋体"/>
          <w:sz w:val="24"/>
          <w:szCs w:val="24"/>
        </w:rPr>
        <w:t>（6）资格审查资料；</w:t>
      </w:r>
    </w:p>
    <w:p>
      <w:pPr>
        <w:spacing w:line="360" w:lineRule="auto"/>
        <w:ind w:firstLine="480" w:firstLineChars="200"/>
        <w:rPr>
          <w:rFonts w:ascii="宋体" w:hAnsi="宋体"/>
          <w:sz w:val="24"/>
          <w:szCs w:val="24"/>
        </w:rPr>
      </w:pPr>
      <w:r>
        <w:rPr>
          <w:rFonts w:hint="eastAsia" w:ascii="宋体" w:hAnsi="宋体"/>
          <w:sz w:val="24"/>
          <w:szCs w:val="24"/>
        </w:rPr>
        <w:t>（7）监理大纲；</w:t>
      </w:r>
    </w:p>
    <w:p>
      <w:pPr>
        <w:spacing w:line="360" w:lineRule="auto"/>
        <w:ind w:firstLine="480" w:firstLineChars="200"/>
        <w:rPr>
          <w:rFonts w:ascii="宋体" w:hAnsi="宋体"/>
          <w:sz w:val="24"/>
          <w:szCs w:val="24"/>
        </w:rPr>
      </w:pPr>
      <w:r>
        <w:rPr>
          <w:rFonts w:hint="eastAsia" w:ascii="宋体" w:hAnsi="宋体"/>
          <w:sz w:val="24"/>
          <w:szCs w:val="24"/>
        </w:rPr>
        <w:t>（8）投标人须知前附表规定的其他资料。</w:t>
      </w:r>
    </w:p>
    <w:p>
      <w:pPr>
        <w:spacing w:line="360" w:lineRule="auto"/>
        <w:ind w:firstLine="480" w:firstLineChars="200"/>
        <w:rPr>
          <w:rFonts w:ascii="宋体" w:hAnsi="宋体"/>
          <w:sz w:val="24"/>
          <w:szCs w:val="24"/>
        </w:rPr>
      </w:pPr>
      <w:r>
        <w:rPr>
          <w:rFonts w:hint="eastAsia" w:ascii="宋体" w:hAnsi="宋体"/>
          <w:sz w:val="24"/>
          <w:szCs w:val="24"/>
        </w:rPr>
        <w:t>投标人在评标过程中作出的符合法律法规和招标文件规定的澄清确认，构成投标文件的组成部分。</w:t>
      </w:r>
    </w:p>
    <w:p>
      <w:pPr>
        <w:spacing w:line="360" w:lineRule="auto"/>
        <w:ind w:firstLine="480" w:firstLineChars="200"/>
        <w:rPr>
          <w:rFonts w:ascii="宋体" w:hAnsi="宋体"/>
          <w:sz w:val="24"/>
          <w:szCs w:val="24"/>
        </w:rPr>
      </w:pPr>
      <w:r>
        <w:rPr>
          <w:rFonts w:hint="eastAsia" w:ascii="宋体" w:hAnsi="宋体"/>
          <w:sz w:val="24"/>
          <w:szCs w:val="24"/>
        </w:rPr>
        <w:t>3.1.2 投标人须知前附表规定不接受联合体投标的，或投标人没有组成联合体的，投标文件不包括本章第 3.1.1（3）目所指的联合体协议书。</w:t>
      </w:r>
    </w:p>
    <w:p>
      <w:pPr>
        <w:spacing w:line="360" w:lineRule="auto"/>
        <w:ind w:firstLine="480" w:firstLineChars="200"/>
        <w:rPr>
          <w:rFonts w:ascii="宋体" w:hAnsi="宋体"/>
          <w:sz w:val="24"/>
          <w:szCs w:val="24"/>
        </w:rPr>
      </w:pPr>
      <w:r>
        <w:rPr>
          <w:rFonts w:hint="eastAsia" w:ascii="宋体" w:hAnsi="宋体"/>
          <w:sz w:val="24"/>
          <w:szCs w:val="24"/>
        </w:rPr>
        <w:t>3.1.3 投标人须知前附表未要求提交投标保证金的，投标文件不包括本章第 3.1.1（4）目所指的投标保证金。</w:t>
      </w:r>
    </w:p>
    <w:p>
      <w:pPr>
        <w:pStyle w:val="5"/>
        <w:spacing w:beforeLines="20" w:afterLines="20"/>
        <w:rPr>
          <w:rFonts w:ascii="宋体" w:hAnsi="宋体"/>
          <w:szCs w:val="24"/>
        </w:rPr>
      </w:pPr>
      <w:bookmarkStart w:id="33" w:name="_Toc517441188"/>
      <w:r>
        <w:rPr>
          <w:rFonts w:hint="eastAsia" w:ascii="宋体" w:hAnsi="宋体"/>
          <w:szCs w:val="24"/>
        </w:rPr>
        <w:t>3.2 投标报价</w:t>
      </w:r>
      <w:bookmarkEnd w:id="33"/>
    </w:p>
    <w:p>
      <w:pPr>
        <w:spacing w:line="360" w:lineRule="auto"/>
        <w:ind w:firstLine="480" w:firstLineChars="200"/>
        <w:rPr>
          <w:rFonts w:ascii="宋体" w:hAnsi="宋体"/>
          <w:sz w:val="24"/>
          <w:szCs w:val="24"/>
        </w:rPr>
      </w:pPr>
      <w:r>
        <w:rPr>
          <w:rFonts w:hint="eastAsia" w:ascii="宋体" w:hAnsi="宋体"/>
          <w:sz w:val="24"/>
          <w:szCs w:val="24"/>
        </w:rPr>
        <w:t>3.2.1 投标报价应包括国家规定的增值税税金，除投标人须知前附表另有规定外，增值税税金按一般计税方法计算。投标人应按第六章“投标文件格式”的要求在投标函中进行报价并填写监理报酬清单。</w:t>
      </w:r>
    </w:p>
    <w:p>
      <w:pPr>
        <w:spacing w:line="360" w:lineRule="auto"/>
        <w:ind w:firstLine="480" w:firstLineChars="200"/>
        <w:rPr>
          <w:rFonts w:ascii="宋体" w:hAnsi="宋体"/>
          <w:sz w:val="24"/>
          <w:szCs w:val="24"/>
        </w:rPr>
      </w:pPr>
      <w:r>
        <w:rPr>
          <w:rFonts w:hint="eastAsia" w:ascii="宋体" w:hAnsi="宋体"/>
          <w:sz w:val="24"/>
          <w:szCs w:val="24"/>
        </w:rPr>
        <w:t>3.2.2 投标人应充分了解该项目的总体情况以及影响投标报价的其他要素。</w:t>
      </w:r>
    </w:p>
    <w:p>
      <w:pPr>
        <w:spacing w:line="360" w:lineRule="auto"/>
        <w:ind w:firstLine="480" w:firstLineChars="200"/>
        <w:rPr>
          <w:rFonts w:ascii="宋体" w:hAnsi="宋体"/>
          <w:sz w:val="24"/>
          <w:szCs w:val="24"/>
        </w:rPr>
      </w:pPr>
      <w:r>
        <w:rPr>
          <w:rFonts w:hint="eastAsia" w:ascii="宋体" w:hAnsi="宋体"/>
          <w:sz w:val="24"/>
          <w:szCs w:val="24"/>
        </w:rPr>
        <w:t>3.2.3 本项目的报价方式见投标人须知前附表。投标人在投标截止时间前修改投标函中的投标报价总额，应同时修改投标文件“监理报酬清单”中的相应报价。此修改须符合本章第 4.3 款的有关要求。</w:t>
      </w:r>
    </w:p>
    <w:p>
      <w:pPr>
        <w:spacing w:line="360" w:lineRule="auto"/>
        <w:ind w:firstLine="480" w:firstLineChars="200"/>
        <w:rPr>
          <w:rFonts w:ascii="宋体" w:hAnsi="宋体"/>
          <w:sz w:val="24"/>
          <w:szCs w:val="24"/>
        </w:rPr>
      </w:pPr>
      <w:r>
        <w:rPr>
          <w:rFonts w:hint="eastAsia" w:ascii="宋体" w:hAnsi="宋体"/>
          <w:sz w:val="24"/>
          <w:szCs w:val="24"/>
        </w:rPr>
        <w:t>3.2.4 招标人设有最高投标限价的，投标人的投标报价不得超过最高投标限价，最高投标限价在投标人须知前附表中载明。</w:t>
      </w:r>
    </w:p>
    <w:p>
      <w:pPr>
        <w:spacing w:line="360" w:lineRule="auto"/>
        <w:ind w:firstLine="480" w:firstLineChars="200"/>
        <w:rPr>
          <w:rFonts w:ascii="宋体" w:hAnsi="宋体"/>
          <w:sz w:val="24"/>
          <w:szCs w:val="24"/>
        </w:rPr>
      </w:pPr>
      <w:r>
        <w:rPr>
          <w:rFonts w:hint="eastAsia" w:ascii="宋体" w:hAnsi="宋体"/>
          <w:sz w:val="24"/>
          <w:szCs w:val="24"/>
        </w:rPr>
        <w:t>3.2.5 投标报价的其他要求见投标人须知前附表。</w:t>
      </w:r>
    </w:p>
    <w:p>
      <w:pPr>
        <w:pStyle w:val="5"/>
        <w:spacing w:beforeLines="20" w:afterLines="20"/>
        <w:rPr>
          <w:rFonts w:ascii="宋体" w:hAnsi="宋体"/>
          <w:szCs w:val="24"/>
        </w:rPr>
      </w:pPr>
      <w:bookmarkStart w:id="34" w:name="_Toc517441189"/>
      <w:r>
        <w:rPr>
          <w:rFonts w:hint="eastAsia" w:ascii="宋体" w:hAnsi="宋体"/>
          <w:szCs w:val="24"/>
        </w:rPr>
        <w:t>3.3 投标有效期</w:t>
      </w:r>
      <w:bookmarkEnd w:id="34"/>
    </w:p>
    <w:p>
      <w:pPr>
        <w:spacing w:line="360" w:lineRule="auto"/>
        <w:ind w:firstLine="480" w:firstLineChars="200"/>
        <w:rPr>
          <w:rFonts w:ascii="宋体" w:hAnsi="宋体"/>
          <w:sz w:val="24"/>
          <w:szCs w:val="24"/>
        </w:rPr>
      </w:pPr>
      <w:r>
        <w:rPr>
          <w:rFonts w:hint="eastAsia" w:ascii="宋体" w:hAnsi="宋体"/>
          <w:sz w:val="24"/>
          <w:szCs w:val="24"/>
        </w:rPr>
        <w:t>3.3.1 除投标人须知前附表另有规定外，投标有效期为90日历天。</w:t>
      </w:r>
    </w:p>
    <w:p>
      <w:pPr>
        <w:spacing w:line="360" w:lineRule="auto"/>
        <w:ind w:firstLine="480" w:firstLineChars="200"/>
        <w:rPr>
          <w:rFonts w:ascii="宋体" w:hAnsi="宋体"/>
          <w:sz w:val="24"/>
          <w:szCs w:val="24"/>
        </w:rPr>
      </w:pPr>
      <w:r>
        <w:rPr>
          <w:rFonts w:hint="eastAsia" w:ascii="宋体" w:hAnsi="宋体"/>
          <w:sz w:val="24"/>
          <w:szCs w:val="24"/>
        </w:rPr>
        <w:t>3.3.2 在投标有效期内，投标人撤销投标文件的，应承担招标文件和法律规定的责任。</w:t>
      </w:r>
    </w:p>
    <w:p>
      <w:pPr>
        <w:spacing w:line="360" w:lineRule="auto"/>
        <w:ind w:firstLine="480" w:firstLineChars="200"/>
        <w:rPr>
          <w:rFonts w:ascii="宋体" w:hAnsi="宋体"/>
          <w:sz w:val="24"/>
          <w:szCs w:val="24"/>
        </w:rPr>
      </w:pPr>
      <w:r>
        <w:rPr>
          <w:rFonts w:hint="eastAsia" w:ascii="宋体" w:hAnsi="宋体"/>
          <w:sz w:val="24"/>
          <w:szCs w:val="24"/>
        </w:rPr>
        <w:t>3.3.3 出现特殊情况需要延长投标有效期的，招标人以书面形式通知所有投标人延长投标有效期。投标人应予以书面答复，同意延长的，</w:t>
      </w:r>
      <w:r>
        <w:rPr>
          <w:rFonts w:hint="eastAsia" w:ascii="宋体" w:hAnsi="宋体"/>
          <w:strike/>
          <w:sz w:val="24"/>
          <w:szCs w:val="24"/>
        </w:rPr>
        <w:t>应相应延长其投标保证金的有效期，但</w:t>
      </w:r>
      <w:r>
        <w:rPr>
          <w:rFonts w:hint="eastAsia" w:ascii="宋体" w:hAnsi="宋体"/>
          <w:sz w:val="24"/>
          <w:szCs w:val="24"/>
        </w:rPr>
        <w:t>不得要求或被允许修改其投标文件；投标人拒绝延长的，其投标失效</w:t>
      </w:r>
      <w:r>
        <w:rPr>
          <w:rFonts w:hint="eastAsia" w:ascii="宋体" w:hAnsi="宋体"/>
          <w:strike/>
          <w:sz w:val="24"/>
          <w:szCs w:val="24"/>
        </w:rPr>
        <w:t>，但投标人有权收回其投标保证金及以现金或者支票形式递交的投标保证金的银行同期存款利息</w:t>
      </w:r>
      <w:r>
        <w:rPr>
          <w:rFonts w:hint="eastAsia" w:ascii="宋体" w:hAnsi="宋体"/>
          <w:sz w:val="24"/>
          <w:szCs w:val="24"/>
        </w:rPr>
        <w:t>。</w:t>
      </w:r>
    </w:p>
    <w:p>
      <w:pPr>
        <w:pStyle w:val="5"/>
        <w:spacing w:beforeLines="20" w:afterLines="20"/>
        <w:rPr>
          <w:rFonts w:ascii="宋体" w:hAnsi="宋体"/>
          <w:strike/>
        </w:rPr>
      </w:pPr>
      <w:bookmarkStart w:id="35" w:name="_Toc517441190"/>
      <w:r>
        <w:rPr>
          <w:rFonts w:ascii="宋体" w:hAnsi="宋体"/>
          <w:bCs/>
          <w:strike/>
          <w:sz w:val="24"/>
          <w:szCs w:val="32"/>
        </w:rPr>
        <w:t xml:space="preserve">3.4 </w:t>
      </w:r>
      <w:r>
        <w:rPr>
          <w:rFonts w:hint="eastAsia" w:ascii="宋体" w:hAnsi="宋体"/>
          <w:bCs/>
          <w:strike/>
          <w:sz w:val="24"/>
          <w:szCs w:val="32"/>
        </w:rPr>
        <w:t>投标保证金</w:t>
      </w:r>
      <w:bookmarkEnd w:id="35"/>
    </w:p>
    <w:p>
      <w:pPr>
        <w:spacing w:line="360" w:lineRule="auto"/>
        <w:ind w:firstLine="420" w:firstLineChars="200"/>
        <w:rPr>
          <w:rFonts w:ascii="宋体" w:hAnsi="宋体"/>
          <w:strike/>
        </w:rPr>
      </w:pPr>
      <w:r>
        <w:rPr>
          <w:rFonts w:ascii="宋体" w:hAnsi="宋体"/>
          <w:strike/>
        </w:rPr>
        <w:t>3.4.1</w:t>
      </w:r>
      <w:r>
        <w:rPr>
          <w:rFonts w:hint="eastAsia" w:ascii="宋体" w:hAnsi="宋体"/>
          <w:strike/>
          <w:sz w:val="24"/>
          <w:szCs w:val="24"/>
        </w:rPr>
        <w:t>投标人在递交投标文件的同时，应按投标人须知前附表规定的金额</w:t>
      </w:r>
      <w:bookmarkStart w:id="36" w:name="_Toc384308226"/>
      <w:bookmarkStart w:id="37" w:name="_Toc247527570"/>
      <w:bookmarkStart w:id="38" w:name="_Toc152042321"/>
      <w:bookmarkStart w:id="39" w:name="_Toc4592"/>
      <w:bookmarkStart w:id="40" w:name="_Toc300834966"/>
      <w:bookmarkStart w:id="41" w:name="_Toc369531532"/>
      <w:bookmarkStart w:id="42" w:name="_Toc361508601"/>
      <w:bookmarkStart w:id="43" w:name="_Toc152045545"/>
      <w:bookmarkStart w:id="44" w:name="_Toc352691489"/>
      <w:bookmarkStart w:id="45" w:name="_Toc144974513"/>
      <w:bookmarkStart w:id="46" w:name="_Toc247513969"/>
      <w:r>
        <w:rPr>
          <w:rFonts w:hint="eastAsia" w:ascii="宋体" w:hAnsi="宋体"/>
          <w:strike/>
          <w:sz w:val="24"/>
          <w:szCs w:val="24"/>
        </w:rPr>
        <w:t>、形式和第六章“投标文</w:t>
      </w:r>
      <w:bookmarkEnd w:id="36"/>
      <w:bookmarkEnd w:id="37"/>
      <w:bookmarkEnd w:id="38"/>
      <w:bookmarkEnd w:id="39"/>
      <w:bookmarkEnd w:id="40"/>
      <w:bookmarkEnd w:id="41"/>
      <w:bookmarkEnd w:id="42"/>
      <w:bookmarkEnd w:id="43"/>
      <w:bookmarkEnd w:id="44"/>
      <w:bookmarkEnd w:id="45"/>
      <w:bookmarkEnd w:id="46"/>
      <w:r>
        <w:rPr>
          <w:rFonts w:hint="eastAsia" w:ascii="宋体" w:hAnsi="宋体"/>
          <w:strike/>
          <w:sz w:val="24"/>
          <w:szCs w:val="24"/>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80" w:firstLineChars="200"/>
        <w:rPr>
          <w:rFonts w:ascii="宋体" w:hAnsi="宋体"/>
          <w:strike/>
          <w:sz w:val="24"/>
          <w:szCs w:val="24"/>
        </w:rPr>
      </w:pPr>
      <w:r>
        <w:rPr>
          <w:rFonts w:ascii="宋体" w:hAnsi="宋体"/>
          <w:strike/>
          <w:sz w:val="24"/>
          <w:szCs w:val="24"/>
        </w:rPr>
        <w:t>3.4.2 投标人不按本章第 3.4.1 项要求提交投标保证金的，评标委员会将否决其投标。</w:t>
      </w:r>
    </w:p>
    <w:p>
      <w:pPr>
        <w:spacing w:line="360" w:lineRule="auto"/>
        <w:ind w:firstLine="480" w:firstLineChars="200"/>
        <w:rPr>
          <w:rFonts w:ascii="宋体" w:hAnsi="宋体"/>
          <w:strike/>
          <w:sz w:val="24"/>
          <w:szCs w:val="24"/>
        </w:rPr>
      </w:pPr>
      <w:r>
        <w:rPr>
          <w:rFonts w:ascii="宋体" w:hAnsi="宋体"/>
          <w:strike/>
          <w:sz w:val="24"/>
          <w:szCs w:val="24"/>
        </w:rPr>
        <w:t xml:space="preserve">3.4.3 </w:t>
      </w:r>
      <w:r>
        <w:rPr>
          <w:rFonts w:hint="eastAsia" w:ascii="宋体" w:hAnsi="宋体"/>
          <w:strike/>
          <w:sz w:val="24"/>
          <w:szCs w:val="24"/>
        </w:rPr>
        <w:t>招标人最迟将在与中标人签订合同后</w:t>
      </w:r>
      <w:r>
        <w:rPr>
          <w:rFonts w:ascii="宋体" w:hAnsi="宋体"/>
          <w:strike/>
          <w:sz w:val="24"/>
          <w:szCs w:val="24"/>
        </w:rPr>
        <w:t xml:space="preserve"> 5 </w:t>
      </w:r>
      <w:r>
        <w:rPr>
          <w:rFonts w:hint="eastAsia" w:ascii="宋体" w:hAnsi="宋体"/>
          <w:strike/>
          <w:sz w:val="24"/>
          <w:szCs w:val="24"/>
        </w:rPr>
        <w:t>日内，向未中标的投标人和中标人退还投标保证金。投标保证金以现金或者支票形式递交的，还应退还银行同期存款利息。</w:t>
      </w:r>
      <w:r>
        <w:rPr>
          <w:rFonts w:hint="eastAsia"/>
          <w:strike/>
          <w:sz w:val="24"/>
          <w:szCs w:val="24"/>
          <w:u w:val="single"/>
        </w:rPr>
        <w:t>如出现异议或投诉，则投标有效期自动延长至异议或投诉处理结束。在提交投标文件截止时间后到招标文件规定的投标有效期终止之前，投标人不得补充、修改或者撤回其投标文件，否则其保证金将不予退还。招标人因特殊情况需要延长提交投标文件截止时间，投标人可以拒绝投标，招标人对退出的投标人不作任何经济补偿。同意延长投标有效期的投标人，在延长期内本招标文件的规定仍然适用。</w:t>
      </w:r>
    </w:p>
    <w:p>
      <w:pPr>
        <w:spacing w:line="360" w:lineRule="auto"/>
        <w:ind w:firstLine="480" w:firstLineChars="200"/>
        <w:rPr>
          <w:rFonts w:ascii="宋体" w:hAnsi="宋体"/>
          <w:strike/>
          <w:sz w:val="24"/>
          <w:szCs w:val="24"/>
        </w:rPr>
      </w:pPr>
      <w:r>
        <w:rPr>
          <w:rFonts w:ascii="宋体" w:hAnsi="宋体"/>
          <w:strike/>
          <w:sz w:val="24"/>
          <w:szCs w:val="24"/>
        </w:rPr>
        <w:t xml:space="preserve">3.4.4 </w:t>
      </w:r>
      <w:r>
        <w:rPr>
          <w:rFonts w:hint="eastAsia" w:ascii="宋体" w:hAnsi="宋体"/>
          <w:strike/>
          <w:sz w:val="24"/>
          <w:szCs w:val="24"/>
        </w:rPr>
        <w:t>有下列情形之一的，投标保证金将不予退还：</w:t>
      </w:r>
    </w:p>
    <w:p>
      <w:pPr>
        <w:spacing w:line="360" w:lineRule="auto"/>
        <w:ind w:firstLine="480" w:firstLineChars="200"/>
        <w:rPr>
          <w:rFonts w:ascii="宋体" w:hAnsi="宋体"/>
          <w:strike/>
          <w:sz w:val="24"/>
          <w:szCs w:val="24"/>
        </w:rPr>
      </w:pPr>
      <w:r>
        <w:rPr>
          <w:rFonts w:hint="eastAsia" w:ascii="宋体" w:hAnsi="宋体"/>
          <w:strike/>
          <w:sz w:val="24"/>
          <w:szCs w:val="24"/>
        </w:rPr>
        <w:t>（</w:t>
      </w:r>
      <w:r>
        <w:rPr>
          <w:rFonts w:ascii="宋体" w:hAnsi="宋体"/>
          <w:strike/>
          <w:sz w:val="24"/>
          <w:szCs w:val="24"/>
        </w:rPr>
        <w:t>1）投标人在投标有效期内撤销投标文件；</w:t>
      </w:r>
    </w:p>
    <w:p>
      <w:pPr>
        <w:spacing w:line="360" w:lineRule="auto"/>
        <w:ind w:firstLine="480" w:firstLineChars="200"/>
        <w:rPr>
          <w:rFonts w:ascii="宋体" w:hAnsi="宋体"/>
          <w:strike/>
          <w:sz w:val="24"/>
          <w:szCs w:val="24"/>
        </w:rPr>
      </w:pPr>
      <w:r>
        <w:rPr>
          <w:rFonts w:hint="eastAsia" w:ascii="宋体" w:hAnsi="宋体"/>
          <w:strike/>
          <w:sz w:val="24"/>
          <w:szCs w:val="24"/>
        </w:rPr>
        <w:t>（</w:t>
      </w:r>
      <w:r>
        <w:rPr>
          <w:rFonts w:ascii="宋体" w:hAnsi="宋体"/>
          <w:strike/>
          <w:sz w:val="24"/>
          <w:szCs w:val="24"/>
        </w:rPr>
        <w:t>2）中标人在收到中标通知书后，无正当理由不与招标人订立合同，在签订合同时向招标人提出附加条件，或者不按照招标文件要求提交履约保证金；</w:t>
      </w:r>
    </w:p>
    <w:p>
      <w:pPr>
        <w:spacing w:line="360" w:lineRule="auto"/>
        <w:ind w:firstLine="480" w:firstLineChars="200"/>
        <w:rPr>
          <w:rFonts w:ascii="宋体" w:hAnsi="宋体"/>
        </w:rPr>
      </w:pPr>
      <w:r>
        <w:rPr>
          <w:rFonts w:hint="eastAsia" w:ascii="宋体" w:hAnsi="宋体"/>
          <w:strike/>
          <w:sz w:val="24"/>
          <w:szCs w:val="24"/>
        </w:rPr>
        <w:t>（</w:t>
      </w:r>
      <w:r>
        <w:rPr>
          <w:rFonts w:ascii="宋体" w:hAnsi="宋体"/>
          <w:strike/>
          <w:sz w:val="24"/>
          <w:szCs w:val="24"/>
        </w:rPr>
        <w:t>3）发生投标人须知前附表规定的其他可以不予退还投标保证金的情形</w:t>
      </w:r>
      <w:r>
        <w:rPr>
          <w:rFonts w:hint="eastAsia" w:ascii="宋体" w:hAnsi="宋体"/>
          <w:sz w:val="24"/>
          <w:szCs w:val="24"/>
        </w:rPr>
        <w:t>。</w:t>
      </w:r>
    </w:p>
    <w:p>
      <w:pPr>
        <w:pStyle w:val="5"/>
        <w:spacing w:beforeLines="20" w:afterLines="20"/>
        <w:rPr>
          <w:rFonts w:ascii="宋体" w:hAnsi="宋体"/>
          <w:strike/>
        </w:rPr>
      </w:pPr>
      <w:bookmarkStart w:id="47" w:name="_Toc517441191"/>
      <w:r>
        <w:rPr>
          <w:rFonts w:hint="eastAsia" w:ascii="宋体" w:hAnsi="宋体"/>
          <w:strike/>
        </w:rPr>
        <w:t>3.5 资格审查资料（适用于已进行资格预审的）</w:t>
      </w:r>
      <w:bookmarkEnd w:id="47"/>
    </w:p>
    <w:p>
      <w:pPr>
        <w:spacing w:line="360" w:lineRule="auto"/>
        <w:ind w:firstLine="420" w:firstLineChars="200"/>
        <w:rPr>
          <w:rFonts w:ascii="宋体" w:hAnsi="宋体"/>
          <w:strike/>
          <w:sz w:val="24"/>
          <w:szCs w:val="24"/>
        </w:rPr>
      </w:pPr>
      <w:r>
        <w:rPr>
          <w:rFonts w:hint="eastAsia" w:ascii="宋体" w:hAnsi="宋体"/>
          <w:strike/>
        </w:rPr>
        <w:t>投标人在递交投标文件前，发生可能影响其投标资格的新情况的，应更新或补充其在申请资格预审时提供的资料，以证实其各项资格条件仍能继续满足资格预审文件的要求，且没有实质性降低。</w:t>
      </w:r>
    </w:p>
    <w:p>
      <w:pPr>
        <w:pStyle w:val="5"/>
        <w:spacing w:beforeLines="20" w:afterLines="20"/>
        <w:rPr>
          <w:rFonts w:ascii="宋体" w:hAnsi="宋体"/>
          <w:szCs w:val="24"/>
        </w:rPr>
      </w:pPr>
      <w:bookmarkStart w:id="48" w:name="_Toc517441192"/>
      <w:r>
        <w:rPr>
          <w:rFonts w:hint="eastAsia" w:ascii="宋体" w:hAnsi="宋体"/>
          <w:szCs w:val="24"/>
        </w:rPr>
        <w:t>3.5 资格审查资料（适用于未进行资格预审的）</w:t>
      </w:r>
      <w:bookmarkEnd w:id="48"/>
    </w:p>
    <w:p>
      <w:pPr>
        <w:spacing w:line="360" w:lineRule="auto"/>
        <w:ind w:firstLine="480" w:firstLineChars="200"/>
        <w:rPr>
          <w:rFonts w:ascii="宋体" w:hAnsi="宋体"/>
          <w:sz w:val="24"/>
          <w:szCs w:val="24"/>
        </w:rPr>
      </w:pPr>
      <w:r>
        <w:rPr>
          <w:rFonts w:hint="eastAsia" w:ascii="宋体" w:hAnsi="宋体"/>
          <w:sz w:val="24"/>
          <w:szCs w:val="24"/>
        </w:rPr>
        <w:t>除投标人须知前附表另有规定外，投标人应按下列规定提供资格审查资料，以证明其满足本章第 1.4 款规定的资质、财务、业绩、信誉等要求。</w:t>
      </w:r>
    </w:p>
    <w:p>
      <w:pPr>
        <w:spacing w:line="360" w:lineRule="auto"/>
        <w:ind w:firstLine="480" w:firstLineChars="200"/>
        <w:rPr>
          <w:rFonts w:ascii="宋体" w:hAnsi="宋体"/>
          <w:sz w:val="24"/>
          <w:szCs w:val="24"/>
        </w:rPr>
      </w:pPr>
      <w:r>
        <w:rPr>
          <w:rFonts w:hint="eastAsia" w:ascii="宋体" w:hAnsi="宋体"/>
          <w:sz w:val="24"/>
          <w:szCs w:val="24"/>
        </w:rPr>
        <w:t>3.5.1 “投标人基本情况表”应附投标人营业执照和组织机构代码证的复印件（按照“三证合一” 或“五证合一”登记制度进行登记的，可仅提供营业执照复印件）、投标人监理资质证书副本等材料的复印件。</w:t>
      </w:r>
    </w:p>
    <w:p>
      <w:pPr>
        <w:spacing w:line="360" w:lineRule="auto"/>
        <w:ind w:firstLine="480" w:firstLineChars="200"/>
        <w:rPr>
          <w:rFonts w:ascii="宋体" w:hAnsi="宋体"/>
          <w:strike/>
          <w:sz w:val="24"/>
          <w:szCs w:val="24"/>
        </w:rPr>
      </w:pPr>
      <w:r>
        <w:rPr>
          <w:rFonts w:hint="eastAsia" w:ascii="宋体" w:hAnsi="宋体"/>
          <w:strike/>
          <w:sz w:val="24"/>
          <w:szCs w:val="24"/>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80" w:firstLineChars="200"/>
        <w:rPr>
          <w:rFonts w:ascii="宋体" w:hAnsi="宋体"/>
          <w:strike/>
          <w:sz w:val="24"/>
          <w:szCs w:val="24"/>
        </w:rPr>
      </w:pPr>
      <w:r>
        <w:rPr>
          <w:rFonts w:hint="eastAsia" w:ascii="宋体" w:hAnsi="宋体"/>
          <w:strike/>
          <w:sz w:val="24"/>
          <w:szCs w:val="24"/>
        </w:rPr>
        <w:t>3.5.3 “近年完成的类似监理项目情况表”应附中标通知书和（或）合同协议书、委托人出具的证明文件；具体时间要求见投标人须知前附表，每张表格只填写一个项目，并标明序号。</w:t>
      </w:r>
    </w:p>
    <w:p>
      <w:pPr>
        <w:spacing w:line="360" w:lineRule="auto"/>
        <w:ind w:firstLine="480" w:firstLineChars="200"/>
        <w:rPr>
          <w:rFonts w:ascii="宋体" w:hAnsi="宋体"/>
          <w:strike/>
          <w:sz w:val="24"/>
          <w:szCs w:val="24"/>
        </w:rPr>
      </w:pPr>
      <w:r>
        <w:rPr>
          <w:rFonts w:hint="eastAsia" w:ascii="宋体" w:hAnsi="宋体"/>
          <w:strike/>
          <w:sz w:val="24"/>
          <w:szCs w:val="24"/>
        </w:rPr>
        <w:t>3.5.4 “正在监理和新承接的项目情况表”应附中标通知书和（或）合同协议书复印件。每张表格只填写一个项目，并标明序号。</w:t>
      </w:r>
    </w:p>
    <w:p>
      <w:pPr>
        <w:spacing w:line="360" w:lineRule="auto"/>
        <w:ind w:firstLine="480" w:firstLineChars="200"/>
        <w:rPr>
          <w:rFonts w:ascii="宋体" w:hAnsi="宋体"/>
          <w:strike/>
          <w:sz w:val="24"/>
          <w:szCs w:val="24"/>
        </w:rPr>
      </w:pPr>
      <w:r>
        <w:rPr>
          <w:rFonts w:hint="eastAsia" w:ascii="宋体" w:hAnsi="宋体"/>
          <w:strike/>
          <w:sz w:val="24"/>
          <w:szCs w:val="24"/>
        </w:rPr>
        <w:t>3.5.5 “近年发生的诉讼及仲裁情况”应说明投标人败诉的监理合同的相关情况，并附法院或仲裁机构作出的判决、裁决等有关法律文书复印件，具体时间要求见投标人须知前附表。</w:t>
      </w:r>
    </w:p>
    <w:p>
      <w:pPr>
        <w:spacing w:line="360" w:lineRule="auto"/>
        <w:ind w:firstLine="480" w:firstLineChars="200"/>
        <w:rPr>
          <w:rFonts w:ascii="宋体" w:hAnsi="宋体"/>
          <w:sz w:val="24"/>
          <w:szCs w:val="24"/>
        </w:rPr>
      </w:pPr>
      <w:r>
        <w:rPr>
          <w:rFonts w:hint="eastAsia" w:ascii="宋体" w:hAnsi="宋体"/>
          <w:sz w:val="24"/>
          <w:szCs w:val="24"/>
        </w:rPr>
        <w:t>3.5.6 “拟委任的主要人员汇总表”应填报满足本章第 1.4.1 项规定的总监理工程师和其他主要人员的相关信息。“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pPr>
        <w:spacing w:line="360" w:lineRule="auto"/>
        <w:ind w:firstLine="480" w:firstLineChars="200"/>
        <w:rPr>
          <w:rFonts w:ascii="宋体" w:hAnsi="宋体"/>
          <w:strike/>
          <w:sz w:val="24"/>
          <w:szCs w:val="24"/>
        </w:rPr>
      </w:pPr>
      <w:r>
        <w:rPr>
          <w:rFonts w:ascii="宋体" w:hAnsi="宋体"/>
          <w:strike/>
          <w:sz w:val="24"/>
          <w:szCs w:val="24"/>
        </w:rPr>
        <w:t xml:space="preserve">3.5.7 </w:t>
      </w:r>
      <w:r>
        <w:rPr>
          <w:rFonts w:hint="eastAsia" w:ascii="宋体" w:hAnsi="宋体"/>
          <w:strike/>
          <w:sz w:val="24"/>
          <w:szCs w:val="24"/>
        </w:rPr>
        <w:t>“拟投入本项目的主要试验检测仪器设备表”应填报满足本章第</w:t>
      </w:r>
      <w:r>
        <w:rPr>
          <w:rFonts w:ascii="宋体" w:hAnsi="宋体"/>
          <w:strike/>
          <w:sz w:val="24"/>
          <w:szCs w:val="24"/>
        </w:rPr>
        <w:t xml:space="preserve"> 1.4.1 </w:t>
      </w:r>
      <w:r>
        <w:rPr>
          <w:rFonts w:hint="eastAsia" w:ascii="宋体" w:hAnsi="宋体"/>
          <w:strike/>
          <w:sz w:val="24"/>
          <w:szCs w:val="24"/>
        </w:rPr>
        <w:t>项规定的试验检测仪器设备。</w:t>
      </w:r>
    </w:p>
    <w:p>
      <w:pPr>
        <w:spacing w:line="360" w:lineRule="auto"/>
        <w:ind w:firstLine="480" w:firstLineChars="200"/>
        <w:rPr>
          <w:rFonts w:ascii="宋体" w:hAnsi="宋体"/>
          <w:sz w:val="24"/>
          <w:szCs w:val="24"/>
        </w:rPr>
      </w:pPr>
      <w:r>
        <w:rPr>
          <w:rFonts w:ascii="宋体" w:hAnsi="宋体"/>
          <w:strike/>
          <w:sz w:val="24"/>
          <w:szCs w:val="24"/>
        </w:rPr>
        <w:t xml:space="preserve">3.5.8 </w:t>
      </w:r>
      <w:r>
        <w:rPr>
          <w:rFonts w:hint="eastAsia" w:ascii="宋体" w:hAnsi="宋体"/>
          <w:strike/>
          <w:sz w:val="24"/>
          <w:szCs w:val="24"/>
        </w:rPr>
        <w:t>投标人须知前附表规定接受联合体投标的，本章第</w:t>
      </w:r>
      <w:r>
        <w:rPr>
          <w:rFonts w:ascii="宋体" w:hAnsi="宋体"/>
          <w:strike/>
          <w:sz w:val="24"/>
          <w:szCs w:val="24"/>
        </w:rPr>
        <w:t xml:space="preserve"> 3.5.1 </w:t>
      </w:r>
      <w:r>
        <w:rPr>
          <w:rFonts w:hint="eastAsia" w:ascii="宋体" w:hAnsi="宋体"/>
          <w:strike/>
          <w:sz w:val="24"/>
          <w:szCs w:val="24"/>
        </w:rPr>
        <w:t>项至第</w:t>
      </w:r>
      <w:r>
        <w:rPr>
          <w:rFonts w:ascii="宋体" w:hAnsi="宋体"/>
          <w:strike/>
          <w:sz w:val="24"/>
          <w:szCs w:val="24"/>
        </w:rPr>
        <w:t xml:space="preserve"> 3.5.7 </w:t>
      </w:r>
      <w:r>
        <w:rPr>
          <w:rFonts w:hint="eastAsia" w:ascii="宋体" w:hAnsi="宋体"/>
          <w:strike/>
          <w:sz w:val="24"/>
          <w:szCs w:val="24"/>
        </w:rPr>
        <w:t>项规定的表格和资料应包括联合体各方相关情况。</w:t>
      </w:r>
    </w:p>
    <w:p>
      <w:pPr>
        <w:pStyle w:val="5"/>
        <w:spacing w:beforeLines="20" w:afterLines="20"/>
        <w:rPr>
          <w:rFonts w:ascii="宋体" w:hAnsi="宋体"/>
          <w:szCs w:val="24"/>
        </w:rPr>
      </w:pPr>
      <w:bookmarkStart w:id="49" w:name="_Toc517441193"/>
      <w:r>
        <w:rPr>
          <w:rFonts w:hint="eastAsia" w:ascii="宋体" w:hAnsi="宋体"/>
          <w:szCs w:val="24"/>
        </w:rPr>
        <w:t>3.6 备选投标方案</w:t>
      </w:r>
      <w:bookmarkEnd w:id="49"/>
    </w:p>
    <w:p>
      <w:pPr>
        <w:spacing w:line="360" w:lineRule="auto"/>
        <w:ind w:firstLine="480" w:firstLineChars="200"/>
        <w:rPr>
          <w:rFonts w:ascii="宋体" w:hAnsi="宋体"/>
          <w:sz w:val="24"/>
          <w:szCs w:val="24"/>
        </w:rPr>
      </w:pPr>
      <w:r>
        <w:rPr>
          <w:rFonts w:hint="eastAsia" w:ascii="宋体" w:hAnsi="宋体"/>
          <w:sz w:val="24"/>
          <w:szCs w:val="24"/>
        </w:rPr>
        <w:t>3.6.1 除投标人须知前附表规定允许外，投标人不得递交备选投标方案，否则其投标将被否决。</w:t>
      </w:r>
    </w:p>
    <w:p>
      <w:pPr>
        <w:spacing w:line="360" w:lineRule="auto"/>
        <w:ind w:firstLine="480" w:firstLineChars="200"/>
        <w:rPr>
          <w:rFonts w:ascii="宋体" w:hAnsi="宋体"/>
          <w:strike/>
          <w:sz w:val="24"/>
          <w:szCs w:val="24"/>
        </w:rPr>
      </w:pPr>
      <w:r>
        <w:rPr>
          <w:rFonts w:ascii="宋体" w:hAnsi="宋体"/>
          <w:strike/>
          <w:sz w:val="24"/>
          <w:szCs w:val="24"/>
        </w:rPr>
        <w:t xml:space="preserve">3.6.2 </w:t>
      </w:r>
      <w:r>
        <w:rPr>
          <w:rFonts w:hint="eastAsia" w:ascii="宋体" w:hAnsi="宋体"/>
          <w:strike/>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宋体" w:hAnsi="宋体"/>
          <w:sz w:val="24"/>
          <w:szCs w:val="24"/>
        </w:rPr>
      </w:pPr>
      <w:r>
        <w:rPr>
          <w:rFonts w:ascii="宋体" w:hAnsi="宋体"/>
          <w:sz w:val="24"/>
          <w:szCs w:val="24"/>
        </w:rPr>
        <w:t xml:space="preserve">3.6.3 </w:t>
      </w:r>
      <w:r>
        <w:rPr>
          <w:rFonts w:hint="eastAsia" w:ascii="宋体" w:hAnsi="宋体"/>
          <w:sz w:val="24"/>
          <w:szCs w:val="24"/>
        </w:rPr>
        <w:t>投标人提供两个或两个以上投标报价，或者在投标文件中提供一个报价，但同时提供两个或两个以上监理方案的，视为提供备选方案。</w:t>
      </w:r>
    </w:p>
    <w:p>
      <w:pPr>
        <w:pStyle w:val="5"/>
        <w:spacing w:beforeLines="20" w:afterLines="20"/>
        <w:rPr>
          <w:rFonts w:ascii="宋体" w:hAnsi="宋体"/>
          <w:szCs w:val="24"/>
        </w:rPr>
      </w:pPr>
      <w:bookmarkStart w:id="50" w:name="_Toc517441194"/>
      <w:r>
        <w:rPr>
          <w:rFonts w:hint="eastAsia" w:ascii="宋体" w:hAnsi="宋体"/>
          <w:szCs w:val="24"/>
        </w:rPr>
        <w:t>3.7 投标文件的编制</w:t>
      </w:r>
      <w:bookmarkEnd w:id="50"/>
    </w:p>
    <w:p>
      <w:pPr>
        <w:spacing w:line="360" w:lineRule="auto"/>
        <w:ind w:firstLine="480" w:firstLineChars="200"/>
        <w:rPr>
          <w:rFonts w:ascii="宋体" w:hAnsi="宋体"/>
          <w:sz w:val="24"/>
          <w:szCs w:val="24"/>
        </w:rPr>
      </w:pPr>
      <w:r>
        <w:rPr>
          <w:rFonts w:hint="eastAsia" w:ascii="宋体" w:hAnsi="宋体"/>
          <w:sz w:val="24"/>
          <w:szCs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宋体" w:hAnsi="宋体"/>
          <w:sz w:val="24"/>
          <w:szCs w:val="24"/>
        </w:rPr>
      </w:pPr>
      <w:r>
        <w:rPr>
          <w:rFonts w:hint="eastAsia" w:ascii="宋体" w:hAnsi="宋体"/>
          <w:sz w:val="24"/>
          <w:szCs w:val="24"/>
        </w:rPr>
        <w:t>3.7.2 投标文件应当对招标文件有关监理服务期限、投标有效期、委托人要求、招标范围等实质性内容作出响应。</w:t>
      </w:r>
    </w:p>
    <w:p>
      <w:pPr>
        <w:spacing w:line="360" w:lineRule="auto"/>
        <w:ind w:firstLine="480" w:firstLineChars="200"/>
        <w:rPr>
          <w:rFonts w:ascii="宋体" w:hAnsi="宋体"/>
          <w:sz w:val="24"/>
          <w:szCs w:val="24"/>
        </w:rPr>
      </w:pPr>
      <w:r>
        <w:rPr>
          <w:rFonts w:hint="eastAsia" w:ascii="宋体" w:hAnsi="宋体"/>
          <w:sz w:val="24"/>
          <w:szCs w:val="24"/>
        </w:rPr>
        <w:t>3.7.3</w:t>
      </w:r>
      <w:r>
        <w:rPr>
          <w:rFonts w:hint="eastAsia" w:ascii="宋体" w:hAnsi="宋体"/>
          <w:strike/>
          <w:sz w:val="24"/>
          <w:szCs w:val="24"/>
        </w:rPr>
        <w:t>（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80" w:firstLineChars="200"/>
        <w:rPr>
          <w:rFonts w:ascii="宋体" w:hAnsi="宋体"/>
          <w:strike/>
          <w:sz w:val="24"/>
          <w:szCs w:val="24"/>
        </w:rPr>
      </w:pPr>
      <w:r>
        <w:rPr>
          <w:rFonts w:hint="eastAsia" w:ascii="宋体" w:hAnsi="宋体"/>
          <w:strike/>
          <w:sz w:val="24"/>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line="360" w:lineRule="auto"/>
        <w:ind w:firstLine="480" w:firstLineChars="200"/>
        <w:rPr>
          <w:rFonts w:ascii="宋体" w:hAnsi="宋体"/>
          <w:strike/>
          <w:sz w:val="24"/>
          <w:szCs w:val="24"/>
        </w:rPr>
      </w:pPr>
      <w:r>
        <w:rPr>
          <w:rFonts w:hint="eastAsia" w:ascii="宋体" w:hAnsi="宋体"/>
          <w:strike/>
          <w:sz w:val="24"/>
          <w:szCs w:val="24"/>
        </w:rPr>
        <w:t>（3）投标文件的正本与副本应分别装订，并编制目录，投标文件需分册装订的，具体分册装订要求见投标人须知前附表规定。</w:t>
      </w:r>
    </w:p>
    <w:p>
      <w:pPr>
        <w:spacing w:line="360" w:lineRule="auto"/>
        <w:ind w:firstLine="480" w:firstLineChars="200"/>
        <w:rPr>
          <w:rFonts w:ascii="宋体" w:hAnsi="宋体"/>
          <w:sz w:val="24"/>
          <w:szCs w:val="24"/>
        </w:rPr>
      </w:pPr>
      <w:r>
        <w:rPr>
          <w:rFonts w:hint="eastAsia" w:ascii="宋体" w:hAnsi="宋体"/>
          <w:sz w:val="24"/>
          <w:szCs w:val="24"/>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pStyle w:val="4"/>
        <w:rPr>
          <w:rFonts w:ascii="宋体" w:hAnsi="宋体" w:eastAsia="宋体"/>
        </w:rPr>
      </w:pPr>
      <w:bookmarkStart w:id="51" w:name="_Toc517441195"/>
      <w:r>
        <w:rPr>
          <w:rFonts w:hint="eastAsia" w:ascii="宋体" w:hAnsi="宋体" w:eastAsia="宋体"/>
        </w:rPr>
        <w:t>4. 投标</w:t>
      </w:r>
      <w:bookmarkEnd w:id="51"/>
    </w:p>
    <w:p>
      <w:pPr>
        <w:pStyle w:val="5"/>
        <w:spacing w:beforeLines="20" w:afterLines="20"/>
        <w:rPr>
          <w:rFonts w:ascii="宋体" w:hAnsi="宋体"/>
          <w:szCs w:val="24"/>
        </w:rPr>
      </w:pPr>
      <w:bookmarkStart w:id="52" w:name="_Toc517441196"/>
      <w:r>
        <w:rPr>
          <w:rFonts w:hint="eastAsia" w:ascii="宋体" w:hAnsi="宋体"/>
          <w:szCs w:val="24"/>
        </w:rPr>
        <w:t>4.1 投标文件的密封和标记</w:t>
      </w:r>
      <w:bookmarkEnd w:id="52"/>
      <w:r>
        <w:rPr>
          <w:rFonts w:hint="eastAsia" w:ascii="宋体" w:hAnsi="宋体"/>
          <w:szCs w:val="24"/>
        </w:rPr>
        <w:t>、</w:t>
      </w:r>
    </w:p>
    <w:p>
      <w:pPr>
        <w:spacing w:beforeLines="20" w:afterLines="20"/>
        <w:ind w:firstLine="600" w:firstLineChars="250"/>
        <w:rPr>
          <w:rFonts w:ascii="Calibri" w:hAnsi="Calibri"/>
          <w:sz w:val="24"/>
          <w:szCs w:val="24"/>
        </w:rPr>
      </w:pPr>
      <w:r>
        <w:rPr>
          <w:rFonts w:hint="eastAsia" w:ascii="宋体" w:hAnsi="宋体"/>
          <w:strike/>
          <w:sz w:val="24"/>
          <w:szCs w:val="24"/>
        </w:rPr>
        <w:t>4.1.1 （A）投标文件应密封包装，并在封套的封口处加盖投标人单位章或由投标人的法定代表人或其授权的代理人签字。</w:t>
      </w:r>
    </w:p>
    <w:p>
      <w:pPr>
        <w:spacing w:line="360" w:lineRule="auto"/>
        <w:ind w:firstLine="480" w:firstLineChars="200"/>
        <w:rPr>
          <w:rFonts w:ascii="宋体" w:hAnsi="宋体"/>
          <w:sz w:val="24"/>
          <w:szCs w:val="24"/>
        </w:rPr>
      </w:pPr>
      <w:r>
        <w:rPr>
          <w:rFonts w:hint="eastAsia" w:ascii="宋体" w:hAnsi="宋体"/>
          <w:sz w:val="24"/>
          <w:szCs w:val="24"/>
        </w:rPr>
        <w:t>4.1.1 （B）投标人应当按照招标文件和电子招标投标交易平台的要求加密投标文件，具体要求见投标人须知前附表。</w:t>
      </w:r>
    </w:p>
    <w:p>
      <w:pPr>
        <w:spacing w:line="360" w:lineRule="auto"/>
        <w:ind w:firstLine="480" w:firstLineChars="200"/>
        <w:rPr>
          <w:rFonts w:ascii="宋体" w:hAnsi="宋体"/>
          <w:sz w:val="24"/>
          <w:szCs w:val="24"/>
        </w:rPr>
      </w:pPr>
      <w:r>
        <w:rPr>
          <w:rFonts w:hint="eastAsia" w:ascii="宋体" w:hAnsi="宋体"/>
          <w:sz w:val="24"/>
          <w:szCs w:val="24"/>
        </w:rPr>
        <w:t>4.1.2 投标文件备用光盘封套上应写明的内容见投标人须知前附表。</w:t>
      </w:r>
    </w:p>
    <w:p>
      <w:pPr>
        <w:spacing w:line="360" w:lineRule="auto"/>
        <w:ind w:firstLine="480" w:firstLineChars="200"/>
        <w:rPr>
          <w:rFonts w:ascii="宋体" w:hAnsi="宋体"/>
          <w:sz w:val="24"/>
          <w:szCs w:val="24"/>
        </w:rPr>
      </w:pPr>
      <w:r>
        <w:rPr>
          <w:rFonts w:hint="eastAsia" w:ascii="宋体" w:hAnsi="宋体"/>
          <w:sz w:val="24"/>
          <w:szCs w:val="24"/>
        </w:rPr>
        <w:t>4.1.3 未按本章第 4.1.1 项要求密封的投标文件，招标人将予以拒收。</w:t>
      </w:r>
    </w:p>
    <w:p>
      <w:pPr>
        <w:pStyle w:val="5"/>
        <w:spacing w:beforeLines="20" w:afterLines="20"/>
        <w:rPr>
          <w:rFonts w:ascii="宋体" w:hAnsi="宋体"/>
          <w:szCs w:val="24"/>
        </w:rPr>
      </w:pPr>
      <w:bookmarkStart w:id="53" w:name="_Toc517441197"/>
      <w:r>
        <w:rPr>
          <w:rFonts w:hint="eastAsia" w:ascii="宋体" w:hAnsi="宋体"/>
          <w:szCs w:val="24"/>
        </w:rPr>
        <w:t>4.2 投标文件的递交</w:t>
      </w:r>
      <w:bookmarkEnd w:id="53"/>
    </w:p>
    <w:p>
      <w:pPr>
        <w:spacing w:line="360" w:lineRule="auto"/>
        <w:ind w:firstLine="480" w:firstLineChars="200"/>
        <w:rPr>
          <w:rFonts w:ascii="宋体" w:hAnsi="宋体"/>
          <w:sz w:val="24"/>
          <w:szCs w:val="24"/>
        </w:rPr>
      </w:pPr>
      <w:r>
        <w:rPr>
          <w:rFonts w:hint="eastAsia" w:ascii="宋体" w:hAnsi="宋体"/>
          <w:sz w:val="24"/>
          <w:szCs w:val="24"/>
        </w:rPr>
        <w:t>4.2.1 投标人应在投标人须知前附表规定的投标截止时间前递交投标文件。</w:t>
      </w:r>
    </w:p>
    <w:p>
      <w:pPr>
        <w:spacing w:line="360" w:lineRule="auto"/>
        <w:ind w:firstLine="480" w:firstLineChars="200"/>
        <w:rPr>
          <w:rFonts w:ascii="宋体" w:hAnsi="宋体"/>
          <w:sz w:val="24"/>
          <w:szCs w:val="24"/>
        </w:rPr>
      </w:pPr>
      <w:r>
        <w:rPr>
          <w:rFonts w:hint="eastAsia" w:ascii="宋体" w:hAnsi="宋体"/>
          <w:strike/>
          <w:sz w:val="24"/>
          <w:szCs w:val="24"/>
        </w:rPr>
        <w:t>4.2.2 （A）投标人递交投标文件的地点：见投标人须知前附表。</w:t>
      </w:r>
    </w:p>
    <w:p>
      <w:pPr>
        <w:spacing w:line="360" w:lineRule="auto"/>
        <w:ind w:firstLine="480" w:firstLineChars="200"/>
        <w:rPr>
          <w:rFonts w:ascii="宋体" w:hAnsi="宋体"/>
          <w:sz w:val="24"/>
          <w:szCs w:val="24"/>
        </w:rPr>
      </w:pPr>
      <w:r>
        <w:rPr>
          <w:rFonts w:hint="eastAsia" w:ascii="宋体" w:hAnsi="宋体"/>
          <w:sz w:val="24"/>
          <w:szCs w:val="24"/>
        </w:rPr>
        <w:t>4.2.2 （B）投标人通过下载招标文件的电子招标投标交易平台递交电子投标文件。</w:t>
      </w:r>
    </w:p>
    <w:p>
      <w:pPr>
        <w:spacing w:line="360" w:lineRule="auto"/>
        <w:ind w:firstLine="480" w:firstLineChars="200"/>
        <w:rPr>
          <w:rFonts w:ascii="宋体" w:hAnsi="宋体"/>
          <w:sz w:val="24"/>
          <w:szCs w:val="24"/>
        </w:rPr>
      </w:pPr>
      <w:r>
        <w:rPr>
          <w:rFonts w:hint="eastAsia" w:ascii="宋体" w:hAnsi="宋体"/>
          <w:sz w:val="24"/>
          <w:szCs w:val="24"/>
        </w:rPr>
        <w:t>4.2.3 除投标人须知前附表另有规定外，投标人所递交的投标文件不予退还。</w:t>
      </w:r>
    </w:p>
    <w:p>
      <w:pPr>
        <w:spacing w:line="360" w:lineRule="auto"/>
        <w:ind w:firstLine="480" w:firstLineChars="200"/>
        <w:rPr>
          <w:rFonts w:ascii="宋体" w:hAnsi="宋体"/>
          <w:sz w:val="24"/>
          <w:szCs w:val="24"/>
        </w:rPr>
      </w:pPr>
      <w:r>
        <w:rPr>
          <w:rFonts w:hint="eastAsia" w:ascii="宋体" w:hAnsi="宋体"/>
          <w:strike/>
          <w:sz w:val="24"/>
          <w:szCs w:val="24"/>
        </w:rPr>
        <w:t>4.2.4 （A）招标人收到投标文件后，向投标人出具签收凭证。</w:t>
      </w:r>
    </w:p>
    <w:p>
      <w:pPr>
        <w:spacing w:line="360" w:lineRule="auto"/>
        <w:ind w:firstLine="480" w:firstLineChars="200"/>
        <w:rPr>
          <w:rFonts w:ascii="宋体" w:hAnsi="宋体"/>
          <w:sz w:val="24"/>
          <w:szCs w:val="24"/>
        </w:rPr>
      </w:pPr>
      <w:r>
        <w:rPr>
          <w:rFonts w:hint="eastAsia" w:ascii="宋体" w:hAnsi="宋体"/>
          <w:sz w:val="24"/>
          <w:szCs w:val="24"/>
        </w:rPr>
        <w:t>4.2.4 （B）投标人完成电子投标文件上传后，电子招标投标交易平台即时向投标人发出递交回执通知。递交时间以递交回执通知载明的传输完成时间为准。</w:t>
      </w:r>
    </w:p>
    <w:p>
      <w:pPr>
        <w:spacing w:line="360" w:lineRule="auto"/>
        <w:ind w:firstLine="480" w:firstLineChars="200"/>
        <w:rPr>
          <w:rFonts w:ascii="宋体" w:hAnsi="宋体"/>
          <w:sz w:val="24"/>
          <w:szCs w:val="24"/>
        </w:rPr>
      </w:pPr>
      <w:r>
        <w:rPr>
          <w:rFonts w:hint="eastAsia" w:ascii="宋体" w:hAnsi="宋体"/>
          <w:strike/>
          <w:sz w:val="24"/>
          <w:szCs w:val="24"/>
        </w:rPr>
        <w:t>4.2.5 （A）逾期送达的投标文件，招标人将予以拒收。</w:t>
      </w:r>
    </w:p>
    <w:p>
      <w:pPr>
        <w:spacing w:line="360" w:lineRule="auto"/>
        <w:ind w:firstLine="480" w:firstLineChars="200"/>
        <w:rPr>
          <w:rFonts w:ascii="宋体" w:hAnsi="宋体"/>
          <w:sz w:val="24"/>
          <w:szCs w:val="24"/>
        </w:rPr>
      </w:pPr>
      <w:r>
        <w:rPr>
          <w:rFonts w:hint="eastAsia" w:ascii="宋体" w:hAnsi="宋体"/>
          <w:sz w:val="24"/>
          <w:szCs w:val="24"/>
        </w:rPr>
        <w:t>4.2.5 （B）逾期送达的投标文件，电子招标投标交易平台将予以拒收。</w:t>
      </w:r>
    </w:p>
    <w:p>
      <w:pPr>
        <w:pStyle w:val="5"/>
        <w:spacing w:beforeLines="20" w:afterLines="20"/>
        <w:rPr>
          <w:rFonts w:ascii="宋体" w:hAnsi="宋体"/>
          <w:szCs w:val="24"/>
        </w:rPr>
      </w:pPr>
      <w:bookmarkStart w:id="54" w:name="_Toc517441198"/>
      <w:r>
        <w:rPr>
          <w:rFonts w:hint="eastAsia" w:ascii="宋体" w:hAnsi="宋体"/>
          <w:szCs w:val="24"/>
        </w:rPr>
        <w:t>4.3 投标文件的修改与撤回</w:t>
      </w:r>
      <w:bookmarkEnd w:id="54"/>
    </w:p>
    <w:p>
      <w:pPr>
        <w:spacing w:line="360" w:lineRule="auto"/>
        <w:ind w:firstLine="480" w:firstLineChars="200"/>
        <w:rPr>
          <w:rFonts w:ascii="宋体" w:hAnsi="宋体"/>
          <w:sz w:val="24"/>
          <w:szCs w:val="24"/>
        </w:rPr>
      </w:pPr>
      <w:r>
        <w:rPr>
          <w:rFonts w:hint="eastAsia" w:ascii="宋体" w:hAnsi="宋体"/>
          <w:sz w:val="24"/>
          <w:szCs w:val="24"/>
        </w:rPr>
        <w:t>4.3.1 在本章第 4.2.1 项规定的投标截止时间前，投标人可以修改或撤回已递交的投标文件，但应以书面形式通知招标人。</w:t>
      </w:r>
    </w:p>
    <w:p>
      <w:pPr>
        <w:spacing w:line="360" w:lineRule="auto"/>
        <w:ind w:firstLine="480" w:firstLineChars="200"/>
        <w:rPr>
          <w:rFonts w:ascii="宋体" w:hAnsi="宋体"/>
          <w:sz w:val="24"/>
          <w:szCs w:val="24"/>
        </w:rPr>
      </w:pPr>
      <w:r>
        <w:rPr>
          <w:rFonts w:hint="eastAsia" w:ascii="宋体" w:hAnsi="宋体"/>
          <w:strike/>
          <w:sz w:val="24"/>
          <w:szCs w:val="24"/>
        </w:rPr>
        <w:t>4.3.2 （A）投标人修改或撤回已递交投标文件的书面通知应按照本章第 3.7.3（A）项的要求签字或盖章。招标人收到书面通知后，向投标人出具签收凭证。</w:t>
      </w:r>
    </w:p>
    <w:p>
      <w:pPr>
        <w:spacing w:line="360" w:lineRule="auto"/>
        <w:ind w:firstLine="480" w:firstLineChars="200"/>
        <w:rPr>
          <w:rFonts w:ascii="宋体" w:hAnsi="宋体"/>
          <w:sz w:val="24"/>
          <w:szCs w:val="24"/>
        </w:rPr>
      </w:pPr>
      <w:r>
        <w:rPr>
          <w:rFonts w:hint="eastAsia" w:ascii="宋体" w:hAnsi="宋体"/>
          <w:sz w:val="24"/>
          <w:szCs w:val="24"/>
        </w:rPr>
        <w:t>4.3.2 （B）投标人修改或撤回已递交投标文件的通知，应按照本章第 3.7.3（B）项的要求加盖电子印章。电子招标投标交易平台收到通知后，即时向投标人发出确认回执通知。</w:t>
      </w:r>
    </w:p>
    <w:p>
      <w:pPr>
        <w:spacing w:line="360" w:lineRule="auto"/>
        <w:ind w:firstLine="480" w:firstLineChars="200"/>
        <w:rPr>
          <w:rFonts w:ascii="宋体" w:hAnsi="宋体"/>
          <w:sz w:val="24"/>
          <w:szCs w:val="24"/>
        </w:rPr>
      </w:pPr>
      <w:r>
        <w:rPr>
          <w:rFonts w:ascii="宋体" w:hAnsi="宋体"/>
          <w:strike/>
          <w:sz w:val="24"/>
          <w:szCs w:val="24"/>
        </w:rPr>
        <w:t xml:space="preserve">4.3.3 </w:t>
      </w:r>
      <w:r>
        <w:rPr>
          <w:rFonts w:hint="eastAsia" w:ascii="宋体" w:hAnsi="宋体"/>
          <w:strike/>
          <w:sz w:val="24"/>
          <w:szCs w:val="24"/>
        </w:rPr>
        <w:t>投标人撤回投标文件的，招标人自收到投标人书面撤回通知之日起</w:t>
      </w:r>
      <w:r>
        <w:rPr>
          <w:rFonts w:ascii="宋体" w:hAnsi="宋体"/>
          <w:strike/>
          <w:sz w:val="24"/>
          <w:szCs w:val="24"/>
        </w:rPr>
        <w:t xml:space="preserve"> 5 </w:t>
      </w:r>
      <w:r>
        <w:rPr>
          <w:rFonts w:hint="eastAsia" w:ascii="宋体" w:hAnsi="宋体"/>
          <w:strike/>
          <w:sz w:val="24"/>
          <w:szCs w:val="24"/>
        </w:rPr>
        <w:t>日内退还已收取的投标保证金</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4.3.4 修改的内容为投标文件的组成部分。修改的投标文件应按照本章第 3 条、第 4 条的规定进行编制、密封、标记和递交，并标明“修改”字样。</w:t>
      </w:r>
    </w:p>
    <w:p>
      <w:pPr>
        <w:pStyle w:val="4"/>
        <w:rPr>
          <w:rFonts w:ascii="宋体" w:hAnsi="宋体" w:eastAsia="宋体"/>
        </w:rPr>
      </w:pPr>
      <w:bookmarkStart w:id="55" w:name="_Toc517441199"/>
      <w:r>
        <w:rPr>
          <w:rFonts w:hint="eastAsia" w:ascii="宋体" w:hAnsi="宋体" w:eastAsia="宋体"/>
        </w:rPr>
        <w:t>5. 开标</w:t>
      </w:r>
      <w:bookmarkEnd w:id="55"/>
    </w:p>
    <w:p>
      <w:pPr>
        <w:pStyle w:val="5"/>
        <w:rPr>
          <w:rFonts w:ascii="宋体" w:hAnsi="宋体"/>
          <w:strike/>
          <w:szCs w:val="24"/>
        </w:rPr>
      </w:pPr>
      <w:bookmarkStart w:id="56" w:name="_Toc517441200"/>
      <w:r>
        <w:rPr>
          <w:rFonts w:hint="eastAsia" w:ascii="宋体" w:hAnsi="宋体"/>
          <w:strike/>
          <w:szCs w:val="24"/>
        </w:rPr>
        <w:t>5.1 开标时间和地点（A）</w:t>
      </w:r>
      <w:bookmarkEnd w:id="56"/>
    </w:p>
    <w:p>
      <w:pPr>
        <w:spacing w:line="360" w:lineRule="auto"/>
        <w:ind w:firstLine="480" w:firstLineChars="200"/>
        <w:rPr>
          <w:rFonts w:ascii="Calibri" w:hAnsi="Calibri"/>
          <w:sz w:val="24"/>
          <w:szCs w:val="24"/>
        </w:rPr>
      </w:pPr>
      <w:r>
        <w:rPr>
          <w:rFonts w:hint="eastAsia" w:ascii="宋体" w:hAnsi="宋体"/>
          <w:strike/>
          <w:sz w:val="24"/>
          <w:szCs w:val="24"/>
        </w:rPr>
        <w:t>招标人在本章第 4.2.1 项规定的投标截止时间（开标时间）和投标人须知前附表规定的地点公开开标，并邀请所有投标人的法定代表人或其委托代理人准时参加。</w:t>
      </w:r>
    </w:p>
    <w:p>
      <w:pPr>
        <w:pStyle w:val="5"/>
        <w:rPr>
          <w:rFonts w:ascii="宋体" w:hAnsi="宋体"/>
          <w:szCs w:val="24"/>
        </w:rPr>
      </w:pPr>
      <w:bookmarkStart w:id="57" w:name="_Toc517441201"/>
      <w:r>
        <w:rPr>
          <w:rFonts w:hint="eastAsia" w:ascii="宋体" w:hAnsi="宋体"/>
          <w:szCs w:val="24"/>
        </w:rPr>
        <w:t>5.1 开标时间和地点（B）</w:t>
      </w:r>
      <w:bookmarkEnd w:id="57"/>
    </w:p>
    <w:p>
      <w:pPr>
        <w:spacing w:line="360" w:lineRule="auto"/>
        <w:ind w:firstLine="480" w:firstLineChars="200"/>
        <w:rPr>
          <w:rFonts w:ascii="宋体" w:hAnsi="宋体"/>
          <w:sz w:val="24"/>
          <w:szCs w:val="24"/>
        </w:rPr>
      </w:pPr>
      <w:r>
        <w:rPr>
          <w:rFonts w:hint="eastAsia" w:ascii="宋体" w:hAnsi="宋体"/>
          <w:sz w:val="24"/>
          <w:szCs w:val="24"/>
        </w:rPr>
        <w:t>招标人在本章第 4.2.1 项规定的投标截止时间（开标时间）,通过电子招标投标交易平台公开开标，</w:t>
      </w:r>
      <w:r>
        <w:rPr>
          <w:rFonts w:hint="eastAsia" w:ascii="宋体" w:hAnsi="宋体"/>
          <w:sz w:val="24"/>
          <w:szCs w:val="24"/>
          <w:u w:val="single"/>
        </w:rPr>
        <w:t>开标时，投标人代表有权出席开标会，也可以自主决定不参加开标会，</w:t>
      </w:r>
      <w:r>
        <w:rPr>
          <w:rFonts w:hint="eastAsia" w:ascii="宋体" w:hAnsi="宋体"/>
          <w:sz w:val="24"/>
          <w:szCs w:val="24"/>
        </w:rPr>
        <w:t>不参加开标会视为对开标过程无异议。</w:t>
      </w:r>
    </w:p>
    <w:p>
      <w:pPr>
        <w:pStyle w:val="5"/>
        <w:rPr>
          <w:rFonts w:ascii="宋体" w:hAnsi="宋体"/>
          <w:szCs w:val="24"/>
        </w:rPr>
      </w:pPr>
      <w:bookmarkStart w:id="58" w:name="_Toc517441202"/>
      <w:r>
        <w:rPr>
          <w:rFonts w:hint="eastAsia" w:ascii="宋体" w:hAnsi="宋体"/>
          <w:szCs w:val="24"/>
        </w:rPr>
        <w:t>5.2 开标程序</w:t>
      </w:r>
      <w:bookmarkEnd w:id="58"/>
    </w:p>
    <w:p>
      <w:pPr>
        <w:spacing w:line="360" w:lineRule="auto"/>
        <w:ind w:firstLine="480" w:firstLineChars="200"/>
        <w:rPr>
          <w:rFonts w:ascii="宋体" w:hAnsi="宋体"/>
          <w:sz w:val="24"/>
          <w:szCs w:val="24"/>
          <w:u w:val="single"/>
        </w:rPr>
      </w:pPr>
      <w:r>
        <w:rPr>
          <w:rFonts w:hint="eastAsia" w:ascii="宋体" w:hAnsi="宋体"/>
          <w:sz w:val="24"/>
          <w:szCs w:val="24"/>
        </w:rPr>
        <w:t>主持人按下列程序进行开标：</w:t>
      </w:r>
      <w:r>
        <w:rPr>
          <w:rFonts w:hint="eastAsia" w:ascii="宋体" w:hAnsi="宋体"/>
          <w:sz w:val="24"/>
          <w:szCs w:val="24"/>
          <w:u w:val="single"/>
        </w:rPr>
        <w:t>详见《投标人须知前附表》</w:t>
      </w:r>
    </w:p>
    <w:p>
      <w:pPr>
        <w:pStyle w:val="5"/>
        <w:spacing w:beforeLines="20" w:afterLines="20"/>
        <w:rPr>
          <w:rFonts w:ascii="宋体" w:hAnsi="宋体"/>
          <w:szCs w:val="24"/>
        </w:rPr>
      </w:pPr>
      <w:bookmarkStart w:id="59" w:name="_Toc517441203"/>
      <w:r>
        <w:rPr>
          <w:rFonts w:hint="eastAsia" w:ascii="宋体" w:hAnsi="宋体"/>
          <w:szCs w:val="24"/>
        </w:rPr>
        <w:t>5.3 开标异议</w:t>
      </w:r>
      <w:bookmarkEnd w:id="59"/>
    </w:p>
    <w:p>
      <w:pPr>
        <w:spacing w:line="360" w:lineRule="auto"/>
        <w:ind w:firstLine="480" w:firstLineChars="200"/>
        <w:rPr>
          <w:rFonts w:ascii="宋体" w:hAnsi="宋体"/>
          <w:sz w:val="24"/>
          <w:szCs w:val="24"/>
        </w:rPr>
      </w:pPr>
      <w:r>
        <w:rPr>
          <w:rFonts w:hint="eastAsia" w:ascii="宋体" w:hAnsi="宋体"/>
          <w:sz w:val="24"/>
          <w:szCs w:val="24"/>
        </w:rPr>
        <w:t>投标人对开标有异议的，应当在开标现场提出，招标人当场作出答复，并制作记录。</w:t>
      </w:r>
    </w:p>
    <w:p>
      <w:pPr>
        <w:pStyle w:val="5"/>
        <w:spacing w:beforeLines="20" w:afterLines="20"/>
        <w:rPr>
          <w:rFonts w:ascii="宋体" w:hAnsi="宋体"/>
          <w:szCs w:val="24"/>
        </w:rPr>
      </w:pPr>
      <w:bookmarkStart w:id="60" w:name="_Toc517441204"/>
      <w:r>
        <w:rPr>
          <w:rFonts w:hint="eastAsia" w:ascii="宋体" w:hAnsi="宋体"/>
          <w:szCs w:val="24"/>
        </w:rPr>
        <w:t>6. 评标</w:t>
      </w:r>
      <w:bookmarkEnd w:id="60"/>
    </w:p>
    <w:p>
      <w:pPr>
        <w:pStyle w:val="5"/>
        <w:spacing w:beforeLines="20" w:afterLines="20"/>
        <w:rPr>
          <w:rFonts w:ascii="宋体" w:hAnsi="宋体"/>
          <w:szCs w:val="24"/>
        </w:rPr>
      </w:pPr>
      <w:bookmarkStart w:id="61" w:name="_Toc517441205"/>
      <w:r>
        <w:rPr>
          <w:rFonts w:hint="eastAsia" w:ascii="宋体" w:hAnsi="宋体"/>
          <w:szCs w:val="24"/>
        </w:rPr>
        <w:t>6.1 评标委员会</w:t>
      </w:r>
      <w:bookmarkEnd w:id="61"/>
    </w:p>
    <w:p>
      <w:pPr>
        <w:spacing w:line="360" w:lineRule="auto"/>
        <w:ind w:firstLine="480" w:firstLineChars="200"/>
        <w:rPr>
          <w:rFonts w:ascii="宋体" w:hAnsi="宋体"/>
          <w:sz w:val="24"/>
          <w:szCs w:val="24"/>
        </w:rPr>
      </w:pPr>
      <w:r>
        <w:rPr>
          <w:rFonts w:hint="eastAsia" w:ascii="宋体" w:hAnsi="宋体"/>
          <w:sz w:val="24"/>
          <w:szCs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宋体" w:hAnsi="宋体"/>
          <w:sz w:val="24"/>
          <w:szCs w:val="24"/>
        </w:rPr>
      </w:pPr>
      <w:r>
        <w:rPr>
          <w:rFonts w:hint="eastAsia" w:ascii="宋体" w:hAnsi="宋体"/>
          <w:sz w:val="24"/>
          <w:szCs w:val="24"/>
        </w:rPr>
        <w:t>6.1.2 评标委员会成员有下列情形之一的，应当回避：</w:t>
      </w:r>
    </w:p>
    <w:p>
      <w:pPr>
        <w:spacing w:line="360" w:lineRule="auto"/>
        <w:ind w:firstLine="480" w:firstLineChars="200"/>
        <w:rPr>
          <w:rFonts w:ascii="宋体" w:hAnsi="宋体"/>
          <w:sz w:val="24"/>
          <w:szCs w:val="24"/>
        </w:rPr>
      </w:pPr>
      <w:r>
        <w:rPr>
          <w:rFonts w:hint="eastAsia" w:ascii="宋体" w:hAnsi="宋体"/>
          <w:sz w:val="24"/>
          <w:szCs w:val="24"/>
        </w:rPr>
        <w:t>（1）投标人或投标人主要负责人的近亲属；</w:t>
      </w:r>
    </w:p>
    <w:p>
      <w:pPr>
        <w:spacing w:line="360" w:lineRule="auto"/>
        <w:ind w:firstLine="480" w:firstLineChars="200"/>
        <w:rPr>
          <w:rFonts w:ascii="宋体" w:hAnsi="宋体"/>
          <w:sz w:val="24"/>
          <w:szCs w:val="24"/>
        </w:rPr>
      </w:pPr>
      <w:r>
        <w:rPr>
          <w:rFonts w:hint="eastAsia" w:ascii="宋体" w:hAnsi="宋体"/>
          <w:sz w:val="24"/>
          <w:szCs w:val="24"/>
        </w:rPr>
        <w:t>（2）项目主管部门或者行政监督部门的人员；</w:t>
      </w:r>
    </w:p>
    <w:p>
      <w:pPr>
        <w:spacing w:line="360" w:lineRule="auto"/>
        <w:ind w:firstLine="480" w:firstLineChars="200"/>
        <w:rPr>
          <w:rFonts w:ascii="宋体" w:hAnsi="宋体"/>
          <w:sz w:val="24"/>
          <w:szCs w:val="24"/>
        </w:rPr>
      </w:pPr>
      <w:r>
        <w:rPr>
          <w:rFonts w:hint="eastAsia" w:ascii="宋体" w:hAnsi="宋体"/>
          <w:sz w:val="24"/>
          <w:szCs w:val="24"/>
        </w:rPr>
        <w:t>（3）与投标人有经济利益关系，可能影响对投标公正评审的；</w:t>
      </w:r>
    </w:p>
    <w:p>
      <w:pPr>
        <w:spacing w:line="360" w:lineRule="auto"/>
        <w:ind w:firstLine="480" w:firstLineChars="200"/>
        <w:rPr>
          <w:rFonts w:ascii="宋体" w:hAnsi="宋体"/>
          <w:sz w:val="24"/>
          <w:szCs w:val="24"/>
        </w:rPr>
      </w:pPr>
      <w:r>
        <w:rPr>
          <w:rFonts w:hint="eastAsia" w:ascii="宋体" w:hAnsi="宋体"/>
          <w:sz w:val="24"/>
          <w:szCs w:val="24"/>
        </w:rPr>
        <w:t>（4）曾因在招标、评标以及其他与招标投标有关活动中从事违法行为而受过行政处罚或刑事处罚的；</w:t>
      </w:r>
    </w:p>
    <w:p>
      <w:pPr>
        <w:spacing w:line="360" w:lineRule="auto"/>
        <w:ind w:firstLine="480" w:firstLineChars="200"/>
        <w:rPr>
          <w:rFonts w:ascii="宋体" w:hAnsi="宋体"/>
          <w:sz w:val="24"/>
          <w:szCs w:val="24"/>
        </w:rPr>
      </w:pPr>
      <w:r>
        <w:rPr>
          <w:rFonts w:hint="eastAsia" w:ascii="宋体" w:hAnsi="宋体"/>
          <w:sz w:val="24"/>
          <w:szCs w:val="24"/>
        </w:rPr>
        <w:t>（5）与投标人有其他利害关系。</w:t>
      </w:r>
    </w:p>
    <w:p>
      <w:pPr>
        <w:spacing w:line="360" w:lineRule="auto"/>
        <w:ind w:firstLine="480" w:firstLineChars="200"/>
        <w:rPr>
          <w:rFonts w:ascii="宋体" w:hAnsi="宋体"/>
          <w:sz w:val="24"/>
          <w:szCs w:val="24"/>
        </w:rPr>
      </w:pPr>
      <w:r>
        <w:rPr>
          <w:rFonts w:hint="eastAsia" w:ascii="宋体" w:hAnsi="宋体"/>
          <w:sz w:val="24"/>
          <w:szCs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spacing w:beforeLines="20" w:afterLines="20"/>
        <w:rPr>
          <w:rFonts w:ascii="宋体" w:hAnsi="宋体"/>
          <w:szCs w:val="24"/>
        </w:rPr>
      </w:pPr>
      <w:bookmarkStart w:id="62" w:name="_Toc517441206"/>
      <w:r>
        <w:rPr>
          <w:rFonts w:hint="eastAsia" w:ascii="宋体" w:hAnsi="宋体"/>
          <w:szCs w:val="24"/>
        </w:rPr>
        <w:t>6.2 评标原则</w:t>
      </w:r>
      <w:bookmarkEnd w:id="62"/>
    </w:p>
    <w:p>
      <w:pPr>
        <w:spacing w:line="360" w:lineRule="auto"/>
        <w:ind w:firstLine="480" w:firstLineChars="200"/>
        <w:rPr>
          <w:rFonts w:ascii="宋体" w:hAnsi="宋体"/>
          <w:sz w:val="24"/>
          <w:szCs w:val="24"/>
        </w:rPr>
      </w:pPr>
      <w:r>
        <w:rPr>
          <w:rFonts w:hint="eastAsia" w:ascii="宋体" w:hAnsi="宋体"/>
          <w:sz w:val="24"/>
          <w:szCs w:val="24"/>
        </w:rPr>
        <w:t>评标活动遵循公平、公正、科学和择优的原则。</w:t>
      </w:r>
    </w:p>
    <w:p>
      <w:pPr>
        <w:pStyle w:val="5"/>
        <w:spacing w:beforeLines="20" w:afterLines="20"/>
        <w:rPr>
          <w:rFonts w:ascii="宋体" w:hAnsi="宋体"/>
          <w:szCs w:val="24"/>
        </w:rPr>
      </w:pPr>
      <w:bookmarkStart w:id="63" w:name="_Toc517441207"/>
      <w:r>
        <w:rPr>
          <w:rFonts w:hint="eastAsia" w:ascii="宋体" w:hAnsi="宋体"/>
          <w:szCs w:val="24"/>
        </w:rPr>
        <w:t>6.3 评标</w:t>
      </w:r>
      <w:bookmarkEnd w:id="63"/>
    </w:p>
    <w:p>
      <w:pPr>
        <w:spacing w:line="360" w:lineRule="auto"/>
        <w:ind w:firstLine="480" w:firstLineChars="200"/>
        <w:rPr>
          <w:rFonts w:ascii="宋体" w:hAnsi="宋体"/>
          <w:sz w:val="24"/>
          <w:szCs w:val="24"/>
        </w:rPr>
      </w:pPr>
      <w:r>
        <w:rPr>
          <w:rFonts w:hint="eastAsia" w:ascii="宋体" w:hAnsi="宋体"/>
          <w:sz w:val="24"/>
          <w:szCs w:val="24"/>
        </w:rPr>
        <w:t>6.3.1 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ascii="宋体" w:hAnsi="宋体"/>
          <w:sz w:val="24"/>
          <w:szCs w:val="24"/>
        </w:rPr>
      </w:pPr>
      <w:r>
        <w:rPr>
          <w:rFonts w:hint="eastAsia" w:ascii="宋体" w:hAnsi="宋体"/>
          <w:sz w:val="24"/>
          <w:szCs w:val="24"/>
        </w:rPr>
        <w:t>6.3.2 评标完成后，评标委员会应当向招标人提交书面评标报告和中标候选人名单。评标委员会推荐中标候选人的人数见投标人须知前附表。</w:t>
      </w:r>
    </w:p>
    <w:p>
      <w:pPr>
        <w:pStyle w:val="4"/>
        <w:rPr>
          <w:rFonts w:ascii="宋体" w:hAnsi="宋体" w:eastAsia="宋体"/>
        </w:rPr>
      </w:pPr>
      <w:bookmarkStart w:id="64" w:name="_Toc517441208"/>
      <w:r>
        <w:rPr>
          <w:rFonts w:hint="eastAsia" w:ascii="宋体" w:hAnsi="宋体" w:eastAsia="宋体"/>
        </w:rPr>
        <w:t>7. 合同授予</w:t>
      </w:r>
      <w:bookmarkEnd w:id="64"/>
    </w:p>
    <w:p>
      <w:pPr>
        <w:pStyle w:val="5"/>
        <w:spacing w:beforeLines="20" w:afterLines="20"/>
        <w:rPr>
          <w:rFonts w:ascii="宋体" w:hAnsi="宋体"/>
          <w:szCs w:val="24"/>
        </w:rPr>
      </w:pPr>
      <w:bookmarkStart w:id="65" w:name="_Toc517441209"/>
      <w:r>
        <w:rPr>
          <w:rFonts w:hint="eastAsia" w:ascii="宋体" w:hAnsi="宋体"/>
          <w:szCs w:val="24"/>
        </w:rPr>
        <w:t>7.1 中标候选人公示</w:t>
      </w:r>
      <w:bookmarkEnd w:id="65"/>
    </w:p>
    <w:p>
      <w:pPr>
        <w:spacing w:line="360" w:lineRule="auto"/>
        <w:ind w:firstLine="480" w:firstLineChars="200"/>
        <w:rPr>
          <w:rFonts w:ascii="宋体" w:hAnsi="宋体"/>
          <w:sz w:val="24"/>
          <w:szCs w:val="24"/>
          <w:u w:val="single"/>
        </w:rPr>
      </w:pPr>
      <w:r>
        <w:rPr>
          <w:rFonts w:hint="eastAsia" w:ascii="宋体" w:hAnsi="宋体"/>
          <w:sz w:val="24"/>
          <w:szCs w:val="24"/>
        </w:rPr>
        <w:t>招标人在收到评标报告之日起 3 日内，按照投标人须知前附表规定的公示媒介和期限公示中标候选人，公示期不得少于 3 天。</w:t>
      </w:r>
      <w:r>
        <w:rPr>
          <w:rFonts w:hint="eastAsia" w:ascii="宋体" w:hAnsi="宋体"/>
          <w:sz w:val="24"/>
          <w:szCs w:val="24"/>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5"/>
        <w:spacing w:beforeLines="20" w:afterLines="20"/>
        <w:rPr>
          <w:rFonts w:ascii="宋体" w:hAnsi="宋体"/>
          <w:szCs w:val="24"/>
        </w:rPr>
      </w:pPr>
      <w:bookmarkStart w:id="66" w:name="_Toc517441210"/>
      <w:r>
        <w:rPr>
          <w:rFonts w:hint="eastAsia" w:ascii="宋体" w:hAnsi="宋体"/>
          <w:szCs w:val="24"/>
        </w:rPr>
        <w:t>7.2 评标结果异议</w:t>
      </w:r>
      <w:bookmarkEnd w:id="66"/>
    </w:p>
    <w:p>
      <w:pPr>
        <w:spacing w:line="360" w:lineRule="auto"/>
        <w:ind w:firstLine="480" w:firstLineChars="200"/>
        <w:rPr>
          <w:rFonts w:ascii="宋体" w:hAnsi="宋体"/>
          <w:sz w:val="24"/>
          <w:szCs w:val="24"/>
        </w:rPr>
      </w:pPr>
      <w:r>
        <w:rPr>
          <w:rFonts w:hint="eastAsia" w:ascii="宋体" w:hAnsi="宋体"/>
          <w:sz w:val="24"/>
          <w:szCs w:val="24"/>
        </w:rPr>
        <w:t>投标人或者其他利害关系人对评标结果有异议的，应当在中标候选人公示期间提出。招标人将在收到异议之日起 3 日内作出答复；作出答复前，将暂停招标投标活动。</w:t>
      </w:r>
    </w:p>
    <w:p>
      <w:pPr>
        <w:pStyle w:val="5"/>
        <w:spacing w:beforeLines="20" w:afterLines="20"/>
        <w:rPr>
          <w:rFonts w:ascii="宋体" w:hAnsi="宋体"/>
          <w:szCs w:val="24"/>
        </w:rPr>
      </w:pPr>
      <w:bookmarkStart w:id="67" w:name="_Toc517441211"/>
      <w:r>
        <w:rPr>
          <w:rFonts w:hint="eastAsia" w:ascii="宋体" w:hAnsi="宋体"/>
          <w:szCs w:val="24"/>
        </w:rPr>
        <w:t>7.3 中标候选人履约能力审查</w:t>
      </w:r>
      <w:bookmarkEnd w:id="67"/>
    </w:p>
    <w:p>
      <w:pPr>
        <w:spacing w:line="360" w:lineRule="auto"/>
        <w:ind w:firstLine="480" w:firstLineChars="200"/>
        <w:rPr>
          <w:rFonts w:ascii="宋体" w:hAnsi="宋体"/>
          <w:sz w:val="24"/>
          <w:szCs w:val="24"/>
        </w:rPr>
      </w:pPr>
      <w:r>
        <w:rPr>
          <w:rFonts w:hint="eastAsia" w:ascii="宋体" w:hAnsi="宋体"/>
          <w:sz w:val="24"/>
          <w:szCs w:val="24"/>
        </w:rPr>
        <w:t>中标候选人的经营、财务状况发生较大变化或存在违法行为，招标人认为可能影响其履约 能力的，将在发出中标通知书前提请原评标委员会按照招标文件规定的标准和方法进行审查确认。</w:t>
      </w:r>
    </w:p>
    <w:p>
      <w:pPr>
        <w:pStyle w:val="5"/>
        <w:spacing w:beforeLines="20" w:afterLines="20"/>
        <w:rPr>
          <w:rFonts w:ascii="宋体" w:hAnsi="宋体"/>
          <w:szCs w:val="24"/>
        </w:rPr>
      </w:pPr>
      <w:bookmarkStart w:id="68" w:name="_Toc517441212"/>
      <w:r>
        <w:rPr>
          <w:rFonts w:hint="eastAsia" w:ascii="宋体" w:hAnsi="宋体"/>
          <w:szCs w:val="24"/>
        </w:rPr>
        <w:t>7.4 定标</w:t>
      </w:r>
      <w:bookmarkEnd w:id="68"/>
    </w:p>
    <w:p>
      <w:pPr>
        <w:spacing w:line="360" w:lineRule="auto"/>
        <w:ind w:firstLine="480" w:firstLineChars="200"/>
        <w:rPr>
          <w:rFonts w:ascii="宋体" w:hAnsi="宋体"/>
          <w:sz w:val="24"/>
          <w:szCs w:val="24"/>
        </w:rPr>
      </w:pPr>
      <w:r>
        <w:rPr>
          <w:rFonts w:hint="eastAsia" w:ascii="宋体" w:hAnsi="宋体"/>
          <w:sz w:val="24"/>
          <w:szCs w:val="24"/>
        </w:rPr>
        <w:t>按照投标人须知前附表的规定，招标人或招标人授权的评标委员会依法确定中标人。</w:t>
      </w:r>
    </w:p>
    <w:p>
      <w:pPr>
        <w:pStyle w:val="5"/>
        <w:spacing w:beforeLines="20" w:afterLines="20"/>
        <w:rPr>
          <w:rFonts w:ascii="宋体" w:hAnsi="宋体"/>
          <w:szCs w:val="24"/>
        </w:rPr>
      </w:pPr>
      <w:bookmarkStart w:id="69" w:name="_Toc517441213"/>
      <w:r>
        <w:rPr>
          <w:rFonts w:hint="eastAsia" w:ascii="宋体" w:hAnsi="宋体"/>
          <w:szCs w:val="24"/>
        </w:rPr>
        <w:t>7.5 中标通知</w:t>
      </w:r>
      <w:bookmarkEnd w:id="69"/>
    </w:p>
    <w:p>
      <w:pPr>
        <w:spacing w:line="360" w:lineRule="auto"/>
        <w:ind w:firstLine="480" w:firstLineChars="200"/>
        <w:rPr>
          <w:rFonts w:ascii="宋体" w:hAnsi="宋体"/>
          <w:sz w:val="24"/>
          <w:szCs w:val="24"/>
        </w:rPr>
      </w:pPr>
      <w:r>
        <w:rPr>
          <w:rFonts w:hint="eastAsia" w:ascii="宋体" w:hAnsi="宋体"/>
          <w:sz w:val="24"/>
          <w:szCs w:val="24"/>
        </w:rPr>
        <w:t>在本章第 3.3 款规定的投标有效期内，招标人以书面形式向中标人发出中标通知书，同时将中标结果通知未中标的投标人。</w:t>
      </w:r>
    </w:p>
    <w:p>
      <w:pPr>
        <w:pStyle w:val="5"/>
        <w:spacing w:beforeLines="20" w:afterLines="20"/>
        <w:rPr>
          <w:rFonts w:ascii="宋体" w:hAnsi="宋体"/>
          <w:szCs w:val="24"/>
        </w:rPr>
      </w:pPr>
      <w:bookmarkStart w:id="70" w:name="_Toc517441214"/>
      <w:r>
        <w:rPr>
          <w:rFonts w:hint="eastAsia" w:ascii="宋体" w:hAnsi="宋体"/>
          <w:strike/>
          <w:szCs w:val="24"/>
        </w:rPr>
        <w:t>7.6 履约保证金</w:t>
      </w:r>
      <w:bookmarkEnd w:id="70"/>
    </w:p>
    <w:p>
      <w:pPr>
        <w:spacing w:line="360" w:lineRule="auto"/>
        <w:ind w:firstLine="480" w:firstLineChars="200"/>
        <w:rPr>
          <w:rFonts w:ascii="宋体" w:hAnsi="宋体"/>
          <w:sz w:val="24"/>
          <w:szCs w:val="24"/>
        </w:rPr>
      </w:pPr>
      <w:r>
        <w:rPr>
          <w:rFonts w:hint="eastAsia" w:ascii="宋体" w:hAnsi="宋体"/>
          <w:strike/>
          <w:sz w:val="24"/>
          <w:szCs w:val="24"/>
        </w:rPr>
        <w:t>7.6.1 在签订合同前，中标人应按投标人须知前附表规定的形式、金额和招标文件第四章“合同条款及格式”规定的或者事先经过招标人书面认可的履约保证金(保函)格式向招标人提交履约保证金。除投标人须知前附表另有规定外，履约保证金为中标合同金额的 10%。联合体中标的，其履约保证金以联合体各方或者联合体中牵头人的名义提交。</w:t>
      </w:r>
    </w:p>
    <w:p>
      <w:pPr>
        <w:spacing w:line="360" w:lineRule="auto"/>
        <w:ind w:firstLine="480" w:firstLineChars="200"/>
        <w:rPr>
          <w:rFonts w:ascii="宋体" w:hAnsi="宋体"/>
          <w:sz w:val="24"/>
          <w:szCs w:val="24"/>
        </w:rPr>
      </w:pPr>
      <w:r>
        <w:rPr>
          <w:rFonts w:hint="eastAsia" w:ascii="宋体" w:hAnsi="宋体"/>
          <w:sz w:val="24"/>
          <w:szCs w:val="24"/>
        </w:rPr>
        <w:t>7.6.2 中标人不能按本章第 7.6.1 项要求提交履约保证金（保函）的，视为放弃中标，</w:t>
      </w:r>
      <w:r>
        <w:rPr>
          <w:rFonts w:hint="eastAsia" w:ascii="宋体" w:hAnsi="宋体"/>
          <w:strike/>
          <w:sz w:val="24"/>
          <w:szCs w:val="24"/>
        </w:rPr>
        <w:t>其投标保证金不予退还</w:t>
      </w:r>
      <w:r>
        <w:rPr>
          <w:rFonts w:hint="eastAsia" w:ascii="宋体" w:hAnsi="宋体"/>
          <w:sz w:val="24"/>
          <w:szCs w:val="24"/>
        </w:rPr>
        <w:t>，给招标人造成的损失</w:t>
      </w:r>
      <w:r>
        <w:rPr>
          <w:rFonts w:hint="eastAsia" w:ascii="宋体" w:hAnsi="宋体"/>
          <w:strike/>
          <w:sz w:val="24"/>
          <w:szCs w:val="24"/>
        </w:rPr>
        <w:t>超过投标保证金数额</w:t>
      </w:r>
      <w:r>
        <w:rPr>
          <w:rFonts w:hint="eastAsia" w:ascii="宋体" w:hAnsi="宋体"/>
          <w:sz w:val="24"/>
          <w:szCs w:val="24"/>
        </w:rPr>
        <w:t>，中标人还应当</w:t>
      </w:r>
      <w:r>
        <w:rPr>
          <w:rFonts w:hint="eastAsia" w:ascii="宋体" w:hAnsi="宋体"/>
          <w:strike/>
          <w:sz w:val="24"/>
          <w:szCs w:val="24"/>
        </w:rPr>
        <w:t>对超过部分</w:t>
      </w:r>
      <w:r>
        <w:rPr>
          <w:rFonts w:hint="eastAsia" w:ascii="宋体" w:hAnsi="宋体"/>
          <w:sz w:val="24"/>
          <w:szCs w:val="24"/>
        </w:rPr>
        <w:t>予以赔偿。</w:t>
      </w:r>
    </w:p>
    <w:p>
      <w:pPr>
        <w:pStyle w:val="5"/>
        <w:spacing w:beforeLines="20" w:afterLines="20"/>
        <w:rPr>
          <w:rFonts w:ascii="宋体" w:hAnsi="宋体"/>
          <w:szCs w:val="24"/>
        </w:rPr>
      </w:pPr>
      <w:bookmarkStart w:id="71" w:name="_Toc517441215"/>
      <w:r>
        <w:rPr>
          <w:rFonts w:hint="eastAsia" w:ascii="宋体" w:hAnsi="宋体"/>
          <w:szCs w:val="24"/>
        </w:rPr>
        <w:t>7.7 签订合同</w:t>
      </w:r>
      <w:bookmarkEnd w:id="71"/>
    </w:p>
    <w:p>
      <w:pPr>
        <w:spacing w:line="360" w:lineRule="auto"/>
        <w:ind w:firstLine="480" w:firstLineChars="200"/>
        <w:rPr>
          <w:rFonts w:ascii="宋体" w:hAnsi="宋体"/>
          <w:sz w:val="24"/>
          <w:szCs w:val="24"/>
        </w:rPr>
      </w:pPr>
      <w:r>
        <w:rPr>
          <w:rFonts w:hint="eastAsia" w:ascii="宋体" w:hAnsi="宋体"/>
          <w:sz w:val="24"/>
          <w:szCs w:val="24"/>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ascii="宋体" w:hAnsi="宋体"/>
          <w:strike/>
          <w:sz w:val="24"/>
          <w:szCs w:val="24"/>
        </w:rPr>
        <w:t>其投标保证金不予退还</w:t>
      </w:r>
      <w:r>
        <w:rPr>
          <w:rFonts w:hint="eastAsia" w:ascii="宋体" w:hAnsi="宋体"/>
          <w:sz w:val="24"/>
          <w:szCs w:val="24"/>
        </w:rPr>
        <w:t>；给招标人造成的损失</w:t>
      </w:r>
      <w:r>
        <w:rPr>
          <w:rFonts w:hint="eastAsia" w:ascii="宋体" w:hAnsi="宋体"/>
          <w:strike/>
          <w:sz w:val="24"/>
          <w:szCs w:val="24"/>
        </w:rPr>
        <w:t>超过投标保证金数额的</w:t>
      </w:r>
      <w:r>
        <w:rPr>
          <w:rFonts w:hint="eastAsia" w:ascii="宋体" w:hAnsi="宋体"/>
          <w:sz w:val="24"/>
          <w:szCs w:val="24"/>
        </w:rPr>
        <w:t>，中标人还应当</w:t>
      </w:r>
      <w:r>
        <w:rPr>
          <w:rFonts w:ascii="宋体" w:hAnsi="宋体"/>
          <w:strike/>
          <w:spacing w:val="-2"/>
          <w:sz w:val="24"/>
          <w:szCs w:val="24"/>
        </w:rPr>
        <w:t>对</w:t>
      </w:r>
      <w:r>
        <w:rPr>
          <w:rFonts w:ascii="宋体" w:hAnsi="宋体"/>
          <w:strike/>
          <w:sz w:val="24"/>
          <w:szCs w:val="24"/>
        </w:rPr>
        <w:t>超</w:t>
      </w:r>
      <w:r>
        <w:rPr>
          <w:rFonts w:ascii="宋体" w:hAnsi="宋体"/>
          <w:strike/>
          <w:spacing w:val="-2"/>
          <w:sz w:val="24"/>
          <w:szCs w:val="24"/>
        </w:rPr>
        <w:t>过</w:t>
      </w:r>
      <w:r>
        <w:rPr>
          <w:rFonts w:ascii="宋体" w:hAnsi="宋体"/>
          <w:strike/>
          <w:sz w:val="24"/>
          <w:szCs w:val="24"/>
        </w:rPr>
        <w:t>部</w:t>
      </w:r>
      <w:r>
        <w:rPr>
          <w:rFonts w:ascii="宋体" w:hAnsi="宋体"/>
          <w:strike/>
          <w:spacing w:val="-2"/>
          <w:sz w:val="24"/>
          <w:szCs w:val="24"/>
        </w:rPr>
        <w:t>分</w:t>
      </w:r>
      <w:r>
        <w:rPr>
          <w:rFonts w:hint="eastAsia" w:ascii="宋体" w:hAnsi="宋体"/>
          <w:sz w:val="24"/>
          <w:szCs w:val="24"/>
        </w:rPr>
        <w:t>予以赔偿。</w:t>
      </w:r>
    </w:p>
    <w:p>
      <w:pPr>
        <w:spacing w:line="360" w:lineRule="auto"/>
        <w:ind w:firstLine="480" w:firstLineChars="200"/>
        <w:rPr>
          <w:rFonts w:ascii="宋体" w:hAnsi="宋体"/>
          <w:sz w:val="24"/>
          <w:szCs w:val="24"/>
        </w:rPr>
      </w:pPr>
      <w:r>
        <w:rPr>
          <w:rFonts w:hint="eastAsia" w:ascii="宋体" w:hAnsi="宋体"/>
          <w:sz w:val="24"/>
          <w:szCs w:val="24"/>
        </w:rPr>
        <w:t>7.7.2 发出中标通知书后，招标人无正当理由拒签合同，或者在签订合同时向中标人提出附加条件的，</w:t>
      </w:r>
      <w:r>
        <w:rPr>
          <w:rFonts w:hint="eastAsia" w:ascii="宋体" w:hAnsi="宋体"/>
          <w:strike/>
          <w:sz w:val="24"/>
          <w:szCs w:val="24"/>
        </w:rPr>
        <w:t>招标人向中标人退还投标保证金</w:t>
      </w:r>
      <w:r>
        <w:rPr>
          <w:rFonts w:hint="eastAsia" w:ascii="宋体" w:hAnsi="宋体"/>
          <w:sz w:val="24"/>
          <w:szCs w:val="24"/>
        </w:rPr>
        <w:t>；给中标人造成损失的，还应当赔偿损失。</w:t>
      </w:r>
    </w:p>
    <w:p>
      <w:pPr>
        <w:spacing w:line="360" w:lineRule="auto"/>
        <w:ind w:firstLine="480" w:firstLineChars="200"/>
        <w:rPr>
          <w:rFonts w:ascii="宋体" w:hAnsi="宋体"/>
          <w:sz w:val="24"/>
          <w:szCs w:val="24"/>
        </w:rPr>
      </w:pPr>
      <w:r>
        <w:rPr>
          <w:rFonts w:hint="eastAsia" w:ascii="宋体" w:hAnsi="宋体"/>
          <w:sz w:val="24"/>
          <w:szCs w:val="24"/>
        </w:rPr>
        <w:t>7.7.3 联合体中标的，联合体各方应当共同与招标人签订合同，就中标项目向招标人承担连带责任。</w:t>
      </w:r>
    </w:p>
    <w:p>
      <w:pPr>
        <w:pStyle w:val="4"/>
        <w:rPr>
          <w:rFonts w:ascii="宋体" w:hAnsi="宋体" w:eastAsia="宋体"/>
        </w:rPr>
      </w:pPr>
      <w:bookmarkStart w:id="72" w:name="_Toc517441216"/>
      <w:r>
        <w:rPr>
          <w:rFonts w:hint="eastAsia" w:ascii="宋体" w:hAnsi="宋体" w:eastAsia="宋体"/>
        </w:rPr>
        <w:t>8. 纪律和监督</w:t>
      </w:r>
      <w:bookmarkEnd w:id="72"/>
    </w:p>
    <w:p>
      <w:pPr>
        <w:pStyle w:val="5"/>
        <w:spacing w:beforeLines="20" w:afterLines="20"/>
        <w:rPr>
          <w:rFonts w:ascii="宋体" w:hAnsi="宋体"/>
          <w:szCs w:val="24"/>
        </w:rPr>
      </w:pPr>
      <w:bookmarkStart w:id="73" w:name="_Toc517441217"/>
      <w:r>
        <w:rPr>
          <w:rFonts w:hint="eastAsia" w:ascii="宋体" w:hAnsi="宋体"/>
          <w:szCs w:val="24"/>
        </w:rPr>
        <w:t>8.1 对招标人的纪律要求</w:t>
      </w:r>
      <w:bookmarkEnd w:id="73"/>
    </w:p>
    <w:p>
      <w:pPr>
        <w:spacing w:line="360" w:lineRule="auto"/>
        <w:ind w:firstLine="480" w:firstLineChars="200"/>
        <w:rPr>
          <w:rFonts w:ascii="宋体" w:hAnsi="宋体"/>
          <w:sz w:val="24"/>
          <w:szCs w:val="24"/>
        </w:rPr>
      </w:pPr>
      <w:r>
        <w:rPr>
          <w:rFonts w:hint="eastAsia" w:ascii="宋体" w:hAnsi="宋体"/>
          <w:sz w:val="24"/>
          <w:szCs w:val="24"/>
        </w:rPr>
        <w:t>招标人不得泄露招标投标活动中应当保密的情况和资料，不得与投标人串通损害国家利益、社会公共利益或者他人合法权益。</w:t>
      </w:r>
    </w:p>
    <w:p>
      <w:pPr>
        <w:pStyle w:val="5"/>
        <w:spacing w:beforeLines="20" w:afterLines="20"/>
        <w:rPr>
          <w:rFonts w:ascii="宋体" w:hAnsi="宋体"/>
          <w:szCs w:val="24"/>
        </w:rPr>
      </w:pPr>
      <w:bookmarkStart w:id="74" w:name="_Toc517441218"/>
      <w:r>
        <w:rPr>
          <w:rFonts w:hint="eastAsia" w:ascii="宋体" w:hAnsi="宋体"/>
          <w:szCs w:val="24"/>
        </w:rPr>
        <w:t>8.2 对投标人的纪律要求</w:t>
      </w:r>
      <w:bookmarkEnd w:id="74"/>
    </w:p>
    <w:p>
      <w:pPr>
        <w:spacing w:line="360" w:lineRule="auto"/>
        <w:ind w:firstLine="480" w:firstLineChars="200"/>
        <w:rPr>
          <w:rFonts w:ascii="宋体" w:hAnsi="宋体"/>
          <w:sz w:val="24"/>
          <w:szCs w:val="24"/>
        </w:rPr>
      </w:pPr>
      <w:r>
        <w:rPr>
          <w:rFonts w:hint="eastAsia" w:ascii="宋体" w:hAnsi="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spacing w:beforeLines="20" w:afterLines="20"/>
        <w:rPr>
          <w:rFonts w:ascii="宋体" w:hAnsi="宋体"/>
          <w:szCs w:val="24"/>
        </w:rPr>
      </w:pPr>
      <w:bookmarkStart w:id="75" w:name="_Toc517441219"/>
      <w:r>
        <w:rPr>
          <w:rFonts w:hint="eastAsia" w:ascii="宋体" w:hAnsi="宋体"/>
          <w:szCs w:val="24"/>
        </w:rPr>
        <w:t>8.3 对评标委员会成员的纪律要求</w:t>
      </w:r>
      <w:bookmarkEnd w:id="75"/>
    </w:p>
    <w:p>
      <w:pPr>
        <w:spacing w:line="360" w:lineRule="auto"/>
        <w:ind w:firstLine="480" w:firstLineChars="200"/>
        <w:rPr>
          <w:rFonts w:ascii="宋体" w:hAnsi="宋体"/>
          <w:sz w:val="24"/>
          <w:szCs w:val="24"/>
        </w:rPr>
      </w:pPr>
      <w:r>
        <w:rPr>
          <w:rFonts w:hint="eastAsia" w:ascii="宋体" w:hAnsi="宋体"/>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spacing w:beforeLines="20" w:afterLines="20"/>
        <w:rPr>
          <w:rFonts w:ascii="宋体" w:hAnsi="宋体"/>
          <w:szCs w:val="24"/>
        </w:rPr>
      </w:pPr>
      <w:bookmarkStart w:id="76" w:name="_Toc517441220"/>
      <w:r>
        <w:rPr>
          <w:rFonts w:hint="eastAsia" w:ascii="宋体" w:hAnsi="宋体"/>
          <w:szCs w:val="24"/>
        </w:rPr>
        <w:t>8.4 对与评标活动有关的工作人员的纪律要求</w:t>
      </w:r>
      <w:bookmarkEnd w:id="76"/>
    </w:p>
    <w:p>
      <w:pPr>
        <w:spacing w:line="360" w:lineRule="auto"/>
        <w:ind w:firstLine="480" w:firstLineChars="200"/>
        <w:rPr>
          <w:rFonts w:ascii="宋体" w:hAnsi="宋体"/>
          <w:sz w:val="24"/>
          <w:szCs w:val="24"/>
        </w:rPr>
      </w:pPr>
      <w:r>
        <w:rPr>
          <w:rFonts w:hint="eastAsia" w:ascii="宋体" w:hAnsi="宋体"/>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spacing w:beforeLines="20" w:afterLines="20"/>
        <w:rPr>
          <w:rFonts w:ascii="宋体" w:hAnsi="宋体"/>
          <w:szCs w:val="24"/>
        </w:rPr>
      </w:pPr>
      <w:bookmarkStart w:id="77" w:name="_Toc517441221"/>
      <w:r>
        <w:rPr>
          <w:rFonts w:hint="eastAsia" w:ascii="宋体" w:hAnsi="宋体"/>
          <w:szCs w:val="24"/>
        </w:rPr>
        <w:t>8.5 投诉</w:t>
      </w:r>
      <w:bookmarkEnd w:id="77"/>
    </w:p>
    <w:p>
      <w:pPr>
        <w:spacing w:line="360" w:lineRule="auto"/>
        <w:ind w:firstLine="480" w:firstLineChars="200"/>
        <w:rPr>
          <w:rFonts w:ascii="宋体" w:hAnsi="宋体"/>
          <w:sz w:val="24"/>
          <w:szCs w:val="24"/>
        </w:rPr>
      </w:pPr>
      <w:r>
        <w:rPr>
          <w:rFonts w:hint="eastAsia" w:ascii="宋体" w:hAnsi="宋体"/>
          <w:sz w:val="24"/>
          <w:szCs w:val="24"/>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80" w:firstLineChars="200"/>
        <w:rPr>
          <w:rFonts w:ascii="宋体" w:hAnsi="宋体"/>
          <w:sz w:val="24"/>
          <w:szCs w:val="24"/>
        </w:rPr>
      </w:pPr>
      <w:r>
        <w:rPr>
          <w:rFonts w:hint="eastAsia" w:ascii="宋体" w:hAnsi="宋体"/>
          <w:sz w:val="24"/>
          <w:szCs w:val="24"/>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4"/>
        <w:rPr>
          <w:rFonts w:ascii="宋体" w:hAnsi="宋体" w:eastAsia="宋体"/>
        </w:rPr>
      </w:pPr>
      <w:bookmarkStart w:id="78" w:name="_Toc517441222"/>
      <w:r>
        <w:rPr>
          <w:rFonts w:hint="eastAsia" w:ascii="宋体" w:hAnsi="宋体" w:eastAsia="宋体"/>
        </w:rPr>
        <w:t>9. 是否采用电子招标投标</w:t>
      </w:r>
      <w:bookmarkEnd w:id="78"/>
    </w:p>
    <w:p>
      <w:pPr>
        <w:spacing w:line="360" w:lineRule="auto"/>
        <w:ind w:firstLine="480" w:firstLineChars="200"/>
        <w:rPr>
          <w:rFonts w:ascii="宋体" w:hAnsi="宋体"/>
        </w:rPr>
      </w:pPr>
      <w:r>
        <w:rPr>
          <w:rFonts w:hint="eastAsia" w:ascii="宋体" w:hAnsi="宋体"/>
          <w:sz w:val="24"/>
          <w:szCs w:val="24"/>
        </w:rPr>
        <w:t>本招标项目是采用电子招标投标方式，见投标人须知前附表。</w:t>
      </w:r>
    </w:p>
    <w:p>
      <w:pPr>
        <w:pStyle w:val="4"/>
        <w:rPr>
          <w:rFonts w:ascii="宋体" w:hAnsi="宋体" w:eastAsia="宋体"/>
        </w:rPr>
      </w:pPr>
      <w:bookmarkStart w:id="79" w:name="_Toc517441223"/>
      <w:r>
        <w:rPr>
          <w:rFonts w:hint="eastAsia" w:ascii="宋体" w:hAnsi="宋体" w:eastAsia="宋体"/>
        </w:rPr>
        <w:t>10. 需要补充的其他内容</w:t>
      </w:r>
      <w:bookmarkEnd w:id="79"/>
    </w:p>
    <w:p>
      <w:pPr>
        <w:spacing w:line="360" w:lineRule="auto"/>
        <w:ind w:firstLine="480" w:firstLineChars="200"/>
        <w:rPr>
          <w:rFonts w:ascii="宋体" w:hAnsi="宋体"/>
          <w:sz w:val="24"/>
          <w:szCs w:val="24"/>
        </w:rPr>
      </w:pPr>
      <w:r>
        <w:rPr>
          <w:rFonts w:hint="eastAsia" w:ascii="宋体" w:hAnsi="宋体"/>
          <w:sz w:val="24"/>
          <w:szCs w:val="24"/>
        </w:rPr>
        <w:t>需要补充的其他内容：见投标人须知前附表。</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pStyle w:val="2"/>
        <w:spacing w:line="360" w:lineRule="auto"/>
        <w:ind w:firstLine="480" w:firstLineChars="200"/>
        <w:rPr>
          <w:rFonts w:ascii="宋体" w:hAnsi="宋体"/>
          <w:sz w:val="24"/>
          <w:szCs w:val="24"/>
          <w:lang w:val="en-US"/>
        </w:rPr>
      </w:pPr>
      <w:r>
        <w:rPr>
          <w:rFonts w:ascii="宋体" w:hAnsi="宋体"/>
          <w:sz w:val="24"/>
          <w:szCs w:val="24"/>
        </w:rPr>
        <w:br w:type="page"/>
      </w:r>
      <w:bookmarkStart w:id="80" w:name="_Toc524038545"/>
      <w:r>
        <w:rPr>
          <w:bCs/>
          <w:sz w:val="28"/>
        </w:rPr>
        <w:t>附件一：开标记录表</w:t>
      </w:r>
      <w:bookmarkEnd w:id="80"/>
      <w:r>
        <w:rPr>
          <w:rFonts w:hint="eastAsia" w:ascii="黑体" w:hAnsi="黑体"/>
          <w:sz w:val="28"/>
        </w:rPr>
        <w:t>(</w:t>
      </w:r>
      <w:r>
        <w:rPr>
          <w:rFonts w:hint="eastAsia" w:ascii="黑体" w:hAnsi="黑体"/>
          <w:b/>
          <w:bCs/>
          <w:sz w:val="28"/>
        </w:rPr>
        <w:t>具体格式以电子交易平台格式为准</w:t>
      </w:r>
      <w:r>
        <w:rPr>
          <w:rFonts w:hint="eastAsia" w:ascii="黑体" w:hAnsi="黑体"/>
          <w:sz w:val="28"/>
        </w:rPr>
        <w:t>）</w:t>
      </w:r>
    </w:p>
    <w:p>
      <w:pPr>
        <w:spacing w:line="440" w:lineRule="exact"/>
        <w:jc w:val="center"/>
        <w:rPr>
          <w:rFonts w:eastAsia="黑体"/>
          <w:sz w:val="28"/>
        </w:rPr>
      </w:pPr>
      <w:r>
        <w:rPr>
          <w:rFonts w:eastAsia="黑体"/>
          <w:sz w:val="28"/>
        </w:rPr>
        <w:t>开标记录表</w:t>
      </w:r>
    </w:p>
    <w:p>
      <w:pPr>
        <w:spacing w:beforeLines="50" w:afterLines="50" w:line="400" w:lineRule="exact"/>
        <w:ind w:right="420"/>
        <w:jc w:val="right"/>
        <w:rPr>
          <w:sz w:val="24"/>
          <w:szCs w:val="24"/>
        </w:rPr>
      </w:pPr>
      <w:r>
        <w:rPr>
          <w:sz w:val="24"/>
          <w:szCs w:val="24"/>
        </w:rPr>
        <w:t>开标时间：年月日时分</w:t>
      </w:r>
    </w:p>
    <w:p>
      <w:pPr>
        <w:spacing w:beforeLines="50" w:afterLines="50" w:line="400" w:lineRule="exact"/>
        <w:ind w:right="420"/>
        <w:jc w:val="right"/>
        <w:rPr>
          <w:sz w:val="24"/>
          <w:szCs w:val="24"/>
        </w:rPr>
      </w:pPr>
    </w:p>
    <w:tbl>
      <w:tblPr>
        <w:tblStyle w:val="28"/>
        <w:tblW w:w="9132" w:type="dxa"/>
        <w:jc w:val="center"/>
        <w:tblLayout w:type="fixed"/>
        <w:tblCellMar>
          <w:top w:w="0" w:type="dxa"/>
          <w:left w:w="108" w:type="dxa"/>
          <w:bottom w:w="0" w:type="dxa"/>
          <w:right w:w="108" w:type="dxa"/>
        </w:tblCellMar>
      </w:tblPr>
      <w:tblGrid>
        <w:gridCol w:w="509"/>
        <w:gridCol w:w="622"/>
        <w:gridCol w:w="989"/>
        <w:gridCol w:w="989"/>
        <w:gridCol w:w="842"/>
        <w:gridCol w:w="962"/>
        <w:gridCol w:w="1188"/>
        <w:gridCol w:w="1188"/>
        <w:gridCol w:w="851"/>
        <w:gridCol w:w="992"/>
      </w:tblGrid>
      <w:tr>
        <w:trPr>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r>
              <w:rPr>
                <w:sz w:val="24"/>
                <w:szCs w:val="24"/>
              </w:rPr>
              <w:t>序号</w:t>
            </w: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r>
              <w:rPr>
                <w:sz w:val="24"/>
                <w:szCs w:val="24"/>
              </w:rPr>
              <w:t>投标人</w:t>
            </w: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r>
              <w:rPr>
                <w:rFonts w:ascii="宋体" w:hAnsi="宋体"/>
                <w:strike/>
                <w:sz w:val="24"/>
                <w:szCs w:val="24"/>
              </w:rPr>
              <w:t>投标保证金</w:t>
            </w: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r>
              <w:rPr>
                <w:sz w:val="24"/>
                <w:szCs w:val="24"/>
              </w:rPr>
              <w:t>投标报价</w:t>
            </w:r>
          </w:p>
          <w:p>
            <w:pPr>
              <w:spacing w:line="500" w:lineRule="exact"/>
              <w:jc w:val="center"/>
              <w:rPr>
                <w:sz w:val="24"/>
                <w:szCs w:val="24"/>
              </w:rPr>
            </w:pPr>
            <w:r>
              <w:rPr>
                <w:sz w:val="24"/>
                <w:szCs w:val="24"/>
              </w:rPr>
              <w:t>（元）</w:t>
            </w: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r>
              <w:rPr>
                <w:sz w:val="24"/>
                <w:szCs w:val="24"/>
              </w:rPr>
              <w:t>总监理工程师</w:t>
            </w: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r>
              <w:rPr>
                <w:sz w:val="24"/>
                <w:szCs w:val="24"/>
              </w:rPr>
              <w:t>监理服务期限</w:t>
            </w: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r>
              <w:rPr>
                <w:rFonts w:hint="eastAsia"/>
                <w:sz w:val="24"/>
                <w:szCs w:val="24"/>
              </w:rPr>
              <w:t>投标文件递交情况</w:t>
            </w: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r>
              <w:rPr>
                <w:rFonts w:hint="eastAsia"/>
                <w:sz w:val="24"/>
                <w:szCs w:val="24"/>
              </w:rPr>
              <w:t>投标文件解密情况</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r>
              <w:rPr>
                <w:sz w:val="24"/>
                <w:szCs w:val="24"/>
              </w:rPr>
              <w:t>备注</w:t>
            </w: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r>
              <w:rPr>
                <w:sz w:val="24"/>
                <w:szCs w:val="24"/>
              </w:rPr>
              <w:t>投标人代表签名</w:t>
            </w:r>
          </w:p>
        </w:tc>
      </w:tr>
      <w:tr>
        <w:tblPrEx>
          <w:tblCellMar>
            <w:top w:w="0" w:type="dxa"/>
            <w:left w:w="108" w:type="dxa"/>
            <w:bottom w:w="0" w:type="dxa"/>
            <w:right w:w="108" w:type="dxa"/>
          </w:tblCellMar>
        </w:tblPrEx>
        <w:trPr>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r>
      <w:tr>
        <w:tblPrEx>
          <w:tblCellMar>
            <w:top w:w="0" w:type="dxa"/>
            <w:left w:w="108" w:type="dxa"/>
            <w:bottom w:w="0" w:type="dxa"/>
            <w:right w:w="108" w:type="dxa"/>
          </w:tblCellMar>
        </w:tblPrEx>
        <w:trPr>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r>
      <w:tr>
        <w:tblPrEx>
          <w:tblCellMar>
            <w:top w:w="0" w:type="dxa"/>
            <w:left w:w="108" w:type="dxa"/>
            <w:bottom w:w="0" w:type="dxa"/>
            <w:right w:w="108" w:type="dxa"/>
          </w:tblCellMar>
        </w:tblPrEx>
        <w:trPr>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r>
      <w:tr>
        <w:tblPrEx>
          <w:tblCellMar>
            <w:top w:w="0" w:type="dxa"/>
            <w:left w:w="108" w:type="dxa"/>
            <w:bottom w:w="0" w:type="dxa"/>
            <w:right w:w="108" w:type="dxa"/>
          </w:tblCellMar>
        </w:tblPrEx>
        <w:trPr>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r>
      <w:tr>
        <w:tblPrEx>
          <w:tblCellMar>
            <w:top w:w="0" w:type="dxa"/>
            <w:left w:w="108" w:type="dxa"/>
            <w:bottom w:w="0" w:type="dxa"/>
            <w:right w:w="108" w:type="dxa"/>
          </w:tblCellMar>
        </w:tblPrEx>
        <w:trPr>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r>
      <w:tr>
        <w:tblPrEx>
          <w:tblCellMar>
            <w:top w:w="0" w:type="dxa"/>
            <w:left w:w="108" w:type="dxa"/>
            <w:bottom w:w="0" w:type="dxa"/>
            <w:right w:w="108" w:type="dxa"/>
          </w:tblCellMar>
        </w:tblPrEx>
        <w:trPr>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r>
      <w:tr>
        <w:tblPrEx>
          <w:tblCellMar>
            <w:top w:w="0" w:type="dxa"/>
            <w:left w:w="108" w:type="dxa"/>
            <w:bottom w:w="0" w:type="dxa"/>
            <w:right w:w="108" w:type="dxa"/>
          </w:tblCellMar>
        </w:tblPrEx>
        <w:trPr>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r>
      <w:tr>
        <w:tblPrEx>
          <w:tblCellMar>
            <w:top w:w="0" w:type="dxa"/>
            <w:left w:w="108" w:type="dxa"/>
            <w:bottom w:w="0" w:type="dxa"/>
            <w:right w:w="108" w:type="dxa"/>
          </w:tblCellMar>
        </w:tblPrEx>
        <w:trPr>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r>
      <w:tr>
        <w:tblPrEx>
          <w:tblCellMar>
            <w:top w:w="0" w:type="dxa"/>
            <w:left w:w="108" w:type="dxa"/>
            <w:bottom w:w="0" w:type="dxa"/>
            <w:right w:w="108" w:type="dxa"/>
          </w:tblCellMar>
        </w:tblPrEx>
        <w:trPr>
          <w:trHeight w:val="502" w:hRule="atLeast"/>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r>
      <w:tr>
        <w:tblPrEx>
          <w:tblCellMar>
            <w:top w:w="0" w:type="dxa"/>
            <w:left w:w="108" w:type="dxa"/>
            <w:bottom w:w="0" w:type="dxa"/>
            <w:right w:w="108" w:type="dxa"/>
          </w:tblCellMar>
        </w:tblPrEx>
        <w:trPr>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r>
      <w:tr>
        <w:tblPrEx>
          <w:tblCellMar>
            <w:top w:w="0" w:type="dxa"/>
            <w:left w:w="108" w:type="dxa"/>
            <w:bottom w:w="0" w:type="dxa"/>
            <w:right w:w="108" w:type="dxa"/>
          </w:tblCellMar>
        </w:tblPrEx>
        <w:trPr>
          <w:jc w:val="center"/>
        </w:trPr>
        <w:tc>
          <w:tcPr>
            <w:tcW w:w="50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62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tcPr>
          <w:p>
            <w:pPr>
              <w:spacing w:line="500" w:lineRule="exact"/>
              <w:jc w:val="center"/>
              <w:rPr>
                <w:sz w:val="24"/>
                <w:szCs w:val="24"/>
              </w:rPr>
            </w:pPr>
          </w:p>
        </w:tc>
        <w:tc>
          <w:tcPr>
            <w:tcW w:w="989"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4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6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c>
          <w:tcPr>
            <w:tcW w:w="992" w:type="dxa"/>
            <w:tcBorders>
              <w:top w:val="single" w:color="auto" w:sz="4" w:space="0"/>
              <w:left w:val="single" w:color="auto" w:sz="4" w:space="0"/>
              <w:bottom w:val="single" w:color="auto" w:sz="4" w:space="0"/>
              <w:right w:val="single" w:color="auto" w:sz="4" w:space="0"/>
            </w:tcBorders>
            <w:noWrap/>
            <w:vAlign w:val="center"/>
          </w:tcPr>
          <w:p>
            <w:pPr>
              <w:spacing w:line="500" w:lineRule="exact"/>
              <w:jc w:val="center"/>
              <w:rPr>
                <w:sz w:val="24"/>
                <w:szCs w:val="24"/>
              </w:rPr>
            </w:pPr>
          </w:p>
        </w:tc>
      </w:tr>
      <w:tr>
        <w:tblPrEx>
          <w:tblCellMar>
            <w:top w:w="0" w:type="dxa"/>
            <w:left w:w="108" w:type="dxa"/>
            <w:bottom w:w="0" w:type="dxa"/>
            <w:right w:w="108" w:type="dxa"/>
          </w:tblCellMar>
        </w:tblPrEx>
        <w:trPr>
          <w:jc w:val="center"/>
        </w:trPr>
        <w:tc>
          <w:tcPr>
            <w:tcW w:w="9132" w:type="dxa"/>
            <w:gridSpan w:val="10"/>
            <w:tcBorders>
              <w:top w:val="single" w:color="auto" w:sz="4" w:space="0"/>
              <w:left w:val="single" w:color="auto" w:sz="4" w:space="0"/>
              <w:bottom w:val="single" w:color="auto" w:sz="4" w:space="0"/>
              <w:right w:val="single" w:color="auto" w:sz="4" w:space="0"/>
            </w:tcBorders>
            <w:noWrap/>
            <w:vAlign w:val="center"/>
          </w:tcPr>
          <w:p>
            <w:pPr>
              <w:spacing w:line="500" w:lineRule="exact"/>
              <w:jc w:val="left"/>
              <w:rPr>
                <w:sz w:val="24"/>
                <w:szCs w:val="24"/>
              </w:rPr>
            </w:pPr>
            <w:r>
              <w:rPr>
                <w:sz w:val="24"/>
                <w:szCs w:val="24"/>
              </w:rPr>
              <w:t>最高投标限价：</w:t>
            </w:r>
          </w:p>
        </w:tc>
      </w:tr>
    </w:tbl>
    <w:p>
      <w:pPr>
        <w:spacing w:line="620" w:lineRule="exact"/>
        <w:rPr>
          <w:sz w:val="24"/>
          <w:szCs w:val="24"/>
        </w:rPr>
      </w:pPr>
      <w:r>
        <w:rPr>
          <w:sz w:val="24"/>
          <w:szCs w:val="24"/>
        </w:rPr>
        <w:t>招标人代表：记录人：监标人：</w:t>
      </w:r>
    </w:p>
    <w:p>
      <w:pPr>
        <w:spacing w:line="620" w:lineRule="exact"/>
        <w:jc w:val="center"/>
        <w:rPr>
          <w:sz w:val="24"/>
          <w:szCs w:val="24"/>
        </w:rPr>
      </w:pPr>
      <w:r>
        <w:rPr>
          <w:sz w:val="24"/>
          <w:szCs w:val="24"/>
        </w:rPr>
        <w:t>年月日</w:t>
      </w:r>
    </w:p>
    <w:p>
      <w:pPr>
        <w:pStyle w:val="11"/>
        <w:rPr>
          <w:sz w:val="24"/>
          <w:szCs w:val="24"/>
        </w:rPr>
      </w:pPr>
    </w:p>
    <w:p>
      <w:pPr>
        <w:rPr>
          <w:sz w:val="24"/>
          <w:szCs w:val="24"/>
        </w:rPr>
      </w:pPr>
    </w:p>
    <w:p>
      <w:pPr>
        <w:pStyle w:val="11"/>
        <w:rPr>
          <w:sz w:val="24"/>
          <w:szCs w:val="24"/>
        </w:rPr>
      </w:pPr>
    </w:p>
    <w:p>
      <w:pPr>
        <w:rPr>
          <w:sz w:val="24"/>
          <w:szCs w:val="24"/>
        </w:rPr>
      </w:pPr>
    </w:p>
    <w:p>
      <w:pPr>
        <w:pStyle w:val="11"/>
        <w:rPr>
          <w:sz w:val="24"/>
          <w:szCs w:val="24"/>
        </w:rPr>
      </w:pPr>
    </w:p>
    <w:p/>
    <w:p>
      <w:pPr>
        <w:pStyle w:val="5"/>
        <w:spacing w:before="260" w:after="260" w:line="412" w:lineRule="auto"/>
        <w:rPr>
          <w:bCs w:val="0"/>
          <w:sz w:val="28"/>
          <w:szCs w:val="20"/>
        </w:rPr>
      </w:pPr>
      <w:bookmarkStart w:id="81" w:name="_Toc524038546"/>
      <w:r>
        <w:rPr>
          <w:bCs w:val="0"/>
          <w:sz w:val="28"/>
          <w:szCs w:val="20"/>
        </w:rPr>
        <w:t>附件二：问题澄清通知</w:t>
      </w:r>
      <w:bookmarkEnd w:id="81"/>
      <w:r>
        <w:rPr>
          <w:rFonts w:hint="eastAsia"/>
          <w:b/>
          <w:sz w:val="28"/>
          <w:szCs w:val="20"/>
        </w:rPr>
        <w:t>（按广州公共资源交易中心问题澄清通知格式）</w:t>
      </w:r>
    </w:p>
    <w:p>
      <w:pPr>
        <w:spacing w:line="360" w:lineRule="auto"/>
        <w:jc w:val="center"/>
        <w:rPr>
          <w:rFonts w:ascii="宋体" w:hAnsi="宋体"/>
          <w:b/>
          <w:sz w:val="32"/>
          <w:szCs w:val="32"/>
        </w:rPr>
      </w:pPr>
      <w:bookmarkStart w:id="82" w:name="_Toc144974546"/>
      <w:bookmarkStart w:id="83" w:name="_Toc152042355"/>
      <w:r>
        <w:rPr>
          <w:rFonts w:hint="eastAsia" w:ascii="宋体" w:hAnsi="宋体"/>
          <w:b/>
          <w:sz w:val="32"/>
          <w:szCs w:val="32"/>
        </w:rPr>
        <w:t>问题澄清通知</w:t>
      </w:r>
    </w:p>
    <w:p>
      <w:pPr>
        <w:spacing w:line="360" w:lineRule="auto"/>
        <w:jc w:val="center"/>
        <w:rPr>
          <w:rFonts w:ascii="宋体" w:hAnsi="宋体"/>
          <w:sz w:val="24"/>
          <w:szCs w:val="24"/>
        </w:rPr>
      </w:pPr>
      <w:r>
        <w:rPr>
          <w:rFonts w:hint="eastAsia" w:ascii="宋体" w:hAnsi="宋体"/>
          <w:sz w:val="24"/>
          <w:szCs w:val="24"/>
        </w:rPr>
        <w:t>（编号：）</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（投标人名称）：</w:t>
      </w:r>
    </w:p>
    <w:p>
      <w:pPr>
        <w:spacing w:line="360" w:lineRule="auto"/>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评标委员会对你方的投标文件进行了仔细的审查，现需你方对下列问题以书面形式予以澄清、说明或补正：</w:t>
      </w:r>
    </w:p>
    <w:p>
      <w:pPr>
        <w:spacing w:line="360" w:lineRule="auto"/>
        <w:ind w:firstLine="480" w:firstLineChars="200"/>
        <w:rPr>
          <w:rFonts w:ascii="宋体" w:hAnsi="宋体"/>
          <w:sz w:val="24"/>
          <w:szCs w:val="24"/>
        </w:rPr>
      </w:pPr>
      <w:r>
        <w:rPr>
          <w:rFonts w:ascii="宋体" w:hAnsi="宋体"/>
          <w:sz w:val="24"/>
          <w:szCs w:val="24"/>
        </w:rPr>
        <w:t>1.</w:t>
      </w:r>
    </w:p>
    <w:p>
      <w:pPr>
        <w:spacing w:line="360" w:lineRule="auto"/>
        <w:ind w:firstLine="480" w:firstLineChars="200"/>
        <w:rPr>
          <w:rFonts w:ascii="宋体" w:hAnsi="宋体"/>
          <w:sz w:val="24"/>
          <w:szCs w:val="24"/>
        </w:rPr>
      </w:pPr>
      <w:r>
        <w:rPr>
          <w:rFonts w:ascii="宋体" w:hAnsi="宋体"/>
          <w:sz w:val="24"/>
          <w:szCs w:val="24"/>
        </w:rPr>
        <w:t>2.</w:t>
      </w:r>
    </w:p>
    <w:p>
      <w:pPr>
        <w:spacing w:line="360" w:lineRule="auto"/>
        <w:ind w:firstLine="480" w:firstLineChars="200"/>
        <w:rPr>
          <w:rFonts w:ascii="宋体" w:hAnsi="宋体"/>
          <w:sz w:val="24"/>
          <w:szCs w:val="24"/>
        </w:rPr>
      </w:pPr>
      <w:r>
        <w:rPr>
          <w:rFonts w:ascii="宋体" w:hAnsi="宋体"/>
          <w:sz w:val="24"/>
          <w:szCs w:val="24"/>
        </w:rPr>
        <w:t>......</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请将上述问题的澄清、说明或补正于年月日时前递交至（详细地址）或传真至（传真号码）或通过下载招标文件的电子招标交易平台上传。采用传真方式的，应在年月日时前将原件递交至（详细地址）。</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1680" w:firstLineChars="700"/>
        <w:jc w:val="right"/>
        <w:rPr>
          <w:rFonts w:ascii="宋体" w:hAnsi="宋体"/>
          <w:sz w:val="24"/>
          <w:szCs w:val="24"/>
        </w:rPr>
      </w:pPr>
      <w:r>
        <w:rPr>
          <w:rFonts w:hint="eastAsia" w:ascii="宋体" w:hAnsi="宋体"/>
          <w:sz w:val="24"/>
          <w:szCs w:val="24"/>
        </w:rPr>
        <w:t>评标委员会授权的招标人或招标代理机构：（签字或盖章）</w:t>
      </w:r>
    </w:p>
    <w:p>
      <w:pPr>
        <w:spacing w:line="400" w:lineRule="exact"/>
        <w:jc w:val="right"/>
        <w:rPr>
          <w:sz w:val="24"/>
          <w:szCs w:val="24"/>
        </w:rPr>
      </w:pPr>
      <w:r>
        <w:rPr>
          <w:rFonts w:hint="eastAsia" w:ascii="宋体" w:hAnsi="宋体"/>
          <w:sz w:val="24"/>
          <w:szCs w:val="24"/>
        </w:rPr>
        <w:t>年月日</w:t>
      </w:r>
    </w:p>
    <w:p>
      <w:pPr>
        <w:spacing w:line="400" w:lineRule="exact"/>
      </w:pPr>
    </w:p>
    <w:p>
      <w:pPr>
        <w:spacing w:line="400" w:lineRule="exact"/>
      </w:pPr>
    </w:p>
    <w:p>
      <w:pPr>
        <w:spacing w:line="400" w:lineRule="exact"/>
      </w:pPr>
    </w:p>
    <w:p>
      <w:pPr>
        <w:pStyle w:val="5"/>
        <w:spacing w:before="260" w:after="260" w:line="412" w:lineRule="auto"/>
        <w:ind w:firstLine="137" w:firstLineChars="49"/>
        <w:rPr>
          <w:bCs w:val="0"/>
          <w:sz w:val="28"/>
          <w:szCs w:val="20"/>
        </w:rPr>
        <w:sectPr>
          <w:footerReference r:id="rId4" w:type="default"/>
          <w:pgSz w:w="12240" w:h="15840"/>
          <w:pgMar w:top="1440" w:right="1425" w:bottom="1440" w:left="1800" w:header="720" w:footer="720" w:gutter="0"/>
          <w:pgNumType w:start="4"/>
          <w:cols w:space="720" w:num="1"/>
          <w:docGrid w:linePitch="285" w:charSpace="0"/>
        </w:sectPr>
      </w:pPr>
      <w:bookmarkStart w:id="84" w:name="_Toc524038547"/>
    </w:p>
    <w:p>
      <w:pPr>
        <w:pStyle w:val="5"/>
        <w:spacing w:before="260" w:after="260" w:line="412" w:lineRule="auto"/>
        <w:ind w:firstLine="137" w:firstLineChars="49"/>
        <w:rPr>
          <w:bCs w:val="0"/>
          <w:sz w:val="28"/>
          <w:szCs w:val="20"/>
        </w:rPr>
      </w:pPr>
      <w:r>
        <w:rPr>
          <w:bCs w:val="0"/>
          <w:sz w:val="28"/>
          <w:szCs w:val="20"/>
        </w:rPr>
        <w:t>附件三：问题的澄清</w:t>
      </w:r>
      <w:bookmarkEnd w:id="84"/>
      <w:r>
        <w:rPr>
          <w:rFonts w:hint="eastAsia"/>
          <w:b/>
          <w:sz w:val="28"/>
          <w:szCs w:val="20"/>
        </w:rPr>
        <w:t>（按广州公共资源交易中心问题澄清格式）</w:t>
      </w:r>
    </w:p>
    <w:p>
      <w:pPr>
        <w:spacing w:line="400" w:lineRule="exact"/>
        <w:jc w:val="center"/>
        <w:rPr>
          <w:rFonts w:eastAsia="黑体"/>
          <w:sz w:val="28"/>
        </w:rPr>
      </w:pPr>
    </w:p>
    <w:bookmarkEnd w:id="82"/>
    <w:bookmarkEnd w:id="83"/>
    <w:p>
      <w:pPr>
        <w:spacing w:line="360" w:lineRule="auto"/>
        <w:jc w:val="center"/>
        <w:rPr>
          <w:rFonts w:ascii="宋体" w:hAnsi="宋体"/>
          <w:b/>
          <w:sz w:val="32"/>
          <w:szCs w:val="32"/>
        </w:rPr>
      </w:pPr>
      <w:r>
        <w:rPr>
          <w:rFonts w:hint="eastAsia" w:ascii="宋体" w:hAnsi="宋体"/>
          <w:b/>
          <w:sz w:val="32"/>
          <w:szCs w:val="32"/>
        </w:rPr>
        <w:t>问题的澄清</w:t>
      </w:r>
    </w:p>
    <w:p>
      <w:pPr>
        <w:spacing w:line="360" w:lineRule="auto"/>
        <w:jc w:val="center"/>
        <w:rPr>
          <w:rFonts w:ascii="宋体" w:hAnsi="宋体"/>
          <w:sz w:val="24"/>
          <w:szCs w:val="24"/>
        </w:rPr>
      </w:pPr>
      <w:r>
        <w:rPr>
          <w:rFonts w:hint="eastAsia" w:ascii="宋体" w:hAnsi="宋体"/>
        </w:rPr>
        <w:t>（</w:t>
      </w:r>
      <w:r>
        <w:rPr>
          <w:rFonts w:hint="eastAsia" w:ascii="宋体" w:hAnsi="宋体"/>
          <w:sz w:val="24"/>
          <w:szCs w:val="24"/>
        </w:rPr>
        <w:t>编号：）</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评标委员会：</w:t>
      </w:r>
    </w:p>
    <w:p>
      <w:pPr>
        <w:spacing w:line="360" w:lineRule="auto"/>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问题澄清通知（编号：）已收悉，现澄清、说明或补正如下：</w:t>
      </w:r>
    </w:p>
    <w:p>
      <w:pPr>
        <w:spacing w:line="360" w:lineRule="auto"/>
        <w:ind w:firstLine="960" w:firstLineChars="400"/>
        <w:rPr>
          <w:rFonts w:ascii="宋体" w:hAnsi="宋体"/>
          <w:sz w:val="24"/>
          <w:szCs w:val="24"/>
        </w:rPr>
      </w:pPr>
      <w:r>
        <w:rPr>
          <w:rFonts w:ascii="宋体" w:hAnsi="宋体"/>
          <w:sz w:val="24"/>
          <w:szCs w:val="24"/>
        </w:rPr>
        <w:t>1.</w:t>
      </w:r>
    </w:p>
    <w:p>
      <w:pPr>
        <w:spacing w:line="360" w:lineRule="auto"/>
        <w:ind w:firstLine="960" w:firstLineChars="400"/>
        <w:rPr>
          <w:rFonts w:ascii="宋体" w:hAnsi="宋体"/>
          <w:sz w:val="24"/>
          <w:szCs w:val="24"/>
        </w:rPr>
      </w:pPr>
      <w:r>
        <w:rPr>
          <w:rFonts w:ascii="宋体" w:hAnsi="宋体"/>
          <w:sz w:val="24"/>
          <w:szCs w:val="24"/>
        </w:rPr>
        <w:t>2.</w:t>
      </w:r>
    </w:p>
    <w:p>
      <w:pPr>
        <w:spacing w:line="360" w:lineRule="auto"/>
        <w:ind w:firstLine="960" w:firstLineChars="400"/>
        <w:rPr>
          <w:rFonts w:ascii="宋体" w:hAnsi="宋体"/>
          <w:sz w:val="24"/>
          <w:szCs w:val="24"/>
        </w:rPr>
      </w:pPr>
      <w:r>
        <w:rPr>
          <w:rFonts w:ascii="宋体" w:hAnsi="宋体"/>
          <w:sz w:val="24"/>
          <w:szCs w:val="24"/>
        </w:rPr>
        <w:t>.....</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上述问题澄清、说明或补正，不改变我方投标文件的实质性内容，构成我方投标文件的组成部分。</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jc w:val="right"/>
        <w:rPr>
          <w:rFonts w:ascii="宋体" w:hAnsi="宋体"/>
          <w:sz w:val="24"/>
          <w:szCs w:val="24"/>
        </w:rPr>
      </w:pPr>
      <w:r>
        <w:rPr>
          <w:rFonts w:hint="eastAsia" w:ascii="宋体" w:hAnsi="宋体"/>
          <w:sz w:val="24"/>
          <w:szCs w:val="24"/>
        </w:rPr>
        <w:t>投标人：（盖单位章）</w:t>
      </w:r>
    </w:p>
    <w:p>
      <w:pPr>
        <w:spacing w:line="360" w:lineRule="auto"/>
        <w:ind w:firstLine="3360" w:firstLineChars="1400"/>
        <w:rPr>
          <w:rFonts w:ascii="宋体" w:hAnsi="宋体"/>
          <w:sz w:val="24"/>
          <w:szCs w:val="24"/>
        </w:rPr>
      </w:pPr>
      <w:r>
        <w:rPr>
          <w:rFonts w:hint="eastAsia" w:ascii="宋体" w:hAnsi="宋体"/>
          <w:sz w:val="24"/>
          <w:szCs w:val="24"/>
        </w:rPr>
        <w:t>法定代表人或其委托代理人：（签字）</w:t>
      </w:r>
    </w:p>
    <w:p>
      <w:pPr>
        <w:spacing w:line="360" w:lineRule="auto"/>
        <w:ind w:firstLine="5400" w:firstLineChars="2250"/>
        <w:rPr>
          <w:rFonts w:ascii="宋体" w:hAnsi="宋体"/>
          <w:sz w:val="24"/>
          <w:szCs w:val="24"/>
        </w:rPr>
      </w:pPr>
      <w:r>
        <w:rPr>
          <w:rFonts w:hint="eastAsia" w:ascii="宋体" w:hAnsi="宋体"/>
          <w:sz w:val="24"/>
          <w:szCs w:val="24"/>
        </w:rPr>
        <w:t>年月日</w:t>
      </w:r>
    </w:p>
    <w:p>
      <w:pPr>
        <w:spacing w:line="400" w:lineRule="exact"/>
      </w:pPr>
    </w:p>
    <w:p>
      <w:pPr>
        <w:spacing w:line="400" w:lineRule="exact"/>
      </w:pPr>
    </w:p>
    <w:p>
      <w:pPr>
        <w:spacing w:line="400" w:lineRule="exact"/>
      </w:pPr>
    </w:p>
    <w:p>
      <w:pPr>
        <w:spacing w:line="400" w:lineRule="exact"/>
      </w:pPr>
    </w:p>
    <w:p>
      <w:pPr>
        <w:spacing w:line="400" w:lineRule="exact"/>
      </w:pPr>
    </w:p>
    <w:p>
      <w:pPr>
        <w:pStyle w:val="5"/>
        <w:spacing w:before="260" w:after="260" w:line="412" w:lineRule="auto"/>
        <w:ind w:firstLine="137" w:firstLineChars="49"/>
        <w:rPr>
          <w:bCs w:val="0"/>
          <w:sz w:val="28"/>
          <w:szCs w:val="20"/>
        </w:rPr>
        <w:sectPr>
          <w:pgSz w:w="12240" w:h="15840"/>
          <w:pgMar w:top="1440" w:right="1425" w:bottom="1440" w:left="1800" w:header="720" w:footer="720" w:gutter="0"/>
          <w:cols w:space="720" w:num="1"/>
          <w:docGrid w:linePitch="285" w:charSpace="0"/>
        </w:sectPr>
      </w:pPr>
      <w:bookmarkStart w:id="85" w:name="_Toc492300623"/>
      <w:bookmarkStart w:id="86" w:name="_Toc524038548"/>
    </w:p>
    <w:p>
      <w:pPr>
        <w:pStyle w:val="5"/>
        <w:spacing w:before="260" w:after="260" w:line="412" w:lineRule="auto"/>
        <w:ind w:firstLine="137" w:firstLineChars="49"/>
        <w:rPr>
          <w:bCs w:val="0"/>
          <w:sz w:val="28"/>
          <w:szCs w:val="20"/>
        </w:rPr>
      </w:pPr>
      <w:r>
        <w:rPr>
          <w:rFonts w:hint="eastAsia"/>
          <w:bCs w:val="0"/>
          <w:sz w:val="28"/>
          <w:szCs w:val="20"/>
        </w:rPr>
        <w:t>附件四：中标通知书</w:t>
      </w:r>
      <w:bookmarkEnd w:id="85"/>
      <w:bookmarkEnd w:id="86"/>
    </w:p>
    <w:p>
      <w:pPr>
        <w:spacing w:line="400" w:lineRule="exact"/>
      </w:pPr>
    </w:p>
    <w:p>
      <w:pPr>
        <w:spacing w:line="400" w:lineRule="exact"/>
        <w:jc w:val="center"/>
        <w:rPr>
          <w:b/>
          <w:bCs/>
          <w:sz w:val="28"/>
          <w:szCs w:val="28"/>
        </w:rPr>
      </w:pPr>
      <w:r>
        <w:rPr>
          <w:rFonts w:hint="eastAsia"/>
          <w:b/>
          <w:bCs/>
          <w:sz w:val="28"/>
          <w:szCs w:val="28"/>
        </w:rPr>
        <w:t>（按广州公共资源交易中心中标通知书格式）</w:t>
      </w:r>
    </w:p>
    <w:p>
      <w:pPr>
        <w:widowControl/>
        <w:jc w:val="left"/>
      </w:pPr>
      <w:r>
        <w:br w:type="page"/>
      </w:r>
    </w:p>
    <w:p>
      <w:pPr>
        <w:spacing w:line="440" w:lineRule="exact"/>
      </w:pPr>
    </w:p>
    <w:p>
      <w:pPr>
        <w:pStyle w:val="4"/>
        <w:spacing w:line="360" w:lineRule="auto"/>
        <w:jc w:val="center"/>
        <w:rPr>
          <w:rFonts w:ascii="宋体" w:hAnsi="宋体" w:eastAsia="宋体" w:cs="宋体"/>
          <w:sz w:val="36"/>
          <w:szCs w:val="36"/>
        </w:rPr>
      </w:pPr>
      <w:r>
        <w:rPr>
          <w:rFonts w:hint="eastAsia" w:ascii="宋体" w:hAnsi="宋体" w:eastAsia="宋体" w:cs="宋体"/>
          <w:sz w:val="36"/>
          <w:szCs w:val="36"/>
        </w:rPr>
        <w:t>第三章 评标办法 (综合评估法)</w:t>
      </w:r>
    </w:p>
    <w:p>
      <w:pPr>
        <w:pStyle w:val="4"/>
        <w:jc w:val="center"/>
        <w:rPr>
          <w:rFonts w:ascii="Times New Roman" w:hAnsi="Times New Roman"/>
        </w:rPr>
      </w:pPr>
      <w:bookmarkStart w:id="87" w:name="_Toc511140226"/>
      <w:r>
        <w:rPr>
          <w:rFonts w:hint="eastAsia" w:ascii="Times New Roman" w:hAnsi="Times New Roman"/>
        </w:rPr>
        <w:t>评标办法前附表</w:t>
      </w:r>
      <w:bookmarkEnd w:id="87"/>
    </w:p>
    <w:tbl>
      <w:tblPr>
        <w:tblStyle w:val="28"/>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1229"/>
        <w:gridCol w:w="2130"/>
        <w:gridCol w:w="5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5" w:type="dxa"/>
            <w:gridSpan w:val="2"/>
            <w:tcBorders>
              <w:top w:val="single" w:color="auto" w:sz="4" w:space="0"/>
              <w:bottom w:val="single" w:color="auto" w:sz="4" w:space="0"/>
              <w:right w:val="single" w:color="auto" w:sz="4" w:space="0"/>
            </w:tcBorders>
            <w:noWrap/>
            <w:vAlign w:val="center"/>
          </w:tcPr>
          <w:p>
            <w:pPr>
              <w:spacing w:line="440" w:lineRule="exact"/>
              <w:jc w:val="center"/>
              <w:rPr>
                <w:rFonts w:ascii="Calibri" w:hAnsi="Calibri"/>
                <w:b/>
                <w:szCs w:val="21"/>
              </w:rPr>
            </w:pPr>
            <w:r>
              <w:rPr>
                <w:rFonts w:hint="eastAsia" w:ascii="Calibri" w:hAnsi="Calibri"/>
                <w:b/>
                <w:szCs w:val="21"/>
              </w:rPr>
              <w:t>条款号</w:t>
            </w: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b/>
                <w:szCs w:val="21"/>
              </w:rPr>
            </w:pPr>
            <w:r>
              <w:rPr>
                <w:rFonts w:hint="eastAsia" w:ascii="Calibri" w:hAnsi="Calibri"/>
                <w:b/>
                <w:szCs w:val="21"/>
              </w:rPr>
              <w:t>评审因素</w:t>
            </w:r>
          </w:p>
        </w:tc>
        <w:tc>
          <w:tcPr>
            <w:tcW w:w="5415" w:type="dxa"/>
            <w:tcBorders>
              <w:top w:val="single" w:color="auto" w:sz="4" w:space="0"/>
              <w:left w:val="single" w:color="auto" w:sz="4" w:space="0"/>
              <w:bottom w:val="single" w:color="auto" w:sz="4" w:space="0"/>
            </w:tcBorders>
            <w:noWrap/>
            <w:vAlign w:val="center"/>
          </w:tcPr>
          <w:p>
            <w:pPr>
              <w:spacing w:line="440" w:lineRule="exact"/>
              <w:jc w:val="center"/>
              <w:rPr>
                <w:rFonts w:ascii="Calibri" w:hAnsi="Calibri"/>
                <w:b/>
                <w:szCs w:val="21"/>
              </w:rPr>
            </w:pPr>
            <w:r>
              <w:rPr>
                <w:rFonts w:hint="eastAsia" w:ascii="Calibri" w:hAnsi="Calibri"/>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766" w:type="dxa"/>
            <w:tcBorders>
              <w:top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szCs w:val="21"/>
              </w:rPr>
              <w:t>1</w:t>
            </w:r>
          </w:p>
        </w:tc>
        <w:tc>
          <w:tcPr>
            <w:tcW w:w="1229"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评标方法</w:t>
            </w: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szCs w:val="21"/>
              </w:rPr>
            </w:pPr>
            <w:r>
              <w:rPr>
                <w:rFonts w:hint="eastAsia"/>
                <w:szCs w:val="21"/>
              </w:rPr>
              <w:t>中标候选人</w:t>
            </w:r>
          </w:p>
          <w:p>
            <w:pPr>
              <w:spacing w:line="440" w:lineRule="exact"/>
              <w:jc w:val="center"/>
              <w:rPr>
                <w:rFonts w:ascii="Calibri" w:hAnsi="Calibri"/>
                <w:szCs w:val="21"/>
              </w:rPr>
            </w:pPr>
            <w:r>
              <w:rPr>
                <w:rFonts w:hint="eastAsia"/>
                <w:szCs w:val="21"/>
              </w:rPr>
              <w:t>排序方法</w:t>
            </w:r>
          </w:p>
        </w:tc>
        <w:tc>
          <w:tcPr>
            <w:tcW w:w="5415" w:type="dxa"/>
            <w:tcBorders>
              <w:top w:val="single" w:color="auto" w:sz="4" w:space="0"/>
              <w:left w:val="single" w:color="auto" w:sz="4" w:space="0"/>
              <w:bottom w:val="single" w:color="auto" w:sz="4" w:space="0"/>
            </w:tcBorders>
            <w:noWrap/>
            <w:vAlign w:val="center"/>
          </w:tcPr>
          <w:p>
            <w:pPr>
              <w:rPr>
                <w:rFonts w:ascii="宋体" w:hAnsi="宋体" w:cs="宋体"/>
                <w:szCs w:val="21"/>
              </w:rPr>
            </w:pPr>
            <w:r>
              <w:rPr>
                <w:rFonts w:hint="eastAsia" w:ascii="等线" w:hAnsi="等线" w:cs="宋体"/>
                <w:szCs w:val="21"/>
              </w:rPr>
              <w:t>如仍存在相同情况，则对具有相同情况的投标人，由评委通过记名投票表决（不得弃权），以得票多的优先。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restart"/>
            <w:tcBorders>
              <w:top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szCs w:val="21"/>
              </w:rPr>
              <w:t>2.1.1</w:t>
            </w:r>
          </w:p>
        </w:tc>
        <w:tc>
          <w:tcPr>
            <w:tcW w:w="1229" w:type="dxa"/>
            <w:vMerge w:val="restart"/>
            <w:tcBorders>
              <w:top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形式评审标准</w:t>
            </w: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投标人名称</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top w:val="nil"/>
              <w:bottom w:val="single" w:color="auto" w:sz="4" w:space="0"/>
              <w:right w:val="single" w:color="auto" w:sz="4" w:space="0"/>
            </w:tcBorders>
            <w:noWrap/>
            <w:vAlign w:val="center"/>
          </w:tcPr>
          <w:p>
            <w:pPr>
              <w:rPr>
                <w:rFonts w:ascii="Calibri" w:hAnsi="Calibri"/>
                <w:szCs w:val="21"/>
              </w:rPr>
            </w:pPr>
          </w:p>
        </w:tc>
        <w:tc>
          <w:tcPr>
            <w:tcW w:w="1229" w:type="dxa"/>
            <w:vMerge w:val="continue"/>
            <w:tcBorders>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投标函及投标函附录签字盖章</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有法定代表人或其委托代理人签字或加盖单位章。由法定代表人签字的，应附法定代表人身份证明，由代理人签字的，应附授权委托书，法定代表人身份证明或授权委托书应符合第六章“投标文件格式”的规定。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top w:val="nil"/>
              <w:bottom w:val="single" w:color="auto" w:sz="4" w:space="0"/>
              <w:right w:val="single" w:color="auto" w:sz="4" w:space="0"/>
            </w:tcBorders>
            <w:noWrap/>
            <w:vAlign w:val="center"/>
          </w:tcPr>
          <w:p>
            <w:pPr>
              <w:rPr>
                <w:rFonts w:ascii="Calibri" w:hAnsi="Calibri"/>
                <w:szCs w:val="21"/>
              </w:rPr>
            </w:pPr>
          </w:p>
        </w:tc>
        <w:tc>
          <w:tcPr>
            <w:tcW w:w="1229" w:type="dxa"/>
            <w:vMerge w:val="continue"/>
            <w:tcBorders>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投标文件格式</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符合第六章“投标文件格式”的规定（评审格式为《一、投标函及投标函附录》）。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top w:val="nil"/>
              <w:bottom w:val="single" w:color="auto" w:sz="4" w:space="0"/>
              <w:right w:val="single" w:color="auto" w:sz="4" w:space="0"/>
            </w:tcBorders>
            <w:noWrap/>
            <w:vAlign w:val="center"/>
          </w:tcPr>
          <w:p>
            <w:pPr>
              <w:rPr>
                <w:rFonts w:ascii="Calibri" w:hAnsi="Calibri"/>
                <w:szCs w:val="21"/>
              </w:rPr>
            </w:pPr>
          </w:p>
        </w:tc>
        <w:tc>
          <w:tcPr>
            <w:tcW w:w="1229" w:type="dxa"/>
            <w:vMerge w:val="continue"/>
            <w:tcBorders>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联合体投标人</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u w:val="single"/>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top w:val="nil"/>
              <w:bottom w:val="single" w:color="auto" w:sz="4" w:space="0"/>
              <w:right w:val="single" w:color="auto" w:sz="4" w:space="0"/>
            </w:tcBorders>
            <w:noWrap/>
            <w:vAlign w:val="center"/>
          </w:tcPr>
          <w:p>
            <w:pPr>
              <w:rPr>
                <w:rFonts w:ascii="Calibri" w:hAnsi="Calibri"/>
                <w:szCs w:val="21"/>
              </w:rPr>
            </w:pPr>
          </w:p>
        </w:tc>
        <w:tc>
          <w:tcPr>
            <w:tcW w:w="1229" w:type="dxa"/>
            <w:vMerge w:val="continue"/>
            <w:tcBorders>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投标人机器码</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投标人与本项目其他投标人加密打包投标文件电脑机器特征码一致的(以广州公共资源交易中心交易平台评标系统的检索信息为准)视为不合格。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3" w:hRule="atLeast"/>
          <w:jc w:val="center"/>
        </w:trPr>
        <w:tc>
          <w:tcPr>
            <w:tcW w:w="766" w:type="dxa"/>
            <w:vMerge w:val="continue"/>
            <w:tcBorders>
              <w:top w:val="nil"/>
              <w:bottom w:val="single" w:color="auto" w:sz="4" w:space="0"/>
              <w:right w:val="single" w:color="auto" w:sz="4" w:space="0"/>
            </w:tcBorders>
            <w:noWrap/>
          </w:tcPr>
          <w:p>
            <w:pPr>
              <w:rPr>
                <w:rFonts w:ascii="Calibri" w:hAnsi="Calibri"/>
                <w:szCs w:val="21"/>
              </w:rPr>
            </w:pPr>
          </w:p>
        </w:tc>
        <w:tc>
          <w:tcPr>
            <w:tcW w:w="1229" w:type="dxa"/>
            <w:vMerge w:val="continue"/>
            <w:tcBorders>
              <w:left w:val="single" w:color="auto" w:sz="4" w:space="0"/>
              <w:right w:val="single" w:color="auto" w:sz="4" w:space="0"/>
            </w:tcBorders>
            <w:noWrap/>
          </w:tcPr>
          <w:p>
            <w:pPr>
              <w:rPr>
                <w:rFonts w:ascii="Calibri" w:hAnsi="Calibri"/>
                <w:szCs w:val="21"/>
              </w:rPr>
            </w:pPr>
          </w:p>
        </w:tc>
        <w:tc>
          <w:tcPr>
            <w:tcW w:w="2130" w:type="dxa"/>
            <w:tcBorders>
              <w:top w:val="single" w:color="auto" w:sz="4" w:space="0"/>
              <w:left w:val="single" w:color="auto" w:sz="4" w:space="0"/>
              <w:right w:val="single" w:color="auto" w:sz="4" w:space="0"/>
            </w:tcBorders>
            <w:noWrap/>
          </w:tcPr>
          <w:p>
            <w:pPr>
              <w:spacing w:line="440" w:lineRule="exact"/>
              <w:jc w:val="center"/>
              <w:rPr>
                <w:rFonts w:ascii="Calibri" w:hAnsi="Calibri"/>
                <w:szCs w:val="21"/>
              </w:rPr>
            </w:pPr>
            <w:r>
              <w:rPr>
                <w:rFonts w:hint="eastAsia" w:ascii="宋体" w:hAnsi="宋体" w:cs="宋体"/>
                <w:szCs w:val="21"/>
              </w:rPr>
              <w:t>备选投标方案</w:t>
            </w:r>
          </w:p>
        </w:tc>
        <w:tc>
          <w:tcPr>
            <w:tcW w:w="5415" w:type="dxa"/>
            <w:tcBorders>
              <w:left w:val="single" w:color="auto" w:sz="4" w:space="0"/>
            </w:tcBorders>
            <w:noWrap/>
            <w:vAlign w:val="center"/>
          </w:tcPr>
          <w:p>
            <w:pPr>
              <w:spacing w:line="440" w:lineRule="exact"/>
              <w:rPr>
                <w:rFonts w:ascii="宋体" w:hAnsi="宋体" w:cs="宋体"/>
                <w:szCs w:val="21"/>
              </w:rPr>
            </w:pPr>
            <w:r>
              <w:rPr>
                <w:rFonts w:hint="eastAsia" w:ascii="宋体" w:hAnsi="宋体" w:cs="宋体"/>
                <w:szCs w:val="21"/>
              </w:rPr>
              <w:t>本项目不接受备选投标方案。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restart"/>
            <w:tcBorders>
              <w:top w:val="single" w:color="auto" w:sz="4" w:space="0"/>
              <w:right w:val="single" w:color="auto" w:sz="4" w:space="0"/>
            </w:tcBorders>
            <w:noWrap/>
            <w:vAlign w:val="center"/>
          </w:tcPr>
          <w:p>
            <w:pPr>
              <w:spacing w:line="440" w:lineRule="exact"/>
              <w:jc w:val="center"/>
              <w:rPr>
                <w:rFonts w:ascii="Calibri" w:hAnsi="Calibri"/>
                <w:szCs w:val="21"/>
              </w:rPr>
            </w:pPr>
            <w:r>
              <w:rPr>
                <w:rFonts w:ascii="Calibri" w:hAnsi="Calibri"/>
                <w:szCs w:val="21"/>
              </w:rPr>
              <w:t>2.1.2</w:t>
            </w:r>
          </w:p>
        </w:tc>
        <w:tc>
          <w:tcPr>
            <w:tcW w:w="1229" w:type="dxa"/>
            <w:vMerge w:val="restart"/>
            <w:tcBorders>
              <w:top w:val="single" w:color="auto" w:sz="4" w:space="0"/>
              <w:left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资格评审标准</w:t>
            </w: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营业执照</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符合第二章“投标人须知”第3.5.1项规定，具备有效的营业执照（按照“三证合一”或“五证合一”登记制度进行登记的，可仅提供营业执照）。香港企业提供在香港进行商业登记的证明文书。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资质要求</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符合第二章“投标人须知”第</w:t>
            </w:r>
            <w:r>
              <w:rPr>
                <w:rFonts w:ascii="宋体" w:hAnsi="宋体" w:cs="宋体"/>
                <w:szCs w:val="21"/>
              </w:rPr>
              <w:t>1.4.1项规定</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财务要求</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8" w:hRule="atLeas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业绩要求</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信誉要求</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总监理工程师</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Calibri" w:hAnsi="Calibri"/>
                <w:szCs w:val="21"/>
                <w:u w:val="single"/>
              </w:rPr>
            </w:pPr>
            <w:r>
              <w:rPr>
                <w:rFonts w:hint="eastAsia" w:ascii="宋体" w:hAnsi="宋体" w:cs="宋体"/>
                <w:szCs w:val="21"/>
              </w:rPr>
              <w:t>符合第二章“投标人须知”第</w:t>
            </w:r>
            <w:r>
              <w:rPr>
                <w:rFonts w:ascii="宋体" w:hAnsi="宋体" w:cs="宋体"/>
                <w:szCs w:val="21"/>
              </w:rPr>
              <w:t>1.4.1项规定</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其他主要人员</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2" w:hRule="atLeas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试验检测仪器设备</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其他要求</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联合体投标人</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Calibri" w:hAnsi="Calibri"/>
                <w:szCs w:val="21"/>
              </w:rPr>
              <w:t>本项目不允许联合体投标。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不存在禁止投标的情形</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Calibri" w:hAnsi="Calibri"/>
                <w:szCs w:val="21"/>
                <w:u w:val="single"/>
              </w:rPr>
            </w:pPr>
            <w:r>
              <w:rPr>
                <w:rFonts w:hint="eastAsia" w:ascii="宋体" w:hAnsi="宋体" w:cs="宋体"/>
                <w:szCs w:val="21"/>
              </w:rPr>
              <w:t>不存在第二章“投标人须知”第1.4.3项规定的任何一种情形，按照投标人提交的《投标人声明》审核。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bottom w:val="single" w:color="auto" w:sz="4" w:space="0"/>
              <w:right w:val="single" w:color="auto" w:sz="4" w:space="0"/>
            </w:tcBorders>
            <w:noWrap/>
            <w:vAlign w:val="center"/>
          </w:tcPr>
          <w:p>
            <w:pPr>
              <w:rPr>
                <w:rFonts w:ascii="Calibri" w:hAnsi="Calibri"/>
                <w:szCs w:val="21"/>
              </w:rPr>
            </w:pPr>
          </w:p>
        </w:tc>
        <w:tc>
          <w:tcPr>
            <w:tcW w:w="1229" w:type="dxa"/>
            <w:vMerge w:val="continue"/>
            <w:tcBorders>
              <w:left w:val="single" w:color="auto" w:sz="4" w:space="0"/>
              <w:bottom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未被列入拖欠农民工工资失信联合惩戒对象名单</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投标人无需提供资料，按交易系统比对的结果进行评审。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766" w:type="dxa"/>
            <w:vMerge w:val="restart"/>
            <w:tcBorders>
              <w:top w:val="single" w:color="auto" w:sz="4" w:space="0"/>
              <w:right w:val="single" w:color="auto" w:sz="4" w:space="0"/>
            </w:tcBorders>
            <w:noWrap/>
            <w:vAlign w:val="center"/>
          </w:tcPr>
          <w:p>
            <w:pPr>
              <w:spacing w:line="440" w:lineRule="exact"/>
              <w:jc w:val="center"/>
              <w:rPr>
                <w:rFonts w:ascii="Calibri" w:hAnsi="Calibri"/>
                <w:szCs w:val="21"/>
              </w:rPr>
            </w:pPr>
            <w:r>
              <w:rPr>
                <w:szCs w:val="21"/>
              </w:rPr>
              <w:t>2.1.3</w:t>
            </w:r>
          </w:p>
        </w:tc>
        <w:tc>
          <w:tcPr>
            <w:tcW w:w="1229" w:type="dxa"/>
            <w:vMerge w:val="restart"/>
            <w:tcBorders>
              <w:top w:val="single" w:color="auto" w:sz="4" w:space="0"/>
              <w:left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响应性评审标准</w:t>
            </w:r>
          </w:p>
        </w:tc>
        <w:tc>
          <w:tcPr>
            <w:tcW w:w="2130" w:type="dxa"/>
            <w:tcBorders>
              <w:top w:val="single" w:color="auto" w:sz="4" w:space="0"/>
              <w:left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投标报价</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符合第二章“投标人须知”第3.2款规定进行投标报价的；对同一招标项目没有出现两个或以上的投标报价，且修正无依据。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spacing w:line="440" w:lineRule="exact"/>
              <w:jc w:val="center"/>
              <w:rPr>
                <w:rFonts w:ascii="Calibri" w:hAnsi="Calibri"/>
                <w:szCs w:val="21"/>
              </w:rPr>
            </w:pPr>
          </w:p>
        </w:tc>
        <w:tc>
          <w:tcPr>
            <w:tcW w:w="1229" w:type="dxa"/>
            <w:vMerge w:val="continue"/>
            <w:tcBorders>
              <w:left w:val="single" w:color="auto" w:sz="4" w:space="0"/>
              <w:right w:val="single" w:color="auto" w:sz="4" w:space="0"/>
            </w:tcBorders>
            <w:noWrap/>
            <w:vAlign w:val="center"/>
          </w:tcPr>
          <w:p>
            <w:pPr>
              <w:spacing w:line="440" w:lineRule="exact"/>
              <w:jc w:val="cente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投标内容</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spacing w:line="440" w:lineRule="exact"/>
              <w:jc w:val="center"/>
              <w:rPr>
                <w:rFonts w:ascii="Calibri" w:hAnsi="Calibri"/>
                <w:szCs w:val="21"/>
              </w:rPr>
            </w:pPr>
          </w:p>
        </w:tc>
        <w:tc>
          <w:tcPr>
            <w:tcW w:w="1229" w:type="dxa"/>
            <w:vMerge w:val="continue"/>
            <w:tcBorders>
              <w:left w:val="single" w:color="auto" w:sz="4" w:space="0"/>
              <w:right w:val="single" w:color="auto" w:sz="4" w:space="0"/>
            </w:tcBorders>
            <w:noWrap/>
            <w:vAlign w:val="center"/>
          </w:tcPr>
          <w:p>
            <w:pPr>
              <w:spacing w:line="440" w:lineRule="exact"/>
              <w:jc w:val="cente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监理服务期限</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spacing w:line="440" w:lineRule="exact"/>
              <w:jc w:val="center"/>
              <w:rPr>
                <w:rFonts w:ascii="Calibri" w:hAnsi="Calibri"/>
                <w:szCs w:val="21"/>
              </w:rPr>
            </w:pPr>
          </w:p>
        </w:tc>
        <w:tc>
          <w:tcPr>
            <w:tcW w:w="1229" w:type="dxa"/>
            <w:vMerge w:val="continue"/>
            <w:tcBorders>
              <w:left w:val="single" w:color="auto" w:sz="4" w:space="0"/>
              <w:right w:val="single" w:color="auto" w:sz="4" w:space="0"/>
            </w:tcBorders>
            <w:noWrap/>
            <w:vAlign w:val="center"/>
          </w:tcPr>
          <w:p>
            <w:pPr>
              <w:spacing w:line="440" w:lineRule="exact"/>
              <w:jc w:val="cente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szCs w:val="21"/>
              </w:rPr>
              <w:t>质量标准</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cs="宋体"/>
                <w:szCs w:val="21"/>
              </w:rPr>
            </w:pPr>
            <w:r>
              <w:rPr>
                <w:rFonts w:hint="eastAsia" w:ascii="宋体" w:hAnsi="宋体" w:cs="宋体"/>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Calibri" w:hAnsi="Calibri"/>
                <w:szCs w:val="21"/>
              </w:rPr>
            </w:pPr>
            <w:r>
              <w:rPr>
                <w:rFonts w:hint="eastAsia"/>
                <w:szCs w:val="21"/>
              </w:rPr>
              <w:t>投标有效期</w:t>
            </w:r>
          </w:p>
        </w:tc>
        <w:tc>
          <w:tcPr>
            <w:tcW w:w="5415" w:type="dxa"/>
            <w:tcBorders>
              <w:top w:val="single" w:color="auto" w:sz="4" w:space="0"/>
              <w:left w:val="single" w:color="auto" w:sz="4" w:space="0"/>
              <w:bottom w:val="single" w:color="auto" w:sz="4" w:space="0"/>
            </w:tcBorders>
            <w:noWrap/>
          </w:tcPr>
          <w:p>
            <w:pPr>
              <w:spacing w:line="440" w:lineRule="exact"/>
              <w:rPr>
                <w:rFonts w:ascii="宋体" w:hAnsi="宋体" w:cs="宋体"/>
                <w:szCs w:val="21"/>
              </w:rPr>
            </w:pPr>
            <w:r>
              <w:rPr>
                <w:rFonts w:hint="eastAsia" w:ascii="宋体" w:hAnsi="宋体" w:cs="宋体"/>
                <w:szCs w:val="21"/>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66" w:type="dxa"/>
            <w:vMerge w:val="continue"/>
            <w:tcBorders>
              <w:right w:val="single" w:color="auto" w:sz="4" w:space="0"/>
            </w:tcBorders>
            <w:noWrap/>
            <w:vAlign w:val="center"/>
          </w:tcPr>
          <w:p>
            <w:pPr>
              <w:rPr>
                <w:rFonts w:ascii="Calibri" w:hAnsi="Calibri"/>
                <w:szCs w:val="21"/>
              </w:rPr>
            </w:pPr>
          </w:p>
        </w:tc>
        <w:tc>
          <w:tcPr>
            <w:tcW w:w="1229" w:type="dxa"/>
            <w:vMerge w:val="continue"/>
            <w:tcBorders>
              <w:left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bottom w:val="single" w:color="auto" w:sz="4" w:space="0"/>
              <w:right w:val="single" w:color="auto" w:sz="4" w:space="0"/>
            </w:tcBorders>
            <w:noWrap/>
          </w:tcPr>
          <w:p>
            <w:pPr>
              <w:spacing w:line="440" w:lineRule="exact"/>
              <w:jc w:val="center"/>
              <w:rPr>
                <w:szCs w:val="21"/>
              </w:rPr>
            </w:pPr>
            <w:r>
              <w:rPr>
                <w:rFonts w:hint="eastAsia"/>
                <w:szCs w:val="21"/>
              </w:rPr>
              <w:t>投标保证金</w:t>
            </w:r>
          </w:p>
        </w:tc>
        <w:tc>
          <w:tcPr>
            <w:tcW w:w="5415" w:type="dxa"/>
            <w:tcBorders>
              <w:top w:val="single" w:color="auto" w:sz="4" w:space="0"/>
              <w:left w:val="single" w:color="auto" w:sz="4" w:space="0"/>
              <w:bottom w:val="single" w:color="auto" w:sz="4" w:space="0"/>
            </w:tcBorders>
            <w:noWrap/>
          </w:tcPr>
          <w:p>
            <w:pPr>
              <w:spacing w:line="440" w:lineRule="exact"/>
              <w:rPr>
                <w:rFonts w:ascii="宋体" w:hAnsi="宋体" w:cs="宋体"/>
                <w:szCs w:val="21"/>
              </w:rPr>
            </w:pPr>
            <w:r>
              <w:rPr>
                <w:rFonts w:hint="eastAsia" w:ascii="宋体" w:hAnsi="宋体" w:cs="宋体"/>
                <w:color w:val="000000" w:themeColor="text1"/>
                <w:szCs w:val="21"/>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jc w:val="center"/>
        </w:trPr>
        <w:tc>
          <w:tcPr>
            <w:tcW w:w="766" w:type="dxa"/>
            <w:vMerge w:val="continue"/>
            <w:tcBorders>
              <w:bottom w:val="single" w:color="auto" w:sz="4" w:space="0"/>
              <w:right w:val="single" w:color="auto" w:sz="4" w:space="0"/>
            </w:tcBorders>
            <w:noWrap/>
            <w:vAlign w:val="center"/>
          </w:tcPr>
          <w:p>
            <w:pPr>
              <w:rPr>
                <w:rFonts w:ascii="Calibri" w:hAnsi="Calibri"/>
                <w:szCs w:val="21"/>
              </w:rPr>
            </w:pPr>
          </w:p>
        </w:tc>
        <w:tc>
          <w:tcPr>
            <w:tcW w:w="1229" w:type="dxa"/>
            <w:vMerge w:val="continue"/>
            <w:tcBorders>
              <w:left w:val="single" w:color="auto" w:sz="4" w:space="0"/>
              <w:bottom w:val="single" w:color="auto" w:sz="4" w:space="0"/>
              <w:right w:val="single" w:color="auto" w:sz="4" w:space="0"/>
            </w:tcBorders>
            <w:noWrap/>
            <w:vAlign w:val="center"/>
          </w:tcPr>
          <w:p>
            <w:pPr>
              <w:rPr>
                <w:rFonts w:ascii="Calibri" w:hAnsi="Calibri"/>
                <w:szCs w:val="21"/>
              </w:rPr>
            </w:pPr>
          </w:p>
        </w:tc>
        <w:tc>
          <w:tcPr>
            <w:tcW w:w="2130" w:type="dxa"/>
            <w:tcBorders>
              <w:top w:val="single" w:color="auto" w:sz="4" w:space="0"/>
              <w:left w:val="single" w:color="auto" w:sz="4" w:space="0"/>
              <w:right w:val="single" w:color="auto" w:sz="4" w:space="0"/>
            </w:tcBorders>
            <w:noWrap/>
          </w:tcPr>
          <w:p>
            <w:pPr>
              <w:spacing w:line="440" w:lineRule="exact"/>
              <w:jc w:val="center"/>
              <w:rPr>
                <w:rFonts w:ascii="宋体" w:hAnsi="宋体" w:cs="宋体"/>
                <w:szCs w:val="21"/>
              </w:rPr>
            </w:pPr>
            <w:r>
              <w:rPr>
                <w:rFonts w:hint="eastAsia" w:ascii="宋体" w:hAnsi="宋体" w:cs="宋体"/>
                <w:szCs w:val="21"/>
              </w:rPr>
              <w:t>串通投标情形</w:t>
            </w:r>
          </w:p>
        </w:tc>
        <w:tc>
          <w:tcPr>
            <w:tcW w:w="5415" w:type="dxa"/>
            <w:tcBorders>
              <w:top w:val="single" w:color="auto" w:sz="4" w:space="0"/>
              <w:left w:val="single" w:color="auto" w:sz="4" w:space="0"/>
            </w:tcBorders>
            <w:noWrap/>
          </w:tcPr>
          <w:p>
            <w:pPr>
              <w:spacing w:line="440" w:lineRule="exact"/>
              <w:rPr>
                <w:rFonts w:ascii="宋体" w:hAnsi="宋体" w:cs="宋体"/>
                <w:szCs w:val="21"/>
              </w:rPr>
            </w:pPr>
            <w:r>
              <w:rPr>
                <w:rFonts w:hint="eastAsia" w:ascii="宋体" w:hAnsi="宋体" w:cs="宋体"/>
                <w:szCs w:val="21"/>
              </w:rPr>
              <w:t>投标人之间不存在《广东省实施&lt;中华人民共和国招标投标法&gt;》第十六条所禁止的情形的；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5" w:type="dxa"/>
            <w:gridSpan w:val="2"/>
            <w:tcBorders>
              <w:top w:val="single" w:color="auto" w:sz="4" w:space="0"/>
              <w:bottom w:val="single" w:color="auto" w:sz="4" w:space="0"/>
              <w:right w:val="single" w:color="auto" w:sz="4" w:space="0"/>
            </w:tcBorders>
            <w:noWrap/>
            <w:vAlign w:val="center"/>
          </w:tcPr>
          <w:p>
            <w:pPr>
              <w:spacing w:line="440" w:lineRule="exact"/>
              <w:jc w:val="center"/>
              <w:rPr>
                <w:rFonts w:ascii="Calibri" w:hAnsi="Calibri"/>
                <w:b/>
                <w:szCs w:val="21"/>
              </w:rPr>
            </w:pPr>
            <w:r>
              <w:rPr>
                <w:rFonts w:hint="eastAsia" w:ascii="Calibri" w:hAnsi="Calibri"/>
                <w:b/>
                <w:szCs w:val="21"/>
              </w:rPr>
              <w:t>条款号</w:t>
            </w: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b/>
                <w:szCs w:val="21"/>
              </w:rPr>
            </w:pPr>
            <w:r>
              <w:rPr>
                <w:rFonts w:hint="eastAsia" w:ascii="Calibri" w:hAnsi="Calibri"/>
                <w:b/>
                <w:szCs w:val="21"/>
              </w:rPr>
              <w:t>条款内容</w:t>
            </w:r>
          </w:p>
        </w:tc>
        <w:tc>
          <w:tcPr>
            <w:tcW w:w="5415" w:type="dxa"/>
            <w:tcBorders>
              <w:top w:val="single" w:color="auto" w:sz="4" w:space="0"/>
              <w:left w:val="single" w:color="auto" w:sz="4" w:space="0"/>
              <w:bottom w:val="single" w:color="auto" w:sz="4" w:space="0"/>
            </w:tcBorders>
            <w:noWrap/>
            <w:vAlign w:val="center"/>
          </w:tcPr>
          <w:p>
            <w:pPr>
              <w:spacing w:line="440" w:lineRule="exact"/>
              <w:jc w:val="center"/>
              <w:rPr>
                <w:rFonts w:ascii="宋体" w:hAnsi="宋体" w:cs="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1" w:hRule="atLeast"/>
          <w:jc w:val="center"/>
        </w:trPr>
        <w:tc>
          <w:tcPr>
            <w:tcW w:w="1995" w:type="dxa"/>
            <w:gridSpan w:val="2"/>
            <w:tcBorders>
              <w:bottom w:val="single" w:color="auto" w:sz="4" w:space="0"/>
              <w:right w:val="single" w:color="auto" w:sz="4" w:space="0"/>
            </w:tcBorders>
            <w:noWrap/>
            <w:vAlign w:val="center"/>
          </w:tcPr>
          <w:p>
            <w:pPr>
              <w:spacing w:line="440" w:lineRule="exact"/>
              <w:jc w:val="center"/>
              <w:rPr>
                <w:rFonts w:ascii="Calibri" w:hAnsi="Calibri"/>
                <w:szCs w:val="21"/>
              </w:rPr>
            </w:pPr>
            <w:r>
              <w:rPr>
                <w:rFonts w:ascii="Calibri" w:hAnsi="Calibri"/>
                <w:szCs w:val="21"/>
              </w:rPr>
              <w:t>2.2.1</w:t>
            </w: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分值构成</w:t>
            </w:r>
          </w:p>
          <w:p>
            <w:pPr>
              <w:spacing w:line="440" w:lineRule="exact"/>
              <w:jc w:val="center"/>
              <w:rPr>
                <w:rFonts w:ascii="Calibri" w:hAnsi="Calibri"/>
                <w:szCs w:val="21"/>
              </w:rPr>
            </w:pPr>
            <w:r>
              <w:rPr>
                <w:rFonts w:ascii="Calibri" w:hAnsi="Calibri"/>
                <w:szCs w:val="21"/>
              </w:rPr>
              <w:t>(</w:t>
            </w:r>
            <w:r>
              <w:rPr>
                <w:rFonts w:hint="eastAsia" w:ascii="Calibri" w:hAnsi="Calibri"/>
                <w:szCs w:val="21"/>
              </w:rPr>
              <w:t>总分</w:t>
            </w:r>
            <w:r>
              <w:rPr>
                <w:rFonts w:ascii="Calibri" w:hAnsi="Calibri"/>
                <w:szCs w:val="21"/>
              </w:rPr>
              <w:t>100</w:t>
            </w:r>
            <w:r>
              <w:rPr>
                <w:rFonts w:hint="eastAsia" w:ascii="Calibri" w:hAnsi="Calibri"/>
                <w:szCs w:val="21"/>
              </w:rPr>
              <w:t>分</w:t>
            </w:r>
            <w:r>
              <w:rPr>
                <w:rFonts w:ascii="Calibri" w:hAnsi="Calibri"/>
                <w:szCs w:val="21"/>
              </w:rPr>
              <w:t>)</w:t>
            </w:r>
          </w:p>
        </w:tc>
        <w:tc>
          <w:tcPr>
            <w:tcW w:w="5415" w:type="dxa"/>
            <w:tcBorders>
              <w:top w:val="single" w:color="auto" w:sz="4" w:space="0"/>
              <w:left w:val="single" w:color="auto" w:sz="4" w:space="0"/>
              <w:bottom w:val="single" w:color="auto" w:sz="4" w:space="0"/>
            </w:tcBorders>
            <w:noWrap/>
            <w:vAlign w:val="center"/>
          </w:tcPr>
          <w:p>
            <w:pPr>
              <w:rPr>
                <w:rFonts w:ascii="宋体" w:hAnsi="宋体"/>
                <w:szCs w:val="21"/>
              </w:rPr>
            </w:pPr>
            <w:r>
              <w:rPr>
                <w:rFonts w:hint="eastAsia" w:ascii="宋体" w:hAnsi="宋体"/>
                <w:szCs w:val="21"/>
              </w:rPr>
              <w:t>1、资信业绩部分：45分</w:t>
            </w:r>
          </w:p>
          <w:p>
            <w:pPr>
              <w:rPr>
                <w:rFonts w:ascii="宋体" w:hAnsi="宋体"/>
                <w:szCs w:val="21"/>
              </w:rPr>
            </w:pPr>
            <w:r>
              <w:rPr>
                <w:rFonts w:hint="eastAsia" w:ascii="宋体" w:hAnsi="宋体"/>
                <w:szCs w:val="21"/>
              </w:rPr>
              <w:t>2、监理大纲部分：30分</w:t>
            </w:r>
          </w:p>
          <w:p>
            <w:pPr>
              <w:rPr>
                <w:rFonts w:ascii="宋体" w:hAnsi="宋体"/>
                <w:szCs w:val="21"/>
              </w:rPr>
            </w:pPr>
            <w:r>
              <w:rPr>
                <w:rFonts w:hint="eastAsia" w:ascii="宋体" w:hAnsi="宋体"/>
                <w:szCs w:val="21"/>
              </w:rPr>
              <w:t xml:space="preserve">3、投标报价：10分 </w:t>
            </w:r>
          </w:p>
          <w:p>
            <w:pPr>
              <w:rPr>
                <w:rFonts w:ascii="Calibri" w:hAnsi="Calibri"/>
                <w:szCs w:val="21"/>
              </w:rPr>
            </w:pPr>
            <w:r>
              <w:rPr>
                <w:rFonts w:hint="eastAsia" w:ascii="宋体" w:hAnsi="宋体"/>
                <w:szCs w:val="21"/>
              </w:rPr>
              <w:t>4、</w:t>
            </w:r>
            <w:r>
              <w:rPr>
                <w:rFonts w:ascii="宋体" w:hAnsi="宋体"/>
                <w:szCs w:val="21"/>
              </w:rPr>
              <w:t>其他因素评分标准</w:t>
            </w:r>
            <w:r>
              <w:rPr>
                <w:rFonts w:hint="eastAsia" w:ascii="宋体" w:hAnsi="宋体"/>
                <w:szCs w:val="21"/>
              </w:rPr>
              <w:t>：15分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5" w:type="dxa"/>
            <w:gridSpan w:val="2"/>
            <w:tcBorders>
              <w:top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ascii="Calibri" w:hAnsi="Calibri"/>
                <w:szCs w:val="21"/>
              </w:rPr>
              <w:t>2.2.2</w:t>
            </w: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rFonts w:hint="eastAsia" w:ascii="Calibri" w:hAnsi="Calibri"/>
                <w:szCs w:val="21"/>
              </w:rPr>
              <w:t>评标基准价计算方法</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宋体" w:hAnsi="宋体"/>
                <w:szCs w:val="21"/>
              </w:rPr>
            </w:pPr>
            <w:r>
              <w:rPr>
                <w:rFonts w:hint="eastAsia" w:ascii="宋体" w:hAnsi="宋体"/>
                <w:szCs w:val="21"/>
              </w:rPr>
              <w:t>参与评标基准价计算范围为【最高投标限价</w:t>
            </w:r>
            <w:r>
              <w:rPr>
                <w:rFonts w:hint="eastAsia" w:ascii="宋体" w:hAnsi="宋体" w:cs="宋体"/>
                <w:bCs/>
                <w:szCs w:val="21"/>
              </w:rPr>
              <w:t>×80%，</w:t>
            </w:r>
            <w:r>
              <w:rPr>
                <w:rFonts w:hint="eastAsia" w:ascii="宋体" w:hAnsi="宋体"/>
                <w:szCs w:val="21"/>
              </w:rPr>
              <w:t>最高投标限价】，超出此范围的报价不参与评标基准价计算。</w:t>
            </w:r>
          </w:p>
          <w:p>
            <w:pPr>
              <w:numPr>
                <w:ilvl w:val="0"/>
                <w:numId w:val="1"/>
              </w:numPr>
              <w:spacing w:line="440" w:lineRule="exact"/>
              <w:rPr>
                <w:rFonts w:ascii="宋体" w:hAnsi="宋体"/>
                <w:szCs w:val="21"/>
              </w:rPr>
            </w:pPr>
            <w:r>
              <w:rPr>
                <w:rFonts w:hint="eastAsia" w:ascii="宋体" w:hAnsi="宋体"/>
                <w:szCs w:val="21"/>
              </w:rPr>
              <w:t>当通过形式评审、资格评审、响应性评审且报价范围在【最高投标限价</w:t>
            </w:r>
            <w:r>
              <w:rPr>
                <w:rFonts w:hint="eastAsia" w:ascii="宋体" w:hAnsi="宋体" w:cs="宋体"/>
                <w:bCs/>
                <w:szCs w:val="21"/>
              </w:rPr>
              <w:t>×80%，</w:t>
            </w:r>
            <w:r>
              <w:rPr>
                <w:rFonts w:hint="eastAsia" w:ascii="宋体" w:hAnsi="宋体"/>
                <w:szCs w:val="21"/>
              </w:rPr>
              <w:t>最高投标限价】的有效投标人大于或等于5名时，去掉一个最高价和一个最低价，取余下有效投标价的算术平均值的作为评标基准价。</w:t>
            </w:r>
          </w:p>
          <w:p>
            <w:pPr>
              <w:numPr>
                <w:ilvl w:val="0"/>
                <w:numId w:val="1"/>
              </w:numPr>
              <w:spacing w:line="440" w:lineRule="exact"/>
              <w:rPr>
                <w:rFonts w:ascii="宋体" w:hAnsi="宋体"/>
                <w:szCs w:val="21"/>
              </w:rPr>
            </w:pPr>
            <w:r>
              <w:rPr>
                <w:rFonts w:hint="eastAsia" w:ascii="宋体" w:hAnsi="宋体"/>
                <w:szCs w:val="21"/>
              </w:rPr>
              <w:t>当通过形式评审、资格评审、响应性评审且报价范围在【最高投标限价</w:t>
            </w:r>
            <w:r>
              <w:rPr>
                <w:rFonts w:hint="eastAsia" w:ascii="宋体" w:hAnsi="宋体" w:cs="宋体"/>
                <w:bCs/>
                <w:szCs w:val="21"/>
              </w:rPr>
              <w:t>×80%，</w:t>
            </w:r>
            <w:r>
              <w:rPr>
                <w:rFonts w:hint="eastAsia" w:ascii="宋体" w:hAnsi="宋体"/>
                <w:szCs w:val="21"/>
              </w:rPr>
              <w:t>最高投标限价】的有效投标人小于5名时，取所有入围的有效投标价的算术平均值的作为评标基准价。</w:t>
            </w:r>
          </w:p>
          <w:p>
            <w:pPr>
              <w:spacing w:line="440" w:lineRule="exact"/>
              <w:rPr>
                <w:rFonts w:ascii="Calibri" w:hAnsi="Calibri"/>
                <w:szCs w:val="21"/>
              </w:rPr>
            </w:pPr>
            <w:r>
              <w:rPr>
                <w:rFonts w:ascii="宋体" w:hAnsi="宋体"/>
                <w:szCs w:val="21"/>
              </w:rPr>
              <w:t>3、当通过形式评审、资格评审、响应性评审且报价范围在【最高投标限价</w:t>
            </w:r>
            <w:r>
              <w:rPr>
                <w:rFonts w:ascii="宋体" w:hAnsi="宋体" w:cs="宋体"/>
                <w:bCs/>
                <w:szCs w:val="21"/>
              </w:rPr>
              <w:t>×80%，</w:t>
            </w:r>
            <w:r>
              <w:rPr>
                <w:rFonts w:ascii="宋体" w:hAnsi="宋体"/>
                <w:szCs w:val="21"/>
              </w:rPr>
              <w:t>最高投标限价】的有效投标人家数为0名时，评标基准价取：最高投标限价</w:t>
            </w:r>
            <w:r>
              <w:rPr>
                <w:rFonts w:ascii="宋体" w:hAnsi="宋体" w:cs="宋体"/>
                <w:bCs/>
                <w:szCs w:val="21"/>
              </w:rPr>
              <w:t>×80%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995" w:type="dxa"/>
            <w:gridSpan w:val="2"/>
            <w:tcBorders>
              <w:top w:val="single" w:color="auto" w:sz="4" w:space="0"/>
              <w:bottom w:val="single" w:color="auto" w:sz="4" w:space="0"/>
              <w:right w:val="single" w:color="auto" w:sz="4" w:space="0"/>
            </w:tcBorders>
            <w:noWrap/>
            <w:vAlign w:val="center"/>
          </w:tcPr>
          <w:p>
            <w:pPr>
              <w:spacing w:line="440" w:lineRule="exact"/>
              <w:jc w:val="center"/>
              <w:rPr>
                <w:rFonts w:ascii="Calibri" w:hAnsi="Calibri"/>
                <w:szCs w:val="21"/>
              </w:rPr>
            </w:pPr>
            <w:r>
              <w:rPr>
                <w:szCs w:val="21"/>
              </w:rPr>
              <w:t>2.2.3</w:t>
            </w: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szCs w:val="21"/>
              </w:rPr>
            </w:pPr>
            <w:r>
              <w:rPr>
                <w:rFonts w:hint="eastAsia"/>
                <w:szCs w:val="21"/>
              </w:rPr>
              <w:t>投标报价的偏差率</w:t>
            </w:r>
          </w:p>
          <w:p>
            <w:pPr>
              <w:spacing w:line="440" w:lineRule="exact"/>
              <w:jc w:val="center"/>
              <w:rPr>
                <w:rFonts w:ascii="Calibri" w:hAnsi="Calibri"/>
                <w:szCs w:val="21"/>
              </w:rPr>
            </w:pPr>
            <w:r>
              <w:rPr>
                <w:rFonts w:hint="eastAsia"/>
                <w:szCs w:val="21"/>
              </w:rPr>
              <w:t>计算公式</w:t>
            </w:r>
          </w:p>
        </w:tc>
        <w:tc>
          <w:tcPr>
            <w:tcW w:w="5415" w:type="dxa"/>
            <w:tcBorders>
              <w:top w:val="single" w:color="auto" w:sz="4" w:space="0"/>
              <w:left w:val="single" w:color="auto" w:sz="4" w:space="0"/>
              <w:bottom w:val="single" w:color="auto" w:sz="4" w:space="0"/>
            </w:tcBorders>
            <w:noWrap/>
            <w:vAlign w:val="center"/>
          </w:tcPr>
          <w:p>
            <w:pPr>
              <w:spacing w:line="440" w:lineRule="exact"/>
              <w:rPr>
                <w:rFonts w:ascii="Calibri" w:hAnsi="Calibri"/>
                <w:szCs w:val="21"/>
              </w:rPr>
            </w:pPr>
            <w:r>
              <w:rPr>
                <w:rFonts w:hint="eastAsia"/>
                <w:szCs w:val="21"/>
              </w:rPr>
              <w:t>投标报价的偏差率=|（投标报价-评标基准价）|/评标基准价×100%（偏差率出现小数点时，保留小数点后2位，第三位小数四舍五入。报价偏差率不足1%的，按直线内插法计算）。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995" w:type="dxa"/>
            <w:gridSpan w:val="2"/>
            <w:tcBorders>
              <w:top w:val="single" w:color="auto" w:sz="4" w:space="0"/>
              <w:bottom w:val="single" w:color="auto" w:sz="4" w:space="0"/>
              <w:right w:val="single" w:color="auto" w:sz="4" w:space="0"/>
            </w:tcBorders>
            <w:noWrap/>
            <w:vAlign w:val="center"/>
          </w:tcPr>
          <w:p>
            <w:pPr>
              <w:spacing w:line="440" w:lineRule="exact"/>
              <w:jc w:val="center"/>
              <w:rPr>
                <w:rFonts w:ascii="宋体" w:hAnsi="Calibri" w:cs="宋体"/>
                <w:b/>
                <w:szCs w:val="21"/>
              </w:rPr>
            </w:pPr>
            <w:r>
              <w:rPr>
                <w:rFonts w:hint="eastAsia" w:ascii="宋体" w:hAnsi="宋体" w:cs="宋体"/>
                <w:b/>
                <w:szCs w:val="21"/>
              </w:rPr>
              <w:t>条款号</w:t>
            </w:r>
          </w:p>
        </w:tc>
        <w:tc>
          <w:tcPr>
            <w:tcW w:w="2130"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Calibri" w:cs="宋体"/>
                <w:b/>
                <w:szCs w:val="21"/>
              </w:rPr>
            </w:pPr>
            <w:r>
              <w:rPr>
                <w:rFonts w:hint="eastAsia" w:ascii="宋体" w:hAnsi="宋体" w:cs="宋体"/>
                <w:b/>
                <w:szCs w:val="21"/>
              </w:rPr>
              <w:t>评分因素</w:t>
            </w:r>
          </w:p>
        </w:tc>
        <w:tc>
          <w:tcPr>
            <w:tcW w:w="5415" w:type="dxa"/>
            <w:tcBorders>
              <w:top w:val="single" w:color="auto" w:sz="4" w:space="0"/>
              <w:left w:val="single" w:color="auto" w:sz="4" w:space="0"/>
              <w:bottom w:val="single" w:color="auto" w:sz="4" w:space="0"/>
            </w:tcBorders>
            <w:noWrap/>
            <w:vAlign w:val="center"/>
          </w:tcPr>
          <w:p>
            <w:pPr>
              <w:spacing w:line="440" w:lineRule="exact"/>
              <w:jc w:val="center"/>
              <w:rPr>
                <w:rFonts w:ascii="宋体" w:hAnsi="Calibri"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blHeader/>
          <w:jc w:val="center"/>
        </w:trPr>
        <w:tc>
          <w:tcPr>
            <w:tcW w:w="766" w:type="dxa"/>
            <w:vMerge w:val="restart"/>
            <w:tcBorders>
              <w:top w:val="single" w:color="auto" w:sz="4" w:space="0"/>
              <w:right w:val="single" w:color="auto" w:sz="4" w:space="0"/>
            </w:tcBorders>
            <w:noWrap/>
            <w:vAlign w:val="center"/>
          </w:tcPr>
          <w:p>
            <w:pPr>
              <w:snapToGrid w:val="0"/>
              <w:rPr>
                <w:rFonts w:ascii="宋体" w:hAnsi="宋体" w:cs="宋体"/>
                <w:szCs w:val="21"/>
              </w:rPr>
            </w:pPr>
            <w:r>
              <w:rPr>
                <w:rFonts w:hint="eastAsia" w:ascii="宋体" w:hAnsi="宋体" w:cs="宋体"/>
                <w:szCs w:val="21"/>
              </w:rPr>
              <w:t>2.2.4（1）</w:t>
            </w:r>
          </w:p>
        </w:tc>
        <w:tc>
          <w:tcPr>
            <w:tcW w:w="1229" w:type="dxa"/>
            <w:vMerge w:val="restart"/>
            <w:tcBorders>
              <w:top w:val="single" w:color="auto" w:sz="4" w:space="0"/>
              <w:right w:val="single" w:color="auto" w:sz="4" w:space="0"/>
            </w:tcBorders>
            <w:noWrap/>
            <w:vAlign w:val="center"/>
          </w:tcPr>
          <w:p>
            <w:pPr>
              <w:spacing w:line="440" w:lineRule="exact"/>
              <w:jc w:val="center"/>
              <w:rPr>
                <w:rFonts w:ascii="宋体" w:cs="宋体"/>
                <w:szCs w:val="21"/>
              </w:rPr>
            </w:pPr>
            <w:r>
              <w:rPr>
                <w:rFonts w:hint="eastAsia" w:ascii="宋体" w:cs="宋体"/>
                <w:szCs w:val="21"/>
              </w:rPr>
              <w:t>资信业绩评分标准</w:t>
            </w:r>
          </w:p>
          <w:p>
            <w:pPr>
              <w:snapToGrid w:val="0"/>
              <w:rPr>
                <w:rFonts w:ascii="宋体" w:hAnsi="宋体" w:cs="宋体"/>
                <w:szCs w:val="21"/>
              </w:rPr>
            </w:pPr>
            <w:r>
              <w:rPr>
                <w:rFonts w:hint="eastAsia" w:ascii="宋体" w:hAnsi="宋体" w:cs="宋体"/>
                <w:szCs w:val="21"/>
              </w:rPr>
              <w:t>（45分）</w:t>
            </w:r>
          </w:p>
        </w:tc>
        <w:tc>
          <w:tcPr>
            <w:tcW w:w="2130" w:type="dxa"/>
            <w:vMerge w:val="restart"/>
            <w:tcBorders>
              <w:top w:val="single" w:color="auto" w:sz="4" w:space="0"/>
              <w:left w:val="single" w:color="auto" w:sz="4" w:space="0"/>
              <w:right w:val="single" w:color="auto" w:sz="4" w:space="0"/>
            </w:tcBorders>
            <w:noWrap/>
            <w:vAlign w:val="center"/>
          </w:tcPr>
          <w:p>
            <w:pPr>
              <w:snapToGrid w:val="0"/>
              <w:jc w:val="center"/>
              <w:rPr>
                <w:rFonts w:ascii="宋体" w:hAnsi="宋体" w:cs="宋体"/>
                <w:szCs w:val="21"/>
              </w:rPr>
            </w:pPr>
            <w:r>
              <w:rPr>
                <w:rFonts w:hint="eastAsia" w:ascii="宋体" w:hAnsi="宋体" w:cs="宋体"/>
                <w:szCs w:val="21"/>
              </w:rPr>
              <w:t>类似监理业绩及获奖</w:t>
            </w:r>
          </w:p>
          <w:p>
            <w:pPr>
              <w:snapToGrid w:val="0"/>
              <w:jc w:val="center"/>
              <w:rPr>
                <w:rFonts w:ascii="宋体" w:hAnsi="宋体" w:cs="宋体"/>
                <w:szCs w:val="21"/>
              </w:rPr>
            </w:pPr>
            <w:r>
              <w:rPr>
                <w:rFonts w:hint="eastAsia" w:ascii="宋体" w:hAnsi="宋体" w:cs="宋体"/>
                <w:szCs w:val="21"/>
              </w:rPr>
              <w:t>（10分）</w:t>
            </w:r>
          </w:p>
        </w:tc>
        <w:tc>
          <w:tcPr>
            <w:tcW w:w="5415" w:type="dxa"/>
            <w:tcBorders>
              <w:top w:val="single" w:color="auto" w:sz="4" w:space="0"/>
              <w:left w:val="single" w:color="auto" w:sz="4" w:space="0"/>
              <w:bottom w:val="single" w:color="auto" w:sz="4" w:space="0"/>
            </w:tcBorders>
            <w:noWrap/>
            <w:vAlign w:val="center"/>
          </w:tcPr>
          <w:p>
            <w:pPr>
              <w:snapToGrid w:val="0"/>
              <w:rPr>
                <w:rFonts w:hint="eastAsia" w:ascii="宋体" w:hAnsi="宋体" w:cs="宋体"/>
                <w:szCs w:val="21"/>
              </w:rPr>
            </w:pPr>
            <w:r>
              <w:rPr>
                <w:rFonts w:hint="eastAsia" w:ascii="宋体" w:hAnsi="宋体" w:cs="宋体"/>
                <w:szCs w:val="21"/>
              </w:rPr>
              <w:t>2020年1月1日至今,独立完成过质量合格的</w:t>
            </w:r>
            <w:r>
              <w:rPr>
                <w:rFonts w:hint="eastAsia" w:ascii="宋体" w:hAnsi="宋体" w:cs="宋体"/>
                <w:szCs w:val="21"/>
                <w:u w:val="single"/>
              </w:rPr>
              <w:t>类似工程监理项目</w:t>
            </w:r>
            <w:r>
              <w:rPr>
                <w:rFonts w:hint="eastAsia" w:ascii="宋体" w:hAnsi="宋体" w:cs="宋体"/>
                <w:szCs w:val="21"/>
              </w:rPr>
              <w:t>，每项得1分，最多得</w:t>
            </w:r>
            <w:r>
              <w:rPr>
                <w:rFonts w:ascii="宋体" w:hAnsi="宋体" w:cs="宋体"/>
                <w:szCs w:val="21"/>
              </w:rPr>
              <w:t>6</w:t>
            </w:r>
            <w:r>
              <w:rPr>
                <w:rFonts w:hint="eastAsia" w:ascii="宋体" w:hAnsi="宋体" w:cs="宋体"/>
                <w:szCs w:val="21"/>
              </w:rPr>
              <w:t>分。</w:t>
            </w:r>
          </w:p>
          <w:p>
            <w:pPr>
              <w:widowControl/>
              <w:snapToGrid/>
              <w:rPr>
                <w:rFonts w:ascii="Times New Roman" w:hAnsi="Times New Roman" w:cs="Times New Roman"/>
                <w:szCs w:val="22"/>
              </w:rPr>
            </w:pPr>
            <w:r>
              <w:rPr>
                <w:rFonts w:hint="eastAsia" w:ascii="宋体" w:hAnsi="宋体"/>
              </w:rPr>
              <w:t>注：</w:t>
            </w:r>
            <w:r>
              <w:rPr>
                <w:rFonts w:hint="eastAsia" w:ascii="宋体" w:hAnsi="宋体" w:cs="宋体"/>
                <w:szCs w:val="21"/>
                <w:u w:val="single"/>
              </w:rPr>
              <w:t>类似工程监理项目</w:t>
            </w:r>
            <w:r>
              <w:rPr>
                <w:rFonts w:hint="eastAsia" w:ascii="宋体" w:hAnsi="宋体" w:cs="Times New Roman"/>
                <w:kern w:val="2"/>
                <w:szCs w:val="22"/>
                <w:shd w:val="clear" w:color="auto" w:fill="auto"/>
              </w:rPr>
              <w:t>指招标公告投标人资格要求第3.1点所述资质方能承接的市政公用工程监理项目。</w:t>
            </w:r>
            <w:r>
              <w:rPr>
                <w:rFonts w:hint="eastAsia" w:ascii="宋体" w:hAnsi="宋体"/>
              </w:rPr>
              <w:t>需同时提供中标通知书或免招标的相关证明，监理合同关键页，竣工验收报告或竣工验收证明（含工程竣工验收鉴定书或合同工程完工验收鉴定书或单位工程验收鉴定书扫描件等），时间以竣工验收报告或竣工验收证明的验收时间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4" w:hRule="atLeast"/>
          <w:tblHeader/>
          <w:jc w:val="center"/>
        </w:trPr>
        <w:tc>
          <w:tcPr>
            <w:tcW w:w="766" w:type="dxa"/>
            <w:vMerge w:val="continue"/>
            <w:tcBorders>
              <w:right w:val="single" w:color="auto" w:sz="4" w:space="0"/>
            </w:tcBorders>
            <w:noWrap/>
          </w:tcPr>
          <w:p>
            <w:pPr>
              <w:snapToGrid w:val="0"/>
              <w:rPr>
                <w:rFonts w:ascii="宋体" w:hAnsi="宋体" w:cs="宋体"/>
                <w:szCs w:val="21"/>
              </w:rPr>
            </w:pPr>
          </w:p>
        </w:tc>
        <w:tc>
          <w:tcPr>
            <w:tcW w:w="1229" w:type="dxa"/>
            <w:vMerge w:val="continue"/>
            <w:tcBorders>
              <w:right w:val="single" w:color="auto" w:sz="4" w:space="0"/>
            </w:tcBorders>
            <w:noWrap/>
          </w:tcPr>
          <w:p>
            <w:pPr>
              <w:snapToGrid w:val="0"/>
              <w:rPr>
                <w:rFonts w:ascii="宋体" w:hAnsi="宋体" w:cs="宋体"/>
                <w:szCs w:val="21"/>
              </w:rPr>
            </w:pPr>
          </w:p>
        </w:tc>
        <w:tc>
          <w:tcPr>
            <w:tcW w:w="2130" w:type="dxa"/>
            <w:vMerge w:val="continue"/>
            <w:tcBorders>
              <w:left w:val="single" w:color="auto" w:sz="4" w:space="0"/>
              <w:bottom w:val="single" w:color="auto" w:sz="4" w:space="0"/>
              <w:right w:val="single" w:color="auto" w:sz="4" w:space="0"/>
            </w:tcBorders>
            <w:noWrap/>
            <w:vAlign w:val="center"/>
          </w:tcPr>
          <w:p>
            <w:pPr>
              <w:snapToGrid w:val="0"/>
              <w:jc w:val="center"/>
              <w:rPr>
                <w:rFonts w:ascii="宋体" w:hAnsi="宋体" w:cs="宋体"/>
                <w:szCs w:val="21"/>
              </w:rPr>
            </w:pPr>
          </w:p>
        </w:tc>
        <w:tc>
          <w:tcPr>
            <w:tcW w:w="5415" w:type="dxa"/>
            <w:tcBorders>
              <w:top w:val="single" w:color="auto" w:sz="4" w:space="0"/>
              <w:left w:val="single" w:color="auto" w:sz="4" w:space="0"/>
              <w:bottom w:val="single" w:color="auto" w:sz="4" w:space="0"/>
            </w:tcBorders>
            <w:noWrap/>
            <w:vAlign w:val="center"/>
          </w:tcPr>
          <w:p>
            <w:pPr>
              <w:widowControl/>
              <w:rPr>
                <w:rFonts w:ascii="宋体" w:hAnsi="宋体"/>
              </w:rPr>
            </w:pPr>
            <w:r>
              <w:rPr>
                <w:rFonts w:hint="eastAsia" w:ascii="宋体" w:hAnsi="宋体"/>
              </w:rPr>
              <w:t>2020年1月1日至今承接过的市政公用工程监理项目：</w:t>
            </w:r>
          </w:p>
          <w:p>
            <w:pPr>
              <w:widowControl/>
              <w:rPr>
                <w:rFonts w:ascii="宋体" w:hAnsi="宋体"/>
              </w:rPr>
            </w:pPr>
            <w:r>
              <w:rPr>
                <w:rFonts w:hint="eastAsia" w:ascii="宋体" w:hAnsi="宋体"/>
              </w:rPr>
              <w:t>获得过</w:t>
            </w:r>
            <w:r>
              <w:rPr>
                <w:rFonts w:hint="eastAsia" w:ascii="宋体" w:hAnsi="宋体" w:cs="宋体"/>
                <w:szCs w:val="21"/>
              </w:rPr>
              <w:t>省级或以上工程质量类或安全文明类奖项</w:t>
            </w:r>
            <w:r>
              <w:rPr>
                <w:rFonts w:hint="eastAsia" w:ascii="宋体" w:hAnsi="宋体"/>
              </w:rPr>
              <w:t>的得4分；</w:t>
            </w:r>
          </w:p>
          <w:p>
            <w:pPr>
              <w:widowControl/>
              <w:rPr>
                <w:rFonts w:ascii="宋体" w:hAnsi="宋体"/>
              </w:rPr>
            </w:pPr>
            <w:r>
              <w:rPr>
                <w:rFonts w:hint="eastAsia" w:ascii="宋体" w:hAnsi="宋体"/>
              </w:rPr>
              <w:t>获得过</w:t>
            </w:r>
            <w:r>
              <w:rPr>
                <w:rFonts w:hint="eastAsia" w:ascii="宋体" w:hAnsi="宋体" w:cs="宋体"/>
                <w:szCs w:val="21"/>
              </w:rPr>
              <w:t>市级（含副省级）工程质量类或安全文明类奖项</w:t>
            </w:r>
            <w:r>
              <w:rPr>
                <w:rFonts w:hint="eastAsia" w:ascii="宋体" w:hAnsi="宋体"/>
              </w:rPr>
              <w:t>的得2分。</w:t>
            </w:r>
          </w:p>
          <w:p>
            <w:pPr>
              <w:snapToGrid w:val="0"/>
              <w:rPr>
                <w:rFonts w:hint="eastAsia" w:ascii="宋体" w:hAnsi="宋体"/>
              </w:rPr>
            </w:pPr>
            <w:r>
              <w:rPr>
                <w:rFonts w:hint="eastAsia" w:ascii="宋体" w:hAnsi="宋体"/>
              </w:rPr>
              <w:t>本项最高得4分。</w:t>
            </w:r>
          </w:p>
          <w:p>
            <w:pPr>
              <w:pStyle w:val="15"/>
              <w:snapToGrid w:val="0"/>
              <w:rPr>
                <w:rFonts w:ascii="宋体" w:hAnsi="宋体" w:cs="宋体"/>
                <w:szCs w:val="21"/>
              </w:rPr>
            </w:pPr>
            <w:r>
              <w:rPr>
                <w:rFonts w:hint="eastAsia" w:ascii="宋体" w:hAnsi="宋体" w:eastAsia="宋体"/>
              </w:rPr>
              <w:t>注：须提供证书扫描件，日期以证书发证日期为准。国家级工程质量类或安全文明类奖项指中国建设工程鲁班奖、国家优质工程金质奖、国家优质工程奖、中国土木工程詹天佑奖、建设工程项目施工安全生产标准化建设工地（原AAA级安全文明标准化诚信工地）；省或市级工程质量类或安全文明类奖项指各省或市级行政主管部门或行业协会颁发的工程质量类或安全文明类奖。不包含绿色施工、技术创新、QC成果、科技进步及技术应用类等奖项。 如颁奖单位为协会的，还须提供该协会在“全国社会组织信用信息公示平台（试运行）”（https://xxgs.chinanpo.mca.gov.cn/gsxt/newList）登记的网页查询截图，证明其有登记备案，否则不得分。以投标人提供的业绩获奖最高级别计分，提供超过一项的，以一项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blHeader/>
          <w:jc w:val="center"/>
        </w:trPr>
        <w:tc>
          <w:tcPr>
            <w:tcW w:w="766" w:type="dxa"/>
            <w:vMerge w:val="continue"/>
            <w:tcBorders>
              <w:right w:val="single" w:color="auto" w:sz="4" w:space="0"/>
            </w:tcBorders>
            <w:noWrap/>
          </w:tcPr>
          <w:p>
            <w:pPr>
              <w:snapToGrid w:val="0"/>
              <w:rPr>
                <w:rFonts w:ascii="宋体" w:hAnsi="宋体" w:cs="宋体"/>
                <w:szCs w:val="21"/>
              </w:rPr>
            </w:pPr>
          </w:p>
        </w:tc>
        <w:tc>
          <w:tcPr>
            <w:tcW w:w="1229" w:type="dxa"/>
            <w:vMerge w:val="continue"/>
            <w:tcBorders>
              <w:right w:val="single" w:color="auto" w:sz="4" w:space="0"/>
            </w:tcBorders>
            <w:noWrap/>
          </w:tcPr>
          <w:p>
            <w:pPr>
              <w:snapToGrid w:val="0"/>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hAnsi="宋体" w:cs="宋体"/>
                <w:szCs w:val="21"/>
              </w:rPr>
            </w:pPr>
            <w:r>
              <w:rPr>
                <w:rFonts w:hint="eastAsia" w:ascii="宋体" w:hAnsi="宋体" w:cs="宋体"/>
                <w:szCs w:val="21"/>
              </w:rPr>
              <w:t>总监理工程师资历和业绩</w:t>
            </w:r>
          </w:p>
          <w:p>
            <w:pPr>
              <w:snapToGrid w:val="0"/>
              <w:jc w:val="center"/>
              <w:rPr>
                <w:rFonts w:ascii="宋体" w:hAnsi="宋体" w:cs="宋体"/>
                <w:szCs w:val="21"/>
              </w:rPr>
            </w:pPr>
            <w:r>
              <w:rPr>
                <w:rFonts w:hint="eastAsia" w:ascii="宋体" w:hAnsi="宋体" w:cs="宋体"/>
                <w:szCs w:val="21"/>
              </w:rPr>
              <w:t>（6分）</w:t>
            </w:r>
          </w:p>
        </w:tc>
        <w:tc>
          <w:tcPr>
            <w:tcW w:w="5415" w:type="dxa"/>
            <w:tcBorders>
              <w:top w:val="single" w:color="auto" w:sz="4" w:space="0"/>
              <w:left w:val="single" w:color="auto" w:sz="4" w:space="0"/>
              <w:bottom w:val="single" w:color="auto" w:sz="4" w:space="0"/>
            </w:tcBorders>
            <w:noWrap/>
            <w:vAlign w:val="center"/>
          </w:tcPr>
          <w:p>
            <w:pPr>
              <w:rPr>
                <w:rFonts w:ascii="宋体" w:hAnsi="宋体"/>
                <w:szCs w:val="21"/>
              </w:rPr>
            </w:pPr>
            <w:r>
              <w:rPr>
                <w:rFonts w:hint="eastAsia" w:ascii="宋体" w:hAnsi="宋体"/>
                <w:szCs w:val="21"/>
              </w:rPr>
              <w:t>满足公告要求的基础上：</w:t>
            </w:r>
          </w:p>
          <w:p>
            <w:pPr>
              <w:rPr>
                <w:rFonts w:ascii="宋体" w:hAnsi="宋体"/>
                <w:szCs w:val="21"/>
              </w:rPr>
            </w:pPr>
            <w:r>
              <w:rPr>
                <w:rFonts w:hint="eastAsia" w:ascii="宋体" w:hAnsi="宋体"/>
                <w:szCs w:val="21"/>
              </w:rPr>
              <w:t>（1）取得监理工程师执业资格证书10年或以上得2分，5年（含）-10年（不含）得1分，其他不得分；</w:t>
            </w:r>
          </w:p>
          <w:p>
            <w:pPr>
              <w:rPr>
                <w:rFonts w:ascii="宋体" w:hAnsi="宋体"/>
                <w:szCs w:val="21"/>
              </w:rPr>
            </w:pPr>
            <w:r>
              <w:rPr>
                <w:rFonts w:hint="eastAsia" w:ascii="宋体" w:hAnsi="宋体"/>
                <w:szCs w:val="21"/>
              </w:rPr>
              <w:t>（2）取得中级或以上技术职称10年或以上得2分，5年（含）-10年（不含）得1分，其他不得分。</w:t>
            </w:r>
          </w:p>
          <w:p>
            <w:pPr>
              <w:rPr>
                <w:rFonts w:hint="eastAsia" w:ascii="宋体" w:hAnsi="宋体"/>
                <w:szCs w:val="21"/>
              </w:rPr>
            </w:pPr>
            <w:r>
              <w:rPr>
                <w:rFonts w:hint="eastAsia" w:ascii="宋体" w:hAnsi="宋体"/>
                <w:szCs w:val="21"/>
              </w:rPr>
              <w:t>（3）2020年1月1日至今担任总监理工程师完成过质量合格的市政公用工程监理业绩的，每项得1分，最多得2分。</w:t>
            </w:r>
          </w:p>
          <w:p>
            <w:pPr>
              <w:rPr>
                <w:rFonts w:ascii="宋体" w:hAnsi="宋体"/>
                <w:szCs w:val="21"/>
              </w:rPr>
            </w:pPr>
            <w:r>
              <w:rPr>
                <w:rFonts w:hint="eastAsia" w:ascii="宋体" w:hAnsi="宋体"/>
                <w:szCs w:val="21"/>
              </w:rPr>
              <w:t>注：需同时提供中标通知书或免招标的相关证明，监理合同关键页，竣工验收报告或竣工验收证明（含工程竣工验收鉴定书或合同工程完工验收鉴定书或单位工程验收鉴定书扫描件等），时间以竣工验收报告或竣工验收证明的验收时间为准。以上证明材料若无法体现人员的姓名及岗位等信息的，需提供经建设单位确认的有关证明材料，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blHeader/>
          <w:jc w:val="center"/>
        </w:trPr>
        <w:tc>
          <w:tcPr>
            <w:tcW w:w="766" w:type="dxa"/>
            <w:vMerge w:val="continue"/>
            <w:tcBorders>
              <w:right w:val="single" w:color="auto" w:sz="4" w:space="0"/>
            </w:tcBorders>
            <w:noWrap/>
          </w:tcPr>
          <w:p>
            <w:pPr>
              <w:snapToGrid w:val="0"/>
              <w:rPr>
                <w:rFonts w:ascii="宋体" w:hAnsi="宋体" w:cs="宋体"/>
                <w:szCs w:val="21"/>
              </w:rPr>
            </w:pPr>
          </w:p>
        </w:tc>
        <w:tc>
          <w:tcPr>
            <w:tcW w:w="1229" w:type="dxa"/>
            <w:vMerge w:val="continue"/>
            <w:tcBorders>
              <w:right w:val="single" w:color="auto" w:sz="4" w:space="0"/>
            </w:tcBorders>
            <w:noWrap/>
          </w:tcPr>
          <w:p>
            <w:pPr>
              <w:snapToGrid w:val="0"/>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noWrap/>
            <w:vAlign w:val="center"/>
          </w:tcPr>
          <w:p>
            <w:pPr>
              <w:snapToGrid w:val="0"/>
              <w:jc w:val="center"/>
              <w:rPr>
                <w:rFonts w:ascii="宋体" w:hAnsi="宋体" w:cs="宋体"/>
                <w:szCs w:val="21"/>
              </w:rPr>
            </w:pPr>
            <w:r>
              <w:rPr>
                <w:rFonts w:hint="eastAsia" w:ascii="宋体" w:hAnsi="宋体" w:cs="宋体"/>
                <w:szCs w:val="21"/>
              </w:rPr>
              <w:t>项目监理组织架构</w:t>
            </w:r>
          </w:p>
          <w:p>
            <w:pPr>
              <w:snapToGrid w:val="0"/>
              <w:jc w:val="center"/>
              <w:rPr>
                <w:rFonts w:ascii="宋体" w:hAnsi="宋体" w:cs="宋体"/>
                <w:szCs w:val="21"/>
              </w:rPr>
            </w:pPr>
            <w:r>
              <w:rPr>
                <w:rFonts w:hint="eastAsia" w:ascii="宋体" w:hAnsi="宋体" w:cs="宋体"/>
                <w:szCs w:val="21"/>
              </w:rPr>
              <w:t>（6分）</w:t>
            </w:r>
          </w:p>
        </w:tc>
        <w:tc>
          <w:tcPr>
            <w:tcW w:w="5415" w:type="dxa"/>
            <w:tcBorders>
              <w:top w:val="single" w:color="auto" w:sz="4" w:space="0"/>
              <w:left w:val="single" w:color="auto" w:sz="4" w:space="0"/>
              <w:bottom w:val="single" w:color="auto" w:sz="4" w:space="0"/>
            </w:tcBorders>
            <w:noWrap/>
            <w:vAlign w:val="center"/>
          </w:tcPr>
          <w:p>
            <w:pPr>
              <w:widowControl/>
              <w:jc w:val="left"/>
              <w:rPr>
                <w:rFonts w:ascii="宋体" w:hAnsi="宋体" w:cs="宋体"/>
                <w:szCs w:val="21"/>
              </w:rPr>
            </w:pPr>
            <w:r>
              <w:rPr>
                <w:rFonts w:hint="eastAsia" w:ascii="宋体" w:hAnsi="宋体" w:cs="宋体"/>
                <w:szCs w:val="21"/>
              </w:rPr>
              <w:t>项目监理组织架构（总监理工程师除外）满足第五章委托人要求“本项目拟投入的监理机构人员配备要求”的得4分，不满足的本项不得分。在此基础上满足以下的额外加分：</w:t>
            </w:r>
          </w:p>
          <w:p>
            <w:pPr>
              <w:widowControl/>
              <w:jc w:val="left"/>
              <w:rPr>
                <w:rFonts w:ascii="宋体" w:hAnsi="宋体"/>
                <w:szCs w:val="21"/>
              </w:rPr>
            </w:pPr>
            <w:r>
              <w:rPr>
                <w:rFonts w:hint="eastAsia" w:ascii="宋体" w:hAnsi="宋体" w:cs="宋体"/>
                <w:szCs w:val="21"/>
              </w:rPr>
              <w:t>造价工程师1名：具有中级或以上技术职称，加2分；本项最多加2分。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blHeader/>
          <w:jc w:val="center"/>
        </w:trPr>
        <w:tc>
          <w:tcPr>
            <w:tcW w:w="766" w:type="dxa"/>
            <w:vMerge w:val="continue"/>
            <w:tcBorders>
              <w:right w:val="single" w:color="auto" w:sz="4" w:space="0"/>
            </w:tcBorders>
            <w:noWrap/>
          </w:tcPr>
          <w:p>
            <w:pPr>
              <w:snapToGrid w:val="0"/>
              <w:rPr>
                <w:rFonts w:ascii="宋体" w:hAnsi="宋体" w:cs="宋体"/>
                <w:szCs w:val="21"/>
              </w:rPr>
            </w:pPr>
          </w:p>
        </w:tc>
        <w:tc>
          <w:tcPr>
            <w:tcW w:w="1229" w:type="dxa"/>
            <w:vMerge w:val="continue"/>
            <w:tcBorders>
              <w:right w:val="single" w:color="auto" w:sz="4" w:space="0"/>
            </w:tcBorders>
            <w:noWrap/>
          </w:tcPr>
          <w:p>
            <w:pPr>
              <w:snapToGrid w:val="0"/>
              <w:rPr>
                <w:rFonts w:ascii="宋体" w:hAnsi="宋体" w:cs="宋体"/>
                <w:szCs w:val="21"/>
              </w:rPr>
            </w:pPr>
          </w:p>
        </w:tc>
        <w:tc>
          <w:tcPr>
            <w:tcW w:w="2130" w:type="dxa"/>
            <w:tcBorders>
              <w:top w:val="single" w:color="auto" w:sz="4" w:space="0"/>
              <w:left w:val="single" w:color="auto" w:sz="4" w:space="0"/>
              <w:right w:val="single" w:color="auto" w:sz="4" w:space="0"/>
            </w:tcBorders>
            <w:noWrap/>
            <w:vAlign w:val="center"/>
          </w:tcPr>
          <w:p>
            <w:pPr>
              <w:snapToGrid w:val="0"/>
              <w:jc w:val="center"/>
              <w:rPr>
                <w:rFonts w:ascii="宋体" w:hAnsi="宋体" w:cs="宋体"/>
                <w:szCs w:val="21"/>
              </w:rPr>
            </w:pPr>
            <w:r>
              <w:rPr>
                <w:rFonts w:hint="eastAsia" w:ascii="宋体" w:hAnsi="宋体" w:cs="宋体"/>
                <w:szCs w:val="21"/>
              </w:rPr>
              <w:t>项目监理设备配备情况(3分)</w:t>
            </w:r>
          </w:p>
        </w:tc>
        <w:tc>
          <w:tcPr>
            <w:tcW w:w="5415" w:type="dxa"/>
            <w:tcBorders>
              <w:top w:val="single" w:color="auto" w:sz="4" w:space="0"/>
              <w:left w:val="single" w:color="auto" w:sz="4" w:space="0"/>
            </w:tcBorders>
            <w:noWrap/>
            <w:vAlign w:val="center"/>
          </w:tcPr>
          <w:p>
            <w:pPr>
              <w:spacing w:beforeLines="20" w:afterLines="20"/>
              <w:rPr>
                <w:rStyle w:val="91"/>
                <w:rFonts w:ascii="宋体" w:hAnsi="宋体" w:cs="宋体"/>
                <w:bCs/>
                <w:szCs w:val="21"/>
              </w:rPr>
            </w:pPr>
            <w:r>
              <w:rPr>
                <w:rStyle w:val="91"/>
                <w:rFonts w:hint="eastAsia" w:ascii="宋体" w:hAnsi="宋体" w:cs="宋体"/>
                <w:bCs/>
                <w:szCs w:val="21"/>
              </w:rPr>
              <w:t>拟投入的检测设备及办公设备满足下列要求：车辆1部、电脑3台、打印机1台、测量仪器设备(全站仪1台、经纬仪1台、水准仪1台、回弹仪1台)。</w:t>
            </w:r>
          </w:p>
          <w:p>
            <w:pPr>
              <w:rPr>
                <w:rFonts w:ascii="宋体" w:hAnsi="宋体" w:cs="宋体"/>
                <w:kern w:val="0"/>
                <w:szCs w:val="21"/>
                <w:shd w:val="clear" w:color="auto" w:fill="FFFFFF"/>
              </w:rPr>
            </w:pPr>
            <w:r>
              <w:rPr>
                <w:rStyle w:val="91"/>
                <w:rFonts w:hint="eastAsia" w:ascii="宋体" w:hAnsi="宋体" w:cs="宋体"/>
                <w:bCs/>
                <w:szCs w:val="21"/>
              </w:rPr>
              <w:t>对照上述要求，自有设备的</w:t>
            </w:r>
            <w:r>
              <w:rPr>
                <w:rFonts w:hint="eastAsia" w:ascii="宋体" w:hAnsi="宋体" w:cs="宋体"/>
                <w:kern w:val="0"/>
                <w:szCs w:val="21"/>
                <w:shd w:val="clear" w:color="auto" w:fill="FFFFFF"/>
              </w:rPr>
              <w:t>须</w:t>
            </w:r>
            <w:r>
              <w:rPr>
                <w:rStyle w:val="91"/>
                <w:rFonts w:hint="eastAsia" w:ascii="宋体" w:hAnsi="宋体" w:cs="宋体"/>
                <w:bCs/>
                <w:szCs w:val="21"/>
              </w:rPr>
              <w:t>提供购买设备的发票，</w:t>
            </w:r>
            <w:r>
              <w:rPr>
                <w:rFonts w:hint="eastAsia" w:ascii="宋体" w:hAnsi="宋体" w:cs="宋体"/>
                <w:kern w:val="0"/>
                <w:szCs w:val="21"/>
                <w:shd w:val="clear" w:color="auto" w:fill="FFFFFF"/>
              </w:rPr>
              <w:t>租赁设备的须提供在有效期内的租赁合同及租赁费用发票</w:t>
            </w:r>
            <w:r>
              <w:rPr>
                <w:rStyle w:val="91"/>
                <w:rFonts w:hint="eastAsia" w:ascii="宋体" w:hAnsi="宋体" w:cs="宋体"/>
                <w:bCs/>
                <w:szCs w:val="21"/>
              </w:rPr>
              <w:t>，以上设备种类齐全和数量齐全得3分；</w:t>
            </w:r>
          </w:p>
          <w:p>
            <w:pPr>
              <w:widowControl/>
              <w:jc w:val="left"/>
              <w:rPr>
                <w:rFonts w:ascii="宋体" w:hAnsi="宋体"/>
                <w:szCs w:val="21"/>
              </w:rPr>
            </w:pPr>
            <w:r>
              <w:rPr>
                <w:rStyle w:val="91"/>
                <w:rFonts w:hint="eastAsia" w:ascii="宋体" w:hAnsi="宋体" w:cs="宋体"/>
                <w:bCs/>
                <w:szCs w:val="21"/>
              </w:rPr>
              <w:t>若设备种类不齐全或数量不齐全或自有设备的未提供某种设备发票的或</w:t>
            </w:r>
            <w:r>
              <w:rPr>
                <w:rFonts w:hint="eastAsia" w:ascii="宋体" w:hAnsi="宋体" w:cs="宋体"/>
                <w:kern w:val="0"/>
                <w:szCs w:val="21"/>
                <w:shd w:val="clear" w:color="auto" w:fill="FFFFFF"/>
              </w:rPr>
              <w:t>租赁设备的未提供在有效期内的租赁合同及租赁费用发票的</w:t>
            </w:r>
            <w:r>
              <w:rPr>
                <w:rStyle w:val="91"/>
                <w:rFonts w:hint="eastAsia" w:ascii="宋体" w:hAnsi="宋体" w:cs="宋体"/>
                <w:bCs/>
                <w:szCs w:val="21"/>
              </w:rPr>
              <w:t>，不得分。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9" w:hRule="atLeast"/>
          <w:tblHeader/>
          <w:jc w:val="center"/>
        </w:trPr>
        <w:tc>
          <w:tcPr>
            <w:tcW w:w="766" w:type="dxa"/>
            <w:vMerge w:val="continue"/>
            <w:tcBorders>
              <w:right w:val="single" w:color="auto" w:sz="4" w:space="0"/>
            </w:tcBorders>
            <w:noWrap/>
          </w:tcPr>
          <w:p>
            <w:pPr>
              <w:snapToGrid w:val="0"/>
              <w:rPr>
                <w:rFonts w:ascii="宋体" w:hAnsi="宋体" w:cs="宋体"/>
                <w:szCs w:val="21"/>
              </w:rPr>
            </w:pPr>
          </w:p>
        </w:tc>
        <w:tc>
          <w:tcPr>
            <w:tcW w:w="1229" w:type="dxa"/>
            <w:vMerge w:val="continue"/>
            <w:tcBorders>
              <w:right w:val="single" w:color="auto" w:sz="4" w:space="0"/>
            </w:tcBorders>
            <w:noWrap/>
          </w:tcPr>
          <w:p>
            <w:pPr>
              <w:snapToGrid w:val="0"/>
              <w:rPr>
                <w:rFonts w:ascii="宋体" w:hAnsi="宋体" w:cs="宋体"/>
                <w:szCs w:val="21"/>
              </w:rPr>
            </w:pPr>
          </w:p>
        </w:tc>
        <w:tc>
          <w:tcPr>
            <w:tcW w:w="2130" w:type="dxa"/>
            <w:tcBorders>
              <w:top w:val="single" w:color="auto" w:sz="4" w:space="0"/>
              <w:left w:val="single" w:color="auto" w:sz="4" w:space="0"/>
              <w:right w:val="single" w:color="auto" w:sz="4" w:space="0"/>
            </w:tcBorders>
            <w:noWrap/>
            <w:vAlign w:val="center"/>
          </w:tcPr>
          <w:p>
            <w:pPr>
              <w:snapToGrid w:val="0"/>
              <w:jc w:val="center"/>
              <w:rPr>
                <w:rFonts w:ascii="宋体" w:hAnsi="宋体" w:cs="宋体"/>
                <w:szCs w:val="21"/>
              </w:rPr>
            </w:pPr>
            <w:r>
              <w:rPr>
                <w:rFonts w:hint="eastAsia" w:ascii="宋体" w:hAnsi="宋体" w:cs="宋体"/>
                <w:szCs w:val="21"/>
              </w:rPr>
              <w:t>企业信誉（10分）</w:t>
            </w:r>
          </w:p>
        </w:tc>
        <w:tc>
          <w:tcPr>
            <w:tcW w:w="5415" w:type="dxa"/>
            <w:tcBorders>
              <w:top w:val="single" w:color="auto" w:sz="4" w:space="0"/>
              <w:left w:val="single" w:color="auto" w:sz="4" w:space="0"/>
              <w:bottom w:val="single" w:color="auto" w:sz="4" w:space="0"/>
            </w:tcBorders>
            <w:noWrap/>
            <w:vAlign w:val="center"/>
          </w:tcPr>
          <w:p>
            <w:pPr>
              <w:jc w:val="left"/>
              <w:rPr>
                <w:rFonts w:ascii="宋体" w:hAnsi="宋体" w:cs="宋体"/>
                <w:szCs w:val="21"/>
              </w:rPr>
            </w:pPr>
            <w:r>
              <w:rPr>
                <w:rFonts w:hint="eastAsia" w:ascii="宋体" w:hAnsi="宋体" w:cs="宋体"/>
                <w:szCs w:val="21"/>
              </w:rPr>
              <w:t>（1）投标人具有有效期内的高新技术企业证书得5分，没有不得分。</w:t>
            </w:r>
          </w:p>
          <w:p>
            <w:pPr>
              <w:snapToGrid w:val="0"/>
              <w:rPr>
                <w:rFonts w:ascii="宋体" w:hAnsi="宋体" w:cs="宋体"/>
                <w:szCs w:val="21"/>
              </w:rPr>
            </w:pPr>
            <w:r>
              <w:rPr>
                <w:rFonts w:hint="eastAsia" w:ascii="宋体" w:hAnsi="宋体" w:cs="宋体"/>
                <w:szCs w:val="21"/>
              </w:rPr>
              <w:t>（2）投标人至今连续获得“纳税信用A级纳税人”称号的连续年限（须包含2022年度）：连续4年或以上的，得5分；连续3年的，得2.5分；连续2年的得1分，仅获得1年的或不满足上述要求的不得分。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atLeast"/>
          <w:tblHeader/>
          <w:jc w:val="center"/>
        </w:trPr>
        <w:tc>
          <w:tcPr>
            <w:tcW w:w="766" w:type="dxa"/>
            <w:vMerge w:val="continue"/>
            <w:tcBorders>
              <w:right w:val="single" w:color="auto" w:sz="4" w:space="0"/>
            </w:tcBorders>
            <w:noWrap/>
          </w:tcPr>
          <w:p>
            <w:pPr>
              <w:snapToGrid w:val="0"/>
              <w:rPr>
                <w:rFonts w:ascii="宋体" w:hAnsi="宋体" w:cs="宋体"/>
                <w:szCs w:val="21"/>
              </w:rPr>
            </w:pPr>
          </w:p>
        </w:tc>
        <w:tc>
          <w:tcPr>
            <w:tcW w:w="1229" w:type="dxa"/>
            <w:vMerge w:val="continue"/>
            <w:tcBorders>
              <w:right w:val="single" w:color="auto" w:sz="4" w:space="0"/>
            </w:tcBorders>
            <w:noWrap/>
          </w:tcPr>
          <w:p>
            <w:pPr>
              <w:snapToGrid w:val="0"/>
              <w:rPr>
                <w:rFonts w:ascii="宋体" w:hAnsi="宋体" w:cs="宋体"/>
                <w:szCs w:val="21"/>
              </w:rPr>
            </w:pPr>
          </w:p>
        </w:tc>
        <w:tc>
          <w:tcPr>
            <w:tcW w:w="2130" w:type="dxa"/>
            <w:tcBorders>
              <w:top w:val="single" w:color="auto" w:sz="4" w:space="0"/>
              <w:left w:val="single" w:color="auto" w:sz="4" w:space="0"/>
              <w:right w:val="single" w:color="auto" w:sz="4" w:space="0"/>
            </w:tcBorders>
            <w:noWrap/>
            <w:vAlign w:val="center"/>
          </w:tcPr>
          <w:p>
            <w:pPr>
              <w:snapToGrid w:val="0"/>
              <w:spacing w:line="288" w:lineRule="auto"/>
              <w:jc w:val="center"/>
              <w:rPr>
                <w:rFonts w:ascii="宋体" w:hAnsi="宋体" w:cs="宋体"/>
                <w:szCs w:val="21"/>
              </w:rPr>
            </w:pPr>
            <w:r>
              <w:rPr>
                <w:rFonts w:hint="eastAsia" w:ascii="宋体" w:hAnsi="宋体" w:cs="宋体"/>
                <w:szCs w:val="21"/>
              </w:rPr>
              <w:t>企业注册资本</w:t>
            </w:r>
          </w:p>
          <w:p>
            <w:pPr>
              <w:snapToGrid w:val="0"/>
              <w:spacing w:line="288" w:lineRule="auto"/>
              <w:jc w:val="center"/>
              <w:rPr>
                <w:rFonts w:ascii="宋体" w:hAnsi="宋体" w:cs="宋体"/>
                <w:szCs w:val="21"/>
              </w:rPr>
            </w:pPr>
            <w:r>
              <w:rPr>
                <w:rFonts w:hint="eastAsia" w:ascii="宋体" w:hAnsi="宋体" w:cs="宋体"/>
                <w:szCs w:val="21"/>
              </w:rPr>
              <w:t>(5分)</w:t>
            </w:r>
          </w:p>
        </w:tc>
        <w:tc>
          <w:tcPr>
            <w:tcW w:w="5415" w:type="dxa"/>
            <w:tcBorders>
              <w:top w:val="single" w:color="auto" w:sz="4" w:space="0"/>
              <w:left w:val="single" w:color="auto" w:sz="4" w:space="0"/>
              <w:bottom w:val="single" w:color="auto" w:sz="4" w:space="0"/>
            </w:tcBorders>
            <w:noWrap/>
            <w:vAlign w:val="center"/>
          </w:tcPr>
          <w:p>
            <w:pPr>
              <w:snapToGrid w:val="0"/>
              <w:spacing w:line="288" w:lineRule="auto"/>
              <w:rPr>
                <w:rFonts w:ascii="宋体" w:hAnsi="宋体"/>
              </w:rPr>
            </w:pPr>
            <w:r>
              <w:rPr>
                <w:rFonts w:hint="eastAsia" w:ascii="宋体" w:hAnsi="宋体"/>
                <w:szCs w:val="21"/>
              </w:rPr>
              <w:t>企业注册资本金由高到低排名，第1-3名得5分；第4-6名得2.5分，第7-9名得1分；第10名及之后的不得分。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blHeader/>
          <w:jc w:val="center"/>
        </w:trPr>
        <w:tc>
          <w:tcPr>
            <w:tcW w:w="766" w:type="dxa"/>
            <w:vMerge w:val="continue"/>
            <w:tcBorders>
              <w:bottom w:val="single" w:color="000000" w:sz="4" w:space="0"/>
              <w:right w:val="single" w:color="auto" w:sz="4" w:space="0"/>
            </w:tcBorders>
            <w:noWrap/>
          </w:tcPr>
          <w:p>
            <w:pPr>
              <w:snapToGrid w:val="0"/>
              <w:rPr>
                <w:rFonts w:ascii="宋体" w:hAnsi="宋体" w:cs="宋体"/>
                <w:szCs w:val="21"/>
              </w:rPr>
            </w:pPr>
          </w:p>
        </w:tc>
        <w:tc>
          <w:tcPr>
            <w:tcW w:w="1229" w:type="dxa"/>
            <w:vMerge w:val="continue"/>
            <w:tcBorders>
              <w:bottom w:val="single" w:color="000000" w:sz="4" w:space="0"/>
              <w:right w:val="single" w:color="auto" w:sz="4" w:space="0"/>
            </w:tcBorders>
            <w:noWrap/>
          </w:tcPr>
          <w:p>
            <w:pPr>
              <w:snapToGrid w:val="0"/>
              <w:rPr>
                <w:rFonts w:ascii="宋体" w:hAnsi="宋体" w:cs="宋体"/>
                <w:szCs w:val="21"/>
              </w:rPr>
            </w:pPr>
          </w:p>
        </w:tc>
        <w:tc>
          <w:tcPr>
            <w:tcW w:w="2130" w:type="dxa"/>
            <w:tcBorders>
              <w:top w:val="single" w:color="auto" w:sz="4" w:space="0"/>
              <w:left w:val="single" w:color="auto" w:sz="4" w:space="0"/>
              <w:bottom w:val="single" w:color="000000" w:sz="4" w:space="0"/>
              <w:right w:val="single" w:color="auto" w:sz="4" w:space="0"/>
            </w:tcBorders>
            <w:noWrap/>
            <w:vAlign w:val="center"/>
          </w:tcPr>
          <w:p>
            <w:pPr>
              <w:snapToGrid w:val="0"/>
              <w:jc w:val="center"/>
              <w:rPr>
                <w:rFonts w:ascii="宋体" w:hAnsi="宋体" w:cs="宋体"/>
                <w:szCs w:val="21"/>
              </w:rPr>
            </w:pPr>
            <w:r>
              <w:rPr>
                <w:rFonts w:hint="eastAsia" w:ascii="宋体" w:hAnsi="宋体" w:cs="宋体"/>
                <w:szCs w:val="21"/>
              </w:rPr>
              <w:t>体系认证（5分）</w:t>
            </w:r>
          </w:p>
        </w:tc>
        <w:tc>
          <w:tcPr>
            <w:tcW w:w="5415" w:type="dxa"/>
            <w:tcBorders>
              <w:top w:val="single" w:color="auto" w:sz="4" w:space="0"/>
              <w:left w:val="single" w:color="auto" w:sz="4" w:space="0"/>
              <w:bottom w:val="single" w:color="000000" w:sz="4" w:space="0"/>
            </w:tcBorders>
            <w:noWrap/>
            <w:vAlign w:val="center"/>
          </w:tcPr>
          <w:p>
            <w:pPr>
              <w:snapToGrid w:val="0"/>
              <w:rPr>
                <w:rFonts w:ascii="宋体" w:hAnsi="宋体" w:cs="宋体"/>
                <w:szCs w:val="21"/>
              </w:rPr>
            </w:pPr>
            <w:r>
              <w:rPr>
                <w:rFonts w:hint="eastAsia" w:ascii="宋体" w:hAnsi="宋体" w:cs="宋体"/>
                <w:szCs w:val="21"/>
              </w:rPr>
              <w:t>投标人同时具有质量管理体系认证证书、环境管理体系认证证书、职业健康安全管理体系认证证书、信息安全管理体系认证、履约能力评价体系认证证书且均在有效期内的得5分；具有其中3-4项且均在有效期内的得2.5分；具有其中1-2项且均在有效期内的得1分；没有或其他情况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blHeader/>
          <w:jc w:val="center"/>
        </w:trPr>
        <w:tc>
          <w:tcPr>
            <w:tcW w:w="766" w:type="dxa"/>
            <w:vMerge w:val="restart"/>
            <w:tcBorders>
              <w:top w:val="single" w:color="000000" w:sz="4" w:space="0"/>
              <w:left w:val="single" w:color="000000" w:sz="4" w:space="0"/>
              <w:right w:val="single" w:color="auto" w:sz="4" w:space="0"/>
            </w:tcBorders>
            <w:noWrap/>
            <w:vAlign w:val="center"/>
          </w:tcPr>
          <w:p>
            <w:pPr>
              <w:jc w:val="center"/>
              <w:rPr>
                <w:rFonts w:ascii="宋体" w:hAnsi="宋体" w:cs="宋体"/>
                <w:szCs w:val="21"/>
              </w:rPr>
            </w:pPr>
            <w:r>
              <w:rPr>
                <w:rFonts w:ascii="宋体" w:hAnsi="宋体" w:cs="宋体"/>
                <w:szCs w:val="21"/>
              </w:rPr>
              <w:t>2.2.4</w:t>
            </w:r>
            <w:r>
              <w:rPr>
                <w:rFonts w:hint="eastAsia" w:ascii="宋体" w:hAnsi="宋体" w:cs="宋体"/>
                <w:szCs w:val="21"/>
              </w:rPr>
              <w:t>（</w:t>
            </w:r>
            <w:r>
              <w:rPr>
                <w:rFonts w:ascii="宋体" w:hAnsi="宋体" w:cs="宋体"/>
                <w:szCs w:val="21"/>
              </w:rPr>
              <w:t>2</w:t>
            </w:r>
            <w:r>
              <w:rPr>
                <w:rFonts w:hint="eastAsia" w:ascii="宋体" w:hAnsi="宋体" w:cs="宋体"/>
                <w:szCs w:val="21"/>
              </w:rPr>
              <w:t>）</w:t>
            </w:r>
          </w:p>
        </w:tc>
        <w:tc>
          <w:tcPr>
            <w:tcW w:w="1229" w:type="dxa"/>
            <w:vMerge w:val="restart"/>
            <w:tcBorders>
              <w:top w:val="single" w:color="000000" w:sz="4" w:space="0"/>
              <w:right w:val="single" w:color="auto" w:sz="4" w:space="0"/>
            </w:tcBorders>
            <w:noWrap/>
            <w:vAlign w:val="center"/>
          </w:tcPr>
          <w:p>
            <w:pPr>
              <w:jc w:val="center"/>
              <w:rPr>
                <w:rFonts w:ascii="宋体" w:cs="宋体"/>
                <w:szCs w:val="21"/>
              </w:rPr>
            </w:pPr>
            <w:r>
              <w:rPr>
                <w:rFonts w:hint="eastAsia" w:ascii="宋体" w:cs="宋体"/>
                <w:szCs w:val="21"/>
              </w:rPr>
              <w:t>监理大纲评分标准</w:t>
            </w:r>
          </w:p>
          <w:p>
            <w:pPr>
              <w:jc w:val="center"/>
              <w:rPr>
                <w:rFonts w:ascii="宋体" w:hAnsi="宋体" w:cs="宋体"/>
                <w:szCs w:val="21"/>
              </w:rPr>
            </w:pPr>
            <w:r>
              <w:rPr>
                <w:rFonts w:hint="eastAsia" w:ascii="宋体" w:hAnsi="宋体" w:cs="宋体"/>
                <w:szCs w:val="21"/>
              </w:rPr>
              <w:t>（30分）</w:t>
            </w:r>
          </w:p>
        </w:tc>
        <w:tc>
          <w:tcPr>
            <w:tcW w:w="2130" w:type="dxa"/>
            <w:tcBorders>
              <w:top w:val="single" w:color="000000" w:sz="4" w:space="0"/>
              <w:left w:val="single" w:color="auto" w:sz="4" w:space="0"/>
              <w:bottom w:val="single" w:color="auto" w:sz="4" w:space="0"/>
            </w:tcBorders>
            <w:noWrap/>
            <w:tcMar>
              <w:left w:w="57" w:type="dxa"/>
              <w:right w:w="57" w:type="dxa"/>
            </w:tcMar>
            <w:vAlign w:val="center"/>
          </w:tcPr>
          <w:p>
            <w:pPr>
              <w:jc w:val="center"/>
              <w:rPr>
                <w:rFonts w:ascii="宋体" w:hAnsi="宋体"/>
                <w:szCs w:val="21"/>
              </w:rPr>
            </w:pPr>
            <w:r>
              <w:rPr>
                <w:rFonts w:hint="eastAsia" w:ascii="宋体" w:hAnsi="宋体" w:cs="宋体"/>
                <w:szCs w:val="21"/>
              </w:rPr>
              <w:t>监理工作程序、方法和制度（3分）</w:t>
            </w:r>
          </w:p>
        </w:tc>
        <w:tc>
          <w:tcPr>
            <w:tcW w:w="5415" w:type="dxa"/>
            <w:tcBorders>
              <w:top w:val="single" w:color="000000" w:sz="4" w:space="0"/>
              <w:left w:val="single" w:color="auto" w:sz="4" w:space="0"/>
              <w:bottom w:val="single" w:color="auto" w:sz="4" w:space="0"/>
              <w:right w:val="single" w:color="000000" w:sz="4" w:space="0"/>
            </w:tcBorders>
            <w:noWrap/>
            <w:vAlign w:val="center"/>
          </w:tcPr>
          <w:p>
            <w:pPr>
              <w:jc w:val="left"/>
              <w:rPr>
                <w:rFonts w:ascii="宋体" w:hAnsi="宋体"/>
                <w:kern w:val="0"/>
                <w:szCs w:val="21"/>
              </w:rPr>
            </w:pPr>
            <w:r>
              <w:rPr>
                <w:rFonts w:hint="eastAsia" w:ascii="宋体" w:hAnsi="宋体" w:cs="宋体"/>
                <w:szCs w:val="21"/>
              </w:rPr>
              <w:t>有清晰的工作流程图、工作准则。方案为优得3分；良得 2分；中得1分；差或无措施得0分。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blHeader/>
          <w:jc w:val="center"/>
        </w:trPr>
        <w:tc>
          <w:tcPr>
            <w:tcW w:w="766" w:type="dxa"/>
            <w:vMerge w:val="continue"/>
            <w:tcBorders>
              <w:left w:val="single" w:color="000000" w:sz="4" w:space="0"/>
              <w:right w:val="single" w:color="auto" w:sz="4" w:space="0"/>
            </w:tcBorders>
            <w:noWrap/>
            <w:vAlign w:val="center"/>
          </w:tcPr>
          <w:p>
            <w:pPr>
              <w:jc w:val="center"/>
              <w:rPr>
                <w:rFonts w:ascii="宋体" w:hAnsi="宋体" w:cs="宋体"/>
                <w:szCs w:val="21"/>
              </w:rPr>
            </w:pPr>
          </w:p>
        </w:tc>
        <w:tc>
          <w:tcPr>
            <w:tcW w:w="1229" w:type="dxa"/>
            <w:vMerge w:val="continue"/>
            <w:tcBorders>
              <w:right w:val="single" w:color="auto" w:sz="4" w:space="0"/>
            </w:tcBorders>
            <w:noWrap/>
            <w:vAlign w:val="center"/>
          </w:tcPr>
          <w:p>
            <w:pPr>
              <w:jc w:val="center"/>
              <w:rPr>
                <w:rFonts w:ascii="宋体" w:hAnsi="宋体" w:cs="宋体"/>
                <w:szCs w:val="21"/>
              </w:rPr>
            </w:pPr>
          </w:p>
        </w:tc>
        <w:tc>
          <w:tcPr>
            <w:tcW w:w="2130" w:type="dxa"/>
            <w:tcBorders>
              <w:top w:val="single" w:color="auto" w:sz="4" w:space="0"/>
              <w:left w:val="single" w:color="auto" w:sz="4" w:space="0"/>
              <w:bottom w:val="nil"/>
            </w:tcBorders>
            <w:noWrap/>
            <w:tcMar>
              <w:left w:w="57" w:type="dxa"/>
              <w:right w:w="57" w:type="dxa"/>
            </w:tcMar>
            <w:vAlign w:val="center"/>
          </w:tcPr>
          <w:p>
            <w:pPr>
              <w:spacing w:line="300" w:lineRule="exact"/>
              <w:jc w:val="center"/>
              <w:rPr>
                <w:rFonts w:ascii="宋体" w:hAnsi="宋体" w:cs="宋体"/>
                <w:szCs w:val="21"/>
              </w:rPr>
            </w:pPr>
            <w:r>
              <w:rPr>
                <w:rFonts w:hint="eastAsia" w:ascii="宋体" w:hAnsi="宋体" w:cs="宋体"/>
                <w:szCs w:val="21"/>
              </w:rPr>
              <w:t>质量控制方案</w:t>
            </w:r>
          </w:p>
          <w:p>
            <w:pPr>
              <w:spacing w:line="300" w:lineRule="exact"/>
              <w:jc w:val="center"/>
              <w:rPr>
                <w:rFonts w:ascii="宋体" w:hAnsi="宋体"/>
                <w:szCs w:val="21"/>
              </w:rPr>
            </w:pPr>
            <w:r>
              <w:rPr>
                <w:rFonts w:hint="eastAsia" w:ascii="宋体" w:hAnsi="宋体" w:cs="宋体"/>
                <w:szCs w:val="21"/>
              </w:rPr>
              <w:t>（</w:t>
            </w:r>
            <w:r>
              <w:rPr>
                <w:rFonts w:ascii="宋体" w:hAnsi="宋体" w:cs="宋体"/>
                <w:szCs w:val="21"/>
              </w:rPr>
              <w:t>3分）</w:t>
            </w:r>
          </w:p>
        </w:tc>
        <w:tc>
          <w:tcPr>
            <w:tcW w:w="5415" w:type="dxa"/>
            <w:tcBorders>
              <w:top w:val="single" w:color="auto" w:sz="4" w:space="0"/>
              <w:left w:val="single" w:color="auto" w:sz="4" w:space="0"/>
              <w:bottom w:val="nil"/>
              <w:right w:val="single" w:color="000000" w:sz="4" w:space="0"/>
            </w:tcBorders>
            <w:noWrap/>
            <w:vAlign w:val="center"/>
          </w:tcPr>
          <w:p>
            <w:pPr>
              <w:spacing w:line="300" w:lineRule="exact"/>
              <w:ind w:left="21" w:hanging="21" w:hangingChars="10"/>
              <w:jc w:val="left"/>
              <w:rPr>
                <w:rFonts w:ascii="宋体" w:hAnsi="宋体"/>
                <w:szCs w:val="21"/>
              </w:rPr>
            </w:pPr>
            <w:r>
              <w:rPr>
                <w:rFonts w:hint="eastAsia" w:ascii="宋体" w:hAnsi="宋体" w:cs="宋体"/>
                <w:szCs w:val="21"/>
              </w:rPr>
              <w:t>质量控制措施：要求目标明确、方法合理可行、措施具体、针对性强。措施为优得3分；良得2分；中得1分；差或无措施得0分。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1" w:hRule="exact"/>
          <w:tblHeader/>
          <w:jc w:val="center"/>
        </w:trPr>
        <w:tc>
          <w:tcPr>
            <w:tcW w:w="766" w:type="dxa"/>
            <w:vMerge w:val="continue"/>
            <w:tcBorders>
              <w:left w:val="single" w:color="000000" w:sz="4" w:space="0"/>
              <w:right w:val="single" w:color="auto" w:sz="4" w:space="0"/>
            </w:tcBorders>
            <w:noWrap/>
            <w:vAlign w:val="center"/>
          </w:tcPr>
          <w:p>
            <w:pPr>
              <w:jc w:val="center"/>
              <w:rPr>
                <w:rFonts w:ascii="宋体" w:hAnsi="宋体" w:cs="宋体"/>
                <w:szCs w:val="21"/>
              </w:rPr>
            </w:pPr>
          </w:p>
        </w:tc>
        <w:tc>
          <w:tcPr>
            <w:tcW w:w="1229" w:type="dxa"/>
            <w:vMerge w:val="continue"/>
            <w:tcBorders>
              <w:right w:val="single" w:color="auto" w:sz="4" w:space="0"/>
            </w:tcBorders>
            <w:noWrap/>
            <w:vAlign w:val="center"/>
          </w:tcPr>
          <w:p>
            <w:pPr>
              <w:jc w:val="center"/>
              <w:rPr>
                <w:rFonts w:ascii="宋体" w:hAnsi="宋体" w:cs="宋体"/>
                <w:szCs w:val="21"/>
              </w:rPr>
            </w:pPr>
          </w:p>
        </w:tc>
        <w:tc>
          <w:tcPr>
            <w:tcW w:w="2130" w:type="dxa"/>
            <w:tcBorders>
              <w:top w:val="single" w:color="auto" w:sz="4" w:space="0"/>
              <w:left w:val="single" w:color="auto" w:sz="4" w:space="0"/>
              <w:bottom w:val="single" w:color="auto" w:sz="4" w:space="0"/>
            </w:tcBorders>
            <w:noWrap/>
            <w:tcMar>
              <w:left w:w="57" w:type="dxa"/>
              <w:right w:w="57" w:type="dxa"/>
            </w:tcMar>
            <w:vAlign w:val="center"/>
          </w:tcPr>
          <w:p>
            <w:pPr>
              <w:spacing w:line="300" w:lineRule="exact"/>
              <w:jc w:val="center"/>
              <w:rPr>
                <w:rFonts w:ascii="宋体" w:hAnsi="宋体" w:cs="宋体"/>
                <w:szCs w:val="21"/>
              </w:rPr>
            </w:pPr>
            <w:r>
              <w:rPr>
                <w:rFonts w:hint="eastAsia" w:ascii="宋体" w:hAnsi="宋体" w:cs="宋体"/>
                <w:szCs w:val="21"/>
              </w:rPr>
              <w:t>进度控制方案</w:t>
            </w:r>
          </w:p>
          <w:p>
            <w:pPr>
              <w:spacing w:line="300" w:lineRule="exact"/>
              <w:jc w:val="center"/>
              <w:rPr>
                <w:rFonts w:ascii="宋体" w:hAnsi="宋体"/>
                <w:szCs w:val="21"/>
              </w:rPr>
            </w:pPr>
            <w:r>
              <w:rPr>
                <w:rFonts w:hint="eastAsia" w:ascii="宋体" w:hAnsi="宋体" w:cs="宋体"/>
                <w:szCs w:val="21"/>
              </w:rPr>
              <w:t>（</w:t>
            </w:r>
            <w:r>
              <w:rPr>
                <w:rFonts w:ascii="宋体" w:hAnsi="宋体" w:cs="宋体"/>
                <w:szCs w:val="21"/>
              </w:rPr>
              <w:t>3分）</w:t>
            </w:r>
          </w:p>
        </w:tc>
        <w:tc>
          <w:tcPr>
            <w:tcW w:w="5415" w:type="dxa"/>
            <w:tcBorders>
              <w:top w:val="single" w:color="auto" w:sz="4" w:space="0"/>
              <w:left w:val="single" w:color="auto" w:sz="4" w:space="0"/>
              <w:bottom w:val="single" w:color="auto" w:sz="4" w:space="0"/>
              <w:right w:val="single" w:color="000000" w:sz="4" w:space="0"/>
            </w:tcBorders>
            <w:noWrap/>
            <w:vAlign w:val="center"/>
          </w:tcPr>
          <w:p>
            <w:pPr>
              <w:adjustRightInd w:val="0"/>
              <w:spacing w:line="360" w:lineRule="atLeast"/>
              <w:textAlignment w:val="baseline"/>
              <w:rPr>
                <w:rFonts w:ascii="宋体" w:hAnsi="宋体"/>
                <w:szCs w:val="21"/>
                <w:lang w:val="zh-CN"/>
              </w:rPr>
            </w:pPr>
            <w:r>
              <w:rPr>
                <w:rFonts w:hint="eastAsia" w:ascii="宋体" w:hAnsi="宋体" w:cs="宋体"/>
                <w:szCs w:val="21"/>
                <w:lang w:val="zh-CN"/>
              </w:rPr>
              <w:t>进度控制措施：要求目标明确、方法合理可行、措施具体、针对性强。措施为优得3分；良得2分；中得1分；</w:t>
            </w:r>
            <w:r>
              <w:rPr>
                <w:rFonts w:hint="eastAsia" w:ascii="宋体" w:hAnsi="宋体" w:cs="宋体"/>
                <w:szCs w:val="21"/>
              </w:rPr>
              <w:t>差或</w:t>
            </w:r>
            <w:r>
              <w:rPr>
                <w:rFonts w:hint="eastAsia" w:ascii="宋体" w:hAnsi="宋体" w:cs="宋体"/>
                <w:szCs w:val="21"/>
                <w:lang w:val="zh-CN"/>
              </w:rPr>
              <w:t>无措施得0分。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8" w:hRule="exact"/>
          <w:tblHeader/>
          <w:jc w:val="center"/>
        </w:trPr>
        <w:tc>
          <w:tcPr>
            <w:tcW w:w="766" w:type="dxa"/>
            <w:vMerge w:val="continue"/>
            <w:tcBorders>
              <w:left w:val="single" w:color="000000" w:sz="4" w:space="0"/>
              <w:right w:val="single" w:color="auto" w:sz="4" w:space="0"/>
            </w:tcBorders>
            <w:noWrap/>
            <w:vAlign w:val="center"/>
          </w:tcPr>
          <w:p>
            <w:pPr>
              <w:jc w:val="center"/>
              <w:rPr>
                <w:rFonts w:ascii="宋体" w:hAnsi="宋体" w:cs="宋体"/>
                <w:szCs w:val="21"/>
              </w:rPr>
            </w:pPr>
          </w:p>
        </w:tc>
        <w:tc>
          <w:tcPr>
            <w:tcW w:w="1229" w:type="dxa"/>
            <w:vMerge w:val="continue"/>
            <w:tcBorders>
              <w:right w:val="single" w:color="auto" w:sz="4" w:space="0"/>
            </w:tcBorders>
            <w:noWrap/>
            <w:vAlign w:val="center"/>
          </w:tcPr>
          <w:p>
            <w:pPr>
              <w:jc w:val="center"/>
              <w:rPr>
                <w:rFonts w:ascii="宋体" w:hAnsi="宋体" w:cs="宋体"/>
                <w:szCs w:val="21"/>
              </w:rPr>
            </w:pPr>
          </w:p>
        </w:tc>
        <w:tc>
          <w:tcPr>
            <w:tcW w:w="2130"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spacing w:line="300" w:lineRule="exact"/>
              <w:jc w:val="center"/>
              <w:rPr>
                <w:rFonts w:ascii="宋体" w:hAnsi="宋体" w:cs="宋体"/>
                <w:szCs w:val="21"/>
              </w:rPr>
            </w:pPr>
            <w:r>
              <w:rPr>
                <w:rFonts w:hint="eastAsia" w:ascii="宋体" w:hAnsi="宋体" w:cs="宋体"/>
                <w:szCs w:val="21"/>
              </w:rPr>
              <w:t>投资控制措施</w:t>
            </w:r>
          </w:p>
          <w:p>
            <w:pPr>
              <w:spacing w:line="300" w:lineRule="exact"/>
              <w:jc w:val="center"/>
              <w:rPr>
                <w:rFonts w:ascii="宋体" w:hAnsi="宋体"/>
                <w:szCs w:val="21"/>
              </w:rPr>
            </w:pPr>
            <w:r>
              <w:rPr>
                <w:rFonts w:hint="eastAsia" w:ascii="宋体" w:hAnsi="宋体" w:cs="宋体"/>
                <w:szCs w:val="21"/>
              </w:rPr>
              <w:t>（</w:t>
            </w:r>
            <w:r>
              <w:rPr>
                <w:rFonts w:ascii="宋体" w:hAnsi="宋体" w:cs="宋体"/>
                <w:szCs w:val="21"/>
              </w:rPr>
              <w:t>3分）</w:t>
            </w:r>
          </w:p>
        </w:tc>
        <w:tc>
          <w:tcPr>
            <w:tcW w:w="5415" w:type="dxa"/>
            <w:tcBorders>
              <w:top w:val="single" w:color="auto" w:sz="4" w:space="0"/>
              <w:left w:val="single" w:color="auto" w:sz="4" w:space="0"/>
              <w:bottom w:val="single" w:color="auto" w:sz="4" w:space="0"/>
              <w:right w:val="single" w:color="000000" w:sz="4" w:space="0"/>
            </w:tcBorders>
            <w:noWrap/>
            <w:vAlign w:val="center"/>
          </w:tcPr>
          <w:p>
            <w:pPr>
              <w:adjustRightInd w:val="0"/>
              <w:spacing w:line="360" w:lineRule="atLeast"/>
              <w:textAlignment w:val="baseline"/>
              <w:rPr>
                <w:rFonts w:ascii="宋体" w:hAnsi="宋体"/>
                <w:szCs w:val="21"/>
                <w:lang w:val="zh-CN"/>
              </w:rPr>
            </w:pPr>
            <w:r>
              <w:rPr>
                <w:rFonts w:hint="eastAsia" w:ascii="宋体" w:hAnsi="宋体" w:cs="宋体"/>
                <w:szCs w:val="21"/>
                <w:lang w:val="zh-CN"/>
              </w:rPr>
              <w:t>投资控制措施：要求目标明确、方法合理可行、措施具体、针对性强。措施为优得3分；良得2分；中得1分；</w:t>
            </w:r>
            <w:r>
              <w:rPr>
                <w:rFonts w:hint="eastAsia" w:ascii="宋体" w:hAnsi="宋体" w:cs="宋体"/>
                <w:szCs w:val="21"/>
              </w:rPr>
              <w:t>差或</w:t>
            </w:r>
            <w:r>
              <w:rPr>
                <w:rFonts w:hint="eastAsia" w:ascii="宋体" w:hAnsi="宋体" w:cs="宋体"/>
                <w:szCs w:val="21"/>
                <w:lang w:val="zh-CN"/>
              </w:rPr>
              <w:t>无措施得0分。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exact"/>
          <w:tblHeader/>
          <w:jc w:val="center"/>
        </w:trPr>
        <w:tc>
          <w:tcPr>
            <w:tcW w:w="766" w:type="dxa"/>
            <w:vMerge w:val="continue"/>
            <w:tcBorders>
              <w:left w:val="single" w:color="000000" w:sz="4" w:space="0"/>
              <w:right w:val="single" w:color="auto" w:sz="4" w:space="0"/>
            </w:tcBorders>
            <w:noWrap/>
            <w:vAlign w:val="center"/>
          </w:tcPr>
          <w:p>
            <w:pPr>
              <w:jc w:val="center"/>
              <w:rPr>
                <w:rFonts w:ascii="宋体" w:hAnsi="宋体" w:cs="宋体"/>
                <w:szCs w:val="21"/>
              </w:rPr>
            </w:pPr>
          </w:p>
        </w:tc>
        <w:tc>
          <w:tcPr>
            <w:tcW w:w="1229" w:type="dxa"/>
            <w:vMerge w:val="continue"/>
            <w:tcBorders>
              <w:right w:val="single" w:color="auto" w:sz="4" w:space="0"/>
            </w:tcBorders>
            <w:noWrap/>
            <w:vAlign w:val="center"/>
          </w:tcPr>
          <w:p>
            <w:pPr>
              <w:jc w:val="center"/>
              <w:rPr>
                <w:rFonts w:ascii="宋体" w:hAnsi="宋体" w:cs="宋体"/>
                <w:szCs w:val="21"/>
              </w:rPr>
            </w:pPr>
          </w:p>
        </w:tc>
        <w:tc>
          <w:tcPr>
            <w:tcW w:w="2130" w:type="dxa"/>
            <w:tcBorders>
              <w:top w:val="single" w:color="auto" w:sz="4" w:space="0"/>
              <w:left w:val="single" w:color="auto" w:sz="4" w:space="0"/>
              <w:bottom w:val="single" w:color="auto" w:sz="4" w:space="0"/>
            </w:tcBorders>
            <w:noWrap/>
            <w:tcMar>
              <w:left w:w="57" w:type="dxa"/>
              <w:right w:w="57" w:type="dxa"/>
            </w:tcMar>
            <w:vAlign w:val="center"/>
          </w:tcPr>
          <w:p>
            <w:pPr>
              <w:spacing w:line="300" w:lineRule="exact"/>
              <w:jc w:val="center"/>
              <w:rPr>
                <w:rFonts w:ascii="宋体" w:hAnsi="宋体" w:cs="宋体"/>
                <w:szCs w:val="21"/>
              </w:rPr>
            </w:pPr>
            <w:r>
              <w:rPr>
                <w:rFonts w:hint="eastAsia" w:ascii="宋体" w:hAnsi="宋体" w:cs="宋体"/>
                <w:szCs w:val="21"/>
              </w:rPr>
              <w:t>安全、文明施工管理</w:t>
            </w:r>
          </w:p>
          <w:p>
            <w:pPr>
              <w:spacing w:line="300" w:lineRule="exact"/>
              <w:jc w:val="center"/>
              <w:rPr>
                <w:rFonts w:ascii="宋体" w:hAnsi="宋体"/>
                <w:szCs w:val="21"/>
              </w:rPr>
            </w:pPr>
            <w:r>
              <w:rPr>
                <w:rFonts w:hint="eastAsia" w:ascii="宋体" w:hAnsi="宋体" w:cs="宋体"/>
                <w:szCs w:val="21"/>
              </w:rPr>
              <w:t>（3</w:t>
            </w:r>
            <w:r>
              <w:rPr>
                <w:rFonts w:ascii="宋体" w:hAnsi="宋体" w:cs="宋体"/>
                <w:szCs w:val="21"/>
              </w:rPr>
              <w:t>分）</w:t>
            </w:r>
          </w:p>
        </w:tc>
        <w:tc>
          <w:tcPr>
            <w:tcW w:w="5415" w:type="dxa"/>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tLeast"/>
              <w:textAlignment w:val="baseline"/>
              <w:rPr>
                <w:rFonts w:ascii="宋体" w:hAnsi="宋体"/>
                <w:szCs w:val="21"/>
                <w:lang w:val="zh-CN"/>
              </w:rPr>
            </w:pPr>
            <w:r>
              <w:rPr>
                <w:rFonts w:hint="eastAsia" w:ascii="宋体" w:hAnsi="宋体" w:cs="宋体"/>
                <w:szCs w:val="21"/>
                <w:lang w:val="zh-CN"/>
              </w:rPr>
              <w:t>安全、文明施工管理：管理措施为优得3分；良得2分；中得1分；差或无措施得0分。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exact"/>
          <w:tblHeader/>
          <w:jc w:val="center"/>
        </w:trPr>
        <w:tc>
          <w:tcPr>
            <w:tcW w:w="766" w:type="dxa"/>
            <w:vMerge w:val="continue"/>
            <w:tcBorders>
              <w:left w:val="single" w:color="000000" w:sz="4" w:space="0"/>
              <w:right w:val="single" w:color="auto" w:sz="4" w:space="0"/>
            </w:tcBorders>
            <w:noWrap/>
            <w:vAlign w:val="center"/>
          </w:tcPr>
          <w:p>
            <w:pPr>
              <w:jc w:val="center"/>
              <w:rPr>
                <w:rFonts w:ascii="宋体" w:hAnsi="宋体" w:cs="宋体"/>
                <w:szCs w:val="21"/>
              </w:rPr>
            </w:pPr>
          </w:p>
        </w:tc>
        <w:tc>
          <w:tcPr>
            <w:tcW w:w="1229" w:type="dxa"/>
            <w:vMerge w:val="continue"/>
            <w:tcBorders>
              <w:right w:val="single" w:color="auto" w:sz="4" w:space="0"/>
            </w:tcBorders>
            <w:noWrap/>
            <w:vAlign w:val="center"/>
          </w:tcPr>
          <w:p>
            <w:pPr>
              <w:jc w:val="center"/>
              <w:rPr>
                <w:rFonts w:ascii="宋体" w:hAnsi="宋体" w:cs="宋体"/>
                <w:szCs w:val="21"/>
              </w:rPr>
            </w:pPr>
          </w:p>
        </w:tc>
        <w:tc>
          <w:tcPr>
            <w:tcW w:w="2130" w:type="dxa"/>
            <w:tcBorders>
              <w:top w:val="single" w:color="auto" w:sz="4" w:space="0"/>
              <w:left w:val="single" w:color="auto" w:sz="4" w:space="0"/>
              <w:bottom w:val="nil"/>
            </w:tcBorders>
            <w:noWrap/>
            <w:tcMar>
              <w:left w:w="57" w:type="dxa"/>
              <w:right w:w="57" w:type="dxa"/>
            </w:tcMar>
            <w:vAlign w:val="center"/>
          </w:tcPr>
          <w:p>
            <w:pPr>
              <w:spacing w:line="300" w:lineRule="exact"/>
              <w:jc w:val="center"/>
              <w:rPr>
                <w:rFonts w:ascii="宋体" w:hAnsi="宋体" w:cs="宋体"/>
                <w:szCs w:val="21"/>
              </w:rPr>
            </w:pPr>
            <w:r>
              <w:rPr>
                <w:rFonts w:hint="eastAsia" w:ascii="宋体" w:hAnsi="宋体" w:cs="宋体"/>
                <w:szCs w:val="21"/>
              </w:rPr>
              <w:t>合同、信息管理方案</w:t>
            </w:r>
          </w:p>
          <w:p>
            <w:pPr>
              <w:spacing w:line="300" w:lineRule="exact"/>
              <w:jc w:val="center"/>
              <w:rPr>
                <w:rFonts w:ascii="宋体" w:hAnsi="宋体"/>
                <w:szCs w:val="21"/>
              </w:rPr>
            </w:pPr>
            <w:r>
              <w:rPr>
                <w:rFonts w:hint="eastAsia" w:ascii="宋体" w:hAnsi="宋体" w:cs="宋体"/>
                <w:szCs w:val="21"/>
              </w:rPr>
              <w:t>（</w:t>
            </w:r>
            <w:r>
              <w:rPr>
                <w:rFonts w:ascii="宋体" w:hAnsi="宋体" w:cs="宋体"/>
                <w:szCs w:val="21"/>
              </w:rPr>
              <w:t>2分）</w:t>
            </w:r>
          </w:p>
        </w:tc>
        <w:tc>
          <w:tcPr>
            <w:tcW w:w="5415" w:type="dxa"/>
            <w:tcBorders>
              <w:top w:val="single" w:color="auto" w:sz="4" w:space="0"/>
              <w:left w:val="single" w:color="auto" w:sz="4" w:space="0"/>
              <w:bottom w:val="nil"/>
              <w:right w:val="single" w:color="000000" w:sz="4" w:space="0"/>
            </w:tcBorders>
            <w:noWrap/>
            <w:vAlign w:val="center"/>
          </w:tcPr>
          <w:p>
            <w:pPr>
              <w:adjustRightInd w:val="0"/>
              <w:spacing w:line="360" w:lineRule="atLeast"/>
              <w:textAlignment w:val="baseline"/>
              <w:rPr>
                <w:rFonts w:ascii="宋体" w:hAnsi="宋体"/>
                <w:szCs w:val="21"/>
                <w:lang w:val="zh-CN"/>
              </w:rPr>
            </w:pPr>
            <w:r>
              <w:rPr>
                <w:rFonts w:hint="eastAsia" w:ascii="宋体" w:hAnsi="宋体" w:cs="宋体"/>
                <w:szCs w:val="21"/>
                <w:lang w:val="zh-CN"/>
              </w:rPr>
              <w:t>管理方法合理有效，针对性强、措施具体得2分；措施不具体得1分；无措施得0分。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exact"/>
          <w:tblHeader/>
          <w:jc w:val="center"/>
        </w:trPr>
        <w:tc>
          <w:tcPr>
            <w:tcW w:w="766" w:type="dxa"/>
            <w:vMerge w:val="continue"/>
            <w:tcBorders>
              <w:left w:val="single" w:color="000000" w:sz="4" w:space="0"/>
              <w:right w:val="single" w:color="auto" w:sz="4" w:space="0"/>
            </w:tcBorders>
            <w:noWrap/>
            <w:vAlign w:val="center"/>
          </w:tcPr>
          <w:p>
            <w:pPr>
              <w:jc w:val="center"/>
              <w:rPr>
                <w:rFonts w:ascii="宋体" w:hAnsi="宋体" w:cs="宋体"/>
                <w:szCs w:val="21"/>
              </w:rPr>
            </w:pPr>
          </w:p>
        </w:tc>
        <w:tc>
          <w:tcPr>
            <w:tcW w:w="1229" w:type="dxa"/>
            <w:vMerge w:val="continue"/>
            <w:tcBorders>
              <w:right w:val="single" w:color="auto" w:sz="4" w:space="0"/>
            </w:tcBorders>
            <w:noWrap/>
            <w:vAlign w:val="center"/>
          </w:tcPr>
          <w:p>
            <w:pPr>
              <w:jc w:val="center"/>
              <w:rPr>
                <w:rFonts w:ascii="宋体" w:hAnsi="宋体" w:cs="宋体"/>
                <w:szCs w:val="21"/>
              </w:rPr>
            </w:pPr>
          </w:p>
        </w:tc>
        <w:tc>
          <w:tcPr>
            <w:tcW w:w="2130" w:type="dxa"/>
            <w:tcBorders>
              <w:top w:val="single" w:color="auto" w:sz="4" w:space="0"/>
              <w:left w:val="single" w:color="auto" w:sz="4" w:space="0"/>
              <w:bottom w:val="single" w:color="000000" w:sz="4" w:space="0"/>
            </w:tcBorders>
            <w:noWrap/>
            <w:tcMar>
              <w:left w:w="57" w:type="dxa"/>
              <w:right w:w="57" w:type="dxa"/>
            </w:tcMar>
            <w:vAlign w:val="center"/>
          </w:tcPr>
          <w:p>
            <w:pPr>
              <w:jc w:val="center"/>
              <w:rPr>
                <w:rFonts w:ascii="宋体" w:hAnsi="宋体"/>
                <w:szCs w:val="21"/>
              </w:rPr>
            </w:pPr>
            <w:r>
              <w:rPr>
                <w:rFonts w:hint="eastAsia" w:ascii="宋体" w:hAnsi="宋体" w:cs="宋体"/>
                <w:szCs w:val="21"/>
              </w:rPr>
              <w:t>监理组织协调内容及措施（3分）</w:t>
            </w:r>
          </w:p>
        </w:tc>
        <w:tc>
          <w:tcPr>
            <w:tcW w:w="5415" w:type="dxa"/>
            <w:tcBorders>
              <w:top w:val="single" w:color="auto" w:sz="4" w:space="0"/>
              <w:left w:val="single" w:color="auto" w:sz="4" w:space="0"/>
              <w:bottom w:val="single" w:color="000000" w:sz="4" w:space="0"/>
              <w:right w:val="single" w:color="000000" w:sz="4" w:space="0"/>
            </w:tcBorders>
            <w:noWrap/>
            <w:vAlign w:val="center"/>
          </w:tcPr>
          <w:p>
            <w:pPr>
              <w:jc w:val="left"/>
              <w:rPr>
                <w:rFonts w:ascii="宋体" w:hAnsi="宋体"/>
                <w:szCs w:val="21"/>
              </w:rPr>
            </w:pPr>
            <w:r>
              <w:rPr>
                <w:rFonts w:hint="eastAsia" w:ascii="宋体" w:hAnsi="宋体" w:cs="宋体"/>
                <w:szCs w:val="21"/>
              </w:rPr>
              <w:t>协调方法清晰合理，有具体措施。优得3分；良得 2分；中得1分；差或无措施得0分。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exact"/>
          <w:tblHeader/>
          <w:jc w:val="center"/>
        </w:trPr>
        <w:tc>
          <w:tcPr>
            <w:tcW w:w="766" w:type="dxa"/>
            <w:vMerge w:val="continue"/>
            <w:tcBorders>
              <w:left w:val="single" w:color="000000" w:sz="4" w:space="0"/>
              <w:right w:val="single" w:color="auto" w:sz="4" w:space="0"/>
            </w:tcBorders>
            <w:noWrap/>
            <w:vAlign w:val="center"/>
          </w:tcPr>
          <w:p>
            <w:pPr>
              <w:jc w:val="center"/>
              <w:rPr>
                <w:rFonts w:ascii="宋体" w:hAnsi="宋体" w:cs="宋体"/>
                <w:szCs w:val="21"/>
              </w:rPr>
            </w:pPr>
          </w:p>
        </w:tc>
        <w:tc>
          <w:tcPr>
            <w:tcW w:w="1229" w:type="dxa"/>
            <w:vMerge w:val="continue"/>
            <w:tcBorders>
              <w:right w:val="single" w:color="000000" w:sz="4" w:space="0"/>
            </w:tcBorders>
            <w:noWrap/>
            <w:vAlign w:val="center"/>
          </w:tcPr>
          <w:p>
            <w:pPr>
              <w:jc w:val="center"/>
              <w:rPr>
                <w:rFonts w:ascii="宋体" w:hAnsi="宋体" w:cs="宋体"/>
                <w:szCs w:val="21"/>
              </w:rPr>
            </w:pPr>
          </w:p>
        </w:tc>
        <w:tc>
          <w:tcPr>
            <w:tcW w:w="2130" w:type="dxa"/>
            <w:tcBorders>
              <w:top w:val="single" w:color="000000" w:sz="4" w:space="0"/>
              <w:left w:val="single" w:color="000000" w:sz="4" w:space="0"/>
              <w:bottom w:val="single" w:color="000000" w:sz="4" w:space="0"/>
            </w:tcBorders>
            <w:noWrap/>
            <w:tcMar>
              <w:left w:w="57" w:type="dxa"/>
              <w:right w:w="57" w:type="dxa"/>
            </w:tcMar>
            <w:vAlign w:val="center"/>
          </w:tcPr>
          <w:p>
            <w:pPr>
              <w:jc w:val="center"/>
              <w:rPr>
                <w:rFonts w:ascii="宋体" w:hAnsi="宋体"/>
                <w:szCs w:val="21"/>
              </w:rPr>
            </w:pPr>
            <w:r>
              <w:rPr>
                <w:rFonts w:hint="eastAsia" w:ascii="宋体" w:hAnsi="宋体" w:cs="宋体"/>
                <w:szCs w:val="21"/>
              </w:rPr>
              <w:t>监理工作重点、难点分析（3分）</w:t>
            </w:r>
          </w:p>
        </w:tc>
        <w:tc>
          <w:tcPr>
            <w:tcW w:w="5415" w:type="dxa"/>
            <w:tcBorders>
              <w:top w:val="single" w:color="000000" w:sz="4" w:space="0"/>
              <w:left w:val="single" w:color="auto" w:sz="4" w:space="0"/>
              <w:bottom w:val="single" w:color="000000" w:sz="4" w:space="0"/>
              <w:right w:val="single" w:color="000000" w:sz="4" w:space="0"/>
            </w:tcBorders>
            <w:noWrap/>
            <w:vAlign w:val="center"/>
          </w:tcPr>
          <w:p>
            <w:pPr>
              <w:jc w:val="left"/>
              <w:rPr>
                <w:rFonts w:ascii="宋体" w:hAnsi="宋体"/>
                <w:szCs w:val="21"/>
              </w:rPr>
            </w:pPr>
            <w:r>
              <w:rPr>
                <w:rFonts w:hint="eastAsia" w:ascii="宋体" w:hAnsi="宋体" w:cs="宋体"/>
                <w:szCs w:val="21"/>
              </w:rPr>
              <w:t>要求针对性强、措施具体、可操作。优得3分；良得2分；中得1分；差或无得0分。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5" w:hRule="exact"/>
          <w:tblHeader/>
          <w:jc w:val="center"/>
        </w:trPr>
        <w:tc>
          <w:tcPr>
            <w:tcW w:w="766" w:type="dxa"/>
            <w:vMerge w:val="continue"/>
            <w:tcBorders>
              <w:left w:val="single" w:color="000000" w:sz="4" w:space="0"/>
              <w:right w:val="single" w:color="auto" w:sz="4" w:space="0"/>
            </w:tcBorders>
            <w:noWrap/>
            <w:vAlign w:val="center"/>
          </w:tcPr>
          <w:p>
            <w:pPr>
              <w:jc w:val="center"/>
              <w:rPr>
                <w:rFonts w:ascii="宋体" w:hAnsi="宋体" w:cs="宋体"/>
                <w:szCs w:val="21"/>
              </w:rPr>
            </w:pPr>
          </w:p>
        </w:tc>
        <w:tc>
          <w:tcPr>
            <w:tcW w:w="1229" w:type="dxa"/>
            <w:vMerge w:val="continue"/>
            <w:tcBorders>
              <w:right w:val="single" w:color="auto" w:sz="4" w:space="0"/>
            </w:tcBorders>
            <w:noWrap/>
            <w:vAlign w:val="center"/>
          </w:tcPr>
          <w:p>
            <w:pPr>
              <w:jc w:val="center"/>
              <w:rPr>
                <w:rFonts w:ascii="宋体" w:hAnsi="宋体" w:cs="宋体"/>
                <w:szCs w:val="21"/>
              </w:rPr>
            </w:pPr>
          </w:p>
        </w:tc>
        <w:tc>
          <w:tcPr>
            <w:tcW w:w="2130" w:type="dxa"/>
            <w:tcBorders>
              <w:top w:val="single" w:color="000000" w:sz="4" w:space="0"/>
              <w:left w:val="single" w:color="auto" w:sz="4" w:space="0"/>
              <w:bottom w:val="nil"/>
            </w:tcBorders>
            <w:noWrap/>
            <w:tcMar>
              <w:left w:w="57" w:type="dxa"/>
              <w:right w:w="57" w:type="dxa"/>
            </w:tcMar>
            <w:vAlign w:val="center"/>
          </w:tcPr>
          <w:p>
            <w:pPr>
              <w:jc w:val="center"/>
              <w:rPr>
                <w:rFonts w:ascii="宋体" w:hAnsi="宋体"/>
                <w:szCs w:val="21"/>
              </w:rPr>
            </w:pPr>
            <w:r>
              <w:rPr>
                <w:rFonts w:hint="eastAsia" w:ascii="宋体" w:hAnsi="宋体" w:cs="宋体"/>
                <w:szCs w:val="21"/>
              </w:rPr>
              <w:t>工程进度款、工程结算的管理（2分）</w:t>
            </w:r>
          </w:p>
        </w:tc>
        <w:tc>
          <w:tcPr>
            <w:tcW w:w="5415" w:type="dxa"/>
            <w:tcBorders>
              <w:top w:val="single" w:color="000000" w:sz="4" w:space="0"/>
              <w:left w:val="single" w:color="auto" w:sz="4" w:space="0"/>
              <w:bottom w:val="nil"/>
              <w:right w:val="single" w:color="000000" w:sz="4" w:space="0"/>
            </w:tcBorders>
            <w:noWrap/>
          </w:tcPr>
          <w:p>
            <w:pPr>
              <w:jc w:val="left"/>
              <w:rPr>
                <w:rFonts w:ascii="宋体" w:hAnsi="宋体"/>
                <w:szCs w:val="21"/>
              </w:rPr>
            </w:pPr>
            <w:r>
              <w:rPr>
                <w:rFonts w:hint="eastAsia" w:ascii="宋体" w:hAnsi="宋体" w:cs="宋体"/>
                <w:szCs w:val="21"/>
              </w:rPr>
              <w:t>管理方法合理有效、有具体措施的得2分，一般、措施不具体的得1分，无管理方法和措施不得分。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exact"/>
          <w:tblHeader/>
          <w:jc w:val="center"/>
        </w:trPr>
        <w:tc>
          <w:tcPr>
            <w:tcW w:w="766" w:type="dxa"/>
            <w:vMerge w:val="continue"/>
            <w:tcBorders>
              <w:left w:val="single" w:color="000000" w:sz="4" w:space="0"/>
              <w:bottom w:val="single" w:color="auto" w:sz="4" w:space="0"/>
              <w:right w:val="single" w:color="auto" w:sz="4" w:space="0"/>
            </w:tcBorders>
            <w:noWrap/>
            <w:vAlign w:val="center"/>
          </w:tcPr>
          <w:p>
            <w:pPr>
              <w:jc w:val="center"/>
              <w:rPr>
                <w:rFonts w:ascii="宋体" w:hAnsi="宋体" w:cs="宋体"/>
                <w:szCs w:val="21"/>
              </w:rPr>
            </w:pPr>
          </w:p>
        </w:tc>
        <w:tc>
          <w:tcPr>
            <w:tcW w:w="1229" w:type="dxa"/>
            <w:vMerge w:val="continue"/>
            <w:tcBorders>
              <w:bottom w:val="single" w:color="auto" w:sz="4" w:space="0"/>
              <w:right w:val="single" w:color="auto" w:sz="4" w:space="0"/>
            </w:tcBorders>
            <w:noWrap/>
            <w:vAlign w:val="center"/>
          </w:tcPr>
          <w:p>
            <w:pPr>
              <w:jc w:val="center"/>
              <w:rPr>
                <w:rFonts w:ascii="宋体" w:hAnsi="宋体" w:cs="宋体"/>
                <w:szCs w:val="21"/>
              </w:rPr>
            </w:pPr>
          </w:p>
        </w:tc>
        <w:tc>
          <w:tcPr>
            <w:tcW w:w="2130" w:type="dxa"/>
            <w:tcBorders>
              <w:top w:val="single" w:color="auto" w:sz="4" w:space="0"/>
              <w:left w:val="single" w:color="auto" w:sz="4" w:space="0"/>
              <w:bottom w:val="single" w:color="auto" w:sz="4" w:space="0"/>
            </w:tcBorders>
            <w:noWrap/>
            <w:tcMar>
              <w:left w:w="57" w:type="dxa"/>
              <w:right w:w="57" w:type="dxa"/>
            </w:tcMar>
            <w:vAlign w:val="center"/>
          </w:tcPr>
          <w:p>
            <w:pPr>
              <w:jc w:val="center"/>
              <w:rPr>
                <w:rFonts w:ascii="宋体" w:hAnsi="宋体"/>
                <w:szCs w:val="21"/>
              </w:rPr>
            </w:pPr>
            <w:r>
              <w:rPr>
                <w:rFonts w:hint="eastAsia" w:ascii="宋体" w:hAnsi="宋体" w:cs="宋体"/>
                <w:szCs w:val="21"/>
              </w:rPr>
              <w:t>会议制度（2分）</w:t>
            </w:r>
          </w:p>
        </w:tc>
        <w:tc>
          <w:tcPr>
            <w:tcW w:w="5415" w:type="dxa"/>
            <w:tcBorders>
              <w:top w:val="single" w:color="auto" w:sz="4" w:space="0"/>
              <w:left w:val="single" w:color="auto" w:sz="4" w:space="0"/>
              <w:bottom w:val="single" w:color="auto" w:sz="4" w:space="0"/>
              <w:right w:val="single" w:color="000000" w:sz="4" w:space="0"/>
            </w:tcBorders>
            <w:noWrap/>
          </w:tcPr>
          <w:p>
            <w:pPr>
              <w:jc w:val="left"/>
              <w:rPr>
                <w:rFonts w:ascii="宋体" w:hAnsi="宋体"/>
                <w:szCs w:val="21"/>
              </w:rPr>
            </w:pPr>
            <w:r>
              <w:rPr>
                <w:rFonts w:ascii="宋体" w:hAnsi="宋体" w:cs="宋体"/>
                <w:szCs w:val="21"/>
              </w:rPr>
              <w:t>建立完善的工地会议制度</w:t>
            </w:r>
            <w:r>
              <w:rPr>
                <w:rFonts w:hint="eastAsia" w:ascii="宋体" w:hAnsi="宋体" w:cs="宋体"/>
                <w:szCs w:val="21"/>
              </w:rPr>
              <w:t>，</w:t>
            </w:r>
            <w:r>
              <w:rPr>
                <w:rFonts w:ascii="宋体" w:hAnsi="宋体" w:cs="宋体"/>
                <w:szCs w:val="21"/>
              </w:rPr>
              <w:t>满足要求的得</w:t>
            </w:r>
            <w:r>
              <w:rPr>
                <w:rFonts w:hint="eastAsia" w:ascii="宋体" w:hAnsi="宋体" w:cs="宋体"/>
                <w:szCs w:val="21"/>
              </w:rPr>
              <w:t>2分，基本满足要求的得</w:t>
            </w:r>
            <w:r>
              <w:rPr>
                <w:rFonts w:ascii="宋体" w:hAnsi="宋体" w:cs="宋体"/>
                <w:szCs w:val="21"/>
              </w:rPr>
              <w:t>1分</w:t>
            </w:r>
            <w:r>
              <w:rPr>
                <w:rFonts w:hint="eastAsia" w:ascii="宋体" w:hAnsi="宋体" w:cs="宋体"/>
                <w:szCs w:val="21"/>
              </w:rPr>
              <w:t>，</w:t>
            </w:r>
            <w:r>
              <w:rPr>
                <w:rFonts w:ascii="宋体" w:hAnsi="宋体" w:cs="宋体"/>
                <w:szCs w:val="21"/>
              </w:rPr>
              <w:t>不满足要求的不得分</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2" w:hRule="exact"/>
          <w:tblHeader/>
          <w:jc w:val="center"/>
        </w:trPr>
        <w:tc>
          <w:tcPr>
            <w:tcW w:w="766" w:type="dxa"/>
            <w:vMerge w:val="continue"/>
            <w:tcBorders>
              <w:top w:val="single" w:color="auto" w:sz="4" w:space="0"/>
              <w:left w:val="single" w:color="000000" w:sz="4" w:space="0"/>
              <w:bottom w:val="single" w:color="000000" w:sz="4" w:space="0"/>
              <w:right w:val="single" w:color="auto" w:sz="4" w:space="0"/>
            </w:tcBorders>
            <w:noWrap/>
            <w:vAlign w:val="center"/>
          </w:tcPr>
          <w:p>
            <w:pPr>
              <w:jc w:val="center"/>
              <w:rPr>
                <w:rFonts w:ascii="宋体" w:hAnsi="宋体" w:cs="宋体"/>
                <w:szCs w:val="21"/>
              </w:rPr>
            </w:pPr>
          </w:p>
        </w:tc>
        <w:tc>
          <w:tcPr>
            <w:tcW w:w="1229" w:type="dxa"/>
            <w:vMerge w:val="continue"/>
            <w:tcBorders>
              <w:top w:val="single" w:color="auto" w:sz="4" w:space="0"/>
              <w:bottom w:val="single" w:color="000000" w:sz="4" w:space="0"/>
              <w:right w:val="single" w:color="auto" w:sz="4" w:space="0"/>
            </w:tcBorders>
            <w:noWrap/>
            <w:vAlign w:val="center"/>
          </w:tcPr>
          <w:p>
            <w:pPr>
              <w:jc w:val="center"/>
              <w:rPr>
                <w:rFonts w:ascii="宋体" w:hAnsi="宋体" w:cs="宋体"/>
                <w:szCs w:val="21"/>
              </w:rPr>
            </w:pPr>
          </w:p>
        </w:tc>
        <w:tc>
          <w:tcPr>
            <w:tcW w:w="2130" w:type="dxa"/>
            <w:tcBorders>
              <w:top w:val="single" w:color="auto" w:sz="4" w:space="0"/>
              <w:left w:val="single" w:color="auto" w:sz="4" w:space="0"/>
              <w:bottom w:val="single" w:color="000000" w:sz="4" w:space="0"/>
            </w:tcBorders>
            <w:noWrap/>
            <w:tcMar>
              <w:left w:w="57" w:type="dxa"/>
              <w:right w:w="57" w:type="dxa"/>
            </w:tcMar>
            <w:vAlign w:val="center"/>
          </w:tcPr>
          <w:p>
            <w:pPr>
              <w:jc w:val="center"/>
              <w:rPr>
                <w:rFonts w:ascii="宋体" w:hAnsi="宋体"/>
                <w:szCs w:val="21"/>
              </w:rPr>
            </w:pPr>
            <w:r>
              <w:rPr>
                <w:rFonts w:hint="eastAsia" w:ascii="宋体" w:hAnsi="宋体" w:cs="宋体"/>
                <w:szCs w:val="21"/>
              </w:rPr>
              <w:t>合理化建议（3分）</w:t>
            </w:r>
          </w:p>
        </w:tc>
        <w:tc>
          <w:tcPr>
            <w:tcW w:w="5415" w:type="dxa"/>
            <w:tcBorders>
              <w:top w:val="single" w:color="auto" w:sz="4" w:space="0"/>
              <w:left w:val="single" w:color="auto" w:sz="4" w:space="0"/>
              <w:bottom w:val="single" w:color="000000" w:sz="4" w:space="0"/>
              <w:right w:val="single" w:color="000000" w:sz="4" w:space="0"/>
            </w:tcBorders>
            <w:noWrap/>
            <w:vAlign w:val="center"/>
          </w:tcPr>
          <w:p>
            <w:pPr>
              <w:jc w:val="left"/>
              <w:rPr>
                <w:rFonts w:ascii="宋体" w:hAnsi="宋体"/>
                <w:szCs w:val="21"/>
              </w:rPr>
            </w:pPr>
            <w:r>
              <w:rPr>
                <w:rFonts w:hint="eastAsia" w:ascii="宋体" w:hAnsi="宋体" w:cs="宋体"/>
                <w:szCs w:val="21"/>
              </w:rPr>
              <w:t>具有科学、合理、可行及具体措施的建议优得3分；良得2分；一般得1分，差或无不得分。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2" w:hRule="atLeast"/>
          <w:tblHeader/>
          <w:jc w:val="center"/>
        </w:trPr>
        <w:tc>
          <w:tcPr>
            <w:tcW w:w="766" w:type="dxa"/>
            <w:tcBorders>
              <w:top w:val="single" w:color="000000" w:sz="4" w:space="0"/>
              <w:bottom w:val="single" w:color="auto" w:sz="4" w:space="0"/>
              <w:right w:val="single" w:color="auto" w:sz="4" w:space="0"/>
            </w:tcBorders>
            <w:noWrap/>
            <w:vAlign w:val="center"/>
          </w:tcPr>
          <w:p>
            <w:pPr>
              <w:jc w:val="center"/>
              <w:rPr>
                <w:rFonts w:ascii="宋体" w:hAnsi="宋体" w:cs="宋体"/>
                <w:szCs w:val="21"/>
              </w:rPr>
            </w:pPr>
            <w:r>
              <w:rPr>
                <w:rFonts w:ascii="宋体" w:hAnsi="宋体" w:cs="宋体"/>
                <w:szCs w:val="21"/>
              </w:rPr>
              <w:t>2.2.4</w:t>
            </w:r>
            <w:r>
              <w:rPr>
                <w:rFonts w:hint="eastAsia" w:ascii="宋体" w:hAnsi="宋体" w:cs="宋体"/>
                <w:szCs w:val="21"/>
              </w:rPr>
              <w:t>（</w:t>
            </w:r>
            <w:r>
              <w:rPr>
                <w:rFonts w:ascii="宋体" w:hAnsi="宋体" w:cs="宋体"/>
                <w:szCs w:val="21"/>
              </w:rPr>
              <w:t>3</w:t>
            </w:r>
            <w:r>
              <w:rPr>
                <w:rFonts w:hint="eastAsia" w:ascii="宋体" w:hAnsi="宋体" w:cs="宋体"/>
                <w:szCs w:val="21"/>
              </w:rPr>
              <w:t>）</w:t>
            </w:r>
          </w:p>
        </w:tc>
        <w:tc>
          <w:tcPr>
            <w:tcW w:w="1229" w:type="dxa"/>
            <w:tcBorders>
              <w:top w:val="single" w:color="000000"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投标报价</w:t>
            </w:r>
          </w:p>
          <w:p>
            <w:pPr>
              <w:spacing w:line="440" w:lineRule="exact"/>
              <w:jc w:val="center"/>
              <w:rPr>
                <w:rFonts w:ascii="宋体" w:hAnsi="宋体" w:cs="宋体"/>
                <w:szCs w:val="21"/>
              </w:rPr>
            </w:pPr>
            <w:r>
              <w:rPr>
                <w:rFonts w:hint="eastAsia" w:ascii="宋体" w:hAnsi="宋体" w:cs="宋体"/>
                <w:szCs w:val="21"/>
              </w:rPr>
              <w:t>评分标准</w:t>
            </w:r>
          </w:p>
          <w:p>
            <w:pPr>
              <w:jc w:val="center"/>
              <w:rPr>
                <w:rFonts w:ascii="宋体" w:hAnsi="宋体" w:cs="宋体"/>
                <w:szCs w:val="21"/>
              </w:rPr>
            </w:pPr>
            <w:r>
              <w:rPr>
                <w:rFonts w:hint="eastAsia" w:ascii="宋体" w:hAnsi="宋体" w:cs="宋体"/>
                <w:szCs w:val="21"/>
              </w:rPr>
              <w:t>（10分）</w:t>
            </w:r>
          </w:p>
        </w:tc>
        <w:tc>
          <w:tcPr>
            <w:tcW w:w="2130" w:type="dxa"/>
            <w:tcBorders>
              <w:top w:val="single" w:color="000000"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投标报价</w:t>
            </w:r>
          </w:p>
          <w:p>
            <w:pPr>
              <w:jc w:val="center"/>
              <w:rPr>
                <w:rFonts w:ascii="宋体" w:hAnsi="宋体" w:cs="宋体"/>
                <w:szCs w:val="21"/>
              </w:rPr>
            </w:pPr>
            <w:r>
              <w:rPr>
                <w:rFonts w:hint="eastAsia" w:ascii="宋体" w:hAnsi="宋体" w:cs="宋体"/>
                <w:szCs w:val="21"/>
              </w:rPr>
              <w:t>（10分）</w:t>
            </w:r>
          </w:p>
        </w:tc>
        <w:tc>
          <w:tcPr>
            <w:tcW w:w="5415" w:type="dxa"/>
            <w:tcBorders>
              <w:top w:val="single" w:color="000000" w:sz="4" w:space="0"/>
              <w:left w:val="single" w:color="auto" w:sz="4" w:space="0"/>
              <w:bottom w:val="single" w:color="auto" w:sz="4" w:space="0"/>
            </w:tcBorders>
            <w:noWrap/>
            <w:vAlign w:val="center"/>
          </w:tcPr>
          <w:p>
            <w:pPr>
              <w:rPr>
                <w:rFonts w:ascii="宋体" w:hAnsi="宋体" w:cs="宋体"/>
                <w:szCs w:val="21"/>
              </w:rPr>
            </w:pPr>
            <w:r>
              <w:rPr>
                <w:rFonts w:hint="eastAsia" w:ascii="宋体" w:hAnsi="宋体" w:cs="宋体"/>
                <w:kern w:val="0"/>
                <w:szCs w:val="21"/>
              </w:rPr>
              <w:t>以评标基准价作为计算各有效投标价得分的基础，当有效投标报价等于评标基准价时得10分；有效报价与评标基准价相比，每上偏1%的扣1分，每</w:t>
            </w:r>
            <w:r>
              <w:rPr>
                <w:rFonts w:hint="eastAsia" w:ascii="宋体" w:hAnsi="宋体" w:cs="宋体"/>
                <w:szCs w:val="21"/>
              </w:rPr>
              <w:t>下偏</w:t>
            </w:r>
            <w:r>
              <w:rPr>
                <w:rFonts w:hint="eastAsia" w:ascii="宋体" w:hAnsi="宋体" w:cs="宋体"/>
                <w:kern w:val="0"/>
                <w:szCs w:val="21"/>
              </w:rPr>
              <w:t>1%的扣0.5分，最多扣10分。（评分如出现小数点，则保留小数点后两位，第三位四舍五入）。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4" w:hRule="atLeast"/>
          <w:tblHeader/>
          <w:jc w:val="center"/>
        </w:trPr>
        <w:tc>
          <w:tcPr>
            <w:tcW w:w="766" w:type="dxa"/>
            <w:tcBorders>
              <w:top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2.2.4（4）</w:t>
            </w:r>
          </w:p>
        </w:tc>
        <w:tc>
          <w:tcPr>
            <w:tcW w:w="122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ascii="宋体" w:hAnsi="宋体" w:cs="宋体"/>
                <w:szCs w:val="21"/>
              </w:rPr>
              <w:t>其他因素评分标准</w:t>
            </w:r>
            <w:r>
              <w:rPr>
                <w:rFonts w:hint="eastAsia" w:ascii="宋体" w:hAnsi="宋体" w:cs="宋体"/>
                <w:szCs w:val="21"/>
              </w:rPr>
              <w:t>（15分）</w:t>
            </w:r>
          </w:p>
        </w:tc>
        <w:tc>
          <w:tcPr>
            <w:tcW w:w="2130" w:type="dxa"/>
            <w:tcBorders>
              <w:top w:val="single" w:color="auto" w:sz="4" w:space="0"/>
              <w:left w:val="single" w:color="auto" w:sz="4" w:space="0"/>
              <w:right w:val="single" w:color="auto" w:sz="4" w:space="0"/>
            </w:tcBorders>
            <w:noWrap/>
            <w:vAlign w:val="center"/>
          </w:tcPr>
          <w:p>
            <w:pPr>
              <w:spacing w:line="440" w:lineRule="exact"/>
              <w:jc w:val="center"/>
              <w:rPr>
                <w:rFonts w:ascii="宋体" w:hAnsi="宋体" w:cs="宋体"/>
                <w:szCs w:val="21"/>
              </w:rPr>
            </w:pPr>
            <w:r>
              <w:rPr>
                <w:rFonts w:hint="eastAsia" w:ascii="宋体" w:hAnsi="宋体" w:cs="宋体"/>
                <w:szCs w:val="21"/>
              </w:rPr>
              <w:t>投标人诚信得分</w:t>
            </w:r>
          </w:p>
          <w:p>
            <w:pPr>
              <w:snapToGrid w:val="0"/>
              <w:jc w:val="center"/>
              <w:rPr>
                <w:rFonts w:ascii="宋体" w:hAnsi="宋体" w:cs="宋体"/>
                <w:szCs w:val="21"/>
              </w:rPr>
            </w:pPr>
            <w:r>
              <w:rPr>
                <w:rFonts w:hint="eastAsia" w:ascii="宋体" w:hAnsi="宋体" w:cs="宋体"/>
                <w:szCs w:val="21"/>
              </w:rPr>
              <w:t>（15分）</w:t>
            </w:r>
          </w:p>
        </w:tc>
        <w:tc>
          <w:tcPr>
            <w:tcW w:w="5415" w:type="dxa"/>
            <w:tcBorders>
              <w:top w:val="single" w:color="auto" w:sz="4" w:space="0"/>
              <w:left w:val="single" w:color="auto" w:sz="4" w:space="0"/>
              <w:bottom w:val="single" w:color="auto" w:sz="4" w:space="0"/>
            </w:tcBorders>
            <w:noWrap/>
            <w:vAlign w:val="center"/>
          </w:tcPr>
          <w:p>
            <w:pPr>
              <w:snapToGrid w:val="0"/>
              <w:jc w:val="left"/>
              <w:rPr>
                <w:rFonts w:ascii="宋体" w:hAnsi="宋体" w:cs="宋体"/>
                <w:szCs w:val="21"/>
              </w:rPr>
            </w:pPr>
            <w:r>
              <w:rPr>
                <w:rFonts w:hint="eastAsia" w:ascii="宋体" w:hAnsi="宋体" w:cs="宋体"/>
                <w:szCs w:val="21"/>
              </w:rPr>
              <w:t>投标人诚信得分=诚信评价分×15%。</w:t>
            </w:r>
          </w:p>
          <w:p>
            <w:pPr>
              <w:snapToGrid w:val="0"/>
              <w:jc w:val="left"/>
              <w:rPr>
                <w:rFonts w:ascii="宋体" w:hAnsi="宋体" w:cs="宋体"/>
                <w:szCs w:val="21"/>
              </w:rPr>
            </w:pPr>
            <w:r>
              <w:rPr>
                <w:rFonts w:hint="eastAsia" w:ascii="宋体" w:hAnsi="宋体" w:cs="宋体"/>
                <w:szCs w:val="21"/>
              </w:rPr>
              <w:t>投标人诚信评价分取自本项目招标公告发布第1天所在季度的上一季度</w:t>
            </w:r>
            <w:r>
              <w:rPr>
                <w:rFonts w:hint="eastAsia" w:ascii="宋体" w:hAnsi="宋体" w:cs="Arial"/>
                <w:szCs w:val="21"/>
              </w:rPr>
              <w:t>广州市水务工程建设管理数字化监管平台（http://112.94.68.142:8012/#/website/integrity?type=1）</w:t>
            </w:r>
            <w:r>
              <w:rPr>
                <w:rFonts w:hint="eastAsia" w:ascii="宋体" w:hAnsi="宋体" w:cs="宋体"/>
                <w:szCs w:val="21"/>
              </w:rPr>
              <w:t>中的“企业诚信排名</w:t>
            </w:r>
            <w:r>
              <w:rPr>
                <w:rFonts w:hint="eastAsia" w:ascii="宋体" w:hAnsi="宋体"/>
                <w:szCs w:val="21"/>
              </w:rPr>
              <w:t>&gt;&gt;</w:t>
            </w:r>
            <w:r>
              <w:rPr>
                <w:rFonts w:hint="eastAsia" w:ascii="宋体" w:hAnsi="宋体" w:cs="宋体"/>
                <w:szCs w:val="21"/>
              </w:rPr>
              <w:t>监理-给排水”</w:t>
            </w:r>
            <w:r>
              <w:rPr>
                <w:rFonts w:hint="eastAsia" w:ascii="Calibri" w:hAnsi="Calibri"/>
              </w:rPr>
              <w:t>中</w:t>
            </w:r>
            <w:r>
              <w:rPr>
                <w:rFonts w:hint="eastAsia" w:ascii="宋体" w:hAnsi="宋体" w:cs="宋体"/>
                <w:szCs w:val="21"/>
              </w:rPr>
              <w:t>“诚信综合评价”分，未入库企业或在</w:t>
            </w:r>
            <w:r>
              <w:rPr>
                <w:rFonts w:hint="eastAsia" w:ascii="宋体" w:hAnsi="宋体" w:cs="Arial"/>
                <w:szCs w:val="21"/>
              </w:rPr>
              <w:t>广州市水务工程建设管理数字化监管平台</w:t>
            </w:r>
            <w:r>
              <w:rPr>
                <w:rFonts w:hint="eastAsia" w:ascii="宋体" w:hAnsi="宋体" w:cs="宋体"/>
                <w:szCs w:val="21"/>
              </w:rPr>
              <w:t>中尚无诚信排名 “监理-给排水”得分的投标人，其诚信评价分按</w:t>
            </w:r>
            <w:r>
              <w:rPr>
                <w:rFonts w:ascii="宋体" w:hAnsi="宋体" w:cs="宋体"/>
                <w:szCs w:val="21"/>
              </w:rPr>
              <w:t>8</w:t>
            </w:r>
            <w:r>
              <w:rPr>
                <w:rFonts w:hint="eastAsia" w:ascii="宋体" w:hAnsi="宋体" w:cs="宋体"/>
                <w:szCs w:val="21"/>
              </w:rPr>
              <w:t>0分计算。</w:t>
            </w:r>
          </w:p>
        </w:tc>
      </w:tr>
    </w:tbl>
    <w:p>
      <w:pPr>
        <w:spacing w:line="288" w:lineRule="auto"/>
        <w:ind w:firstLine="420" w:firstLineChars="200"/>
        <w:jc w:val="left"/>
        <w:rPr>
          <w:rFonts w:ascii="宋体" w:hAnsi="宋体" w:cs="宋体"/>
          <w:szCs w:val="21"/>
        </w:rPr>
      </w:pPr>
    </w:p>
    <w:p>
      <w:pPr>
        <w:spacing w:line="288" w:lineRule="auto"/>
        <w:ind w:firstLine="420" w:firstLineChars="200"/>
        <w:jc w:val="left"/>
        <w:rPr>
          <w:rFonts w:ascii="宋体" w:hAnsi="宋体" w:cs="宋体"/>
          <w:szCs w:val="21"/>
        </w:rPr>
      </w:pPr>
      <w:r>
        <w:rPr>
          <w:rFonts w:hint="eastAsia" w:ascii="宋体" w:hAnsi="宋体" w:cs="宋体"/>
          <w:szCs w:val="21"/>
        </w:rPr>
        <w:t>说明：</w:t>
      </w:r>
    </w:p>
    <w:p>
      <w:pPr>
        <w:spacing w:line="288" w:lineRule="auto"/>
        <w:ind w:firstLine="420" w:firstLineChars="200"/>
        <w:jc w:val="left"/>
        <w:rPr>
          <w:rFonts w:ascii="宋体" w:hAnsi="宋体" w:cs="宋体"/>
          <w:szCs w:val="21"/>
        </w:rPr>
      </w:pPr>
      <w:r>
        <w:rPr>
          <w:rFonts w:hint="eastAsia" w:ascii="宋体" w:hAnsi="宋体" w:cs="宋体"/>
          <w:szCs w:val="21"/>
        </w:rPr>
        <w:t>（1）拟派本项目人员</w:t>
      </w:r>
      <w:r>
        <w:rPr>
          <w:rFonts w:hint="eastAsia" w:ascii="宋体" w:hAnsi="宋体" w:cs="宋体"/>
          <w:szCs w:val="21"/>
          <w:lang w:eastAsia="zh-CN"/>
        </w:rPr>
        <w:t>均不得互相兼任，</w:t>
      </w:r>
      <w:r>
        <w:rPr>
          <w:rFonts w:hint="eastAsia" w:ascii="宋体" w:hAnsi="宋体" w:cs="宋体"/>
          <w:szCs w:val="21"/>
        </w:rPr>
        <w:t>需同时提供相关证明材料（须在有效期内）以及投标截止前一个月（2023年7月）在投标单位（不含投标人子母公司，含分公司）的社保缴纳证明，否则不得分。社保缴纳期限包含疫情期的，若当地政府部门允许企业在疫情期间缓缴社会保险费且投标人未缴纳的，投标人可提供当地政府部门允许缓缴社保的相关文件作为缴纳社保的证明。确定中标人后，由招标人采取有效措施，核实后续中标人管理团队的社保补缴情况。</w:t>
      </w:r>
    </w:p>
    <w:p>
      <w:pPr>
        <w:spacing w:line="288" w:lineRule="auto"/>
        <w:ind w:firstLine="420" w:firstLineChars="200"/>
        <w:jc w:val="left"/>
        <w:rPr>
          <w:rFonts w:ascii="宋体" w:hAnsi="宋体" w:cs="宋体"/>
          <w:szCs w:val="21"/>
        </w:rPr>
      </w:pPr>
      <w:r>
        <w:rPr>
          <w:rFonts w:hint="eastAsia" w:ascii="宋体" w:hAnsi="宋体"/>
          <w:szCs w:val="21"/>
        </w:rPr>
        <w:t>监理工程师执业资格证书年限</w:t>
      </w:r>
      <w:r>
        <w:rPr>
          <w:rFonts w:hint="eastAsia" w:ascii="宋体" w:hAnsi="宋体" w:cs="宋体"/>
          <w:szCs w:val="21"/>
        </w:rPr>
        <w:t>以批准日期（或签发日期）起计；</w:t>
      </w:r>
      <w:r>
        <w:rPr>
          <w:rFonts w:hint="eastAsia" w:ascii="宋体" w:hAnsi="宋体"/>
          <w:szCs w:val="21"/>
        </w:rPr>
        <w:t>技术职称证书年限以批准日期（或授予日期）起计</w:t>
      </w:r>
      <w:r>
        <w:rPr>
          <w:rFonts w:hint="eastAsia" w:ascii="宋体" w:hAnsi="宋体" w:cs="宋体"/>
          <w:szCs w:val="21"/>
        </w:rPr>
        <w:t>，截至投标截止日；两者时间不一致，以较前的为准。</w:t>
      </w:r>
    </w:p>
    <w:p>
      <w:pPr>
        <w:spacing w:line="288" w:lineRule="auto"/>
        <w:ind w:firstLine="420" w:firstLineChars="200"/>
        <w:jc w:val="left"/>
        <w:rPr>
          <w:rFonts w:ascii="宋体" w:hAnsi="宋体" w:cs="宋体"/>
          <w:szCs w:val="21"/>
        </w:rPr>
      </w:pPr>
      <w:r>
        <w:rPr>
          <w:rFonts w:hint="eastAsia" w:ascii="宋体" w:hAnsi="宋体" w:cs="宋体"/>
          <w:szCs w:val="21"/>
        </w:rPr>
        <w:t>（2）企业信誉：</w:t>
      </w:r>
    </w:p>
    <w:p>
      <w:pPr>
        <w:ind w:firstLine="420" w:firstLineChars="200"/>
        <w:rPr>
          <w:rFonts w:ascii="宋体" w:hAnsi="宋体" w:cs="宋体"/>
          <w:szCs w:val="21"/>
        </w:rPr>
      </w:pPr>
      <w:r>
        <w:rPr>
          <w:rFonts w:hint="eastAsia" w:ascii="宋体" w:hAnsi="宋体" w:cs="宋体"/>
          <w:szCs w:val="21"/>
        </w:rPr>
        <w:t>1）“高新技术企业证书”须提供证书扫描件，证书需在有效期内，不提供或不符合要求不得分。</w:t>
      </w:r>
    </w:p>
    <w:p>
      <w:pPr>
        <w:spacing w:line="288" w:lineRule="auto"/>
        <w:ind w:firstLine="420" w:firstLineChars="200"/>
        <w:jc w:val="left"/>
        <w:rPr>
          <w:rFonts w:ascii="宋体" w:hAnsi="宋体" w:cs="宋体"/>
          <w:szCs w:val="21"/>
        </w:rPr>
      </w:pPr>
      <w:r>
        <w:rPr>
          <w:rFonts w:hint="eastAsia" w:ascii="宋体" w:hAnsi="宋体" w:cs="宋体"/>
          <w:szCs w:val="21"/>
        </w:rPr>
        <w:t>2）“纳税信用A级纳税人”须提供“国家税务总局”官网（http://www.chinatax.gov.cn/）查询结果网页截图或税务部门颁发的纳税信用等级证书扫描件，纳税人等级只计算投标人自身（不计算投标人的分公司和子公司），时间以评价年度为准。</w:t>
      </w:r>
    </w:p>
    <w:p>
      <w:pPr>
        <w:spacing w:line="288" w:lineRule="auto"/>
        <w:ind w:firstLine="420" w:firstLineChars="200"/>
        <w:jc w:val="left"/>
        <w:rPr>
          <w:rFonts w:ascii="宋体" w:hAnsi="宋体" w:cs="宋体"/>
          <w:kern w:val="0"/>
          <w:szCs w:val="21"/>
          <w:shd w:val="clear" w:color="auto" w:fill="FFFFFF"/>
        </w:rPr>
      </w:pPr>
      <w:r>
        <w:rPr>
          <w:rFonts w:hint="eastAsia" w:ascii="宋体" w:hAnsi="宋体" w:cs="宋体"/>
          <w:szCs w:val="21"/>
        </w:rPr>
        <w:t>（3）</w:t>
      </w:r>
      <w:r>
        <w:rPr>
          <w:rFonts w:hint="eastAsia" w:ascii="宋体" w:hAnsi="宋体" w:cs="宋体"/>
          <w:kern w:val="0"/>
          <w:szCs w:val="21"/>
          <w:shd w:val="clear" w:color="auto" w:fill="FFFFFF"/>
        </w:rPr>
        <w:t>“企业注册资本”以营业执照注明为准，如营业执照中没有体现注册资金的，则还须提供工商（市场）管理部门网站“商事主体信息公示平台”或国家企业信用信息公示系统（网址：https://www.gsxt.gov.cn/index.html）查询页面（含注册资金）网页截图。“企业注册资本”排名若名次排列出现并列，有几家企业并列则取消并列名次以后得几次名次，下一名次将跳跃排列。即若有两名投标人并列第一，则下一名次按第三名档次得分。</w:t>
      </w:r>
    </w:p>
    <w:p>
      <w:pPr>
        <w:spacing w:line="360" w:lineRule="auto"/>
        <w:ind w:firstLine="420" w:firstLineChars="200"/>
        <w:rPr>
          <w:rFonts w:ascii="宋体" w:hAnsi="宋体" w:cs="宋体"/>
          <w:kern w:val="0"/>
          <w:szCs w:val="21"/>
          <w:shd w:val="clear" w:color="auto" w:fill="FFFFFF"/>
        </w:rPr>
      </w:pPr>
      <w:r>
        <w:rPr>
          <w:rFonts w:hint="eastAsia" w:ascii="宋体" w:hAnsi="宋体" w:cs="宋体"/>
          <w:kern w:val="0"/>
          <w:szCs w:val="21"/>
          <w:shd w:val="clear" w:color="auto" w:fill="FFFFFF"/>
        </w:rPr>
        <w:t>（4）体系认证须同时提供有效的“体系认证证书”原件扫描件及全国认证认可信息公共服务平台（</w:t>
      </w:r>
      <w:r>
        <w:fldChar w:fldCharType="begin"/>
      </w:r>
      <w:r>
        <w:instrText xml:space="preserve"> HYPERLINK "http://cx.cnca.cn/" </w:instrText>
      </w:r>
      <w:r>
        <w:fldChar w:fldCharType="separate"/>
      </w:r>
      <w:r>
        <w:rPr>
          <w:rFonts w:hint="eastAsia" w:ascii="宋体" w:hAnsi="宋体" w:cs="宋体"/>
          <w:kern w:val="0"/>
          <w:szCs w:val="21"/>
          <w:shd w:val="clear" w:color="auto" w:fill="FFFFFF"/>
        </w:rPr>
        <w:t>http://cx.cnca.cn/</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）查询结果截图；否则不得分。</w:t>
      </w:r>
    </w:p>
    <w:p>
      <w:pPr>
        <w:pStyle w:val="11"/>
        <w:ind w:firstLine="420" w:firstLineChars="200"/>
      </w:pPr>
      <w:r>
        <w:rPr>
          <w:rFonts w:hint="eastAsia" w:ascii="宋体" w:hAnsi="宋体" w:cs="宋体"/>
          <w:kern w:val="0"/>
          <w:szCs w:val="21"/>
          <w:shd w:val="clear" w:color="auto" w:fill="FFFFFF"/>
        </w:rPr>
        <w:t>（5）投标人的资信业绩部分、监理大纲部分、投标报价得分为各评委评分汇总后的算术平均值，评分如出现小数点，则保留小数点后两位，第三位四舍五入。</w:t>
      </w:r>
    </w:p>
    <w:p>
      <w:pPr>
        <w:spacing w:line="360" w:lineRule="auto"/>
        <w:ind w:firstLine="643" w:firstLineChars="200"/>
        <w:rPr>
          <w:rFonts w:ascii="宋体" w:hAnsi="宋体" w:cs="宋体"/>
          <w:b/>
          <w:sz w:val="32"/>
          <w:szCs w:val="20"/>
        </w:rPr>
      </w:pPr>
    </w:p>
    <w:p>
      <w:pPr>
        <w:spacing w:line="360" w:lineRule="auto"/>
        <w:rPr>
          <w:rFonts w:ascii="宋体" w:hAnsi="宋体" w:cs="宋体"/>
          <w:b/>
          <w:sz w:val="32"/>
          <w:szCs w:val="20"/>
        </w:rPr>
      </w:pPr>
      <w:r>
        <w:rPr>
          <w:rFonts w:hint="eastAsia" w:ascii="宋体" w:hAnsi="宋体" w:cs="宋体"/>
          <w:b/>
          <w:sz w:val="32"/>
          <w:szCs w:val="20"/>
        </w:rPr>
        <w:t>1. 评标方法</w:t>
      </w:r>
    </w:p>
    <w:p>
      <w:pPr>
        <w:spacing w:line="360" w:lineRule="auto"/>
        <w:ind w:firstLine="480" w:firstLineChars="200"/>
        <w:rPr>
          <w:rFonts w:ascii="宋体" w:hAnsi="宋体" w:cs="宋体"/>
        </w:rPr>
      </w:pPr>
      <w:r>
        <w:rPr>
          <w:rFonts w:hint="eastAsia" w:ascii="宋体" w:hAnsi="宋体" w:cs="宋体"/>
          <w:sz w:val="24"/>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88" w:name="_Toc300835008"/>
      <w:bookmarkStart w:id="89" w:name="_Toc384308272"/>
      <w:bookmarkStart w:id="90" w:name="_Toc144974565"/>
      <w:bookmarkStart w:id="91" w:name="_Toc152042375"/>
      <w:bookmarkStart w:id="92" w:name="_Toc152045598"/>
      <w:bookmarkStart w:id="93" w:name="_Toc247514022"/>
      <w:bookmarkStart w:id="94" w:name="_Toc247527623"/>
      <w:bookmarkStart w:id="95" w:name="_Toc361508646"/>
      <w:bookmarkStart w:id="96" w:name="_Toc4497"/>
      <w:bookmarkStart w:id="97" w:name="_Toc352691533"/>
      <w:bookmarkStart w:id="98" w:name="_Toc369531577"/>
      <w:r>
        <w:rPr>
          <w:rFonts w:hint="eastAsia" w:ascii="宋体" w:hAnsi="宋体" w:cs="宋体"/>
          <w:sz w:val="24"/>
          <w:szCs w:val="24"/>
        </w:rPr>
        <w:t>外。综合评分相等</w:t>
      </w:r>
      <w:bookmarkEnd w:id="88"/>
      <w:bookmarkEnd w:id="89"/>
      <w:bookmarkEnd w:id="90"/>
      <w:bookmarkEnd w:id="91"/>
      <w:bookmarkEnd w:id="92"/>
      <w:bookmarkEnd w:id="93"/>
      <w:bookmarkEnd w:id="94"/>
      <w:bookmarkEnd w:id="95"/>
      <w:r>
        <w:rPr>
          <w:rFonts w:hint="eastAsia" w:ascii="宋体" w:hAnsi="宋体" w:cs="宋体"/>
          <w:sz w:val="24"/>
          <w:szCs w:val="24"/>
        </w:rPr>
        <w:t>时，以投标报价低的</w:t>
      </w:r>
      <w:bookmarkEnd w:id="96"/>
      <w:bookmarkEnd w:id="97"/>
      <w:bookmarkEnd w:id="98"/>
      <w:r>
        <w:rPr>
          <w:rFonts w:hint="eastAsia" w:ascii="宋体" w:hAnsi="宋体" w:cs="宋体"/>
          <w:sz w:val="24"/>
          <w:szCs w:val="24"/>
        </w:rPr>
        <w:t>优</w:t>
      </w:r>
      <w:bookmarkStart w:id="99" w:name="_Toc39"/>
      <w:bookmarkStart w:id="100" w:name="_Toc247527624"/>
      <w:bookmarkStart w:id="101" w:name="_Toc361508647"/>
      <w:bookmarkStart w:id="102" w:name="_Toc152042376"/>
      <w:bookmarkStart w:id="103" w:name="_Toc384308273"/>
      <w:bookmarkStart w:id="104" w:name="_Toc144974566"/>
      <w:bookmarkStart w:id="105" w:name="_Toc152045599"/>
      <w:bookmarkStart w:id="106" w:name="_Toc300835009"/>
      <w:bookmarkStart w:id="107" w:name="_Toc369531578"/>
      <w:bookmarkStart w:id="108" w:name="_Toc352691534"/>
      <w:bookmarkStart w:id="109" w:name="_Toc247514023"/>
      <w:r>
        <w:rPr>
          <w:rFonts w:hint="eastAsia" w:ascii="宋体" w:hAnsi="宋体" w:cs="宋体"/>
          <w:sz w:val="24"/>
          <w:szCs w:val="24"/>
        </w:rPr>
        <w:t>先；投标报价也相等</w:t>
      </w:r>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sz w:val="24"/>
          <w:szCs w:val="24"/>
        </w:rPr>
        <w:t>的，以监理大纲得分高的优先；如果监理大纲得分也相等，按照评标办法前附表的规定确定中标候选人顺序。</w:t>
      </w:r>
    </w:p>
    <w:p>
      <w:pPr>
        <w:pStyle w:val="4"/>
        <w:keepNext w:val="0"/>
        <w:keepLines w:val="0"/>
        <w:spacing w:line="360" w:lineRule="auto"/>
        <w:rPr>
          <w:rFonts w:ascii="宋体" w:hAnsi="宋体" w:eastAsia="宋体" w:cs="宋体"/>
        </w:rPr>
      </w:pPr>
      <w:bookmarkStart w:id="110" w:name="_Toc517280576"/>
      <w:r>
        <w:rPr>
          <w:rFonts w:hint="eastAsia" w:ascii="宋体" w:hAnsi="宋体" w:eastAsia="宋体" w:cs="宋体"/>
        </w:rPr>
        <w:t>2. 评审标准</w:t>
      </w:r>
      <w:bookmarkEnd w:id="110"/>
    </w:p>
    <w:p>
      <w:pPr>
        <w:pStyle w:val="5"/>
        <w:keepNext w:val="0"/>
        <w:keepLines w:val="0"/>
        <w:ind w:firstLine="137"/>
        <w:rPr>
          <w:rFonts w:ascii="宋体" w:hAnsi="宋体" w:cs="宋体"/>
          <w:szCs w:val="24"/>
        </w:rPr>
      </w:pPr>
      <w:bookmarkStart w:id="111" w:name="_Toc517280577"/>
      <w:r>
        <w:rPr>
          <w:rFonts w:hint="eastAsia" w:ascii="宋体" w:hAnsi="宋体" w:cs="宋体"/>
          <w:szCs w:val="24"/>
        </w:rPr>
        <w:t>2.1 初步评审标准</w:t>
      </w:r>
      <w:bookmarkEnd w:id="111"/>
    </w:p>
    <w:p>
      <w:pPr>
        <w:spacing w:line="360" w:lineRule="auto"/>
        <w:ind w:firstLine="480" w:firstLineChars="200"/>
        <w:rPr>
          <w:rFonts w:ascii="宋体" w:hAnsi="宋体" w:cs="宋体"/>
          <w:sz w:val="24"/>
          <w:szCs w:val="24"/>
        </w:rPr>
      </w:pPr>
      <w:r>
        <w:rPr>
          <w:rFonts w:hint="eastAsia" w:ascii="宋体" w:hAnsi="宋体" w:cs="宋体"/>
          <w:sz w:val="24"/>
          <w:szCs w:val="24"/>
        </w:rPr>
        <w:t>2.1.1 形式评审标准：见评标办法前附表。</w:t>
      </w:r>
    </w:p>
    <w:p>
      <w:pPr>
        <w:spacing w:line="360" w:lineRule="auto"/>
        <w:ind w:firstLine="480" w:firstLineChars="200"/>
        <w:rPr>
          <w:rFonts w:ascii="宋体" w:hAnsi="宋体" w:cs="宋体"/>
          <w:sz w:val="24"/>
          <w:szCs w:val="24"/>
        </w:rPr>
      </w:pPr>
      <w:r>
        <w:rPr>
          <w:rFonts w:hint="eastAsia" w:ascii="宋体" w:hAnsi="宋体" w:cs="宋体"/>
          <w:sz w:val="24"/>
          <w:szCs w:val="24"/>
        </w:rPr>
        <w:t>2.1.2 资格评审标准：见评标办法前附表。</w:t>
      </w:r>
    </w:p>
    <w:p>
      <w:pPr>
        <w:spacing w:line="360" w:lineRule="auto"/>
        <w:ind w:firstLine="480" w:firstLineChars="200"/>
        <w:rPr>
          <w:rFonts w:ascii="宋体" w:hAnsi="宋体" w:cs="宋体"/>
          <w:sz w:val="24"/>
          <w:szCs w:val="24"/>
        </w:rPr>
      </w:pPr>
      <w:r>
        <w:rPr>
          <w:rFonts w:hint="eastAsia" w:ascii="宋体" w:hAnsi="宋体" w:cs="宋体"/>
          <w:sz w:val="24"/>
          <w:szCs w:val="24"/>
        </w:rPr>
        <w:t>2.1.3 响应性评审标准：见评标办法前附表。</w:t>
      </w:r>
    </w:p>
    <w:p>
      <w:pPr>
        <w:pStyle w:val="5"/>
        <w:keepNext w:val="0"/>
        <w:keepLines w:val="0"/>
        <w:ind w:firstLine="137"/>
        <w:rPr>
          <w:rFonts w:ascii="宋体" w:hAnsi="宋体" w:cs="宋体"/>
          <w:szCs w:val="24"/>
        </w:rPr>
      </w:pPr>
      <w:bookmarkStart w:id="112" w:name="_Toc517280578"/>
      <w:r>
        <w:rPr>
          <w:rFonts w:hint="eastAsia" w:ascii="宋体" w:hAnsi="宋体" w:cs="宋体"/>
          <w:szCs w:val="24"/>
        </w:rPr>
        <w:t>2.2 分值构成与评分标准</w:t>
      </w:r>
      <w:bookmarkEnd w:id="112"/>
    </w:p>
    <w:p>
      <w:pPr>
        <w:spacing w:line="360" w:lineRule="auto"/>
        <w:ind w:firstLine="480" w:firstLineChars="200"/>
        <w:rPr>
          <w:rFonts w:ascii="宋体" w:hAnsi="宋体" w:cs="宋体"/>
          <w:sz w:val="24"/>
          <w:szCs w:val="24"/>
        </w:rPr>
      </w:pPr>
      <w:r>
        <w:rPr>
          <w:rFonts w:hint="eastAsia" w:ascii="宋体" w:hAnsi="宋体" w:cs="宋体"/>
          <w:sz w:val="24"/>
          <w:szCs w:val="24"/>
        </w:rPr>
        <w:t>2.2.1 分值构成</w:t>
      </w:r>
    </w:p>
    <w:p>
      <w:pPr>
        <w:spacing w:line="360" w:lineRule="auto"/>
        <w:ind w:firstLine="480" w:firstLineChars="200"/>
        <w:rPr>
          <w:rFonts w:ascii="宋体" w:hAnsi="宋体" w:cs="宋体"/>
          <w:sz w:val="24"/>
          <w:szCs w:val="24"/>
        </w:rPr>
      </w:pPr>
      <w:r>
        <w:rPr>
          <w:rFonts w:hint="eastAsia" w:ascii="宋体" w:hAnsi="宋体" w:cs="宋体"/>
          <w:sz w:val="24"/>
          <w:szCs w:val="24"/>
        </w:rPr>
        <w:t>（1）资信业绩部分：见评标办法前附表；</w:t>
      </w:r>
    </w:p>
    <w:p>
      <w:pPr>
        <w:spacing w:line="360" w:lineRule="auto"/>
        <w:ind w:firstLine="480" w:firstLineChars="200"/>
        <w:rPr>
          <w:rFonts w:ascii="宋体" w:hAnsi="宋体" w:cs="宋体"/>
          <w:sz w:val="24"/>
          <w:szCs w:val="24"/>
        </w:rPr>
      </w:pPr>
      <w:r>
        <w:rPr>
          <w:rFonts w:hint="eastAsia" w:ascii="宋体" w:hAnsi="宋体" w:cs="宋体"/>
          <w:sz w:val="24"/>
          <w:szCs w:val="24"/>
        </w:rPr>
        <w:t>（2）监理大纲部分：见评标办法前附表；</w:t>
      </w:r>
    </w:p>
    <w:p>
      <w:pPr>
        <w:spacing w:line="360" w:lineRule="auto"/>
        <w:ind w:firstLine="480" w:firstLineChars="200"/>
        <w:rPr>
          <w:rFonts w:ascii="宋体" w:hAnsi="宋体" w:cs="宋体"/>
          <w:sz w:val="24"/>
          <w:szCs w:val="24"/>
        </w:rPr>
      </w:pPr>
      <w:r>
        <w:rPr>
          <w:rFonts w:hint="eastAsia" w:ascii="宋体" w:hAnsi="宋体" w:cs="宋体"/>
          <w:sz w:val="24"/>
          <w:szCs w:val="24"/>
        </w:rPr>
        <w:t>（3）投标报价：见评标办法前附表；</w:t>
      </w:r>
    </w:p>
    <w:p>
      <w:pPr>
        <w:spacing w:line="360" w:lineRule="auto"/>
        <w:ind w:firstLine="480" w:firstLineChars="200"/>
        <w:rPr>
          <w:rFonts w:ascii="宋体" w:hAnsi="宋体" w:cs="宋体"/>
          <w:sz w:val="24"/>
          <w:szCs w:val="24"/>
        </w:rPr>
      </w:pPr>
      <w:r>
        <w:rPr>
          <w:rFonts w:hint="eastAsia" w:ascii="宋体" w:hAnsi="宋体" w:cs="宋体"/>
          <w:sz w:val="24"/>
          <w:szCs w:val="24"/>
        </w:rPr>
        <w:t>（4）其他评分因素：见评标办法前附表。</w:t>
      </w:r>
    </w:p>
    <w:p>
      <w:pPr>
        <w:spacing w:line="360" w:lineRule="auto"/>
        <w:ind w:firstLine="480" w:firstLineChars="200"/>
        <w:rPr>
          <w:rFonts w:ascii="宋体" w:hAnsi="宋体" w:cs="宋体"/>
          <w:sz w:val="24"/>
          <w:szCs w:val="24"/>
        </w:rPr>
      </w:pPr>
      <w:r>
        <w:rPr>
          <w:rFonts w:hint="eastAsia" w:ascii="宋体" w:hAnsi="宋体" w:cs="宋体"/>
          <w:sz w:val="24"/>
          <w:szCs w:val="24"/>
        </w:rPr>
        <w:t>2.2.2 评标基准价计算</w:t>
      </w:r>
    </w:p>
    <w:p>
      <w:pPr>
        <w:spacing w:line="360" w:lineRule="auto"/>
        <w:ind w:firstLine="480" w:firstLineChars="200"/>
        <w:rPr>
          <w:rFonts w:ascii="宋体" w:hAnsi="宋体" w:cs="宋体"/>
          <w:sz w:val="24"/>
          <w:szCs w:val="24"/>
        </w:rPr>
      </w:pPr>
      <w:r>
        <w:rPr>
          <w:rFonts w:hint="eastAsia" w:ascii="宋体" w:hAnsi="宋体" w:cs="宋体"/>
          <w:sz w:val="24"/>
          <w:szCs w:val="24"/>
        </w:rPr>
        <w:t>评标基准价计算方法：见评标办法前附表。</w:t>
      </w:r>
    </w:p>
    <w:p>
      <w:pPr>
        <w:spacing w:line="360" w:lineRule="auto"/>
        <w:ind w:firstLine="480" w:firstLineChars="200"/>
        <w:rPr>
          <w:rFonts w:ascii="宋体" w:hAnsi="宋体" w:cs="宋体"/>
          <w:sz w:val="24"/>
          <w:szCs w:val="24"/>
        </w:rPr>
      </w:pPr>
      <w:r>
        <w:rPr>
          <w:rFonts w:hint="eastAsia" w:ascii="宋体" w:hAnsi="宋体" w:cs="宋体"/>
          <w:sz w:val="24"/>
          <w:szCs w:val="24"/>
        </w:rPr>
        <w:t>2.2.3 投标报价的偏差率计算</w:t>
      </w:r>
    </w:p>
    <w:p>
      <w:pPr>
        <w:spacing w:line="360" w:lineRule="auto"/>
        <w:ind w:firstLine="480" w:firstLineChars="200"/>
        <w:rPr>
          <w:rFonts w:ascii="宋体" w:hAnsi="宋体" w:cs="宋体"/>
          <w:sz w:val="24"/>
          <w:szCs w:val="24"/>
        </w:rPr>
      </w:pPr>
      <w:r>
        <w:rPr>
          <w:rFonts w:hint="eastAsia" w:ascii="宋体" w:hAnsi="宋体" w:cs="宋体"/>
          <w:sz w:val="24"/>
          <w:szCs w:val="24"/>
        </w:rPr>
        <w:t>投标报价的偏差率计算公式：见评标办法前附表。</w:t>
      </w:r>
    </w:p>
    <w:p>
      <w:pPr>
        <w:spacing w:line="360" w:lineRule="auto"/>
        <w:ind w:firstLine="480" w:firstLineChars="200"/>
        <w:rPr>
          <w:rFonts w:ascii="宋体" w:hAnsi="宋体" w:cs="宋体"/>
          <w:sz w:val="24"/>
          <w:szCs w:val="24"/>
        </w:rPr>
      </w:pPr>
      <w:r>
        <w:rPr>
          <w:rFonts w:hint="eastAsia" w:ascii="宋体" w:hAnsi="宋体" w:cs="宋体"/>
          <w:sz w:val="24"/>
          <w:szCs w:val="24"/>
        </w:rPr>
        <w:t>2.2.4 评分标准</w:t>
      </w:r>
    </w:p>
    <w:p>
      <w:pPr>
        <w:spacing w:line="360" w:lineRule="auto"/>
        <w:ind w:firstLine="480" w:firstLineChars="200"/>
        <w:rPr>
          <w:rFonts w:ascii="宋体" w:hAnsi="宋体" w:cs="宋体"/>
          <w:sz w:val="24"/>
          <w:szCs w:val="24"/>
        </w:rPr>
      </w:pPr>
      <w:r>
        <w:rPr>
          <w:rFonts w:hint="eastAsia" w:ascii="宋体" w:hAnsi="宋体" w:cs="宋体"/>
          <w:sz w:val="24"/>
          <w:szCs w:val="24"/>
        </w:rPr>
        <w:t>（1）资信业绩评分标准：见评标办法前附表；</w:t>
      </w:r>
    </w:p>
    <w:p>
      <w:pPr>
        <w:spacing w:line="360" w:lineRule="auto"/>
        <w:ind w:firstLine="480" w:firstLineChars="200"/>
        <w:rPr>
          <w:rFonts w:ascii="宋体" w:hAnsi="宋体" w:cs="宋体"/>
          <w:sz w:val="24"/>
          <w:szCs w:val="24"/>
        </w:rPr>
      </w:pPr>
      <w:r>
        <w:rPr>
          <w:rFonts w:hint="eastAsia" w:ascii="宋体" w:hAnsi="宋体" w:cs="宋体"/>
          <w:sz w:val="24"/>
          <w:szCs w:val="24"/>
        </w:rPr>
        <w:t>（2）监理大纲评分标准：见评标办法前附表；</w:t>
      </w:r>
    </w:p>
    <w:p>
      <w:pPr>
        <w:spacing w:line="360" w:lineRule="auto"/>
        <w:ind w:firstLine="480" w:firstLineChars="200"/>
        <w:rPr>
          <w:rFonts w:ascii="宋体" w:hAnsi="宋体" w:cs="宋体"/>
          <w:sz w:val="24"/>
          <w:szCs w:val="24"/>
        </w:rPr>
      </w:pPr>
      <w:r>
        <w:rPr>
          <w:rFonts w:hint="eastAsia" w:ascii="宋体" w:hAnsi="宋体" w:cs="宋体"/>
          <w:sz w:val="24"/>
          <w:szCs w:val="24"/>
        </w:rPr>
        <w:t>（3）投标报价评分标准：见评标办法前附表；</w:t>
      </w:r>
    </w:p>
    <w:p>
      <w:pPr>
        <w:spacing w:line="360" w:lineRule="auto"/>
        <w:ind w:firstLine="480" w:firstLineChars="200"/>
        <w:rPr>
          <w:rFonts w:ascii="宋体" w:hAnsi="宋体" w:cs="宋体"/>
          <w:sz w:val="24"/>
          <w:szCs w:val="24"/>
        </w:rPr>
      </w:pPr>
      <w:r>
        <w:rPr>
          <w:rFonts w:hint="eastAsia" w:ascii="宋体" w:hAnsi="宋体" w:cs="宋体"/>
          <w:sz w:val="24"/>
          <w:szCs w:val="24"/>
        </w:rPr>
        <w:t>（4）其他因素评分标准：见评标办法前附表。</w:t>
      </w:r>
    </w:p>
    <w:p>
      <w:pPr>
        <w:pStyle w:val="4"/>
        <w:keepNext w:val="0"/>
        <w:keepLines w:val="0"/>
        <w:spacing w:line="360" w:lineRule="auto"/>
        <w:rPr>
          <w:rFonts w:ascii="宋体" w:hAnsi="宋体" w:eastAsia="宋体" w:cs="宋体"/>
        </w:rPr>
      </w:pPr>
      <w:bookmarkStart w:id="113" w:name="_Toc517280579"/>
      <w:r>
        <w:rPr>
          <w:rFonts w:hint="eastAsia" w:ascii="宋体" w:hAnsi="宋体" w:eastAsia="宋体" w:cs="宋体"/>
        </w:rPr>
        <w:t>3. 评标程序</w:t>
      </w:r>
      <w:bookmarkEnd w:id="113"/>
    </w:p>
    <w:p>
      <w:pPr>
        <w:pStyle w:val="5"/>
        <w:keepNext w:val="0"/>
        <w:keepLines w:val="0"/>
        <w:ind w:firstLine="137"/>
        <w:rPr>
          <w:rFonts w:ascii="宋体" w:hAnsi="宋体" w:cs="宋体"/>
          <w:szCs w:val="24"/>
        </w:rPr>
      </w:pPr>
      <w:bookmarkStart w:id="114" w:name="_Toc517280580"/>
      <w:r>
        <w:rPr>
          <w:rFonts w:hint="eastAsia" w:ascii="宋体" w:hAnsi="宋体" w:cs="宋体"/>
          <w:szCs w:val="24"/>
        </w:rPr>
        <w:t>3.1 初步评审</w:t>
      </w:r>
      <w:bookmarkEnd w:id="114"/>
    </w:p>
    <w:p>
      <w:pPr>
        <w:spacing w:line="360" w:lineRule="auto"/>
        <w:ind w:firstLine="480" w:firstLineChars="200"/>
        <w:rPr>
          <w:rFonts w:ascii="宋体" w:hAnsi="宋体" w:cs="宋体"/>
          <w:sz w:val="24"/>
          <w:szCs w:val="24"/>
          <w:u w:val="single"/>
        </w:rPr>
      </w:pPr>
      <w:r>
        <w:rPr>
          <w:rFonts w:hint="eastAsia" w:ascii="宋体" w:hAnsi="宋体" w:cs="宋体"/>
          <w:sz w:val="24"/>
          <w:szCs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r>
        <w:rPr>
          <w:rFonts w:hint="eastAsia" w:ascii="宋体" w:hAnsi="宋体" w:cs="宋体"/>
          <w:sz w:val="24"/>
          <w:szCs w:val="24"/>
          <w:u w:val="single"/>
        </w:rPr>
        <w:t>评委发现投标文件中含义不明确、对同类问题表述不一致、有明显文字和计算错误的，应当要求投标人作必要的澄清、说明后再判定投标人是否通过初步审查，不得直接否决投标。</w:t>
      </w:r>
      <w:r>
        <w:rPr>
          <w:rFonts w:hint="eastAsia" w:ascii="宋体" w:hAnsi="宋体"/>
          <w:sz w:val="24"/>
          <w:szCs w:val="24"/>
          <w:u w:val="single"/>
        </w:rPr>
        <w:t>如评标委员会的评审意见不一致时，以评标委员会过半数成员的意见作为评标委员会对该情形的认定结论。若通过初步评审的投标人不足三名时，则本项目招标失败。</w:t>
      </w:r>
    </w:p>
    <w:p>
      <w:pPr>
        <w:spacing w:line="360" w:lineRule="auto"/>
        <w:ind w:firstLine="480" w:firstLineChars="200"/>
        <w:rPr>
          <w:rFonts w:ascii="宋体" w:hAnsi="宋体" w:cs="宋体"/>
          <w:sz w:val="24"/>
          <w:szCs w:val="24"/>
        </w:rPr>
      </w:pPr>
      <w:r>
        <w:rPr>
          <w:rFonts w:hint="eastAsia" w:ascii="宋体" w:hAnsi="宋体" w:cs="宋体"/>
          <w:sz w:val="24"/>
          <w:szCs w:val="24"/>
        </w:rPr>
        <w:t>3.1.2 投标人有以下情形之一的，评标委员会应当否决其投标：</w:t>
      </w:r>
    </w:p>
    <w:p>
      <w:pPr>
        <w:spacing w:line="360" w:lineRule="auto"/>
        <w:ind w:firstLine="480" w:firstLineChars="200"/>
        <w:rPr>
          <w:rFonts w:ascii="宋体" w:hAnsi="宋体" w:cs="宋体"/>
          <w:sz w:val="24"/>
          <w:szCs w:val="24"/>
        </w:rPr>
      </w:pPr>
      <w:r>
        <w:rPr>
          <w:rFonts w:hint="eastAsia" w:ascii="宋体" w:hAnsi="宋体" w:cs="宋体"/>
          <w:sz w:val="24"/>
          <w:szCs w:val="24"/>
        </w:rPr>
        <w:t>（1）投标文件没有对招标文件的实质性要求和条件作出响应，或者对招标文件的偏差超出招标文件规定的偏差范围或最高项数；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s="宋体"/>
          <w:sz w:val="24"/>
          <w:szCs w:val="24"/>
        </w:rPr>
      </w:pPr>
      <w:r>
        <w:rPr>
          <w:rFonts w:hint="eastAsia" w:ascii="宋体" w:hAnsi="宋体" w:cs="宋体"/>
          <w:sz w:val="24"/>
          <w:szCs w:val="24"/>
        </w:rPr>
        <w:t>（2）有串通投标、弄虚作假、行贿等违法行为。</w:t>
      </w:r>
    </w:p>
    <w:p>
      <w:pPr>
        <w:spacing w:line="360" w:lineRule="auto"/>
        <w:ind w:firstLine="480" w:firstLineChars="200"/>
        <w:rPr>
          <w:rFonts w:ascii="宋体" w:hAnsi="宋体" w:cs="宋体"/>
          <w:sz w:val="24"/>
          <w:szCs w:val="24"/>
        </w:rPr>
      </w:pPr>
      <w:r>
        <w:rPr>
          <w:rFonts w:hint="eastAsia" w:ascii="宋体" w:hAnsi="宋体" w:cs="宋体"/>
          <w:sz w:val="24"/>
          <w:szCs w:val="24"/>
        </w:rPr>
        <w:t>3.1.3 投标报价有算术错误及其他错误的，评标委员会按以下原则要求投标人对投标报价进</w:t>
      </w:r>
      <w:bookmarkStart w:id="115" w:name="_Toc369531582"/>
      <w:bookmarkStart w:id="116" w:name="_Toc144974570"/>
      <w:bookmarkStart w:id="117" w:name="_Toc152042380"/>
      <w:bookmarkStart w:id="118" w:name="_Toc2907"/>
      <w:bookmarkStart w:id="119" w:name="_Toc152045603"/>
      <w:bookmarkStart w:id="120" w:name="_Toc361508651"/>
      <w:bookmarkStart w:id="121" w:name="_Toc247514027"/>
      <w:bookmarkStart w:id="122" w:name="_Toc300835013"/>
      <w:bookmarkStart w:id="123" w:name="_Toc384308277"/>
      <w:bookmarkStart w:id="124" w:name="_Toc247527628"/>
      <w:bookmarkStart w:id="125" w:name="_Toc352691538"/>
      <w:r>
        <w:rPr>
          <w:rFonts w:hint="eastAsia" w:ascii="宋体" w:hAnsi="宋体" w:cs="宋体"/>
          <w:sz w:val="24"/>
          <w:szCs w:val="24"/>
        </w:rPr>
        <w:t>行修正，并要求投标人书面澄清确认。</w:t>
      </w:r>
      <w:bookmarkEnd w:id="115"/>
      <w:bookmarkEnd w:id="116"/>
      <w:bookmarkEnd w:id="117"/>
      <w:bookmarkEnd w:id="118"/>
      <w:bookmarkEnd w:id="119"/>
      <w:bookmarkEnd w:id="120"/>
      <w:bookmarkEnd w:id="121"/>
      <w:bookmarkEnd w:id="122"/>
      <w:bookmarkEnd w:id="123"/>
      <w:bookmarkEnd w:id="124"/>
      <w:bookmarkEnd w:id="125"/>
      <w:r>
        <w:rPr>
          <w:rFonts w:hint="eastAsia" w:ascii="宋体" w:hAnsi="宋体" w:cs="宋体"/>
          <w:sz w:val="24"/>
          <w:szCs w:val="24"/>
        </w:rPr>
        <w:t>投标人拒不澄清确认的，评标委员会应当否决其投标：</w:t>
      </w:r>
    </w:p>
    <w:p>
      <w:pPr>
        <w:spacing w:line="360" w:lineRule="auto"/>
        <w:ind w:firstLine="480" w:firstLineChars="200"/>
        <w:rPr>
          <w:rFonts w:ascii="宋体" w:hAnsi="宋体" w:cs="宋体"/>
          <w:sz w:val="24"/>
          <w:szCs w:val="24"/>
        </w:rPr>
      </w:pPr>
      <w:r>
        <w:rPr>
          <w:rFonts w:hint="eastAsia" w:ascii="宋体" w:hAnsi="宋体" w:cs="宋体"/>
          <w:sz w:val="24"/>
          <w:szCs w:val="24"/>
        </w:rPr>
        <w:t>（1）投标文件中的大写金额与小写金额不一致的，以大写金额为准；</w:t>
      </w:r>
    </w:p>
    <w:p>
      <w:pPr>
        <w:spacing w:line="360" w:lineRule="auto"/>
        <w:ind w:firstLine="480" w:firstLineChars="200"/>
        <w:rPr>
          <w:rFonts w:ascii="宋体" w:hAnsi="宋体" w:cs="宋体"/>
          <w:sz w:val="24"/>
          <w:szCs w:val="24"/>
        </w:rPr>
      </w:pPr>
      <w:r>
        <w:rPr>
          <w:rFonts w:hint="eastAsia" w:ascii="宋体" w:hAnsi="宋体" w:cs="宋体"/>
          <w:sz w:val="24"/>
          <w:szCs w:val="24"/>
        </w:rPr>
        <w:t>（2）总价金额与单价金额不一致的，以单价金额为准，但单价金额小数点有明显错误的除外。</w:t>
      </w:r>
    </w:p>
    <w:p>
      <w:pPr>
        <w:pStyle w:val="5"/>
        <w:keepNext w:val="0"/>
        <w:keepLines w:val="0"/>
        <w:ind w:firstLine="137"/>
        <w:rPr>
          <w:rFonts w:ascii="宋体" w:hAnsi="宋体" w:cs="宋体"/>
          <w:szCs w:val="24"/>
        </w:rPr>
      </w:pPr>
      <w:bookmarkStart w:id="126" w:name="_Toc517280581"/>
      <w:r>
        <w:rPr>
          <w:rFonts w:hint="eastAsia" w:ascii="宋体" w:hAnsi="宋体" w:cs="宋体"/>
          <w:szCs w:val="24"/>
        </w:rPr>
        <w:t>3.2 详细评审</w:t>
      </w:r>
      <w:bookmarkEnd w:id="126"/>
    </w:p>
    <w:p>
      <w:pPr>
        <w:spacing w:line="360" w:lineRule="auto"/>
        <w:ind w:firstLine="480" w:firstLineChars="200"/>
        <w:rPr>
          <w:rFonts w:ascii="宋体" w:hAnsi="宋体" w:cs="宋体"/>
          <w:sz w:val="24"/>
          <w:szCs w:val="24"/>
        </w:rPr>
      </w:pPr>
      <w:r>
        <w:rPr>
          <w:rFonts w:hint="eastAsia" w:ascii="宋体" w:hAnsi="宋体" w:cs="宋体"/>
          <w:sz w:val="24"/>
          <w:szCs w:val="24"/>
        </w:rPr>
        <w:t>3.2.1 评标委员会按本章第2.2款规定的量化因素和分值进行打分，并计算出综合评估得分。</w:t>
      </w:r>
    </w:p>
    <w:p>
      <w:pPr>
        <w:spacing w:line="360" w:lineRule="auto"/>
        <w:ind w:firstLine="480" w:firstLineChars="200"/>
        <w:rPr>
          <w:rFonts w:ascii="宋体" w:hAnsi="宋体" w:cs="宋体"/>
          <w:sz w:val="24"/>
          <w:szCs w:val="24"/>
        </w:rPr>
      </w:pPr>
      <w:r>
        <w:rPr>
          <w:rFonts w:hint="eastAsia" w:ascii="宋体" w:hAnsi="宋体" w:cs="宋体"/>
          <w:sz w:val="24"/>
          <w:szCs w:val="24"/>
        </w:rPr>
        <w:t>（1）按本章第2.2.4（1）目规定的评审因素和分值对资信业绩部分计算出得分A；</w:t>
      </w:r>
    </w:p>
    <w:p>
      <w:pPr>
        <w:spacing w:line="360" w:lineRule="auto"/>
        <w:ind w:firstLine="480" w:firstLineChars="200"/>
        <w:rPr>
          <w:rFonts w:ascii="宋体" w:hAnsi="宋体" w:cs="宋体"/>
          <w:sz w:val="24"/>
          <w:szCs w:val="24"/>
        </w:rPr>
      </w:pPr>
      <w:r>
        <w:rPr>
          <w:rFonts w:hint="eastAsia" w:ascii="宋体" w:hAnsi="宋体" w:cs="宋体"/>
          <w:sz w:val="24"/>
          <w:szCs w:val="24"/>
        </w:rPr>
        <w:t>（2）按本章第2.2.4（2）目规定的评审因素和分值对监理大纲部分计算出得分B；</w:t>
      </w:r>
    </w:p>
    <w:p>
      <w:pPr>
        <w:spacing w:line="360" w:lineRule="auto"/>
        <w:ind w:firstLine="480" w:firstLineChars="200"/>
        <w:rPr>
          <w:rFonts w:ascii="宋体" w:hAnsi="宋体" w:cs="宋体"/>
          <w:sz w:val="24"/>
          <w:szCs w:val="24"/>
        </w:rPr>
      </w:pPr>
      <w:r>
        <w:rPr>
          <w:rFonts w:hint="eastAsia" w:ascii="宋体" w:hAnsi="宋体" w:cs="宋体"/>
          <w:sz w:val="24"/>
          <w:szCs w:val="24"/>
        </w:rPr>
        <w:t>（3）按本章第2.2.4（3）目规定的评审因素和</w:t>
      </w:r>
      <w:bookmarkStart w:id="127" w:name="_Toc152045604"/>
      <w:bookmarkStart w:id="128" w:name="_Toc247527629"/>
      <w:bookmarkStart w:id="129" w:name="_Toc352691539"/>
      <w:bookmarkStart w:id="130" w:name="_Toc361508652"/>
      <w:bookmarkStart w:id="131" w:name="_Toc247514028"/>
      <w:bookmarkStart w:id="132" w:name="_Toc300835014"/>
      <w:bookmarkStart w:id="133" w:name="_Toc369531583"/>
      <w:bookmarkStart w:id="134" w:name="_Toc144974571"/>
      <w:bookmarkStart w:id="135" w:name="_Toc152042381"/>
      <w:bookmarkStart w:id="136" w:name="_Toc384308278"/>
      <w:bookmarkStart w:id="137" w:name="_Toc24330"/>
      <w:r>
        <w:rPr>
          <w:rFonts w:hint="eastAsia" w:ascii="宋体" w:hAnsi="宋体" w:cs="宋体"/>
          <w:sz w:val="24"/>
          <w:szCs w:val="24"/>
        </w:rPr>
        <w:t>分值对投标报价</w:t>
      </w:r>
      <w:bookmarkEnd w:id="127"/>
      <w:bookmarkEnd w:id="128"/>
      <w:bookmarkEnd w:id="129"/>
      <w:bookmarkEnd w:id="130"/>
      <w:bookmarkEnd w:id="131"/>
      <w:bookmarkEnd w:id="132"/>
      <w:bookmarkEnd w:id="133"/>
      <w:bookmarkEnd w:id="134"/>
      <w:bookmarkEnd w:id="135"/>
      <w:bookmarkEnd w:id="136"/>
      <w:bookmarkEnd w:id="137"/>
      <w:r>
        <w:rPr>
          <w:rFonts w:hint="eastAsia" w:ascii="宋体" w:hAnsi="宋体" w:cs="宋体"/>
          <w:sz w:val="24"/>
          <w:szCs w:val="24"/>
        </w:rPr>
        <w:t>计</w:t>
      </w:r>
      <w:bookmarkStart w:id="138" w:name="_Toc152045605"/>
      <w:bookmarkStart w:id="139" w:name="_Toc152042382"/>
      <w:bookmarkStart w:id="140" w:name="_Toc247514029"/>
      <w:bookmarkStart w:id="141" w:name="_Toc247527630"/>
      <w:bookmarkStart w:id="142" w:name="_Toc361508653"/>
      <w:bookmarkStart w:id="143" w:name="_Toc352691540"/>
      <w:bookmarkStart w:id="144" w:name="_Toc18141"/>
      <w:bookmarkStart w:id="145" w:name="_Toc384308279"/>
      <w:bookmarkStart w:id="146" w:name="_Toc300835015"/>
      <w:bookmarkStart w:id="147" w:name="_Toc369531584"/>
      <w:bookmarkStart w:id="148" w:name="_Toc144974572"/>
      <w:r>
        <w:rPr>
          <w:rFonts w:hint="eastAsia" w:ascii="宋体" w:hAnsi="宋体" w:cs="宋体"/>
          <w:sz w:val="24"/>
          <w:szCs w:val="24"/>
        </w:rPr>
        <w:t>算出得分C；</w:t>
      </w:r>
    </w:p>
    <w:p>
      <w:pPr>
        <w:spacing w:line="360" w:lineRule="auto"/>
        <w:ind w:firstLine="480" w:firstLineChars="200"/>
        <w:rPr>
          <w:rFonts w:ascii="宋体" w:hAnsi="宋体" w:cs="宋体"/>
          <w:sz w:val="24"/>
          <w:szCs w:val="24"/>
        </w:rPr>
      </w:pPr>
      <w:r>
        <w:rPr>
          <w:rFonts w:hint="eastAsia" w:ascii="宋体" w:hAnsi="宋体" w:cs="宋体"/>
          <w:sz w:val="24"/>
          <w:szCs w:val="24"/>
        </w:rPr>
        <w:t>（</w:t>
      </w:r>
      <w:bookmarkEnd w:id="138"/>
      <w:bookmarkEnd w:id="139"/>
      <w:bookmarkEnd w:id="140"/>
      <w:bookmarkEnd w:id="141"/>
      <w:bookmarkEnd w:id="142"/>
      <w:bookmarkEnd w:id="143"/>
      <w:bookmarkEnd w:id="144"/>
      <w:bookmarkEnd w:id="145"/>
      <w:bookmarkEnd w:id="146"/>
      <w:bookmarkEnd w:id="147"/>
      <w:bookmarkEnd w:id="148"/>
      <w:r>
        <w:rPr>
          <w:rFonts w:hint="eastAsia" w:ascii="宋体" w:hAnsi="宋体" w:cs="宋体"/>
          <w:sz w:val="24"/>
          <w:szCs w:val="24"/>
        </w:rPr>
        <w:t>4）按本章第2.2.4（4）目规定的评审因素和分值对其他部分计算出得分D。</w:t>
      </w:r>
    </w:p>
    <w:p>
      <w:pPr>
        <w:spacing w:line="360" w:lineRule="auto"/>
        <w:ind w:firstLine="480" w:firstLineChars="200"/>
        <w:rPr>
          <w:rFonts w:ascii="宋体" w:hAnsi="宋体" w:cs="宋体"/>
          <w:sz w:val="24"/>
          <w:szCs w:val="24"/>
        </w:rPr>
      </w:pPr>
      <w:r>
        <w:rPr>
          <w:rFonts w:hint="eastAsia" w:ascii="宋体" w:hAnsi="宋体" w:cs="宋体"/>
          <w:sz w:val="24"/>
          <w:szCs w:val="24"/>
        </w:rPr>
        <w:t>3.2.2 评分分值计算保留小数点后两位，小数点后第三位“四舍五入”。</w:t>
      </w:r>
    </w:p>
    <w:p>
      <w:pPr>
        <w:spacing w:line="360" w:lineRule="auto"/>
        <w:ind w:firstLine="480" w:firstLineChars="200"/>
        <w:rPr>
          <w:rFonts w:ascii="宋体" w:hAnsi="宋体" w:cs="宋体"/>
          <w:sz w:val="24"/>
          <w:szCs w:val="24"/>
        </w:rPr>
      </w:pPr>
      <w:r>
        <w:rPr>
          <w:rFonts w:hint="eastAsia" w:ascii="宋体" w:hAnsi="宋体" w:cs="宋体"/>
          <w:sz w:val="24"/>
          <w:szCs w:val="24"/>
        </w:rPr>
        <w:t>3.2.3 投标人得分=A+B+C</w:t>
      </w:r>
      <w:r>
        <w:rPr>
          <w:rFonts w:ascii="宋体" w:hAnsi="宋体" w:cs="宋体"/>
          <w:sz w:val="24"/>
          <w:szCs w:val="24"/>
        </w:rPr>
        <w:t>+D</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keepNext w:val="0"/>
        <w:keepLines w:val="0"/>
        <w:ind w:firstLine="137"/>
        <w:rPr>
          <w:rFonts w:ascii="宋体" w:hAnsi="宋体" w:cs="宋体"/>
          <w:szCs w:val="24"/>
        </w:rPr>
      </w:pPr>
      <w:bookmarkStart w:id="149" w:name="_Toc517280582"/>
      <w:r>
        <w:rPr>
          <w:rFonts w:hint="eastAsia" w:ascii="宋体" w:hAnsi="宋体" w:cs="宋体"/>
          <w:szCs w:val="24"/>
        </w:rPr>
        <w:t>3.3 投标文件的澄清</w:t>
      </w:r>
      <w:bookmarkEnd w:id="149"/>
    </w:p>
    <w:p>
      <w:pPr>
        <w:spacing w:line="360" w:lineRule="auto"/>
        <w:ind w:firstLine="480" w:firstLineChars="200"/>
        <w:rPr>
          <w:rFonts w:ascii="宋体" w:hAnsi="宋体" w:cs="宋体"/>
          <w:sz w:val="24"/>
          <w:szCs w:val="24"/>
        </w:rPr>
      </w:pPr>
      <w:r>
        <w:rPr>
          <w:rFonts w:hint="eastAsia" w:ascii="宋体" w:hAnsi="宋体" w:cs="宋体"/>
          <w:sz w:val="24"/>
          <w:szCs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cs="宋体"/>
          <w:sz w:val="24"/>
          <w:szCs w:val="24"/>
        </w:rPr>
      </w:pPr>
      <w:r>
        <w:rPr>
          <w:rFonts w:hint="eastAsia" w:ascii="宋体" w:hAnsi="宋体" w:cs="宋体"/>
          <w:sz w:val="24"/>
          <w:szCs w:val="24"/>
        </w:rPr>
        <w:t>3.3.2 澄清、说明或补正不得超出投标文件的范围且不得改变投标文件的实质性内容，并构成投标文件的组成部分。</w:t>
      </w:r>
    </w:p>
    <w:p>
      <w:pPr>
        <w:spacing w:line="360" w:lineRule="auto"/>
        <w:ind w:firstLine="480" w:firstLineChars="200"/>
        <w:rPr>
          <w:rFonts w:ascii="宋体" w:hAnsi="宋体" w:cs="宋体"/>
          <w:sz w:val="24"/>
          <w:szCs w:val="24"/>
        </w:rPr>
      </w:pPr>
      <w:r>
        <w:rPr>
          <w:rFonts w:hint="eastAsia" w:ascii="宋体" w:hAnsi="宋体" w:cs="宋体"/>
          <w:sz w:val="24"/>
          <w:szCs w:val="24"/>
        </w:rPr>
        <w:t>3.3.3 评标委员会对投标人提交的澄清、说明或补正有疑问的，可以要求投标人进一步澄清、说明或补正，直至满足评标委员会的要求。</w:t>
      </w:r>
    </w:p>
    <w:p>
      <w:pPr>
        <w:pStyle w:val="5"/>
        <w:keepNext w:val="0"/>
        <w:keepLines w:val="0"/>
        <w:ind w:firstLine="137"/>
        <w:rPr>
          <w:rFonts w:ascii="宋体" w:hAnsi="宋体" w:cs="宋体"/>
          <w:szCs w:val="24"/>
        </w:rPr>
      </w:pPr>
      <w:bookmarkStart w:id="150" w:name="_Toc517280583"/>
      <w:r>
        <w:rPr>
          <w:rFonts w:hint="eastAsia" w:ascii="宋体" w:hAnsi="宋体" w:cs="宋体"/>
          <w:szCs w:val="24"/>
        </w:rPr>
        <w:t>3.4 评标结果</w:t>
      </w:r>
      <w:bookmarkEnd w:id="150"/>
    </w:p>
    <w:p>
      <w:pPr>
        <w:spacing w:line="360" w:lineRule="auto"/>
        <w:ind w:firstLine="480" w:firstLineChars="200"/>
        <w:rPr>
          <w:rFonts w:ascii="宋体" w:hAnsi="宋体" w:cs="宋体"/>
          <w:sz w:val="24"/>
          <w:szCs w:val="24"/>
        </w:rPr>
      </w:pPr>
      <w:r>
        <w:rPr>
          <w:rFonts w:hint="eastAsia" w:ascii="宋体" w:hAnsi="宋体" w:cs="宋体"/>
          <w:sz w:val="24"/>
          <w:szCs w:val="24"/>
        </w:rPr>
        <w:t>3.4.1 除第二章“投标人须知”前附表授权直接确定中标人外，评标委员会按照得分由高到低的顺序推荐中标候选人，并标明排序。</w:t>
      </w:r>
    </w:p>
    <w:p>
      <w:pPr>
        <w:spacing w:line="360" w:lineRule="auto"/>
        <w:ind w:firstLine="480" w:firstLineChars="200"/>
        <w:rPr>
          <w:rFonts w:ascii="宋体" w:hAnsi="宋体" w:cs="宋体"/>
          <w:sz w:val="24"/>
          <w:szCs w:val="24"/>
        </w:rPr>
      </w:pPr>
      <w:r>
        <w:rPr>
          <w:rFonts w:ascii="宋体" w:hAnsi="宋体" w:cs="宋体"/>
          <w:sz w:val="24"/>
          <w:szCs w:val="24"/>
        </w:rPr>
        <w:t xml:space="preserve">3.4.2 </w:t>
      </w:r>
      <w:r>
        <w:rPr>
          <w:rFonts w:hint="eastAsia" w:ascii="宋体" w:hAnsi="宋体" w:cs="宋体"/>
          <w:sz w:val="24"/>
          <w:szCs w:val="24"/>
        </w:rPr>
        <w:t>评标委员会完成评标后，应当向招标人提交书面评标报告和中标候选人名单。</w:t>
      </w:r>
    </w:p>
    <w:p>
      <w:pPr>
        <w:pStyle w:val="3"/>
        <w:keepNext w:val="0"/>
        <w:keepLines w:val="0"/>
        <w:spacing w:line="360" w:lineRule="auto"/>
        <w:ind w:firstLine="643" w:firstLineChars="200"/>
        <w:jc w:val="center"/>
        <w:rPr>
          <w:sz w:val="32"/>
          <w:szCs w:val="32"/>
        </w:rPr>
      </w:pPr>
      <w:r>
        <w:rPr>
          <w:rFonts w:hint="eastAsia"/>
          <w:sz w:val="32"/>
          <w:szCs w:val="32"/>
        </w:rPr>
        <w:br w:type="page"/>
      </w:r>
      <w:bookmarkStart w:id="151" w:name="_Toc492300637"/>
    </w:p>
    <w:p>
      <w:pPr>
        <w:pStyle w:val="3"/>
        <w:keepNext w:val="0"/>
        <w:keepLines w:val="0"/>
        <w:spacing w:line="360" w:lineRule="auto"/>
        <w:ind w:firstLine="643" w:firstLineChars="200"/>
        <w:jc w:val="center"/>
        <w:rPr>
          <w:sz w:val="32"/>
          <w:szCs w:val="32"/>
        </w:rPr>
      </w:pPr>
    </w:p>
    <w:p>
      <w:pPr>
        <w:pStyle w:val="3"/>
        <w:keepNext w:val="0"/>
        <w:keepLines w:val="0"/>
        <w:spacing w:line="360" w:lineRule="auto"/>
        <w:ind w:firstLine="723" w:firstLineChars="200"/>
        <w:jc w:val="center"/>
        <w:rPr>
          <w:rFonts w:ascii="宋体" w:hAnsi="宋体"/>
          <w:sz w:val="36"/>
          <w:szCs w:val="36"/>
        </w:rPr>
      </w:pPr>
      <w:bookmarkStart w:id="152" w:name="_Toc13951_WPSOffice_Level1"/>
      <w:bookmarkStart w:id="153" w:name="_Toc12722_WPSOffice_Level1"/>
      <w:r>
        <w:rPr>
          <w:rFonts w:hint="eastAsia" w:ascii="宋体" w:hAnsi="宋体"/>
          <w:sz w:val="36"/>
          <w:szCs w:val="36"/>
        </w:rPr>
        <w:t>第四章合同条款及格式</w:t>
      </w:r>
      <w:bookmarkEnd w:id="152"/>
    </w:p>
    <w:p>
      <w:pPr>
        <w:ind w:firstLine="630" w:firstLineChars="300"/>
        <w:jc w:val="center"/>
        <w:rPr>
          <w:rFonts w:ascii="宋体" w:hAnsi="宋体" w:cs="宋体"/>
          <w:szCs w:val="21"/>
        </w:rPr>
        <w:sectPr>
          <w:footerReference r:id="rId5" w:type="default"/>
          <w:footerReference r:id="rId6" w:type="even"/>
          <w:pgSz w:w="11907" w:h="16840"/>
          <w:pgMar w:top="1134" w:right="1134" w:bottom="1134" w:left="1417" w:header="851" w:footer="850" w:gutter="0"/>
          <w:cols w:space="720" w:num="1"/>
          <w:docGrid w:linePitch="326" w:charSpace="0"/>
        </w:sectPr>
      </w:pPr>
      <w:r>
        <w:rPr>
          <w:rFonts w:hint="eastAsia" w:ascii="宋体" w:hAnsi="宋体" w:cs="宋体"/>
          <w:szCs w:val="21"/>
        </w:rPr>
        <w:t>（另册）</w:t>
      </w:r>
    </w:p>
    <w:p>
      <w:pPr>
        <w:pStyle w:val="3"/>
        <w:keepNext w:val="0"/>
        <w:keepLines w:val="0"/>
        <w:spacing w:line="360" w:lineRule="auto"/>
        <w:ind w:firstLine="723" w:firstLineChars="200"/>
        <w:jc w:val="center"/>
        <w:rPr>
          <w:rFonts w:ascii="宋体" w:hAnsi="宋体"/>
          <w:sz w:val="36"/>
          <w:szCs w:val="36"/>
        </w:rPr>
      </w:pPr>
      <w:bookmarkStart w:id="154" w:name="_Toc13421_WPSOffice_Level1"/>
      <w:r>
        <w:rPr>
          <w:rFonts w:hint="eastAsia" w:ascii="宋体" w:hAnsi="宋体"/>
          <w:sz w:val="36"/>
          <w:szCs w:val="36"/>
        </w:rPr>
        <w:t>第五章委托人要求</w:t>
      </w:r>
      <w:bookmarkEnd w:id="153"/>
      <w:bookmarkEnd w:id="154"/>
    </w:p>
    <w:p>
      <w:pPr>
        <w:spacing w:line="360" w:lineRule="auto"/>
        <w:rPr>
          <w:rFonts w:ascii="楷体_GB2312" w:hAnsi="宋体" w:eastAsia="楷体_GB2312"/>
          <w:b/>
          <w:sz w:val="24"/>
          <w:szCs w:val="24"/>
        </w:rPr>
      </w:pPr>
      <w:bookmarkStart w:id="155" w:name="_Toc179632787"/>
      <w:bookmarkStart w:id="156" w:name="_Toc246996338"/>
      <w:bookmarkStart w:id="157" w:name="_Toc247085853"/>
      <w:bookmarkStart w:id="158" w:name="_Toc246997081"/>
      <w:r>
        <w:rPr>
          <w:rFonts w:hint="eastAsia" w:ascii="宋体" w:hAnsi="宋体" w:cs="宋体"/>
          <w:b/>
          <w:bCs/>
          <w:sz w:val="24"/>
          <w:szCs w:val="24"/>
        </w:rPr>
        <w:t>一、本项目拟投入的监理机构人员配备要求</w:t>
      </w:r>
    </w:p>
    <w:tbl>
      <w:tblPr>
        <w:tblStyle w:val="28"/>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555"/>
        <w:gridCol w:w="5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岗位</w:t>
            </w:r>
          </w:p>
        </w:tc>
        <w:tc>
          <w:tcPr>
            <w:tcW w:w="15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人员要求</w:t>
            </w:r>
          </w:p>
        </w:tc>
        <w:tc>
          <w:tcPr>
            <w:tcW w:w="553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持证上岗要求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6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总监理工程师</w:t>
            </w:r>
          </w:p>
        </w:tc>
        <w:tc>
          <w:tcPr>
            <w:tcW w:w="15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1名</w:t>
            </w:r>
          </w:p>
        </w:tc>
        <w:tc>
          <w:tcPr>
            <w:tcW w:w="553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hint="eastAsia" w:ascii="宋体" w:hAnsi="宋体"/>
                <w:szCs w:val="21"/>
              </w:rPr>
              <w:t>按招标公告要求。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663"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监理工程师</w:t>
            </w:r>
          </w:p>
        </w:tc>
        <w:tc>
          <w:tcPr>
            <w:tcW w:w="15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5名</w:t>
            </w:r>
          </w:p>
        </w:tc>
        <w:tc>
          <w:tcPr>
            <w:tcW w:w="5533" w:type="dxa"/>
            <w:tcBorders>
              <w:top w:val="single" w:color="auto" w:sz="4" w:space="0"/>
              <w:left w:val="single" w:color="auto" w:sz="4" w:space="0"/>
              <w:right w:val="single" w:color="auto" w:sz="4" w:space="0"/>
            </w:tcBorders>
            <w:noWrap/>
            <w:vAlign w:val="center"/>
          </w:tcPr>
          <w:p>
            <w:pPr>
              <w:rPr>
                <w:rFonts w:ascii="宋体" w:hAnsi="宋体"/>
                <w:color w:val="FF0000"/>
                <w:szCs w:val="21"/>
              </w:rPr>
            </w:pPr>
            <w:r>
              <w:rPr>
                <w:rFonts w:hint="eastAsia" w:ascii="宋体" w:hAnsi="宋体" w:cs="宋体"/>
                <w:szCs w:val="21"/>
              </w:rPr>
              <w:t>具备中级或以上技术职称。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6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造价工程师</w:t>
            </w:r>
          </w:p>
        </w:tc>
        <w:tc>
          <w:tcPr>
            <w:tcW w:w="15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1名</w:t>
            </w:r>
          </w:p>
        </w:tc>
        <w:tc>
          <w:tcPr>
            <w:tcW w:w="553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FF0000"/>
                <w:szCs w:val="21"/>
              </w:rPr>
            </w:pPr>
            <w:r>
              <w:rPr>
                <w:rFonts w:hint="eastAsia" w:ascii="宋体" w:hAnsi="宋体"/>
                <w:szCs w:val="21"/>
              </w:rPr>
              <w:t>具备一级注册造价工程师注册证书。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监理员</w:t>
            </w:r>
          </w:p>
        </w:tc>
        <w:tc>
          <w:tcPr>
            <w:tcW w:w="15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2名</w:t>
            </w:r>
          </w:p>
        </w:tc>
        <w:tc>
          <w:tcPr>
            <w:tcW w:w="553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r>
              <w:rPr>
                <w:rFonts w:hint="eastAsia" w:ascii="宋体" w:hAnsi="宋体"/>
                <w:szCs w:val="21"/>
              </w:rPr>
              <w:t>具备岗位证或培训证或上岗证。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6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总计</w:t>
            </w:r>
          </w:p>
        </w:tc>
        <w:tc>
          <w:tcPr>
            <w:tcW w:w="15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9名</w:t>
            </w:r>
          </w:p>
        </w:tc>
        <w:tc>
          <w:tcPr>
            <w:tcW w:w="553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szCs w:val="21"/>
              </w:rPr>
            </w:pPr>
          </w:p>
        </w:tc>
      </w:tr>
    </w:tbl>
    <w:p>
      <w:pPr>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注：1、表中所列人员配备为最低限度要求，投标人所投入人员不满足本要求的则在评分表中相应评分项不得分。2.按照《造价工程师职业资格制度规定》的规定，根据原人事部、原建设部发布的《造价工程师执业资格制度暂行规定》（人发[1996]77号)取得的造价工程师执业资格，并经注册且在有效期内的，等同于一级注册造价工程师。</w:t>
      </w:r>
    </w:p>
    <w:p>
      <w:pPr>
        <w:spacing w:line="360" w:lineRule="auto"/>
        <w:rPr>
          <w:rFonts w:ascii="宋体" w:hAnsi="宋体" w:cs="宋体"/>
          <w:b/>
          <w:bCs/>
          <w:sz w:val="24"/>
          <w:szCs w:val="24"/>
        </w:rPr>
      </w:pPr>
      <w:bookmarkStart w:id="159" w:name="_Toc32412_WPSOffice_Level2"/>
      <w:bookmarkStart w:id="160" w:name="_Toc5884"/>
      <w:bookmarkStart w:id="161" w:name="_Toc31510"/>
      <w:bookmarkStart w:id="162" w:name="_Toc31879_WPSOffice_Level2"/>
      <w:bookmarkStart w:id="163" w:name="_Toc2359"/>
      <w:r>
        <w:rPr>
          <w:rFonts w:hint="eastAsia" w:ascii="宋体" w:hAnsi="宋体" w:cs="宋体"/>
          <w:b/>
          <w:bCs/>
          <w:sz w:val="24"/>
          <w:szCs w:val="24"/>
        </w:rPr>
        <w:t>二、委托人的其他要求</w:t>
      </w:r>
      <w:bookmarkEnd w:id="159"/>
      <w:bookmarkEnd w:id="160"/>
      <w:bookmarkEnd w:id="161"/>
      <w:bookmarkEnd w:id="162"/>
      <w:bookmarkEnd w:id="163"/>
    </w:p>
    <w:p>
      <w:pPr>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委托人的其他要求：其他要求详见监理合同。</w:t>
      </w:r>
    </w:p>
    <w:p>
      <w:pPr>
        <w:rPr>
          <w:rFonts w:ascii="宋体" w:hAnsi="宋体" w:cs="宋体"/>
          <w:b/>
          <w:kern w:val="44"/>
          <w:sz w:val="44"/>
          <w:szCs w:val="20"/>
        </w:rPr>
      </w:pPr>
    </w:p>
    <w:p>
      <w:pPr>
        <w:tabs>
          <w:tab w:val="left" w:pos="540"/>
        </w:tabs>
        <w:snapToGrid w:val="0"/>
        <w:spacing w:line="360" w:lineRule="auto"/>
        <w:rPr>
          <w:rFonts w:ascii="宋体" w:hAnsi="宋体" w:cs="宋体"/>
          <w:sz w:val="24"/>
          <w:szCs w:val="24"/>
        </w:rPr>
      </w:pPr>
      <w:bookmarkStart w:id="164" w:name="_Toc517280585"/>
      <w:bookmarkStart w:id="165" w:name="_Toc517280586"/>
      <w:r>
        <w:rPr>
          <w:rFonts w:hint="eastAsia" w:ascii="宋体" w:hAnsi="宋体" w:cs="宋体"/>
        </w:rPr>
        <w:br w:type="page"/>
      </w:r>
      <w:bookmarkEnd w:id="155"/>
      <w:bookmarkEnd w:id="156"/>
      <w:bookmarkEnd w:id="157"/>
      <w:bookmarkEnd w:id="158"/>
      <w:bookmarkEnd w:id="164"/>
      <w:bookmarkEnd w:id="165"/>
    </w:p>
    <w:p>
      <w:pPr>
        <w:pStyle w:val="3"/>
        <w:keepNext w:val="0"/>
        <w:keepLines w:val="0"/>
        <w:jc w:val="center"/>
        <w:rPr>
          <w:rFonts w:ascii="宋体" w:hAnsi="宋体"/>
          <w:sz w:val="36"/>
          <w:szCs w:val="36"/>
        </w:rPr>
      </w:pPr>
      <w:bookmarkStart w:id="166" w:name="_Toc517280599"/>
      <w:bookmarkStart w:id="167" w:name="_Toc4659646"/>
      <w:bookmarkStart w:id="168" w:name="_Toc29346_WPSOffice_Level1"/>
      <w:r>
        <w:rPr>
          <w:rFonts w:hint="eastAsia" w:ascii="宋体" w:hAnsi="宋体"/>
          <w:sz w:val="36"/>
          <w:szCs w:val="36"/>
        </w:rPr>
        <w:t>第六章投标文件格式</w:t>
      </w:r>
      <w:bookmarkEnd w:id="166"/>
      <w:bookmarkEnd w:id="167"/>
      <w:bookmarkEnd w:id="168"/>
    </w:p>
    <w:p>
      <w:pPr>
        <w:jc w:val="center"/>
        <w:rPr>
          <w:rFonts w:ascii="宋体" w:hAnsi="宋体" w:cs="宋体"/>
          <w:color w:val="auto"/>
          <w:sz w:val="22"/>
          <w:highlight w:val="none"/>
        </w:rPr>
      </w:pPr>
      <w:r>
        <w:rPr>
          <w:rFonts w:hint="eastAsia" w:ascii="宋体" w:hAnsi="宋体" w:cs="宋体"/>
          <w:color w:val="auto"/>
          <w:sz w:val="32"/>
          <w:highlight w:val="none"/>
          <w:u w:val="single"/>
        </w:rPr>
        <w:t>（项目名称）</w:t>
      </w:r>
      <w:r>
        <w:rPr>
          <w:rFonts w:hint="eastAsia" w:ascii="宋体" w:hAnsi="宋体" w:cs="宋体"/>
          <w:color w:val="auto"/>
          <w:sz w:val="32"/>
          <w:highlight w:val="none"/>
        </w:rPr>
        <w:t>招标项目</w:t>
      </w:r>
    </w:p>
    <w:p>
      <w:pPr>
        <w:spacing w:line="526" w:lineRule="exact"/>
        <w:jc w:val="center"/>
        <w:rPr>
          <w:rFonts w:ascii="宋体" w:hAnsi="宋体" w:cs="宋体"/>
          <w:color w:val="auto"/>
          <w:highlight w:val="none"/>
        </w:rPr>
      </w:pPr>
    </w:p>
    <w:p>
      <w:pPr>
        <w:spacing w:line="526" w:lineRule="exact"/>
        <w:jc w:val="center"/>
        <w:rPr>
          <w:rFonts w:ascii="宋体" w:hAnsi="宋体" w:cs="宋体"/>
          <w:color w:val="auto"/>
          <w:highlight w:val="none"/>
        </w:rPr>
      </w:pPr>
    </w:p>
    <w:p>
      <w:pPr>
        <w:spacing w:line="526" w:lineRule="exact"/>
        <w:jc w:val="center"/>
        <w:rPr>
          <w:rFonts w:ascii="宋体" w:hAnsi="宋体" w:cs="宋体"/>
          <w:color w:val="auto"/>
          <w:highlight w:val="non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投标文件</w:t>
      </w: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pStyle w:val="3"/>
        <w:spacing w:line="240" w:lineRule="auto"/>
        <w:rPr>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ascii="宋体" w:hAnsi="宋体" w:cs="宋体"/>
          <w:color w:val="auto"/>
          <w:sz w:val="28"/>
          <w:szCs w:val="28"/>
          <w:highlight w:val="none"/>
        </w:rPr>
      </w:pPr>
    </w:p>
    <w:p>
      <w:pPr>
        <w:jc w:val="center"/>
        <w:rPr>
          <w:rFonts w:hint="eastAsia" w:ascii="宋体" w:hAnsi="宋体" w:cs="宋体"/>
          <w:color w:val="auto"/>
          <w:sz w:val="28"/>
          <w:szCs w:val="28"/>
          <w:highlight w:val="none"/>
        </w:rPr>
      </w:pPr>
    </w:p>
    <w:p>
      <w:pPr>
        <w:jc w:val="center"/>
        <w:rPr>
          <w:rFonts w:hint="eastAsia" w:ascii="宋体" w:hAnsi="宋体" w:cs="宋体"/>
          <w:color w:val="auto"/>
          <w:sz w:val="28"/>
          <w:szCs w:val="28"/>
          <w:highlight w:val="none"/>
        </w:rPr>
      </w:pPr>
    </w:p>
    <w:p>
      <w:pPr>
        <w:ind w:firstLine="840" w:firstLineChars="300"/>
        <w:rPr>
          <w:rFonts w:ascii="宋体" w:hAnsi="宋体" w:cs="宋体"/>
          <w:color w:val="auto"/>
          <w:sz w:val="28"/>
          <w:szCs w:val="28"/>
          <w:highlight w:val="none"/>
        </w:rPr>
      </w:pPr>
      <w:r>
        <w:rPr>
          <w:rFonts w:hint="eastAsia" w:ascii="宋体" w:hAnsi="宋体" w:cs="宋体"/>
          <w:color w:val="auto"/>
          <w:sz w:val="28"/>
          <w:szCs w:val="28"/>
          <w:highlight w:val="none"/>
        </w:rPr>
        <w:t xml:space="preserve">投标人：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ind w:left="2921"/>
        <w:rPr>
          <w:rFonts w:ascii="宋体" w:hAnsi="宋体" w:cs="宋体"/>
          <w:color w:val="auto"/>
          <w:sz w:val="28"/>
          <w:szCs w:val="28"/>
          <w:highlight w:val="none"/>
        </w:rPr>
      </w:pPr>
    </w:p>
    <w:p>
      <w:pPr>
        <w:ind w:firstLine="840" w:firstLineChars="300"/>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pPr>
        <w:ind w:left="2921"/>
        <w:rPr>
          <w:rFonts w:ascii="宋体" w:hAnsi="宋体" w:cs="宋体"/>
          <w:color w:val="auto"/>
          <w:sz w:val="28"/>
          <w:szCs w:val="28"/>
          <w:highlight w:val="none"/>
        </w:rPr>
      </w:pPr>
    </w:p>
    <w:p>
      <w:pPr>
        <w:pStyle w:val="4"/>
        <w:keepNext w:val="0"/>
        <w:keepLines w:val="0"/>
        <w:jc w:val="center"/>
        <w:rPr>
          <w:rFonts w:ascii="宋体" w:hAnsi="宋体" w:eastAsia="宋体" w:cs="宋体"/>
        </w:rPr>
      </w:pPr>
      <w:r>
        <w:rPr>
          <w:rFonts w:hint="eastAsia" w:ascii="宋体" w:hAnsi="宋体" w:cs="宋体"/>
          <w:color w:val="auto"/>
          <w:sz w:val="28"/>
          <w:szCs w:val="28"/>
          <w:highlight w:val="none"/>
        </w:rPr>
        <w:t>年   月   日</w:t>
      </w:r>
      <w:r>
        <w:rPr>
          <w:rFonts w:hint="eastAsia" w:ascii="宋体" w:hAnsi="宋体" w:cs="宋体"/>
        </w:rPr>
        <w:br w:type="page"/>
      </w:r>
      <w:bookmarkStart w:id="169" w:name="_Toc517280600"/>
      <w:r>
        <w:rPr>
          <w:rFonts w:hint="eastAsia" w:ascii="宋体" w:hAnsi="宋体" w:eastAsia="宋体" w:cs="宋体"/>
        </w:rPr>
        <w:t>目录</w:t>
      </w:r>
      <w:bookmarkEnd w:id="169"/>
    </w:p>
    <w:p>
      <w:pPr>
        <w:spacing w:line="540" w:lineRule="exact"/>
        <w:rPr>
          <w:rFonts w:ascii="宋体" w:hAnsi="宋体" w:cs="宋体"/>
        </w:rPr>
      </w:pPr>
    </w:p>
    <w:p>
      <w:pPr>
        <w:spacing w:line="480" w:lineRule="auto"/>
        <w:rPr>
          <w:rFonts w:ascii="宋体" w:hAnsi="宋体" w:cs="宋体"/>
          <w:sz w:val="24"/>
          <w:szCs w:val="24"/>
        </w:rPr>
      </w:pPr>
      <w:bookmarkStart w:id="170" w:name="_Toc23376_WPSOffice_Level1"/>
      <w:bookmarkStart w:id="171" w:name="_Toc27525_WPSOffice_Level1"/>
      <w:bookmarkStart w:id="172" w:name="_Toc21466_WPSOffice_Level1"/>
      <w:r>
        <w:rPr>
          <w:rFonts w:hint="eastAsia" w:ascii="宋体" w:hAnsi="宋体" w:cs="宋体"/>
          <w:sz w:val="24"/>
          <w:szCs w:val="24"/>
        </w:rPr>
        <w:t>一、投标函及投标函附录</w:t>
      </w:r>
      <w:bookmarkEnd w:id="170"/>
      <w:bookmarkEnd w:id="171"/>
      <w:bookmarkEnd w:id="172"/>
    </w:p>
    <w:p>
      <w:pPr>
        <w:spacing w:line="480" w:lineRule="auto"/>
        <w:rPr>
          <w:rFonts w:ascii="宋体" w:hAnsi="宋体" w:cs="宋体"/>
          <w:sz w:val="24"/>
          <w:szCs w:val="24"/>
        </w:rPr>
      </w:pPr>
      <w:bookmarkStart w:id="173" w:name="_Toc17652_WPSOffice_Level1"/>
      <w:bookmarkStart w:id="174" w:name="_Toc25550_WPSOffice_Level1"/>
      <w:bookmarkStart w:id="175" w:name="_Toc3229_WPSOffice_Level1"/>
      <w:r>
        <w:rPr>
          <w:rFonts w:hint="eastAsia" w:ascii="宋体" w:hAnsi="宋体" w:cs="宋体"/>
          <w:sz w:val="24"/>
          <w:szCs w:val="24"/>
        </w:rPr>
        <w:t>二、法定代表人身份证明（适用于无委托代理人的情况）</w:t>
      </w:r>
      <w:bookmarkEnd w:id="173"/>
      <w:bookmarkEnd w:id="174"/>
      <w:bookmarkEnd w:id="175"/>
    </w:p>
    <w:p>
      <w:pPr>
        <w:spacing w:line="480" w:lineRule="auto"/>
        <w:rPr>
          <w:rFonts w:ascii="宋体" w:hAnsi="宋体" w:cs="宋体"/>
          <w:sz w:val="24"/>
          <w:szCs w:val="24"/>
        </w:rPr>
      </w:pPr>
      <w:bookmarkStart w:id="176" w:name="_Toc13865_WPSOffice_Level1"/>
      <w:bookmarkStart w:id="177" w:name="_Toc24408_WPSOffice_Level1"/>
      <w:bookmarkStart w:id="178" w:name="_Toc24669_WPSOffice_Level1"/>
      <w:r>
        <w:rPr>
          <w:rFonts w:hint="eastAsia" w:ascii="宋体" w:hAnsi="宋体" w:cs="宋体"/>
          <w:sz w:val="24"/>
          <w:szCs w:val="24"/>
        </w:rPr>
        <w:t>二、授权委托书（适用于有委托代理人的情况）</w:t>
      </w:r>
    </w:p>
    <w:p>
      <w:pPr>
        <w:spacing w:line="480" w:lineRule="auto"/>
        <w:rPr>
          <w:rFonts w:ascii="宋体" w:hAnsi="宋体" w:cs="宋体"/>
          <w:strike/>
          <w:sz w:val="24"/>
          <w:szCs w:val="24"/>
        </w:rPr>
      </w:pPr>
      <w:r>
        <w:rPr>
          <w:rFonts w:hint="eastAsia" w:ascii="宋体" w:hAnsi="宋体" w:cs="宋体"/>
          <w:strike/>
          <w:sz w:val="24"/>
          <w:szCs w:val="24"/>
        </w:rPr>
        <w:t>三、</w:t>
      </w:r>
      <w:r>
        <w:rPr>
          <w:rFonts w:ascii="宋体" w:hAnsi="宋体"/>
          <w:strike/>
          <w:spacing w:val="-2"/>
          <w:sz w:val="24"/>
          <w:szCs w:val="24"/>
        </w:rPr>
        <w:t>投标保证金</w:t>
      </w:r>
      <w:bookmarkEnd w:id="176"/>
      <w:bookmarkEnd w:id="177"/>
      <w:bookmarkEnd w:id="178"/>
    </w:p>
    <w:p>
      <w:pPr>
        <w:spacing w:line="480" w:lineRule="auto"/>
        <w:rPr>
          <w:rFonts w:ascii="宋体" w:hAnsi="宋体" w:cs="宋体"/>
          <w:sz w:val="24"/>
          <w:szCs w:val="24"/>
        </w:rPr>
      </w:pPr>
      <w:bookmarkStart w:id="179" w:name="_Toc21311_WPSOffice_Level1"/>
      <w:bookmarkStart w:id="180" w:name="_Toc7121_WPSOffice_Level1"/>
      <w:bookmarkStart w:id="181" w:name="_Toc28029_WPSOffice_Level1"/>
      <w:r>
        <w:rPr>
          <w:rFonts w:hint="eastAsia" w:ascii="宋体" w:hAnsi="宋体" w:cs="宋体"/>
          <w:sz w:val="24"/>
          <w:szCs w:val="24"/>
        </w:rPr>
        <w:t>四、监理报酬清单</w:t>
      </w:r>
      <w:bookmarkEnd w:id="179"/>
      <w:bookmarkEnd w:id="180"/>
      <w:bookmarkEnd w:id="181"/>
    </w:p>
    <w:p>
      <w:pPr>
        <w:spacing w:line="480" w:lineRule="auto"/>
        <w:rPr>
          <w:rFonts w:ascii="宋体" w:hAnsi="宋体" w:cs="宋体"/>
          <w:sz w:val="24"/>
          <w:szCs w:val="24"/>
        </w:rPr>
      </w:pPr>
      <w:bookmarkStart w:id="182" w:name="_Toc11840_WPSOffice_Level1"/>
      <w:bookmarkStart w:id="183" w:name="_Toc15450_WPSOffice_Level1"/>
      <w:bookmarkStart w:id="184" w:name="_Toc30706_WPSOffice_Level1"/>
      <w:r>
        <w:rPr>
          <w:rFonts w:hint="eastAsia" w:ascii="宋体" w:hAnsi="宋体" w:cs="宋体"/>
          <w:sz w:val="24"/>
          <w:szCs w:val="24"/>
        </w:rPr>
        <w:t>五、资格审查资料</w:t>
      </w:r>
      <w:bookmarkEnd w:id="182"/>
      <w:bookmarkEnd w:id="183"/>
      <w:bookmarkEnd w:id="184"/>
    </w:p>
    <w:p>
      <w:pPr>
        <w:spacing w:line="480" w:lineRule="auto"/>
        <w:rPr>
          <w:rFonts w:ascii="宋体" w:hAnsi="宋体" w:cs="宋体"/>
          <w:sz w:val="24"/>
          <w:szCs w:val="24"/>
        </w:rPr>
      </w:pPr>
      <w:bookmarkStart w:id="185" w:name="_Toc11839_WPSOffice_Level1"/>
      <w:bookmarkStart w:id="186" w:name="_Toc21590_WPSOffice_Level1"/>
      <w:bookmarkStart w:id="187" w:name="_Toc18463_WPSOffice_Level1"/>
      <w:r>
        <w:rPr>
          <w:rFonts w:hint="eastAsia" w:ascii="宋体" w:hAnsi="宋体" w:cs="宋体"/>
          <w:sz w:val="24"/>
          <w:szCs w:val="24"/>
        </w:rPr>
        <w:t>六、监理大纲</w:t>
      </w:r>
      <w:bookmarkEnd w:id="185"/>
      <w:bookmarkEnd w:id="186"/>
      <w:bookmarkEnd w:id="187"/>
    </w:p>
    <w:p>
      <w:pPr>
        <w:spacing w:line="480" w:lineRule="auto"/>
        <w:rPr>
          <w:rFonts w:ascii="宋体" w:hAnsi="宋体" w:cs="宋体"/>
          <w:sz w:val="24"/>
          <w:szCs w:val="24"/>
        </w:rPr>
      </w:pPr>
      <w:bookmarkStart w:id="188" w:name="_Toc352691655"/>
      <w:bookmarkStart w:id="189" w:name="_Toc369531691"/>
      <w:bookmarkStart w:id="190" w:name="_Toc7039"/>
      <w:r>
        <w:rPr>
          <w:rFonts w:hint="eastAsia" w:ascii="宋体" w:hAnsi="宋体" w:cs="宋体"/>
          <w:sz w:val="24"/>
          <w:szCs w:val="24"/>
        </w:rPr>
        <w:t>七、其他资料</w:t>
      </w:r>
    </w:p>
    <w:bookmarkEnd w:id="188"/>
    <w:bookmarkEnd w:id="189"/>
    <w:bookmarkEnd w:id="190"/>
    <w:p>
      <w:pPr>
        <w:pStyle w:val="4"/>
        <w:keepNext w:val="0"/>
        <w:keepLines w:val="0"/>
        <w:spacing w:line="240" w:lineRule="auto"/>
        <w:jc w:val="center"/>
        <w:rPr>
          <w:rFonts w:ascii="宋体" w:hAnsi="宋体" w:eastAsia="宋体" w:cs="宋体"/>
        </w:rPr>
      </w:pPr>
      <w:bookmarkStart w:id="191" w:name="_Toc517280601"/>
      <w:r>
        <w:rPr>
          <w:rFonts w:hint="eastAsia" w:ascii="宋体" w:hAnsi="宋体" w:eastAsia="宋体" w:cs="宋体"/>
        </w:rPr>
        <w:br w:type="page"/>
      </w:r>
      <w:bookmarkStart w:id="192" w:name="_Toc29104_WPSOffice_Level1"/>
      <w:bookmarkStart w:id="193" w:name="_Toc32158_WPSOffice_Level1"/>
      <w:bookmarkStart w:id="194" w:name="_Toc24003_WPSOffice_Level1"/>
      <w:r>
        <w:rPr>
          <w:rFonts w:hint="eastAsia" w:ascii="宋体" w:hAnsi="宋体" w:eastAsia="宋体" w:cs="宋体"/>
        </w:rPr>
        <w:t>一、投标</w:t>
      </w:r>
      <w:bookmarkStart w:id="195" w:name="_Toc352691656"/>
      <w:bookmarkStart w:id="196" w:name="_Toc369531692"/>
      <w:bookmarkStart w:id="197" w:name="_Toc6931"/>
      <w:r>
        <w:rPr>
          <w:rFonts w:hint="eastAsia" w:ascii="宋体" w:hAnsi="宋体" w:eastAsia="宋体" w:cs="宋体"/>
        </w:rPr>
        <w:t>函及投标函附录</w:t>
      </w:r>
      <w:bookmarkEnd w:id="191"/>
      <w:bookmarkEnd w:id="192"/>
      <w:bookmarkEnd w:id="193"/>
      <w:bookmarkEnd w:id="194"/>
    </w:p>
    <w:bookmarkEnd w:id="195"/>
    <w:bookmarkEnd w:id="196"/>
    <w:bookmarkEnd w:id="197"/>
    <w:p>
      <w:pPr>
        <w:pStyle w:val="5"/>
        <w:keepNext w:val="0"/>
        <w:keepLines w:val="0"/>
        <w:ind w:firstLine="137"/>
        <w:jc w:val="center"/>
        <w:rPr>
          <w:rFonts w:ascii="宋体" w:hAnsi="宋体" w:cs="宋体"/>
          <w:b/>
          <w:bCs w:val="0"/>
          <w:szCs w:val="24"/>
        </w:rPr>
      </w:pPr>
      <w:bookmarkStart w:id="198" w:name="_Toc391394111"/>
      <w:bookmarkStart w:id="199" w:name="_Toc385943065"/>
      <w:bookmarkStart w:id="200" w:name="_Toc359594235"/>
      <w:bookmarkStart w:id="201" w:name="_Toc370676426"/>
      <w:bookmarkStart w:id="202" w:name="_Toc517280602"/>
      <w:bookmarkStart w:id="203" w:name="_Toc482188651"/>
      <w:r>
        <w:rPr>
          <w:rFonts w:hint="eastAsia" w:ascii="宋体" w:hAnsi="宋体" w:cs="宋体"/>
          <w:b/>
          <w:bCs w:val="0"/>
          <w:szCs w:val="24"/>
        </w:rPr>
        <w:t>（一）投标函</w:t>
      </w:r>
      <w:bookmarkEnd w:id="198"/>
      <w:bookmarkEnd w:id="199"/>
      <w:bookmarkEnd w:id="200"/>
      <w:bookmarkEnd w:id="201"/>
      <w:bookmarkEnd w:id="202"/>
      <w:bookmarkEnd w:id="203"/>
    </w:p>
    <w:p>
      <w:pPr>
        <w:spacing w:line="440" w:lineRule="exact"/>
        <w:rPr>
          <w:rFonts w:ascii="宋体" w:hAnsi="宋体" w:cs="宋体"/>
          <w:sz w:val="24"/>
          <w:szCs w:val="24"/>
        </w:rPr>
      </w:pPr>
      <w:r>
        <w:rPr>
          <w:rFonts w:hint="eastAsia" w:ascii="宋体" w:hAnsi="宋体" w:cs="宋体"/>
          <w:sz w:val="24"/>
          <w:szCs w:val="24"/>
        </w:rPr>
        <w:t>（招标人名称）：</w:t>
      </w:r>
    </w:p>
    <w:p>
      <w:pPr>
        <w:spacing w:line="440" w:lineRule="exact"/>
        <w:ind w:firstLine="405"/>
        <w:rPr>
          <w:rFonts w:ascii="宋体" w:hAnsi="宋体" w:cs="宋体"/>
          <w:sz w:val="24"/>
          <w:szCs w:val="24"/>
        </w:rPr>
      </w:pPr>
      <w:r>
        <w:rPr>
          <w:rFonts w:hint="eastAsia" w:ascii="宋体" w:hAnsi="宋体" w:cs="宋体"/>
          <w:sz w:val="24"/>
          <w:szCs w:val="24"/>
        </w:rPr>
        <w:t>1．我方已仔细研究了</w:t>
      </w:r>
      <w:r>
        <w:rPr>
          <w:rFonts w:hint="eastAsia" w:ascii="宋体" w:hAnsi="宋体" w:cs="宋体"/>
          <w:sz w:val="24"/>
          <w:szCs w:val="24"/>
          <w:u w:val="single"/>
        </w:rPr>
        <w:t>（项目名称）</w:t>
      </w:r>
      <w:r>
        <w:rPr>
          <w:rFonts w:hint="eastAsia" w:ascii="宋体" w:hAnsi="宋体" w:cs="宋体"/>
          <w:sz w:val="24"/>
          <w:szCs w:val="24"/>
        </w:rPr>
        <w:t>监理招标项目招标文件的全部内容，愿意以《开标一览表》中的投标总报价和监理服务期限，按合同约定完成监理工作。</w:t>
      </w:r>
    </w:p>
    <w:p>
      <w:pPr>
        <w:spacing w:line="440" w:lineRule="exact"/>
        <w:ind w:firstLine="480" w:firstLineChars="200"/>
        <w:rPr>
          <w:rFonts w:ascii="宋体" w:hAnsi="宋体" w:cs="宋体"/>
          <w:sz w:val="24"/>
          <w:szCs w:val="24"/>
        </w:rPr>
      </w:pPr>
      <w:r>
        <w:rPr>
          <w:rFonts w:hint="eastAsia" w:ascii="宋体" w:hAnsi="宋体" w:cs="宋体"/>
          <w:sz w:val="24"/>
          <w:szCs w:val="24"/>
        </w:rPr>
        <w:t>2. 我方的投标文件包括下列内容：</w:t>
      </w:r>
    </w:p>
    <w:p>
      <w:pPr>
        <w:spacing w:line="400" w:lineRule="exact"/>
        <w:ind w:firstLine="405"/>
        <w:rPr>
          <w:rFonts w:ascii="宋体" w:hAnsi="宋体" w:cs="宋体"/>
          <w:sz w:val="24"/>
          <w:szCs w:val="24"/>
        </w:rPr>
      </w:pPr>
      <w:r>
        <w:rPr>
          <w:rFonts w:hint="eastAsia" w:ascii="宋体" w:hAnsi="宋体" w:cs="宋体"/>
          <w:sz w:val="24"/>
          <w:szCs w:val="24"/>
        </w:rPr>
        <w:t>（1）投标函及投标函附录；</w:t>
      </w:r>
    </w:p>
    <w:p>
      <w:pPr>
        <w:spacing w:line="400" w:lineRule="exact"/>
        <w:ind w:firstLine="405"/>
        <w:rPr>
          <w:rFonts w:ascii="宋体" w:hAnsi="宋体" w:cs="宋体"/>
          <w:sz w:val="24"/>
          <w:szCs w:val="24"/>
        </w:rPr>
      </w:pPr>
      <w:r>
        <w:rPr>
          <w:rFonts w:hint="eastAsia" w:ascii="宋体" w:hAnsi="宋体" w:cs="宋体"/>
          <w:sz w:val="24"/>
          <w:szCs w:val="24"/>
        </w:rPr>
        <w:t>（2）法定代表人身份证明或授权委托书；</w:t>
      </w:r>
    </w:p>
    <w:p>
      <w:pPr>
        <w:spacing w:line="400" w:lineRule="exact"/>
        <w:ind w:firstLine="405"/>
        <w:rPr>
          <w:rFonts w:ascii="宋体" w:hAnsi="宋体" w:cs="宋体"/>
          <w:strike/>
          <w:sz w:val="24"/>
          <w:szCs w:val="24"/>
        </w:rPr>
      </w:pPr>
      <w:r>
        <w:rPr>
          <w:rFonts w:hint="eastAsia" w:ascii="宋体" w:hAnsi="宋体" w:cs="宋体"/>
          <w:strike/>
          <w:sz w:val="24"/>
          <w:szCs w:val="24"/>
        </w:rPr>
        <w:t>（3）投标保证金；</w:t>
      </w:r>
    </w:p>
    <w:p>
      <w:pPr>
        <w:spacing w:line="400" w:lineRule="exact"/>
        <w:ind w:firstLine="405"/>
        <w:rPr>
          <w:rFonts w:ascii="宋体" w:hAnsi="宋体" w:cs="宋体"/>
          <w:sz w:val="24"/>
          <w:szCs w:val="24"/>
        </w:rPr>
      </w:pPr>
      <w:r>
        <w:rPr>
          <w:rFonts w:hint="eastAsia" w:ascii="宋体" w:hAnsi="宋体" w:cs="宋体"/>
          <w:sz w:val="24"/>
          <w:szCs w:val="24"/>
        </w:rPr>
        <w:t xml:space="preserve">（4）监理报酬清单； </w:t>
      </w:r>
    </w:p>
    <w:p>
      <w:pPr>
        <w:spacing w:line="400" w:lineRule="exact"/>
        <w:ind w:firstLine="405"/>
        <w:rPr>
          <w:rFonts w:ascii="宋体" w:hAnsi="宋体" w:cs="宋体"/>
          <w:sz w:val="24"/>
          <w:szCs w:val="24"/>
        </w:rPr>
      </w:pPr>
      <w:r>
        <w:rPr>
          <w:rFonts w:hint="eastAsia" w:ascii="宋体" w:hAnsi="宋体" w:cs="宋体"/>
          <w:sz w:val="24"/>
          <w:szCs w:val="24"/>
        </w:rPr>
        <w:t xml:space="preserve">（5）资格审查资料； </w:t>
      </w:r>
    </w:p>
    <w:p>
      <w:pPr>
        <w:spacing w:line="400" w:lineRule="exact"/>
        <w:ind w:firstLine="405"/>
        <w:rPr>
          <w:rFonts w:ascii="宋体" w:hAnsi="宋体" w:cs="宋体"/>
          <w:sz w:val="24"/>
          <w:szCs w:val="24"/>
        </w:rPr>
      </w:pPr>
      <w:r>
        <w:rPr>
          <w:rFonts w:hint="eastAsia" w:ascii="宋体" w:hAnsi="宋体" w:cs="宋体"/>
          <w:sz w:val="24"/>
          <w:szCs w:val="24"/>
        </w:rPr>
        <w:t>（6）监理大纲；</w:t>
      </w:r>
    </w:p>
    <w:p>
      <w:pPr>
        <w:spacing w:line="400" w:lineRule="exact"/>
        <w:ind w:firstLine="405"/>
        <w:rPr>
          <w:rFonts w:ascii="宋体" w:hAnsi="宋体" w:cs="宋体"/>
          <w:sz w:val="24"/>
          <w:szCs w:val="24"/>
        </w:rPr>
      </w:pPr>
      <w:r>
        <w:rPr>
          <w:rFonts w:hint="eastAsia" w:ascii="宋体" w:hAnsi="宋体" w:cs="宋体"/>
          <w:sz w:val="24"/>
          <w:szCs w:val="24"/>
        </w:rPr>
        <w:t>（7）其他资料。</w:t>
      </w:r>
    </w:p>
    <w:p>
      <w:pPr>
        <w:spacing w:line="440" w:lineRule="exact"/>
        <w:ind w:firstLine="480" w:firstLineChars="200"/>
        <w:rPr>
          <w:rFonts w:ascii="宋体" w:hAnsi="宋体" w:cs="宋体"/>
          <w:sz w:val="24"/>
          <w:szCs w:val="24"/>
        </w:rPr>
      </w:pPr>
      <w:r>
        <w:rPr>
          <w:rFonts w:hint="eastAsia" w:ascii="宋体" w:hAnsi="宋体" w:cs="宋体"/>
          <w:sz w:val="24"/>
          <w:szCs w:val="24"/>
        </w:rPr>
        <w:t>投标文件的上述组成部分如存在内容不一致的，以投标函为准。</w:t>
      </w:r>
    </w:p>
    <w:p>
      <w:pPr>
        <w:spacing w:line="440" w:lineRule="exact"/>
        <w:ind w:firstLine="480" w:firstLineChars="200"/>
        <w:rPr>
          <w:rFonts w:ascii="宋体" w:hAnsi="宋体" w:cs="宋体"/>
          <w:sz w:val="24"/>
          <w:szCs w:val="24"/>
        </w:rPr>
      </w:pPr>
      <w:r>
        <w:rPr>
          <w:rFonts w:hint="eastAsia" w:ascii="宋体" w:hAnsi="宋体" w:cs="宋体"/>
          <w:sz w:val="24"/>
          <w:szCs w:val="24"/>
        </w:rPr>
        <w:t>3．我方承诺在招标文件规定的投标有效期内不撤销投标文件。</w:t>
      </w:r>
    </w:p>
    <w:p>
      <w:pPr>
        <w:spacing w:line="440" w:lineRule="exact"/>
        <w:ind w:firstLine="480" w:firstLineChars="200"/>
        <w:rPr>
          <w:rFonts w:ascii="宋体" w:hAnsi="宋体" w:cs="宋体"/>
          <w:sz w:val="24"/>
          <w:szCs w:val="24"/>
        </w:rPr>
      </w:pPr>
      <w:r>
        <w:rPr>
          <w:rFonts w:hint="eastAsia" w:ascii="宋体" w:hAnsi="宋体" w:cs="宋体"/>
          <w:sz w:val="24"/>
          <w:szCs w:val="24"/>
        </w:rPr>
        <w:t>4．如我方中标，我方承诺：</w:t>
      </w:r>
    </w:p>
    <w:p>
      <w:pPr>
        <w:spacing w:line="440" w:lineRule="exact"/>
        <w:ind w:left="960" w:leftChars="400" w:hanging="120" w:hangingChars="50"/>
        <w:rPr>
          <w:rFonts w:ascii="宋体" w:hAnsi="宋体" w:cs="宋体"/>
          <w:sz w:val="24"/>
          <w:szCs w:val="24"/>
        </w:rPr>
      </w:pPr>
      <w:r>
        <w:rPr>
          <w:rFonts w:hint="eastAsia" w:ascii="宋体" w:hAnsi="宋体" w:cs="宋体"/>
          <w:sz w:val="24"/>
          <w:szCs w:val="24"/>
        </w:rPr>
        <w:t>（1）在收到中标通知书后30日内与你方签订合同；</w:t>
      </w:r>
    </w:p>
    <w:p>
      <w:pPr>
        <w:spacing w:line="440" w:lineRule="exact"/>
        <w:ind w:left="960" w:leftChars="400" w:hanging="120" w:hangingChars="50"/>
        <w:rPr>
          <w:rFonts w:ascii="宋体" w:hAnsi="宋体" w:cs="宋体"/>
          <w:sz w:val="24"/>
          <w:szCs w:val="24"/>
        </w:rPr>
      </w:pPr>
      <w:r>
        <w:rPr>
          <w:rFonts w:hint="eastAsia" w:ascii="宋体" w:hAnsi="宋体" w:cs="宋体"/>
          <w:sz w:val="24"/>
          <w:szCs w:val="24"/>
        </w:rPr>
        <w:t>（2）在签订合同时不向你方提出附加条件；</w:t>
      </w:r>
    </w:p>
    <w:p>
      <w:pPr>
        <w:spacing w:line="440" w:lineRule="exact"/>
        <w:ind w:left="960" w:leftChars="400" w:hanging="120" w:hangingChars="50"/>
        <w:rPr>
          <w:rFonts w:ascii="宋体" w:hAnsi="宋体" w:cs="宋体"/>
          <w:sz w:val="24"/>
          <w:szCs w:val="24"/>
        </w:rPr>
      </w:pPr>
      <w:r>
        <w:rPr>
          <w:rFonts w:hint="eastAsia" w:ascii="宋体" w:hAnsi="宋体" w:cs="宋体"/>
          <w:sz w:val="24"/>
          <w:szCs w:val="24"/>
        </w:rPr>
        <w:t>（3）按照招标文件要求提交履约保证金；</w:t>
      </w:r>
      <w:bookmarkStart w:id="204" w:name="_Toc369531694"/>
      <w:bookmarkStart w:id="205" w:name="_Toc352691658"/>
      <w:bookmarkStart w:id="206" w:name="_Toc1187"/>
    </w:p>
    <w:p>
      <w:pPr>
        <w:spacing w:line="440" w:lineRule="exact"/>
        <w:ind w:left="960" w:leftChars="400" w:hanging="120" w:hangingChars="50"/>
        <w:rPr>
          <w:rFonts w:ascii="宋体" w:hAnsi="宋体" w:cs="宋体"/>
          <w:sz w:val="24"/>
          <w:szCs w:val="24"/>
        </w:rPr>
      </w:pPr>
      <w:r>
        <w:rPr>
          <w:rFonts w:hint="eastAsia" w:ascii="宋体" w:hAnsi="宋体" w:cs="宋体"/>
          <w:sz w:val="24"/>
          <w:szCs w:val="24"/>
        </w:rPr>
        <w:t>（4）在合</w:t>
      </w:r>
      <w:bookmarkEnd w:id="204"/>
      <w:bookmarkEnd w:id="205"/>
      <w:bookmarkEnd w:id="206"/>
      <w:r>
        <w:rPr>
          <w:rFonts w:hint="eastAsia" w:ascii="宋体" w:hAnsi="宋体" w:cs="宋体"/>
          <w:sz w:val="24"/>
          <w:szCs w:val="24"/>
        </w:rPr>
        <w:t>同约定的期限内完成合同规定的全部义务。</w:t>
      </w:r>
    </w:p>
    <w:p>
      <w:pPr>
        <w:spacing w:line="440" w:lineRule="exact"/>
        <w:ind w:firstLine="480" w:firstLineChars="200"/>
        <w:rPr>
          <w:rFonts w:ascii="宋体" w:hAnsi="宋体" w:cs="宋体"/>
          <w:sz w:val="24"/>
          <w:szCs w:val="24"/>
        </w:rPr>
      </w:pPr>
      <w:r>
        <w:rPr>
          <w:rFonts w:hint="eastAsia" w:ascii="宋体" w:hAnsi="宋体" w:cs="宋体"/>
          <w:sz w:val="24"/>
          <w:szCs w:val="24"/>
        </w:rPr>
        <w:t>5．我方在此声明，所递交的投标文件及有关资料内容完整、真实和准确，且不存在第二章“投标人须知”第1.4.3项规定的任何一种情形。</w:t>
      </w:r>
    </w:p>
    <w:p>
      <w:pPr>
        <w:spacing w:line="440" w:lineRule="exact"/>
        <w:ind w:firstLine="480" w:firstLineChars="200"/>
        <w:rPr>
          <w:rFonts w:ascii="宋体" w:hAnsi="宋体" w:cs="宋体"/>
          <w:sz w:val="24"/>
          <w:szCs w:val="24"/>
        </w:rPr>
      </w:pPr>
      <w:r>
        <w:rPr>
          <w:rFonts w:hint="eastAsia" w:ascii="宋体" w:hAnsi="宋体" w:cs="宋体"/>
          <w:sz w:val="24"/>
          <w:szCs w:val="24"/>
        </w:rPr>
        <w:t>6．（其他补充说明）。</w:t>
      </w:r>
    </w:p>
    <w:p>
      <w:pPr>
        <w:pStyle w:val="2"/>
        <w:rPr>
          <w:lang w:val="en-US"/>
        </w:rPr>
      </w:pPr>
    </w:p>
    <w:p>
      <w:pPr>
        <w:spacing w:line="380" w:lineRule="exact"/>
        <w:ind w:firstLine="2880" w:firstLineChars="1200"/>
        <w:jc w:val="left"/>
        <w:rPr>
          <w:rFonts w:ascii="宋体" w:hAnsi="宋体" w:cs="宋体"/>
          <w:sz w:val="24"/>
          <w:szCs w:val="24"/>
        </w:rPr>
      </w:pPr>
      <w:bookmarkStart w:id="207" w:name="_Toc16568"/>
      <w:bookmarkEnd w:id="207"/>
      <w:bookmarkStart w:id="208" w:name="_Toc352691660"/>
      <w:bookmarkEnd w:id="208"/>
      <w:bookmarkStart w:id="209" w:name="_Toc369531695"/>
      <w:bookmarkEnd w:id="209"/>
      <w:bookmarkStart w:id="210" w:name="_Toc369531696"/>
      <w:bookmarkEnd w:id="210"/>
      <w:bookmarkStart w:id="211" w:name="_Toc352691659"/>
      <w:bookmarkEnd w:id="211"/>
      <w:bookmarkStart w:id="212" w:name="_Toc16824"/>
      <w:bookmarkEnd w:id="212"/>
      <w:r>
        <w:rPr>
          <w:rFonts w:hint="eastAsia" w:ascii="宋体" w:hAnsi="宋体" w:cs="宋体"/>
          <w:sz w:val="24"/>
          <w:szCs w:val="24"/>
        </w:rPr>
        <w:t>投 标 人：（盖单位章）</w:t>
      </w:r>
    </w:p>
    <w:p>
      <w:pPr>
        <w:spacing w:line="380" w:lineRule="exact"/>
        <w:jc w:val="left"/>
        <w:rPr>
          <w:rFonts w:ascii="宋体" w:hAnsi="宋体" w:cs="宋体"/>
          <w:sz w:val="24"/>
          <w:szCs w:val="24"/>
        </w:rPr>
      </w:pPr>
      <w:r>
        <w:rPr>
          <w:rFonts w:hint="eastAsia" w:ascii="宋体" w:hAnsi="宋体" w:cs="宋体"/>
          <w:sz w:val="24"/>
          <w:szCs w:val="24"/>
        </w:rPr>
        <w:t xml:space="preserve">                        法定代表人或其委托代理人：（签字或盖章）</w:t>
      </w:r>
    </w:p>
    <w:p>
      <w:pPr>
        <w:spacing w:line="380" w:lineRule="exact"/>
        <w:ind w:firstLine="2880" w:firstLineChars="1200"/>
        <w:jc w:val="left"/>
        <w:rPr>
          <w:rFonts w:ascii="宋体" w:hAnsi="宋体" w:cs="宋体"/>
          <w:sz w:val="24"/>
          <w:szCs w:val="24"/>
        </w:rPr>
      </w:pPr>
      <w:r>
        <w:rPr>
          <w:rFonts w:hint="eastAsia" w:ascii="宋体" w:hAnsi="宋体" w:cs="宋体"/>
          <w:sz w:val="24"/>
          <w:szCs w:val="24"/>
        </w:rPr>
        <w:t>地    址：</w:t>
      </w:r>
    </w:p>
    <w:p>
      <w:pPr>
        <w:spacing w:line="380" w:lineRule="exact"/>
        <w:ind w:firstLine="2880" w:firstLineChars="1200"/>
        <w:jc w:val="left"/>
        <w:rPr>
          <w:rFonts w:ascii="宋体" w:hAnsi="宋体" w:cs="宋体"/>
          <w:sz w:val="24"/>
          <w:szCs w:val="24"/>
        </w:rPr>
      </w:pPr>
      <w:r>
        <w:rPr>
          <w:rFonts w:hint="eastAsia" w:ascii="宋体" w:hAnsi="宋体" w:cs="宋体"/>
          <w:sz w:val="24"/>
          <w:szCs w:val="24"/>
        </w:rPr>
        <w:t>网    址：</w:t>
      </w:r>
    </w:p>
    <w:p>
      <w:pPr>
        <w:spacing w:line="380" w:lineRule="exact"/>
        <w:ind w:firstLine="2880" w:firstLineChars="1200"/>
        <w:jc w:val="left"/>
        <w:rPr>
          <w:rFonts w:ascii="宋体" w:hAnsi="宋体" w:cs="宋体"/>
          <w:sz w:val="24"/>
          <w:szCs w:val="24"/>
        </w:rPr>
      </w:pPr>
      <w:r>
        <w:rPr>
          <w:rFonts w:hint="eastAsia" w:ascii="宋体" w:hAnsi="宋体" w:cs="宋体"/>
          <w:sz w:val="24"/>
          <w:szCs w:val="24"/>
        </w:rPr>
        <w:t>电    话：</w:t>
      </w:r>
    </w:p>
    <w:p>
      <w:pPr>
        <w:spacing w:line="380" w:lineRule="exact"/>
        <w:ind w:firstLine="2880" w:firstLineChars="1200"/>
        <w:jc w:val="left"/>
        <w:rPr>
          <w:rFonts w:ascii="宋体" w:hAnsi="宋体" w:cs="宋体"/>
          <w:sz w:val="24"/>
          <w:szCs w:val="24"/>
        </w:rPr>
      </w:pPr>
      <w:r>
        <w:rPr>
          <w:rFonts w:hint="eastAsia" w:ascii="宋体" w:hAnsi="宋体" w:cs="宋体"/>
          <w:sz w:val="24"/>
          <w:szCs w:val="24"/>
        </w:rPr>
        <w:t>传    真：</w:t>
      </w:r>
    </w:p>
    <w:p>
      <w:pPr>
        <w:spacing w:line="380" w:lineRule="exact"/>
        <w:ind w:firstLine="2880" w:firstLineChars="1200"/>
        <w:jc w:val="left"/>
        <w:rPr>
          <w:rFonts w:ascii="宋体" w:hAnsi="宋体" w:cs="宋体"/>
          <w:sz w:val="24"/>
          <w:szCs w:val="24"/>
        </w:rPr>
      </w:pPr>
      <w:r>
        <w:rPr>
          <w:rFonts w:hint="eastAsia" w:ascii="宋体" w:hAnsi="宋体" w:cs="宋体"/>
          <w:sz w:val="24"/>
          <w:szCs w:val="24"/>
        </w:rPr>
        <w:t>邮政编码：</w:t>
      </w:r>
    </w:p>
    <w:p>
      <w:pPr>
        <w:spacing w:line="380" w:lineRule="exact"/>
        <w:ind w:firstLine="5400" w:firstLineChars="2250"/>
        <w:jc w:val="center"/>
        <w:rPr>
          <w:rFonts w:ascii="宋体" w:hAnsi="宋体" w:cs="宋体"/>
          <w:sz w:val="24"/>
          <w:szCs w:val="24"/>
        </w:rPr>
      </w:pPr>
      <w:r>
        <w:rPr>
          <w:rFonts w:hint="eastAsia" w:ascii="宋体" w:hAnsi="宋体" w:cs="宋体"/>
          <w:sz w:val="24"/>
          <w:szCs w:val="24"/>
        </w:rPr>
        <w:t>年   月   日</w:t>
      </w:r>
    </w:p>
    <w:p>
      <w:pPr>
        <w:spacing w:line="440" w:lineRule="exact"/>
        <w:rPr>
          <w:rFonts w:ascii="宋体" w:hAnsi="宋体" w:cs="宋体"/>
          <w:sz w:val="20"/>
        </w:rPr>
      </w:pPr>
      <w:bookmarkStart w:id="213" w:name="_Toc517280603"/>
      <w:bookmarkStart w:id="214" w:name="_Toc391394112"/>
      <w:bookmarkStart w:id="215" w:name="_Toc385943066"/>
      <w:bookmarkStart w:id="216" w:name="_Toc482188652"/>
      <w:bookmarkStart w:id="217" w:name="_Toc359594236"/>
      <w:bookmarkStart w:id="218" w:name="_Toc370676427"/>
      <w:bookmarkStart w:id="219" w:name="_Toc361508752"/>
      <w:bookmarkStart w:id="220" w:name="_Toc352691661"/>
      <w:bookmarkStart w:id="221" w:name="_Toc300835209"/>
      <w:bookmarkStart w:id="222" w:name="_Toc144974856"/>
      <w:bookmarkStart w:id="223" w:name="_Toc247514246"/>
      <w:bookmarkStart w:id="224" w:name="_Toc384308375"/>
      <w:bookmarkStart w:id="225" w:name="_Toc247527827"/>
      <w:bookmarkStart w:id="226" w:name="_Toc152045787"/>
      <w:bookmarkStart w:id="227" w:name="_Toc17960"/>
      <w:bookmarkStart w:id="228" w:name="_Toc152042576"/>
      <w:bookmarkStart w:id="229" w:name="_Toc369531697"/>
    </w:p>
    <w:p>
      <w:pPr>
        <w:pStyle w:val="5"/>
        <w:keepNext w:val="0"/>
        <w:keepLines w:val="0"/>
        <w:ind w:firstLine="137"/>
        <w:rPr>
          <w:rFonts w:ascii="宋体" w:hAnsi="宋体" w:cs="宋体"/>
        </w:rPr>
        <w:sectPr>
          <w:footerReference r:id="rId7" w:type="default"/>
          <w:pgSz w:w="11907" w:h="16840"/>
          <w:pgMar w:top="1134" w:right="1134" w:bottom="1134" w:left="1417" w:header="851" w:footer="850" w:gutter="0"/>
          <w:cols w:space="720" w:num="1"/>
          <w:docGrid w:linePitch="326" w:charSpace="0"/>
        </w:sectPr>
      </w:pPr>
    </w:p>
    <w:bookmarkEnd w:id="213"/>
    <w:bookmarkEnd w:id="214"/>
    <w:bookmarkEnd w:id="215"/>
    <w:bookmarkEnd w:id="216"/>
    <w:bookmarkEnd w:id="217"/>
    <w:bookmarkEnd w:id="218"/>
    <w:p>
      <w:pPr>
        <w:spacing w:line="448" w:lineRule="exact"/>
        <w:jc w:val="center"/>
        <w:rPr>
          <w:rFonts w:ascii="宋体" w:hAnsi="宋体" w:cs="宋体"/>
          <w:b/>
          <w:bCs/>
          <w:sz w:val="28"/>
        </w:rPr>
      </w:pPr>
      <w:bookmarkStart w:id="230" w:name="OLE_LINK3"/>
      <w:bookmarkStart w:id="231" w:name="OLE_LINK4"/>
      <w:r>
        <w:rPr>
          <w:rFonts w:hint="eastAsia" w:ascii="宋体" w:hAnsi="宋体" w:cs="宋体"/>
          <w:b/>
          <w:bCs/>
          <w:sz w:val="28"/>
        </w:rPr>
        <w:t>（二）投标函附录</w:t>
      </w:r>
    </w:p>
    <w:tbl>
      <w:tblPr>
        <w:tblStyle w:val="2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889"/>
        <w:gridCol w:w="2687"/>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r>
              <w:rPr>
                <w:rFonts w:hint="eastAsia" w:hAnsi="宋体"/>
                <w:b/>
                <w:szCs w:val="21"/>
              </w:rPr>
              <w:t>序号</w:t>
            </w:r>
          </w:p>
        </w:tc>
        <w:tc>
          <w:tcPr>
            <w:tcW w:w="2889"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r>
              <w:rPr>
                <w:rFonts w:hint="eastAsia" w:hAnsi="宋体"/>
                <w:b/>
                <w:szCs w:val="21"/>
              </w:rPr>
              <w:t>条款名称</w:t>
            </w:r>
          </w:p>
        </w:tc>
        <w:tc>
          <w:tcPr>
            <w:tcW w:w="2687"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r>
              <w:rPr>
                <w:rFonts w:hint="eastAsia" w:hAnsi="宋体"/>
                <w:b/>
                <w:szCs w:val="21"/>
              </w:rPr>
              <w:t>约定内容</w:t>
            </w:r>
          </w:p>
        </w:tc>
        <w:tc>
          <w:tcPr>
            <w:tcW w:w="253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r>
              <w:rPr>
                <w:rFonts w:ascii="宋体" w:hAnsi="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szCs w:val="21"/>
              </w:rPr>
            </w:pPr>
            <w:r>
              <w:rPr>
                <w:szCs w:val="21"/>
              </w:rPr>
              <w:t>1</w:t>
            </w:r>
          </w:p>
        </w:tc>
        <w:tc>
          <w:tcPr>
            <w:tcW w:w="2889"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r>
              <w:rPr>
                <w:b/>
                <w:szCs w:val="21"/>
              </w:rPr>
              <w:t>总监理工程师</w:t>
            </w:r>
          </w:p>
        </w:tc>
        <w:tc>
          <w:tcPr>
            <w:tcW w:w="2687"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left"/>
              <w:rPr>
                <w:rFonts w:hint="default"/>
                <w:b/>
                <w:szCs w:val="21"/>
                <w:u w:val="single"/>
              </w:rPr>
            </w:pPr>
            <w:r>
              <w:rPr>
                <w:b/>
                <w:szCs w:val="21"/>
              </w:rPr>
              <w:t>姓名：</w:t>
            </w:r>
            <w:r>
              <w:rPr>
                <w:rFonts w:hint="eastAsia"/>
                <w:b/>
                <w:szCs w:val="21"/>
                <w:u w:val="single"/>
                <w:lang w:val="en-US" w:eastAsia="zh-CN"/>
              </w:rPr>
              <w:t xml:space="preserve">                 </w:t>
            </w:r>
          </w:p>
        </w:tc>
        <w:tc>
          <w:tcPr>
            <w:tcW w:w="253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szCs w:val="21"/>
              </w:rPr>
            </w:pPr>
            <w:r>
              <w:rPr>
                <w:szCs w:val="21"/>
              </w:rPr>
              <w:t>2</w:t>
            </w:r>
          </w:p>
        </w:tc>
        <w:tc>
          <w:tcPr>
            <w:tcW w:w="2889"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r>
              <w:rPr>
                <w:b/>
                <w:szCs w:val="21"/>
              </w:rPr>
              <w:t>监理服务期限</w:t>
            </w:r>
          </w:p>
        </w:tc>
        <w:tc>
          <w:tcPr>
            <w:tcW w:w="2687"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r>
              <w:rPr>
                <w:rFonts w:hint="eastAsia"/>
                <w:szCs w:val="21"/>
              </w:rPr>
              <w:t>完全响应招标文件要求</w:t>
            </w:r>
          </w:p>
        </w:tc>
        <w:tc>
          <w:tcPr>
            <w:tcW w:w="253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szCs w:val="21"/>
              </w:rPr>
            </w:pPr>
            <w:r>
              <w:rPr>
                <w:szCs w:val="21"/>
              </w:rPr>
              <w:t>3</w:t>
            </w:r>
          </w:p>
        </w:tc>
        <w:tc>
          <w:tcPr>
            <w:tcW w:w="2889"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r>
              <w:rPr>
                <w:b/>
                <w:szCs w:val="21"/>
              </w:rPr>
              <w:t>合同价款确定方式</w:t>
            </w:r>
          </w:p>
        </w:tc>
        <w:tc>
          <w:tcPr>
            <w:tcW w:w="2687"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r>
              <w:rPr>
                <w:rFonts w:hint="eastAsia"/>
                <w:b/>
                <w:szCs w:val="21"/>
              </w:rPr>
              <w:t>响应合同条款</w:t>
            </w:r>
          </w:p>
        </w:tc>
        <w:tc>
          <w:tcPr>
            <w:tcW w:w="253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szCs w:val="21"/>
              </w:rPr>
            </w:pPr>
            <w:r>
              <w:rPr>
                <w:rFonts w:hint="eastAsia"/>
                <w:szCs w:val="21"/>
              </w:rPr>
              <w:t>4</w:t>
            </w:r>
          </w:p>
        </w:tc>
        <w:tc>
          <w:tcPr>
            <w:tcW w:w="2889"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r>
              <w:rPr>
                <w:rFonts w:hint="eastAsia"/>
                <w:b/>
                <w:szCs w:val="21"/>
              </w:rPr>
              <w:t>质量标准</w:t>
            </w:r>
          </w:p>
        </w:tc>
        <w:tc>
          <w:tcPr>
            <w:tcW w:w="2687"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p>
        </w:tc>
        <w:tc>
          <w:tcPr>
            <w:tcW w:w="253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jc w:val="center"/>
            </w:pPr>
            <w:r>
              <w:rPr>
                <w:rFonts w:hint="eastAsia"/>
              </w:rPr>
              <w:t>5</w:t>
            </w:r>
          </w:p>
        </w:tc>
        <w:tc>
          <w:tcPr>
            <w:tcW w:w="2889" w:type="dxa"/>
            <w:tcBorders>
              <w:top w:val="single" w:color="auto" w:sz="4" w:space="0"/>
              <w:left w:val="single" w:color="auto" w:sz="4" w:space="0"/>
              <w:bottom w:val="single" w:color="auto" w:sz="4" w:space="0"/>
              <w:right w:val="single" w:color="auto" w:sz="4" w:space="0"/>
            </w:tcBorders>
            <w:noWrap/>
            <w:vAlign w:val="center"/>
          </w:tcPr>
          <w:p>
            <w:pPr>
              <w:jc w:val="center"/>
              <w:rPr>
                <w:b/>
              </w:rPr>
            </w:pPr>
            <w:r>
              <w:rPr>
                <w:rFonts w:hint="eastAsia"/>
                <w:b/>
                <w:bCs/>
                <w:szCs w:val="21"/>
              </w:rPr>
              <w:t>投标有效期</w:t>
            </w:r>
          </w:p>
        </w:tc>
        <w:tc>
          <w:tcPr>
            <w:tcW w:w="2687"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253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jc w:val="center"/>
            </w:pPr>
            <w:r>
              <w:rPr>
                <w:rFonts w:hint="eastAsia"/>
              </w:rPr>
              <w:t>6</w:t>
            </w:r>
          </w:p>
        </w:tc>
        <w:tc>
          <w:tcPr>
            <w:tcW w:w="2889"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jc w:val="center"/>
              <w:rPr>
                <w:b/>
              </w:rPr>
            </w:pPr>
            <w:r>
              <w:rPr>
                <w:rFonts w:hint="eastAsia"/>
                <w:b/>
                <w:bCs/>
                <w:szCs w:val="21"/>
              </w:rPr>
              <w:t>投标内容</w:t>
            </w:r>
          </w:p>
        </w:tc>
        <w:tc>
          <w:tcPr>
            <w:tcW w:w="2687"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jc w:val="center"/>
            </w:pPr>
            <w:r>
              <w:rPr>
                <w:rFonts w:hint="eastAsia"/>
                <w:szCs w:val="21"/>
              </w:rPr>
              <w:t>完全响应招标文件要求</w:t>
            </w:r>
          </w:p>
        </w:tc>
        <w:tc>
          <w:tcPr>
            <w:tcW w:w="253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jc w:val="center"/>
            </w:pPr>
            <w:r>
              <w:rPr>
                <w:rFonts w:hint="eastAsia"/>
              </w:rPr>
              <w:t>7</w:t>
            </w:r>
          </w:p>
        </w:tc>
        <w:tc>
          <w:tcPr>
            <w:tcW w:w="2889"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jc w:val="center"/>
              <w:rPr>
                <w:b/>
              </w:rPr>
            </w:pPr>
            <w:r>
              <w:rPr>
                <w:rFonts w:hint="eastAsia"/>
                <w:b/>
                <w:bCs/>
                <w:szCs w:val="21"/>
              </w:rPr>
              <w:t>投标报价</w:t>
            </w:r>
          </w:p>
        </w:tc>
        <w:tc>
          <w:tcPr>
            <w:tcW w:w="2687"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jc w:val="center"/>
            </w:pPr>
            <w:r>
              <w:rPr>
                <w:rFonts w:hint="eastAsia" w:ascii="宋体" w:hAnsi="宋体" w:cs="宋体"/>
                <w:bCs/>
                <w:sz w:val="24"/>
                <w:szCs w:val="24"/>
              </w:rPr>
              <w:t>投标报价：</w:t>
            </w:r>
            <w:r>
              <w:rPr>
                <w:rFonts w:hint="eastAsia" w:ascii="宋体" w:hAnsi="宋体" w:cs="宋体"/>
                <w:bCs/>
                <w:sz w:val="24"/>
                <w:szCs w:val="24"/>
                <w:u w:val="single"/>
              </w:rPr>
              <w:t xml:space="preserve">         元</w:t>
            </w:r>
          </w:p>
        </w:tc>
        <w:tc>
          <w:tcPr>
            <w:tcW w:w="2535"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b/>
                <w:szCs w:val="21"/>
              </w:rPr>
            </w:pPr>
            <w:r>
              <w:rPr>
                <w:rFonts w:hint="eastAsia" w:ascii="宋体" w:hAnsi="宋体" w:cs="宋体"/>
                <w:szCs w:val="21"/>
              </w:rPr>
              <w:t>投标报价以元为单位，保留小数点后二位，第三位四舍五入。</w:t>
            </w:r>
          </w:p>
        </w:tc>
      </w:tr>
    </w:tbl>
    <w:p>
      <w:pPr>
        <w:spacing w:line="480" w:lineRule="exact"/>
        <w:ind w:firstLine="3675" w:firstLineChars="1750"/>
        <w:rPr>
          <w:rFonts w:hAnsi="宋体"/>
          <w:szCs w:val="21"/>
        </w:rPr>
      </w:pPr>
    </w:p>
    <w:bookmarkEnd w:id="230"/>
    <w:bookmarkEnd w:id="231"/>
    <w:p>
      <w:pPr>
        <w:spacing w:line="480" w:lineRule="exact"/>
        <w:ind w:firstLine="3675" w:firstLineChars="1750"/>
        <w:rPr>
          <w:rFonts w:hAnsi="宋体"/>
          <w:szCs w:val="21"/>
        </w:rPr>
      </w:pPr>
    </w:p>
    <w:p>
      <w:pPr>
        <w:spacing w:line="480" w:lineRule="exact"/>
        <w:ind w:firstLine="3675" w:firstLineChars="1750"/>
        <w:rPr>
          <w:rFonts w:hAnsi="宋体"/>
          <w:szCs w:val="21"/>
        </w:rPr>
      </w:pPr>
    </w:p>
    <w:p>
      <w:pPr>
        <w:spacing w:line="440" w:lineRule="exact"/>
        <w:ind w:firstLine="5400" w:firstLineChars="2250"/>
        <w:jc w:val="right"/>
        <w:rPr>
          <w:rFonts w:ascii="宋体" w:hAnsi="宋体" w:cs="宋体"/>
          <w:sz w:val="24"/>
          <w:szCs w:val="24"/>
        </w:rPr>
      </w:pPr>
    </w:p>
    <w:p>
      <w:pPr>
        <w:pStyle w:val="4"/>
        <w:keepNext w:val="0"/>
        <w:keepLines w:val="0"/>
        <w:jc w:val="center"/>
        <w:rPr>
          <w:rFonts w:ascii="宋体" w:hAnsi="宋体" w:eastAsia="宋体" w:cs="宋体"/>
        </w:rPr>
      </w:pPr>
      <w:bookmarkStart w:id="232" w:name="_Toc517280604"/>
      <w:r>
        <w:rPr>
          <w:rFonts w:hint="eastAsia" w:ascii="宋体" w:hAnsi="宋体" w:eastAsia="宋体" w:cs="宋体"/>
        </w:rPr>
        <w:br w:type="page"/>
      </w:r>
      <w:bookmarkStart w:id="233" w:name="_Toc15912_WPSOffice_Level1"/>
      <w:bookmarkStart w:id="234" w:name="_Toc5323_WPSOffice_Level1"/>
      <w:bookmarkStart w:id="235" w:name="_Toc17626_WPSOffice_Level1"/>
      <w:r>
        <w:rPr>
          <w:rFonts w:hint="eastAsia" w:ascii="宋体" w:hAnsi="宋体" w:eastAsia="宋体" w:cs="宋体"/>
        </w:rPr>
        <w:t>二</w:t>
      </w:r>
      <w:bookmarkEnd w:id="219"/>
      <w:bookmarkEnd w:id="220"/>
      <w:bookmarkEnd w:id="221"/>
      <w:bookmarkEnd w:id="222"/>
      <w:bookmarkEnd w:id="223"/>
      <w:bookmarkEnd w:id="224"/>
      <w:bookmarkEnd w:id="225"/>
      <w:bookmarkEnd w:id="226"/>
      <w:bookmarkEnd w:id="227"/>
      <w:bookmarkEnd w:id="228"/>
      <w:bookmarkEnd w:id="229"/>
      <w:r>
        <w:rPr>
          <w:rFonts w:hint="eastAsia" w:ascii="宋体" w:hAnsi="宋体" w:eastAsia="宋体" w:cs="宋体"/>
        </w:rPr>
        <w:t>、法定代表人身份证明</w:t>
      </w:r>
      <w:bookmarkEnd w:id="232"/>
      <w:bookmarkEnd w:id="233"/>
      <w:bookmarkEnd w:id="234"/>
      <w:bookmarkEnd w:id="235"/>
      <w:r>
        <w:rPr>
          <w:rFonts w:hint="eastAsia" w:ascii="宋体" w:hAnsi="宋体" w:eastAsia="宋体" w:cs="宋体"/>
        </w:rPr>
        <w:t>（格式可自定）</w:t>
      </w:r>
    </w:p>
    <w:p>
      <w:pPr>
        <w:spacing w:line="440" w:lineRule="exact"/>
        <w:rPr>
          <w:rFonts w:ascii="宋体" w:hAnsi="宋体" w:cs="宋体"/>
        </w:rPr>
      </w:pPr>
    </w:p>
    <w:p>
      <w:pPr>
        <w:spacing w:line="440" w:lineRule="exact"/>
        <w:rPr>
          <w:rFonts w:ascii="宋体" w:hAnsi="宋体" w:cs="宋体"/>
          <w:sz w:val="24"/>
          <w:szCs w:val="24"/>
        </w:rPr>
      </w:pPr>
      <w:bookmarkStart w:id="236" w:name="_Toc517280605"/>
      <w:r>
        <w:rPr>
          <w:rFonts w:hint="eastAsia" w:ascii="宋体" w:hAnsi="宋体" w:cs="宋体"/>
          <w:sz w:val="24"/>
          <w:szCs w:val="24"/>
        </w:rPr>
        <w:t>投标人名称：</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pPr>
        <w:spacing w:line="440" w:lineRule="exact"/>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性别：</w:t>
      </w:r>
      <w:bookmarkStart w:id="237" w:name="_Toc27897"/>
      <w:bookmarkStart w:id="238" w:name="_Toc369531698"/>
      <w:bookmarkStart w:id="239" w:name="_Toc352691662"/>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年</w:t>
      </w:r>
      <w:bookmarkEnd w:id="237"/>
      <w:bookmarkEnd w:id="238"/>
      <w:bookmarkEnd w:id="239"/>
      <w:r>
        <w:rPr>
          <w:rFonts w:hint="eastAsia" w:ascii="宋体" w:hAnsi="宋体" w:cs="宋体"/>
          <w:sz w:val="24"/>
          <w:szCs w:val="24"/>
        </w:rPr>
        <w:t>龄</w:t>
      </w:r>
      <w:bookmarkStart w:id="240" w:name="_Toc152042578"/>
      <w:bookmarkStart w:id="241" w:name="_Toc15573"/>
      <w:bookmarkStart w:id="242" w:name="_Toc152045789"/>
      <w:bookmarkStart w:id="243" w:name="_Toc300835211"/>
      <w:bookmarkStart w:id="244" w:name="_Toc247527829"/>
      <w:bookmarkStart w:id="245" w:name="_Toc361508754"/>
      <w:bookmarkStart w:id="246" w:name="_Toc384308377"/>
      <w:bookmarkStart w:id="247" w:name="_Toc369531699"/>
      <w:bookmarkStart w:id="248" w:name="_Toc352691663"/>
      <w:bookmarkStart w:id="249" w:name="_Toc247514248"/>
      <w:bookmarkStart w:id="250" w:name="_Toc144974858"/>
      <w:r>
        <w:rPr>
          <w:rFonts w:hint="eastAsia" w:ascii="宋体" w:hAnsi="宋体" w:cs="宋体"/>
          <w:sz w:val="24"/>
          <w:szCs w:val="24"/>
        </w:rPr>
        <w:t>：</w:t>
      </w:r>
      <w:bookmarkEnd w:id="240"/>
      <w:bookmarkEnd w:id="241"/>
      <w:bookmarkEnd w:id="242"/>
      <w:bookmarkEnd w:id="243"/>
      <w:bookmarkEnd w:id="244"/>
      <w:bookmarkEnd w:id="245"/>
      <w:bookmarkEnd w:id="246"/>
      <w:bookmarkEnd w:id="247"/>
      <w:bookmarkEnd w:id="248"/>
      <w:bookmarkEnd w:id="249"/>
      <w:bookmarkEnd w:id="250"/>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职务：</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pPr>
        <w:spacing w:line="440" w:lineRule="exact"/>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（投标人名称）的法定代表人。</w:t>
      </w:r>
    </w:p>
    <w:p>
      <w:pPr>
        <w:spacing w:line="440" w:lineRule="exact"/>
        <w:ind w:firstLine="480" w:firstLineChars="200"/>
        <w:rPr>
          <w:rFonts w:ascii="宋体" w:hAnsi="宋体" w:cs="宋体"/>
          <w:sz w:val="24"/>
          <w:szCs w:val="24"/>
        </w:rPr>
      </w:pPr>
      <w:r>
        <w:rPr>
          <w:rFonts w:hint="eastAsia" w:ascii="宋体" w:hAnsi="宋体" w:cs="宋体"/>
          <w:sz w:val="24"/>
          <w:szCs w:val="24"/>
        </w:rPr>
        <w:t>特此证明。</w:t>
      </w: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附：法定代表人身份证原件正反面清晰扫描件。</w:t>
      </w: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注：本身份证明需由投标人加盖单位公章。</w:t>
      </w: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jc w:val="center"/>
        <w:rPr>
          <w:rFonts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ab/>
      </w:r>
      <w:r>
        <w:rPr>
          <w:rFonts w:hint="eastAsia" w:ascii="宋体" w:hAnsi="宋体" w:cs="宋体"/>
          <w:sz w:val="24"/>
          <w:szCs w:val="24"/>
        </w:rPr>
        <w:t>（盖单位章）</w:t>
      </w:r>
    </w:p>
    <w:p>
      <w:pPr>
        <w:spacing w:line="440" w:lineRule="exact"/>
        <w:rPr>
          <w:rFonts w:ascii="宋体" w:hAnsi="宋体" w:cs="宋体"/>
          <w:sz w:val="24"/>
          <w:szCs w:val="24"/>
        </w:rPr>
      </w:pPr>
    </w:p>
    <w:p>
      <w:pPr>
        <w:spacing w:line="440" w:lineRule="exact"/>
        <w:ind w:firstLine="5280" w:firstLineChars="2200"/>
        <w:rPr>
          <w:rFonts w:ascii="宋体" w:hAnsi="宋体" w:cs="宋体"/>
          <w:sz w:val="24"/>
          <w:szCs w:val="24"/>
        </w:rPr>
      </w:pPr>
      <w:r>
        <w:rPr>
          <w:rFonts w:hint="eastAsia" w:ascii="宋体" w:hAnsi="宋体" w:cs="宋体"/>
          <w:sz w:val="24"/>
          <w:szCs w:val="24"/>
        </w:rPr>
        <w:t>年   月   日</w:t>
      </w:r>
    </w:p>
    <w:p>
      <w:pPr>
        <w:pStyle w:val="4"/>
        <w:keepNext w:val="0"/>
        <w:keepLines w:val="0"/>
        <w:jc w:val="center"/>
        <w:rPr>
          <w:rFonts w:ascii="宋体" w:hAnsi="宋体" w:eastAsia="宋体" w:cs="宋体"/>
        </w:rPr>
      </w:pPr>
      <w:r>
        <w:rPr>
          <w:rFonts w:hint="eastAsia" w:ascii="宋体" w:hAnsi="宋体" w:eastAsia="宋体" w:cs="宋体"/>
        </w:rPr>
        <w:br w:type="page"/>
      </w:r>
      <w:bookmarkStart w:id="251" w:name="_Toc22443_WPSOffice_Level1"/>
      <w:bookmarkStart w:id="252" w:name="_Toc21692_WPSOffice_Level1"/>
      <w:bookmarkStart w:id="253" w:name="_Toc8685_WPSOffice_Level1"/>
      <w:r>
        <w:rPr>
          <w:rFonts w:hint="eastAsia" w:ascii="宋体" w:hAnsi="宋体" w:eastAsia="宋体" w:cs="宋体"/>
        </w:rPr>
        <w:t>二、授权委托书</w:t>
      </w:r>
      <w:bookmarkEnd w:id="236"/>
      <w:bookmarkEnd w:id="251"/>
      <w:bookmarkEnd w:id="252"/>
      <w:bookmarkEnd w:id="253"/>
      <w:r>
        <w:rPr>
          <w:rFonts w:hint="eastAsia" w:ascii="宋体" w:hAnsi="宋体" w:eastAsia="宋体" w:cs="宋体"/>
        </w:rPr>
        <w:t>（格式可自定）</w:t>
      </w:r>
    </w:p>
    <w:p>
      <w:pPr>
        <w:spacing w:line="440" w:lineRule="exact"/>
        <w:rPr>
          <w:rFonts w:ascii="宋体" w:hAnsi="宋体" w:cs="宋体"/>
        </w:rPr>
      </w:pPr>
    </w:p>
    <w:p>
      <w:pPr>
        <w:topLinePunct/>
        <w:spacing w:line="440" w:lineRule="exact"/>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（姓名）系</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（投标人名称）的法定代表人，现委托</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（姓名）为我方代理人。代理人根据授权，以我方名义签署、澄清确认、递交、撤回、修改监理招标项目投标文件、签订合同和处理有关事宜，其法律后果由我方承担。</w:t>
      </w:r>
    </w:p>
    <w:p>
      <w:pPr>
        <w:spacing w:line="440" w:lineRule="exact"/>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w:t>
      </w:r>
    </w:p>
    <w:p>
      <w:pPr>
        <w:spacing w:line="440" w:lineRule="exact"/>
        <w:ind w:firstLine="480" w:firstLineChars="200"/>
        <w:rPr>
          <w:rFonts w:ascii="宋体" w:hAnsi="宋体" w:cs="宋体"/>
          <w:sz w:val="24"/>
          <w:szCs w:val="24"/>
        </w:rPr>
      </w:pPr>
      <w:r>
        <w:rPr>
          <w:rFonts w:hint="eastAsia" w:ascii="宋体" w:hAnsi="宋体" w:cs="宋体"/>
          <w:sz w:val="24"/>
          <w:szCs w:val="24"/>
        </w:rPr>
        <w:t>代理人无转委托权。</w:t>
      </w:r>
    </w:p>
    <w:p>
      <w:pPr>
        <w:spacing w:line="440" w:lineRule="exact"/>
        <w:ind w:firstLine="480" w:firstLineChars="200"/>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附：法定代表人身份证原件正反面清晰扫描件及委托代理人身份证原件正反面清晰扫描件。</w:t>
      </w:r>
    </w:p>
    <w:p>
      <w:pPr>
        <w:spacing w:line="440" w:lineRule="exact"/>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rPr>
        <w:t>注：本授权委托书需由投标人加盖单位公章并由其法定代表人和委托代理人签字或盖章。</w:t>
      </w:r>
    </w:p>
    <w:p>
      <w:pPr>
        <w:spacing w:line="440" w:lineRule="exact"/>
        <w:rPr>
          <w:rFonts w:ascii="宋体" w:hAnsi="宋体" w:cs="宋体"/>
          <w:sz w:val="24"/>
          <w:szCs w:val="24"/>
        </w:rPr>
      </w:pPr>
    </w:p>
    <w:p>
      <w:pPr>
        <w:spacing w:line="440" w:lineRule="exact"/>
        <w:ind w:firstLine="3076" w:firstLineChars="1282"/>
        <w:rPr>
          <w:rFonts w:ascii="宋体" w:hAnsi="宋体" w:cs="宋体"/>
          <w:sz w:val="24"/>
          <w:szCs w:val="24"/>
        </w:rPr>
      </w:pPr>
      <w:r>
        <w:rPr>
          <w:rFonts w:hint="eastAsia" w:ascii="宋体" w:hAnsi="宋体" w:cs="宋体"/>
          <w:sz w:val="24"/>
          <w:szCs w:val="24"/>
        </w:rPr>
        <w:t>投  标  人：</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（盖单位章）</w:t>
      </w:r>
    </w:p>
    <w:p>
      <w:pPr>
        <w:spacing w:line="440" w:lineRule="exact"/>
        <w:ind w:firstLine="3076" w:firstLineChars="1282"/>
        <w:rPr>
          <w:rFonts w:ascii="宋体" w:hAnsi="宋体" w:cs="宋体"/>
          <w:sz w:val="24"/>
          <w:szCs w:val="24"/>
        </w:rPr>
      </w:pPr>
    </w:p>
    <w:p>
      <w:pPr>
        <w:spacing w:line="440" w:lineRule="exact"/>
        <w:ind w:firstLine="3074" w:firstLineChars="1281"/>
        <w:jc w:val="lef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（签字或盖章）</w:t>
      </w:r>
    </w:p>
    <w:p>
      <w:pPr>
        <w:spacing w:line="440" w:lineRule="exact"/>
        <w:ind w:firstLine="3076" w:firstLineChars="1282"/>
        <w:rPr>
          <w:rFonts w:ascii="宋体" w:hAnsi="宋体" w:cs="宋体"/>
          <w:sz w:val="24"/>
          <w:szCs w:val="24"/>
        </w:rPr>
      </w:pPr>
    </w:p>
    <w:p>
      <w:pPr>
        <w:spacing w:line="440" w:lineRule="exact"/>
        <w:ind w:firstLine="3076" w:firstLineChars="1282"/>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pPr>
        <w:spacing w:line="440" w:lineRule="exact"/>
        <w:ind w:firstLine="3076" w:firstLineChars="1282"/>
        <w:rPr>
          <w:rFonts w:ascii="宋体" w:hAnsi="宋体" w:cs="宋体"/>
          <w:sz w:val="24"/>
          <w:szCs w:val="24"/>
        </w:rPr>
      </w:pPr>
    </w:p>
    <w:p>
      <w:pPr>
        <w:spacing w:line="440" w:lineRule="exact"/>
        <w:ind w:firstLine="3076" w:firstLineChars="1282"/>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rPr>
        <w:t>（签字或盖章）</w:t>
      </w:r>
    </w:p>
    <w:p>
      <w:pPr>
        <w:spacing w:line="440" w:lineRule="exact"/>
        <w:ind w:firstLine="3076" w:firstLineChars="1282"/>
        <w:rPr>
          <w:rFonts w:ascii="宋体" w:hAnsi="宋体" w:cs="宋体"/>
          <w:sz w:val="24"/>
          <w:szCs w:val="24"/>
        </w:rPr>
      </w:pPr>
    </w:p>
    <w:p>
      <w:pPr>
        <w:spacing w:line="440" w:lineRule="exact"/>
        <w:ind w:firstLine="3076" w:firstLineChars="1282"/>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p>
    <w:p>
      <w:pPr>
        <w:spacing w:line="440" w:lineRule="exact"/>
        <w:ind w:firstLine="3076" w:firstLineChars="1282"/>
        <w:rPr>
          <w:rFonts w:ascii="宋体" w:hAnsi="宋体" w:cs="宋体"/>
          <w:sz w:val="24"/>
          <w:szCs w:val="24"/>
        </w:rPr>
      </w:pPr>
    </w:p>
    <w:p>
      <w:pPr>
        <w:spacing w:line="440" w:lineRule="exact"/>
        <w:ind w:firstLine="3076" w:firstLineChars="1282"/>
        <w:rPr>
          <w:rFonts w:ascii="宋体" w:hAnsi="宋体" w:cs="宋体"/>
          <w:sz w:val="24"/>
          <w:szCs w:val="24"/>
        </w:rPr>
      </w:pPr>
    </w:p>
    <w:p>
      <w:pPr>
        <w:spacing w:line="440" w:lineRule="exact"/>
        <w:ind w:firstLine="4636" w:firstLineChars="1932"/>
        <w:jc w:val="right"/>
        <w:rPr>
          <w:rFonts w:ascii="宋体" w:hAnsi="宋体" w:cs="宋体"/>
        </w:rPr>
      </w:pPr>
      <w:r>
        <w:rPr>
          <w:rFonts w:hint="eastAsia" w:ascii="宋体" w:hAnsi="宋体" w:cs="宋体"/>
          <w:sz w:val="24"/>
          <w:szCs w:val="24"/>
        </w:rPr>
        <w:t>年   月   日</w:t>
      </w:r>
    </w:p>
    <w:p>
      <w:pPr>
        <w:spacing w:line="440" w:lineRule="exact"/>
        <w:jc w:val="center"/>
        <w:rPr>
          <w:rFonts w:ascii="宋体" w:hAnsi="宋体" w:cs="宋体"/>
          <w:b/>
          <w:bCs/>
          <w:sz w:val="30"/>
          <w:szCs w:val="30"/>
        </w:rPr>
      </w:pPr>
      <w:r>
        <w:rPr>
          <w:rFonts w:hint="eastAsia" w:ascii="宋体" w:hAnsi="宋体" w:cs="宋体"/>
        </w:rPr>
        <w:br w:type="page"/>
      </w:r>
      <w:bookmarkStart w:id="254" w:name="_Toc51862252"/>
      <w:bookmarkStart w:id="255" w:name="_Toc517280606"/>
      <w:bookmarkStart w:id="256" w:name="_Toc26885_WPSOffice_Level1"/>
      <w:bookmarkStart w:id="257" w:name="_Toc10562_WPSOffice_Level1"/>
      <w:bookmarkStart w:id="258" w:name="_Toc15443_WPSOffice_Level1"/>
      <w:r>
        <w:rPr>
          <w:rFonts w:hint="eastAsia" w:ascii="宋体" w:hAnsi="宋体" w:cs="宋体"/>
          <w:b/>
          <w:bCs/>
          <w:strike/>
          <w:sz w:val="30"/>
          <w:szCs w:val="30"/>
        </w:rPr>
        <w:t>三</w:t>
      </w:r>
      <w:r>
        <w:rPr>
          <w:rFonts w:ascii="宋体" w:hAnsi="宋体" w:cs="宋体"/>
          <w:b/>
          <w:bCs/>
          <w:strike/>
          <w:sz w:val="30"/>
          <w:szCs w:val="30"/>
        </w:rPr>
        <w:t>、投标保证金</w:t>
      </w:r>
      <w:bookmarkEnd w:id="254"/>
    </w:p>
    <w:p>
      <w:pPr>
        <w:spacing w:line="440" w:lineRule="exact"/>
        <w:ind w:firstLine="5819"/>
        <w:jc w:val="center"/>
        <w:rPr>
          <w:rFonts w:ascii="宋体" w:hAnsi="宋体" w:cs="宋体"/>
          <w:b/>
          <w:bCs/>
          <w:sz w:val="30"/>
          <w:szCs w:val="30"/>
        </w:rPr>
      </w:pPr>
    </w:p>
    <w:p>
      <w:pPr>
        <w:pStyle w:val="4"/>
        <w:jc w:val="center"/>
        <w:rPr>
          <w:rFonts w:ascii="宋体" w:hAnsi="宋体" w:eastAsia="宋体" w:cs="宋体"/>
        </w:rPr>
      </w:pPr>
      <w:r>
        <w:rPr>
          <w:rFonts w:hint="eastAsia" w:ascii="宋体" w:hAnsi="宋体" w:eastAsia="宋体" w:cs="宋体"/>
        </w:rPr>
        <w:br w:type="page"/>
      </w:r>
      <w:r>
        <w:rPr>
          <w:rFonts w:hint="eastAsia" w:ascii="Times New Roman" w:hAnsi="Times New Roman"/>
        </w:rPr>
        <w:t>四</w:t>
      </w:r>
      <w:r>
        <w:rPr>
          <w:rFonts w:hint="eastAsia" w:ascii="宋体" w:hAnsi="宋体" w:eastAsia="宋体" w:cs="宋体"/>
        </w:rPr>
        <w:t>、</w:t>
      </w:r>
      <w:r>
        <w:rPr>
          <w:rFonts w:hint="eastAsia" w:ascii="宋体" w:hAnsi="宋体" w:eastAsia="宋体" w:cs="宋体"/>
          <w:bCs/>
        </w:rPr>
        <w:t>监理报酬清单</w:t>
      </w:r>
      <w:bookmarkEnd w:id="255"/>
      <w:bookmarkEnd w:id="256"/>
      <w:bookmarkEnd w:id="257"/>
      <w:bookmarkEnd w:id="258"/>
      <w:r>
        <w:rPr>
          <w:rFonts w:hint="eastAsia" w:ascii="宋体" w:hAnsi="宋体" w:eastAsia="宋体" w:cs="宋体"/>
          <w:bCs/>
          <w:kern w:val="0"/>
          <w:sz w:val="30"/>
          <w:szCs w:val="30"/>
        </w:rPr>
        <w:t>（格式可自定）</w:t>
      </w:r>
    </w:p>
    <w:p>
      <w:pPr>
        <w:spacing w:line="440" w:lineRule="exact"/>
        <w:ind w:firstLine="480" w:firstLineChars="200"/>
        <w:rPr>
          <w:rFonts w:ascii="宋体" w:hAnsi="宋体" w:cs="宋体"/>
          <w:sz w:val="24"/>
          <w:szCs w:val="24"/>
        </w:rPr>
      </w:pPr>
      <w:r>
        <w:rPr>
          <w:rFonts w:hint="eastAsia" w:ascii="宋体" w:hAnsi="宋体" w:cs="宋体"/>
          <w:sz w:val="24"/>
          <w:szCs w:val="24"/>
        </w:rPr>
        <w:t>1. 监理报酬清单说明</w:t>
      </w:r>
    </w:p>
    <w:p>
      <w:pPr>
        <w:spacing w:line="440" w:lineRule="exact"/>
        <w:ind w:firstLine="480" w:firstLineChars="200"/>
        <w:rPr>
          <w:rFonts w:ascii="宋体" w:hAnsi="宋体" w:cs="宋体"/>
          <w:sz w:val="24"/>
          <w:szCs w:val="24"/>
        </w:rPr>
      </w:pPr>
      <w:r>
        <w:rPr>
          <w:rFonts w:hint="eastAsia" w:ascii="宋体" w:hAnsi="宋体" w:cs="宋体"/>
          <w:sz w:val="24"/>
          <w:szCs w:val="24"/>
        </w:rPr>
        <w:t>2. 监理报酬清单</w:t>
      </w:r>
    </w:p>
    <w:p>
      <w:pPr>
        <w:spacing w:line="440" w:lineRule="exact"/>
        <w:ind w:firstLine="480" w:firstLineChars="200"/>
        <w:jc w:val="right"/>
        <w:rPr>
          <w:rFonts w:ascii="宋体" w:hAnsi="宋体" w:cs="宋体"/>
          <w:sz w:val="24"/>
          <w:szCs w:val="24"/>
        </w:rPr>
      </w:pPr>
      <w:r>
        <w:rPr>
          <w:rFonts w:hint="eastAsia" w:ascii="宋体" w:hAnsi="宋体" w:cs="宋体"/>
          <w:sz w:val="24"/>
          <w:szCs w:val="24"/>
        </w:rPr>
        <w:t>单位：人民币元</w:t>
      </w:r>
    </w:p>
    <w:tbl>
      <w:tblPr>
        <w:tblStyle w:val="2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vAlign w:val="center"/>
          </w:tcPr>
          <w:p>
            <w:pPr>
              <w:jc w:val="center"/>
              <w:rPr>
                <w:rFonts w:ascii="宋体" w:hAnsi="宋体" w:cs="宋体"/>
                <w:b/>
                <w:kern w:val="0"/>
                <w:sz w:val="24"/>
                <w:szCs w:val="24"/>
              </w:rPr>
            </w:pPr>
            <w:bookmarkStart w:id="259" w:name="_Toc361508760"/>
            <w:r>
              <w:rPr>
                <w:rFonts w:hint="eastAsia" w:ascii="宋体" w:hAnsi="宋体" w:cs="宋体"/>
                <w:b/>
                <w:kern w:val="0"/>
                <w:sz w:val="24"/>
                <w:szCs w:val="24"/>
              </w:rPr>
              <w:t>序号</w:t>
            </w:r>
          </w:p>
        </w:tc>
        <w:tc>
          <w:tcPr>
            <w:tcW w:w="2410" w:type="dxa"/>
            <w:vAlign w:val="center"/>
          </w:tcPr>
          <w:p>
            <w:pPr>
              <w:jc w:val="center"/>
              <w:rPr>
                <w:rFonts w:ascii="宋体" w:hAnsi="宋体" w:cs="宋体"/>
                <w:b/>
                <w:kern w:val="0"/>
                <w:sz w:val="24"/>
                <w:szCs w:val="24"/>
              </w:rPr>
            </w:pPr>
            <w:r>
              <w:rPr>
                <w:rFonts w:hint="eastAsia" w:ascii="宋体" w:hAnsi="宋体" w:cs="宋体"/>
                <w:b/>
                <w:kern w:val="0"/>
                <w:sz w:val="24"/>
                <w:szCs w:val="24"/>
              </w:rPr>
              <w:t>监理报酬分项名称</w:t>
            </w:r>
          </w:p>
        </w:tc>
        <w:tc>
          <w:tcPr>
            <w:tcW w:w="2268" w:type="dxa"/>
            <w:vAlign w:val="center"/>
          </w:tcPr>
          <w:p>
            <w:pPr>
              <w:jc w:val="center"/>
              <w:rPr>
                <w:rFonts w:ascii="宋体" w:hAnsi="宋体" w:cs="宋体"/>
                <w:b/>
                <w:kern w:val="0"/>
                <w:sz w:val="24"/>
                <w:szCs w:val="24"/>
              </w:rPr>
            </w:pPr>
            <w:r>
              <w:rPr>
                <w:rFonts w:hint="eastAsia" w:ascii="宋体" w:hAnsi="宋体" w:cs="宋体"/>
                <w:b/>
                <w:kern w:val="0"/>
                <w:sz w:val="24"/>
                <w:szCs w:val="24"/>
              </w:rPr>
              <w:t>计算依据、过程和公式</w:t>
            </w:r>
          </w:p>
        </w:tc>
        <w:tc>
          <w:tcPr>
            <w:tcW w:w="1322" w:type="dxa"/>
            <w:vAlign w:val="center"/>
          </w:tcPr>
          <w:p>
            <w:pPr>
              <w:jc w:val="center"/>
              <w:rPr>
                <w:rFonts w:ascii="宋体" w:hAnsi="宋体" w:cs="宋体"/>
                <w:b/>
                <w:kern w:val="0"/>
                <w:sz w:val="24"/>
                <w:szCs w:val="24"/>
              </w:rPr>
            </w:pPr>
            <w:r>
              <w:rPr>
                <w:rFonts w:hint="eastAsia" w:ascii="宋体" w:hAnsi="宋体" w:cs="宋体"/>
                <w:b/>
                <w:kern w:val="0"/>
                <w:sz w:val="24"/>
                <w:szCs w:val="24"/>
              </w:rPr>
              <w:t>金额（元）</w:t>
            </w:r>
          </w:p>
        </w:tc>
        <w:tc>
          <w:tcPr>
            <w:tcW w:w="1938" w:type="dxa"/>
            <w:vAlign w:val="center"/>
          </w:tcPr>
          <w:p>
            <w:pPr>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2410" w:type="dxa"/>
            <w:vAlign w:val="center"/>
          </w:tcPr>
          <w:p>
            <w:pPr>
              <w:spacing w:line="360" w:lineRule="auto"/>
              <w:jc w:val="center"/>
              <w:rPr>
                <w:rFonts w:ascii="宋体" w:hAnsi="宋体" w:cs="宋体"/>
                <w:sz w:val="24"/>
                <w:szCs w:val="24"/>
              </w:rPr>
            </w:pPr>
          </w:p>
        </w:tc>
        <w:tc>
          <w:tcPr>
            <w:tcW w:w="2268" w:type="dxa"/>
            <w:vAlign w:val="center"/>
          </w:tcPr>
          <w:p>
            <w:pPr>
              <w:spacing w:line="360" w:lineRule="auto"/>
              <w:jc w:val="center"/>
              <w:rPr>
                <w:rFonts w:ascii="宋体" w:hAnsi="宋体" w:cs="宋体"/>
                <w:sz w:val="24"/>
                <w:szCs w:val="24"/>
              </w:rPr>
            </w:pPr>
          </w:p>
        </w:tc>
        <w:tc>
          <w:tcPr>
            <w:tcW w:w="1322" w:type="dxa"/>
            <w:vAlign w:val="center"/>
          </w:tcPr>
          <w:p>
            <w:pPr>
              <w:spacing w:line="360" w:lineRule="auto"/>
              <w:jc w:val="center"/>
              <w:rPr>
                <w:rFonts w:ascii="宋体" w:hAnsi="宋体" w:cs="宋体"/>
                <w:sz w:val="24"/>
                <w:szCs w:val="24"/>
              </w:rPr>
            </w:pPr>
          </w:p>
        </w:tc>
        <w:tc>
          <w:tcPr>
            <w:tcW w:w="1938"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2</w:t>
            </w:r>
          </w:p>
        </w:tc>
        <w:tc>
          <w:tcPr>
            <w:tcW w:w="2410" w:type="dxa"/>
            <w:vAlign w:val="center"/>
          </w:tcPr>
          <w:p>
            <w:pPr>
              <w:spacing w:line="360" w:lineRule="auto"/>
              <w:jc w:val="center"/>
              <w:rPr>
                <w:rFonts w:ascii="宋体" w:hAnsi="宋体" w:cs="宋体"/>
                <w:sz w:val="24"/>
                <w:szCs w:val="24"/>
              </w:rPr>
            </w:pPr>
          </w:p>
        </w:tc>
        <w:tc>
          <w:tcPr>
            <w:tcW w:w="2268" w:type="dxa"/>
            <w:vAlign w:val="center"/>
          </w:tcPr>
          <w:p>
            <w:pPr>
              <w:spacing w:line="360" w:lineRule="auto"/>
              <w:jc w:val="center"/>
              <w:rPr>
                <w:rFonts w:ascii="宋体" w:hAnsi="宋体" w:cs="宋体"/>
                <w:sz w:val="24"/>
                <w:szCs w:val="24"/>
              </w:rPr>
            </w:pPr>
          </w:p>
        </w:tc>
        <w:tc>
          <w:tcPr>
            <w:tcW w:w="1322" w:type="dxa"/>
            <w:vAlign w:val="center"/>
          </w:tcPr>
          <w:p>
            <w:pPr>
              <w:spacing w:line="360" w:lineRule="auto"/>
              <w:jc w:val="center"/>
              <w:rPr>
                <w:rFonts w:ascii="宋体" w:hAnsi="宋体" w:cs="宋体"/>
                <w:sz w:val="24"/>
                <w:szCs w:val="24"/>
              </w:rPr>
            </w:pPr>
          </w:p>
        </w:tc>
        <w:tc>
          <w:tcPr>
            <w:tcW w:w="1938"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3</w:t>
            </w:r>
          </w:p>
        </w:tc>
        <w:tc>
          <w:tcPr>
            <w:tcW w:w="2410" w:type="dxa"/>
            <w:vAlign w:val="center"/>
          </w:tcPr>
          <w:p>
            <w:pPr>
              <w:spacing w:line="360" w:lineRule="auto"/>
              <w:jc w:val="center"/>
              <w:rPr>
                <w:rFonts w:ascii="宋体" w:hAnsi="宋体" w:cs="宋体"/>
                <w:sz w:val="24"/>
                <w:szCs w:val="24"/>
              </w:rPr>
            </w:pPr>
          </w:p>
        </w:tc>
        <w:tc>
          <w:tcPr>
            <w:tcW w:w="2268" w:type="dxa"/>
            <w:vAlign w:val="center"/>
          </w:tcPr>
          <w:p>
            <w:pPr>
              <w:spacing w:line="360" w:lineRule="auto"/>
              <w:jc w:val="center"/>
              <w:rPr>
                <w:rFonts w:ascii="宋体" w:hAnsi="宋体" w:cs="宋体"/>
                <w:sz w:val="24"/>
                <w:szCs w:val="24"/>
              </w:rPr>
            </w:pPr>
          </w:p>
        </w:tc>
        <w:tc>
          <w:tcPr>
            <w:tcW w:w="1322" w:type="dxa"/>
            <w:vAlign w:val="center"/>
          </w:tcPr>
          <w:p>
            <w:pPr>
              <w:spacing w:line="360" w:lineRule="auto"/>
              <w:jc w:val="center"/>
              <w:rPr>
                <w:rFonts w:ascii="宋体" w:hAnsi="宋体" w:cs="宋体"/>
                <w:sz w:val="24"/>
                <w:szCs w:val="24"/>
              </w:rPr>
            </w:pPr>
          </w:p>
        </w:tc>
        <w:tc>
          <w:tcPr>
            <w:tcW w:w="1938"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4</w:t>
            </w:r>
          </w:p>
        </w:tc>
        <w:tc>
          <w:tcPr>
            <w:tcW w:w="2410" w:type="dxa"/>
            <w:vAlign w:val="center"/>
          </w:tcPr>
          <w:p>
            <w:pPr>
              <w:spacing w:line="360" w:lineRule="auto"/>
              <w:jc w:val="center"/>
              <w:rPr>
                <w:rFonts w:ascii="宋体" w:hAnsi="宋体" w:cs="宋体"/>
                <w:sz w:val="24"/>
                <w:szCs w:val="24"/>
              </w:rPr>
            </w:pPr>
          </w:p>
        </w:tc>
        <w:tc>
          <w:tcPr>
            <w:tcW w:w="2268" w:type="dxa"/>
            <w:vAlign w:val="center"/>
          </w:tcPr>
          <w:p>
            <w:pPr>
              <w:spacing w:line="360" w:lineRule="auto"/>
              <w:jc w:val="center"/>
              <w:rPr>
                <w:rFonts w:ascii="宋体" w:hAnsi="宋体" w:cs="宋体"/>
                <w:sz w:val="24"/>
                <w:szCs w:val="24"/>
              </w:rPr>
            </w:pPr>
          </w:p>
        </w:tc>
        <w:tc>
          <w:tcPr>
            <w:tcW w:w="1322" w:type="dxa"/>
            <w:vAlign w:val="center"/>
          </w:tcPr>
          <w:p>
            <w:pPr>
              <w:spacing w:line="360" w:lineRule="auto"/>
              <w:jc w:val="center"/>
              <w:rPr>
                <w:rFonts w:ascii="宋体" w:hAnsi="宋体" w:cs="宋体"/>
                <w:sz w:val="24"/>
                <w:szCs w:val="24"/>
              </w:rPr>
            </w:pPr>
          </w:p>
        </w:tc>
        <w:tc>
          <w:tcPr>
            <w:tcW w:w="1938"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5</w:t>
            </w:r>
          </w:p>
        </w:tc>
        <w:tc>
          <w:tcPr>
            <w:tcW w:w="2410" w:type="dxa"/>
            <w:vAlign w:val="center"/>
          </w:tcPr>
          <w:p>
            <w:pPr>
              <w:spacing w:line="360" w:lineRule="auto"/>
              <w:jc w:val="center"/>
              <w:rPr>
                <w:rFonts w:ascii="宋体" w:hAnsi="宋体" w:cs="宋体"/>
                <w:sz w:val="24"/>
                <w:szCs w:val="24"/>
              </w:rPr>
            </w:pPr>
          </w:p>
        </w:tc>
        <w:tc>
          <w:tcPr>
            <w:tcW w:w="2268" w:type="dxa"/>
            <w:vAlign w:val="center"/>
          </w:tcPr>
          <w:p>
            <w:pPr>
              <w:spacing w:line="360" w:lineRule="auto"/>
              <w:jc w:val="center"/>
              <w:rPr>
                <w:rFonts w:ascii="宋体" w:hAnsi="宋体" w:cs="宋体"/>
                <w:sz w:val="24"/>
                <w:szCs w:val="24"/>
              </w:rPr>
            </w:pPr>
          </w:p>
        </w:tc>
        <w:tc>
          <w:tcPr>
            <w:tcW w:w="1322" w:type="dxa"/>
            <w:vAlign w:val="center"/>
          </w:tcPr>
          <w:p>
            <w:pPr>
              <w:spacing w:line="360" w:lineRule="auto"/>
              <w:jc w:val="center"/>
              <w:rPr>
                <w:rFonts w:ascii="宋体" w:hAnsi="宋体" w:cs="宋体"/>
                <w:sz w:val="24"/>
                <w:szCs w:val="24"/>
              </w:rPr>
            </w:pPr>
          </w:p>
        </w:tc>
        <w:tc>
          <w:tcPr>
            <w:tcW w:w="1938"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2410" w:type="dxa"/>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2268" w:type="dxa"/>
            <w:vAlign w:val="center"/>
          </w:tcPr>
          <w:p>
            <w:pPr>
              <w:spacing w:line="360" w:lineRule="auto"/>
              <w:jc w:val="center"/>
              <w:rPr>
                <w:rFonts w:ascii="宋体" w:hAnsi="宋体" w:cs="宋体"/>
                <w:sz w:val="24"/>
                <w:szCs w:val="24"/>
              </w:rPr>
            </w:pPr>
          </w:p>
        </w:tc>
        <w:tc>
          <w:tcPr>
            <w:tcW w:w="1322" w:type="dxa"/>
            <w:vAlign w:val="center"/>
          </w:tcPr>
          <w:p>
            <w:pPr>
              <w:spacing w:line="360" w:lineRule="auto"/>
              <w:jc w:val="center"/>
              <w:rPr>
                <w:rFonts w:ascii="宋体" w:hAnsi="宋体" w:cs="宋体"/>
                <w:sz w:val="24"/>
                <w:szCs w:val="24"/>
              </w:rPr>
            </w:pPr>
          </w:p>
        </w:tc>
        <w:tc>
          <w:tcPr>
            <w:tcW w:w="1938" w:type="dxa"/>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vAlign w:val="center"/>
          </w:tcPr>
          <w:p>
            <w:pPr>
              <w:jc w:val="center"/>
              <w:rPr>
                <w:rFonts w:ascii="宋体" w:hAnsi="宋体" w:cs="宋体"/>
                <w:b/>
                <w:kern w:val="0"/>
                <w:sz w:val="24"/>
                <w:szCs w:val="24"/>
              </w:rPr>
            </w:pPr>
            <w:r>
              <w:rPr>
                <w:rFonts w:hint="eastAsia" w:ascii="宋体" w:hAnsi="宋体" w:cs="宋体"/>
                <w:b/>
                <w:kern w:val="0"/>
                <w:sz w:val="24"/>
                <w:szCs w:val="24"/>
              </w:rPr>
              <w:t>合计报价</w:t>
            </w:r>
          </w:p>
        </w:tc>
        <w:tc>
          <w:tcPr>
            <w:tcW w:w="1322" w:type="dxa"/>
            <w:vAlign w:val="center"/>
          </w:tcPr>
          <w:p>
            <w:pPr>
              <w:spacing w:line="360" w:lineRule="auto"/>
              <w:jc w:val="center"/>
              <w:rPr>
                <w:rFonts w:ascii="宋体" w:hAnsi="宋体" w:cs="宋体"/>
                <w:sz w:val="24"/>
                <w:szCs w:val="24"/>
              </w:rPr>
            </w:pPr>
          </w:p>
        </w:tc>
        <w:tc>
          <w:tcPr>
            <w:tcW w:w="1938" w:type="dxa"/>
            <w:vAlign w:val="center"/>
          </w:tcPr>
          <w:p>
            <w:pPr>
              <w:spacing w:line="360" w:lineRule="auto"/>
              <w:jc w:val="center"/>
              <w:rPr>
                <w:rFonts w:ascii="宋体" w:hAnsi="宋体" w:cs="宋体"/>
                <w:sz w:val="24"/>
                <w:szCs w:val="24"/>
              </w:rPr>
            </w:pPr>
          </w:p>
        </w:tc>
      </w:tr>
    </w:tbl>
    <w:p>
      <w:pPr>
        <w:spacing w:line="400" w:lineRule="exact"/>
        <w:rPr>
          <w:rFonts w:ascii="宋体" w:hAnsi="宋体" w:cs="宋体"/>
          <w:sz w:val="24"/>
          <w:szCs w:val="24"/>
        </w:rPr>
      </w:pPr>
    </w:p>
    <w:p>
      <w:pPr>
        <w:spacing w:line="400" w:lineRule="exact"/>
        <w:rPr>
          <w:rFonts w:ascii="宋体" w:hAnsi="宋体" w:cs="宋体"/>
          <w:sz w:val="24"/>
          <w:szCs w:val="24"/>
        </w:rPr>
      </w:pPr>
      <w:r>
        <w:rPr>
          <w:rFonts w:hint="eastAsia" w:ascii="宋体" w:hAnsi="宋体" w:cs="宋体"/>
          <w:snapToGrid w:val="0"/>
          <w:spacing w:val="4"/>
          <w:kern w:val="0"/>
          <w:sz w:val="24"/>
          <w:szCs w:val="24"/>
        </w:rPr>
        <w:t>注：监理报酬报价总金额不能超过最高投标限价。</w:t>
      </w:r>
    </w:p>
    <w:p>
      <w:pPr>
        <w:spacing w:line="400" w:lineRule="exact"/>
        <w:rPr>
          <w:rFonts w:ascii="宋体" w:hAnsi="宋体" w:cs="宋体"/>
        </w:rPr>
      </w:pPr>
      <w:bookmarkStart w:id="260" w:name="_Toc517280607"/>
    </w:p>
    <w:p>
      <w:pPr>
        <w:spacing w:line="400" w:lineRule="exact"/>
        <w:rPr>
          <w:rFonts w:ascii="宋体" w:hAnsi="宋体" w:cs="宋体"/>
        </w:rPr>
      </w:pPr>
    </w:p>
    <w:p>
      <w:pPr>
        <w:ind w:right="105"/>
        <w:jc w:val="left"/>
        <w:rPr>
          <w:rFonts w:ascii="宋体" w:hAnsi="宋体" w:cs="宋体"/>
          <w:kern w:val="0"/>
        </w:rPr>
      </w:pPr>
    </w:p>
    <w:p>
      <w:pPr>
        <w:pStyle w:val="4"/>
        <w:keepNext w:val="0"/>
        <w:keepLines w:val="0"/>
        <w:numPr>
          <w:ilvl w:val="0"/>
          <w:numId w:val="2"/>
        </w:numPr>
        <w:spacing w:after="0"/>
        <w:jc w:val="center"/>
        <w:rPr>
          <w:rFonts w:ascii="宋体" w:hAnsi="宋体" w:eastAsia="宋体" w:cs="宋体"/>
        </w:rPr>
      </w:pPr>
      <w:r>
        <w:rPr>
          <w:rFonts w:hint="eastAsia" w:ascii="宋体" w:hAnsi="宋体" w:eastAsia="宋体" w:cs="宋体"/>
        </w:rPr>
        <w:br w:type="page"/>
      </w:r>
      <w:bookmarkStart w:id="261" w:name="_Toc16972_WPSOffice_Level1"/>
      <w:bookmarkStart w:id="262" w:name="_Toc5873_WPSOffice_Level1"/>
      <w:bookmarkStart w:id="263" w:name="_Toc4288_WPSOffice_Level1"/>
      <w:r>
        <w:rPr>
          <w:rFonts w:hint="eastAsia" w:ascii="宋体" w:hAnsi="宋体" w:eastAsia="宋体" w:cs="宋体"/>
        </w:rPr>
        <w:t>资格审查资料</w:t>
      </w:r>
      <w:bookmarkEnd w:id="260"/>
      <w:bookmarkEnd w:id="261"/>
      <w:bookmarkEnd w:id="262"/>
      <w:bookmarkEnd w:id="263"/>
      <w:bookmarkStart w:id="264" w:name="_Toc517280608"/>
    </w:p>
    <w:p>
      <w:pPr>
        <w:pStyle w:val="4"/>
        <w:keepNext w:val="0"/>
        <w:keepLines w:val="0"/>
        <w:spacing w:after="0"/>
        <w:jc w:val="center"/>
        <w:rPr>
          <w:rFonts w:ascii="宋体" w:hAnsi="宋体" w:eastAsia="宋体" w:cs="宋体"/>
          <w:bCs/>
          <w:sz w:val="24"/>
        </w:rPr>
      </w:pPr>
      <w:r>
        <w:rPr>
          <w:rFonts w:hint="eastAsia" w:ascii="宋体" w:hAnsi="宋体" w:eastAsia="宋体" w:cs="宋体"/>
          <w:bCs/>
          <w:sz w:val="24"/>
        </w:rPr>
        <w:t>（一）基本情况表</w:t>
      </w:r>
      <w:bookmarkEnd w:id="264"/>
      <w:r>
        <w:rPr>
          <w:rFonts w:hint="eastAsia" w:ascii="宋体" w:hAnsi="宋体" w:eastAsia="宋体" w:cs="宋体"/>
          <w:bCs/>
          <w:sz w:val="24"/>
        </w:rPr>
        <w:t>（格式可自定）</w:t>
      </w:r>
    </w:p>
    <w:tbl>
      <w:tblPr>
        <w:tblStyle w:val="28"/>
        <w:tblW w:w="9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81"/>
        <w:gridCol w:w="1121"/>
        <w:gridCol w:w="803"/>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联系方式</w:t>
            </w:r>
          </w:p>
        </w:tc>
        <w:tc>
          <w:tcPr>
            <w:tcW w:w="112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联系人</w:t>
            </w:r>
          </w:p>
        </w:tc>
        <w:tc>
          <w:tcPr>
            <w:tcW w:w="209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传  真</w:t>
            </w:r>
          </w:p>
        </w:tc>
        <w:tc>
          <w:tcPr>
            <w:tcW w:w="209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法定代表人</w:t>
            </w:r>
          </w:p>
        </w:tc>
        <w:tc>
          <w:tcPr>
            <w:tcW w:w="112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姓名</w:t>
            </w:r>
          </w:p>
        </w:tc>
        <w:tc>
          <w:tcPr>
            <w:tcW w:w="8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技术负责人</w:t>
            </w:r>
          </w:p>
        </w:tc>
        <w:tc>
          <w:tcPr>
            <w:tcW w:w="112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姓名</w:t>
            </w:r>
          </w:p>
        </w:tc>
        <w:tc>
          <w:tcPr>
            <w:tcW w:w="80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电话</w:t>
            </w:r>
          </w:p>
        </w:tc>
        <w:tc>
          <w:tcPr>
            <w:tcW w:w="123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企业监理资质证书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rFonts w:ascii="宋体" w:hAnsi="宋体" w:cs="宋体"/>
                <w:sz w:val="24"/>
                <w:szCs w:val="24"/>
              </w:rPr>
            </w:pPr>
            <w:r>
              <w:rPr>
                <w:rFonts w:hint="eastAsia" w:ascii="宋体" w:hAnsi="宋体" w:cs="宋体"/>
                <w:sz w:val="24"/>
                <w:szCs w:val="24"/>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ind w:firstLine="120" w:firstLineChars="50"/>
              <w:jc w:val="center"/>
              <w:rPr>
                <w:rFonts w:ascii="宋体" w:hAnsi="宋体" w:cs="宋体"/>
                <w:sz w:val="24"/>
                <w:szCs w:val="24"/>
              </w:rPr>
            </w:pPr>
            <w:r>
              <w:rPr>
                <w:rFonts w:hint="eastAsia" w:ascii="宋体" w:hAnsi="宋体" w:cs="宋体"/>
                <w:sz w:val="24"/>
                <w:szCs w:val="24"/>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414" w:type="dxa"/>
            <w:vMerge w:val="continue"/>
            <w:tcBorders>
              <w:left w:val="single" w:color="auto" w:sz="4" w:space="0"/>
              <w:right w:val="single" w:color="auto" w:sz="4" w:space="0"/>
            </w:tcBorders>
            <w:vAlign w:val="center"/>
          </w:tcPr>
          <w:p>
            <w:pPr>
              <w:jc w:val="center"/>
              <w:rPr>
                <w:rFonts w:ascii="宋体" w:hAnsi="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414" w:type="dxa"/>
            <w:vMerge w:val="continue"/>
            <w:tcBorders>
              <w:left w:val="single" w:color="auto" w:sz="4" w:space="0"/>
              <w:right w:val="single" w:color="auto" w:sz="4" w:space="0"/>
            </w:tcBorders>
            <w:vAlign w:val="center"/>
          </w:tcPr>
          <w:p>
            <w:pPr>
              <w:jc w:val="center"/>
              <w:rPr>
                <w:rFonts w:ascii="宋体" w:hAnsi="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414" w:type="dxa"/>
            <w:vMerge w:val="continue"/>
            <w:tcBorders>
              <w:left w:val="single" w:color="auto" w:sz="4" w:space="0"/>
              <w:right w:val="single" w:color="auto" w:sz="4" w:space="0"/>
            </w:tcBorders>
            <w:vAlign w:val="center"/>
          </w:tcPr>
          <w:p>
            <w:pPr>
              <w:jc w:val="center"/>
              <w:rPr>
                <w:rFonts w:ascii="宋体" w:hAnsi="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ind w:firstLine="240" w:firstLineChars="100"/>
              <w:jc w:val="center"/>
              <w:rPr>
                <w:rFonts w:ascii="宋体" w:hAnsi="宋体" w:cs="宋体"/>
                <w:sz w:val="24"/>
                <w:szCs w:val="24"/>
              </w:rPr>
            </w:pPr>
            <w:r>
              <w:rPr>
                <w:rFonts w:hint="eastAsia" w:ascii="宋体" w:hAnsi="宋体" w:cs="宋体"/>
                <w:sz w:val="24"/>
                <w:szCs w:val="24"/>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281" w:type="dxa"/>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281"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r>
    </w:tbl>
    <w:p>
      <w:pPr>
        <w:spacing w:line="400" w:lineRule="exact"/>
        <w:rPr>
          <w:rFonts w:ascii="宋体" w:hAnsi="宋体" w:cs="宋体"/>
          <w:sz w:val="24"/>
          <w:szCs w:val="24"/>
        </w:rPr>
      </w:pPr>
      <w:r>
        <w:rPr>
          <w:rFonts w:hint="eastAsia" w:ascii="宋体" w:hAnsi="宋体" w:cs="宋体"/>
          <w:sz w:val="24"/>
          <w:szCs w:val="24"/>
        </w:rPr>
        <w:t>注：投标人应根据投标人须知第3.5.1项的要求在本表后附相关证明材料。</w:t>
      </w:r>
    </w:p>
    <w:p>
      <w:pPr>
        <w:pStyle w:val="5"/>
        <w:keepNext w:val="0"/>
        <w:keepLines w:val="0"/>
        <w:ind w:firstLine="137"/>
      </w:pPr>
      <w:bookmarkStart w:id="265" w:name="_Toc517280609"/>
    </w:p>
    <w:p>
      <w:pPr>
        <w:pStyle w:val="5"/>
        <w:keepNext w:val="0"/>
        <w:keepLines w:val="0"/>
        <w:ind w:firstLine="137"/>
      </w:pPr>
    </w:p>
    <w:p>
      <w:pPr>
        <w:pStyle w:val="5"/>
        <w:keepNext w:val="0"/>
        <w:keepLines w:val="0"/>
        <w:ind w:firstLine="137"/>
      </w:pPr>
    </w:p>
    <w:p>
      <w:pPr>
        <w:pStyle w:val="5"/>
        <w:keepNext w:val="0"/>
        <w:keepLines w:val="0"/>
        <w:ind w:firstLine="137"/>
      </w:pPr>
    </w:p>
    <w:p>
      <w:pPr>
        <w:pStyle w:val="5"/>
        <w:rPr>
          <w:rFonts w:ascii="宋体" w:hAnsi="宋体" w:cs="宋体"/>
          <w:b/>
          <w:szCs w:val="24"/>
        </w:rPr>
      </w:pPr>
      <w:r>
        <w:rPr>
          <w:rFonts w:hint="eastAsia" w:ascii="宋体" w:hAnsi="宋体" w:cs="宋体"/>
          <w:b/>
        </w:rPr>
        <w:t>（二）近年财务状况表、正在监理和新承接的项目情况表、</w:t>
      </w:r>
      <w:r>
        <w:rPr>
          <w:rFonts w:hint="eastAsia" w:ascii="宋体" w:hAnsi="宋体" w:cs="宋体"/>
          <w:b/>
          <w:szCs w:val="24"/>
        </w:rPr>
        <w:t>近年发生的诉讼及仲裁情况、</w:t>
      </w:r>
      <w:r>
        <w:rPr>
          <w:rFonts w:hint="eastAsia"/>
          <w:b/>
        </w:rPr>
        <w:t>近年</w:t>
      </w:r>
      <w:r>
        <w:rPr>
          <w:rFonts w:hint="eastAsia" w:ascii="宋体" w:hAnsi="宋体" w:cs="宋体"/>
          <w:b/>
        </w:rPr>
        <w:t>完成的类似项目情况表</w:t>
      </w:r>
      <w:r>
        <w:rPr>
          <w:rFonts w:hint="eastAsia" w:ascii="宋体" w:hAnsi="宋体" w:cs="宋体"/>
          <w:b/>
          <w:szCs w:val="24"/>
        </w:rPr>
        <w:t>（本项目不要求提供）</w:t>
      </w:r>
    </w:p>
    <w:p>
      <w:r>
        <w:rPr>
          <w:rFonts w:hint="eastAsia"/>
        </w:rPr>
        <w:br w:type="page"/>
      </w:r>
    </w:p>
    <w:bookmarkEnd w:id="259"/>
    <w:bookmarkEnd w:id="265"/>
    <w:p>
      <w:pPr>
        <w:pStyle w:val="5"/>
        <w:keepNext w:val="0"/>
        <w:keepLines w:val="0"/>
        <w:jc w:val="center"/>
        <w:rPr>
          <w:rFonts w:ascii="宋体" w:hAnsi="宋体" w:cs="宋体"/>
          <w:b/>
          <w:bCs w:val="0"/>
        </w:rPr>
      </w:pPr>
      <w:bookmarkStart w:id="266" w:name="_Toc482188667"/>
      <w:bookmarkStart w:id="267" w:name="_Toc517280611"/>
      <w:r>
        <w:rPr>
          <w:rFonts w:hint="eastAsia" w:ascii="宋体" w:hAnsi="宋体" w:cs="宋体"/>
          <w:b/>
          <w:bCs w:val="0"/>
        </w:rPr>
        <w:t>（三）拟委任的主要人员汇总表</w:t>
      </w:r>
      <w:bookmarkEnd w:id="266"/>
      <w:bookmarkEnd w:id="267"/>
      <w:r>
        <w:rPr>
          <w:rFonts w:hint="eastAsia" w:ascii="宋体" w:hAnsi="宋体" w:cs="宋体"/>
          <w:b/>
          <w:bCs w:val="0"/>
        </w:rPr>
        <w:t>（格式可自定）</w:t>
      </w:r>
    </w:p>
    <w:tbl>
      <w:tblPr>
        <w:tblStyle w:val="28"/>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531"/>
        <w:gridCol w:w="992"/>
        <w:gridCol w:w="603"/>
        <w:gridCol w:w="488"/>
        <w:gridCol w:w="1255"/>
        <w:gridCol w:w="708"/>
        <w:gridCol w:w="7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restart"/>
            <w:vAlign w:val="center"/>
          </w:tcPr>
          <w:p>
            <w:pPr>
              <w:spacing w:line="440" w:lineRule="exact"/>
              <w:jc w:val="center"/>
              <w:rPr>
                <w:rFonts w:ascii="宋体" w:hAnsi="宋体" w:cs="宋体"/>
                <w:sz w:val="24"/>
                <w:szCs w:val="24"/>
              </w:rPr>
            </w:pPr>
            <w:r>
              <w:rPr>
                <w:rFonts w:hint="eastAsia" w:ascii="宋体" w:hAnsi="宋体" w:cs="宋体"/>
                <w:sz w:val="24"/>
                <w:szCs w:val="24"/>
              </w:rPr>
              <w:t>序号</w:t>
            </w:r>
          </w:p>
        </w:tc>
        <w:tc>
          <w:tcPr>
            <w:tcW w:w="1531" w:type="dxa"/>
            <w:vMerge w:val="restart"/>
            <w:vAlign w:val="center"/>
          </w:tcPr>
          <w:p>
            <w:pPr>
              <w:spacing w:line="440" w:lineRule="exact"/>
              <w:jc w:val="center"/>
              <w:rPr>
                <w:rFonts w:ascii="宋体" w:hAnsi="宋体" w:cs="宋体"/>
                <w:sz w:val="24"/>
                <w:szCs w:val="24"/>
              </w:rPr>
            </w:pPr>
            <w:r>
              <w:rPr>
                <w:rFonts w:hint="eastAsia" w:ascii="宋体" w:hAnsi="宋体" w:cs="宋体"/>
                <w:sz w:val="24"/>
                <w:szCs w:val="24"/>
              </w:rPr>
              <w:t>本项目任职</w:t>
            </w:r>
          </w:p>
        </w:tc>
        <w:tc>
          <w:tcPr>
            <w:tcW w:w="992" w:type="dxa"/>
            <w:vMerge w:val="restart"/>
            <w:vAlign w:val="center"/>
          </w:tcPr>
          <w:p>
            <w:pPr>
              <w:spacing w:line="440" w:lineRule="exact"/>
              <w:jc w:val="center"/>
              <w:rPr>
                <w:rFonts w:ascii="宋体" w:hAnsi="宋体" w:cs="宋体"/>
                <w:sz w:val="24"/>
                <w:szCs w:val="24"/>
              </w:rPr>
            </w:pPr>
            <w:r>
              <w:rPr>
                <w:rFonts w:hint="eastAsia" w:ascii="宋体" w:hAnsi="宋体" w:cs="宋体"/>
                <w:sz w:val="24"/>
                <w:szCs w:val="24"/>
              </w:rPr>
              <w:t>姓名</w:t>
            </w:r>
          </w:p>
        </w:tc>
        <w:tc>
          <w:tcPr>
            <w:tcW w:w="603" w:type="dxa"/>
            <w:vMerge w:val="restart"/>
            <w:vAlign w:val="center"/>
          </w:tcPr>
          <w:p>
            <w:pPr>
              <w:spacing w:line="440" w:lineRule="exact"/>
              <w:jc w:val="center"/>
              <w:rPr>
                <w:rFonts w:ascii="宋体" w:hAnsi="宋体" w:cs="宋体"/>
                <w:sz w:val="24"/>
                <w:szCs w:val="24"/>
              </w:rPr>
            </w:pPr>
            <w:r>
              <w:rPr>
                <w:rFonts w:hint="eastAsia" w:ascii="宋体" w:hAnsi="宋体" w:cs="宋体"/>
                <w:sz w:val="24"/>
                <w:szCs w:val="24"/>
              </w:rPr>
              <w:t>职称</w:t>
            </w:r>
          </w:p>
        </w:tc>
        <w:tc>
          <w:tcPr>
            <w:tcW w:w="488" w:type="dxa"/>
            <w:vMerge w:val="restart"/>
            <w:vAlign w:val="center"/>
          </w:tcPr>
          <w:p>
            <w:pPr>
              <w:spacing w:line="440" w:lineRule="exact"/>
              <w:jc w:val="center"/>
              <w:rPr>
                <w:rFonts w:ascii="宋体" w:hAnsi="宋体" w:cs="宋体"/>
                <w:sz w:val="24"/>
                <w:szCs w:val="24"/>
              </w:rPr>
            </w:pPr>
            <w:r>
              <w:rPr>
                <w:rFonts w:hint="eastAsia" w:ascii="宋体" w:hAnsi="宋体" w:cs="宋体"/>
                <w:sz w:val="24"/>
                <w:szCs w:val="24"/>
              </w:rPr>
              <w:t>专业</w:t>
            </w:r>
          </w:p>
        </w:tc>
        <w:tc>
          <w:tcPr>
            <w:tcW w:w="2714"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执业或职业资格证明</w:t>
            </w:r>
          </w:p>
        </w:tc>
        <w:tc>
          <w:tcPr>
            <w:tcW w:w="1134" w:type="dxa"/>
            <w:vAlign w:val="center"/>
          </w:tcPr>
          <w:p>
            <w:pPr>
              <w:spacing w:line="440" w:lineRule="exact"/>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vAlign w:val="center"/>
          </w:tcPr>
          <w:p>
            <w:pPr>
              <w:rPr>
                <w:rFonts w:ascii="宋体" w:hAnsi="宋体" w:cs="宋体"/>
                <w:sz w:val="24"/>
                <w:szCs w:val="24"/>
              </w:rPr>
            </w:pPr>
          </w:p>
        </w:tc>
        <w:tc>
          <w:tcPr>
            <w:tcW w:w="1531" w:type="dxa"/>
            <w:vMerge w:val="continue"/>
          </w:tcPr>
          <w:p>
            <w:pPr>
              <w:rPr>
                <w:rFonts w:ascii="宋体" w:hAnsi="宋体" w:cs="宋体"/>
                <w:sz w:val="24"/>
                <w:szCs w:val="24"/>
              </w:rPr>
            </w:pPr>
          </w:p>
        </w:tc>
        <w:tc>
          <w:tcPr>
            <w:tcW w:w="992" w:type="dxa"/>
            <w:vMerge w:val="continue"/>
            <w:vAlign w:val="center"/>
          </w:tcPr>
          <w:p>
            <w:pPr>
              <w:rPr>
                <w:rFonts w:ascii="宋体" w:hAnsi="宋体" w:cs="宋体"/>
                <w:sz w:val="24"/>
                <w:szCs w:val="24"/>
              </w:rPr>
            </w:pPr>
          </w:p>
        </w:tc>
        <w:tc>
          <w:tcPr>
            <w:tcW w:w="603" w:type="dxa"/>
            <w:vMerge w:val="continue"/>
            <w:vAlign w:val="center"/>
          </w:tcPr>
          <w:p>
            <w:pPr>
              <w:rPr>
                <w:rFonts w:ascii="宋体" w:hAnsi="宋体" w:cs="宋体"/>
                <w:sz w:val="24"/>
                <w:szCs w:val="24"/>
              </w:rPr>
            </w:pPr>
          </w:p>
        </w:tc>
        <w:tc>
          <w:tcPr>
            <w:tcW w:w="488" w:type="dxa"/>
            <w:vMerge w:val="continue"/>
            <w:vAlign w:val="center"/>
          </w:tcPr>
          <w:p>
            <w:pPr>
              <w:spacing w:line="440" w:lineRule="exact"/>
              <w:jc w:val="center"/>
              <w:rPr>
                <w:rFonts w:ascii="宋体" w:hAnsi="宋体" w:cs="宋体"/>
                <w:sz w:val="24"/>
                <w:szCs w:val="24"/>
              </w:rPr>
            </w:pPr>
          </w:p>
        </w:tc>
        <w:tc>
          <w:tcPr>
            <w:tcW w:w="1255" w:type="dxa"/>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证书名称</w:t>
            </w:r>
          </w:p>
        </w:tc>
        <w:tc>
          <w:tcPr>
            <w:tcW w:w="708" w:type="dxa"/>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级别</w:t>
            </w:r>
          </w:p>
        </w:tc>
        <w:tc>
          <w:tcPr>
            <w:tcW w:w="751" w:type="dxa"/>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证号</w:t>
            </w:r>
          </w:p>
        </w:tc>
        <w:tc>
          <w:tcPr>
            <w:tcW w:w="1134" w:type="dxa"/>
            <w:vAlign w:val="center"/>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Align w:val="center"/>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vAlign w:val="center"/>
          </w:tcPr>
          <w:p>
            <w:pPr>
              <w:spacing w:line="440" w:lineRule="exact"/>
              <w:jc w:val="center"/>
              <w:rPr>
                <w:rFonts w:ascii="宋体" w:hAnsi="宋体" w:cs="宋体"/>
                <w:sz w:val="24"/>
                <w:szCs w:val="24"/>
              </w:rPr>
            </w:pPr>
          </w:p>
        </w:tc>
        <w:tc>
          <w:tcPr>
            <w:tcW w:w="603" w:type="dxa"/>
            <w:vAlign w:val="center"/>
          </w:tcPr>
          <w:p>
            <w:pPr>
              <w:spacing w:line="440" w:lineRule="exact"/>
              <w:jc w:val="center"/>
              <w:rPr>
                <w:rFonts w:ascii="宋体" w:hAnsi="宋体" w:cs="宋体"/>
                <w:sz w:val="24"/>
                <w:szCs w:val="24"/>
              </w:rPr>
            </w:pPr>
          </w:p>
        </w:tc>
        <w:tc>
          <w:tcPr>
            <w:tcW w:w="488" w:type="dxa"/>
            <w:vAlign w:val="center"/>
          </w:tcPr>
          <w:p>
            <w:pPr>
              <w:spacing w:line="440" w:lineRule="exact"/>
              <w:jc w:val="center"/>
              <w:rPr>
                <w:rFonts w:ascii="宋体" w:hAnsi="宋体" w:cs="宋体"/>
                <w:sz w:val="24"/>
                <w:szCs w:val="24"/>
              </w:rPr>
            </w:pPr>
          </w:p>
        </w:tc>
        <w:tc>
          <w:tcPr>
            <w:tcW w:w="1255" w:type="dxa"/>
            <w:vAlign w:val="center"/>
          </w:tcPr>
          <w:p>
            <w:pPr>
              <w:spacing w:line="440" w:lineRule="exact"/>
              <w:jc w:val="center"/>
              <w:rPr>
                <w:rFonts w:ascii="宋体" w:hAnsi="宋体" w:cs="宋体"/>
                <w:sz w:val="24"/>
                <w:szCs w:val="24"/>
              </w:rPr>
            </w:pPr>
          </w:p>
        </w:tc>
        <w:tc>
          <w:tcPr>
            <w:tcW w:w="708" w:type="dxa"/>
            <w:vAlign w:val="center"/>
          </w:tcPr>
          <w:p>
            <w:pPr>
              <w:spacing w:line="440" w:lineRule="exact"/>
              <w:jc w:val="center"/>
              <w:rPr>
                <w:rFonts w:ascii="宋体" w:hAnsi="宋体" w:cs="宋体"/>
                <w:sz w:val="24"/>
                <w:szCs w:val="24"/>
              </w:rPr>
            </w:pPr>
          </w:p>
        </w:tc>
        <w:tc>
          <w:tcPr>
            <w:tcW w:w="751" w:type="dxa"/>
            <w:vAlign w:val="center"/>
          </w:tcPr>
          <w:p>
            <w:pPr>
              <w:spacing w:line="440" w:lineRule="exact"/>
              <w:jc w:val="center"/>
              <w:rPr>
                <w:rFonts w:ascii="宋体" w:hAnsi="宋体" w:cs="宋体"/>
                <w:sz w:val="24"/>
                <w:szCs w:val="24"/>
              </w:rPr>
            </w:pPr>
          </w:p>
        </w:tc>
        <w:tc>
          <w:tcPr>
            <w:tcW w:w="1134" w:type="dxa"/>
            <w:vAlign w:val="center"/>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pPr>
              <w:spacing w:line="440" w:lineRule="exact"/>
              <w:jc w:val="center"/>
              <w:rPr>
                <w:rFonts w:ascii="宋体" w:hAnsi="宋体" w:cs="宋体"/>
                <w:sz w:val="24"/>
                <w:szCs w:val="24"/>
              </w:rPr>
            </w:pPr>
          </w:p>
        </w:tc>
        <w:tc>
          <w:tcPr>
            <w:tcW w:w="1531"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603" w:type="dxa"/>
          </w:tcPr>
          <w:p>
            <w:pPr>
              <w:spacing w:line="440" w:lineRule="exact"/>
              <w:jc w:val="center"/>
              <w:rPr>
                <w:rFonts w:ascii="宋体" w:hAnsi="宋体" w:cs="宋体"/>
                <w:sz w:val="24"/>
                <w:szCs w:val="24"/>
              </w:rPr>
            </w:pPr>
          </w:p>
        </w:tc>
        <w:tc>
          <w:tcPr>
            <w:tcW w:w="488" w:type="dxa"/>
          </w:tcPr>
          <w:p>
            <w:pPr>
              <w:spacing w:line="440" w:lineRule="exact"/>
              <w:jc w:val="center"/>
              <w:rPr>
                <w:rFonts w:ascii="宋体" w:hAnsi="宋体" w:cs="宋体"/>
                <w:sz w:val="24"/>
                <w:szCs w:val="24"/>
              </w:rPr>
            </w:pPr>
          </w:p>
        </w:tc>
        <w:tc>
          <w:tcPr>
            <w:tcW w:w="1255" w:type="dxa"/>
          </w:tcPr>
          <w:p>
            <w:pPr>
              <w:spacing w:line="440" w:lineRule="exact"/>
              <w:jc w:val="center"/>
              <w:rPr>
                <w:rFonts w:ascii="宋体" w:hAnsi="宋体" w:cs="宋体"/>
                <w:sz w:val="24"/>
                <w:szCs w:val="24"/>
              </w:rPr>
            </w:pPr>
          </w:p>
        </w:tc>
        <w:tc>
          <w:tcPr>
            <w:tcW w:w="708" w:type="dxa"/>
          </w:tcPr>
          <w:p>
            <w:pPr>
              <w:spacing w:line="440" w:lineRule="exact"/>
              <w:jc w:val="center"/>
              <w:rPr>
                <w:rFonts w:ascii="宋体" w:hAnsi="宋体" w:cs="宋体"/>
                <w:sz w:val="24"/>
                <w:szCs w:val="24"/>
              </w:rPr>
            </w:pPr>
          </w:p>
        </w:tc>
        <w:tc>
          <w:tcPr>
            <w:tcW w:w="751" w:type="dxa"/>
          </w:tcPr>
          <w:p>
            <w:pPr>
              <w:spacing w:line="440" w:lineRule="exact"/>
              <w:jc w:val="center"/>
              <w:rPr>
                <w:rFonts w:ascii="宋体" w:hAnsi="宋体" w:cs="宋体"/>
                <w:sz w:val="24"/>
                <w:szCs w:val="24"/>
              </w:rPr>
            </w:pPr>
          </w:p>
        </w:tc>
        <w:tc>
          <w:tcPr>
            <w:tcW w:w="1134" w:type="dxa"/>
          </w:tcPr>
          <w:p>
            <w:pPr>
              <w:spacing w:line="440" w:lineRule="exact"/>
              <w:jc w:val="center"/>
              <w:rPr>
                <w:rFonts w:ascii="宋体" w:hAnsi="宋体" w:cs="宋体"/>
                <w:sz w:val="24"/>
                <w:szCs w:val="24"/>
              </w:rPr>
            </w:pPr>
          </w:p>
        </w:tc>
      </w:tr>
    </w:tbl>
    <w:p>
      <w:pPr>
        <w:spacing w:line="440" w:lineRule="exact"/>
        <w:rPr>
          <w:rFonts w:ascii="宋体" w:hAnsi="宋体" w:cs="宋体"/>
        </w:rPr>
      </w:pPr>
      <w:bookmarkStart w:id="268" w:name="_Toc152045805"/>
      <w:bookmarkStart w:id="269" w:name="_Toc517280612"/>
      <w:bookmarkStart w:id="270" w:name="_Toc482188668"/>
      <w:bookmarkStart w:id="271" w:name="_Toc152042594"/>
      <w:bookmarkStart w:id="272" w:name="_Toc300835232"/>
      <w:bookmarkStart w:id="273" w:name="_Toc385943079"/>
      <w:bookmarkStart w:id="274" w:name="_Toc370676440"/>
      <w:bookmarkStart w:id="275" w:name="_Toc391394125"/>
      <w:bookmarkStart w:id="276" w:name="_Toc144974873"/>
      <w:bookmarkStart w:id="277" w:name="_Toc359594249"/>
      <w:bookmarkStart w:id="278" w:name="_Toc179632825"/>
      <w:bookmarkStart w:id="279" w:name="_Toc384308390"/>
    </w:p>
    <w:p>
      <w:pPr>
        <w:spacing w:line="440" w:lineRule="exact"/>
        <w:rPr>
          <w:rFonts w:ascii="宋体" w:hAnsi="宋体" w:cs="宋体"/>
        </w:rPr>
      </w:pPr>
    </w:p>
    <w:p>
      <w:pPr>
        <w:pStyle w:val="5"/>
        <w:keepNext w:val="0"/>
        <w:keepLines w:val="0"/>
        <w:ind w:firstLine="137"/>
        <w:jc w:val="center"/>
        <w:rPr>
          <w:rFonts w:ascii="宋体" w:hAnsi="宋体" w:cs="宋体"/>
        </w:rPr>
      </w:pPr>
      <w:r>
        <w:rPr>
          <w:rFonts w:hint="eastAsia" w:ascii="宋体" w:hAnsi="宋体" w:cs="宋体"/>
        </w:rPr>
        <w:br w:type="page"/>
      </w:r>
      <w:r>
        <w:rPr>
          <w:rFonts w:hint="eastAsia" w:ascii="宋体" w:hAnsi="宋体" w:cs="宋体"/>
          <w:b/>
          <w:bCs w:val="0"/>
        </w:rPr>
        <w:t>（四）主要人员简历表</w:t>
      </w:r>
      <w:bookmarkEnd w:id="268"/>
      <w:bookmarkEnd w:id="269"/>
      <w:bookmarkEnd w:id="270"/>
      <w:bookmarkEnd w:id="271"/>
      <w:bookmarkEnd w:id="272"/>
      <w:bookmarkEnd w:id="273"/>
      <w:bookmarkEnd w:id="274"/>
      <w:bookmarkEnd w:id="275"/>
      <w:bookmarkEnd w:id="276"/>
      <w:bookmarkEnd w:id="277"/>
      <w:bookmarkEnd w:id="278"/>
      <w:bookmarkEnd w:id="279"/>
      <w:r>
        <w:rPr>
          <w:rFonts w:hint="eastAsia" w:ascii="宋体" w:hAnsi="宋体" w:cs="宋体"/>
          <w:b/>
          <w:bCs w:val="0"/>
        </w:rPr>
        <w:t>（格式可自定）</w:t>
      </w:r>
    </w:p>
    <w:p>
      <w:pPr>
        <w:topLinePunct/>
        <w:spacing w:line="440" w:lineRule="exact"/>
        <w:jc w:val="center"/>
        <w:rPr>
          <w:rFonts w:ascii="宋体" w:hAnsi="宋体" w:cs="宋体"/>
          <w:sz w:val="23"/>
        </w:rPr>
      </w:pP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pPr>
              <w:spacing w:line="440" w:lineRule="exact"/>
              <w:jc w:val="center"/>
              <w:rPr>
                <w:rFonts w:ascii="宋体" w:hAnsi="宋体" w:cs="宋体"/>
                <w:sz w:val="24"/>
                <w:szCs w:val="24"/>
              </w:rPr>
            </w:pPr>
            <w:r>
              <w:rPr>
                <w:rFonts w:hint="eastAsia" w:ascii="宋体" w:hAnsi="宋体" w:cs="宋体"/>
                <w:sz w:val="24"/>
                <w:szCs w:val="24"/>
              </w:rPr>
              <w:t>姓  名</w:t>
            </w:r>
          </w:p>
        </w:tc>
        <w:tc>
          <w:tcPr>
            <w:tcW w:w="1048" w:type="dxa"/>
            <w:gridSpan w:val="2"/>
            <w:vAlign w:val="center"/>
          </w:tcPr>
          <w:p>
            <w:pPr>
              <w:spacing w:line="440" w:lineRule="exact"/>
              <w:jc w:val="center"/>
              <w:rPr>
                <w:rFonts w:ascii="宋体" w:hAnsi="宋体" w:cs="宋体"/>
                <w:sz w:val="24"/>
                <w:szCs w:val="24"/>
              </w:rPr>
            </w:pPr>
          </w:p>
        </w:tc>
        <w:tc>
          <w:tcPr>
            <w:tcW w:w="958" w:type="dxa"/>
            <w:vAlign w:val="center"/>
          </w:tcPr>
          <w:p>
            <w:pPr>
              <w:spacing w:line="440" w:lineRule="exact"/>
              <w:jc w:val="center"/>
              <w:rPr>
                <w:rFonts w:ascii="宋体" w:hAnsi="宋体" w:cs="宋体"/>
                <w:sz w:val="24"/>
                <w:szCs w:val="24"/>
              </w:rPr>
            </w:pPr>
            <w:r>
              <w:rPr>
                <w:rFonts w:hint="eastAsia" w:ascii="宋体" w:hAnsi="宋体" w:cs="宋体"/>
                <w:sz w:val="24"/>
                <w:szCs w:val="24"/>
              </w:rPr>
              <w:t>年龄</w:t>
            </w:r>
          </w:p>
        </w:tc>
        <w:tc>
          <w:tcPr>
            <w:tcW w:w="1065" w:type="dxa"/>
            <w:vAlign w:val="center"/>
          </w:tcPr>
          <w:p>
            <w:pPr>
              <w:spacing w:line="440" w:lineRule="exact"/>
              <w:jc w:val="center"/>
              <w:rPr>
                <w:rFonts w:ascii="宋体" w:hAnsi="宋体" w:cs="宋体"/>
                <w:sz w:val="24"/>
                <w:szCs w:val="24"/>
              </w:rPr>
            </w:pPr>
          </w:p>
        </w:tc>
        <w:tc>
          <w:tcPr>
            <w:tcW w:w="2368" w:type="dxa"/>
            <w:gridSpan w:val="3"/>
            <w:vAlign w:val="center"/>
          </w:tcPr>
          <w:p>
            <w:pPr>
              <w:spacing w:line="440" w:lineRule="exact"/>
              <w:jc w:val="center"/>
              <w:rPr>
                <w:rFonts w:ascii="宋体" w:hAnsi="宋体" w:cs="宋体"/>
                <w:sz w:val="24"/>
                <w:szCs w:val="24"/>
              </w:rPr>
            </w:pPr>
            <w:r>
              <w:rPr>
                <w:rFonts w:hint="eastAsia" w:ascii="宋体" w:hAnsi="宋体" w:cs="宋体"/>
                <w:sz w:val="24"/>
                <w:szCs w:val="24"/>
              </w:rPr>
              <w:t>执业资格证书（或上岗证书）名称</w:t>
            </w:r>
          </w:p>
        </w:tc>
        <w:tc>
          <w:tcPr>
            <w:tcW w:w="1896" w:type="dxa"/>
            <w:vAlign w:val="center"/>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line="440" w:lineRule="exact"/>
              <w:jc w:val="center"/>
              <w:rPr>
                <w:rFonts w:ascii="宋体" w:hAnsi="宋体" w:cs="宋体"/>
                <w:sz w:val="24"/>
                <w:szCs w:val="24"/>
              </w:rPr>
            </w:pPr>
            <w:r>
              <w:rPr>
                <w:rFonts w:hint="eastAsia" w:ascii="宋体" w:hAnsi="宋体" w:cs="宋体"/>
                <w:sz w:val="24"/>
                <w:szCs w:val="24"/>
              </w:rPr>
              <w:t>职  称</w:t>
            </w:r>
          </w:p>
        </w:tc>
        <w:tc>
          <w:tcPr>
            <w:tcW w:w="1048" w:type="dxa"/>
            <w:gridSpan w:val="2"/>
            <w:vAlign w:val="center"/>
          </w:tcPr>
          <w:p>
            <w:pPr>
              <w:spacing w:line="440" w:lineRule="exact"/>
              <w:jc w:val="center"/>
              <w:rPr>
                <w:rFonts w:ascii="宋体" w:hAnsi="宋体" w:cs="宋体"/>
                <w:sz w:val="24"/>
                <w:szCs w:val="24"/>
              </w:rPr>
            </w:pPr>
          </w:p>
        </w:tc>
        <w:tc>
          <w:tcPr>
            <w:tcW w:w="958" w:type="dxa"/>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学历</w:t>
            </w:r>
          </w:p>
        </w:tc>
        <w:tc>
          <w:tcPr>
            <w:tcW w:w="1065" w:type="dxa"/>
            <w:vAlign w:val="center"/>
          </w:tcPr>
          <w:p>
            <w:pPr>
              <w:spacing w:line="440" w:lineRule="exact"/>
              <w:jc w:val="center"/>
              <w:rPr>
                <w:rFonts w:ascii="宋体" w:hAnsi="宋体" w:cs="宋体"/>
                <w:sz w:val="24"/>
                <w:szCs w:val="24"/>
              </w:rPr>
            </w:pPr>
          </w:p>
        </w:tc>
        <w:tc>
          <w:tcPr>
            <w:tcW w:w="2368" w:type="dxa"/>
            <w:gridSpan w:val="3"/>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拟在本项目任职</w:t>
            </w:r>
          </w:p>
        </w:tc>
        <w:tc>
          <w:tcPr>
            <w:tcW w:w="1896" w:type="dxa"/>
            <w:vAlign w:val="center"/>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工作年限</w:t>
            </w:r>
          </w:p>
        </w:tc>
        <w:tc>
          <w:tcPr>
            <w:tcW w:w="3071" w:type="dxa"/>
            <w:gridSpan w:val="4"/>
            <w:vAlign w:val="center"/>
          </w:tcPr>
          <w:p>
            <w:pPr>
              <w:spacing w:line="440" w:lineRule="exact"/>
              <w:jc w:val="center"/>
              <w:rPr>
                <w:rFonts w:ascii="宋体" w:hAnsi="宋体" w:cs="宋体"/>
                <w:sz w:val="24"/>
                <w:szCs w:val="24"/>
              </w:rPr>
            </w:pPr>
          </w:p>
        </w:tc>
        <w:tc>
          <w:tcPr>
            <w:tcW w:w="2368" w:type="dxa"/>
            <w:gridSpan w:val="3"/>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从事监理工作年限</w:t>
            </w:r>
          </w:p>
        </w:tc>
        <w:tc>
          <w:tcPr>
            <w:tcW w:w="1896" w:type="dxa"/>
            <w:vAlign w:val="center"/>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毕业学校</w:t>
            </w:r>
          </w:p>
        </w:tc>
        <w:tc>
          <w:tcPr>
            <w:tcW w:w="7335" w:type="dxa"/>
            <w:gridSpan w:val="8"/>
            <w:vAlign w:val="center"/>
          </w:tcPr>
          <w:p>
            <w:pPr>
              <w:spacing w:before="100" w:beforeAutospacing="1" w:after="100" w:afterAutospacing="1" w:line="440" w:lineRule="exact"/>
              <w:ind w:firstLine="1320" w:firstLineChars="550"/>
              <w:rPr>
                <w:rFonts w:ascii="宋体" w:hAnsi="宋体" w:cs="宋体"/>
                <w:sz w:val="24"/>
                <w:szCs w:val="24"/>
              </w:rPr>
            </w:pPr>
            <w:r>
              <w:rPr>
                <w:rFonts w:hint="eastAsia" w:ascii="宋体" w:hAnsi="宋体" w:cs="宋体"/>
                <w:sz w:val="24"/>
                <w:szCs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pPr>
              <w:spacing w:before="100" w:beforeAutospacing="1" w:after="100" w:afterAutospacing="1" w:line="440" w:lineRule="exact"/>
              <w:jc w:val="left"/>
              <w:rPr>
                <w:rFonts w:ascii="宋体" w:hAnsi="宋体" w:cs="宋体"/>
                <w:sz w:val="24"/>
                <w:szCs w:val="24"/>
              </w:rPr>
            </w:pPr>
            <w:r>
              <w:rPr>
                <w:rFonts w:hint="eastAsia" w:ascii="宋体" w:hAnsi="宋体" w:cs="宋体"/>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时  间</w:t>
            </w:r>
          </w:p>
        </w:tc>
        <w:tc>
          <w:tcPr>
            <w:tcW w:w="3420" w:type="dxa"/>
            <w:gridSpan w:val="4"/>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参加过的类似项目</w:t>
            </w:r>
          </w:p>
        </w:tc>
        <w:tc>
          <w:tcPr>
            <w:tcW w:w="1261" w:type="dxa"/>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担任职务</w:t>
            </w:r>
          </w:p>
        </w:tc>
        <w:tc>
          <w:tcPr>
            <w:tcW w:w="2297" w:type="dxa"/>
            <w:gridSpan w:val="2"/>
            <w:vAlign w:val="center"/>
          </w:tcPr>
          <w:p>
            <w:pPr>
              <w:spacing w:before="100" w:beforeAutospacing="1" w:after="100" w:afterAutospacing="1" w:line="440" w:lineRule="exact"/>
              <w:jc w:val="center"/>
              <w:rPr>
                <w:rFonts w:ascii="宋体" w:hAnsi="宋体" w:cs="宋体"/>
                <w:sz w:val="24"/>
                <w:szCs w:val="24"/>
              </w:rPr>
            </w:pPr>
            <w:r>
              <w:rPr>
                <w:rFonts w:hint="eastAsia" w:ascii="宋体" w:hAnsi="宋体" w:cs="宋体"/>
                <w:sz w:val="24"/>
                <w:szCs w:val="24"/>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s="宋体"/>
                <w:sz w:val="24"/>
                <w:szCs w:val="24"/>
              </w:rPr>
            </w:pPr>
          </w:p>
        </w:tc>
        <w:tc>
          <w:tcPr>
            <w:tcW w:w="3420" w:type="dxa"/>
            <w:gridSpan w:val="4"/>
          </w:tcPr>
          <w:p>
            <w:pPr>
              <w:spacing w:line="440" w:lineRule="exact"/>
              <w:rPr>
                <w:rFonts w:ascii="宋体" w:hAnsi="宋体" w:cs="宋体"/>
                <w:sz w:val="24"/>
                <w:szCs w:val="24"/>
              </w:rPr>
            </w:pPr>
          </w:p>
        </w:tc>
        <w:tc>
          <w:tcPr>
            <w:tcW w:w="1261" w:type="dxa"/>
          </w:tcPr>
          <w:p>
            <w:pPr>
              <w:spacing w:line="440" w:lineRule="exact"/>
              <w:rPr>
                <w:rFonts w:ascii="宋体" w:hAnsi="宋体" w:cs="宋体"/>
                <w:sz w:val="24"/>
                <w:szCs w:val="24"/>
              </w:rPr>
            </w:pPr>
          </w:p>
        </w:tc>
        <w:tc>
          <w:tcPr>
            <w:tcW w:w="2297" w:type="dxa"/>
            <w:gridSpan w:val="2"/>
          </w:tcPr>
          <w:p>
            <w:pPr>
              <w:spacing w:line="44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s="宋体"/>
                <w:sz w:val="24"/>
                <w:szCs w:val="24"/>
              </w:rPr>
            </w:pPr>
          </w:p>
        </w:tc>
        <w:tc>
          <w:tcPr>
            <w:tcW w:w="3420" w:type="dxa"/>
            <w:gridSpan w:val="4"/>
          </w:tcPr>
          <w:p>
            <w:pPr>
              <w:spacing w:line="440" w:lineRule="exact"/>
              <w:rPr>
                <w:rFonts w:ascii="宋体" w:hAnsi="宋体" w:cs="宋体"/>
                <w:sz w:val="24"/>
                <w:szCs w:val="24"/>
              </w:rPr>
            </w:pPr>
          </w:p>
        </w:tc>
        <w:tc>
          <w:tcPr>
            <w:tcW w:w="1261" w:type="dxa"/>
          </w:tcPr>
          <w:p>
            <w:pPr>
              <w:spacing w:line="440" w:lineRule="exact"/>
              <w:rPr>
                <w:rFonts w:ascii="宋体" w:hAnsi="宋体" w:cs="宋体"/>
                <w:sz w:val="24"/>
                <w:szCs w:val="24"/>
              </w:rPr>
            </w:pPr>
          </w:p>
        </w:tc>
        <w:tc>
          <w:tcPr>
            <w:tcW w:w="2297" w:type="dxa"/>
            <w:gridSpan w:val="2"/>
          </w:tcPr>
          <w:p>
            <w:pPr>
              <w:spacing w:line="44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pPr>
              <w:spacing w:line="440" w:lineRule="exact"/>
              <w:rPr>
                <w:rFonts w:ascii="宋体" w:hAnsi="宋体" w:cs="宋体"/>
                <w:sz w:val="24"/>
                <w:szCs w:val="24"/>
              </w:rPr>
            </w:pPr>
          </w:p>
        </w:tc>
        <w:tc>
          <w:tcPr>
            <w:tcW w:w="3420" w:type="dxa"/>
            <w:gridSpan w:val="4"/>
          </w:tcPr>
          <w:p>
            <w:pPr>
              <w:spacing w:line="440" w:lineRule="exact"/>
              <w:rPr>
                <w:rFonts w:ascii="宋体" w:hAnsi="宋体" w:cs="宋体"/>
                <w:sz w:val="24"/>
                <w:szCs w:val="24"/>
              </w:rPr>
            </w:pPr>
          </w:p>
        </w:tc>
        <w:tc>
          <w:tcPr>
            <w:tcW w:w="1261" w:type="dxa"/>
          </w:tcPr>
          <w:p>
            <w:pPr>
              <w:spacing w:line="440" w:lineRule="exact"/>
              <w:rPr>
                <w:rFonts w:ascii="宋体" w:hAnsi="宋体" w:cs="宋体"/>
                <w:sz w:val="24"/>
                <w:szCs w:val="24"/>
              </w:rPr>
            </w:pPr>
          </w:p>
        </w:tc>
        <w:tc>
          <w:tcPr>
            <w:tcW w:w="2297" w:type="dxa"/>
            <w:gridSpan w:val="2"/>
          </w:tcPr>
          <w:p>
            <w:pPr>
              <w:spacing w:line="44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cs="宋体"/>
                <w:sz w:val="24"/>
                <w:szCs w:val="24"/>
              </w:rPr>
            </w:pPr>
          </w:p>
        </w:tc>
        <w:tc>
          <w:tcPr>
            <w:tcW w:w="3420" w:type="dxa"/>
            <w:gridSpan w:val="4"/>
            <w:vAlign w:val="center"/>
          </w:tcPr>
          <w:p>
            <w:pPr>
              <w:spacing w:line="440" w:lineRule="exact"/>
              <w:rPr>
                <w:rFonts w:ascii="宋体" w:hAnsi="宋体" w:cs="宋体"/>
                <w:sz w:val="24"/>
                <w:szCs w:val="24"/>
              </w:rPr>
            </w:pPr>
          </w:p>
        </w:tc>
        <w:tc>
          <w:tcPr>
            <w:tcW w:w="1261" w:type="dxa"/>
            <w:vAlign w:val="center"/>
          </w:tcPr>
          <w:p>
            <w:pPr>
              <w:spacing w:line="440" w:lineRule="exact"/>
              <w:rPr>
                <w:rFonts w:ascii="宋体" w:hAnsi="宋体" w:cs="宋体"/>
                <w:sz w:val="24"/>
                <w:szCs w:val="24"/>
              </w:rPr>
            </w:pPr>
          </w:p>
        </w:tc>
        <w:tc>
          <w:tcPr>
            <w:tcW w:w="2297" w:type="dxa"/>
            <w:gridSpan w:val="2"/>
            <w:vAlign w:val="center"/>
          </w:tcPr>
          <w:p>
            <w:pPr>
              <w:spacing w:line="44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cs="宋体"/>
                <w:sz w:val="24"/>
                <w:szCs w:val="24"/>
              </w:rPr>
            </w:pPr>
          </w:p>
        </w:tc>
        <w:tc>
          <w:tcPr>
            <w:tcW w:w="3420" w:type="dxa"/>
            <w:gridSpan w:val="4"/>
            <w:vAlign w:val="center"/>
          </w:tcPr>
          <w:p>
            <w:pPr>
              <w:spacing w:line="440" w:lineRule="exact"/>
              <w:rPr>
                <w:rFonts w:ascii="宋体" w:hAnsi="宋体" w:cs="宋体"/>
                <w:sz w:val="24"/>
                <w:szCs w:val="24"/>
              </w:rPr>
            </w:pPr>
          </w:p>
        </w:tc>
        <w:tc>
          <w:tcPr>
            <w:tcW w:w="1261" w:type="dxa"/>
            <w:vAlign w:val="center"/>
          </w:tcPr>
          <w:p>
            <w:pPr>
              <w:spacing w:line="440" w:lineRule="exact"/>
              <w:rPr>
                <w:rFonts w:ascii="宋体" w:hAnsi="宋体" w:cs="宋体"/>
                <w:sz w:val="24"/>
                <w:szCs w:val="24"/>
              </w:rPr>
            </w:pPr>
          </w:p>
        </w:tc>
        <w:tc>
          <w:tcPr>
            <w:tcW w:w="2297" w:type="dxa"/>
            <w:gridSpan w:val="2"/>
            <w:vAlign w:val="center"/>
          </w:tcPr>
          <w:p>
            <w:pPr>
              <w:spacing w:line="44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cs="宋体"/>
                <w:sz w:val="24"/>
                <w:szCs w:val="24"/>
              </w:rPr>
            </w:pPr>
          </w:p>
        </w:tc>
        <w:tc>
          <w:tcPr>
            <w:tcW w:w="3420" w:type="dxa"/>
            <w:gridSpan w:val="4"/>
            <w:vAlign w:val="center"/>
          </w:tcPr>
          <w:p>
            <w:pPr>
              <w:spacing w:line="440" w:lineRule="exact"/>
              <w:rPr>
                <w:rFonts w:ascii="宋体" w:hAnsi="宋体" w:cs="宋体"/>
                <w:sz w:val="24"/>
                <w:szCs w:val="24"/>
              </w:rPr>
            </w:pPr>
          </w:p>
        </w:tc>
        <w:tc>
          <w:tcPr>
            <w:tcW w:w="1261" w:type="dxa"/>
            <w:vAlign w:val="center"/>
          </w:tcPr>
          <w:p>
            <w:pPr>
              <w:spacing w:line="440" w:lineRule="exact"/>
              <w:rPr>
                <w:rFonts w:ascii="宋体" w:hAnsi="宋体" w:cs="宋体"/>
                <w:sz w:val="24"/>
                <w:szCs w:val="24"/>
              </w:rPr>
            </w:pPr>
          </w:p>
        </w:tc>
        <w:tc>
          <w:tcPr>
            <w:tcW w:w="2297" w:type="dxa"/>
            <w:gridSpan w:val="2"/>
            <w:vAlign w:val="center"/>
          </w:tcPr>
          <w:p>
            <w:pPr>
              <w:spacing w:line="44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pPr>
              <w:spacing w:line="440" w:lineRule="exact"/>
              <w:rPr>
                <w:rFonts w:ascii="宋体" w:hAnsi="宋体" w:cs="宋体"/>
                <w:sz w:val="24"/>
                <w:szCs w:val="24"/>
              </w:rPr>
            </w:pPr>
          </w:p>
        </w:tc>
        <w:tc>
          <w:tcPr>
            <w:tcW w:w="3420" w:type="dxa"/>
            <w:gridSpan w:val="4"/>
            <w:vAlign w:val="center"/>
          </w:tcPr>
          <w:p>
            <w:pPr>
              <w:spacing w:line="440" w:lineRule="exact"/>
              <w:rPr>
                <w:rFonts w:ascii="宋体" w:hAnsi="宋体" w:cs="宋体"/>
                <w:sz w:val="24"/>
                <w:szCs w:val="24"/>
              </w:rPr>
            </w:pPr>
          </w:p>
        </w:tc>
        <w:tc>
          <w:tcPr>
            <w:tcW w:w="1261" w:type="dxa"/>
            <w:vAlign w:val="center"/>
          </w:tcPr>
          <w:p>
            <w:pPr>
              <w:spacing w:line="440" w:lineRule="exact"/>
              <w:rPr>
                <w:rFonts w:ascii="宋体" w:hAnsi="宋体" w:cs="宋体"/>
                <w:sz w:val="24"/>
                <w:szCs w:val="24"/>
              </w:rPr>
            </w:pPr>
          </w:p>
        </w:tc>
        <w:tc>
          <w:tcPr>
            <w:tcW w:w="2297" w:type="dxa"/>
            <w:gridSpan w:val="2"/>
            <w:vAlign w:val="center"/>
          </w:tcPr>
          <w:p>
            <w:pPr>
              <w:spacing w:line="440" w:lineRule="exact"/>
              <w:rPr>
                <w:rFonts w:ascii="宋体" w:hAnsi="宋体" w:cs="宋体"/>
                <w:sz w:val="24"/>
                <w:szCs w:val="24"/>
              </w:rPr>
            </w:pPr>
          </w:p>
        </w:tc>
      </w:tr>
    </w:tbl>
    <w:p>
      <w:pPr>
        <w:spacing w:line="440" w:lineRule="exact"/>
        <w:rPr>
          <w:rFonts w:ascii="宋体" w:hAnsi="宋体" w:cs="宋体"/>
          <w:sz w:val="24"/>
          <w:szCs w:val="24"/>
        </w:rPr>
      </w:pPr>
      <w:r>
        <w:rPr>
          <w:rFonts w:hint="eastAsia" w:ascii="宋体" w:hAnsi="宋体" w:cs="宋体"/>
          <w:sz w:val="24"/>
          <w:szCs w:val="24"/>
        </w:rPr>
        <w:t>注：投标人应根据投标人须知第3.5.6项的要求在本表后附相关证明材料。</w:t>
      </w:r>
    </w:p>
    <w:p>
      <w:pPr>
        <w:spacing w:line="440" w:lineRule="exact"/>
        <w:rPr>
          <w:rFonts w:ascii="宋体" w:hAnsi="宋体" w:cs="宋体"/>
        </w:rPr>
      </w:pPr>
      <w:bookmarkStart w:id="280" w:name="_Toc300835229"/>
      <w:bookmarkStart w:id="281" w:name="_Toc352703741"/>
    </w:p>
    <w:p>
      <w:pPr>
        <w:spacing w:line="440" w:lineRule="exact"/>
        <w:rPr>
          <w:rFonts w:ascii="宋体" w:hAnsi="宋体" w:cs="宋体"/>
        </w:rPr>
      </w:pPr>
    </w:p>
    <w:p>
      <w:pPr>
        <w:spacing w:line="440" w:lineRule="exact"/>
        <w:rPr>
          <w:rFonts w:ascii="宋体" w:hAnsi="宋体" w:cs="宋体"/>
        </w:rPr>
      </w:pPr>
    </w:p>
    <w:bookmarkEnd w:id="280"/>
    <w:bookmarkEnd w:id="281"/>
    <w:p>
      <w:pPr>
        <w:rPr>
          <w:rFonts w:ascii="宋体" w:hAnsi="宋体" w:cs="宋体"/>
        </w:rPr>
      </w:pPr>
      <w:bookmarkStart w:id="282" w:name="_Toc482188666"/>
      <w:bookmarkStart w:id="283" w:name="_Toc517280613"/>
      <w:r>
        <w:rPr>
          <w:rFonts w:hint="eastAsia" w:ascii="宋体" w:hAnsi="宋体" w:cs="宋体"/>
        </w:rPr>
        <w:br w:type="page"/>
      </w:r>
    </w:p>
    <w:p>
      <w:pPr>
        <w:pStyle w:val="5"/>
        <w:keepNext w:val="0"/>
        <w:keepLines w:val="0"/>
        <w:jc w:val="center"/>
        <w:rPr>
          <w:rFonts w:ascii="宋体" w:hAnsi="宋体" w:cs="宋体"/>
          <w:b/>
          <w:bCs w:val="0"/>
        </w:rPr>
      </w:pPr>
      <w:r>
        <w:rPr>
          <w:rFonts w:hint="eastAsia" w:ascii="宋体" w:hAnsi="宋体" w:cs="宋体"/>
          <w:b/>
          <w:bCs w:val="0"/>
        </w:rPr>
        <w:t>（五）拟投入本项目的主要</w:t>
      </w:r>
      <w:bookmarkEnd w:id="282"/>
      <w:r>
        <w:rPr>
          <w:rFonts w:hint="eastAsia" w:ascii="宋体" w:hAnsi="宋体" w:cs="宋体"/>
          <w:b/>
          <w:bCs w:val="0"/>
        </w:rPr>
        <w:t>试验检测仪器设备表</w:t>
      </w:r>
      <w:bookmarkEnd w:id="283"/>
      <w:r>
        <w:rPr>
          <w:rFonts w:hint="eastAsia" w:ascii="宋体" w:hAnsi="宋体" w:cs="宋体"/>
          <w:b/>
          <w:bCs w:val="0"/>
        </w:rPr>
        <w:t>（格式可自定）</w:t>
      </w:r>
    </w:p>
    <w:tbl>
      <w:tblPr>
        <w:tblStyle w:val="28"/>
        <w:tblW w:w="8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vAlign w:val="center"/>
          </w:tcPr>
          <w:p>
            <w:pPr>
              <w:spacing w:line="440" w:lineRule="exact"/>
              <w:rPr>
                <w:rFonts w:ascii="宋体" w:hAnsi="宋体" w:cs="宋体"/>
                <w:sz w:val="24"/>
                <w:szCs w:val="24"/>
              </w:rPr>
            </w:pPr>
            <w:r>
              <w:rPr>
                <w:rFonts w:hint="eastAsia" w:ascii="宋体" w:hAnsi="宋体" w:cs="宋体"/>
                <w:sz w:val="24"/>
                <w:szCs w:val="24"/>
              </w:rPr>
              <w:t>序号</w:t>
            </w:r>
          </w:p>
        </w:tc>
        <w:tc>
          <w:tcPr>
            <w:tcW w:w="1275" w:type="dxa"/>
            <w:vAlign w:val="center"/>
          </w:tcPr>
          <w:p>
            <w:pPr>
              <w:spacing w:line="440" w:lineRule="exact"/>
              <w:jc w:val="center"/>
              <w:rPr>
                <w:rFonts w:ascii="宋体" w:hAnsi="宋体" w:cs="宋体"/>
                <w:sz w:val="24"/>
                <w:szCs w:val="24"/>
              </w:rPr>
            </w:pPr>
            <w:r>
              <w:rPr>
                <w:rFonts w:hint="eastAsia" w:ascii="宋体" w:hAnsi="宋体" w:cs="宋体"/>
                <w:sz w:val="24"/>
                <w:szCs w:val="24"/>
              </w:rPr>
              <w:t>仪器设备</w:t>
            </w:r>
          </w:p>
          <w:p>
            <w:pPr>
              <w:spacing w:line="440" w:lineRule="exact"/>
              <w:jc w:val="center"/>
              <w:rPr>
                <w:rFonts w:ascii="宋体" w:hAnsi="宋体" w:cs="宋体"/>
                <w:sz w:val="24"/>
                <w:szCs w:val="24"/>
              </w:rPr>
            </w:pPr>
            <w:r>
              <w:rPr>
                <w:rFonts w:hint="eastAsia" w:ascii="宋体" w:hAnsi="宋体" w:cs="宋体"/>
                <w:sz w:val="24"/>
                <w:szCs w:val="24"/>
              </w:rPr>
              <w:t>名称</w:t>
            </w:r>
          </w:p>
        </w:tc>
        <w:tc>
          <w:tcPr>
            <w:tcW w:w="936" w:type="dxa"/>
            <w:vAlign w:val="center"/>
          </w:tcPr>
          <w:p>
            <w:pPr>
              <w:spacing w:line="440" w:lineRule="exact"/>
              <w:jc w:val="center"/>
              <w:rPr>
                <w:rFonts w:ascii="宋体" w:hAnsi="宋体" w:cs="宋体"/>
                <w:sz w:val="24"/>
                <w:szCs w:val="24"/>
              </w:rPr>
            </w:pPr>
            <w:r>
              <w:rPr>
                <w:rFonts w:hint="eastAsia" w:ascii="宋体" w:hAnsi="宋体" w:cs="宋体"/>
                <w:sz w:val="24"/>
                <w:szCs w:val="24"/>
              </w:rPr>
              <w:t>型号</w:t>
            </w:r>
          </w:p>
          <w:p>
            <w:pPr>
              <w:spacing w:line="440" w:lineRule="exact"/>
              <w:jc w:val="center"/>
              <w:rPr>
                <w:rFonts w:ascii="宋体" w:hAnsi="宋体" w:cs="宋体"/>
                <w:sz w:val="24"/>
                <w:szCs w:val="24"/>
              </w:rPr>
            </w:pPr>
            <w:r>
              <w:rPr>
                <w:rFonts w:hint="eastAsia" w:ascii="宋体" w:hAnsi="宋体" w:cs="宋体"/>
                <w:sz w:val="24"/>
                <w:szCs w:val="24"/>
              </w:rPr>
              <w:t>规格</w:t>
            </w:r>
          </w:p>
        </w:tc>
        <w:tc>
          <w:tcPr>
            <w:tcW w:w="747" w:type="dxa"/>
            <w:vAlign w:val="center"/>
          </w:tcPr>
          <w:p>
            <w:pPr>
              <w:spacing w:line="440" w:lineRule="exact"/>
              <w:jc w:val="center"/>
              <w:rPr>
                <w:rFonts w:ascii="宋体" w:hAnsi="宋体" w:cs="宋体"/>
                <w:sz w:val="24"/>
                <w:szCs w:val="24"/>
              </w:rPr>
            </w:pPr>
            <w:r>
              <w:rPr>
                <w:rFonts w:hint="eastAsia" w:ascii="宋体" w:hAnsi="宋体" w:cs="宋体"/>
                <w:sz w:val="24"/>
                <w:szCs w:val="24"/>
              </w:rPr>
              <w:t>数量</w:t>
            </w:r>
          </w:p>
        </w:tc>
        <w:tc>
          <w:tcPr>
            <w:tcW w:w="850" w:type="dxa"/>
            <w:vAlign w:val="center"/>
          </w:tcPr>
          <w:p>
            <w:pPr>
              <w:spacing w:line="440" w:lineRule="exact"/>
              <w:jc w:val="center"/>
              <w:rPr>
                <w:rFonts w:ascii="宋体" w:hAnsi="宋体" w:cs="宋体"/>
                <w:sz w:val="24"/>
                <w:szCs w:val="24"/>
              </w:rPr>
            </w:pPr>
            <w:r>
              <w:rPr>
                <w:rFonts w:hint="eastAsia" w:ascii="宋体" w:hAnsi="宋体" w:cs="宋体"/>
                <w:sz w:val="24"/>
                <w:szCs w:val="24"/>
              </w:rPr>
              <w:t>国别</w:t>
            </w:r>
          </w:p>
          <w:p>
            <w:pPr>
              <w:spacing w:line="440" w:lineRule="exact"/>
              <w:jc w:val="center"/>
              <w:rPr>
                <w:rFonts w:ascii="宋体" w:hAnsi="宋体" w:cs="宋体"/>
                <w:sz w:val="24"/>
                <w:szCs w:val="24"/>
              </w:rPr>
            </w:pPr>
            <w:r>
              <w:rPr>
                <w:rFonts w:hint="eastAsia" w:ascii="宋体" w:hAnsi="宋体" w:cs="宋体"/>
                <w:sz w:val="24"/>
                <w:szCs w:val="24"/>
              </w:rPr>
              <w:t>产地</w:t>
            </w:r>
          </w:p>
        </w:tc>
        <w:tc>
          <w:tcPr>
            <w:tcW w:w="992" w:type="dxa"/>
            <w:vAlign w:val="center"/>
          </w:tcPr>
          <w:p>
            <w:pPr>
              <w:spacing w:line="440" w:lineRule="exact"/>
              <w:jc w:val="center"/>
              <w:rPr>
                <w:rFonts w:ascii="宋体" w:hAnsi="宋体" w:cs="宋体"/>
                <w:sz w:val="24"/>
                <w:szCs w:val="24"/>
              </w:rPr>
            </w:pPr>
            <w:r>
              <w:rPr>
                <w:rFonts w:hint="eastAsia" w:ascii="宋体" w:hAnsi="宋体" w:cs="宋体"/>
                <w:sz w:val="24"/>
                <w:szCs w:val="24"/>
              </w:rPr>
              <w:t>制造</w:t>
            </w:r>
          </w:p>
          <w:p>
            <w:pPr>
              <w:spacing w:line="440" w:lineRule="exact"/>
              <w:jc w:val="center"/>
              <w:rPr>
                <w:rFonts w:ascii="宋体" w:hAnsi="宋体" w:cs="宋体"/>
                <w:sz w:val="24"/>
                <w:szCs w:val="24"/>
              </w:rPr>
            </w:pPr>
            <w:r>
              <w:rPr>
                <w:rFonts w:hint="eastAsia" w:ascii="宋体" w:hAnsi="宋体" w:cs="宋体"/>
                <w:sz w:val="24"/>
                <w:szCs w:val="24"/>
              </w:rPr>
              <w:t>年份</w:t>
            </w:r>
          </w:p>
        </w:tc>
        <w:tc>
          <w:tcPr>
            <w:tcW w:w="1419" w:type="dxa"/>
            <w:vAlign w:val="center"/>
          </w:tcPr>
          <w:p>
            <w:pPr>
              <w:spacing w:line="440" w:lineRule="exact"/>
              <w:jc w:val="center"/>
              <w:rPr>
                <w:rFonts w:ascii="宋体" w:hAnsi="宋体" w:cs="宋体"/>
                <w:sz w:val="24"/>
                <w:szCs w:val="24"/>
              </w:rPr>
            </w:pPr>
            <w:r>
              <w:rPr>
                <w:rFonts w:hint="eastAsia" w:ascii="宋体" w:hAnsi="宋体" w:cs="宋体"/>
                <w:sz w:val="24"/>
                <w:szCs w:val="24"/>
              </w:rPr>
              <w:t>用途</w:t>
            </w:r>
          </w:p>
        </w:tc>
        <w:tc>
          <w:tcPr>
            <w:tcW w:w="1162" w:type="dxa"/>
            <w:vAlign w:val="center"/>
          </w:tcPr>
          <w:p>
            <w:pPr>
              <w:spacing w:line="440" w:lineRule="exact"/>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vAlign w:val="center"/>
          </w:tcPr>
          <w:p>
            <w:pPr>
              <w:spacing w:line="440" w:lineRule="exact"/>
              <w:jc w:val="center"/>
              <w:rPr>
                <w:rFonts w:ascii="宋体" w:hAnsi="宋体" w:cs="宋体"/>
                <w:sz w:val="24"/>
                <w:szCs w:val="24"/>
              </w:rPr>
            </w:pPr>
          </w:p>
        </w:tc>
        <w:tc>
          <w:tcPr>
            <w:tcW w:w="1275" w:type="dxa"/>
            <w:vAlign w:val="center"/>
          </w:tcPr>
          <w:p>
            <w:pPr>
              <w:spacing w:line="440" w:lineRule="exact"/>
              <w:jc w:val="center"/>
              <w:rPr>
                <w:rFonts w:ascii="宋体" w:hAnsi="宋体" w:cs="宋体"/>
                <w:sz w:val="24"/>
                <w:szCs w:val="24"/>
              </w:rPr>
            </w:pPr>
          </w:p>
        </w:tc>
        <w:tc>
          <w:tcPr>
            <w:tcW w:w="936" w:type="dxa"/>
            <w:vAlign w:val="center"/>
          </w:tcPr>
          <w:p>
            <w:pPr>
              <w:spacing w:line="440" w:lineRule="exact"/>
              <w:jc w:val="center"/>
              <w:rPr>
                <w:rFonts w:ascii="宋体" w:hAnsi="宋体" w:cs="宋体"/>
                <w:sz w:val="24"/>
                <w:szCs w:val="24"/>
              </w:rPr>
            </w:pPr>
          </w:p>
        </w:tc>
        <w:tc>
          <w:tcPr>
            <w:tcW w:w="747" w:type="dxa"/>
            <w:vAlign w:val="center"/>
          </w:tcPr>
          <w:p>
            <w:pPr>
              <w:spacing w:line="440" w:lineRule="exact"/>
              <w:jc w:val="center"/>
              <w:rPr>
                <w:rFonts w:ascii="宋体" w:hAnsi="宋体" w:cs="宋体"/>
                <w:sz w:val="24"/>
                <w:szCs w:val="24"/>
              </w:rPr>
            </w:pPr>
          </w:p>
        </w:tc>
        <w:tc>
          <w:tcPr>
            <w:tcW w:w="850" w:type="dxa"/>
            <w:vAlign w:val="center"/>
          </w:tcPr>
          <w:p>
            <w:pPr>
              <w:spacing w:line="440" w:lineRule="exact"/>
              <w:jc w:val="center"/>
              <w:rPr>
                <w:rFonts w:ascii="宋体" w:hAnsi="宋体" w:cs="宋体"/>
                <w:sz w:val="24"/>
                <w:szCs w:val="24"/>
              </w:rPr>
            </w:pPr>
          </w:p>
        </w:tc>
        <w:tc>
          <w:tcPr>
            <w:tcW w:w="992" w:type="dxa"/>
            <w:vAlign w:val="center"/>
          </w:tcPr>
          <w:p>
            <w:pPr>
              <w:spacing w:line="440" w:lineRule="exact"/>
              <w:jc w:val="center"/>
              <w:rPr>
                <w:rFonts w:ascii="宋体" w:hAnsi="宋体" w:cs="宋体"/>
                <w:sz w:val="24"/>
                <w:szCs w:val="24"/>
              </w:rPr>
            </w:pPr>
          </w:p>
        </w:tc>
        <w:tc>
          <w:tcPr>
            <w:tcW w:w="1419" w:type="dxa"/>
            <w:vAlign w:val="center"/>
          </w:tcPr>
          <w:p>
            <w:pPr>
              <w:spacing w:line="440" w:lineRule="exact"/>
              <w:jc w:val="center"/>
              <w:rPr>
                <w:rFonts w:ascii="宋体" w:hAnsi="宋体" w:cs="宋体"/>
                <w:sz w:val="24"/>
                <w:szCs w:val="24"/>
              </w:rPr>
            </w:pPr>
          </w:p>
        </w:tc>
        <w:tc>
          <w:tcPr>
            <w:tcW w:w="1162" w:type="dxa"/>
            <w:vAlign w:val="center"/>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vAlign w:val="center"/>
          </w:tcPr>
          <w:p>
            <w:pPr>
              <w:spacing w:line="440" w:lineRule="exact"/>
              <w:jc w:val="center"/>
              <w:rPr>
                <w:rFonts w:ascii="宋体" w:hAnsi="宋体" w:cs="宋体"/>
                <w:sz w:val="24"/>
                <w:szCs w:val="24"/>
              </w:rPr>
            </w:pPr>
          </w:p>
        </w:tc>
        <w:tc>
          <w:tcPr>
            <w:tcW w:w="1275" w:type="dxa"/>
            <w:vAlign w:val="center"/>
          </w:tcPr>
          <w:p>
            <w:pPr>
              <w:spacing w:line="440" w:lineRule="exact"/>
              <w:jc w:val="center"/>
              <w:rPr>
                <w:rFonts w:ascii="宋体" w:hAnsi="宋体" w:cs="宋体"/>
                <w:sz w:val="24"/>
                <w:szCs w:val="24"/>
              </w:rPr>
            </w:pPr>
          </w:p>
        </w:tc>
        <w:tc>
          <w:tcPr>
            <w:tcW w:w="936" w:type="dxa"/>
            <w:vAlign w:val="center"/>
          </w:tcPr>
          <w:p>
            <w:pPr>
              <w:spacing w:line="440" w:lineRule="exact"/>
              <w:jc w:val="center"/>
              <w:rPr>
                <w:rFonts w:ascii="宋体" w:hAnsi="宋体" w:cs="宋体"/>
                <w:sz w:val="24"/>
                <w:szCs w:val="24"/>
              </w:rPr>
            </w:pPr>
          </w:p>
        </w:tc>
        <w:tc>
          <w:tcPr>
            <w:tcW w:w="747" w:type="dxa"/>
            <w:vAlign w:val="center"/>
          </w:tcPr>
          <w:p>
            <w:pPr>
              <w:spacing w:line="440" w:lineRule="exact"/>
              <w:jc w:val="center"/>
              <w:rPr>
                <w:rFonts w:ascii="宋体" w:hAnsi="宋体" w:cs="宋体"/>
                <w:sz w:val="24"/>
                <w:szCs w:val="24"/>
              </w:rPr>
            </w:pPr>
          </w:p>
        </w:tc>
        <w:tc>
          <w:tcPr>
            <w:tcW w:w="850" w:type="dxa"/>
            <w:vAlign w:val="center"/>
          </w:tcPr>
          <w:p>
            <w:pPr>
              <w:spacing w:line="440" w:lineRule="exact"/>
              <w:jc w:val="center"/>
              <w:rPr>
                <w:rFonts w:ascii="宋体" w:hAnsi="宋体" w:cs="宋体"/>
                <w:sz w:val="24"/>
                <w:szCs w:val="24"/>
              </w:rPr>
            </w:pPr>
          </w:p>
        </w:tc>
        <w:tc>
          <w:tcPr>
            <w:tcW w:w="992" w:type="dxa"/>
            <w:vAlign w:val="center"/>
          </w:tcPr>
          <w:p>
            <w:pPr>
              <w:spacing w:line="440" w:lineRule="exact"/>
              <w:jc w:val="center"/>
              <w:rPr>
                <w:rFonts w:ascii="宋体" w:hAnsi="宋体" w:cs="宋体"/>
                <w:sz w:val="24"/>
                <w:szCs w:val="24"/>
              </w:rPr>
            </w:pPr>
          </w:p>
        </w:tc>
        <w:tc>
          <w:tcPr>
            <w:tcW w:w="1419" w:type="dxa"/>
            <w:vAlign w:val="center"/>
          </w:tcPr>
          <w:p>
            <w:pPr>
              <w:spacing w:line="440" w:lineRule="exact"/>
              <w:jc w:val="center"/>
              <w:rPr>
                <w:rFonts w:ascii="宋体" w:hAnsi="宋体" w:cs="宋体"/>
                <w:sz w:val="24"/>
                <w:szCs w:val="24"/>
              </w:rPr>
            </w:pPr>
          </w:p>
        </w:tc>
        <w:tc>
          <w:tcPr>
            <w:tcW w:w="1162" w:type="dxa"/>
            <w:vAlign w:val="center"/>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tcPr>
          <w:p>
            <w:pPr>
              <w:spacing w:line="440" w:lineRule="exact"/>
              <w:jc w:val="center"/>
              <w:rPr>
                <w:rFonts w:ascii="宋体" w:hAnsi="宋体" w:cs="宋体"/>
                <w:sz w:val="24"/>
                <w:szCs w:val="24"/>
              </w:rPr>
            </w:pPr>
          </w:p>
        </w:tc>
        <w:tc>
          <w:tcPr>
            <w:tcW w:w="1275" w:type="dxa"/>
          </w:tcPr>
          <w:p>
            <w:pPr>
              <w:spacing w:line="440" w:lineRule="exact"/>
              <w:jc w:val="center"/>
              <w:rPr>
                <w:rFonts w:ascii="宋体" w:hAnsi="宋体" w:cs="宋体"/>
                <w:sz w:val="24"/>
                <w:szCs w:val="24"/>
              </w:rPr>
            </w:pPr>
          </w:p>
        </w:tc>
        <w:tc>
          <w:tcPr>
            <w:tcW w:w="936" w:type="dxa"/>
          </w:tcPr>
          <w:p>
            <w:pPr>
              <w:spacing w:line="440" w:lineRule="exact"/>
              <w:jc w:val="center"/>
              <w:rPr>
                <w:rFonts w:ascii="宋体" w:hAnsi="宋体" w:cs="宋体"/>
                <w:sz w:val="24"/>
                <w:szCs w:val="24"/>
              </w:rPr>
            </w:pPr>
          </w:p>
        </w:tc>
        <w:tc>
          <w:tcPr>
            <w:tcW w:w="747" w:type="dxa"/>
          </w:tcPr>
          <w:p>
            <w:pPr>
              <w:spacing w:line="440" w:lineRule="exact"/>
              <w:jc w:val="center"/>
              <w:rPr>
                <w:rFonts w:ascii="宋体" w:hAnsi="宋体" w:cs="宋体"/>
                <w:sz w:val="24"/>
                <w:szCs w:val="24"/>
              </w:rPr>
            </w:pPr>
          </w:p>
        </w:tc>
        <w:tc>
          <w:tcPr>
            <w:tcW w:w="850" w:type="dxa"/>
          </w:tcPr>
          <w:p>
            <w:pPr>
              <w:spacing w:line="440" w:lineRule="exact"/>
              <w:jc w:val="center"/>
              <w:rPr>
                <w:rFonts w:ascii="宋体" w:hAnsi="宋体" w:cs="宋体"/>
                <w:sz w:val="24"/>
                <w:szCs w:val="24"/>
              </w:rPr>
            </w:pPr>
          </w:p>
        </w:tc>
        <w:tc>
          <w:tcPr>
            <w:tcW w:w="992" w:type="dxa"/>
          </w:tcPr>
          <w:p>
            <w:pPr>
              <w:spacing w:line="440" w:lineRule="exact"/>
              <w:jc w:val="center"/>
              <w:rPr>
                <w:rFonts w:ascii="宋体" w:hAnsi="宋体" w:cs="宋体"/>
                <w:sz w:val="24"/>
                <w:szCs w:val="24"/>
              </w:rPr>
            </w:pPr>
          </w:p>
        </w:tc>
        <w:tc>
          <w:tcPr>
            <w:tcW w:w="1419" w:type="dxa"/>
          </w:tcPr>
          <w:p>
            <w:pPr>
              <w:spacing w:line="440" w:lineRule="exact"/>
              <w:jc w:val="center"/>
              <w:rPr>
                <w:rFonts w:ascii="宋体" w:hAnsi="宋体" w:cs="宋体"/>
                <w:sz w:val="24"/>
                <w:szCs w:val="24"/>
              </w:rPr>
            </w:pPr>
          </w:p>
        </w:tc>
        <w:tc>
          <w:tcPr>
            <w:tcW w:w="1162" w:type="dxa"/>
          </w:tcPr>
          <w:p>
            <w:pPr>
              <w:spacing w:line="440" w:lineRule="exact"/>
              <w:jc w:val="center"/>
              <w:rPr>
                <w:rFonts w:ascii="宋体" w:hAnsi="宋体" w:cs="宋体"/>
                <w:sz w:val="24"/>
                <w:szCs w:val="24"/>
              </w:rPr>
            </w:pPr>
          </w:p>
        </w:tc>
      </w:tr>
    </w:tbl>
    <w:p>
      <w:pPr>
        <w:rPr>
          <w:rFonts w:ascii="宋体" w:hAnsi="宋体" w:cs="宋体"/>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4"/>
        <w:keepNext w:val="0"/>
        <w:keepLines w:val="0"/>
        <w:spacing w:after="0"/>
        <w:jc w:val="center"/>
        <w:rPr>
          <w:rFonts w:ascii="宋体" w:hAnsi="宋体" w:eastAsia="宋体" w:cs="宋体"/>
        </w:rPr>
      </w:pPr>
      <w:r>
        <w:rPr>
          <w:rFonts w:hint="eastAsia" w:ascii="宋体" w:hAnsi="宋体" w:eastAsia="宋体" w:cs="宋体"/>
          <w:sz w:val="28"/>
          <w:szCs w:val="28"/>
        </w:rPr>
        <w:br w:type="page"/>
      </w:r>
      <w:bookmarkStart w:id="284" w:name="_Toc31755_WPSOffice_Level1"/>
      <w:bookmarkStart w:id="285" w:name="_Toc517280614"/>
      <w:bookmarkStart w:id="286" w:name="_Toc3652_WPSOffice_Level1"/>
      <w:bookmarkStart w:id="287" w:name="_Toc24963_WPSOffice_Level1"/>
      <w:r>
        <w:rPr>
          <w:rFonts w:hint="eastAsia" w:ascii="宋体" w:hAnsi="宋体" w:eastAsia="宋体" w:cs="宋体"/>
        </w:rPr>
        <w:t>六、监理大纲</w:t>
      </w:r>
      <w:bookmarkEnd w:id="284"/>
      <w:bookmarkEnd w:id="285"/>
      <w:bookmarkEnd w:id="286"/>
      <w:bookmarkEnd w:id="287"/>
      <w:bookmarkStart w:id="288" w:name="_Hlk139013282"/>
      <w:r>
        <w:rPr>
          <w:rFonts w:hint="eastAsia" w:ascii="宋体" w:hAnsi="宋体" w:eastAsia="宋体" w:cs="宋体"/>
          <w:bCs/>
          <w:kern w:val="0"/>
          <w:sz w:val="30"/>
          <w:szCs w:val="30"/>
        </w:rPr>
        <w:t>（格式可自定）</w:t>
      </w:r>
      <w:bookmarkEnd w:id="288"/>
    </w:p>
    <w:p>
      <w:pPr>
        <w:spacing w:line="360" w:lineRule="auto"/>
        <w:ind w:firstLine="542" w:firstLineChars="226"/>
        <w:rPr>
          <w:rFonts w:ascii="宋体" w:hAnsi="宋体" w:cs="宋体"/>
          <w:sz w:val="24"/>
          <w:szCs w:val="24"/>
        </w:rPr>
      </w:pPr>
      <w:r>
        <w:rPr>
          <w:rFonts w:hint="eastAsia" w:ascii="宋体" w:hAnsi="宋体" w:cs="宋体"/>
          <w:sz w:val="24"/>
          <w:szCs w:val="24"/>
        </w:rPr>
        <w:t>监理大纲应包括（但不限于）下列内容：</w:t>
      </w:r>
    </w:p>
    <w:p>
      <w:pPr>
        <w:spacing w:line="360" w:lineRule="auto"/>
        <w:ind w:firstLine="542" w:firstLineChars="226"/>
        <w:rPr>
          <w:rFonts w:ascii="宋体" w:hAnsi="宋体" w:cs="宋体"/>
          <w:sz w:val="24"/>
          <w:szCs w:val="24"/>
        </w:rPr>
      </w:pPr>
      <w:bookmarkStart w:id="289" w:name="_Toc5218_WPSOffice_Level1"/>
      <w:bookmarkStart w:id="290" w:name="_Toc462_WPSOffice_Level1"/>
      <w:bookmarkStart w:id="291" w:name="_Toc6774_WPSOffice_Level1"/>
      <w:r>
        <w:rPr>
          <w:rFonts w:hint="eastAsia" w:ascii="宋体" w:hAnsi="宋体" w:cs="宋体"/>
          <w:sz w:val="24"/>
          <w:szCs w:val="24"/>
        </w:rPr>
        <w:t>一、监理工程概况；</w:t>
      </w:r>
      <w:bookmarkEnd w:id="289"/>
      <w:bookmarkEnd w:id="290"/>
      <w:bookmarkEnd w:id="291"/>
    </w:p>
    <w:p>
      <w:pPr>
        <w:spacing w:line="360" w:lineRule="auto"/>
        <w:ind w:firstLine="542" w:firstLineChars="226"/>
        <w:rPr>
          <w:rFonts w:ascii="宋体" w:hAnsi="宋体" w:cs="宋体"/>
          <w:sz w:val="24"/>
          <w:szCs w:val="24"/>
        </w:rPr>
      </w:pPr>
      <w:bookmarkStart w:id="292" w:name="_Toc12196_WPSOffice_Level1"/>
      <w:bookmarkStart w:id="293" w:name="_Toc21883_WPSOffice_Level1"/>
      <w:bookmarkStart w:id="294" w:name="_Toc27414_WPSOffice_Level1"/>
      <w:r>
        <w:rPr>
          <w:rFonts w:hint="eastAsia" w:ascii="宋体" w:hAnsi="宋体" w:cs="宋体"/>
          <w:sz w:val="24"/>
          <w:szCs w:val="24"/>
        </w:rPr>
        <w:t>二、监理范围、监理内容；</w:t>
      </w:r>
      <w:bookmarkEnd w:id="292"/>
      <w:bookmarkEnd w:id="293"/>
      <w:bookmarkEnd w:id="294"/>
    </w:p>
    <w:p>
      <w:pPr>
        <w:spacing w:line="360" w:lineRule="auto"/>
        <w:ind w:firstLine="542" w:firstLineChars="226"/>
        <w:rPr>
          <w:rFonts w:ascii="宋体" w:hAnsi="宋体" w:cs="宋体"/>
          <w:sz w:val="24"/>
          <w:szCs w:val="24"/>
        </w:rPr>
      </w:pPr>
      <w:bookmarkStart w:id="295" w:name="_Toc24323_WPSOffice_Level1"/>
      <w:bookmarkStart w:id="296" w:name="_Toc20287_WPSOffice_Level1"/>
      <w:bookmarkStart w:id="297" w:name="_Toc20989_WPSOffice_Level1"/>
      <w:r>
        <w:rPr>
          <w:rFonts w:hint="eastAsia" w:ascii="宋体" w:hAnsi="宋体" w:cs="宋体"/>
          <w:sz w:val="24"/>
          <w:szCs w:val="24"/>
        </w:rPr>
        <w:t>三、监理依据、监理工作目标；</w:t>
      </w:r>
      <w:bookmarkEnd w:id="295"/>
      <w:bookmarkEnd w:id="296"/>
      <w:bookmarkEnd w:id="297"/>
    </w:p>
    <w:p>
      <w:pPr>
        <w:spacing w:line="360" w:lineRule="auto"/>
        <w:ind w:firstLine="542" w:firstLineChars="226"/>
        <w:rPr>
          <w:rFonts w:ascii="宋体" w:hAnsi="宋体" w:cs="宋体"/>
          <w:sz w:val="24"/>
          <w:szCs w:val="24"/>
        </w:rPr>
      </w:pPr>
      <w:bookmarkStart w:id="298" w:name="_Toc23154_WPSOffice_Level1"/>
      <w:bookmarkStart w:id="299" w:name="_Toc22465_WPSOffice_Level1"/>
      <w:bookmarkStart w:id="300" w:name="_Toc1878_WPSOffice_Level1"/>
      <w:r>
        <w:rPr>
          <w:rFonts w:hint="eastAsia" w:ascii="宋体" w:hAnsi="宋体" w:cs="宋体"/>
          <w:sz w:val="24"/>
          <w:szCs w:val="24"/>
        </w:rPr>
        <w:t>四、监理机构设置（框图）、岗位职责；</w:t>
      </w:r>
      <w:bookmarkEnd w:id="298"/>
      <w:bookmarkEnd w:id="299"/>
      <w:bookmarkEnd w:id="300"/>
    </w:p>
    <w:p>
      <w:pPr>
        <w:spacing w:line="360" w:lineRule="auto"/>
        <w:ind w:firstLine="542" w:firstLineChars="226"/>
        <w:rPr>
          <w:rFonts w:ascii="宋体" w:hAnsi="宋体" w:cs="宋体"/>
          <w:sz w:val="24"/>
          <w:szCs w:val="24"/>
        </w:rPr>
      </w:pPr>
      <w:bookmarkStart w:id="301" w:name="_Toc15691_WPSOffice_Level1"/>
      <w:bookmarkStart w:id="302" w:name="_Toc25722_WPSOffice_Level1"/>
      <w:bookmarkStart w:id="303" w:name="_Toc28416_WPSOffice_Level1"/>
      <w:r>
        <w:rPr>
          <w:rFonts w:hint="eastAsia" w:ascii="宋体" w:hAnsi="宋体" w:cs="宋体"/>
          <w:sz w:val="24"/>
          <w:szCs w:val="24"/>
        </w:rPr>
        <w:t>五、监理工作程序、方法和制度；</w:t>
      </w:r>
      <w:bookmarkEnd w:id="301"/>
      <w:bookmarkEnd w:id="302"/>
      <w:bookmarkEnd w:id="303"/>
    </w:p>
    <w:p>
      <w:pPr>
        <w:spacing w:line="360" w:lineRule="auto"/>
        <w:ind w:firstLine="542" w:firstLineChars="226"/>
        <w:rPr>
          <w:rFonts w:ascii="宋体" w:hAnsi="宋体" w:cs="宋体"/>
          <w:sz w:val="24"/>
          <w:szCs w:val="24"/>
        </w:rPr>
      </w:pPr>
      <w:bookmarkStart w:id="304" w:name="_Toc28661_WPSOffice_Level1"/>
      <w:bookmarkStart w:id="305" w:name="_Toc30449_WPSOffice_Level1"/>
      <w:bookmarkStart w:id="306" w:name="_Toc7408_WPSOffice_Level1"/>
      <w:r>
        <w:rPr>
          <w:rFonts w:hint="eastAsia" w:ascii="宋体" w:hAnsi="宋体" w:cs="宋体"/>
          <w:sz w:val="24"/>
          <w:szCs w:val="24"/>
        </w:rPr>
        <w:t>六、拟投入的监理人员、试验检测仪器设备；</w:t>
      </w:r>
      <w:bookmarkEnd w:id="304"/>
      <w:bookmarkEnd w:id="305"/>
      <w:bookmarkEnd w:id="306"/>
    </w:p>
    <w:p>
      <w:pPr>
        <w:spacing w:line="360" w:lineRule="auto"/>
        <w:ind w:firstLine="542" w:firstLineChars="226"/>
        <w:rPr>
          <w:rFonts w:ascii="宋体" w:hAnsi="宋体" w:cs="宋体"/>
          <w:sz w:val="24"/>
          <w:szCs w:val="24"/>
        </w:rPr>
      </w:pPr>
      <w:bookmarkStart w:id="307" w:name="_Toc7577_WPSOffice_Level1"/>
      <w:bookmarkStart w:id="308" w:name="_Toc30634_WPSOffice_Level1"/>
      <w:bookmarkStart w:id="309" w:name="_Toc25828_WPSOffice_Level1"/>
      <w:r>
        <w:rPr>
          <w:rFonts w:hint="eastAsia" w:ascii="宋体" w:hAnsi="宋体" w:cs="宋体"/>
          <w:sz w:val="24"/>
          <w:szCs w:val="24"/>
        </w:rPr>
        <w:t>七、质量、进度、投资控制监理措施；</w:t>
      </w:r>
      <w:bookmarkEnd w:id="307"/>
      <w:bookmarkEnd w:id="308"/>
      <w:bookmarkEnd w:id="309"/>
    </w:p>
    <w:p>
      <w:pPr>
        <w:spacing w:line="360" w:lineRule="auto"/>
        <w:ind w:firstLine="542" w:firstLineChars="226"/>
        <w:rPr>
          <w:rFonts w:ascii="宋体" w:hAnsi="宋体" w:cs="宋体"/>
          <w:sz w:val="24"/>
          <w:szCs w:val="24"/>
        </w:rPr>
      </w:pPr>
      <w:bookmarkStart w:id="310" w:name="_Toc14251_WPSOffice_Level1"/>
      <w:bookmarkStart w:id="311" w:name="_Toc22029_WPSOffice_Level1"/>
      <w:bookmarkStart w:id="312" w:name="_Toc11649_WPSOffice_Level1"/>
      <w:r>
        <w:rPr>
          <w:rFonts w:hint="eastAsia" w:ascii="宋体" w:hAnsi="宋体" w:cs="宋体"/>
          <w:sz w:val="24"/>
          <w:szCs w:val="24"/>
        </w:rPr>
        <w:t>八、合同、信息管理方案；</w:t>
      </w:r>
      <w:bookmarkEnd w:id="310"/>
      <w:bookmarkEnd w:id="311"/>
      <w:bookmarkEnd w:id="312"/>
    </w:p>
    <w:p>
      <w:pPr>
        <w:spacing w:line="360" w:lineRule="auto"/>
        <w:ind w:firstLine="542" w:firstLineChars="226"/>
        <w:rPr>
          <w:rFonts w:ascii="宋体" w:hAnsi="宋体" w:cs="宋体"/>
          <w:sz w:val="24"/>
          <w:szCs w:val="24"/>
        </w:rPr>
      </w:pPr>
      <w:bookmarkStart w:id="313" w:name="_Toc1732_WPSOffice_Level1"/>
      <w:bookmarkStart w:id="314" w:name="_Toc7947_WPSOffice_Level1"/>
      <w:bookmarkStart w:id="315" w:name="_Toc28276_WPSOffice_Level1"/>
      <w:r>
        <w:rPr>
          <w:rFonts w:hint="eastAsia" w:ascii="宋体" w:hAnsi="宋体" w:cs="宋体"/>
          <w:sz w:val="24"/>
          <w:szCs w:val="24"/>
        </w:rPr>
        <w:t>九、监理组织协调内容及措施；</w:t>
      </w:r>
      <w:bookmarkEnd w:id="313"/>
      <w:bookmarkEnd w:id="314"/>
      <w:bookmarkEnd w:id="315"/>
    </w:p>
    <w:p>
      <w:pPr>
        <w:spacing w:line="360" w:lineRule="auto"/>
        <w:ind w:firstLine="542" w:firstLineChars="226"/>
        <w:rPr>
          <w:rFonts w:ascii="宋体" w:hAnsi="宋体" w:cs="宋体"/>
          <w:sz w:val="24"/>
          <w:szCs w:val="24"/>
        </w:rPr>
      </w:pPr>
      <w:bookmarkStart w:id="316" w:name="_Toc25457_WPSOffice_Level1"/>
      <w:bookmarkStart w:id="317" w:name="_Toc19659_WPSOffice_Level1"/>
      <w:bookmarkStart w:id="318" w:name="_Toc11068_WPSOffice_Level1"/>
      <w:r>
        <w:rPr>
          <w:rFonts w:hint="eastAsia" w:ascii="宋体" w:hAnsi="宋体" w:cs="宋体"/>
          <w:sz w:val="24"/>
          <w:szCs w:val="24"/>
        </w:rPr>
        <w:t>十、监理工作重点、难点分析；</w:t>
      </w:r>
      <w:bookmarkEnd w:id="316"/>
      <w:bookmarkEnd w:id="317"/>
      <w:bookmarkEnd w:id="318"/>
    </w:p>
    <w:p>
      <w:pPr>
        <w:spacing w:line="360" w:lineRule="auto"/>
        <w:ind w:firstLine="542" w:firstLineChars="226"/>
        <w:rPr>
          <w:rFonts w:ascii="宋体" w:hAnsi="宋体" w:cs="宋体"/>
          <w:sz w:val="24"/>
          <w:szCs w:val="24"/>
        </w:rPr>
      </w:pPr>
      <w:bookmarkStart w:id="319" w:name="_Toc2936_WPSOffice_Level1"/>
      <w:bookmarkStart w:id="320" w:name="_Toc14736_WPSOffice_Level1"/>
      <w:bookmarkStart w:id="321" w:name="_Toc5284_WPSOffice_Level1"/>
      <w:r>
        <w:rPr>
          <w:rFonts w:hint="eastAsia" w:ascii="宋体" w:hAnsi="宋体" w:cs="宋体"/>
          <w:sz w:val="24"/>
          <w:szCs w:val="24"/>
        </w:rPr>
        <w:t>十一、对本工程监理的合理化建议。</w:t>
      </w:r>
      <w:bookmarkEnd w:id="319"/>
      <w:bookmarkEnd w:id="320"/>
      <w:bookmarkEnd w:id="321"/>
    </w:p>
    <w:p>
      <w:pPr>
        <w:spacing w:line="360" w:lineRule="auto"/>
        <w:ind w:firstLine="542" w:firstLineChars="226"/>
        <w:rPr>
          <w:rFonts w:ascii="宋体" w:hAnsi="宋体" w:cs="宋体"/>
          <w:sz w:val="24"/>
          <w:szCs w:val="24"/>
        </w:rPr>
      </w:pPr>
    </w:p>
    <w:p>
      <w:pPr>
        <w:rPr>
          <w:rFonts w:ascii="宋体" w:hAnsi="宋体" w:cs="宋体"/>
        </w:rPr>
      </w:pPr>
    </w:p>
    <w:bookmarkEnd w:id="151"/>
    <w:p>
      <w:pPr>
        <w:jc w:val="center"/>
      </w:pPr>
      <w:r>
        <w:br w:type="page"/>
      </w:r>
    </w:p>
    <w:p>
      <w:pPr>
        <w:jc w:val="center"/>
        <w:rPr>
          <w:b/>
          <w:bCs/>
          <w:sz w:val="32"/>
          <w:szCs w:val="32"/>
        </w:rPr>
      </w:pPr>
      <w:r>
        <w:rPr>
          <w:rFonts w:hint="eastAsia"/>
          <w:b/>
          <w:bCs/>
          <w:sz w:val="32"/>
          <w:szCs w:val="32"/>
        </w:rPr>
        <w:t>七、其他资料</w:t>
      </w:r>
    </w:p>
    <w:p>
      <w:pPr>
        <w:pStyle w:val="15"/>
        <w:spacing w:line="360" w:lineRule="auto"/>
        <w:rPr>
          <w:sz w:val="24"/>
          <w:szCs w:val="24"/>
        </w:rPr>
      </w:pPr>
    </w:p>
    <w:p>
      <w:pPr>
        <w:pStyle w:val="5"/>
        <w:topLinePunct/>
        <w:spacing w:line="440" w:lineRule="exact"/>
        <w:ind w:firstLine="137"/>
        <w:jc w:val="left"/>
        <w:rPr>
          <w:rFonts w:ascii="宋体" w:hAnsi="宋体" w:cs="宋体"/>
          <w:b/>
          <w:bCs w:val="0"/>
          <w:sz w:val="23"/>
        </w:rPr>
      </w:pPr>
      <w:r>
        <w:rPr>
          <w:rFonts w:hint="eastAsia" w:ascii="宋体" w:hAnsi="宋体" w:cs="宋体"/>
          <w:b/>
          <w:bCs w:val="0"/>
        </w:rPr>
        <w:t>（一）监理项目管理团队人员信息表（格式可自定）</w:t>
      </w:r>
    </w:p>
    <w:p>
      <w:pPr>
        <w:spacing w:line="360" w:lineRule="auto"/>
        <w:rPr>
          <w:rFonts w:ascii="宋体" w:hAnsi="宋体" w:cs="宋体"/>
          <w:sz w:val="24"/>
          <w:szCs w:val="24"/>
        </w:rPr>
      </w:pPr>
    </w:p>
    <w:p>
      <w:pPr>
        <w:widowControl/>
        <w:snapToGrid w:val="0"/>
        <w:spacing w:line="360" w:lineRule="auto"/>
        <w:jc w:val="center"/>
        <w:rPr>
          <w:rFonts w:ascii="宋体" w:hAnsi="宋体" w:cs="宋体"/>
          <w:b/>
          <w:bCs/>
          <w:kern w:val="0"/>
          <w:sz w:val="28"/>
          <w:szCs w:val="28"/>
        </w:rPr>
      </w:pPr>
      <w:r>
        <w:rPr>
          <w:rFonts w:hint="eastAsia" w:ascii="宋体" w:hAnsi="宋体" w:cs="宋体"/>
          <w:b/>
          <w:bCs/>
          <w:kern w:val="0"/>
          <w:sz w:val="28"/>
          <w:szCs w:val="28"/>
        </w:rPr>
        <w:t>监理项目管理团队人员信息表</w:t>
      </w:r>
    </w:p>
    <w:tbl>
      <w:tblPr>
        <w:tblStyle w:val="2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92"/>
        <w:gridCol w:w="2800"/>
        <w:gridCol w:w="844"/>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szCs w:val="21"/>
              </w:rPr>
            </w:pPr>
            <w:r>
              <w:rPr>
                <w:rFonts w:hint="eastAsia" w:ascii="宋体" w:hAnsi="宋体"/>
                <w:b/>
                <w:szCs w:val="21"/>
              </w:rPr>
              <w:t>序号</w:t>
            </w:r>
          </w:p>
        </w:tc>
        <w:tc>
          <w:tcPr>
            <w:tcW w:w="7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szCs w:val="21"/>
              </w:rPr>
            </w:pPr>
            <w:r>
              <w:rPr>
                <w:rFonts w:hint="eastAsia" w:ascii="宋体" w:hAnsi="宋体"/>
                <w:b/>
                <w:szCs w:val="21"/>
              </w:rPr>
              <w:t>姓名</w:t>
            </w:r>
          </w:p>
        </w:tc>
        <w:tc>
          <w:tcPr>
            <w:tcW w:w="16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szCs w:val="21"/>
              </w:rPr>
            </w:pPr>
            <w:r>
              <w:rPr>
                <w:rFonts w:hint="eastAsia" w:ascii="宋体" w:hAnsi="宋体"/>
                <w:b/>
                <w:szCs w:val="21"/>
              </w:rPr>
              <w:t>岗位</w:t>
            </w:r>
          </w:p>
        </w:tc>
        <w:tc>
          <w:tcPr>
            <w:tcW w:w="49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szCs w:val="21"/>
              </w:rPr>
            </w:pPr>
            <w:r>
              <w:rPr>
                <w:rFonts w:hint="eastAsia" w:ascii="宋体" w:hAnsi="宋体"/>
                <w:b/>
                <w:szCs w:val="21"/>
              </w:rPr>
              <w:t>职称</w:t>
            </w:r>
          </w:p>
        </w:tc>
        <w:tc>
          <w:tcPr>
            <w:tcW w:w="173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szCs w:val="21"/>
              </w:rPr>
            </w:pPr>
            <w:r>
              <w:rPr>
                <w:rFonts w:hint="eastAsia" w:ascii="宋体" w:hAnsi="宋体"/>
                <w:b/>
                <w:szCs w:val="21"/>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0" w:firstLine="0"/>
              <w:jc w:val="right"/>
              <w:rPr>
                <w:rFonts w:ascii="宋体" w:hAnsi="宋体"/>
                <w:szCs w:val="21"/>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6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项目总监理工程师</w:t>
            </w:r>
          </w:p>
        </w:tc>
        <w:tc>
          <w:tcPr>
            <w:tcW w:w="4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73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0" w:firstLine="0"/>
              <w:jc w:val="right"/>
              <w:rPr>
                <w:rFonts w:ascii="宋体" w:hAnsi="宋体"/>
                <w:szCs w:val="21"/>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6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监理工程师1</w:t>
            </w:r>
          </w:p>
        </w:tc>
        <w:tc>
          <w:tcPr>
            <w:tcW w:w="4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73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0" w:firstLine="0"/>
              <w:jc w:val="right"/>
              <w:rPr>
                <w:rFonts w:ascii="宋体" w:hAnsi="宋体"/>
                <w:szCs w:val="21"/>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645"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center"/>
              <w:rPr>
                <w:rFonts w:ascii="宋体" w:hAnsi="宋体"/>
                <w:szCs w:val="21"/>
              </w:rPr>
            </w:pPr>
            <w:r>
              <w:rPr>
                <w:rFonts w:hint="eastAsia" w:ascii="宋体" w:hAnsi="宋体"/>
                <w:szCs w:val="21"/>
              </w:rPr>
              <w:t>监理工程师2</w:t>
            </w:r>
          </w:p>
        </w:tc>
        <w:tc>
          <w:tcPr>
            <w:tcW w:w="4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73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0" w:firstLine="0"/>
              <w:jc w:val="right"/>
              <w:rPr>
                <w:rFonts w:ascii="宋体" w:hAnsi="宋体"/>
                <w:szCs w:val="21"/>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645"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center"/>
              <w:rPr>
                <w:rFonts w:hint="eastAsia" w:ascii="宋体" w:hAnsi="宋体"/>
                <w:szCs w:val="21"/>
              </w:rPr>
            </w:pPr>
            <w:r>
              <w:rPr>
                <w:rFonts w:hint="eastAsia" w:ascii="宋体" w:hAnsi="宋体"/>
                <w:szCs w:val="21"/>
              </w:rPr>
              <w:t>监理工程师3</w:t>
            </w:r>
          </w:p>
        </w:tc>
        <w:tc>
          <w:tcPr>
            <w:tcW w:w="4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73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0" w:firstLine="0"/>
              <w:jc w:val="right"/>
              <w:rPr>
                <w:rFonts w:ascii="宋体" w:hAnsi="宋体"/>
                <w:szCs w:val="21"/>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645"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center"/>
              <w:rPr>
                <w:rFonts w:hint="eastAsia" w:ascii="宋体" w:hAnsi="宋体"/>
                <w:szCs w:val="21"/>
              </w:rPr>
            </w:pPr>
            <w:r>
              <w:rPr>
                <w:rFonts w:hint="eastAsia" w:ascii="宋体" w:hAnsi="宋体"/>
                <w:szCs w:val="21"/>
              </w:rPr>
              <w:t>监理工程师4</w:t>
            </w:r>
          </w:p>
        </w:tc>
        <w:tc>
          <w:tcPr>
            <w:tcW w:w="4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73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0" w:firstLine="0"/>
              <w:jc w:val="right"/>
              <w:rPr>
                <w:rFonts w:ascii="宋体" w:hAnsi="宋体"/>
                <w:szCs w:val="21"/>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645"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center"/>
              <w:rPr>
                <w:rFonts w:hint="eastAsia" w:ascii="宋体" w:hAnsi="宋体"/>
                <w:szCs w:val="21"/>
              </w:rPr>
            </w:pPr>
            <w:r>
              <w:rPr>
                <w:rFonts w:hint="eastAsia" w:ascii="宋体" w:hAnsi="宋体"/>
                <w:szCs w:val="21"/>
              </w:rPr>
              <w:t>监理工程师5</w:t>
            </w:r>
          </w:p>
        </w:tc>
        <w:tc>
          <w:tcPr>
            <w:tcW w:w="4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73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0" w:firstLine="0"/>
              <w:jc w:val="right"/>
              <w:rPr>
                <w:rFonts w:ascii="宋体" w:hAnsi="宋体"/>
                <w:szCs w:val="21"/>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645" w:type="pct"/>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center"/>
              <w:rPr>
                <w:rFonts w:hint="eastAsia" w:ascii="宋体" w:hAnsi="宋体"/>
                <w:szCs w:val="21"/>
              </w:rPr>
            </w:pPr>
            <w:r>
              <w:rPr>
                <w:rFonts w:hint="eastAsia" w:ascii="宋体" w:hAnsi="宋体"/>
                <w:szCs w:val="21"/>
              </w:rPr>
              <w:t>造价工程师</w:t>
            </w:r>
          </w:p>
        </w:tc>
        <w:tc>
          <w:tcPr>
            <w:tcW w:w="4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73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0" w:firstLine="0"/>
              <w:jc w:val="right"/>
              <w:rPr>
                <w:rFonts w:ascii="宋体" w:hAnsi="宋体"/>
                <w:szCs w:val="21"/>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6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rPr>
            </w:pPr>
            <w:r>
              <w:rPr>
                <w:rFonts w:hint="eastAsia" w:ascii="宋体" w:hAnsi="宋体"/>
                <w:szCs w:val="21"/>
              </w:rPr>
              <w:t>监理员1</w:t>
            </w:r>
          </w:p>
        </w:tc>
        <w:tc>
          <w:tcPr>
            <w:tcW w:w="4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73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ind w:left="0" w:firstLine="0"/>
              <w:jc w:val="right"/>
              <w:rPr>
                <w:rFonts w:ascii="宋体" w:hAnsi="宋体"/>
                <w:szCs w:val="21"/>
              </w:rPr>
            </w:pP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64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Cs w:val="21"/>
              </w:rPr>
            </w:pPr>
            <w:r>
              <w:rPr>
                <w:rFonts w:hint="eastAsia" w:ascii="宋体" w:hAnsi="宋体" w:cs="宋体"/>
                <w:szCs w:val="21"/>
              </w:rPr>
              <w:t>监理员2</w:t>
            </w:r>
          </w:p>
        </w:tc>
        <w:tc>
          <w:tcPr>
            <w:tcW w:w="4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73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tcBorders>
              <w:top w:val="single" w:color="auto" w:sz="4" w:space="0"/>
              <w:left w:val="single" w:color="auto" w:sz="4" w:space="0"/>
              <w:bottom w:val="single" w:color="auto" w:sz="4" w:space="0"/>
              <w:right w:val="single" w:color="auto" w:sz="4" w:space="0"/>
            </w:tcBorders>
            <w:vAlign w:val="center"/>
          </w:tcPr>
          <w:p/>
        </w:tc>
        <w:tc>
          <w:tcPr>
            <w:tcW w:w="700" w:type="pct"/>
            <w:tcBorders>
              <w:top w:val="single" w:color="auto" w:sz="4" w:space="0"/>
              <w:left w:val="single" w:color="auto" w:sz="4" w:space="0"/>
              <w:bottom w:val="single" w:color="auto" w:sz="4" w:space="0"/>
              <w:right w:val="single" w:color="auto" w:sz="4" w:space="0"/>
            </w:tcBorders>
            <w:vAlign w:val="center"/>
          </w:tcPr>
          <w:p/>
        </w:tc>
        <w:tc>
          <w:tcPr>
            <w:tcW w:w="1645" w:type="pct"/>
            <w:tcBorders>
              <w:top w:val="single" w:color="auto" w:sz="4" w:space="0"/>
              <w:left w:val="single" w:color="auto" w:sz="4" w:space="0"/>
              <w:bottom w:val="single" w:color="auto" w:sz="4" w:space="0"/>
              <w:right w:val="single" w:color="auto" w:sz="4" w:space="0"/>
            </w:tcBorders>
            <w:vAlign w:val="center"/>
          </w:tcPr>
          <w:p/>
        </w:tc>
        <w:tc>
          <w:tcPr>
            <w:tcW w:w="496" w:type="pct"/>
            <w:tcBorders>
              <w:top w:val="single" w:color="auto" w:sz="4" w:space="0"/>
              <w:left w:val="single" w:color="auto" w:sz="4" w:space="0"/>
              <w:bottom w:val="single" w:color="auto" w:sz="4" w:space="0"/>
              <w:right w:val="single" w:color="auto" w:sz="4" w:space="0"/>
            </w:tcBorders>
            <w:vAlign w:val="center"/>
          </w:tcPr>
          <w:p/>
        </w:tc>
        <w:tc>
          <w:tcPr>
            <w:tcW w:w="1733" w:type="pct"/>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w:t>
            </w:r>
          </w:p>
        </w:tc>
        <w:tc>
          <w:tcPr>
            <w:tcW w:w="700"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c>
          <w:tcPr>
            <w:tcW w:w="16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kern w:val="44"/>
                <w:szCs w:val="21"/>
              </w:rPr>
            </w:pPr>
          </w:p>
        </w:tc>
        <w:tc>
          <w:tcPr>
            <w:tcW w:w="4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733"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备注：</w:t>
            </w:r>
          </w:p>
          <w:p>
            <w:pPr>
              <w:spacing w:line="360" w:lineRule="auto"/>
              <w:ind w:firstLine="436" w:firstLineChars="200"/>
              <w:rPr>
                <w:rFonts w:ascii="宋体" w:hAnsi="宋体" w:cs="宋体"/>
                <w:spacing w:val="4"/>
                <w:szCs w:val="21"/>
              </w:rPr>
            </w:pPr>
            <w:r>
              <w:rPr>
                <w:rFonts w:hint="eastAsia" w:ascii="宋体" w:hAnsi="宋体" w:cs="宋体"/>
                <w:snapToGrid w:val="0"/>
                <w:spacing w:val="4"/>
                <w:szCs w:val="21"/>
              </w:rPr>
              <w:t>1.本表不作为响应性审查依据，只作为综合评分的评审依据。</w:t>
            </w:r>
          </w:p>
          <w:p>
            <w:pPr>
              <w:topLinePunct/>
              <w:spacing w:line="360" w:lineRule="auto"/>
              <w:ind w:firstLine="418" w:firstLineChars="192"/>
              <w:rPr>
                <w:rFonts w:ascii="宋体" w:hAnsi="宋体" w:cs="宋体"/>
                <w:szCs w:val="21"/>
              </w:rPr>
            </w:pPr>
            <w:r>
              <w:rPr>
                <w:rFonts w:hint="eastAsia" w:ascii="宋体" w:hAnsi="宋体" w:cs="宋体"/>
                <w:snapToGrid w:val="0"/>
                <w:spacing w:val="4"/>
                <w:szCs w:val="21"/>
              </w:rPr>
              <w:t>2.</w:t>
            </w:r>
            <w:r>
              <w:rPr>
                <w:rFonts w:hint="eastAsia" w:ascii="宋体" w:hAnsi="宋体" w:cs="宋体"/>
                <w:szCs w:val="21"/>
              </w:rPr>
              <w:t>各岗位人员不得相互兼职。</w:t>
            </w:r>
          </w:p>
          <w:p>
            <w:pPr>
              <w:topLinePunct/>
              <w:spacing w:line="360" w:lineRule="auto"/>
              <w:ind w:firstLine="403" w:firstLineChars="192"/>
              <w:rPr>
                <w:rFonts w:ascii="宋体" w:hAnsi="宋体" w:cs="宋体"/>
                <w:szCs w:val="21"/>
              </w:rPr>
            </w:pPr>
            <w:r>
              <w:rPr>
                <w:rFonts w:hint="eastAsia" w:ascii="宋体" w:hAnsi="宋体" w:cs="宋体"/>
                <w:szCs w:val="21"/>
              </w:rPr>
              <w:t>3.若拟派本项目监理人员属香港人士，须满足《广东省住房和城乡建设厅关于香港工程建设咨询企业和专业人士在粤港澳大湾区内地城市开业执业试点管理暂行办法》的相关规定并提供相关证明文件。</w:t>
            </w:r>
          </w:p>
          <w:p>
            <w:pPr>
              <w:spacing w:line="360" w:lineRule="auto"/>
              <w:ind w:firstLine="420"/>
            </w:pPr>
            <w:r>
              <w:rPr>
                <w:rFonts w:hint="eastAsia" w:ascii="宋体" w:hAnsi="宋体" w:cs="宋体"/>
                <w:szCs w:val="21"/>
              </w:rPr>
              <w:t>4.投标人自行填写拟委派本项目驻场的监理人员，若需增加配备监理人员的，可按照原格式进行扩展。</w:t>
            </w:r>
          </w:p>
          <w:p>
            <w:pPr>
              <w:spacing w:line="360" w:lineRule="auto"/>
              <w:rPr>
                <w:rFonts w:ascii="宋体" w:hAnsi="宋体"/>
                <w:szCs w:val="21"/>
              </w:rPr>
            </w:pPr>
          </w:p>
        </w:tc>
      </w:tr>
    </w:tbl>
    <w:p>
      <w:pPr>
        <w:pStyle w:val="15"/>
        <w:spacing w:line="360" w:lineRule="auto"/>
        <w:rPr>
          <w:sz w:val="24"/>
          <w:szCs w:val="24"/>
        </w:rPr>
      </w:pPr>
    </w:p>
    <w:p>
      <w:pPr>
        <w:rPr>
          <w:b/>
          <w:bCs/>
        </w:rPr>
      </w:pPr>
      <w:r>
        <w:rPr>
          <w:rFonts w:hint="eastAsia"/>
          <w:b/>
          <w:bCs/>
          <w:sz w:val="24"/>
          <w:szCs w:val="24"/>
        </w:rPr>
        <w:t>（二）投标人认为需提供的其他材料。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00002FF" w:usb1="0000FCFF" w:usb2="00000001" w:usb3="00000000" w:csb0="6000019F" w:csb1="DFD7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5</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Gsq9ynTAQAAqwMAAA4AAAAAAAAAAQAgAAAAHwEA&#10;AGRycy9lMm9Eb2MueG1sUEsFBgAAAAAGAAYAWQEAAGQ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8"/>
                          </w:pPr>
                          <w:r>
                            <w:fldChar w:fldCharType="begin"/>
                          </w:r>
                          <w:r>
                            <w:instrText xml:space="preserve"> PAGE  \* MERGEFORMAT </w:instrText>
                          </w:r>
                          <w:r>
                            <w:fldChar w:fldCharType="separate"/>
                          </w:r>
                          <w:r>
                            <w:t>5</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sxgUzc8BAACoAwAADgAAAAAAAAABACAAAAAfAQAAZHJz&#10;L2Uyb0RvYy54bWxQSwUGAAAAAAYABgBZAQAAYA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5</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8"/>
                            <w:rPr>
                              <w:rStyle w:val="32"/>
                            </w:rPr>
                          </w:pPr>
                          <w:r>
                            <w:fldChar w:fldCharType="begin"/>
                          </w:r>
                          <w:r>
                            <w:rPr>
                              <w:rStyle w:val="32"/>
                            </w:rPr>
                            <w:instrText xml:space="preserve">PAGE  </w:instrText>
                          </w:r>
                          <w:r>
                            <w:fldChar w:fldCharType="separate"/>
                          </w:r>
                          <w:r>
                            <w:rPr>
                              <w:rStyle w:val="32"/>
                            </w:rPr>
                            <w:t>31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VK4UfSAQAAqwMAAA4AAABkcnMvZTJvRG9jLnhtbK1TzY7TMBC+I/EO&#10;lu80aYVQiZqukK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Wb6myTthaeaX798uP35d&#10;fn5lq6RQH7CixPtwB5OHZCa6Qws2/YkIG7Kq56uqaohMUnC5Xq3XJQku6Wx2CKd4uB4A41vlLUtG&#10;zYHGltUUp/cYx9Q5JVVz/lYbQ3FRGfdXgDDHiMqzn26n/seOkxWH/TDR2PvmTPTpNVDVzsMXznra&#10;hZo7Wn3OzDtHUqe1mQ2Yjf1sCCfpYs3HhjG8OUbqLjedio0ViGxyaIaZ9rRvaUn+9HPWwxvb/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RUrhR9IBAACrAwAADgAAAAAAAAABACAAAAAfAQAA&#10;ZHJzL2Uyb0RvYy54bWxQSwUGAAAAAAYABgBZAQAAYwUAAAAA&#10;">
              <v:fill on="f" focussize="0,0"/>
              <v:stroke on="f"/>
              <v:imagedata o:title=""/>
              <o:lock v:ext="edit" aspectratio="f"/>
              <v:textbox inset="0mm,0mm,0mm,0mm" style="mso-fit-shape-to-text:t;">
                <w:txbxContent>
                  <w:p>
                    <w:pPr>
                      <w:pStyle w:val="18"/>
                      <w:rPr>
                        <w:rStyle w:val="32"/>
                      </w:rPr>
                    </w:pPr>
                    <w:r>
                      <w:fldChar w:fldCharType="begin"/>
                    </w:r>
                    <w:r>
                      <w:rPr>
                        <w:rStyle w:val="32"/>
                      </w:rPr>
                      <w:instrText xml:space="preserve">PAGE  </w:instrText>
                    </w:r>
                    <w:r>
                      <w:fldChar w:fldCharType="separate"/>
                    </w:r>
                    <w:r>
                      <w:rPr>
                        <w:rStyle w:val="32"/>
                      </w:rPr>
                      <w:t>31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2"/>
      </w:rPr>
    </w:pPr>
    <w:r>
      <w:fldChar w:fldCharType="begin"/>
    </w:r>
    <w:r>
      <w:rPr>
        <w:rStyle w:val="32"/>
      </w:rPr>
      <w:instrText xml:space="preserve">PAGE  </w:instrText>
    </w:r>
    <w:r>
      <w:fldChar w:fldCharType="end"/>
    </w:r>
  </w:p>
  <w:p>
    <w:pPr>
      <w:pStyle w:val="1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8"/>
                            <w:rPr>
                              <w:rStyle w:val="32"/>
                            </w:rPr>
                          </w:pPr>
                          <w:r>
                            <w:fldChar w:fldCharType="begin"/>
                          </w:r>
                          <w:r>
                            <w:rPr>
                              <w:rStyle w:val="32"/>
                            </w:rPr>
                            <w:instrText xml:space="preserve">PAGE  </w:instrText>
                          </w:r>
                          <w:r>
                            <w:fldChar w:fldCharType="separate"/>
                          </w:r>
                          <w:r>
                            <w:rPr>
                              <w:rStyle w:val="32"/>
                            </w:rPr>
                            <w:t>41</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l33TTAQAAqwMAAA4AAAAAAAAAAQAgAAAAHwEA&#10;AGRycy9lMm9Eb2MueG1sUEsFBgAAAAAGAAYAWQEAAGQFAAAAAA==&#10;">
              <v:fill on="f" focussize="0,0"/>
              <v:stroke on="f"/>
              <v:imagedata o:title=""/>
              <o:lock v:ext="edit" aspectratio="f"/>
              <v:textbox inset="0mm,0mm,0mm,0mm" style="mso-fit-shape-to-text:t;">
                <w:txbxContent>
                  <w:p>
                    <w:pPr>
                      <w:pStyle w:val="18"/>
                      <w:rPr>
                        <w:rStyle w:val="32"/>
                      </w:rPr>
                    </w:pPr>
                    <w:r>
                      <w:fldChar w:fldCharType="begin"/>
                    </w:r>
                    <w:r>
                      <w:rPr>
                        <w:rStyle w:val="32"/>
                      </w:rPr>
                      <w:instrText xml:space="preserve">PAGE  </w:instrText>
                    </w:r>
                    <w:r>
                      <w:fldChar w:fldCharType="separate"/>
                    </w:r>
                    <w:r>
                      <w:rPr>
                        <w:rStyle w:val="32"/>
                      </w:rPr>
                      <w:t>41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266ADE"/>
    <w:multiLevelType w:val="singleLevel"/>
    <w:tmpl w:val="59266ADE"/>
    <w:lvl w:ilvl="0" w:tentative="0">
      <w:start w:val="1"/>
      <w:numFmt w:val="decimal"/>
      <w:suff w:val="nothing"/>
      <w:lvlText w:val="%1、"/>
      <w:lvlJc w:val="left"/>
    </w:lvl>
  </w:abstractNum>
  <w:abstractNum w:abstractNumId="2">
    <w:nsid w:val="7B5E7F1E"/>
    <w:multiLevelType w:val="singleLevel"/>
    <w:tmpl w:val="7B5E7F1E"/>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dit="trackedChanges"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YWEyN2QyNDBjNzVkODVlODI4N2RlOTM2YjY0MmIifQ=="/>
  </w:docVars>
  <w:rsids>
    <w:rsidRoot w:val="006D70C5"/>
    <w:rsid w:val="00075C34"/>
    <w:rsid w:val="00087668"/>
    <w:rsid w:val="002E79D3"/>
    <w:rsid w:val="003D07E4"/>
    <w:rsid w:val="00484314"/>
    <w:rsid w:val="004B1362"/>
    <w:rsid w:val="005A2519"/>
    <w:rsid w:val="006D70C5"/>
    <w:rsid w:val="00847596"/>
    <w:rsid w:val="0085653D"/>
    <w:rsid w:val="0087100B"/>
    <w:rsid w:val="00A47823"/>
    <w:rsid w:val="00B20677"/>
    <w:rsid w:val="00B7629B"/>
    <w:rsid w:val="00CB7AD0"/>
    <w:rsid w:val="00D023FF"/>
    <w:rsid w:val="017B5688"/>
    <w:rsid w:val="01937524"/>
    <w:rsid w:val="04092619"/>
    <w:rsid w:val="04914FF7"/>
    <w:rsid w:val="05495ADE"/>
    <w:rsid w:val="0D996C9A"/>
    <w:rsid w:val="0F672DA8"/>
    <w:rsid w:val="15831A2E"/>
    <w:rsid w:val="16447EED"/>
    <w:rsid w:val="17991F6C"/>
    <w:rsid w:val="1E573AB7"/>
    <w:rsid w:val="1EC04C47"/>
    <w:rsid w:val="20AE082C"/>
    <w:rsid w:val="26755367"/>
    <w:rsid w:val="28F45E40"/>
    <w:rsid w:val="2A7C3CC8"/>
    <w:rsid w:val="2AD8288F"/>
    <w:rsid w:val="2B6A4948"/>
    <w:rsid w:val="2C2C2F57"/>
    <w:rsid w:val="2D4A4FA9"/>
    <w:rsid w:val="30C47C02"/>
    <w:rsid w:val="314E7B59"/>
    <w:rsid w:val="31E01311"/>
    <w:rsid w:val="33365798"/>
    <w:rsid w:val="369A30E0"/>
    <w:rsid w:val="372F309C"/>
    <w:rsid w:val="374C3F3D"/>
    <w:rsid w:val="385B0E4C"/>
    <w:rsid w:val="38731C98"/>
    <w:rsid w:val="415F544E"/>
    <w:rsid w:val="423E0748"/>
    <w:rsid w:val="42FE51F6"/>
    <w:rsid w:val="45562AD0"/>
    <w:rsid w:val="467E4646"/>
    <w:rsid w:val="48967A43"/>
    <w:rsid w:val="4BA51FE2"/>
    <w:rsid w:val="4BB46342"/>
    <w:rsid w:val="4C3540BE"/>
    <w:rsid w:val="4E9708B5"/>
    <w:rsid w:val="537A08C9"/>
    <w:rsid w:val="58B73A25"/>
    <w:rsid w:val="5ACF45ED"/>
    <w:rsid w:val="5B022F52"/>
    <w:rsid w:val="5C1D44E7"/>
    <w:rsid w:val="60E86FA3"/>
    <w:rsid w:val="623D3CF5"/>
    <w:rsid w:val="647F33FB"/>
    <w:rsid w:val="68330BEE"/>
    <w:rsid w:val="69FB573C"/>
    <w:rsid w:val="6D5E2269"/>
    <w:rsid w:val="6DB45450"/>
    <w:rsid w:val="70F27529"/>
    <w:rsid w:val="768A2321"/>
    <w:rsid w:val="778C41B1"/>
    <w:rsid w:val="77D05AFE"/>
    <w:rsid w:val="7886023D"/>
    <w:rsid w:val="7AD11525"/>
    <w:rsid w:val="7B7354B8"/>
    <w:rsid w:val="7D944A96"/>
    <w:rsid w:val="7DCB5D4B"/>
    <w:rsid w:val="7EB922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szCs w:val="20"/>
    </w:rPr>
  </w:style>
  <w:style w:type="paragraph" w:styleId="4">
    <w:name w:val="heading 2"/>
    <w:basedOn w:val="1"/>
    <w:next w:val="1"/>
    <w:link w:val="50"/>
    <w:qFormat/>
    <w:uiPriority w:val="0"/>
    <w:pPr>
      <w:keepNext/>
      <w:keepLines/>
      <w:spacing w:before="260" w:after="260" w:line="412" w:lineRule="auto"/>
      <w:outlineLvl w:val="1"/>
    </w:pPr>
    <w:rPr>
      <w:rFonts w:ascii="等线 Light" w:hAnsi="等线 Light" w:eastAsia="等线 Light"/>
      <w:b/>
      <w:sz w:val="32"/>
      <w:szCs w:val="32"/>
    </w:rPr>
  </w:style>
  <w:style w:type="paragraph" w:styleId="5">
    <w:name w:val="heading 3"/>
    <w:basedOn w:val="1"/>
    <w:next w:val="1"/>
    <w:link w:val="45"/>
    <w:qFormat/>
    <w:uiPriority w:val="0"/>
    <w:pPr>
      <w:keepNext/>
      <w:keepLines/>
      <w:spacing w:line="360" w:lineRule="auto"/>
      <w:outlineLvl w:val="2"/>
    </w:pPr>
    <w:rPr>
      <w:bCs/>
      <w:sz w:val="24"/>
      <w:szCs w:val="32"/>
    </w:rPr>
  </w:style>
  <w:style w:type="paragraph" w:styleId="6">
    <w:name w:val="heading 4"/>
    <w:basedOn w:val="1"/>
    <w:next w:val="1"/>
    <w:link w:val="46"/>
    <w:qFormat/>
    <w:uiPriority w:val="0"/>
    <w:pPr>
      <w:keepNext/>
      <w:keepLines/>
      <w:adjustRightInd w:val="0"/>
      <w:snapToGrid w:val="0"/>
      <w:spacing w:line="500" w:lineRule="exact"/>
      <w:ind w:left="426"/>
      <w:outlineLvl w:val="3"/>
    </w:pPr>
    <w:rPr>
      <w:rFonts w:ascii="Arial" w:hAnsi="Arial"/>
      <w:bCs/>
      <w:sz w:val="24"/>
      <w:szCs w:val="28"/>
    </w:rPr>
  </w:style>
  <w:style w:type="paragraph" w:styleId="7">
    <w:name w:val="heading 5"/>
    <w:basedOn w:val="1"/>
    <w:next w:val="1"/>
    <w:link w:val="47"/>
    <w:qFormat/>
    <w:uiPriority w:val="0"/>
    <w:pPr>
      <w:keepNext/>
      <w:keepLines/>
      <w:tabs>
        <w:tab w:val="left" w:pos="33"/>
      </w:tabs>
      <w:spacing w:before="280" w:after="290"/>
      <w:ind w:left="436" w:firstLine="448"/>
      <w:outlineLvl w:val="4"/>
    </w:pPr>
    <w:rPr>
      <w:bCs/>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szCs w:val="20"/>
      <w:lang w:val="zh-CN"/>
    </w:rPr>
  </w:style>
  <w:style w:type="paragraph" w:styleId="8">
    <w:name w:val="Document Map"/>
    <w:basedOn w:val="1"/>
    <w:link w:val="51"/>
    <w:qFormat/>
    <w:uiPriority w:val="0"/>
    <w:pPr>
      <w:shd w:val="clear" w:color="auto" w:fill="000080"/>
    </w:pPr>
  </w:style>
  <w:style w:type="paragraph" w:styleId="9">
    <w:name w:val="annotation text"/>
    <w:basedOn w:val="1"/>
    <w:next w:val="1"/>
    <w:link w:val="53"/>
    <w:qFormat/>
    <w:uiPriority w:val="0"/>
    <w:pPr>
      <w:jc w:val="left"/>
    </w:pPr>
    <w:rPr>
      <w:rFonts w:ascii="宋体" w:hAnsi="宋体"/>
      <w:kern w:val="0"/>
      <w:sz w:val="24"/>
      <w:szCs w:val="24"/>
    </w:rPr>
  </w:style>
  <w:style w:type="paragraph" w:styleId="10">
    <w:name w:val="Body Text 3"/>
    <w:basedOn w:val="1"/>
    <w:link w:val="54"/>
    <w:qFormat/>
    <w:uiPriority w:val="0"/>
    <w:pPr>
      <w:spacing w:after="120"/>
    </w:pPr>
    <w:rPr>
      <w:sz w:val="16"/>
      <w:szCs w:val="16"/>
    </w:rPr>
  </w:style>
  <w:style w:type="paragraph" w:styleId="11">
    <w:name w:val="Body Text"/>
    <w:basedOn w:val="1"/>
    <w:next w:val="1"/>
    <w:link w:val="49"/>
    <w:qFormat/>
    <w:uiPriority w:val="0"/>
    <w:pPr>
      <w:spacing w:after="120"/>
    </w:pPr>
  </w:style>
  <w:style w:type="paragraph" w:styleId="12">
    <w:name w:val="Body Text Indent"/>
    <w:basedOn w:val="1"/>
    <w:next w:val="13"/>
    <w:link w:val="55"/>
    <w:qFormat/>
    <w:uiPriority w:val="0"/>
    <w:pPr>
      <w:spacing w:after="120"/>
      <w:ind w:left="420" w:leftChars="200"/>
    </w:pPr>
  </w:style>
  <w:style w:type="paragraph" w:styleId="13">
    <w:name w:val="envelope return"/>
    <w:basedOn w:val="1"/>
    <w:qFormat/>
    <w:uiPriority w:val="0"/>
    <w:pPr>
      <w:snapToGrid w:val="0"/>
    </w:pPr>
    <w:rPr>
      <w:rFonts w:ascii="Arial" w:hAnsi="Arial"/>
      <w:szCs w:val="24"/>
    </w:rPr>
  </w:style>
  <w:style w:type="paragraph" w:styleId="14">
    <w:name w:val="index 4"/>
    <w:basedOn w:val="1"/>
    <w:next w:val="1"/>
    <w:qFormat/>
    <w:uiPriority w:val="99"/>
    <w:pPr>
      <w:ind w:left="600" w:leftChars="600"/>
    </w:pPr>
  </w:style>
  <w:style w:type="paragraph" w:styleId="15">
    <w:name w:val="Plain Text"/>
    <w:basedOn w:val="1"/>
    <w:next w:val="1"/>
    <w:link w:val="57"/>
    <w:qFormat/>
    <w:uiPriority w:val="0"/>
    <w:rPr>
      <w:rFonts w:ascii="等线" w:hAnsi="Courier New" w:eastAsia="等线"/>
    </w:rPr>
  </w:style>
  <w:style w:type="paragraph" w:styleId="16">
    <w:name w:val="Date"/>
    <w:basedOn w:val="1"/>
    <w:next w:val="1"/>
    <w:link w:val="58"/>
    <w:qFormat/>
    <w:uiPriority w:val="0"/>
    <w:pPr>
      <w:ind w:left="100" w:leftChars="2500"/>
    </w:pPr>
  </w:style>
  <w:style w:type="paragraph" w:styleId="17">
    <w:name w:val="Balloon Text"/>
    <w:basedOn w:val="1"/>
    <w:link w:val="59"/>
    <w:qFormat/>
    <w:uiPriority w:val="0"/>
    <w:rPr>
      <w:sz w:val="18"/>
      <w:szCs w:val="18"/>
    </w:rPr>
  </w:style>
  <w:style w:type="paragraph" w:styleId="18">
    <w:name w:val="footer"/>
    <w:basedOn w:val="1"/>
    <w:link w:val="42"/>
    <w:unhideWhenUsed/>
    <w:qFormat/>
    <w:uiPriority w:val="0"/>
    <w:pPr>
      <w:tabs>
        <w:tab w:val="center" w:pos="4153"/>
        <w:tab w:val="right" w:pos="8306"/>
      </w:tabs>
      <w:snapToGrid w:val="0"/>
      <w:jc w:val="left"/>
    </w:pPr>
    <w:rPr>
      <w:sz w:val="18"/>
      <w:szCs w:val="18"/>
    </w:rPr>
  </w:style>
  <w:style w:type="paragraph" w:styleId="19">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footnote text"/>
    <w:basedOn w:val="1"/>
    <w:link w:val="60"/>
    <w:qFormat/>
    <w:uiPriority w:val="0"/>
    <w:pPr>
      <w:snapToGrid w:val="0"/>
      <w:jc w:val="left"/>
    </w:pPr>
    <w:rPr>
      <w:sz w:val="18"/>
      <w:szCs w:val="18"/>
    </w:rPr>
  </w:style>
  <w:style w:type="paragraph" w:styleId="22">
    <w:name w:val="Body Text Indent 3"/>
    <w:basedOn w:val="1"/>
    <w:link w:val="61"/>
    <w:qFormat/>
    <w:uiPriority w:val="0"/>
    <w:pPr>
      <w:spacing w:after="120"/>
      <w:ind w:left="420" w:leftChars="200"/>
    </w:pPr>
    <w:rPr>
      <w:sz w:val="16"/>
      <w:szCs w:val="16"/>
    </w:rPr>
  </w:style>
  <w:style w:type="paragraph" w:styleId="23">
    <w:name w:val="HTML Preformatted"/>
    <w:basedOn w:val="1"/>
    <w:link w:val="62"/>
    <w:qFormat/>
    <w:uiPriority w:val="0"/>
    <w:rPr>
      <w:rFonts w:ascii="Courier New" w:hAnsi="Courier New" w:cs="Courier New"/>
      <w:sz w:val="20"/>
      <w:szCs w:val="2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annotation subject"/>
    <w:basedOn w:val="9"/>
    <w:next w:val="9"/>
    <w:link w:val="63"/>
    <w:qFormat/>
    <w:uiPriority w:val="0"/>
    <w:rPr>
      <w:rFonts w:ascii="Calibri" w:hAnsi="Calibri"/>
      <w:b/>
      <w:bCs/>
      <w:szCs w:val="22"/>
    </w:rPr>
  </w:style>
  <w:style w:type="paragraph" w:styleId="26">
    <w:name w:val="Body Text First Indent"/>
    <w:basedOn w:val="11"/>
    <w:link w:val="64"/>
    <w:qFormat/>
    <w:uiPriority w:val="0"/>
    <w:pPr>
      <w:ind w:firstLine="420" w:firstLineChars="100"/>
    </w:pPr>
    <w:rPr>
      <w:rFonts w:ascii="Calibri" w:hAnsi="Calibri"/>
    </w:rPr>
  </w:style>
  <w:style w:type="paragraph" w:styleId="27">
    <w:name w:val="Body Text First Indent 2"/>
    <w:basedOn w:val="12"/>
    <w:link w:val="65"/>
    <w:qFormat/>
    <w:uiPriority w:val="0"/>
    <w:pPr>
      <w:ind w:firstLine="200" w:firstLineChars="200"/>
    </w:pPr>
    <w:rPr>
      <w:kern w:val="0"/>
      <w:sz w:val="20"/>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rFonts w:hint="eastAsia" w:ascii="微软雅黑" w:hAnsi="微软雅黑" w:eastAsia="微软雅黑" w:cs="微软雅黑"/>
      <w:color w:val="337AB7"/>
      <w:u w:val="none"/>
    </w:rPr>
  </w:style>
  <w:style w:type="character" w:styleId="34">
    <w:name w:val="Emphasis"/>
    <w:qFormat/>
    <w:uiPriority w:val="0"/>
    <w:rPr>
      <w:rFonts w:eastAsia="华文仿宋" w:cs="Times New Roman"/>
      <w:sz w:val="24"/>
    </w:rPr>
  </w:style>
  <w:style w:type="character" w:styleId="35">
    <w:name w:val="HTML Definition"/>
    <w:qFormat/>
    <w:uiPriority w:val="0"/>
    <w:rPr>
      <w:i/>
    </w:rPr>
  </w:style>
  <w:style w:type="character" w:styleId="36">
    <w:name w:val="Hyperlink"/>
    <w:qFormat/>
    <w:uiPriority w:val="99"/>
    <w:rPr>
      <w:color w:val="0000FF"/>
      <w:u w:val="single"/>
    </w:rPr>
  </w:style>
  <w:style w:type="character" w:styleId="37">
    <w:name w:val="HTML Code"/>
    <w:qFormat/>
    <w:uiPriority w:val="0"/>
    <w:rPr>
      <w:rFonts w:ascii="Consolas" w:hAnsi="Consolas" w:eastAsia="Consolas" w:cs="Consolas"/>
      <w:color w:val="C7254E"/>
      <w:sz w:val="21"/>
      <w:szCs w:val="21"/>
      <w:bdr w:val="single" w:color="E1E1E1" w:sz="6" w:space="0"/>
      <w:shd w:val="clear" w:color="auto" w:fill="F9F2F4"/>
    </w:rPr>
  </w:style>
  <w:style w:type="character" w:styleId="38">
    <w:name w:val="annotation reference"/>
    <w:qFormat/>
    <w:uiPriority w:val="0"/>
    <w:rPr>
      <w:rFonts w:cs="Times New Roman"/>
      <w:sz w:val="21"/>
    </w:rPr>
  </w:style>
  <w:style w:type="character" w:styleId="39">
    <w:name w:val="HTML Keyboard"/>
    <w:qFormat/>
    <w:uiPriority w:val="0"/>
    <w:rPr>
      <w:rFonts w:hint="default" w:ascii="Consolas" w:hAnsi="Consolas" w:eastAsia="Consolas" w:cs="Consolas"/>
      <w:color w:val="FFFFFF"/>
      <w:sz w:val="21"/>
      <w:szCs w:val="21"/>
      <w:shd w:val="clear" w:color="auto" w:fill="333333"/>
    </w:rPr>
  </w:style>
  <w:style w:type="character" w:styleId="40">
    <w:name w:val="HTML Sample"/>
    <w:qFormat/>
    <w:uiPriority w:val="0"/>
    <w:rPr>
      <w:rFonts w:hint="default" w:ascii="Consolas" w:hAnsi="Consolas" w:eastAsia="Consolas" w:cs="Consolas"/>
      <w:sz w:val="21"/>
      <w:szCs w:val="21"/>
    </w:rPr>
  </w:style>
  <w:style w:type="character" w:customStyle="1" w:styleId="41">
    <w:name w:val="页眉 Char"/>
    <w:basedOn w:val="30"/>
    <w:link w:val="19"/>
    <w:semiHidden/>
    <w:qFormat/>
    <w:uiPriority w:val="99"/>
    <w:rPr>
      <w:sz w:val="18"/>
      <w:szCs w:val="18"/>
    </w:rPr>
  </w:style>
  <w:style w:type="character" w:customStyle="1" w:styleId="42">
    <w:name w:val="页脚 Char"/>
    <w:basedOn w:val="30"/>
    <w:link w:val="18"/>
    <w:semiHidden/>
    <w:qFormat/>
    <w:uiPriority w:val="99"/>
    <w:rPr>
      <w:sz w:val="18"/>
      <w:szCs w:val="18"/>
    </w:rPr>
  </w:style>
  <w:style w:type="character" w:customStyle="1" w:styleId="43">
    <w:name w:val="标题 1 Char"/>
    <w:basedOn w:val="30"/>
    <w:link w:val="3"/>
    <w:qFormat/>
    <w:uiPriority w:val="0"/>
    <w:rPr>
      <w:rFonts w:ascii="Times New Roman" w:hAnsi="Times New Roman" w:eastAsia="宋体" w:cs="Times New Roman"/>
      <w:b/>
      <w:kern w:val="44"/>
      <w:sz w:val="44"/>
      <w:szCs w:val="20"/>
    </w:rPr>
  </w:style>
  <w:style w:type="character" w:customStyle="1" w:styleId="44">
    <w:name w:val="标题 2 Char"/>
    <w:basedOn w:val="30"/>
    <w:link w:val="4"/>
    <w:qFormat/>
    <w:uiPriority w:val="0"/>
    <w:rPr>
      <w:rFonts w:asciiTheme="majorHAnsi" w:hAnsiTheme="majorHAnsi" w:eastAsiaTheme="majorEastAsia" w:cstheme="majorBidi"/>
      <w:b/>
      <w:bCs/>
      <w:sz w:val="32"/>
      <w:szCs w:val="32"/>
    </w:rPr>
  </w:style>
  <w:style w:type="character" w:customStyle="1" w:styleId="45">
    <w:name w:val="标题 3 Char"/>
    <w:basedOn w:val="30"/>
    <w:link w:val="5"/>
    <w:qFormat/>
    <w:uiPriority w:val="0"/>
    <w:rPr>
      <w:rFonts w:ascii="Times New Roman" w:hAnsi="Times New Roman" w:eastAsia="宋体" w:cs="Times New Roman"/>
      <w:bCs/>
      <w:sz w:val="24"/>
      <w:szCs w:val="32"/>
    </w:rPr>
  </w:style>
  <w:style w:type="character" w:customStyle="1" w:styleId="46">
    <w:name w:val="标题 4 Char"/>
    <w:basedOn w:val="30"/>
    <w:link w:val="6"/>
    <w:qFormat/>
    <w:uiPriority w:val="0"/>
    <w:rPr>
      <w:rFonts w:ascii="Arial" w:hAnsi="Arial" w:eastAsia="宋体" w:cs="Times New Roman"/>
      <w:bCs/>
      <w:sz w:val="24"/>
      <w:szCs w:val="28"/>
    </w:rPr>
  </w:style>
  <w:style w:type="character" w:customStyle="1" w:styleId="47">
    <w:name w:val="标题 5 Char"/>
    <w:basedOn w:val="30"/>
    <w:link w:val="7"/>
    <w:qFormat/>
    <w:uiPriority w:val="0"/>
    <w:rPr>
      <w:rFonts w:ascii="Times New Roman" w:hAnsi="Times New Roman" w:eastAsia="宋体" w:cs="Times New Roman"/>
      <w:bCs/>
      <w:szCs w:val="28"/>
    </w:rPr>
  </w:style>
  <w:style w:type="character" w:customStyle="1" w:styleId="48">
    <w:name w:val="正文文本 Char"/>
    <w:basedOn w:val="30"/>
    <w:link w:val="11"/>
    <w:qFormat/>
    <w:uiPriority w:val="0"/>
    <w:rPr>
      <w:rFonts w:ascii="Times New Roman" w:hAnsi="Times New Roman" w:eastAsia="宋体" w:cs="Times New Roman"/>
    </w:rPr>
  </w:style>
  <w:style w:type="character" w:customStyle="1" w:styleId="49">
    <w:name w:val="正文文本 Char1"/>
    <w:link w:val="11"/>
    <w:qFormat/>
    <w:uiPriority w:val="0"/>
    <w:rPr>
      <w:rFonts w:ascii="Times New Roman" w:hAnsi="Times New Roman" w:eastAsia="宋体" w:cs="Times New Roman"/>
    </w:rPr>
  </w:style>
  <w:style w:type="character" w:customStyle="1" w:styleId="50">
    <w:name w:val="标题 2 Char1"/>
    <w:link w:val="4"/>
    <w:qFormat/>
    <w:uiPriority w:val="0"/>
    <w:rPr>
      <w:rFonts w:ascii="等线 Light" w:hAnsi="等线 Light" w:eastAsia="等线 Light" w:cs="Times New Roman"/>
      <w:b/>
      <w:sz w:val="32"/>
      <w:szCs w:val="32"/>
    </w:rPr>
  </w:style>
  <w:style w:type="character" w:customStyle="1" w:styleId="51">
    <w:name w:val="文档结构图 Char"/>
    <w:basedOn w:val="30"/>
    <w:link w:val="8"/>
    <w:qFormat/>
    <w:uiPriority w:val="0"/>
    <w:rPr>
      <w:rFonts w:ascii="Times New Roman" w:hAnsi="Times New Roman" w:eastAsia="宋体" w:cs="Times New Roman"/>
      <w:shd w:val="clear" w:color="auto" w:fill="000080"/>
    </w:rPr>
  </w:style>
  <w:style w:type="character" w:customStyle="1" w:styleId="52">
    <w:name w:val="批注文字 Char"/>
    <w:basedOn w:val="30"/>
    <w:link w:val="9"/>
    <w:qFormat/>
    <w:uiPriority w:val="0"/>
    <w:rPr>
      <w:rFonts w:ascii="Times New Roman" w:hAnsi="Times New Roman" w:eastAsia="宋体" w:cs="Times New Roman"/>
    </w:rPr>
  </w:style>
  <w:style w:type="character" w:customStyle="1" w:styleId="53">
    <w:name w:val="批注文字 Char2"/>
    <w:link w:val="9"/>
    <w:qFormat/>
    <w:uiPriority w:val="0"/>
    <w:rPr>
      <w:rFonts w:ascii="宋体" w:hAnsi="宋体" w:eastAsia="宋体" w:cs="Times New Roman"/>
      <w:kern w:val="0"/>
      <w:sz w:val="24"/>
      <w:szCs w:val="24"/>
    </w:rPr>
  </w:style>
  <w:style w:type="character" w:customStyle="1" w:styleId="54">
    <w:name w:val="正文文本 3 Char"/>
    <w:basedOn w:val="30"/>
    <w:link w:val="10"/>
    <w:qFormat/>
    <w:uiPriority w:val="0"/>
    <w:rPr>
      <w:rFonts w:ascii="Times New Roman" w:hAnsi="Times New Roman" w:eastAsia="宋体" w:cs="Times New Roman"/>
      <w:sz w:val="16"/>
      <w:szCs w:val="16"/>
    </w:rPr>
  </w:style>
  <w:style w:type="character" w:customStyle="1" w:styleId="55">
    <w:name w:val="正文文本缩进 Char"/>
    <w:basedOn w:val="30"/>
    <w:link w:val="12"/>
    <w:qFormat/>
    <w:uiPriority w:val="0"/>
    <w:rPr>
      <w:rFonts w:ascii="Times New Roman" w:hAnsi="Times New Roman" w:eastAsia="宋体" w:cs="Times New Roman"/>
    </w:rPr>
  </w:style>
  <w:style w:type="character" w:customStyle="1" w:styleId="56">
    <w:name w:val="纯文本 Char"/>
    <w:basedOn w:val="30"/>
    <w:link w:val="15"/>
    <w:qFormat/>
    <w:uiPriority w:val="0"/>
    <w:rPr>
      <w:rFonts w:ascii="宋体" w:hAnsi="Courier New" w:eastAsia="宋体" w:cs="Courier New"/>
      <w:szCs w:val="21"/>
    </w:rPr>
  </w:style>
  <w:style w:type="character" w:customStyle="1" w:styleId="57">
    <w:name w:val="纯文本 Char1"/>
    <w:link w:val="15"/>
    <w:qFormat/>
    <w:uiPriority w:val="0"/>
    <w:rPr>
      <w:rFonts w:ascii="等线" w:hAnsi="Courier New" w:eastAsia="等线" w:cs="Times New Roman"/>
    </w:rPr>
  </w:style>
  <w:style w:type="character" w:customStyle="1" w:styleId="58">
    <w:name w:val="日期 Char"/>
    <w:basedOn w:val="30"/>
    <w:link w:val="16"/>
    <w:qFormat/>
    <w:uiPriority w:val="0"/>
    <w:rPr>
      <w:rFonts w:ascii="Times New Roman" w:hAnsi="Times New Roman" w:eastAsia="宋体" w:cs="Times New Roman"/>
    </w:rPr>
  </w:style>
  <w:style w:type="character" w:customStyle="1" w:styleId="59">
    <w:name w:val="批注框文本 Char"/>
    <w:basedOn w:val="30"/>
    <w:link w:val="17"/>
    <w:qFormat/>
    <w:uiPriority w:val="0"/>
    <w:rPr>
      <w:rFonts w:ascii="Times New Roman" w:hAnsi="Times New Roman" w:eastAsia="宋体" w:cs="Times New Roman"/>
      <w:sz w:val="18"/>
      <w:szCs w:val="18"/>
    </w:rPr>
  </w:style>
  <w:style w:type="character" w:customStyle="1" w:styleId="60">
    <w:name w:val="脚注文本 Char"/>
    <w:basedOn w:val="30"/>
    <w:link w:val="21"/>
    <w:qFormat/>
    <w:uiPriority w:val="0"/>
    <w:rPr>
      <w:rFonts w:ascii="Times New Roman" w:hAnsi="Times New Roman" w:eastAsia="宋体" w:cs="Times New Roman"/>
      <w:sz w:val="18"/>
      <w:szCs w:val="18"/>
    </w:rPr>
  </w:style>
  <w:style w:type="character" w:customStyle="1" w:styleId="61">
    <w:name w:val="正文文本缩进 3 Char"/>
    <w:basedOn w:val="30"/>
    <w:link w:val="22"/>
    <w:qFormat/>
    <w:uiPriority w:val="0"/>
    <w:rPr>
      <w:rFonts w:ascii="Times New Roman" w:hAnsi="Times New Roman" w:eastAsia="宋体" w:cs="Times New Roman"/>
      <w:sz w:val="16"/>
      <w:szCs w:val="16"/>
    </w:rPr>
  </w:style>
  <w:style w:type="character" w:customStyle="1" w:styleId="62">
    <w:name w:val="HTML 预设格式 Char"/>
    <w:basedOn w:val="30"/>
    <w:link w:val="23"/>
    <w:qFormat/>
    <w:uiPriority w:val="0"/>
    <w:rPr>
      <w:rFonts w:ascii="Courier New" w:hAnsi="Courier New" w:eastAsia="宋体" w:cs="Courier New"/>
      <w:sz w:val="20"/>
      <w:szCs w:val="20"/>
    </w:rPr>
  </w:style>
  <w:style w:type="character" w:customStyle="1" w:styleId="63">
    <w:name w:val="批注主题 Char"/>
    <w:basedOn w:val="52"/>
    <w:link w:val="25"/>
    <w:qFormat/>
    <w:uiPriority w:val="0"/>
    <w:rPr>
      <w:rFonts w:ascii="Calibri" w:hAnsi="Calibri"/>
      <w:b/>
      <w:bCs/>
      <w:kern w:val="0"/>
      <w:sz w:val="24"/>
    </w:rPr>
  </w:style>
  <w:style w:type="character" w:customStyle="1" w:styleId="64">
    <w:name w:val="正文首行缩进 Char"/>
    <w:basedOn w:val="48"/>
    <w:link w:val="26"/>
    <w:qFormat/>
    <w:uiPriority w:val="0"/>
    <w:rPr>
      <w:rFonts w:ascii="Calibri" w:hAnsi="Calibri"/>
    </w:rPr>
  </w:style>
  <w:style w:type="character" w:customStyle="1" w:styleId="65">
    <w:name w:val="正文首行缩进 2 Char"/>
    <w:basedOn w:val="55"/>
    <w:link w:val="27"/>
    <w:qFormat/>
    <w:uiPriority w:val="0"/>
    <w:rPr>
      <w:kern w:val="0"/>
      <w:sz w:val="20"/>
      <w:szCs w:val="24"/>
    </w:rPr>
  </w:style>
  <w:style w:type="paragraph" w:customStyle="1" w:styleId="66">
    <w:name w:val="样式 正文文本 + 新宋体 小四 黑色"/>
    <w:basedOn w:val="11"/>
    <w:link w:val="67"/>
    <w:qFormat/>
    <w:uiPriority w:val="0"/>
    <w:rPr>
      <w:rFonts w:ascii="新宋体" w:hAnsi="新宋体"/>
      <w:color w:val="000000"/>
      <w:szCs w:val="24"/>
    </w:rPr>
  </w:style>
  <w:style w:type="character" w:customStyle="1" w:styleId="67">
    <w:name w:val="样式 正文文本 + 新宋体 小四 黑色 Char"/>
    <w:link w:val="66"/>
    <w:qFormat/>
    <w:uiPriority w:val="0"/>
    <w:rPr>
      <w:rFonts w:ascii="新宋体" w:hAnsi="新宋体" w:eastAsia="宋体" w:cs="Times New Roman"/>
      <w:color w:val="000000"/>
      <w:szCs w:val="24"/>
    </w:rPr>
  </w:style>
  <w:style w:type="paragraph" w:customStyle="1" w:styleId="68">
    <w:name w:val="WPSOffice手动目录 1"/>
    <w:qFormat/>
    <w:uiPriority w:val="0"/>
    <w:rPr>
      <w:rFonts w:ascii="Times New Roman" w:hAnsi="Times New Roman" w:eastAsia="宋体" w:cs="Times New Roman"/>
      <w:lang w:val="en-US" w:eastAsia="zh-CN" w:bidi="ar-SA"/>
    </w:rPr>
  </w:style>
  <w:style w:type="paragraph" w:customStyle="1" w:styleId="69">
    <w:name w:val="样式 标题 3 + 新宋体"/>
    <w:basedOn w:val="5"/>
    <w:link w:val="70"/>
    <w:qFormat/>
    <w:uiPriority w:val="0"/>
    <w:rPr>
      <w:rFonts w:ascii="新宋体" w:hAnsi="新宋体"/>
      <w:bCs w:val="0"/>
      <w:kern w:val="0"/>
      <w:sz w:val="21"/>
    </w:rPr>
  </w:style>
  <w:style w:type="character" w:customStyle="1" w:styleId="70">
    <w:name w:val="样式 标题 3 + 新宋体 Char"/>
    <w:link w:val="69"/>
    <w:qFormat/>
    <w:uiPriority w:val="0"/>
    <w:rPr>
      <w:rFonts w:ascii="新宋体" w:hAnsi="新宋体" w:eastAsia="宋体" w:cs="Times New Roman"/>
      <w:kern w:val="0"/>
      <w:szCs w:val="32"/>
    </w:rPr>
  </w:style>
  <w:style w:type="paragraph" w:customStyle="1" w:styleId="71">
    <w:name w:val="Table Paragraph"/>
    <w:basedOn w:val="1"/>
    <w:qFormat/>
    <w:uiPriority w:val="0"/>
    <w:pPr>
      <w:autoSpaceDE w:val="0"/>
      <w:autoSpaceDN w:val="0"/>
      <w:jc w:val="left"/>
    </w:pPr>
    <w:rPr>
      <w:rFonts w:ascii="宋体" w:cs="宋体"/>
      <w:kern w:val="0"/>
      <w:sz w:val="22"/>
      <w:lang w:val="zh-CN" w:bidi="zh-CN"/>
    </w:rPr>
  </w:style>
  <w:style w:type="paragraph" w:customStyle="1" w:styleId="72">
    <w:name w:val="_Style 42"/>
    <w:qFormat/>
    <w:uiPriority w:val="99"/>
    <w:rPr>
      <w:rFonts w:ascii="Times New Roman" w:hAnsi="Times New Roman" w:eastAsia="宋体" w:cs="Times New Roman"/>
      <w:kern w:val="2"/>
      <w:sz w:val="21"/>
      <w:szCs w:val="22"/>
      <w:lang w:val="en-US" w:eastAsia="zh-CN" w:bidi="ar-SA"/>
    </w:rPr>
  </w:style>
  <w:style w:type="paragraph" w:customStyle="1" w:styleId="73">
    <w:name w:val="修订11"/>
    <w:qFormat/>
    <w:uiPriority w:val="99"/>
    <w:rPr>
      <w:rFonts w:ascii="Times New Roman" w:hAnsi="Times New Roman" w:eastAsia="宋体" w:cs="Times New Roman"/>
      <w:kern w:val="2"/>
      <w:sz w:val="21"/>
      <w:szCs w:val="22"/>
      <w:lang w:val="en-US" w:eastAsia="zh-CN" w:bidi="ar-SA"/>
    </w:rPr>
  </w:style>
  <w:style w:type="paragraph" w:customStyle="1" w:styleId="74">
    <w:name w:val="修订1"/>
    <w:qFormat/>
    <w:uiPriority w:val="99"/>
    <w:rPr>
      <w:rFonts w:ascii="Times New Roman" w:hAnsi="Times New Roman" w:eastAsia="宋体" w:cs="Times New Roman"/>
      <w:kern w:val="2"/>
      <w:sz w:val="21"/>
      <w:szCs w:val="22"/>
      <w:lang w:val="en-US" w:eastAsia="zh-CN" w:bidi="ar-SA"/>
    </w:rPr>
  </w:style>
  <w:style w:type="paragraph" w:customStyle="1" w:styleId="75">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styleId="76">
    <w:name w:val="List Paragraph"/>
    <w:basedOn w:val="1"/>
    <w:qFormat/>
    <w:uiPriority w:val="99"/>
    <w:pPr>
      <w:ind w:firstLine="420" w:firstLineChars="200"/>
    </w:pPr>
  </w:style>
  <w:style w:type="paragraph" w:customStyle="1" w:styleId="77">
    <w:name w:val="文二"/>
    <w:basedOn w:val="1"/>
    <w:qFormat/>
    <w:uiPriority w:val="0"/>
    <w:pPr>
      <w:jc w:val="left"/>
    </w:pPr>
    <w:rPr>
      <w:rFonts w:ascii="宋体" w:hAnsi="宋体"/>
      <w:szCs w:val="21"/>
    </w:rPr>
  </w:style>
  <w:style w:type="paragraph" w:customStyle="1" w:styleId="78">
    <w:name w:val="Char Char Char Char"/>
    <w:basedOn w:val="8"/>
    <w:qFormat/>
    <w:uiPriority w:val="0"/>
    <w:pPr>
      <w:widowControl/>
      <w:ind w:firstLine="454"/>
      <w:jc w:val="left"/>
    </w:pPr>
    <w:rPr>
      <w:szCs w:val="20"/>
    </w:rPr>
  </w:style>
  <w:style w:type="character" w:customStyle="1" w:styleId="79">
    <w:name w:val="批注文字 Char1"/>
    <w:qFormat/>
    <w:uiPriority w:val="0"/>
    <w:rPr>
      <w:rFonts w:ascii="Calibri" w:hAnsi="Calibri" w:eastAsia="宋体"/>
      <w:kern w:val="2"/>
      <w:sz w:val="21"/>
      <w:szCs w:val="22"/>
      <w:lang w:val="en-US" w:eastAsia="zh-CN" w:bidi="ar-SA"/>
    </w:rPr>
  </w:style>
  <w:style w:type="character" w:customStyle="1" w:styleId="80">
    <w:name w:val="username"/>
    <w:qFormat/>
    <w:uiPriority w:val="0"/>
  </w:style>
  <w:style w:type="character" w:customStyle="1" w:styleId="81">
    <w:name w:val="Char Char21"/>
    <w:qFormat/>
    <w:uiPriority w:val="0"/>
    <w:rPr>
      <w:rFonts w:eastAsia="宋体"/>
      <w:b/>
      <w:kern w:val="44"/>
      <w:sz w:val="44"/>
    </w:rPr>
  </w:style>
  <w:style w:type="character" w:customStyle="1" w:styleId="82">
    <w:name w:val="font161"/>
    <w:qFormat/>
    <w:uiPriority w:val="0"/>
    <w:rPr>
      <w:b/>
      <w:sz w:val="32"/>
    </w:rPr>
  </w:style>
  <w:style w:type="character" w:customStyle="1" w:styleId="83">
    <w:name w:val="Char Char5"/>
    <w:qFormat/>
    <w:uiPriority w:val="0"/>
    <w:rPr>
      <w:rFonts w:eastAsia="宋体"/>
      <w:kern w:val="2"/>
      <w:sz w:val="21"/>
    </w:rPr>
  </w:style>
  <w:style w:type="character" w:customStyle="1" w:styleId="84">
    <w:name w:val="样式 新宋体 小四"/>
    <w:qFormat/>
    <w:uiPriority w:val="0"/>
    <w:rPr>
      <w:rFonts w:ascii="新宋体" w:hAnsi="新宋体" w:eastAsia="宋体"/>
      <w:sz w:val="21"/>
    </w:rPr>
  </w:style>
  <w:style w:type="character" w:customStyle="1" w:styleId="85">
    <w:name w:val="批注文字 字符1"/>
    <w:qFormat/>
    <w:uiPriority w:val="0"/>
    <w:rPr>
      <w:kern w:val="2"/>
      <w:sz w:val="21"/>
      <w:szCs w:val="22"/>
    </w:rPr>
  </w:style>
  <w:style w:type="character" w:customStyle="1" w:styleId="86">
    <w:name w:val="title26"/>
    <w:qFormat/>
    <w:uiPriority w:val="0"/>
  </w:style>
  <w:style w:type="character" w:customStyle="1" w:styleId="87">
    <w:name w:val="Heading 1 Char_cf869bdf-0208-4d77-930a-29b177cd67a0"/>
    <w:qFormat/>
    <w:uiPriority w:val="0"/>
    <w:rPr>
      <w:rFonts w:eastAsia="宋体" w:cs="Times New Roman"/>
      <w:b/>
      <w:kern w:val="44"/>
      <w:sz w:val="44"/>
    </w:rPr>
  </w:style>
  <w:style w:type="character" w:customStyle="1" w:styleId="88">
    <w:name w:val="title24"/>
    <w:qFormat/>
    <w:uiPriority w:val="0"/>
  </w:style>
  <w:style w:type="character" w:customStyle="1" w:styleId="89">
    <w:name w:val="title21"/>
    <w:qFormat/>
    <w:uiPriority w:val="0"/>
  </w:style>
  <w:style w:type="paragraph" w:customStyle="1" w:styleId="90">
    <w:name w:val="修订2"/>
    <w:unhideWhenUsed/>
    <w:qFormat/>
    <w:uiPriority w:val="99"/>
    <w:rPr>
      <w:rFonts w:ascii="Times New Roman" w:hAnsi="Times New Roman" w:eastAsia="宋体" w:cs="Times New Roman"/>
      <w:kern w:val="2"/>
      <w:sz w:val="21"/>
      <w:szCs w:val="22"/>
      <w:lang w:val="en-US" w:eastAsia="zh-CN" w:bidi="ar-SA"/>
    </w:rPr>
  </w:style>
  <w:style w:type="character" w:customStyle="1" w:styleId="91">
    <w:name w:val="NormalCharacter"/>
    <w:semiHidden/>
    <w:qFormat/>
    <w:uiPriority w:val="0"/>
  </w:style>
  <w:style w:type="paragraph" w:customStyle="1" w:styleId="92">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24064</Words>
  <Characters>25453</Characters>
  <Lines>212</Lines>
  <Paragraphs>59</Paragraphs>
  <TotalTime>29</TotalTime>
  <ScaleCrop>false</ScaleCrop>
  <LinksUpToDate>false</LinksUpToDate>
  <CharactersWithSpaces>26063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2023-07-04T01:50:00Z</dcterms:created>
  <dc:creator>admin</dc:creator>
  <cp:lastModifiedBy>zhizhi</cp:lastModifiedBy>
  <dcterms:modified xsi:type="dcterms:W3CDTF">2023-08-01T03:18:15Z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73775C9F6AFC4E2380BA741ECF559E9B_13</vt:lpwstr>
  </property>
</Properties>
</file>