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4"/>
          <w:rFonts w:hAnsi="宋体"/>
          <w:b/>
          <w:bCs/>
          <w:color w:val="auto"/>
          <w:sz w:val="44"/>
          <w:szCs w:val="44"/>
          <w:highlight w:val="none"/>
          <w:u w:val="none"/>
        </w:rPr>
      </w:pPr>
    </w:p>
    <w:p>
      <w:pPr>
        <w:spacing w:line="360" w:lineRule="auto"/>
        <w:ind w:left="0" w:leftChars="0" w:right="84" w:rightChars="40" w:firstLine="0" w:firstLineChars="0"/>
        <w:jc w:val="center"/>
        <w:rPr>
          <w:rFonts w:hint="eastAsia" w:ascii="宋体" w:eastAsia="宋体" w:cs="黑体"/>
          <w:color w:val="auto"/>
          <w:sz w:val="44"/>
          <w:szCs w:val="44"/>
          <w:highlight w:val="none"/>
          <w:lang w:eastAsia="zh-CN"/>
        </w:rPr>
      </w:pPr>
      <w:r>
        <w:rPr>
          <w:rFonts w:hint="eastAsia" w:ascii="宋体" w:cs="黑体"/>
          <w:b/>
          <w:bCs/>
          <w:color w:val="auto"/>
          <w:sz w:val="44"/>
          <w:szCs w:val="44"/>
          <w:highlight w:val="none"/>
          <w:lang w:eastAsia="zh-CN"/>
        </w:rPr>
        <w:t>越秀区城市更新改造补短板项目(二期）—中心城区品质化提升项目（</w:t>
      </w:r>
      <w:r>
        <w:rPr>
          <w:rFonts w:hint="eastAsia" w:ascii="宋体" w:cs="黑体"/>
          <w:b/>
          <w:bCs/>
          <w:color w:val="auto"/>
          <w:sz w:val="44"/>
          <w:szCs w:val="44"/>
          <w:highlight w:val="none"/>
          <w:lang w:val="en-US" w:eastAsia="zh-CN"/>
        </w:rPr>
        <w:t>华乐</w:t>
      </w:r>
      <w:r>
        <w:rPr>
          <w:rFonts w:hint="eastAsia" w:ascii="宋体" w:cs="黑体"/>
          <w:b/>
          <w:bCs/>
          <w:color w:val="auto"/>
          <w:sz w:val="44"/>
          <w:szCs w:val="44"/>
          <w:highlight w:val="none"/>
          <w:lang w:eastAsia="zh-CN"/>
        </w:rPr>
        <w:t>街老旧小区改造）监理</w:t>
      </w:r>
    </w:p>
    <w:p>
      <w:pPr>
        <w:jc w:val="center"/>
        <w:rPr>
          <w:rStyle w:val="44"/>
          <w:rFonts w:hAnsi="宋体"/>
          <w:b/>
          <w:bCs/>
          <w:color w:val="auto"/>
          <w:sz w:val="44"/>
          <w:szCs w:val="44"/>
          <w:highlight w:val="none"/>
          <w:u w:val="none"/>
        </w:rPr>
      </w:pPr>
    </w:p>
    <w:p>
      <w:pPr>
        <w:jc w:val="center"/>
        <w:rPr>
          <w:rStyle w:val="44"/>
          <w:rFonts w:hAnsi="宋体"/>
          <w:b/>
          <w:bCs/>
          <w:color w:val="auto"/>
          <w:sz w:val="44"/>
          <w:szCs w:val="44"/>
          <w:highlight w:val="none"/>
          <w:u w:val="none"/>
        </w:rPr>
      </w:pPr>
    </w:p>
    <w:p>
      <w:pPr>
        <w:jc w:val="center"/>
        <w:rPr>
          <w:rStyle w:val="44"/>
          <w:rFonts w:hAnsi="宋体"/>
          <w:b/>
          <w:bCs/>
          <w:color w:val="auto"/>
          <w:sz w:val="44"/>
          <w:szCs w:val="44"/>
          <w:highlight w:val="none"/>
          <w:u w:val="none"/>
        </w:rPr>
      </w:pPr>
    </w:p>
    <w:p>
      <w:pPr>
        <w:jc w:val="center"/>
        <w:rPr>
          <w:rStyle w:val="44"/>
          <w:rFonts w:hAnsi="宋体"/>
          <w:b/>
          <w:bCs/>
          <w:color w:val="auto"/>
          <w:sz w:val="44"/>
          <w:szCs w:val="44"/>
          <w:highlight w:val="none"/>
          <w:u w:val="none"/>
        </w:rPr>
      </w:pPr>
    </w:p>
    <w:p>
      <w:pPr>
        <w:jc w:val="center"/>
        <w:rPr>
          <w:rStyle w:val="44"/>
          <w:b/>
          <w:bCs/>
          <w:color w:val="auto"/>
          <w:sz w:val="84"/>
          <w:szCs w:val="84"/>
          <w:highlight w:val="none"/>
          <w:u w:val="none"/>
        </w:rPr>
      </w:pPr>
      <w:r>
        <w:rPr>
          <w:rStyle w:val="44"/>
          <w:rFonts w:hint="eastAsia"/>
          <w:b/>
          <w:bCs/>
          <w:color w:val="auto"/>
          <w:sz w:val="84"/>
          <w:szCs w:val="84"/>
          <w:highlight w:val="none"/>
          <w:u w:val="none"/>
        </w:rPr>
        <w:t>招标文件</w:t>
      </w:r>
    </w:p>
    <w:p>
      <w:pPr>
        <w:jc w:val="center"/>
        <w:rPr>
          <w:rStyle w:val="44"/>
          <w:rFonts w:hAnsi="宋体"/>
          <w:b/>
          <w:bCs/>
          <w:color w:val="auto"/>
          <w:sz w:val="44"/>
          <w:szCs w:val="44"/>
          <w:highlight w:val="none"/>
          <w:u w:val="none"/>
        </w:rPr>
      </w:pPr>
    </w:p>
    <w:p>
      <w:pPr>
        <w:jc w:val="center"/>
        <w:rPr>
          <w:rStyle w:val="44"/>
          <w:rFonts w:hAnsi="宋体"/>
          <w:b/>
          <w:bCs/>
          <w:color w:val="auto"/>
          <w:sz w:val="44"/>
          <w:szCs w:val="44"/>
          <w:highlight w:val="none"/>
          <w:u w:val="none"/>
        </w:rPr>
      </w:pPr>
    </w:p>
    <w:p>
      <w:pPr>
        <w:jc w:val="center"/>
        <w:rPr>
          <w:rStyle w:val="44"/>
          <w:rFonts w:hAnsi="宋体"/>
          <w:b/>
          <w:bCs/>
          <w:color w:val="auto"/>
          <w:sz w:val="44"/>
          <w:szCs w:val="44"/>
          <w:highlight w:val="none"/>
          <w:u w:val="none"/>
        </w:rPr>
      </w:pPr>
    </w:p>
    <w:p>
      <w:pPr>
        <w:jc w:val="center"/>
        <w:rPr>
          <w:rStyle w:val="44"/>
          <w:rFonts w:hAnsi="宋体"/>
          <w:b/>
          <w:bCs/>
          <w:color w:val="auto"/>
          <w:sz w:val="44"/>
          <w:szCs w:val="44"/>
          <w:highlight w:val="none"/>
          <w:u w:val="none"/>
        </w:rPr>
      </w:pPr>
    </w:p>
    <w:p>
      <w:pPr>
        <w:jc w:val="center"/>
        <w:rPr>
          <w:rStyle w:val="44"/>
          <w:rFonts w:hAnsi="宋体"/>
          <w:b/>
          <w:bCs/>
          <w:color w:val="auto"/>
          <w:sz w:val="44"/>
          <w:szCs w:val="44"/>
          <w:highlight w:val="none"/>
          <w:u w:val="none"/>
        </w:rPr>
      </w:pPr>
    </w:p>
    <w:p>
      <w:pPr>
        <w:jc w:val="center"/>
        <w:rPr>
          <w:rStyle w:val="44"/>
          <w:b/>
          <w:bCs/>
          <w:color w:val="auto"/>
          <w:sz w:val="28"/>
          <w:szCs w:val="28"/>
          <w:highlight w:val="none"/>
          <w:u w:val="none"/>
        </w:rPr>
      </w:pPr>
    </w:p>
    <w:p>
      <w:pPr>
        <w:pStyle w:val="4"/>
        <w:outlineLvl w:val="9"/>
        <w:rPr>
          <w:rStyle w:val="44"/>
          <w:b/>
          <w:bCs/>
          <w:color w:val="auto"/>
          <w:sz w:val="28"/>
          <w:szCs w:val="28"/>
          <w:highlight w:val="none"/>
          <w:u w:val="none"/>
        </w:rPr>
      </w:pPr>
    </w:p>
    <w:p/>
    <w:p>
      <w:pPr>
        <w:snapToGrid w:val="0"/>
        <w:spacing w:line="360" w:lineRule="auto"/>
        <w:ind w:firstLine="1661" w:firstLineChars="591"/>
        <w:rPr>
          <w:rFonts w:ascii="宋体" w:cs="黑体"/>
          <w:b/>
          <w:color w:val="auto"/>
          <w:sz w:val="28"/>
          <w:highlight w:val="none"/>
        </w:rPr>
      </w:pPr>
    </w:p>
    <w:p>
      <w:pPr>
        <w:snapToGrid w:val="0"/>
        <w:spacing w:line="360" w:lineRule="auto"/>
        <w:ind w:firstLine="1506" w:firstLineChars="500"/>
        <w:outlineLvl w:val="0"/>
        <w:rPr>
          <w:rFonts w:hint="eastAsia" w:ascii="宋体" w:eastAsia="宋体" w:cs="黑体"/>
          <w:b/>
          <w:color w:val="auto"/>
          <w:sz w:val="30"/>
          <w:szCs w:val="30"/>
          <w:highlight w:val="none"/>
          <w:lang w:eastAsia="zh-CN"/>
        </w:rPr>
      </w:pPr>
      <w:bookmarkStart w:id="0" w:name="_Toc1692"/>
      <w:bookmarkStart w:id="1" w:name="_Toc3997"/>
      <w:r>
        <w:rPr>
          <w:rFonts w:hint="eastAsia" w:ascii="宋体" w:cs="黑体"/>
          <w:b/>
          <w:color w:val="auto"/>
          <w:sz w:val="30"/>
          <w:szCs w:val="30"/>
          <w:highlight w:val="none"/>
        </w:rPr>
        <w:t>招 标 人：</w:t>
      </w:r>
      <w:r>
        <w:rPr>
          <w:rFonts w:hint="eastAsia" w:ascii="宋体" w:cs="黑体"/>
          <w:b/>
          <w:color w:val="auto"/>
          <w:sz w:val="30"/>
          <w:szCs w:val="30"/>
          <w:highlight w:val="none"/>
          <w:lang w:eastAsia="zh-CN"/>
        </w:rPr>
        <w:t>广州市越秀区人民政府</w:t>
      </w:r>
      <w:r>
        <w:rPr>
          <w:rFonts w:hint="eastAsia" w:ascii="宋体" w:cs="黑体"/>
          <w:b/>
          <w:color w:val="auto"/>
          <w:sz w:val="30"/>
          <w:szCs w:val="30"/>
          <w:highlight w:val="none"/>
          <w:lang w:val="en-US" w:eastAsia="zh-CN"/>
        </w:rPr>
        <w:t>华乐</w:t>
      </w:r>
      <w:r>
        <w:rPr>
          <w:rFonts w:hint="eastAsia" w:ascii="宋体" w:cs="黑体"/>
          <w:b/>
          <w:color w:val="auto"/>
          <w:sz w:val="30"/>
          <w:szCs w:val="30"/>
          <w:highlight w:val="none"/>
          <w:lang w:eastAsia="zh-CN"/>
        </w:rPr>
        <w:t>街道办事处</w:t>
      </w:r>
      <w:bookmarkEnd w:id="0"/>
      <w:bookmarkEnd w:id="1"/>
    </w:p>
    <w:p>
      <w:pPr>
        <w:snapToGrid w:val="0"/>
        <w:spacing w:line="360" w:lineRule="auto"/>
        <w:ind w:firstLine="1506" w:firstLineChars="500"/>
        <w:outlineLvl w:val="0"/>
        <w:rPr>
          <w:rFonts w:hint="eastAsia" w:ascii="宋体" w:cs="黑体"/>
          <w:b/>
          <w:color w:val="auto"/>
          <w:sz w:val="30"/>
          <w:szCs w:val="30"/>
          <w:highlight w:val="none"/>
          <w:lang w:eastAsia="zh-CN"/>
        </w:rPr>
      </w:pPr>
      <w:bookmarkStart w:id="2" w:name="_Toc31172"/>
      <w:bookmarkStart w:id="3" w:name="_Toc16305"/>
      <w:r>
        <w:rPr>
          <w:rFonts w:hint="eastAsia" w:ascii="宋体" w:cs="黑体"/>
          <w:b/>
          <w:color w:val="auto"/>
          <w:sz w:val="30"/>
          <w:szCs w:val="30"/>
          <w:highlight w:val="none"/>
        </w:rPr>
        <w:t>招标代理机</w:t>
      </w:r>
      <w:r>
        <w:rPr>
          <w:rFonts w:hint="eastAsia" w:ascii="宋体" w:cs="黑体"/>
          <w:b/>
          <w:color w:val="auto"/>
          <w:sz w:val="30"/>
          <w:szCs w:val="30"/>
          <w:highlight w:val="none"/>
          <w:lang w:eastAsia="zh-CN"/>
        </w:rPr>
        <w:t>构：</w:t>
      </w:r>
      <w:r>
        <w:rPr>
          <w:rFonts w:hint="eastAsia" w:ascii="宋体" w:cs="黑体"/>
          <w:b/>
          <w:color w:val="auto"/>
          <w:sz w:val="30"/>
          <w:szCs w:val="30"/>
          <w:highlight w:val="none"/>
          <w:lang w:val="en-US" w:eastAsia="zh-CN"/>
        </w:rPr>
        <w:t>广州珠建工程造价咨询有限公司</w:t>
      </w:r>
      <w:bookmarkEnd w:id="2"/>
      <w:bookmarkEnd w:id="3"/>
    </w:p>
    <w:p>
      <w:pPr>
        <w:snapToGrid w:val="0"/>
        <w:spacing w:line="360" w:lineRule="auto"/>
        <w:ind w:firstLine="1506" w:firstLineChars="500"/>
        <w:rPr>
          <w:rFonts w:ascii="宋体" w:cs="黑体"/>
          <w:b/>
          <w:color w:val="auto"/>
          <w:sz w:val="30"/>
          <w:szCs w:val="30"/>
          <w:highlight w:val="none"/>
        </w:rPr>
      </w:pPr>
      <w:r>
        <w:rPr>
          <w:rFonts w:hint="eastAsia" w:ascii="宋体" w:cs="黑体"/>
          <w:b/>
          <w:color w:val="auto"/>
          <w:sz w:val="30"/>
          <w:szCs w:val="30"/>
          <w:highlight w:val="none"/>
        </w:rPr>
        <w:t>编制日期：2023年</w:t>
      </w:r>
      <w:r>
        <w:rPr>
          <w:rFonts w:hint="eastAsia" w:ascii="宋体" w:cs="黑体"/>
          <w:b/>
          <w:color w:val="auto"/>
          <w:sz w:val="30"/>
          <w:szCs w:val="30"/>
          <w:highlight w:val="none"/>
          <w:lang w:val="en-US" w:eastAsia="zh-CN"/>
        </w:rPr>
        <w:t>7</w:t>
      </w:r>
      <w:r>
        <w:rPr>
          <w:rFonts w:hint="eastAsia" w:ascii="宋体" w:cs="黑体"/>
          <w:b/>
          <w:color w:val="auto"/>
          <w:sz w:val="30"/>
          <w:szCs w:val="30"/>
          <w:highlight w:val="none"/>
        </w:rPr>
        <w:t>月</w:t>
      </w:r>
    </w:p>
    <w:p>
      <w:pPr>
        <w:spacing w:line="0" w:lineRule="atLeast"/>
        <w:rPr>
          <w:rFonts w:ascii="Times New Roman" w:hAnsi="Times New Roman" w:eastAsia="Times New Roman"/>
          <w:color w:val="auto"/>
          <w:sz w:val="24"/>
          <w:highlight w:val="none"/>
        </w:rPr>
        <w:sectPr>
          <w:headerReference r:id="rId3" w:type="default"/>
          <w:footerReference r:id="rId4" w:type="default"/>
          <w:pgSz w:w="11906" w:h="16838"/>
          <w:pgMar w:top="1440" w:right="1080" w:bottom="1440" w:left="1080" w:header="851" w:footer="992" w:gutter="0"/>
          <w:cols w:space="720" w:num="1"/>
          <w:titlePg/>
          <w:docGrid w:type="lines" w:linePitch="312" w:charSpace="0"/>
        </w:sectPr>
      </w:pPr>
    </w:p>
    <w:p>
      <w:pPr>
        <w:tabs>
          <w:tab w:val="left" w:leader="dot" w:pos="8760"/>
        </w:tabs>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目  录</w:t>
      </w:r>
    </w:p>
    <w:sdt>
      <w:sdtPr>
        <w:rPr>
          <w:rFonts w:ascii="宋体" w:hAnsi="宋体" w:eastAsia="宋体" w:cs="Times New Roman"/>
          <w:kern w:val="2"/>
          <w:sz w:val="21"/>
          <w:szCs w:val="22"/>
          <w:lang w:val="en-US" w:eastAsia="zh-CN" w:bidi="ar-SA"/>
        </w:rPr>
        <w:id w:val="147456233"/>
        <w15:color w:val="DBDBDB"/>
        <w:docPartObj>
          <w:docPartGallery w:val="Table of Contents"/>
          <w:docPartUnique/>
        </w:docPartObj>
      </w:sdtPr>
      <w:sdtEndPr>
        <w:rPr>
          <w:rFonts w:ascii="宋体" w:hAnsi="宋体" w:eastAsia="宋体" w:cs="宋体"/>
          <w:color w:val="auto"/>
          <w:kern w:val="2"/>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27"/>
            <w:tabs>
              <w:tab w:val="right" w:leader="dot" w:pos="9070"/>
            </w:tabs>
          </w:pPr>
          <w:r>
            <w:rPr>
              <w:rFonts w:ascii="宋体" w:hAnsi="宋体" w:cs="宋体"/>
              <w:color w:val="auto"/>
              <w:sz w:val="28"/>
              <w:szCs w:val="28"/>
              <w:highlight w:val="none"/>
            </w:rPr>
            <w:fldChar w:fldCharType="begin"/>
          </w:r>
          <w:r>
            <w:rPr>
              <w:rFonts w:ascii="宋体" w:hAnsi="宋体" w:cs="宋体"/>
              <w:color w:val="auto"/>
              <w:sz w:val="28"/>
              <w:szCs w:val="28"/>
              <w:highlight w:val="none"/>
            </w:rPr>
            <w:instrText xml:space="preserve">TOC \o "1-1" \h \u </w:instrText>
          </w:r>
          <w:r>
            <w:rPr>
              <w:rFonts w:ascii="宋体" w:hAnsi="宋体" w:cs="宋体"/>
              <w:color w:val="auto"/>
              <w:sz w:val="28"/>
              <w:szCs w:val="28"/>
              <w:highlight w:val="none"/>
            </w:rPr>
            <w:fldChar w:fldCharType="separate"/>
          </w:r>
        </w:p>
        <w:p>
          <w:pPr>
            <w:pStyle w:val="27"/>
            <w:tabs>
              <w:tab w:val="right" w:leader="dot" w:pos="9070"/>
            </w:tabs>
            <w:rPr>
              <w:sz w:val="28"/>
              <w:szCs w:val="32"/>
            </w:rPr>
          </w:pPr>
          <w:r>
            <w:rPr>
              <w:rFonts w:ascii="宋体" w:hAnsi="宋体" w:cs="宋体"/>
              <w:color w:val="auto"/>
              <w:sz w:val="28"/>
              <w:szCs w:val="40"/>
              <w:highlight w:val="none"/>
            </w:rPr>
            <w:fldChar w:fldCharType="begin"/>
          </w:r>
          <w:r>
            <w:rPr>
              <w:rFonts w:ascii="宋体" w:hAnsi="宋体" w:cs="宋体"/>
              <w:sz w:val="28"/>
              <w:szCs w:val="40"/>
              <w:highlight w:val="none"/>
            </w:rPr>
            <w:instrText xml:space="preserve"> HYPERLINK \l _Toc30646 </w:instrText>
          </w:r>
          <w:r>
            <w:rPr>
              <w:rFonts w:ascii="宋体" w:hAnsi="宋体" w:cs="宋体"/>
              <w:sz w:val="28"/>
              <w:szCs w:val="40"/>
              <w:highlight w:val="none"/>
            </w:rPr>
            <w:fldChar w:fldCharType="separate"/>
          </w:r>
          <w:r>
            <w:rPr>
              <w:sz w:val="28"/>
              <w:szCs w:val="32"/>
            </w:rPr>
            <w:t>第一章</w:t>
          </w:r>
          <w:r>
            <w:rPr>
              <w:rFonts w:hint="eastAsia"/>
              <w:sz w:val="28"/>
              <w:szCs w:val="32"/>
            </w:rPr>
            <w:t xml:space="preserve"> 招标公告</w:t>
          </w:r>
          <w:r>
            <w:rPr>
              <w:sz w:val="28"/>
              <w:szCs w:val="32"/>
            </w:rPr>
            <w:tab/>
          </w:r>
          <w:r>
            <w:rPr>
              <w:sz w:val="28"/>
              <w:szCs w:val="32"/>
            </w:rPr>
            <w:fldChar w:fldCharType="begin"/>
          </w:r>
          <w:r>
            <w:rPr>
              <w:sz w:val="28"/>
              <w:szCs w:val="32"/>
            </w:rPr>
            <w:instrText xml:space="preserve"> PAGEREF _Toc30646 \h </w:instrText>
          </w:r>
          <w:r>
            <w:rPr>
              <w:sz w:val="28"/>
              <w:szCs w:val="32"/>
            </w:rPr>
            <w:fldChar w:fldCharType="separate"/>
          </w:r>
          <w:r>
            <w:rPr>
              <w:sz w:val="28"/>
              <w:szCs w:val="32"/>
            </w:rPr>
            <w:t>2</w:t>
          </w:r>
          <w:r>
            <w:rPr>
              <w:sz w:val="28"/>
              <w:szCs w:val="32"/>
            </w:rPr>
            <w:fldChar w:fldCharType="end"/>
          </w:r>
          <w:r>
            <w:rPr>
              <w:rFonts w:ascii="宋体" w:hAnsi="宋体" w:cs="宋体"/>
              <w:color w:val="auto"/>
              <w:sz w:val="28"/>
              <w:szCs w:val="40"/>
              <w:highlight w:val="none"/>
            </w:rPr>
            <w:fldChar w:fldCharType="end"/>
          </w:r>
        </w:p>
        <w:p>
          <w:pPr>
            <w:pStyle w:val="27"/>
            <w:tabs>
              <w:tab w:val="right" w:leader="dot" w:pos="9070"/>
            </w:tabs>
            <w:rPr>
              <w:sz w:val="28"/>
              <w:szCs w:val="32"/>
            </w:rPr>
          </w:pPr>
          <w:r>
            <w:rPr>
              <w:rFonts w:ascii="宋体" w:hAnsi="宋体" w:cs="宋体"/>
              <w:color w:val="auto"/>
              <w:sz w:val="28"/>
              <w:szCs w:val="40"/>
              <w:highlight w:val="none"/>
            </w:rPr>
            <w:fldChar w:fldCharType="begin"/>
          </w:r>
          <w:r>
            <w:rPr>
              <w:rFonts w:ascii="宋体" w:hAnsi="宋体" w:cs="宋体"/>
              <w:sz w:val="28"/>
              <w:szCs w:val="40"/>
              <w:highlight w:val="none"/>
            </w:rPr>
            <w:instrText xml:space="preserve"> HYPERLINK \l _Toc1739 </w:instrText>
          </w:r>
          <w:r>
            <w:rPr>
              <w:rFonts w:ascii="宋体" w:hAnsi="宋体" w:cs="宋体"/>
              <w:sz w:val="28"/>
              <w:szCs w:val="40"/>
              <w:highlight w:val="none"/>
            </w:rPr>
            <w:fldChar w:fldCharType="separate"/>
          </w:r>
          <w:r>
            <w:rPr>
              <w:rFonts w:ascii="Times New Roman" w:hAnsi="Times New Roman"/>
              <w:sz w:val="28"/>
              <w:szCs w:val="32"/>
              <w:highlight w:val="none"/>
            </w:rPr>
            <w:t>第二章</w:t>
          </w:r>
          <w:r>
            <w:rPr>
              <w:rFonts w:hint="eastAsia" w:ascii="Times New Roman" w:hAnsi="Times New Roman"/>
              <w:sz w:val="28"/>
              <w:szCs w:val="32"/>
              <w:highlight w:val="none"/>
            </w:rPr>
            <w:t xml:space="preserve"> </w:t>
          </w:r>
          <w:r>
            <w:rPr>
              <w:rFonts w:ascii="Times New Roman" w:hAnsi="Times New Roman"/>
              <w:sz w:val="28"/>
              <w:szCs w:val="32"/>
              <w:highlight w:val="none"/>
            </w:rPr>
            <w:t>投标人须知</w:t>
          </w:r>
          <w:r>
            <w:rPr>
              <w:sz w:val="28"/>
              <w:szCs w:val="32"/>
            </w:rPr>
            <w:tab/>
          </w:r>
          <w:r>
            <w:rPr>
              <w:sz w:val="28"/>
              <w:szCs w:val="32"/>
            </w:rPr>
            <w:fldChar w:fldCharType="begin"/>
          </w:r>
          <w:r>
            <w:rPr>
              <w:sz w:val="28"/>
              <w:szCs w:val="32"/>
            </w:rPr>
            <w:instrText xml:space="preserve"> PAGEREF _Toc1739 \h </w:instrText>
          </w:r>
          <w:r>
            <w:rPr>
              <w:sz w:val="28"/>
              <w:szCs w:val="32"/>
            </w:rPr>
            <w:fldChar w:fldCharType="separate"/>
          </w:r>
          <w:r>
            <w:rPr>
              <w:sz w:val="28"/>
              <w:szCs w:val="32"/>
            </w:rPr>
            <w:t>3</w:t>
          </w:r>
          <w:r>
            <w:rPr>
              <w:sz w:val="28"/>
              <w:szCs w:val="32"/>
            </w:rPr>
            <w:fldChar w:fldCharType="end"/>
          </w:r>
          <w:r>
            <w:rPr>
              <w:rFonts w:ascii="宋体" w:hAnsi="宋体" w:cs="宋体"/>
              <w:color w:val="auto"/>
              <w:sz w:val="28"/>
              <w:szCs w:val="40"/>
              <w:highlight w:val="none"/>
            </w:rPr>
            <w:fldChar w:fldCharType="end"/>
          </w:r>
        </w:p>
        <w:p>
          <w:pPr>
            <w:pStyle w:val="27"/>
            <w:tabs>
              <w:tab w:val="right" w:leader="dot" w:pos="9070"/>
            </w:tabs>
            <w:rPr>
              <w:sz w:val="28"/>
              <w:szCs w:val="32"/>
            </w:rPr>
          </w:pPr>
          <w:r>
            <w:rPr>
              <w:rFonts w:ascii="宋体" w:hAnsi="宋体" w:cs="宋体"/>
              <w:color w:val="auto"/>
              <w:sz w:val="28"/>
              <w:szCs w:val="40"/>
              <w:highlight w:val="none"/>
            </w:rPr>
            <w:fldChar w:fldCharType="begin"/>
          </w:r>
          <w:r>
            <w:rPr>
              <w:rFonts w:ascii="宋体" w:hAnsi="宋体" w:cs="宋体"/>
              <w:sz w:val="28"/>
              <w:szCs w:val="40"/>
              <w:highlight w:val="none"/>
            </w:rPr>
            <w:instrText xml:space="preserve"> HYPERLINK \l _Toc4360 </w:instrText>
          </w:r>
          <w:r>
            <w:rPr>
              <w:rFonts w:ascii="宋体" w:hAnsi="宋体" w:cs="宋体"/>
              <w:sz w:val="28"/>
              <w:szCs w:val="40"/>
              <w:highlight w:val="none"/>
            </w:rPr>
            <w:fldChar w:fldCharType="separate"/>
          </w:r>
          <w:r>
            <w:rPr>
              <w:rFonts w:ascii="Times New Roman" w:hAnsi="Times New Roman"/>
              <w:sz w:val="28"/>
              <w:szCs w:val="32"/>
              <w:highlight w:val="none"/>
            </w:rPr>
            <w:t>第三章</w:t>
          </w:r>
          <w:r>
            <w:rPr>
              <w:rFonts w:hint="eastAsia" w:ascii="Times New Roman" w:hAnsi="Times New Roman"/>
              <w:sz w:val="28"/>
              <w:szCs w:val="32"/>
              <w:highlight w:val="none"/>
            </w:rPr>
            <w:t xml:space="preserve"> </w:t>
          </w:r>
          <w:r>
            <w:rPr>
              <w:rFonts w:ascii="Times New Roman" w:hAnsi="Times New Roman"/>
              <w:sz w:val="28"/>
              <w:szCs w:val="32"/>
              <w:highlight w:val="none"/>
            </w:rPr>
            <w:t>评标办法（综合评估法）</w:t>
          </w:r>
          <w:r>
            <w:rPr>
              <w:sz w:val="28"/>
              <w:szCs w:val="32"/>
            </w:rPr>
            <w:tab/>
          </w:r>
          <w:r>
            <w:rPr>
              <w:sz w:val="28"/>
              <w:szCs w:val="32"/>
            </w:rPr>
            <w:fldChar w:fldCharType="begin"/>
          </w:r>
          <w:r>
            <w:rPr>
              <w:sz w:val="28"/>
              <w:szCs w:val="32"/>
            </w:rPr>
            <w:instrText xml:space="preserve"> PAGEREF _Toc4360 \h </w:instrText>
          </w:r>
          <w:r>
            <w:rPr>
              <w:sz w:val="28"/>
              <w:szCs w:val="32"/>
            </w:rPr>
            <w:fldChar w:fldCharType="separate"/>
          </w:r>
          <w:r>
            <w:rPr>
              <w:sz w:val="28"/>
              <w:szCs w:val="32"/>
            </w:rPr>
            <w:t>29</w:t>
          </w:r>
          <w:r>
            <w:rPr>
              <w:sz w:val="28"/>
              <w:szCs w:val="32"/>
            </w:rPr>
            <w:fldChar w:fldCharType="end"/>
          </w:r>
          <w:r>
            <w:rPr>
              <w:rFonts w:ascii="宋体" w:hAnsi="宋体" w:cs="宋体"/>
              <w:color w:val="auto"/>
              <w:sz w:val="28"/>
              <w:szCs w:val="40"/>
              <w:highlight w:val="none"/>
            </w:rPr>
            <w:fldChar w:fldCharType="end"/>
          </w:r>
        </w:p>
        <w:p>
          <w:pPr>
            <w:pStyle w:val="27"/>
            <w:tabs>
              <w:tab w:val="right" w:leader="dot" w:pos="9070"/>
            </w:tabs>
            <w:rPr>
              <w:sz w:val="28"/>
              <w:szCs w:val="32"/>
            </w:rPr>
          </w:pPr>
          <w:r>
            <w:rPr>
              <w:rFonts w:ascii="宋体" w:hAnsi="宋体" w:cs="宋体"/>
              <w:color w:val="auto"/>
              <w:sz w:val="28"/>
              <w:szCs w:val="40"/>
              <w:highlight w:val="none"/>
            </w:rPr>
            <w:fldChar w:fldCharType="begin"/>
          </w:r>
          <w:r>
            <w:rPr>
              <w:rFonts w:ascii="宋体" w:hAnsi="宋体" w:cs="宋体"/>
              <w:sz w:val="28"/>
              <w:szCs w:val="40"/>
              <w:highlight w:val="none"/>
            </w:rPr>
            <w:instrText xml:space="preserve"> HYPERLINK \l _Toc22915 </w:instrText>
          </w:r>
          <w:r>
            <w:rPr>
              <w:rFonts w:ascii="宋体" w:hAnsi="宋体" w:cs="宋体"/>
              <w:sz w:val="28"/>
              <w:szCs w:val="40"/>
              <w:highlight w:val="none"/>
            </w:rPr>
            <w:fldChar w:fldCharType="separate"/>
          </w:r>
          <w:r>
            <w:rPr>
              <w:rFonts w:ascii="Times New Roman" w:hAnsi="Times New Roman"/>
              <w:sz w:val="28"/>
              <w:szCs w:val="32"/>
              <w:highlight w:val="none"/>
            </w:rPr>
            <w:t>第四章</w:t>
          </w:r>
          <w:r>
            <w:rPr>
              <w:rFonts w:hint="eastAsia" w:ascii="Times New Roman" w:hAnsi="Times New Roman"/>
              <w:sz w:val="28"/>
              <w:szCs w:val="32"/>
              <w:highlight w:val="none"/>
            </w:rPr>
            <w:t xml:space="preserve"> </w:t>
          </w:r>
          <w:r>
            <w:rPr>
              <w:rFonts w:ascii="Times New Roman" w:hAnsi="Times New Roman"/>
              <w:sz w:val="28"/>
              <w:szCs w:val="32"/>
              <w:highlight w:val="none"/>
            </w:rPr>
            <w:t>合同条款及格式</w:t>
          </w:r>
          <w:r>
            <w:rPr>
              <w:sz w:val="28"/>
              <w:szCs w:val="32"/>
            </w:rPr>
            <w:tab/>
          </w:r>
          <w:r>
            <w:rPr>
              <w:sz w:val="28"/>
              <w:szCs w:val="32"/>
            </w:rPr>
            <w:fldChar w:fldCharType="begin"/>
          </w:r>
          <w:r>
            <w:rPr>
              <w:sz w:val="28"/>
              <w:szCs w:val="32"/>
            </w:rPr>
            <w:instrText xml:space="preserve"> PAGEREF _Toc22915 \h </w:instrText>
          </w:r>
          <w:r>
            <w:rPr>
              <w:sz w:val="28"/>
              <w:szCs w:val="32"/>
            </w:rPr>
            <w:fldChar w:fldCharType="separate"/>
          </w:r>
          <w:r>
            <w:rPr>
              <w:sz w:val="28"/>
              <w:szCs w:val="32"/>
            </w:rPr>
            <w:t>37</w:t>
          </w:r>
          <w:r>
            <w:rPr>
              <w:sz w:val="28"/>
              <w:szCs w:val="32"/>
            </w:rPr>
            <w:fldChar w:fldCharType="end"/>
          </w:r>
          <w:r>
            <w:rPr>
              <w:rFonts w:ascii="宋体" w:hAnsi="宋体" w:cs="宋体"/>
              <w:color w:val="auto"/>
              <w:sz w:val="28"/>
              <w:szCs w:val="40"/>
              <w:highlight w:val="none"/>
            </w:rPr>
            <w:fldChar w:fldCharType="end"/>
          </w:r>
        </w:p>
        <w:p>
          <w:pPr>
            <w:pStyle w:val="27"/>
            <w:tabs>
              <w:tab w:val="right" w:leader="dot" w:pos="9070"/>
            </w:tabs>
            <w:rPr>
              <w:sz w:val="28"/>
              <w:szCs w:val="32"/>
            </w:rPr>
          </w:pPr>
          <w:r>
            <w:rPr>
              <w:rFonts w:ascii="宋体" w:hAnsi="宋体" w:cs="宋体"/>
              <w:color w:val="auto"/>
              <w:sz w:val="28"/>
              <w:szCs w:val="40"/>
              <w:highlight w:val="none"/>
            </w:rPr>
            <w:fldChar w:fldCharType="begin"/>
          </w:r>
          <w:r>
            <w:rPr>
              <w:rFonts w:ascii="宋体" w:hAnsi="宋体" w:cs="宋体"/>
              <w:sz w:val="28"/>
              <w:szCs w:val="40"/>
              <w:highlight w:val="none"/>
            </w:rPr>
            <w:instrText xml:space="preserve"> HYPERLINK \l _Toc21598 </w:instrText>
          </w:r>
          <w:r>
            <w:rPr>
              <w:rFonts w:ascii="宋体" w:hAnsi="宋体" w:cs="宋体"/>
              <w:sz w:val="28"/>
              <w:szCs w:val="40"/>
              <w:highlight w:val="none"/>
            </w:rPr>
            <w:fldChar w:fldCharType="separate"/>
          </w:r>
          <w:r>
            <w:rPr>
              <w:rFonts w:hint="eastAsia" w:ascii="Times New Roman" w:hAnsi="Times New Roman"/>
              <w:sz w:val="28"/>
              <w:szCs w:val="32"/>
            </w:rPr>
            <w:t xml:space="preserve">第五章 </w:t>
          </w:r>
          <w:r>
            <w:rPr>
              <w:rFonts w:ascii="Times New Roman" w:hAnsi="Times New Roman"/>
              <w:sz w:val="28"/>
              <w:szCs w:val="32"/>
              <w:highlight w:val="none"/>
            </w:rPr>
            <w:t>委托人要求</w:t>
          </w:r>
          <w:r>
            <w:rPr>
              <w:sz w:val="28"/>
              <w:szCs w:val="32"/>
            </w:rPr>
            <w:tab/>
          </w:r>
          <w:r>
            <w:rPr>
              <w:sz w:val="28"/>
              <w:szCs w:val="32"/>
            </w:rPr>
            <w:fldChar w:fldCharType="begin"/>
          </w:r>
          <w:r>
            <w:rPr>
              <w:sz w:val="28"/>
              <w:szCs w:val="32"/>
            </w:rPr>
            <w:instrText xml:space="preserve"> PAGEREF _Toc21598 \h </w:instrText>
          </w:r>
          <w:r>
            <w:rPr>
              <w:sz w:val="28"/>
              <w:szCs w:val="32"/>
            </w:rPr>
            <w:fldChar w:fldCharType="separate"/>
          </w:r>
          <w:r>
            <w:rPr>
              <w:sz w:val="28"/>
              <w:szCs w:val="32"/>
            </w:rPr>
            <w:t>38</w:t>
          </w:r>
          <w:r>
            <w:rPr>
              <w:sz w:val="28"/>
              <w:szCs w:val="32"/>
            </w:rPr>
            <w:fldChar w:fldCharType="end"/>
          </w:r>
          <w:r>
            <w:rPr>
              <w:rFonts w:ascii="宋体" w:hAnsi="宋体" w:cs="宋体"/>
              <w:color w:val="auto"/>
              <w:sz w:val="28"/>
              <w:szCs w:val="40"/>
              <w:highlight w:val="none"/>
            </w:rPr>
            <w:fldChar w:fldCharType="end"/>
          </w:r>
        </w:p>
        <w:p>
          <w:pPr>
            <w:pStyle w:val="27"/>
            <w:tabs>
              <w:tab w:val="right" w:leader="dot" w:pos="9070"/>
            </w:tabs>
          </w:pPr>
          <w:r>
            <w:rPr>
              <w:rFonts w:ascii="宋体" w:hAnsi="宋体" w:cs="宋体"/>
              <w:color w:val="auto"/>
              <w:sz w:val="28"/>
              <w:szCs w:val="40"/>
              <w:highlight w:val="none"/>
            </w:rPr>
            <w:fldChar w:fldCharType="begin"/>
          </w:r>
          <w:r>
            <w:rPr>
              <w:rFonts w:ascii="宋体" w:hAnsi="宋体" w:cs="宋体"/>
              <w:sz w:val="28"/>
              <w:szCs w:val="40"/>
              <w:highlight w:val="none"/>
            </w:rPr>
            <w:instrText xml:space="preserve"> HYPERLINK \l _Toc29273 </w:instrText>
          </w:r>
          <w:r>
            <w:rPr>
              <w:rFonts w:ascii="宋体" w:hAnsi="宋体" w:cs="宋体"/>
              <w:sz w:val="28"/>
              <w:szCs w:val="40"/>
              <w:highlight w:val="none"/>
            </w:rPr>
            <w:fldChar w:fldCharType="separate"/>
          </w:r>
          <w:r>
            <w:rPr>
              <w:rFonts w:ascii="Times New Roman" w:hAnsi="Times New Roman"/>
              <w:sz w:val="28"/>
              <w:szCs w:val="32"/>
              <w:highlight w:val="none"/>
            </w:rPr>
            <w:t>第六章</w:t>
          </w:r>
          <w:r>
            <w:rPr>
              <w:rFonts w:hint="eastAsia" w:ascii="Times New Roman" w:hAnsi="Times New Roman"/>
              <w:sz w:val="28"/>
              <w:szCs w:val="32"/>
              <w:highlight w:val="none"/>
            </w:rPr>
            <w:t xml:space="preserve"> </w:t>
          </w:r>
          <w:r>
            <w:rPr>
              <w:rFonts w:ascii="Times New Roman" w:hAnsi="Times New Roman"/>
              <w:sz w:val="28"/>
              <w:szCs w:val="32"/>
              <w:highlight w:val="none"/>
            </w:rPr>
            <w:t>投标文件格式</w:t>
          </w:r>
          <w:r>
            <w:rPr>
              <w:sz w:val="28"/>
              <w:szCs w:val="32"/>
            </w:rPr>
            <w:tab/>
          </w:r>
          <w:r>
            <w:rPr>
              <w:sz w:val="28"/>
              <w:szCs w:val="32"/>
            </w:rPr>
            <w:fldChar w:fldCharType="begin"/>
          </w:r>
          <w:r>
            <w:rPr>
              <w:sz w:val="28"/>
              <w:szCs w:val="32"/>
            </w:rPr>
            <w:instrText xml:space="preserve"> PAGEREF _Toc29273 \h </w:instrText>
          </w:r>
          <w:r>
            <w:rPr>
              <w:sz w:val="28"/>
              <w:szCs w:val="32"/>
            </w:rPr>
            <w:fldChar w:fldCharType="separate"/>
          </w:r>
          <w:r>
            <w:rPr>
              <w:sz w:val="28"/>
              <w:szCs w:val="32"/>
            </w:rPr>
            <w:t>40</w:t>
          </w:r>
          <w:r>
            <w:rPr>
              <w:sz w:val="28"/>
              <w:szCs w:val="32"/>
            </w:rPr>
            <w:fldChar w:fldCharType="end"/>
          </w:r>
          <w:r>
            <w:rPr>
              <w:rFonts w:ascii="宋体" w:hAnsi="宋体" w:cs="宋体"/>
              <w:color w:val="auto"/>
              <w:sz w:val="28"/>
              <w:szCs w:val="40"/>
              <w:highlight w:val="none"/>
            </w:rPr>
            <w:fldChar w:fldCharType="end"/>
          </w:r>
        </w:p>
        <w:p>
          <w:pPr>
            <w:tabs>
              <w:tab w:val="left" w:leader="dot" w:pos="8760"/>
            </w:tabs>
            <w:spacing w:line="360" w:lineRule="auto"/>
            <w:rPr>
              <w:rFonts w:ascii="宋体" w:hAnsi="宋体" w:cs="宋体"/>
              <w:color w:val="auto"/>
              <w:sz w:val="28"/>
              <w:szCs w:val="28"/>
              <w:highlight w:val="none"/>
            </w:rPr>
          </w:pPr>
          <w:r>
            <w:rPr>
              <w:rFonts w:ascii="宋体" w:hAnsi="宋体" w:cs="宋体"/>
              <w:color w:val="auto"/>
              <w:szCs w:val="28"/>
              <w:highlight w:val="none"/>
            </w:rPr>
            <w:fldChar w:fldCharType="end"/>
          </w:r>
        </w:p>
      </w:sdtContent>
    </w:sdt>
    <w:p>
      <w:pPr>
        <w:tabs>
          <w:tab w:val="left" w:leader="dot" w:pos="8760"/>
        </w:tabs>
        <w:spacing w:line="360" w:lineRule="auto"/>
        <w:rPr>
          <w:rFonts w:ascii="宋体" w:hAnsi="宋体" w:cs="宋体"/>
          <w:color w:val="auto"/>
          <w:sz w:val="28"/>
          <w:szCs w:val="28"/>
          <w:highlight w:val="none"/>
        </w:rPr>
      </w:pPr>
    </w:p>
    <w:p>
      <w:pPr>
        <w:tabs>
          <w:tab w:val="left" w:leader="dot" w:pos="8760"/>
        </w:tabs>
        <w:spacing w:line="270" w:lineRule="exact"/>
        <w:rPr>
          <w:rFonts w:ascii="Times New Roman" w:hAnsi="Times New Roman"/>
          <w:color w:val="auto"/>
          <w:highlight w:val="none"/>
        </w:rPr>
        <w:sectPr>
          <w:footerReference r:id="rId5" w:type="default"/>
          <w:pgSz w:w="11906" w:h="16838"/>
          <w:pgMar w:top="1418" w:right="1418" w:bottom="1418" w:left="1418" w:header="851" w:footer="992" w:gutter="0"/>
          <w:pgNumType w:start="1"/>
          <w:cols w:space="720" w:num="1"/>
          <w:docGrid w:type="lines" w:linePitch="312" w:charSpace="0"/>
        </w:sectPr>
      </w:pPr>
    </w:p>
    <w:p>
      <w:pPr>
        <w:spacing w:line="200" w:lineRule="exact"/>
        <w:rPr>
          <w:rFonts w:ascii="Times New Roman" w:hAnsi="Times New Roman"/>
          <w:color w:val="auto"/>
          <w:highlight w:val="none"/>
        </w:rPr>
      </w:pPr>
    </w:p>
    <w:p>
      <w:pPr>
        <w:spacing w:line="200" w:lineRule="exact"/>
        <w:rPr>
          <w:rFonts w:ascii="Times New Roman" w:hAnsi="Times New Roman" w:eastAsia="Times New Roman"/>
          <w:color w:val="auto"/>
          <w:highlight w:val="none"/>
        </w:rPr>
      </w:pPr>
    </w:p>
    <w:p>
      <w:pPr>
        <w:pStyle w:val="3"/>
        <w:bidi w:val="0"/>
        <w:jc w:val="center"/>
      </w:pPr>
      <w:bookmarkStart w:id="4" w:name="_Toc30646"/>
      <w:bookmarkStart w:id="5" w:name="_Toc9022"/>
      <w:bookmarkStart w:id="6" w:name="_Toc530728897"/>
      <w:r>
        <w:t>第一章</w:t>
      </w:r>
      <w:r>
        <w:rPr>
          <w:rFonts w:hint="eastAsia"/>
        </w:rPr>
        <w:t xml:space="preserve"> 招标公告</w:t>
      </w:r>
      <w:bookmarkEnd w:id="4"/>
      <w:bookmarkEnd w:id="5"/>
      <w:bookmarkEnd w:id="6"/>
    </w:p>
    <w:p>
      <w:pPr>
        <w:spacing w:line="360" w:lineRule="auto"/>
        <w:jc w:val="center"/>
        <w:rPr>
          <w:rFonts w:ascii="Times New Roman" w:hAnsi="Times New Roman"/>
          <w:b/>
          <w:color w:val="auto"/>
          <w:sz w:val="43"/>
          <w:highlight w:val="none"/>
        </w:rPr>
      </w:pPr>
      <w:r>
        <w:rPr>
          <w:rFonts w:ascii="Times New Roman" w:hAnsi="Times New Roman"/>
          <w:b/>
          <w:color w:val="auto"/>
          <w:sz w:val="43"/>
          <w:highlight w:val="none"/>
        </w:rPr>
        <w:t>（</w:t>
      </w:r>
      <w:r>
        <w:rPr>
          <w:rFonts w:hint="eastAsia" w:ascii="Times New Roman" w:hAnsi="Times New Roman"/>
          <w:b/>
          <w:color w:val="auto"/>
          <w:sz w:val="43"/>
          <w:highlight w:val="none"/>
        </w:rPr>
        <w:t>略</w:t>
      </w:r>
      <w:r>
        <w:rPr>
          <w:rFonts w:ascii="Times New Roman" w:hAnsi="Times New Roman"/>
          <w:b/>
          <w:color w:val="auto"/>
          <w:sz w:val="43"/>
          <w:highlight w:val="none"/>
        </w:rPr>
        <w:t>）</w:t>
      </w:r>
    </w:p>
    <w:p>
      <w:pPr>
        <w:spacing w:line="491" w:lineRule="exact"/>
        <w:jc w:val="center"/>
        <w:rPr>
          <w:rFonts w:ascii="Times New Roman" w:hAnsi="Times New Roman"/>
          <w:b/>
          <w:color w:val="auto"/>
          <w:sz w:val="44"/>
          <w:highlight w:val="none"/>
        </w:rPr>
      </w:pPr>
    </w:p>
    <w:p>
      <w:pPr>
        <w:spacing w:line="491" w:lineRule="exact"/>
        <w:jc w:val="center"/>
        <w:rPr>
          <w:rFonts w:ascii="Times New Roman" w:hAnsi="Times New Roman"/>
          <w:b/>
          <w:color w:val="auto"/>
          <w:sz w:val="44"/>
          <w:highlight w:val="none"/>
        </w:rPr>
      </w:pPr>
    </w:p>
    <w:p>
      <w:pPr>
        <w:spacing w:line="491" w:lineRule="exact"/>
        <w:jc w:val="center"/>
        <w:rPr>
          <w:rFonts w:ascii="Times New Roman" w:hAnsi="Times New Roman"/>
          <w:b/>
          <w:color w:val="auto"/>
          <w:sz w:val="44"/>
          <w:highlight w:val="none"/>
        </w:rPr>
      </w:pPr>
    </w:p>
    <w:p>
      <w:pPr>
        <w:spacing w:line="491" w:lineRule="exact"/>
        <w:jc w:val="center"/>
        <w:rPr>
          <w:rFonts w:ascii="Times New Roman" w:hAnsi="Times New Roman"/>
          <w:b/>
          <w:color w:val="auto"/>
          <w:sz w:val="44"/>
          <w:highlight w:val="none"/>
        </w:rPr>
      </w:pPr>
    </w:p>
    <w:p>
      <w:pPr>
        <w:spacing w:line="491" w:lineRule="exact"/>
        <w:jc w:val="center"/>
        <w:rPr>
          <w:rFonts w:ascii="Times New Roman" w:hAnsi="Times New Roman"/>
          <w:b/>
          <w:color w:val="auto"/>
          <w:sz w:val="44"/>
          <w:highlight w:val="none"/>
        </w:rPr>
      </w:pPr>
    </w:p>
    <w:p>
      <w:pPr>
        <w:spacing w:line="491" w:lineRule="exact"/>
        <w:jc w:val="center"/>
        <w:rPr>
          <w:rFonts w:ascii="Times New Roman" w:hAnsi="Times New Roman"/>
          <w:b/>
          <w:color w:val="auto"/>
          <w:sz w:val="44"/>
          <w:highlight w:val="none"/>
        </w:rPr>
        <w:sectPr>
          <w:footerReference r:id="rId8" w:type="first"/>
          <w:headerReference r:id="rId6" w:type="default"/>
          <w:footerReference r:id="rId7" w:type="default"/>
          <w:pgSz w:w="11907" w:h="16839"/>
          <w:pgMar w:top="1440" w:right="1440" w:bottom="1418" w:left="1440" w:header="993" w:footer="749" w:gutter="0"/>
          <w:cols w:space="720" w:num="1"/>
          <w:titlePg/>
          <w:docGrid w:linePitch="360" w:charSpace="0"/>
        </w:sectPr>
      </w:pPr>
    </w:p>
    <w:p>
      <w:pPr>
        <w:pStyle w:val="4"/>
        <w:jc w:val="center"/>
        <w:outlineLvl w:val="0"/>
        <w:rPr>
          <w:rFonts w:ascii="Times New Roman" w:hAnsi="Times New Roman"/>
          <w:color w:val="auto"/>
          <w:highlight w:val="none"/>
        </w:rPr>
      </w:pPr>
      <w:bookmarkStart w:id="7" w:name="_Toc1739"/>
      <w:bookmarkStart w:id="8" w:name="_Toc530728898"/>
      <w:r>
        <w:rPr>
          <w:rFonts w:ascii="Times New Roman" w:hAnsi="Times New Roman"/>
          <w:color w:val="auto"/>
          <w:highlight w:val="none"/>
        </w:rPr>
        <w:t>第二章</w:t>
      </w:r>
      <w:r>
        <w:rPr>
          <w:rFonts w:hint="eastAsia" w:ascii="Times New Roman" w:hAnsi="Times New Roman"/>
          <w:color w:val="auto"/>
          <w:highlight w:val="none"/>
        </w:rPr>
        <w:t xml:space="preserve"> </w:t>
      </w:r>
      <w:r>
        <w:rPr>
          <w:rFonts w:ascii="Times New Roman" w:hAnsi="Times New Roman"/>
          <w:color w:val="auto"/>
          <w:highlight w:val="none"/>
        </w:rPr>
        <w:t>投标人须知</w:t>
      </w:r>
      <w:bookmarkEnd w:id="7"/>
      <w:bookmarkEnd w:id="8"/>
    </w:p>
    <w:p>
      <w:pPr>
        <w:spacing w:line="201" w:lineRule="exact"/>
        <w:rPr>
          <w:rFonts w:ascii="Times New Roman" w:hAnsi="Times New Roman" w:eastAsia="Times New Roman"/>
          <w:color w:val="auto"/>
          <w:highlight w:val="none"/>
        </w:rPr>
      </w:pPr>
    </w:p>
    <w:p>
      <w:pPr>
        <w:spacing w:line="366" w:lineRule="exact"/>
        <w:ind w:left="357"/>
        <w:jc w:val="center"/>
        <w:outlineLvl w:val="2"/>
        <w:rPr>
          <w:rFonts w:ascii="Times New Roman" w:hAnsi="Times New Roman" w:eastAsia="黑体"/>
          <w:b/>
          <w:color w:val="auto"/>
          <w:sz w:val="24"/>
          <w:szCs w:val="24"/>
          <w:highlight w:val="none"/>
        </w:rPr>
      </w:pPr>
      <w:r>
        <w:rPr>
          <w:rFonts w:ascii="Times New Roman" w:hAnsi="Times New Roman" w:eastAsia="黑体"/>
          <w:b/>
          <w:color w:val="auto"/>
          <w:sz w:val="24"/>
          <w:szCs w:val="24"/>
          <w:highlight w:val="none"/>
        </w:rPr>
        <w:t>投标人须知前附表</w:t>
      </w:r>
    </w:p>
    <w:tbl>
      <w:tblPr>
        <w:tblStyle w:val="40"/>
        <w:tblpPr w:leftFromText="180" w:rightFromText="180" w:vertAnchor="text" w:horzAnchor="page" w:tblpX="1060" w:tblpY="187"/>
        <w:tblOverlap w:val="never"/>
        <w:tblW w:w="9972" w:type="dxa"/>
        <w:tblInd w:w="0" w:type="dxa"/>
        <w:tblLayout w:type="fixed"/>
        <w:tblCellMar>
          <w:top w:w="0" w:type="dxa"/>
          <w:left w:w="108" w:type="dxa"/>
          <w:bottom w:w="0" w:type="dxa"/>
          <w:right w:w="108" w:type="dxa"/>
        </w:tblCellMar>
      </w:tblPr>
      <w:tblGrid>
        <w:gridCol w:w="1165"/>
        <w:gridCol w:w="2159"/>
        <w:gridCol w:w="6648"/>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64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szCs w:val="24"/>
                <w:highlight w:val="none"/>
                <w:u w:val="single"/>
                <w:lang w:eastAsia="zh-CN"/>
              </w:rPr>
            </w:pPr>
            <w:r>
              <w:rPr>
                <w:rFonts w:hint="eastAsia" w:ascii="宋体" w:hAnsi="宋体" w:cs="宋体"/>
                <w:color w:val="auto"/>
                <w:sz w:val="24"/>
                <w:szCs w:val="24"/>
                <w:highlight w:val="none"/>
                <w:lang w:eastAsia="zh-CN"/>
              </w:rPr>
              <w:t>名称：</w:t>
            </w:r>
            <w:r>
              <w:rPr>
                <w:rFonts w:hint="eastAsia" w:ascii="宋体" w:hAnsi="宋体" w:cs="宋体"/>
                <w:color w:val="auto"/>
                <w:sz w:val="24"/>
                <w:szCs w:val="24"/>
                <w:highlight w:val="none"/>
                <w:u w:val="single"/>
                <w:lang w:eastAsia="zh-CN"/>
              </w:rPr>
              <w:t>广州市越秀区人民政府华乐街道办事处</w:t>
            </w:r>
          </w:p>
          <w:p>
            <w:pPr>
              <w:snapToGrid w:val="0"/>
              <w:spacing w:line="360" w:lineRule="auto"/>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eastAsia="zh-CN"/>
              </w:rPr>
              <w:t>地址：</w:t>
            </w:r>
            <w:r>
              <w:rPr>
                <w:rFonts w:hint="eastAsia" w:ascii="宋体" w:hAnsi="宋体" w:eastAsia="宋体" w:cs="宋体"/>
                <w:color w:val="auto"/>
                <w:sz w:val="24"/>
                <w:szCs w:val="24"/>
                <w:highlight w:val="none"/>
                <w:u w:val="single"/>
                <w:lang w:eastAsia="zh-CN"/>
              </w:rPr>
              <w:t>广州市越秀区麓苑路49号</w:t>
            </w:r>
            <w:r>
              <w:rPr>
                <w:rFonts w:hint="eastAsia" w:ascii="宋体" w:hAnsi="宋体" w:eastAsia="宋体" w:cs="宋体"/>
                <w:color w:val="auto"/>
                <w:sz w:val="24"/>
                <w:szCs w:val="24"/>
                <w:highlight w:val="none"/>
                <w:u w:val="single"/>
                <w:lang w:val="en-US" w:eastAsia="zh-CN"/>
              </w:rPr>
              <w:t>二楼</w:t>
            </w:r>
          </w:p>
          <w:p>
            <w:pPr>
              <w:snapToGrid w:val="0"/>
              <w:spacing w:line="360" w:lineRule="auto"/>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eastAsia="zh-CN"/>
              </w:rPr>
              <w:t>联系人：</w:t>
            </w:r>
            <w:r>
              <w:rPr>
                <w:rFonts w:hint="eastAsia" w:ascii="宋体" w:hAnsi="宋体" w:eastAsia="宋体" w:cs="宋体"/>
                <w:color w:val="auto"/>
                <w:sz w:val="24"/>
                <w:szCs w:val="24"/>
                <w:highlight w:val="none"/>
                <w:u w:val="single"/>
                <w:lang w:val="en-US" w:eastAsia="zh-CN"/>
              </w:rPr>
              <w:t>张先生</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电话：</w:t>
            </w:r>
            <w:r>
              <w:rPr>
                <w:rFonts w:hint="eastAsia" w:ascii="宋体" w:hAnsi="宋体" w:eastAsia="宋体" w:cs="宋体"/>
                <w:color w:val="auto"/>
                <w:sz w:val="24"/>
                <w:szCs w:val="24"/>
                <w:highlight w:val="none"/>
                <w:u w:val="single"/>
                <w:lang w:eastAsia="zh-CN"/>
              </w:rPr>
              <w:t>020-83591030</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648"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left="38" w:leftChars="0" w:hanging="38" w:hangingChars="16"/>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rPr>
              <w:t>名称：</w:t>
            </w:r>
            <w:r>
              <w:rPr>
                <w:rFonts w:hint="eastAsia" w:ascii="宋体" w:hAnsi="宋体" w:eastAsia="宋体" w:cs="宋体"/>
                <w:color w:val="auto"/>
                <w:kern w:val="2"/>
                <w:sz w:val="24"/>
                <w:szCs w:val="24"/>
                <w:highlight w:val="none"/>
                <w:u w:val="single"/>
                <w:lang w:val="en-US" w:eastAsia="zh-CN" w:bidi="ar-SA"/>
              </w:rPr>
              <w:t>广州珠建工程造价咨询有限公司</w:t>
            </w:r>
          </w:p>
          <w:p>
            <w:pPr>
              <w:pStyle w:val="31"/>
              <w:spacing w:line="360" w:lineRule="auto"/>
              <w:ind w:left="38" w:leftChars="0" w:hanging="38" w:hangingChars="16"/>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kern w:val="2"/>
                <w:sz w:val="24"/>
                <w:szCs w:val="24"/>
                <w:highlight w:val="none"/>
                <w:u w:val="single"/>
                <w:lang w:val="en-US" w:eastAsia="zh-CN" w:bidi="ar-SA"/>
              </w:rPr>
              <w:t>广州市越秀区永泰路50号101（自编之二）房</w:t>
            </w:r>
          </w:p>
          <w:p>
            <w:pPr>
              <w:pStyle w:val="31"/>
              <w:spacing w:line="360" w:lineRule="auto"/>
              <w:ind w:left="38" w:leftChars="0" w:hanging="38" w:hangingChars="16"/>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rPr>
              <w:t>联系人：</w:t>
            </w:r>
            <w:r>
              <w:rPr>
                <w:rFonts w:hint="eastAsia" w:ascii="宋体" w:hAnsi="宋体" w:eastAsia="宋体" w:cs="宋体"/>
                <w:color w:val="auto"/>
                <w:kern w:val="2"/>
                <w:sz w:val="24"/>
                <w:szCs w:val="24"/>
                <w:highlight w:val="none"/>
                <w:u w:val="single"/>
                <w:lang w:val="en-US" w:eastAsia="zh-CN" w:bidi="ar-SA"/>
              </w:rPr>
              <w:t>林工</w:t>
            </w:r>
          </w:p>
          <w:p>
            <w:pPr>
              <w:pStyle w:val="31"/>
              <w:spacing w:line="360" w:lineRule="auto"/>
              <w:ind w:left="38" w:leftChars="0" w:hanging="38" w:hangingChars="16"/>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rPr>
              <w:t>电话：</w:t>
            </w:r>
            <w:r>
              <w:rPr>
                <w:rFonts w:hint="eastAsia" w:ascii="宋体" w:hAnsi="宋体" w:eastAsia="宋体" w:cs="宋体"/>
                <w:color w:val="auto"/>
                <w:kern w:val="2"/>
                <w:sz w:val="24"/>
                <w:szCs w:val="24"/>
                <w:highlight w:val="none"/>
                <w:u w:val="single"/>
                <w:lang w:val="en-US" w:eastAsia="zh-CN" w:bidi="ar-SA"/>
              </w:rPr>
              <w:t>020-83700131</w:t>
            </w:r>
          </w:p>
          <w:p>
            <w:pPr>
              <w:pStyle w:val="31"/>
              <w:spacing w:line="360" w:lineRule="auto"/>
              <w:ind w:left="38" w:leftChars="0" w:hanging="38" w:hangingChars="1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电子邮箱：</w:t>
            </w:r>
            <w:r>
              <w:rPr>
                <w:rFonts w:hint="eastAsia" w:ascii="宋体" w:hAnsi="宋体" w:eastAsia="宋体" w:cs="宋体"/>
                <w:color w:val="auto"/>
                <w:kern w:val="2"/>
                <w:sz w:val="24"/>
                <w:szCs w:val="24"/>
                <w:highlight w:val="none"/>
                <w:u w:val="single"/>
                <w:lang w:val="en-US" w:eastAsia="zh-CN" w:bidi="ar-SA"/>
              </w:rPr>
              <w:t>454058527@qq.com</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eastAsia="zh-CN"/>
              </w:rPr>
              <w:t>越秀区城市更新改造补短板项目(二期）—中心城区品质化提升项目（</w:t>
            </w:r>
            <w:r>
              <w:rPr>
                <w:rFonts w:hint="eastAsia" w:ascii="宋体" w:hAnsi="宋体" w:cs="宋体"/>
                <w:color w:val="auto"/>
                <w:sz w:val="24"/>
                <w:szCs w:val="24"/>
                <w:highlight w:val="none"/>
                <w:u w:val="single"/>
                <w:lang w:val="en-US" w:eastAsia="zh-CN"/>
              </w:rPr>
              <w:t>华乐</w:t>
            </w:r>
            <w:r>
              <w:rPr>
                <w:rFonts w:hint="eastAsia" w:ascii="宋体" w:hAnsi="宋体" w:cs="宋体"/>
                <w:color w:val="auto"/>
                <w:sz w:val="24"/>
                <w:szCs w:val="24"/>
                <w:highlight w:val="none"/>
                <w:u w:val="single"/>
                <w:lang w:eastAsia="zh-CN"/>
              </w:rPr>
              <w:t>街老旧小区改造）监理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1.1.5</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1.1.6</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1.1.7</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工程项目施工预计开工日期和建设周期</w:t>
            </w:r>
          </w:p>
        </w:tc>
        <w:tc>
          <w:tcPr>
            <w:tcW w:w="664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40" w:leftChars="19" w:right="107" w:rightChars="51"/>
              <w:rPr>
                <w:rFonts w:hint="eastAsia" w:ascii="宋体" w:hAnsi="宋体"/>
                <w:color w:val="auto"/>
                <w:szCs w:val="21"/>
                <w:highlight w:val="none"/>
                <w:u w:val="single"/>
              </w:rPr>
            </w:pPr>
            <w:r>
              <w:rPr>
                <w:rFonts w:hint="eastAsia" w:ascii="宋体" w:hAnsi="宋体"/>
                <w:color w:val="auto"/>
                <w:szCs w:val="21"/>
                <w:highlight w:val="none"/>
                <w:u w:val="single"/>
              </w:rPr>
              <w:t>工程项目施工预计开工日期：开工时间以招标人通知为准。</w:t>
            </w:r>
          </w:p>
          <w:p>
            <w:pPr>
              <w:snapToGrid w:val="0"/>
              <w:spacing w:line="400" w:lineRule="exact"/>
              <w:ind w:right="107" w:rightChars="51"/>
              <w:rPr>
                <w:rFonts w:ascii="宋体" w:hAnsi="宋体" w:cs="宋体"/>
                <w:color w:val="auto"/>
                <w:sz w:val="24"/>
                <w:szCs w:val="24"/>
                <w:highlight w:val="none"/>
                <w:u w:val="single"/>
              </w:rPr>
            </w:pPr>
            <w:r>
              <w:rPr>
                <w:rFonts w:hint="eastAsia" w:ascii="宋体" w:hAnsi="宋体"/>
                <w:color w:val="auto"/>
                <w:szCs w:val="21"/>
                <w:highlight w:val="none"/>
                <w:u w:val="single"/>
              </w:rPr>
              <w:t>建设周期：施工工期为业主下达开工令或开工报告审批之日起按施工进度要求控制。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1.1.8</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建筑安装工程费/工程概算</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区财政资金，出资比例100%</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1.3.2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1.3.3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6648"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一次竣工验收合格。</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（1）资质要求：见招标公告投标人资格要求</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（2）财务要求：</w:t>
            </w:r>
            <w:r>
              <w:rPr>
                <w:rFonts w:hint="eastAsia" w:ascii="宋体" w:hAnsi="宋体" w:cs="宋体"/>
                <w:color w:val="auto"/>
                <w:sz w:val="24"/>
                <w:szCs w:val="24"/>
                <w:highlight w:val="none"/>
                <w:u w:val="single"/>
              </w:rPr>
              <w:t>/</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u w:val="single"/>
              </w:rPr>
              <w:t>/</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（4）信誉要求：</w:t>
            </w:r>
            <w:r>
              <w:rPr>
                <w:rFonts w:hint="eastAsia" w:ascii="宋体" w:hAnsi="宋体" w:cs="宋体"/>
                <w:color w:val="auto"/>
                <w:sz w:val="24"/>
                <w:szCs w:val="24"/>
                <w:highlight w:val="none"/>
                <w:u w:val="single"/>
              </w:rPr>
              <w:t>/</w:t>
            </w:r>
          </w:p>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（5））总监理工程师的资格要求：见招标公告投标人资格要求</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（6）其他主要人员要求：</w:t>
            </w:r>
            <w:r>
              <w:rPr>
                <w:rFonts w:hint="eastAsia" w:ascii="宋体" w:hAnsi="宋体" w:cs="宋体"/>
                <w:color w:val="auto"/>
                <w:sz w:val="24"/>
                <w:szCs w:val="24"/>
                <w:highlight w:val="none"/>
                <w:u w:val="single"/>
              </w:rPr>
              <w:t>/</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（7）试验检测仪器设备要求：</w:t>
            </w:r>
            <w:r>
              <w:rPr>
                <w:rFonts w:hint="eastAsia" w:ascii="宋体" w:hAnsi="宋体" w:cs="宋体"/>
                <w:color w:val="auto"/>
                <w:sz w:val="24"/>
                <w:szCs w:val="24"/>
                <w:highlight w:val="none"/>
                <w:u w:val="single"/>
              </w:rPr>
              <w:t>/</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（8）其他要求：</w:t>
            </w:r>
            <w:r>
              <w:rPr>
                <w:rFonts w:hint="eastAsia" w:ascii="宋体" w:hAnsi="宋体" w:cs="宋体"/>
                <w:color w:val="auto"/>
                <w:sz w:val="24"/>
                <w:szCs w:val="24"/>
                <w:highlight w:val="none"/>
                <w:u w:val="single"/>
              </w:rPr>
              <w:t>见招标公告投标人资格要求。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664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■不接受</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1.4.3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投标人不得存在的其他情形</w:t>
            </w:r>
          </w:p>
        </w:tc>
        <w:tc>
          <w:tcPr>
            <w:tcW w:w="664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1.9.1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pPr>
              <w:pStyle w:val="16"/>
              <w:topLinePunct/>
              <w:spacing w:after="0" w:line="400" w:lineRule="exact"/>
              <w:ind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补充说明如下：</w:t>
            </w:r>
          </w:p>
          <w:p>
            <w:pPr>
              <w:pStyle w:val="16"/>
              <w:topLinePunct/>
              <w:spacing w:after="0" w:line="400" w:lineRule="exact"/>
              <w:ind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pPr>
              <w:pStyle w:val="16"/>
              <w:topLinePunct/>
              <w:spacing w:after="0" w:line="400" w:lineRule="exact"/>
              <w:ind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16"/>
              <w:topLinePunct/>
              <w:spacing w:after="0" w:line="400" w:lineRule="exact"/>
              <w:ind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□组织，踏勘时间：</w:t>
            </w:r>
          </w:p>
          <w:p>
            <w:pPr>
              <w:pStyle w:val="16"/>
              <w:topLinePunct/>
              <w:spacing w:after="0" w:line="400" w:lineRule="exact"/>
              <w:ind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1.10.1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□召开，召开时间：</w:t>
            </w:r>
            <w:r>
              <w:rPr>
                <w:rFonts w:hint="eastAsia" w:ascii="宋体" w:hAnsi="宋体" w:cs="宋体"/>
                <w:color w:val="auto"/>
                <w:sz w:val="24"/>
                <w:szCs w:val="24"/>
                <w:highlight w:val="none"/>
                <w:u w:val="single"/>
              </w:rPr>
              <w:t>/</w:t>
            </w:r>
          </w:p>
          <w:p>
            <w:pPr>
              <w:spacing w:line="400" w:lineRule="exact"/>
              <w:ind w:left="40" w:leftChars="19" w:right="107" w:rightChars="51"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召开地点：</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1.10.2</w:t>
            </w:r>
          </w:p>
        </w:tc>
        <w:tc>
          <w:tcPr>
            <w:tcW w:w="2159"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2159"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1.10.3</w:t>
            </w:r>
          </w:p>
        </w:tc>
        <w:tc>
          <w:tcPr>
            <w:tcW w:w="2159" w:type="dxa"/>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1.12.1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1.12.3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偏差</w:t>
            </w:r>
          </w:p>
        </w:tc>
        <w:tc>
          <w:tcPr>
            <w:tcW w:w="6648" w:type="dxa"/>
            <w:tcBorders>
              <w:top w:val="single" w:color="auto" w:sz="4" w:space="0"/>
              <w:left w:val="single" w:color="auto" w:sz="4" w:space="0"/>
              <w:bottom w:val="single" w:color="auto" w:sz="4" w:space="0"/>
              <w:right w:val="single" w:color="auto" w:sz="4" w:space="0"/>
            </w:tcBorders>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■不允许</w:t>
            </w:r>
          </w:p>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□允许，偏差范围：</w:t>
            </w:r>
            <w:r>
              <w:rPr>
                <w:rFonts w:hint="eastAsia" w:ascii="宋体" w:hAnsi="宋体" w:eastAsia="宋体" w:cs="宋体"/>
                <w:color w:val="auto"/>
                <w:sz w:val="24"/>
                <w:szCs w:val="24"/>
                <w:highlight w:val="none"/>
                <w:u w:val="single"/>
              </w:rPr>
              <w:t>/</w:t>
            </w:r>
          </w:p>
          <w:p>
            <w:pPr>
              <w:pStyle w:val="16"/>
              <w:topLinePunct/>
              <w:spacing w:after="0" w:line="400" w:lineRule="exact"/>
              <w:ind w:left="40" w:leftChars="19" w:right="107" w:rightChars="51" w:firstLine="1080" w:firstLineChars="4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偏差幅度：</w:t>
            </w:r>
            <w:r>
              <w:rPr>
                <w:rFonts w:hint="eastAsia" w:ascii="宋体" w:hAnsi="宋体" w:eastAsia="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构成招标文件的其他资料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203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投标人要求澄清招标文件</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时间：在提交投标文件截止时间18天前提出。</w:t>
            </w:r>
          </w:p>
          <w:p>
            <w:pPr>
              <w:spacing w:line="360" w:lineRule="auto"/>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形式：投标人的疑问通过广州交易集团有限公司（广州公共资源交易中心）数字交易平台提交。按照广州交易集团有限公司（广州公共资源交易中心）数字交易平台关于全流程电子化项目的相关指南进行操作，详见：《房屋建筑和市政基础设施工程全流程电子化项目专章》。提问一律不得署名。</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招标人应在递交投标文件截止时间15日前将招标文件澄清文件在广州交易集团有限公司（广州公共资源交易中心）网站“项目查询(日程安排、答疑纪要)”专区发布。不足15日的，招标人应当顺延投标文件的截止时间。</w:t>
            </w:r>
          </w:p>
        </w:tc>
      </w:tr>
      <w:tr>
        <w:tblPrEx>
          <w:tblCellMar>
            <w:top w:w="0" w:type="dxa"/>
            <w:left w:w="108" w:type="dxa"/>
            <w:bottom w:w="0" w:type="dxa"/>
            <w:right w:w="108" w:type="dxa"/>
          </w:tblCellMar>
        </w:tblPrEx>
        <w:trPr>
          <w:trHeight w:val="126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215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投标人确认收到招标文件澄清</w:t>
            </w:r>
          </w:p>
        </w:tc>
        <w:tc>
          <w:tcPr>
            <w:tcW w:w="6648" w:type="dxa"/>
            <w:tcBorders>
              <w:top w:val="single" w:color="auto" w:sz="4" w:space="0"/>
              <w:left w:val="single" w:color="auto" w:sz="4" w:space="0"/>
              <w:right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招标文件的澄清或修改在广州交易集团有限公司（广州公共资源交易中心）网站“项目查询(日程安排、答疑纪要)”专区网上公开发布，发出即视作收到，以广州交易集团有限公司（广州公共资源交易中心）网站发布时间作为送达时间。无需投标人确认。投标人应自行关注，招标人不再一一通知。招标文件的澄清或修改内容作为招标文件的组成部分，具有约束作用。</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招标文件修改发出的形式</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以补充公告或项目答疑澄清的方式在广州交易集团有限公司（广州公共资源交易中心）网站发布。</w:t>
            </w:r>
          </w:p>
        </w:tc>
      </w:tr>
      <w:tr>
        <w:tblPrEx>
          <w:tblCellMar>
            <w:top w:w="0" w:type="dxa"/>
            <w:left w:w="108" w:type="dxa"/>
            <w:bottom w:w="0" w:type="dxa"/>
            <w:right w:w="108" w:type="dxa"/>
          </w:tblCellMar>
        </w:tblPrEx>
        <w:trPr>
          <w:trHeight w:val="138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2.3.2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投标人确认收到招标文件修改</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招标文件的澄清或修改在广州交易集团有限公司（广州公共资源交易中心）网站“项目查询(日程安排、答疑纪要)”专区网上公开发布，发出即视作收到，以广州公共资源交易中心数字交易平台网站发布时间作为送达时间。无需投标人确认。投标人应自行关注，招标人不再一一通知。招标文件的澄清或修改内容作为招标文件的组成部分，具有约束作用</w:t>
            </w:r>
            <w:r>
              <w:rPr>
                <w:rFonts w:hint="eastAsia" w:ascii="宋体" w:hAnsi="宋体" w:cs="宋体"/>
                <w:color w:val="auto"/>
                <w:sz w:val="24"/>
                <w:szCs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3.1.1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构成投标文件的其他资料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满足本项目评审要求的其他资料</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3.2.1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207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3.2.3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b/>
                <w:color w:val="auto"/>
                <w:sz w:val="24"/>
                <w:szCs w:val="24"/>
                <w:highlight w:val="none"/>
                <w:u w:val="single"/>
              </w:rPr>
            </w:pPr>
            <w:r>
              <w:rPr>
                <w:rFonts w:hint="eastAsia" w:ascii="宋体" w:hAnsi="宋体" w:cs="宋体"/>
                <w:color w:val="auto"/>
                <w:sz w:val="24"/>
                <w:szCs w:val="24"/>
                <w:highlight w:val="none"/>
                <w:u w:val="single"/>
              </w:rPr>
              <w:t>投标人报价以元为单位，精确到小数位后2位。投标报价不得高于招标控制价，由投标人根据招标文件要求以及企业自身情况填写报价。最终结算以财政部门或有权审核部门审定结果为准。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3.2.4</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□无</w:t>
            </w:r>
          </w:p>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■有</w:t>
            </w:r>
            <w:r>
              <w:rPr>
                <w:rFonts w:hint="eastAsia" w:ascii="宋体" w:hAnsi="宋体" w:cs="宋体"/>
                <w:b/>
                <w:color w:val="auto"/>
                <w:sz w:val="24"/>
                <w:szCs w:val="24"/>
                <w:highlight w:val="none"/>
                <w:u w:val="single"/>
              </w:rPr>
              <w:t>，</w:t>
            </w:r>
            <w:r>
              <w:rPr>
                <w:rFonts w:hint="eastAsia" w:ascii="宋体" w:hAnsi="宋体" w:cs="宋体"/>
                <w:color w:val="auto"/>
                <w:sz w:val="24"/>
                <w:szCs w:val="24"/>
                <w:highlight w:val="none"/>
                <w:u w:val="single"/>
              </w:rPr>
              <w:t>最高投标限价（总价）：人民币</w:t>
            </w:r>
            <w:r>
              <w:rPr>
                <w:rFonts w:hint="eastAsia" w:ascii="宋体" w:hAnsi="宋体"/>
                <w:b/>
                <w:bCs/>
                <w:color w:val="auto"/>
                <w:sz w:val="24"/>
                <w:szCs w:val="24"/>
                <w:highlight w:val="none"/>
                <w:u w:val="single"/>
                <w:lang w:val="en-US" w:eastAsia="zh-CN"/>
              </w:rPr>
              <w:t>99.847649</w:t>
            </w:r>
            <w:r>
              <w:rPr>
                <w:rFonts w:hint="eastAsia" w:ascii="宋体" w:hAnsi="宋体" w:cs="宋体"/>
                <w:b/>
                <w:color w:val="auto"/>
                <w:sz w:val="24"/>
                <w:szCs w:val="24"/>
                <w:highlight w:val="none"/>
                <w:u w:val="single"/>
              </w:rPr>
              <w:t>万元。</w:t>
            </w:r>
          </w:p>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注：凡投标总价超过招标人公布的最高投标限价，将被视为废标。</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3.2.5</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投标报价超过最高投标限价的投标文件将被否决其投标。</w:t>
            </w:r>
          </w:p>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投标人必须详细审阅全部招标文件及招标图纸，充分考虑职责和义务,全面地理解招标文件对投标报价的要求,并按招标人提出的条件及内容进行报价。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3.3.1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w:t>
            </w:r>
            <w:r>
              <w:rPr>
                <w:rFonts w:hint="eastAsia" w:ascii="宋体" w:hAnsi="宋体" w:cs="宋体"/>
                <w:color w:val="auto"/>
                <w:sz w:val="24"/>
                <w:szCs w:val="24"/>
                <w:highlight w:val="none"/>
                <w:u w:val="single"/>
              </w:rPr>
              <w:t>（从提交投标截止之日起计算）。</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3.4.1</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64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是否要求投标人递交投标保证金：</w:t>
            </w:r>
          </w:p>
          <w:p>
            <w:pPr>
              <w:widowControl/>
              <w:spacing w:line="2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□要求：</w:t>
            </w:r>
          </w:p>
          <w:p>
            <w:pPr>
              <w:widowControl/>
              <w:spacing w:line="28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3.4.4</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其他可以不予退还投标保证金的情形</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46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资格审查资料的特殊要求</w:t>
            </w:r>
          </w:p>
        </w:tc>
        <w:tc>
          <w:tcPr>
            <w:tcW w:w="6648"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■无</w:t>
            </w:r>
          </w:p>
          <w:p>
            <w:pPr>
              <w:pStyle w:val="16"/>
              <w:topLinePunct/>
              <w:spacing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□有。</w:t>
            </w:r>
          </w:p>
        </w:tc>
      </w:tr>
      <w:tr>
        <w:tblPrEx>
          <w:tblCellMar>
            <w:top w:w="0" w:type="dxa"/>
            <w:left w:w="108" w:type="dxa"/>
            <w:bottom w:w="0" w:type="dxa"/>
            <w:right w:w="108" w:type="dxa"/>
          </w:tblCellMar>
        </w:tblPrEx>
        <w:trPr>
          <w:trHeight w:val="26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近年财务状况的年份要求</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50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近年完成的类似项目情况的时间要求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39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3.5.5</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rPr>
          <w:trHeight w:val="61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3.7.3（B）</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投标文件所附证书证件要求</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证书证件需为清晰扫描件，并采用单位数字证书，按照招标文件要求在相应位置加盖电子印章。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3.7.3（B）</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1）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网站发布的《房屋建筑和市政基础设施工程全流程电子化项目专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4.1.1（B）</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网上递交的电子投标文件须进行加密。具体操作详见</w:t>
            </w:r>
            <w:r>
              <w:rPr>
                <w:rFonts w:hint="eastAsia" w:ascii="宋体" w:hAnsi="宋体" w:eastAsia="宋体" w:cs="宋体"/>
                <w:bCs/>
                <w:color w:val="auto"/>
                <w:sz w:val="24"/>
                <w:szCs w:val="24"/>
                <w:highlight w:val="none"/>
                <w:u w:val="single"/>
              </w:rPr>
              <w:t>《房屋建筑和市政基础设施工程全流程电子化项目专章》。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4.1.2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napToGrid w:val="0"/>
              <w:ind w:right="174" w:rightChars="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如有提交投标文件光盘备用，封套上应注明如下信息：</w:t>
            </w:r>
          </w:p>
          <w:p>
            <w:pPr>
              <w:pStyle w:val="16"/>
              <w:topLinePunct/>
              <w:snapToGrid w:val="0"/>
              <w:ind w:right="174" w:rightChars="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pPr>
              <w:pStyle w:val="16"/>
              <w:topLinePunct/>
              <w:snapToGrid w:val="0"/>
              <w:ind w:right="174" w:rightChars="83"/>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招标人地址：</w:t>
            </w:r>
          </w:p>
          <w:p>
            <w:pPr>
              <w:pStyle w:val="16"/>
              <w:topLinePunct/>
              <w:snapToGrid w:val="0"/>
              <w:ind w:right="174" w:rightChars="83"/>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（项目名称）投</w:t>
            </w:r>
            <w:r>
              <w:rPr>
                <w:rFonts w:hint="eastAsia" w:ascii="宋体" w:hAnsi="宋体" w:eastAsia="宋体" w:cs="宋体"/>
                <w:color w:val="auto"/>
                <w:sz w:val="24"/>
                <w:szCs w:val="24"/>
                <w:highlight w:val="none"/>
              </w:rPr>
              <w:t>标文件</w:t>
            </w:r>
          </w:p>
          <w:p>
            <w:pPr>
              <w:pStyle w:val="16"/>
              <w:topLinePunct/>
              <w:snapToGrid w:val="0"/>
              <w:ind w:right="174" w:rightChars="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4.2.1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投标截止时间：</w:t>
            </w:r>
            <w:r>
              <w:rPr>
                <w:rFonts w:hint="eastAsia" w:ascii="宋体" w:hAnsi="宋体" w:cs="宋体"/>
                <w:color w:val="auto"/>
                <w:sz w:val="24"/>
                <w:szCs w:val="24"/>
                <w:highlight w:val="none"/>
                <w:u w:val="single"/>
              </w:rPr>
              <w:t xml:space="preserve"> 2023</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分（北京时间）</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4.2.3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□是，退还时间：</w:t>
            </w:r>
          </w:p>
        </w:tc>
      </w:tr>
      <w:tr>
        <w:tblPrEx>
          <w:tblCellMar>
            <w:top w:w="0" w:type="dxa"/>
            <w:left w:w="108" w:type="dxa"/>
            <w:bottom w:w="0" w:type="dxa"/>
            <w:right w:w="108" w:type="dxa"/>
          </w:tblCellMar>
        </w:tblPrEx>
        <w:trPr>
          <w:trHeight w:val="545"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5.1（B）</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招标人在本章第 4.2.1 项规定的投标截止时间（开标时间）,通过电子招标投标交易平台公开开标，</w:t>
            </w:r>
            <w:r>
              <w:rPr>
                <w:rFonts w:hint="eastAsia" w:ascii="宋体" w:hAnsi="宋体" w:cs="宋体"/>
                <w:color w:val="auto"/>
                <w:sz w:val="24"/>
                <w:szCs w:val="24"/>
                <w:highlight w:val="none"/>
                <w:u w:val="single"/>
              </w:rPr>
              <w:t>开标时，投标人代表有权出席现场开标会，也可以自主决定不参加开标会。</w:t>
            </w:r>
          </w:p>
        </w:tc>
      </w:tr>
      <w:tr>
        <w:tblPrEx>
          <w:tblCellMar>
            <w:top w:w="0" w:type="dxa"/>
            <w:left w:w="108" w:type="dxa"/>
            <w:bottom w:w="0" w:type="dxa"/>
            <w:right w:w="108" w:type="dxa"/>
          </w:tblCellMar>
        </w:tblPrEx>
        <w:trPr>
          <w:trHeight w:val="9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5.2（B）</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电子招投标项目开标按下列程序进行：</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主持人按下列程序进行开标：</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（4）投标人通过电子招标投标交易平台对已递交的电子投标文件进行解密，公布招标项目名称、投标人名称、投标报价、监理服务期限及其他内容，并记录在案；</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（5）投标人代表、招标人代表、监标人、记录人等有关人员在开标记录上签字确认；若有关人员不签字的，不影响开标程序；</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（6）开标结束。</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cs="宋体"/>
                <w:color w:val="auto"/>
                <w:sz w:val="24"/>
                <w:szCs w:val="24"/>
                <w:highlight w:val="none"/>
                <w:u w:val="single"/>
              </w:rPr>
              <w:t>半小时内</w:t>
            </w:r>
            <w:r>
              <w:rPr>
                <w:rFonts w:hint="eastAsia" w:ascii="宋体" w:hAnsi="宋体" w:cs="宋体"/>
                <w:color w:val="auto"/>
                <w:sz w:val="24"/>
                <w:szCs w:val="24"/>
                <w:highlight w:val="none"/>
              </w:rPr>
              <w:t>解密的，视为撤销其投标文件。</w:t>
            </w:r>
          </w:p>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5.2.3开标时，</w:t>
            </w:r>
            <w:r>
              <w:rPr>
                <w:rFonts w:hint="eastAsia" w:ascii="宋体" w:hAnsi="宋体" w:cs="宋体"/>
                <w:color w:val="auto"/>
                <w:sz w:val="24"/>
                <w:szCs w:val="24"/>
                <w:highlight w:val="none"/>
                <w:lang w:val="en-US" w:eastAsia="zh-CN"/>
              </w:rPr>
              <w:t>本项目</w:t>
            </w:r>
            <w:r>
              <w:rPr>
                <w:rFonts w:hint="eastAsia" w:ascii="宋体" w:hAnsi="宋体" w:cs="宋体"/>
                <w:color w:val="auto"/>
                <w:sz w:val="24"/>
                <w:szCs w:val="24"/>
                <w:highlight w:val="none"/>
              </w:rPr>
              <w:t>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5.2（B）</w:t>
            </w:r>
          </w:p>
          <w:p>
            <w:pPr>
              <w:jc w:val="center"/>
              <w:rPr>
                <w:rFonts w:ascii="宋体" w:hAnsi="宋体" w:cs="宋体"/>
                <w:color w:val="auto"/>
                <w:sz w:val="24"/>
                <w:szCs w:val="24"/>
                <w:highlight w:val="none"/>
              </w:rPr>
            </w:pPr>
            <w:r>
              <w:rPr>
                <w:rFonts w:hint="eastAsia" w:ascii="宋体" w:hAnsi="宋体" w:cs="宋体"/>
                <w:color w:val="auto"/>
                <w:sz w:val="24"/>
                <w:szCs w:val="24"/>
                <w:highlight w:val="none"/>
              </w:rPr>
              <w:t>（新增）</w:t>
            </w:r>
          </w:p>
        </w:tc>
        <w:tc>
          <w:tcPr>
            <w:tcW w:w="2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开标异议</w:t>
            </w:r>
          </w:p>
        </w:tc>
        <w:tc>
          <w:tcPr>
            <w:tcW w:w="664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开标时，投标人代表有权出席现场开标会，也可以自主决定不参加开标会，若投标人代表对现场开标过程提出异议，应当在开标现场提出，该投标人代表须同时出示本人身份证原件，招标人当场作出答复，并制作记录。投标人通过电子招标投标交易平台参与开标的，对开标过程提出异议的，应通过电子招标投标交易平台提出，招标人通过电子招标投标交易平台现场进行答复。</w:t>
            </w:r>
          </w:p>
        </w:tc>
      </w:tr>
      <w:tr>
        <w:tblPrEx>
          <w:tblCellMar>
            <w:top w:w="0" w:type="dxa"/>
            <w:left w:w="108" w:type="dxa"/>
            <w:bottom w:w="0" w:type="dxa"/>
            <w:right w:w="108" w:type="dxa"/>
          </w:tblCellMar>
        </w:tblPrEx>
        <w:trPr>
          <w:trHeight w:val="59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6.1.1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由招标人依法组建。</w:t>
            </w:r>
          </w:p>
        </w:tc>
      </w:tr>
      <w:tr>
        <w:tblPrEx>
          <w:tblCellMar>
            <w:top w:w="0" w:type="dxa"/>
            <w:left w:w="108" w:type="dxa"/>
            <w:bottom w:w="0" w:type="dxa"/>
            <w:right w:w="108" w:type="dxa"/>
          </w:tblCellMar>
        </w:tblPrEx>
        <w:trPr>
          <w:trHeight w:val="55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6.3.2</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评标委员会推荐中标候选人的人数</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推荐3名中标候选人</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中标候选人公示媒介及期限</w:t>
            </w:r>
          </w:p>
        </w:tc>
        <w:tc>
          <w:tcPr>
            <w:tcW w:w="664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公示媒介：中国招标投标公共服务平台、广东省招标投标监管网、广州公共资源交易中心网。</w:t>
            </w:r>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公示期限：3日</w:t>
            </w:r>
          </w:p>
          <w:p>
            <w:r>
              <w:rPr>
                <w:rFonts w:hint="eastAsia" w:ascii="宋体" w:hAnsi="宋体" w:eastAsia="宋体" w:cs="宋体"/>
                <w:color w:val="auto"/>
                <w:sz w:val="24"/>
                <w:szCs w:val="24"/>
                <w:highlight w:val="none"/>
                <w:u w:val="single"/>
                <w:lang w:eastAsia="zh-CN"/>
              </w:rPr>
              <w:t>投标人或其他利害关系人对评标结果有异议的，应当在中标候选人公示期间提出，可以通过线下或线上的形式提出异议。线上提交的，应通过交易平台进行，招标人也应通过交易平台答复线上提交的异议。</w:t>
            </w:r>
            <w:r>
              <w:rPr>
                <w:rFonts w:hint="eastAsia" w:ascii="宋体" w:hAnsi="宋体" w:eastAsia="宋体" w:cs="宋体"/>
                <w:color w:val="auto"/>
                <w:sz w:val="24"/>
                <w:szCs w:val="24"/>
                <w:highlight w:val="none"/>
                <w:u w:val="single"/>
              </w:rPr>
              <w:t>作出答复前，应当暂停招标投标活动。</w:t>
            </w:r>
          </w:p>
        </w:tc>
      </w:tr>
      <w:tr>
        <w:tblPrEx>
          <w:tblCellMar>
            <w:top w:w="0" w:type="dxa"/>
            <w:left w:w="108" w:type="dxa"/>
            <w:bottom w:w="0" w:type="dxa"/>
            <w:right w:w="108" w:type="dxa"/>
          </w:tblCellMar>
        </w:tblPrEx>
        <w:trPr>
          <w:trHeight w:val="73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7.4</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6648" w:type="dxa"/>
            <w:tcBorders>
              <w:top w:val="single" w:color="auto" w:sz="4" w:space="0"/>
              <w:left w:val="single" w:color="auto" w:sz="4" w:space="0"/>
              <w:bottom w:val="single" w:color="auto" w:sz="4" w:space="0"/>
              <w:right w:val="single" w:color="auto" w:sz="4" w:space="0"/>
            </w:tcBorders>
            <w:vAlign w:val="center"/>
          </w:tcPr>
          <w:p>
            <w:pPr>
              <w:spacing w:line="400" w:lineRule="exact"/>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□是</w:t>
            </w:r>
          </w:p>
          <w:p>
            <w:pPr>
              <w:spacing w:line="400" w:lineRule="exact"/>
              <w:ind w:left="40" w:leftChars="19"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7.6.1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648"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□要求，履约保证金的形式：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履约保证金的金额：</w:t>
            </w:r>
            <w:r>
              <w:rPr>
                <w:rFonts w:hint="eastAsia" w:ascii="宋体" w:hAnsi="宋体" w:eastAsia="宋体" w:cs="宋体"/>
                <w:color w:val="auto"/>
                <w:sz w:val="24"/>
                <w:szCs w:val="24"/>
                <w:highlight w:val="none"/>
                <w:u w:val="single"/>
              </w:rPr>
              <w:t>/。</w:t>
            </w:r>
          </w:p>
          <w:p>
            <w:pPr>
              <w:pStyle w:val="16"/>
              <w:topLinePunct/>
              <w:spacing w:after="0" w:line="400" w:lineRule="exact"/>
              <w:ind w:left="40" w:leftChars="19" w:right="107" w:rightChars="5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tblPrEx>
          <w:tblCellMar>
            <w:top w:w="0" w:type="dxa"/>
            <w:left w:w="108" w:type="dxa"/>
            <w:bottom w:w="0" w:type="dxa"/>
            <w:right w:w="108" w:type="dxa"/>
          </w:tblCellMar>
        </w:tblPrEx>
        <w:trPr>
          <w:trHeight w:val="1194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■是，具体要求：1、具体操作详见《房屋建筑和市政基础设施工程全流程电子化项目专章》。</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2、提交投标文件光盘备用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将按《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3、补救方案</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（1）投标文件解密失败的补救方案：</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（2）评标时突发情况的补救方案</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若遇不可抗力发生（如：网络瘫痪、服务器损坏、交易系统故障短期无法恢复等因素），由评标委员会开启现场递交的全部投标文件光盘，并按光盘内容进行评审。</w:t>
            </w:r>
          </w:p>
          <w:p>
            <w:pPr>
              <w:spacing w:line="360" w:lineRule="auto"/>
              <w:ind w:left="40" w:leftChars="19" w:right="107" w:rightChars="51"/>
              <w:rPr>
                <w:rFonts w:ascii="宋体" w:hAnsi="宋体" w:cs="宋体"/>
                <w:color w:val="auto"/>
                <w:sz w:val="24"/>
                <w:szCs w:val="24"/>
                <w:highlight w:val="none"/>
              </w:rPr>
            </w:pPr>
            <w:r>
              <w:rPr>
                <w:rFonts w:hint="eastAsia" w:ascii="宋体" w:hAnsi="宋体" w:cs="宋体"/>
                <w:color w:val="auto"/>
                <w:sz w:val="24"/>
                <w:szCs w:val="24"/>
                <w:highlight w:val="none"/>
              </w:rPr>
              <w:t>（3）除发生上述情况外，开标评标均以投标人通过交易平台网上递交的电子投标文件为准。</w:t>
            </w:r>
          </w:p>
        </w:tc>
      </w:tr>
      <w:tr>
        <w:tblPrEx>
          <w:tblCellMar>
            <w:top w:w="0" w:type="dxa"/>
            <w:left w:w="108" w:type="dxa"/>
            <w:bottom w:w="0" w:type="dxa"/>
            <w:right w:w="108" w:type="dxa"/>
          </w:tblCellMar>
        </w:tblPrEx>
        <w:trPr>
          <w:trHeight w:val="509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10.1</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特别提示</w:t>
            </w:r>
          </w:p>
        </w:tc>
        <w:tc>
          <w:tcPr>
            <w:tcW w:w="66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7" w:rightChars="51"/>
              <w:jc w:val="left"/>
              <w:rPr>
                <w:rFonts w:ascii="宋体" w:hAnsi="宋体" w:cs="宋体"/>
                <w:color w:val="auto"/>
                <w:sz w:val="24"/>
                <w:szCs w:val="24"/>
                <w:highlight w:val="none"/>
              </w:rPr>
            </w:pPr>
            <w:r>
              <w:rPr>
                <w:rFonts w:hint="eastAsia" w:ascii="宋体" w:hAnsi="宋体" w:cs="宋体"/>
                <w:color w:val="auto"/>
                <w:sz w:val="24"/>
                <w:szCs w:val="24"/>
                <w:highlight w:val="none"/>
              </w:rPr>
              <w:t>投标人在本项目招标人的工程项目中存在下列行为的，将被拒绝一年内参与我单位后续工程投标。（注：自招标人发出通知之日起计）：</w:t>
            </w:r>
          </w:p>
          <w:p>
            <w:pPr>
              <w:widowControl/>
              <w:spacing w:line="360" w:lineRule="auto"/>
              <w:ind w:right="107" w:rightChars="51"/>
              <w:jc w:val="left"/>
              <w:rPr>
                <w:rFonts w:ascii="宋体" w:hAnsi="宋体" w:cs="宋体"/>
                <w:sz w:val="24"/>
                <w:szCs w:val="24"/>
              </w:rPr>
            </w:pPr>
            <w:r>
              <w:rPr>
                <w:rFonts w:hint="eastAsia" w:ascii="宋体" w:hAnsi="宋体" w:cs="宋体"/>
                <w:sz w:val="24"/>
                <w:szCs w:val="24"/>
              </w:rPr>
              <w:t>（1）将中标工程转包或者违法分包的；</w:t>
            </w:r>
          </w:p>
          <w:p>
            <w:pPr>
              <w:widowControl/>
              <w:spacing w:line="360" w:lineRule="auto"/>
              <w:ind w:right="107" w:rightChars="51"/>
              <w:jc w:val="left"/>
              <w:rPr>
                <w:rFonts w:ascii="宋体" w:hAnsi="宋体" w:cs="宋体"/>
                <w:sz w:val="24"/>
                <w:szCs w:val="24"/>
              </w:rPr>
            </w:pPr>
            <w:r>
              <w:rPr>
                <w:rFonts w:hint="eastAsia" w:ascii="宋体" w:hAnsi="宋体" w:cs="宋体"/>
                <w:sz w:val="24"/>
                <w:szCs w:val="24"/>
              </w:rPr>
              <w:t>（2）在中标工程中不执行质量、安全生产相关规定的，造成质量或安全事故的；</w:t>
            </w:r>
          </w:p>
          <w:p>
            <w:pPr>
              <w:widowControl/>
              <w:spacing w:line="360" w:lineRule="auto"/>
              <w:ind w:right="107" w:rightChars="51"/>
              <w:jc w:val="left"/>
              <w:rPr>
                <w:rFonts w:ascii="宋体" w:hAnsi="宋体" w:cs="宋体"/>
                <w:sz w:val="24"/>
                <w:szCs w:val="24"/>
              </w:rPr>
            </w:pPr>
            <w:r>
              <w:rPr>
                <w:rFonts w:hint="eastAsia" w:ascii="宋体" w:hAnsi="宋体" w:cs="宋体"/>
                <w:sz w:val="24"/>
                <w:szCs w:val="24"/>
              </w:rPr>
              <w:t>（3）存在围标或串标情形的；</w:t>
            </w:r>
          </w:p>
          <w:p>
            <w:pPr>
              <w:widowControl/>
              <w:spacing w:line="360" w:lineRule="auto"/>
              <w:ind w:right="107" w:rightChars="51"/>
              <w:jc w:val="left"/>
              <w:rPr>
                <w:rFonts w:hint="eastAsia"/>
                <w:sz w:val="24"/>
                <w:szCs w:val="24"/>
                <w:highlight w:val="none"/>
              </w:rPr>
            </w:pPr>
            <w:r>
              <w:rPr>
                <w:rFonts w:hint="eastAsia"/>
                <w:sz w:val="24"/>
                <w:szCs w:val="24"/>
                <w:highlight w:val="none"/>
              </w:rPr>
              <w:t>（4）在投标文件中提供虚假材料的；</w:t>
            </w:r>
          </w:p>
          <w:p>
            <w:pPr>
              <w:widowControl/>
              <w:spacing w:line="360" w:lineRule="auto"/>
              <w:ind w:right="107" w:rightChars="51"/>
              <w:jc w:val="left"/>
              <w:rPr>
                <w:rFonts w:hint="eastAsia"/>
                <w:sz w:val="24"/>
                <w:szCs w:val="24"/>
                <w:highlight w:val="none"/>
              </w:rPr>
            </w:pPr>
            <w:r>
              <w:rPr>
                <w:rFonts w:hint="eastAsia"/>
                <w:sz w:val="24"/>
                <w:szCs w:val="24"/>
                <w:highlight w:val="none"/>
              </w:rPr>
              <w:t>（5）存在行贿情形的;</w:t>
            </w:r>
          </w:p>
          <w:p>
            <w:pPr>
              <w:widowControl/>
              <w:spacing w:line="360" w:lineRule="auto"/>
              <w:ind w:right="107" w:rightChars="51"/>
              <w:jc w:val="left"/>
              <w:rPr>
                <w:rFonts w:hint="eastAsia"/>
                <w:sz w:val="24"/>
                <w:szCs w:val="24"/>
                <w:highlight w:val="none"/>
              </w:rPr>
            </w:pPr>
            <w:r>
              <w:rPr>
                <w:rFonts w:hint="eastAsia"/>
                <w:sz w:val="24"/>
                <w:szCs w:val="24"/>
                <w:highlight w:val="none"/>
              </w:rPr>
              <w:t>（</w:t>
            </w:r>
            <w:r>
              <w:rPr>
                <w:rFonts w:hint="eastAsia"/>
                <w:sz w:val="24"/>
                <w:szCs w:val="24"/>
                <w:highlight w:val="none"/>
                <w:lang w:val="en-US" w:eastAsia="zh-CN"/>
              </w:rPr>
              <w:t>6</w:t>
            </w:r>
            <w:r>
              <w:rPr>
                <w:rFonts w:hint="eastAsia"/>
                <w:sz w:val="24"/>
                <w:szCs w:val="24"/>
                <w:highlight w:val="none"/>
              </w:rPr>
              <w:t>）存在因过错行为被生效法律文书认定承担违约或侵权责任的。</w:t>
            </w:r>
          </w:p>
          <w:p>
            <w:pPr>
              <w:widowControl/>
              <w:spacing w:line="360" w:lineRule="auto"/>
              <w:ind w:right="107" w:rightChars="51"/>
              <w:jc w:val="left"/>
              <w:rPr>
                <w:color w:val="auto"/>
                <w:highlight w:val="none"/>
              </w:rPr>
            </w:pP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10.2</w:t>
            </w:r>
          </w:p>
        </w:tc>
        <w:tc>
          <w:tcPr>
            <w:tcW w:w="2159"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招标失败的情形</w:t>
            </w:r>
          </w:p>
        </w:tc>
        <w:tc>
          <w:tcPr>
            <w:tcW w:w="664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07" w:rightChars="51"/>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本项目采用资格后审方式，满足资格审查合格条件或通过初步评审的投标申请人不足3名时为招标失败。招标人分析招标失败原因，修正招标方案，重新组织招标。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10.3</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第一中标候选人放弃中标资格情形</w:t>
            </w:r>
          </w:p>
        </w:tc>
        <w:tc>
          <w:tcPr>
            <w:tcW w:w="664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排名第一的中标候选人放弃中标、因不可抗力不能履行合同、或者被查实存在影响中标结果的违法行为等情形，不符合中标条件的，招标人可以按照招标文件第三章要求确定的推荐中标候选人原则依次确定其他中标候选人为中标人，也可以重新招标。</w:t>
            </w:r>
          </w:p>
        </w:tc>
      </w:tr>
      <w:tr>
        <w:tblPrEx>
          <w:tblCellMar>
            <w:top w:w="0" w:type="dxa"/>
            <w:left w:w="108" w:type="dxa"/>
            <w:bottom w:w="0" w:type="dxa"/>
            <w:right w:w="108" w:type="dxa"/>
          </w:tblCellMar>
        </w:tblPrEx>
        <w:trPr>
          <w:trHeight w:val="134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10.4</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ind w:right="174" w:rightChars="83"/>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中标候选人公示要求</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ind w:right="174" w:rightChars="83"/>
              <w:rPr>
                <w:rFonts w:ascii="宋体" w:hAnsi="宋体" w:cs="宋体"/>
                <w:color w:val="auto"/>
                <w:sz w:val="24"/>
                <w:szCs w:val="24"/>
                <w:highlight w:val="none"/>
                <w:u w:val="single"/>
              </w:rPr>
            </w:pPr>
            <w:r>
              <w:rPr>
                <w:rFonts w:hint="eastAsia" w:ascii="宋体" w:hAnsi="宋体" w:cs="宋体"/>
                <w:color w:val="auto"/>
                <w:sz w:val="24"/>
                <w:szCs w:val="24"/>
                <w:highlight w:val="none"/>
              </w:rPr>
              <w:t>在产生中标候选人后，招标人将中标候选人的投标文件商务部分的电子版（报价清单、方案等涉及商业秘密的内容除外）在广州公共资源交易中心网站公开。</w:t>
            </w:r>
          </w:p>
        </w:tc>
      </w:tr>
      <w:tr>
        <w:tblPrEx>
          <w:tblCellMar>
            <w:top w:w="0" w:type="dxa"/>
            <w:left w:w="108" w:type="dxa"/>
            <w:bottom w:w="0" w:type="dxa"/>
            <w:right w:w="108" w:type="dxa"/>
          </w:tblCellMar>
        </w:tblPrEx>
        <w:trPr>
          <w:trHeight w:val="363" w:hRule="atLeast"/>
        </w:trPr>
        <w:tc>
          <w:tcPr>
            <w:tcW w:w="11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10.5</w:t>
            </w:r>
          </w:p>
        </w:tc>
        <w:tc>
          <w:tcPr>
            <w:tcW w:w="2159" w:type="dxa"/>
            <w:tcBorders>
              <w:top w:val="single" w:color="auto" w:sz="4" w:space="0"/>
              <w:left w:val="single" w:color="auto" w:sz="4" w:space="0"/>
              <w:bottom w:val="single" w:color="auto" w:sz="4" w:space="0"/>
              <w:right w:val="single" w:color="auto" w:sz="4" w:space="0"/>
            </w:tcBorders>
            <w:vAlign w:val="center"/>
          </w:tcPr>
          <w:p>
            <w:pPr>
              <w:snapToGrid w:val="0"/>
              <w:ind w:firstLine="360" w:firstLineChars="150"/>
              <w:jc w:val="center"/>
              <w:rPr>
                <w:rFonts w:ascii="宋体" w:hAnsi="宋体" w:cs="宋体"/>
                <w:color w:val="auto"/>
                <w:sz w:val="24"/>
                <w:szCs w:val="24"/>
                <w:highlight w:val="none"/>
              </w:rPr>
            </w:pPr>
            <w:r>
              <w:rPr>
                <w:rFonts w:hint="eastAsia" w:ascii="宋体" w:hAnsi="宋体" w:cs="宋体"/>
                <w:color w:val="auto"/>
                <w:sz w:val="24"/>
                <w:szCs w:val="24"/>
                <w:highlight w:val="none"/>
              </w:rPr>
              <w:t>项目监理部人员组成配置要求</w:t>
            </w:r>
          </w:p>
        </w:tc>
        <w:tc>
          <w:tcPr>
            <w:tcW w:w="6648" w:type="dxa"/>
            <w:tcBorders>
              <w:top w:val="single" w:color="auto" w:sz="4" w:space="0"/>
              <w:left w:val="single" w:color="auto" w:sz="4" w:space="0"/>
              <w:bottom w:val="single" w:color="auto" w:sz="4" w:space="0"/>
              <w:right w:val="single" w:color="auto" w:sz="4" w:space="0"/>
            </w:tcBorders>
            <w:vAlign w:val="center"/>
          </w:tcPr>
          <w:p>
            <w:pPr>
              <w:ind w:left="1"/>
              <w:rPr>
                <w:rFonts w:ascii="宋体" w:hAnsi="宋体" w:cs="宋体"/>
                <w:color w:val="auto"/>
                <w:sz w:val="24"/>
                <w:szCs w:val="24"/>
                <w:highlight w:val="none"/>
              </w:rPr>
            </w:pPr>
            <w:r>
              <w:rPr>
                <w:rFonts w:hint="eastAsia" w:ascii="宋体" w:hAnsi="宋体" w:cs="宋体"/>
                <w:color w:val="auto"/>
                <w:sz w:val="24"/>
                <w:szCs w:val="24"/>
                <w:highlight w:val="none"/>
              </w:rPr>
              <w:t>按《委托人要求》填写</w:t>
            </w:r>
          </w:p>
        </w:tc>
      </w:tr>
      <w:tr>
        <w:tblPrEx>
          <w:tblCellMar>
            <w:top w:w="0" w:type="dxa"/>
            <w:left w:w="108" w:type="dxa"/>
            <w:bottom w:w="0" w:type="dxa"/>
            <w:right w:w="108" w:type="dxa"/>
          </w:tblCellMar>
        </w:tblPrEx>
        <w:trPr>
          <w:trHeight w:val="36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10.6</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ind w:right="174" w:rightChars="83"/>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否决投标条款</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否决投标条款：</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1.在投标截止期后逾期或未在广州公共资源交易中心数字交易平台（http://www.gzggzy.cn）递交电子投标文件的，电子招标投标交易平台将拒绝接收其投标文件。</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2.投标文件应当对招标文件的实质性要求和条件作出满足性或更有利于招标人的响应，否则，投标人的投标将被否决。</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3.投标人有以下情形之一的，评标委员会应当否决其投标：</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（1）投标文件没有对招标文件的实质性要求和条件作出响应，或者对招标文件的偏差超出招标文件规定的偏差范围或最高项数；</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（2）有串通投标、弄虚作假、行贿等违法行为。</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4.投标报价有算术错误及其他错误的，评标委员会按以下原则要求投标人对投标报价进行修正，并要求投标人书面澄清确认。投标人拒不澄清确认的，评标委员会应当否决其投标：</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（1）投标文件中的大写金额与小写金额不一致的，以大写金额为准；</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（2）总价金额与单价金额不一致的，以单价金额为准，但单价金额小数点有明显错误的除外。</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5.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6.投标文件中投标报价高于最高投标限价的，其投标文件将被否决。</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7.投标文件符合列于《评标办法前附表》“形式评审标准”“资格评审标准”“响应性评审标准”中所有情形的，为有效投标文件。任一情形不符合均为无效投标文件，经评标委员会认定后，其投标文件将被否决。</w:t>
            </w:r>
          </w:p>
        </w:tc>
      </w:tr>
      <w:tr>
        <w:tblPrEx>
          <w:tblCellMar>
            <w:top w:w="0" w:type="dxa"/>
            <w:left w:w="108" w:type="dxa"/>
            <w:bottom w:w="0" w:type="dxa"/>
            <w:right w:w="108" w:type="dxa"/>
          </w:tblCellMar>
        </w:tblPrEx>
        <w:trPr>
          <w:trHeight w:val="363" w:hRule="atLeast"/>
        </w:trPr>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10.6</w:t>
            </w:r>
          </w:p>
        </w:tc>
        <w:tc>
          <w:tcPr>
            <w:tcW w:w="2159" w:type="dxa"/>
            <w:tcBorders>
              <w:top w:val="single" w:color="auto" w:sz="4" w:space="0"/>
              <w:left w:val="single" w:color="auto" w:sz="4" w:space="0"/>
              <w:bottom w:val="single" w:color="auto" w:sz="4" w:space="0"/>
              <w:right w:val="single" w:color="auto" w:sz="4" w:space="0"/>
            </w:tcBorders>
            <w:vAlign w:val="center"/>
          </w:tcPr>
          <w:p>
            <w:pPr>
              <w:spacing w:line="400" w:lineRule="exact"/>
              <w:ind w:right="174" w:rightChars="83"/>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其他</w:t>
            </w:r>
          </w:p>
        </w:tc>
        <w:tc>
          <w:tcPr>
            <w:tcW w:w="6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1、招标公告、招标文件、答疑纪要等招标资料全部发布在广州交易集团有限公司（广州公共资源交易中心）网站，由投标人自行下载查阅。</w:t>
            </w:r>
          </w:p>
          <w:p>
            <w:pPr>
              <w:spacing w:line="360" w:lineRule="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投标截止时间、开标时间和地点：发布在广州交易集团有限公司（广州公共资源交易中心）网站（具体在网站主页“建设工程→项目查询（日程安排、答疑纪要）”输入本项目编号或项目名称进行查询，网址http://www.gzggzy.cn/xmcxjsgc/index.jhtml。）。</w:t>
            </w:r>
          </w:p>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3、中标后，中标单位须提交与交易平台上传电子投标文件完全一致的纸质投标文件（1正2副，加盖公章）给招标单位。</w:t>
            </w:r>
          </w:p>
        </w:tc>
      </w:tr>
    </w:tbl>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pStyle w:val="5"/>
        <w:jc w:val="center"/>
        <w:outlineLvl w:val="0"/>
        <w:rPr>
          <w:rFonts w:eastAsia="黑体" w:cs="Arial"/>
          <w:bCs w:val="0"/>
          <w:color w:val="auto"/>
          <w:szCs w:val="20"/>
          <w:highlight w:val="none"/>
        </w:rPr>
      </w:pPr>
      <w:r>
        <w:rPr>
          <w:color w:val="auto"/>
          <w:sz w:val="18"/>
          <w:highlight w:val="none"/>
        </w:rPr>
        <w:br w:type="page"/>
      </w:r>
      <w:bookmarkStart w:id="9" w:name="_Toc530728899"/>
      <w:bookmarkStart w:id="10" w:name="_Toc517280514"/>
      <w:bookmarkStart w:id="11" w:name="_Toc7258"/>
      <w:bookmarkStart w:id="12" w:name="_Toc20812"/>
      <w:r>
        <w:rPr>
          <w:rFonts w:hint="eastAsia" w:eastAsia="黑体" w:cs="Arial"/>
          <w:bCs w:val="0"/>
          <w:color w:val="auto"/>
          <w:sz w:val="28"/>
          <w:szCs w:val="18"/>
          <w:highlight w:val="none"/>
        </w:rPr>
        <w:t>第二章  正文</w:t>
      </w:r>
      <w:r>
        <w:rPr>
          <w:rFonts w:eastAsia="黑体" w:cs="Arial"/>
          <w:bCs w:val="0"/>
          <w:color w:val="auto"/>
          <w:sz w:val="28"/>
          <w:szCs w:val="18"/>
          <w:highlight w:val="none"/>
        </w:rPr>
        <w:t>按</w:t>
      </w:r>
      <w:r>
        <w:rPr>
          <w:rFonts w:hint="eastAsia" w:eastAsia="黑体" w:cs="Arial"/>
          <w:bCs w:val="0"/>
          <w:color w:val="auto"/>
          <w:sz w:val="28"/>
          <w:szCs w:val="18"/>
          <w:highlight w:val="none"/>
        </w:rPr>
        <w:t>《中华人民共和国标准监理招标文件》</w:t>
      </w:r>
      <w:bookmarkEnd w:id="9"/>
      <w:bookmarkEnd w:id="10"/>
      <w:r>
        <w:rPr>
          <w:rFonts w:hint="eastAsia" w:eastAsia="黑体" w:cs="Arial"/>
          <w:bCs w:val="0"/>
          <w:color w:val="auto"/>
          <w:sz w:val="28"/>
          <w:szCs w:val="18"/>
          <w:highlight w:val="none"/>
        </w:rPr>
        <w:t>（2017年版）</w:t>
      </w:r>
      <w:bookmarkEnd w:id="11"/>
      <w:bookmarkEnd w:id="12"/>
    </w:p>
    <w:p>
      <w:pPr>
        <w:pStyle w:val="5"/>
        <w:rPr>
          <w:color w:val="auto"/>
          <w:highlight w:val="none"/>
        </w:rPr>
      </w:pPr>
      <w:bookmarkStart w:id="13" w:name="_Toc529196520"/>
      <w:bookmarkStart w:id="14" w:name="_Toc515205193"/>
      <w:r>
        <w:rPr>
          <w:color w:val="auto"/>
          <w:highlight w:val="none"/>
        </w:rPr>
        <w:t>1. 总则</w:t>
      </w:r>
      <w:bookmarkEnd w:id="13"/>
      <w:bookmarkEnd w:id="14"/>
    </w:p>
    <w:p>
      <w:pPr>
        <w:pStyle w:val="5"/>
        <w:spacing w:before="120" w:after="120"/>
        <w:ind w:firstLine="137"/>
        <w:rPr>
          <w:color w:val="auto"/>
          <w:highlight w:val="none"/>
        </w:rPr>
      </w:pPr>
      <w:bookmarkStart w:id="15" w:name="_Toc529196521"/>
      <w:bookmarkStart w:id="16" w:name="_Toc515205194"/>
      <w:r>
        <w:rPr>
          <w:color w:val="auto"/>
          <w:highlight w:val="none"/>
        </w:rPr>
        <w:t>1.1 招标项目概况</w:t>
      </w:r>
      <w:bookmarkEnd w:id="15"/>
      <w:bookmarkEnd w:id="16"/>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1.1.1根据《中华人民共和国招标投标法》、《中华人民共和国招标投标法实施条例》等有关法律、法规和规章的规定，本招标项目已具备招标条件，现对监理进行招标。</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 招标人：见投标人须知前附表。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1.1.3 招标代理机构：见投标人须知前附表。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1.1.4 招标项目名称：见投标人须知前附表。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1.1.5 项目建设地点：见投标人须知前附表。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1.1.6 项目建设规模：见投标人须知前附表。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1.1.7 </w:t>
      </w:r>
      <w:r>
        <w:rPr>
          <w:rFonts w:hint="eastAsia" w:ascii="Times New Roman" w:hAnsi="Times New Roman"/>
          <w:color w:val="auto"/>
          <w:sz w:val="24"/>
          <w:highlight w:val="none"/>
        </w:rPr>
        <w:t>工程项目施工预计开工日期和建设周期：见投标人须知前附表。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1.1.8 </w:t>
      </w:r>
      <w:r>
        <w:rPr>
          <w:rFonts w:hint="eastAsia" w:ascii="Times New Roman" w:hAnsi="Times New Roman"/>
          <w:color w:val="auto"/>
          <w:sz w:val="24"/>
          <w:highlight w:val="none"/>
        </w:rPr>
        <w:t>建筑安装工程费</w:t>
      </w:r>
      <w:r>
        <w:rPr>
          <w:rFonts w:ascii="Times New Roman" w:hAnsi="Times New Roman"/>
          <w:color w:val="auto"/>
          <w:sz w:val="24"/>
          <w:highlight w:val="none"/>
        </w:rPr>
        <w:t>/</w:t>
      </w:r>
      <w:r>
        <w:rPr>
          <w:rFonts w:hint="eastAsia" w:ascii="Times New Roman" w:hAnsi="Times New Roman"/>
          <w:color w:val="auto"/>
          <w:sz w:val="24"/>
          <w:highlight w:val="none"/>
        </w:rPr>
        <w:t>工程概算：见投标人须知前附表。</w:t>
      </w:r>
    </w:p>
    <w:p>
      <w:pPr>
        <w:pStyle w:val="5"/>
        <w:ind w:firstLine="118"/>
        <w:rPr>
          <w:color w:val="auto"/>
          <w:sz w:val="24"/>
          <w:szCs w:val="24"/>
          <w:highlight w:val="none"/>
        </w:rPr>
      </w:pPr>
      <w:bookmarkStart w:id="17" w:name="_Toc529196522"/>
      <w:bookmarkStart w:id="18" w:name="_Toc515205195"/>
      <w:r>
        <w:rPr>
          <w:color w:val="auto"/>
          <w:sz w:val="24"/>
          <w:szCs w:val="24"/>
          <w:highlight w:val="none"/>
        </w:rPr>
        <w:t>1.2 招标项目的资金来源和落实情况</w:t>
      </w:r>
      <w:bookmarkEnd w:id="17"/>
      <w:bookmarkEnd w:id="18"/>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1.2.1 资金来源及比例：见投标人须知前附表。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1.2.2 资金落实情况：见投标人须知前附表。</w:t>
      </w:r>
    </w:p>
    <w:p>
      <w:pPr>
        <w:pStyle w:val="5"/>
        <w:ind w:firstLine="118"/>
        <w:rPr>
          <w:color w:val="auto"/>
          <w:sz w:val="24"/>
          <w:szCs w:val="24"/>
          <w:highlight w:val="none"/>
        </w:rPr>
      </w:pPr>
      <w:bookmarkStart w:id="19" w:name="_Toc515205196"/>
      <w:bookmarkStart w:id="20" w:name="_Toc529196523"/>
      <w:r>
        <w:rPr>
          <w:color w:val="auto"/>
          <w:sz w:val="24"/>
          <w:szCs w:val="24"/>
          <w:highlight w:val="none"/>
        </w:rPr>
        <w:t>1.3招标范围、服务期限和质量标准</w:t>
      </w:r>
      <w:bookmarkEnd w:id="19"/>
      <w:bookmarkEnd w:id="20"/>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1.3.1 招标范围：见投标人须知前附表。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1.3.2 服务期限：见投标人须知前附表。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1.3.3 质量标准：见投标人须知前附表。</w:t>
      </w:r>
    </w:p>
    <w:p>
      <w:pPr>
        <w:pStyle w:val="5"/>
        <w:ind w:firstLine="118"/>
        <w:rPr>
          <w:color w:val="auto"/>
          <w:sz w:val="24"/>
          <w:szCs w:val="24"/>
          <w:highlight w:val="none"/>
        </w:rPr>
      </w:pPr>
      <w:bookmarkStart w:id="21" w:name="_Toc515205197"/>
      <w:bookmarkStart w:id="22" w:name="_Toc529196524"/>
      <w:r>
        <w:rPr>
          <w:color w:val="auto"/>
          <w:sz w:val="24"/>
          <w:szCs w:val="24"/>
          <w:highlight w:val="none"/>
        </w:rPr>
        <w:t>1.4投标人资格要求</w:t>
      </w:r>
      <w:bookmarkEnd w:id="21"/>
      <w:bookmarkEnd w:id="22"/>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1.4.1 投标人应具备承担本招标项目资质条件、能力和信誉：</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（1）资质要求：见投标人须知前附表；</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（2）财务要求：见投标人须知前附表；</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（3）业绩要求：见投标人须知前附表；</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（4）信誉要求：见投标人须知前附表；</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（5）总监理工程师的资格要求：应当具备工程注册监理工程师执业资格</w:t>
      </w:r>
      <w:r>
        <w:rPr>
          <w:rFonts w:hint="eastAsia" w:ascii="Times New Roman" w:hAnsi="Times New Roman"/>
          <w:color w:val="auto"/>
          <w:sz w:val="24"/>
          <w:highlight w:val="none"/>
        </w:rPr>
        <w:t>（如有）</w:t>
      </w:r>
      <w:r>
        <w:rPr>
          <w:rFonts w:ascii="Times New Roman" w:hAnsi="Times New Roman"/>
          <w:color w:val="auto"/>
          <w:sz w:val="24"/>
          <w:highlight w:val="none"/>
        </w:rPr>
        <w:t>，具体要求见投标人须知前附表；</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（6）其他主要人员要求：见投标人须知前附表。</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（7）试验检测仪器设备要求：见投标人须知前附表。</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（8）其他要求：见投标人须知前附表。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需要提交的相关证明材料见本章第3.5款的规定。</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1.4.2投标人须知前附表规定接受联合体投标的，联合体除应符合本章第1.4.1项和投标人须知前附表的要求外，还应遵守以下规定：</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（1）联合体各方应按招标文件提供的格式签订联合体协议书，明确联合体牵头人和各方权利义务，并承诺就中标项目向招标人承担连带责任；</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（2）由同一专业的单位组成的联合体，按照资质等级较低的单位确定资质等级；</w:t>
      </w:r>
    </w:p>
    <w:p>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（3）联合体各方不得再以自己名义单独或参加其他联合体在本招标项目中投标，否则各相关投标均无效。</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1.4.3 投标人不得存在下列情形之一：</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（1）为招标人不具有独立法人资格的附属机构（单位）；</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（2）与招标人存在利害关系且可能影响招标公正性；</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（3）与本招标项目的其他投标人为同一个单位负责人；</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（4）与本招标项目的其他投标人存在控股、管理关系；</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（5）为本招标项目的代建人；</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（6）为本招标项目的招标代理机构；</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（7）与本招标项目的代建人或招标代理机构同为一个法定代表人；</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（8）与本招标项目的代建人或招标代理机构存在控股或参股关系；</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（9）</w:t>
      </w:r>
      <w:r>
        <w:rPr>
          <w:rFonts w:hint="eastAsia" w:ascii="Times New Roman" w:hAnsi="Times New Roman"/>
          <w:color w:val="auto"/>
          <w:sz w:val="24"/>
          <w:highlight w:val="none"/>
        </w:rPr>
        <w:t>与</w:t>
      </w:r>
      <w:r>
        <w:rPr>
          <w:rFonts w:ascii="Times New Roman" w:hAnsi="Times New Roman"/>
          <w:color w:val="auto"/>
          <w:sz w:val="24"/>
          <w:highlight w:val="none"/>
        </w:rPr>
        <w:t>本招标项目</w:t>
      </w:r>
      <w:r>
        <w:rPr>
          <w:rFonts w:hint="eastAsia" w:ascii="Times New Roman" w:hAnsi="Times New Roman"/>
          <w:color w:val="auto"/>
          <w:sz w:val="24"/>
          <w:highlight w:val="none"/>
        </w:rPr>
        <w:t>的施工承包人以</w:t>
      </w:r>
      <w:r>
        <w:rPr>
          <w:rFonts w:ascii="Times New Roman" w:hAnsi="Times New Roman"/>
          <w:color w:val="auto"/>
          <w:sz w:val="24"/>
          <w:highlight w:val="none"/>
        </w:rPr>
        <w:t>及建筑材料、建筑构配件和设备供应商有隶属关系或者其他利害关系；</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（10）被依法暂停或者取消投标资格；</w:t>
      </w:r>
      <w:r>
        <w:rPr>
          <w:rFonts w:hint="eastAsia" w:ascii="Times New Roman" w:hAnsi="Times New Roman"/>
          <w:color w:val="auto"/>
          <w:sz w:val="24"/>
          <w:highlight w:val="none"/>
          <w:u w:val="single"/>
        </w:rPr>
        <w:t>（本项事实应当以根据《中华人民共和国行政处罚法》依法作出并已经生效的行政处罚决定为认定依据。行政处罚决定中已经明确的暂停或取消投标资格的区域范围不包含本</w:t>
      </w:r>
      <w:r>
        <w:rPr>
          <w:rFonts w:hint="eastAsia" w:ascii="Times New Roman" w:hAnsi="Times New Roman"/>
          <w:color w:val="auto"/>
          <w:sz w:val="24"/>
          <w:highlight w:val="none"/>
          <w:u w:val="single"/>
          <w:lang w:val="en-US" w:eastAsia="zh-CN"/>
        </w:rPr>
        <w:t>招标项目</w:t>
      </w:r>
      <w:r>
        <w:rPr>
          <w:rFonts w:hint="eastAsia" w:ascii="Times New Roman" w:hAnsi="Times New Roman"/>
          <w:color w:val="auto"/>
          <w:sz w:val="24"/>
          <w:highlight w:val="none"/>
          <w:u w:val="single"/>
        </w:rPr>
        <w:t>建设地点的，不受该项规定限制）</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（11）被责令停产停业、暂扣或者吊销许可证、暂扣或者吊销执照；</w:t>
      </w:r>
      <w:r>
        <w:rPr>
          <w:rFonts w:hint="eastAsia" w:ascii="Times New Roman" w:hAnsi="Times New Roman"/>
          <w:color w:val="auto"/>
          <w:sz w:val="24"/>
          <w:highlight w:val="none"/>
          <w:u w:val="single"/>
          <w:lang w:val="en-US" w:eastAsia="zh-CN"/>
        </w:rPr>
        <w:t>（本项事实应当以根据《中华人民共和国行政处罚法》依法作出并已经生效的行政处罚决定为认定依据。）</w:t>
      </w:r>
      <w:r>
        <w:rPr>
          <w:rFonts w:hint="eastAsia" w:ascii="Times New Roman" w:hAnsi="Times New Roman"/>
          <w:color w:val="auto"/>
          <w:sz w:val="24"/>
          <w:highlight w:val="none"/>
          <w:u w:val="single"/>
        </w:rPr>
        <w:t>；</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（12）进入清算程序，或被宣告破产，或其他丧失履约能力的情形；</w:t>
      </w:r>
    </w:p>
    <w:p>
      <w:pPr>
        <w:spacing w:line="360" w:lineRule="auto"/>
        <w:ind w:firstLine="480" w:firstLineChars="200"/>
        <w:rPr>
          <w:rFonts w:ascii="Times New Roman" w:hAnsi="Times New Roman"/>
          <w:color w:val="auto"/>
          <w:sz w:val="24"/>
          <w:highlight w:val="none"/>
          <w:u w:val="single"/>
        </w:rPr>
      </w:pPr>
      <w:r>
        <w:rPr>
          <w:rFonts w:ascii="Times New Roman" w:hAnsi="Times New Roman"/>
          <w:color w:val="auto"/>
          <w:sz w:val="24"/>
          <w:highlight w:val="none"/>
        </w:rPr>
        <w:t>（13）在最近三年内发生重大监理质量问题</w:t>
      </w:r>
      <w:r>
        <w:rPr>
          <w:rFonts w:hint="eastAsia" w:ascii="Times New Roman" w:hAnsi="Times New Roman"/>
          <w:color w:val="auto"/>
          <w:sz w:val="24"/>
          <w:highlight w:val="none"/>
          <w:lang w:eastAsia="zh-CN"/>
        </w:rPr>
        <w:t>。</w:t>
      </w:r>
      <w:r>
        <w:rPr>
          <w:rFonts w:ascii="Times New Roman" w:hAnsi="Times New Roman"/>
          <w:color w:val="auto"/>
          <w:sz w:val="24"/>
          <w:highlight w:val="none"/>
          <w:u w:val="single"/>
        </w:rPr>
        <w:t>（以相关行业主管部门的行政处罚决定或司法机关出具的有关法律文书为准</w:t>
      </w:r>
      <w:r>
        <w:rPr>
          <w:rFonts w:hint="eastAsia" w:ascii="Times New Roman" w:hAnsi="Times New Roman"/>
          <w:color w:val="auto"/>
          <w:sz w:val="24"/>
          <w:highlight w:val="none"/>
          <w:u w:val="single"/>
          <w:lang w:eastAsia="zh-CN"/>
        </w:rPr>
        <w:t>。</w:t>
      </w:r>
      <w:r>
        <w:rPr>
          <w:rFonts w:hint="eastAsia" w:ascii="Times New Roman" w:hAnsi="Times New Roman"/>
          <w:color w:val="auto"/>
          <w:sz w:val="24"/>
          <w:highlight w:val="none"/>
          <w:u w:val="single"/>
        </w:rPr>
        <w:t>“最近三年”是指从投标截止时间之日起逆推三年，以相关行业主管部门、司法机关、仲裁机构出具的生效文件的落款时间起计算）；</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（14）法律法规或投标人须知前附表规定的其他情形。</w:t>
      </w:r>
    </w:p>
    <w:p>
      <w:pPr>
        <w:pStyle w:val="5"/>
        <w:ind w:firstLine="118"/>
        <w:rPr>
          <w:color w:val="auto"/>
          <w:sz w:val="24"/>
          <w:szCs w:val="24"/>
          <w:highlight w:val="none"/>
        </w:rPr>
      </w:pPr>
      <w:bookmarkStart w:id="23" w:name="_Toc515205198"/>
      <w:bookmarkStart w:id="24" w:name="_Toc529196525"/>
      <w:r>
        <w:rPr>
          <w:color w:val="auto"/>
          <w:sz w:val="24"/>
          <w:szCs w:val="24"/>
          <w:highlight w:val="none"/>
        </w:rPr>
        <w:t xml:space="preserve">1.5 </w:t>
      </w:r>
      <w:r>
        <w:rPr>
          <w:rFonts w:hint="eastAsia"/>
          <w:color w:val="auto"/>
          <w:sz w:val="24"/>
          <w:szCs w:val="24"/>
          <w:highlight w:val="none"/>
        </w:rPr>
        <w:t>费用承担</w:t>
      </w:r>
      <w:bookmarkEnd w:id="23"/>
      <w:bookmarkEnd w:id="2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投标人准备和参加投标活动发生的费用自理。</w:t>
      </w:r>
    </w:p>
    <w:p>
      <w:pPr>
        <w:pStyle w:val="5"/>
        <w:ind w:firstLine="118"/>
        <w:rPr>
          <w:color w:val="auto"/>
          <w:sz w:val="24"/>
          <w:szCs w:val="24"/>
          <w:highlight w:val="none"/>
        </w:rPr>
      </w:pPr>
      <w:bookmarkStart w:id="25" w:name="_Toc515205199"/>
      <w:bookmarkStart w:id="26" w:name="_Toc529196526"/>
      <w:r>
        <w:rPr>
          <w:color w:val="auto"/>
          <w:sz w:val="24"/>
          <w:szCs w:val="24"/>
          <w:highlight w:val="none"/>
        </w:rPr>
        <w:t>1.6</w:t>
      </w:r>
      <w:r>
        <w:rPr>
          <w:rFonts w:hint="eastAsia"/>
          <w:color w:val="auto"/>
          <w:sz w:val="24"/>
          <w:szCs w:val="24"/>
          <w:highlight w:val="none"/>
        </w:rPr>
        <w:t>保密</w:t>
      </w:r>
      <w:bookmarkEnd w:id="25"/>
      <w:bookmarkEnd w:id="26"/>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参与招标投标活动的各方应对招标文件和投标文件中</w:t>
      </w:r>
      <w:bookmarkStart w:id="27" w:name="_Toc352691477"/>
      <w:bookmarkStart w:id="28" w:name="_Toc5326"/>
      <w:bookmarkStart w:id="29" w:name="_Toc361508589"/>
      <w:bookmarkStart w:id="30" w:name="_Toc384308214"/>
      <w:bookmarkStart w:id="31" w:name="_Toc369531519"/>
      <w:r>
        <w:rPr>
          <w:rFonts w:ascii="Times New Roman" w:hAnsi="Times New Roman"/>
          <w:color w:val="auto"/>
          <w:sz w:val="24"/>
          <w:highlight w:val="none"/>
        </w:rPr>
        <w:t>的商业和技术等秘密保密</w:t>
      </w:r>
      <w:bookmarkEnd w:id="27"/>
      <w:bookmarkEnd w:id="28"/>
      <w:bookmarkEnd w:id="29"/>
      <w:bookmarkEnd w:id="30"/>
      <w:bookmarkEnd w:id="31"/>
      <w:r>
        <w:rPr>
          <w:rFonts w:ascii="Times New Roman" w:hAnsi="Times New Roman"/>
          <w:color w:val="auto"/>
          <w:sz w:val="24"/>
          <w:highlight w:val="none"/>
        </w:rPr>
        <w:t>，否则应承担相应的法律责任。</w:t>
      </w:r>
    </w:p>
    <w:p>
      <w:pPr>
        <w:pStyle w:val="5"/>
        <w:ind w:firstLine="118"/>
        <w:rPr>
          <w:color w:val="auto"/>
          <w:sz w:val="24"/>
          <w:szCs w:val="24"/>
          <w:highlight w:val="none"/>
        </w:rPr>
      </w:pPr>
      <w:bookmarkStart w:id="32" w:name="_Toc515205200"/>
      <w:bookmarkStart w:id="33" w:name="_Toc529196527"/>
      <w:r>
        <w:rPr>
          <w:color w:val="auto"/>
          <w:sz w:val="24"/>
          <w:szCs w:val="24"/>
          <w:highlight w:val="none"/>
        </w:rPr>
        <w:t>1.7 语言文字</w:t>
      </w:r>
      <w:bookmarkEnd w:id="32"/>
      <w:bookmarkEnd w:id="33"/>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招标投标文件使用的语言文字为中文。专用术语使用外文的，应附有中文注释。</w:t>
      </w:r>
    </w:p>
    <w:p>
      <w:pPr>
        <w:pStyle w:val="5"/>
        <w:ind w:firstLine="118"/>
        <w:rPr>
          <w:color w:val="auto"/>
          <w:sz w:val="24"/>
          <w:szCs w:val="24"/>
          <w:highlight w:val="none"/>
        </w:rPr>
      </w:pPr>
      <w:bookmarkStart w:id="34" w:name="_Toc529196528"/>
      <w:bookmarkStart w:id="35" w:name="_Toc515205201"/>
      <w:r>
        <w:rPr>
          <w:color w:val="auto"/>
          <w:sz w:val="24"/>
          <w:szCs w:val="24"/>
          <w:highlight w:val="none"/>
        </w:rPr>
        <w:t>1.8计量单位</w:t>
      </w:r>
      <w:bookmarkEnd w:id="34"/>
      <w:bookmarkEnd w:id="35"/>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所有计量均采用中华人民共和国法定计量单位。</w:t>
      </w:r>
    </w:p>
    <w:p>
      <w:pPr>
        <w:pStyle w:val="5"/>
        <w:ind w:firstLine="118"/>
        <w:rPr>
          <w:color w:val="auto"/>
          <w:sz w:val="24"/>
          <w:szCs w:val="24"/>
          <w:highlight w:val="none"/>
        </w:rPr>
      </w:pPr>
      <w:bookmarkStart w:id="36" w:name="_Toc152045539"/>
      <w:bookmarkStart w:id="37" w:name="_Toc515205202"/>
      <w:bookmarkStart w:id="38" w:name="_Toc370676289"/>
      <w:bookmarkStart w:id="39" w:name="_Toc144974507"/>
      <w:bookmarkStart w:id="40" w:name="_Toc247513962"/>
      <w:bookmarkStart w:id="41" w:name="_Toc529196529"/>
      <w:bookmarkStart w:id="42" w:name="_Toc300834959"/>
      <w:bookmarkStart w:id="43" w:name="_Toc384308219"/>
      <w:bookmarkStart w:id="44" w:name="_Toc482188480"/>
      <w:bookmarkStart w:id="45" w:name="_Toc247527563"/>
      <w:bookmarkStart w:id="46" w:name="_Toc361508594"/>
      <w:bookmarkStart w:id="47" w:name="_Toc391393967"/>
      <w:bookmarkStart w:id="48" w:name="_Toc152042315"/>
      <w:r>
        <w:rPr>
          <w:color w:val="auto"/>
          <w:sz w:val="24"/>
          <w:szCs w:val="24"/>
          <w:highlight w:val="none"/>
        </w:rPr>
        <w:t xml:space="preserve">1.9 </w:t>
      </w:r>
      <w:r>
        <w:rPr>
          <w:rFonts w:hint="eastAsia"/>
          <w:color w:val="auto"/>
          <w:sz w:val="24"/>
          <w:szCs w:val="24"/>
          <w:highlight w:val="none"/>
        </w:rPr>
        <w:t>踏勘现场</w:t>
      </w:r>
      <w:bookmarkEnd w:id="36"/>
      <w:bookmarkEnd w:id="37"/>
      <w:bookmarkEnd w:id="38"/>
      <w:bookmarkEnd w:id="39"/>
      <w:bookmarkEnd w:id="40"/>
      <w:bookmarkEnd w:id="41"/>
      <w:bookmarkEnd w:id="42"/>
      <w:bookmarkEnd w:id="43"/>
      <w:bookmarkEnd w:id="44"/>
      <w:bookmarkEnd w:id="45"/>
      <w:bookmarkEnd w:id="46"/>
      <w:bookmarkEnd w:id="47"/>
      <w:bookmarkEnd w:id="48"/>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1.9.2 投标人踏勘现场发生的费用自理。</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1.9.3 除招标人的原因外，投标人自行负责在踏勘现场中所发生的人员伤亡和财产损失。</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1.9.4 招标人在踏勘现场中介绍的工程场地和相关的周边环境情况，供投标人在编制投标文件时参考，招标人不对投标人据此作出的判断和决策负责。</w:t>
      </w:r>
    </w:p>
    <w:p>
      <w:pPr>
        <w:pStyle w:val="5"/>
        <w:ind w:firstLine="118"/>
        <w:rPr>
          <w:color w:val="auto"/>
          <w:sz w:val="24"/>
          <w:szCs w:val="24"/>
          <w:highlight w:val="none"/>
        </w:rPr>
      </w:pPr>
      <w:bookmarkStart w:id="49" w:name="_Toc529196530"/>
      <w:bookmarkStart w:id="50" w:name="_Toc515205203"/>
      <w:r>
        <w:rPr>
          <w:color w:val="auto"/>
          <w:sz w:val="24"/>
          <w:szCs w:val="24"/>
          <w:highlight w:val="none"/>
        </w:rPr>
        <w:t>1.10投标预备会</w:t>
      </w:r>
      <w:bookmarkEnd w:id="49"/>
      <w:bookmarkEnd w:id="50"/>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1.10.1 投标人须知前附表规定召开投标预备会的，招标人按投标人须知前附表规定的时间和地点召开投标预备会，澄清投标人提出的问题。</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1.10.2 投标人应按投标人须知前附表规定的时间和形式将提出的问题送达招标人，以便招标人在会议期间澄清。</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1.10.3 投标预备会后，招标人将对投标人所提问题的澄清，以投标人须知前附表规定的形式通知所有购买招标文件的投标人。该澄清内容为招标文件的组成部分。</w:t>
      </w:r>
    </w:p>
    <w:p>
      <w:pPr>
        <w:pStyle w:val="5"/>
        <w:ind w:firstLine="118"/>
        <w:rPr>
          <w:color w:val="auto"/>
          <w:sz w:val="24"/>
          <w:szCs w:val="24"/>
          <w:highlight w:val="none"/>
        </w:rPr>
      </w:pPr>
      <w:bookmarkStart w:id="51" w:name="_Toc529196531"/>
      <w:bookmarkStart w:id="52" w:name="_Toc515205204"/>
      <w:r>
        <w:rPr>
          <w:color w:val="auto"/>
          <w:sz w:val="24"/>
          <w:szCs w:val="24"/>
          <w:highlight w:val="none"/>
        </w:rPr>
        <w:t>1.11 分包</w:t>
      </w:r>
      <w:bookmarkEnd w:id="51"/>
      <w:bookmarkEnd w:id="52"/>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本项目严禁分包。</w:t>
      </w:r>
    </w:p>
    <w:p>
      <w:pPr>
        <w:pStyle w:val="5"/>
        <w:ind w:firstLine="118"/>
        <w:rPr>
          <w:color w:val="auto"/>
          <w:sz w:val="24"/>
          <w:szCs w:val="24"/>
          <w:highlight w:val="none"/>
        </w:rPr>
      </w:pPr>
      <w:bookmarkStart w:id="53" w:name="_Toc529196532"/>
      <w:bookmarkStart w:id="54" w:name="_Toc515205205"/>
      <w:r>
        <w:rPr>
          <w:color w:val="auto"/>
          <w:sz w:val="24"/>
          <w:szCs w:val="24"/>
          <w:highlight w:val="none"/>
        </w:rPr>
        <w:t>1.12响应和偏差</w:t>
      </w:r>
      <w:bookmarkEnd w:id="53"/>
      <w:bookmarkEnd w:id="5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1.12.2 投标人应根据招标文件的要求提供投标监理大纲等内容以对招标文件作出响应。</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1.12.3投标人须知前附表允许投标文件偏离招标文件某些要求的，偏差应当符合招标文件规定的偏差范围和幅度。</w:t>
      </w:r>
    </w:p>
    <w:p>
      <w:pPr>
        <w:pStyle w:val="5"/>
        <w:rPr>
          <w:color w:val="auto"/>
          <w:highlight w:val="none"/>
        </w:rPr>
      </w:pPr>
      <w:bookmarkStart w:id="55" w:name="_Toc529196533"/>
      <w:bookmarkStart w:id="56" w:name="_Toc515205206"/>
      <w:r>
        <w:rPr>
          <w:color w:val="auto"/>
          <w:highlight w:val="none"/>
        </w:rPr>
        <w:t>2. 招标文件</w:t>
      </w:r>
      <w:bookmarkEnd w:id="55"/>
      <w:bookmarkEnd w:id="56"/>
    </w:p>
    <w:p>
      <w:pPr>
        <w:pStyle w:val="5"/>
        <w:spacing w:before="120" w:after="120"/>
        <w:ind w:firstLine="137"/>
        <w:rPr>
          <w:color w:val="auto"/>
          <w:highlight w:val="none"/>
        </w:rPr>
      </w:pPr>
      <w:bookmarkStart w:id="57" w:name="_Toc515205207"/>
      <w:bookmarkStart w:id="58" w:name="_Toc529196534"/>
      <w:r>
        <w:rPr>
          <w:color w:val="auto"/>
          <w:highlight w:val="none"/>
        </w:rPr>
        <w:t>2.1 招标文件的组成</w:t>
      </w:r>
      <w:bookmarkEnd w:id="57"/>
      <w:bookmarkEnd w:id="58"/>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本招标文件包括：</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（1）招标公告（或投标邀请书）；</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（2）投标人须知；</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（3）评标办法；</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（4）合同条款及格式；</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（5）委托人要求；</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（6）投标文件格式；</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（7）投标人须知前附表规定的其他资料。</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根据本章第1.10款、第2.2款和第2.3款对招标文件所作的澄清、修改，构成招标文件的组成部分。</w:t>
      </w:r>
    </w:p>
    <w:p>
      <w:pPr>
        <w:pStyle w:val="5"/>
        <w:spacing w:before="120" w:after="120"/>
        <w:ind w:firstLine="137"/>
        <w:rPr>
          <w:color w:val="auto"/>
          <w:highlight w:val="none"/>
        </w:rPr>
      </w:pPr>
      <w:bookmarkStart w:id="59" w:name="_Toc515205208"/>
      <w:bookmarkStart w:id="60" w:name="_Toc529196535"/>
      <w:r>
        <w:rPr>
          <w:color w:val="auto"/>
          <w:highlight w:val="none"/>
        </w:rPr>
        <w:t>2.2 招标文件的澄清</w:t>
      </w:r>
      <w:bookmarkEnd w:id="59"/>
      <w:bookmarkEnd w:id="60"/>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2.2.3 投标人在收到澄清后，应按投标人须知前附表规定的时间和形式通知招标人，确认已收到该澄清。</w:t>
      </w:r>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2.2.4 除非招标人认为确有必要答复，否则，招标人有权拒绝回复投标人在</w:t>
      </w:r>
      <w:r>
        <w:rPr>
          <w:rFonts w:hint="eastAsia" w:ascii="Times New Roman" w:hAnsi="Times New Roman"/>
          <w:color w:val="auto"/>
          <w:sz w:val="24"/>
          <w:highlight w:val="none"/>
        </w:rPr>
        <w:t>本章第2.2.1项</w:t>
      </w:r>
      <w:r>
        <w:rPr>
          <w:rFonts w:ascii="Times New Roman" w:hAnsi="Times New Roman"/>
          <w:color w:val="auto"/>
          <w:sz w:val="24"/>
          <w:highlight w:val="none"/>
        </w:rPr>
        <w:t>规定的时间后的任何澄清要求。</w:t>
      </w:r>
    </w:p>
    <w:p>
      <w:pPr>
        <w:pStyle w:val="5"/>
        <w:ind w:firstLine="137"/>
        <w:rPr>
          <w:color w:val="auto"/>
          <w:highlight w:val="none"/>
        </w:rPr>
      </w:pPr>
      <w:bookmarkStart w:id="61" w:name="_Toc529196536"/>
      <w:bookmarkStart w:id="62" w:name="_Toc515205209"/>
      <w:bookmarkStart w:id="63" w:name="_Toc352691479"/>
      <w:r>
        <w:rPr>
          <w:color w:val="auto"/>
          <w:highlight w:val="none"/>
        </w:rPr>
        <w:t>2.3 招标文件的修</w:t>
      </w:r>
      <w:bookmarkStart w:id="64" w:name="_Toc16514"/>
      <w:bookmarkStart w:id="65" w:name="_Toc369531521"/>
      <w:r>
        <w:rPr>
          <w:color w:val="auto"/>
          <w:highlight w:val="none"/>
        </w:rPr>
        <w:t>改</w:t>
      </w:r>
      <w:bookmarkEnd w:id="61"/>
      <w:bookmarkEnd w:id="62"/>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63"/>
    <w:bookmarkEnd w:id="64"/>
    <w:bookmarkEnd w:id="65"/>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2.3.2 投标人收到修改内容</w:t>
      </w:r>
      <w:bookmarkStart w:id="66" w:name="_Toc24632"/>
      <w:bookmarkStart w:id="67" w:name="_Toc144974506"/>
      <w:bookmarkStart w:id="68" w:name="_Toc384308218"/>
      <w:bookmarkStart w:id="69" w:name="_Toc247527562"/>
      <w:bookmarkStart w:id="70" w:name="_Toc152045538"/>
      <w:bookmarkStart w:id="71" w:name="_Toc247513961"/>
      <w:bookmarkStart w:id="72" w:name="_Toc369531524"/>
      <w:bookmarkStart w:id="73" w:name="_Toc361508593"/>
      <w:bookmarkStart w:id="74" w:name="_Toc152042314"/>
      <w:bookmarkStart w:id="75" w:name="_Toc352691482"/>
      <w:bookmarkStart w:id="76" w:name="_Toc300834958"/>
      <w:r>
        <w:rPr>
          <w:rFonts w:ascii="Times New Roman" w:hAnsi="Times New Roman"/>
          <w:color w:val="auto"/>
          <w:sz w:val="24"/>
          <w:highlight w:val="none"/>
        </w:rPr>
        <w:t>后，</w:t>
      </w:r>
      <w:bookmarkEnd w:id="66"/>
      <w:bookmarkEnd w:id="67"/>
      <w:bookmarkEnd w:id="68"/>
      <w:bookmarkEnd w:id="69"/>
      <w:bookmarkEnd w:id="70"/>
      <w:bookmarkEnd w:id="71"/>
      <w:bookmarkEnd w:id="72"/>
      <w:bookmarkEnd w:id="73"/>
      <w:bookmarkEnd w:id="74"/>
      <w:bookmarkEnd w:id="75"/>
      <w:bookmarkEnd w:id="76"/>
      <w:bookmarkStart w:id="77" w:name="_Toc16623"/>
      <w:bookmarkStart w:id="78" w:name="_Toc152045540"/>
      <w:bookmarkStart w:id="79" w:name="_Toc247527564"/>
      <w:bookmarkStart w:id="80" w:name="_Toc247513963"/>
      <w:bookmarkStart w:id="81" w:name="_Toc369531526"/>
      <w:bookmarkStart w:id="82" w:name="_Toc352691484"/>
      <w:bookmarkStart w:id="83" w:name="_Toc384308220"/>
      <w:bookmarkStart w:id="84" w:name="_Toc300834960"/>
      <w:bookmarkStart w:id="85" w:name="_Toc361508595"/>
      <w:bookmarkStart w:id="86" w:name="_Toc152042316"/>
      <w:bookmarkStart w:id="87" w:name="_Toc144974508"/>
      <w:r>
        <w:rPr>
          <w:rFonts w:ascii="Times New Roman" w:hAnsi="Times New Roman"/>
          <w:color w:val="auto"/>
          <w:sz w:val="24"/>
          <w:highlight w:val="none"/>
        </w:rPr>
        <w:t>应按投标人须知前附表规定的时间和形式通知招标人，确认已收到该修改。</w:t>
      </w:r>
    </w:p>
    <w:p>
      <w:pPr>
        <w:pStyle w:val="5"/>
        <w:spacing w:before="120" w:after="120"/>
        <w:ind w:firstLine="137"/>
        <w:rPr>
          <w:color w:val="auto"/>
          <w:highlight w:val="none"/>
        </w:rPr>
      </w:pPr>
      <w:bookmarkStart w:id="88" w:name="_Toc515205210"/>
      <w:bookmarkStart w:id="89" w:name="_Toc529196537"/>
      <w:r>
        <w:rPr>
          <w:color w:val="auto"/>
          <w:highlight w:val="none"/>
        </w:rPr>
        <w:t>2.</w:t>
      </w:r>
      <w:bookmarkEnd w:id="77"/>
      <w:bookmarkEnd w:id="78"/>
      <w:bookmarkEnd w:id="79"/>
      <w:bookmarkEnd w:id="80"/>
      <w:bookmarkEnd w:id="81"/>
      <w:bookmarkEnd w:id="82"/>
      <w:bookmarkEnd w:id="83"/>
      <w:bookmarkEnd w:id="84"/>
      <w:bookmarkEnd w:id="85"/>
      <w:bookmarkEnd w:id="86"/>
      <w:bookmarkEnd w:id="87"/>
      <w:r>
        <w:rPr>
          <w:color w:val="auto"/>
          <w:highlight w:val="none"/>
        </w:rPr>
        <w:t>4 招标文件的异议</w:t>
      </w:r>
      <w:bookmarkEnd w:id="88"/>
      <w:bookmarkEnd w:id="89"/>
    </w:p>
    <w:p>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投标人或者其他利害关系人对招标文件有异议的，应当在投标截止时间10日前</w:t>
      </w:r>
      <w:r>
        <w:rPr>
          <w:rFonts w:hint="eastAsia" w:ascii="Times New Roman" w:hAnsi="Times New Roman"/>
          <w:sz w:val="24"/>
        </w:rPr>
        <w:t>通过线下或线上的形式提出异议</w:t>
      </w:r>
      <w:r>
        <w:rPr>
          <w:rFonts w:ascii="Times New Roman" w:hAnsi="Times New Roman"/>
          <w:color w:val="auto"/>
          <w:sz w:val="24"/>
          <w:highlight w:val="none"/>
        </w:rPr>
        <w:t>。招标人将在收到异议之日起3日内作出答复；作出答复前，将暂停招标投标活动。</w:t>
      </w:r>
    </w:p>
    <w:p>
      <w:pPr>
        <w:pStyle w:val="5"/>
        <w:rPr>
          <w:color w:val="auto"/>
          <w:highlight w:val="none"/>
        </w:rPr>
      </w:pPr>
      <w:bookmarkStart w:id="90" w:name="_Toc529196538"/>
      <w:bookmarkStart w:id="91" w:name="_Toc515205211"/>
      <w:r>
        <w:rPr>
          <w:color w:val="auto"/>
          <w:highlight w:val="none"/>
        </w:rPr>
        <w:t>3. 投标文件</w:t>
      </w:r>
      <w:bookmarkEnd w:id="90"/>
      <w:bookmarkEnd w:id="91"/>
    </w:p>
    <w:p>
      <w:pPr>
        <w:pStyle w:val="5"/>
        <w:spacing w:before="120" w:after="120"/>
        <w:ind w:firstLine="137"/>
        <w:rPr>
          <w:color w:val="auto"/>
          <w:highlight w:val="none"/>
        </w:rPr>
      </w:pPr>
      <w:bookmarkStart w:id="92" w:name="_Toc515205212"/>
      <w:bookmarkStart w:id="93" w:name="_Toc529196539"/>
      <w:r>
        <w:rPr>
          <w:color w:val="auto"/>
          <w:highlight w:val="none"/>
        </w:rPr>
        <w:t>3.1 投标文件的组成</w:t>
      </w:r>
      <w:bookmarkEnd w:id="92"/>
      <w:bookmarkEnd w:id="93"/>
    </w:p>
    <w:p>
      <w:pPr>
        <w:spacing w:line="360" w:lineRule="auto"/>
        <w:rPr>
          <w:rFonts w:ascii="Times New Roman" w:hAnsi="Times New Roman"/>
          <w:color w:val="auto"/>
          <w:sz w:val="24"/>
          <w:highlight w:val="none"/>
        </w:rPr>
      </w:pPr>
      <w:r>
        <w:rPr>
          <w:rFonts w:ascii="Times New Roman" w:hAnsi="Times New Roman"/>
          <w:color w:val="auto"/>
          <w:sz w:val="24"/>
          <w:highlight w:val="none"/>
        </w:rPr>
        <w:t>　　3.1.1 投标文件应包括下列内容：</w:t>
      </w:r>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（1）</w:t>
      </w:r>
      <w:r>
        <w:rPr>
          <w:rFonts w:ascii="Times New Roman" w:hAnsi="Times New Roman"/>
          <w:color w:val="auto"/>
          <w:spacing w:val="0"/>
          <w:highlight w:val="none"/>
        </w:rPr>
        <w:t>投标函及投标函附录</w:t>
      </w:r>
      <w:r>
        <w:rPr>
          <w:rFonts w:hint="eastAsia" w:ascii="Times New Roman" w:hAnsi="Times New Roman"/>
          <w:color w:val="auto"/>
          <w:spacing w:val="0"/>
          <w:highlight w:val="none"/>
        </w:rPr>
        <w:t>；</w:t>
      </w:r>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（2）</w:t>
      </w:r>
      <w:r>
        <w:rPr>
          <w:rFonts w:ascii="Times New Roman" w:hAnsi="Times New Roman"/>
          <w:color w:val="auto"/>
          <w:spacing w:val="0"/>
          <w:highlight w:val="none"/>
        </w:rPr>
        <w:t>法定代表人身份证明或授权委托书</w:t>
      </w:r>
      <w:r>
        <w:rPr>
          <w:rFonts w:hint="eastAsia" w:ascii="Times New Roman" w:hAnsi="Times New Roman"/>
          <w:color w:val="auto"/>
          <w:spacing w:val="0"/>
          <w:highlight w:val="none"/>
        </w:rPr>
        <w:t>；</w:t>
      </w:r>
    </w:p>
    <w:p>
      <w:pPr>
        <w:pStyle w:val="128"/>
        <w:ind w:firstLine="480"/>
        <w:rPr>
          <w:rFonts w:ascii="Times New Roman" w:hAnsi="Times New Roman"/>
          <w:strike/>
          <w:dstrike w:val="0"/>
          <w:color w:val="auto"/>
          <w:spacing w:val="0"/>
          <w:highlight w:val="none"/>
        </w:rPr>
      </w:pPr>
      <w:r>
        <w:rPr>
          <w:rFonts w:hint="eastAsia" w:ascii="Times New Roman" w:hAnsi="Times New Roman"/>
          <w:strike/>
          <w:dstrike w:val="0"/>
          <w:color w:val="auto"/>
          <w:spacing w:val="0"/>
          <w:highlight w:val="none"/>
        </w:rPr>
        <w:t>（3）</w:t>
      </w:r>
      <w:r>
        <w:rPr>
          <w:rFonts w:ascii="Times New Roman" w:hAnsi="Times New Roman"/>
          <w:strike/>
          <w:dstrike w:val="0"/>
          <w:color w:val="auto"/>
          <w:spacing w:val="0"/>
          <w:highlight w:val="none"/>
        </w:rPr>
        <w:t>投标保证金</w:t>
      </w:r>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（4）</w:t>
      </w:r>
      <w:r>
        <w:rPr>
          <w:rFonts w:ascii="Times New Roman" w:hAnsi="Times New Roman"/>
          <w:color w:val="auto"/>
          <w:spacing w:val="0"/>
          <w:highlight w:val="none"/>
        </w:rPr>
        <w:t>监理报酬清单</w:t>
      </w:r>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（5）</w:t>
      </w:r>
      <w:r>
        <w:rPr>
          <w:rFonts w:ascii="Times New Roman" w:hAnsi="Times New Roman"/>
          <w:color w:val="auto"/>
          <w:spacing w:val="0"/>
          <w:highlight w:val="none"/>
        </w:rPr>
        <w:t>资格审查资料</w:t>
      </w:r>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（6）</w:t>
      </w:r>
      <w:r>
        <w:rPr>
          <w:rFonts w:ascii="Times New Roman" w:hAnsi="Times New Roman"/>
          <w:color w:val="auto"/>
          <w:spacing w:val="0"/>
          <w:highlight w:val="none"/>
        </w:rPr>
        <w:t>监理大纲</w:t>
      </w:r>
      <w:r>
        <w:rPr>
          <w:rFonts w:hint="eastAsia" w:ascii="Times New Roman" w:hAnsi="Times New Roman"/>
          <w:color w:val="auto"/>
          <w:spacing w:val="0"/>
          <w:highlight w:val="none"/>
        </w:rPr>
        <w:t>；</w:t>
      </w:r>
    </w:p>
    <w:p>
      <w:pPr>
        <w:pStyle w:val="128"/>
        <w:ind w:firstLine="480"/>
        <w:rPr>
          <w:rFonts w:ascii="Times New Roman" w:hAnsi="Times New Roman"/>
          <w:color w:val="auto"/>
          <w:spacing w:val="0"/>
          <w:highlight w:val="none"/>
          <w:u w:val="single"/>
        </w:rPr>
      </w:pPr>
      <w:r>
        <w:rPr>
          <w:rFonts w:hint="eastAsia" w:ascii="Times New Roman" w:hAnsi="Times New Roman"/>
          <w:color w:val="auto"/>
          <w:spacing w:val="0"/>
          <w:highlight w:val="none"/>
          <w:u w:val="single"/>
        </w:rPr>
        <w:t>（7）</w:t>
      </w:r>
      <w:r>
        <w:rPr>
          <w:rFonts w:ascii="Times New Roman" w:hAnsi="Times New Roman"/>
          <w:color w:val="auto"/>
          <w:spacing w:val="0"/>
          <w:highlight w:val="none"/>
          <w:u w:val="single"/>
        </w:rPr>
        <w:t>其他资料</w:t>
      </w:r>
      <w:r>
        <w:rPr>
          <w:rFonts w:hint="eastAsia" w:ascii="Times New Roman" w:hAnsi="Times New Roman"/>
          <w:color w:val="auto"/>
          <w:spacing w:val="0"/>
          <w:highlight w:val="none"/>
          <w:u w:val="single"/>
        </w:rPr>
        <w:t>；</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投标人在评标过程中作出的符合法律法规和招标文件规定的澄清确认，构成投标文件的组成部分。</w:t>
      </w:r>
    </w:p>
    <w:p>
      <w:pPr>
        <w:spacing w:line="360" w:lineRule="auto"/>
        <w:ind w:firstLine="410" w:firstLineChars="171"/>
        <w:rPr>
          <w:rFonts w:ascii="Times New Roman" w:hAnsi="Times New Roman"/>
          <w:strike/>
          <w:dstrike w:val="0"/>
          <w:color w:val="auto"/>
          <w:sz w:val="24"/>
          <w:highlight w:val="none"/>
        </w:rPr>
      </w:pPr>
      <w:r>
        <w:rPr>
          <w:rFonts w:ascii="Times New Roman" w:hAnsi="Times New Roman"/>
          <w:strike/>
          <w:dstrike w:val="0"/>
          <w:color w:val="auto"/>
          <w:sz w:val="24"/>
          <w:highlight w:val="none"/>
        </w:rPr>
        <w:t>3.1.2 投标人须知前附表规定不接受联合体投标的，或投标人没有组成联合体的，投标文件不包括本章第3.1.1（3）目所指的联合体协议书。</w:t>
      </w:r>
    </w:p>
    <w:p>
      <w:pPr>
        <w:spacing w:line="360" w:lineRule="auto"/>
        <w:ind w:firstLine="410" w:firstLineChars="171"/>
        <w:rPr>
          <w:rFonts w:ascii="Times New Roman" w:hAnsi="Times New Roman"/>
          <w:strike/>
          <w:dstrike w:val="0"/>
          <w:color w:val="auto"/>
          <w:sz w:val="24"/>
          <w:highlight w:val="none"/>
        </w:rPr>
      </w:pPr>
      <w:r>
        <w:rPr>
          <w:rFonts w:ascii="Times New Roman" w:hAnsi="Times New Roman"/>
          <w:strike/>
          <w:dstrike w:val="0"/>
          <w:color w:val="auto"/>
          <w:sz w:val="24"/>
          <w:highlight w:val="none"/>
        </w:rPr>
        <w:t>3.1.3 投标人须知前附表未要求提交投标保证金的，投标文件不包括本章第3.1.1（4）目所指的投标保证金。</w:t>
      </w:r>
    </w:p>
    <w:p>
      <w:pPr>
        <w:pStyle w:val="5"/>
        <w:ind w:firstLine="118"/>
        <w:rPr>
          <w:color w:val="auto"/>
          <w:sz w:val="24"/>
          <w:szCs w:val="24"/>
          <w:highlight w:val="none"/>
        </w:rPr>
      </w:pPr>
      <w:bookmarkStart w:id="94" w:name="_Toc514876754"/>
      <w:bookmarkStart w:id="95" w:name="_Toc529196540"/>
      <w:bookmarkStart w:id="96" w:name="_Toc515205213"/>
      <w:r>
        <w:rPr>
          <w:color w:val="auto"/>
          <w:sz w:val="24"/>
          <w:szCs w:val="24"/>
          <w:highlight w:val="none"/>
        </w:rPr>
        <w:t>3.2 投标报价</w:t>
      </w:r>
      <w:bookmarkEnd w:id="94"/>
      <w:bookmarkEnd w:id="95"/>
      <w:bookmarkEnd w:id="96"/>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 xml:space="preserve">3.2.1 </w:t>
      </w:r>
      <w:r>
        <w:rPr>
          <w:rFonts w:ascii="Times New Roman" w:hAnsi="Times New Roman"/>
          <w:color w:val="auto"/>
          <w:spacing w:val="0"/>
          <w:highlight w:val="none"/>
        </w:rPr>
        <w:t>投标报价应包括国家规定的增值税税金，除投标人须知前附表另有规定外，增值税税金按一般计税方法计算。投标人应按第六章“投标文件格式”的要求在投标函中进行报价并填写监理报酬清单。</w:t>
      </w:r>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 xml:space="preserve">3.2.2 </w:t>
      </w:r>
      <w:r>
        <w:rPr>
          <w:rFonts w:ascii="Times New Roman" w:hAnsi="Times New Roman"/>
          <w:color w:val="auto"/>
          <w:spacing w:val="0"/>
          <w:highlight w:val="none"/>
        </w:rPr>
        <w:t>投标人应充分了解该项目的总体情况以及影响投标报价的其他要素</w:t>
      </w:r>
      <w:r>
        <w:rPr>
          <w:rFonts w:hint="eastAsia" w:ascii="Times New Roman" w:hAnsi="Times New Roman"/>
          <w:color w:val="auto"/>
          <w:spacing w:val="0"/>
          <w:highlight w:val="none"/>
        </w:rPr>
        <w:t>。</w:t>
      </w:r>
    </w:p>
    <w:p>
      <w:pPr>
        <w:pStyle w:val="128"/>
        <w:ind w:firstLine="480"/>
        <w:rPr>
          <w:rFonts w:ascii="Times New Roman" w:hAnsi="Times New Roman"/>
          <w:color w:val="auto"/>
          <w:spacing w:val="0"/>
          <w:highlight w:val="none"/>
        </w:rPr>
      </w:pPr>
      <w:r>
        <w:rPr>
          <w:rFonts w:hint="eastAsia" w:ascii="Times New Roman" w:hAnsi="Times New Roman"/>
          <w:color w:val="auto"/>
          <w:spacing w:val="0"/>
          <w:highlight w:val="none"/>
        </w:rPr>
        <w:t>3.2.3</w:t>
      </w:r>
      <w:r>
        <w:rPr>
          <w:rFonts w:ascii="Times New Roman" w:hAnsi="Times New Roman"/>
          <w:color w:val="auto"/>
          <w:spacing w:val="0"/>
          <w:highlight w:val="none"/>
        </w:rPr>
        <w:t>本项目的报价方式见投标人须知前附表。投标人在投标截止时间前修改投标函中的投标报价总额，应同时修改投标文件“监理报酬清单”中的相应报价。此修改须符合本章第 4.3 款的有关要求</w:t>
      </w:r>
      <w:r>
        <w:rPr>
          <w:rFonts w:hint="eastAsia" w:ascii="Times New Roman" w:hAnsi="Times New Roman"/>
          <w:color w:val="auto"/>
          <w:spacing w:val="0"/>
          <w:highlight w:val="none"/>
        </w:rPr>
        <w:t>。</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3.2.4．</w:t>
      </w:r>
      <w:r>
        <w:rPr>
          <w:rFonts w:ascii="Times New Roman" w:hAnsi="Times New Roman"/>
          <w:color w:val="auto"/>
          <w:sz w:val="24"/>
          <w:highlight w:val="none"/>
        </w:rPr>
        <w:t>招标人设有最高投标限价的，投标人的投标报价不得超过最高投标限价，最高投标限价在投标人须知前附表中载明。</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3.2.5 投标报价的其他要求见投标人须知前附表。</w:t>
      </w:r>
    </w:p>
    <w:p>
      <w:pPr>
        <w:pStyle w:val="5"/>
        <w:ind w:firstLine="118"/>
        <w:rPr>
          <w:color w:val="auto"/>
          <w:sz w:val="24"/>
          <w:szCs w:val="24"/>
          <w:highlight w:val="none"/>
        </w:rPr>
      </w:pPr>
      <w:bookmarkStart w:id="97" w:name="_Toc529196541"/>
      <w:bookmarkStart w:id="98" w:name="_Toc515205214"/>
      <w:r>
        <w:rPr>
          <w:color w:val="auto"/>
          <w:sz w:val="24"/>
          <w:szCs w:val="24"/>
          <w:highlight w:val="none"/>
        </w:rPr>
        <w:t>3.3 投标有效期</w:t>
      </w:r>
      <w:bookmarkEnd w:id="97"/>
      <w:bookmarkEnd w:id="98"/>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3.3.1 除投标人须知前附表另有规定外，投标有效期为90天。</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3.3.2 在投标有效期内，投标人撤销投标文件的，应承担招标文件和法律规定的责任。</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3.3.3 出现特殊情况需要延长投标有效期的，招标人以书面形式通知所有投标人延长投标有效期。投标人应予以书面答复，同意延长的，</w:t>
      </w:r>
      <w:r>
        <w:rPr>
          <w:rFonts w:ascii="Times New Roman" w:hAnsi="Times New Roman"/>
          <w:strike/>
          <w:dstrike w:val="0"/>
          <w:color w:val="auto"/>
          <w:sz w:val="24"/>
          <w:highlight w:val="none"/>
        </w:rPr>
        <w:t>应相应延长其投标保证金的有效期，但</w:t>
      </w:r>
      <w:r>
        <w:rPr>
          <w:rFonts w:ascii="Times New Roman" w:hAnsi="Times New Roman"/>
          <w:color w:val="auto"/>
          <w:sz w:val="24"/>
          <w:highlight w:val="none"/>
        </w:rPr>
        <w:t>不得要求或被允许修改其投标文件；投标人拒绝延长的，其投标失效</w:t>
      </w:r>
      <w:r>
        <w:rPr>
          <w:rFonts w:ascii="Times New Roman" w:hAnsi="Times New Roman"/>
          <w:strike/>
          <w:dstrike w:val="0"/>
          <w:color w:val="auto"/>
          <w:sz w:val="24"/>
          <w:highlight w:val="none"/>
        </w:rPr>
        <w:t>，但投标人有权收回其投标保证金及以现金或者支票形式递交的投标保证金的银行同期存款利息</w:t>
      </w:r>
      <w:r>
        <w:rPr>
          <w:rFonts w:ascii="Times New Roman" w:hAnsi="Times New Roman"/>
          <w:color w:val="auto"/>
          <w:sz w:val="24"/>
          <w:highlight w:val="none"/>
        </w:rPr>
        <w:t>。</w:t>
      </w:r>
    </w:p>
    <w:p>
      <w:pPr>
        <w:pStyle w:val="5"/>
        <w:spacing w:before="120" w:after="120"/>
        <w:ind w:firstLine="137"/>
        <w:rPr>
          <w:color w:val="auto"/>
          <w:highlight w:val="none"/>
        </w:rPr>
      </w:pPr>
      <w:bookmarkStart w:id="99" w:name="_Toc529196542"/>
      <w:bookmarkStart w:id="100" w:name="_Toc515205215"/>
      <w:r>
        <w:rPr>
          <w:color w:val="auto"/>
          <w:highlight w:val="none"/>
        </w:rPr>
        <w:t>3.4 投标保证金</w:t>
      </w:r>
      <w:bookmarkEnd w:id="99"/>
      <w:bookmarkEnd w:id="100"/>
    </w:p>
    <w:p>
      <w:pPr>
        <w:pStyle w:val="5"/>
        <w:spacing w:before="120" w:after="120"/>
        <w:ind w:firstLine="137"/>
        <w:rPr>
          <w:color w:val="auto"/>
          <w:sz w:val="24"/>
          <w:highlight w:val="none"/>
          <w:u w:val="single"/>
        </w:rPr>
      </w:pPr>
      <w:bookmarkStart w:id="101" w:name="_Toc529196544"/>
      <w:bookmarkStart w:id="102" w:name="_Toc515205217"/>
      <w:r>
        <w:rPr>
          <w:rFonts w:hint="eastAsia"/>
          <w:color w:val="auto"/>
          <w:sz w:val="24"/>
          <w:highlight w:val="none"/>
          <w:u w:val="single"/>
        </w:rPr>
        <w:t>本项目不收取投标保证金</w:t>
      </w:r>
    </w:p>
    <w:p>
      <w:pPr>
        <w:pStyle w:val="5"/>
        <w:spacing w:before="120" w:after="120"/>
        <w:ind w:firstLine="137"/>
        <w:rPr>
          <w:color w:val="auto"/>
          <w:highlight w:val="none"/>
        </w:rPr>
      </w:pPr>
      <w:r>
        <w:rPr>
          <w:color w:val="auto"/>
          <w:highlight w:val="none"/>
        </w:rPr>
        <w:t>3.5 资格审查资料（适用于</w:t>
      </w:r>
      <w:r>
        <w:rPr>
          <w:rFonts w:hint="eastAsia"/>
          <w:color w:val="auto"/>
          <w:highlight w:val="none"/>
        </w:rPr>
        <w:t>未</w:t>
      </w:r>
      <w:r>
        <w:rPr>
          <w:color w:val="auto"/>
          <w:highlight w:val="none"/>
        </w:rPr>
        <w:t>进行资格预审的）</w:t>
      </w:r>
      <w:bookmarkEnd w:id="101"/>
      <w:bookmarkEnd w:id="102"/>
    </w:p>
    <w:p>
      <w:pPr>
        <w:spacing w:line="360" w:lineRule="auto"/>
        <w:ind w:firstLine="424" w:firstLineChars="177"/>
        <w:rPr>
          <w:rFonts w:ascii="宋体" w:hAnsi="宋体" w:cs="宋体"/>
          <w:color w:val="auto"/>
          <w:sz w:val="24"/>
          <w:highlight w:val="none"/>
          <w:u w:val="single"/>
        </w:rPr>
      </w:pPr>
      <w:r>
        <w:rPr>
          <w:rFonts w:ascii="宋体" w:hAnsi="宋体" w:cs="楷体"/>
          <w:color w:val="auto"/>
          <w:sz w:val="24"/>
          <w:szCs w:val="24"/>
          <w:highlight w:val="none"/>
          <w:u w:val="single"/>
        </w:rPr>
        <w:t>3.</w:t>
      </w:r>
      <w:r>
        <w:rPr>
          <w:rFonts w:hint="eastAsia" w:ascii="宋体" w:hAnsi="宋体" w:cs="楷体"/>
          <w:color w:val="auto"/>
          <w:sz w:val="24"/>
          <w:szCs w:val="24"/>
          <w:highlight w:val="none"/>
          <w:u w:val="single"/>
          <w:lang w:val="en-US" w:eastAsia="zh-CN"/>
        </w:rPr>
        <w:t>5.1</w:t>
      </w:r>
      <w:r>
        <w:rPr>
          <w:rFonts w:hint="eastAsia" w:ascii="宋体" w:hAnsi="宋体" w:cs="楷体"/>
          <w:color w:val="auto"/>
          <w:sz w:val="24"/>
          <w:szCs w:val="24"/>
          <w:highlight w:val="none"/>
          <w:u w:val="single"/>
        </w:rPr>
        <w:t>投标人须具备建设行政主管部门颁发的工程监理综合资质或房屋建筑工程监理专业</w:t>
      </w:r>
      <w:r>
        <w:rPr>
          <w:rFonts w:hint="eastAsia" w:ascii="宋体" w:hAnsi="宋体" w:cs="楷体"/>
          <w:color w:val="auto"/>
          <w:sz w:val="24"/>
          <w:szCs w:val="24"/>
          <w:highlight w:val="none"/>
          <w:u w:val="single"/>
          <w:lang w:val="en-US" w:eastAsia="zh-CN"/>
        </w:rPr>
        <w:t>丙</w:t>
      </w:r>
      <w:r>
        <w:rPr>
          <w:rFonts w:hint="eastAsia" w:ascii="宋体" w:hAnsi="宋体" w:cs="楷体"/>
          <w:color w:val="auto"/>
          <w:sz w:val="24"/>
          <w:szCs w:val="24"/>
          <w:highlight w:val="none"/>
          <w:u w:val="single"/>
        </w:rPr>
        <w:t>级或以上资质；香港企业参加投标的，须在广东省住房和城乡建设主管部门备案且备案的业务范围满足本项目资质要求。</w:t>
      </w:r>
    </w:p>
    <w:p>
      <w:pPr>
        <w:spacing w:line="360" w:lineRule="auto"/>
        <w:ind w:firstLine="480" w:firstLineChars="200"/>
        <w:rPr>
          <w:rFonts w:ascii="宋体" w:hAnsi="宋体" w:cs="楷体"/>
          <w:color w:val="auto"/>
          <w:sz w:val="24"/>
          <w:szCs w:val="24"/>
          <w:highlight w:val="none"/>
          <w:u w:val="single"/>
        </w:rPr>
      </w:pPr>
      <w:r>
        <w:rPr>
          <w:rFonts w:ascii="宋体" w:hAnsi="宋体" w:cs="楷体"/>
          <w:color w:val="auto"/>
          <w:sz w:val="24"/>
          <w:szCs w:val="24"/>
          <w:highlight w:val="none"/>
          <w:u w:val="single"/>
        </w:rPr>
        <w:t>3.</w:t>
      </w:r>
      <w:r>
        <w:rPr>
          <w:rFonts w:hint="eastAsia" w:ascii="宋体" w:hAnsi="宋体" w:cs="楷体"/>
          <w:color w:val="auto"/>
          <w:sz w:val="24"/>
          <w:szCs w:val="24"/>
          <w:highlight w:val="none"/>
          <w:u w:val="single"/>
          <w:lang w:val="en-US" w:eastAsia="zh-CN"/>
        </w:rPr>
        <w:t>5.</w:t>
      </w:r>
      <w:r>
        <w:rPr>
          <w:rFonts w:ascii="宋体" w:hAnsi="宋体" w:cs="楷体"/>
          <w:color w:val="auto"/>
          <w:sz w:val="24"/>
          <w:szCs w:val="24"/>
          <w:highlight w:val="none"/>
          <w:u w:val="single"/>
        </w:rPr>
        <w:t>2</w:t>
      </w:r>
      <w:r>
        <w:rPr>
          <w:rFonts w:hint="eastAsia" w:ascii="宋体" w:hAnsi="宋体" w:cs="宋体"/>
          <w:color w:val="auto"/>
          <w:sz w:val="24"/>
          <w:highlight w:val="none"/>
          <w:u w:val="single"/>
        </w:rPr>
        <w:t>关于联合体投标：本项目不接受联合体投标。</w:t>
      </w:r>
    </w:p>
    <w:p>
      <w:pPr>
        <w:spacing w:line="360" w:lineRule="auto"/>
        <w:ind w:firstLine="480" w:firstLineChars="200"/>
        <w:rPr>
          <w:rFonts w:ascii="宋体" w:hAnsi="宋体" w:cs="宋体"/>
          <w:color w:val="auto"/>
          <w:sz w:val="24"/>
          <w:highlight w:val="none"/>
          <w:u w:val="single"/>
        </w:rPr>
      </w:pPr>
      <w:r>
        <w:rPr>
          <w:rFonts w:ascii="宋体" w:hAnsi="宋体" w:cs="楷体"/>
          <w:color w:val="auto"/>
          <w:sz w:val="24"/>
          <w:szCs w:val="24"/>
          <w:highlight w:val="none"/>
          <w:u w:val="single"/>
        </w:rPr>
        <w:t>3.</w:t>
      </w:r>
      <w:r>
        <w:rPr>
          <w:rFonts w:hint="eastAsia" w:ascii="宋体" w:hAnsi="宋体" w:cs="楷体"/>
          <w:color w:val="auto"/>
          <w:sz w:val="24"/>
          <w:szCs w:val="24"/>
          <w:highlight w:val="none"/>
          <w:u w:val="single"/>
          <w:lang w:val="en-US" w:eastAsia="zh-CN"/>
        </w:rPr>
        <w:t>5.</w:t>
      </w:r>
      <w:r>
        <w:rPr>
          <w:rFonts w:ascii="宋体" w:hAnsi="宋体" w:cs="楷体"/>
          <w:color w:val="auto"/>
          <w:sz w:val="24"/>
          <w:szCs w:val="24"/>
          <w:highlight w:val="none"/>
          <w:u w:val="single"/>
        </w:rPr>
        <w:t>3</w:t>
      </w:r>
      <w:r>
        <w:rPr>
          <w:rFonts w:hint="eastAsia" w:ascii="宋体" w:hAnsi="宋体" w:cs="楷体"/>
          <w:color w:val="auto"/>
          <w:sz w:val="24"/>
          <w:szCs w:val="24"/>
          <w:highlight w:val="none"/>
          <w:u w:val="single"/>
        </w:rPr>
        <w:t>拟派项目总监理工程师须具有建设部</w:t>
      </w:r>
      <w:r>
        <w:rPr>
          <w:rFonts w:ascii="宋体" w:hAnsi="宋体" w:cs="楷体"/>
          <w:color w:val="auto"/>
          <w:sz w:val="24"/>
          <w:szCs w:val="24"/>
          <w:highlight w:val="none"/>
          <w:u w:val="single"/>
        </w:rPr>
        <w:t>2006年4月1日后颁发的中华人民共和国注册监理工程师注册执业证书，且其注册证书专业为房屋建筑工程</w:t>
      </w:r>
      <w:r>
        <w:rPr>
          <w:rFonts w:hint="eastAsia" w:ascii="宋体" w:hAnsi="宋体" w:cs="楷体"/>
          <w:color w:val="auto"/>
          <w:sz w:val="24"/>
          <w:szCs w:val="24"/>
          <w:highlight w:val="none"/>
          <w:u w:val="single"/>
        </w:rPr>
        <w:t>，注册执业单位为本公司，并具备本科或以上学历。</w:t>
      </w:r>
      <w:r>
        <w:rPr>
          <w:rFonts w:hint="eastAsia" w:ascii="宋体" w:hAnsi="宋体" w:cs="宋体"/>
          <w:color w:val="auto"/>
          <w:sz w:val="24"/>
          <w:highlight w:val="none"/>
          <w:u w:val="single"/>
        </w:rPr>
        <w:t>或已在广东省住房和城乡建设主管部门备案且备案的资格满足本项目总监理工程师的资格要求的香港专业人士</w:t>
      </w:r>
      <w:r>
        <w:rPr>
          <w:rFonts w:ascii="宋体" w:hAnsi="宋体" w:cs="宋体"/>
          <w:color w:val="auto"/>
          <w:sz w:val="24"/>
          <w:highlight w:val="none"/>
          <w:u w:val="single"/>
        </w:rPr>
        <w:t>。</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①《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的要求设置。</w:t>
      </w:r>
    </w:p>
    <w:p>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②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pPr>
        <w:spacing w:line="360" w:lineRule="auto"/>
        <w:ind w:firstLine="480" w:firstLineChars="200"/>
        <w:rPr>
          <w:rFonts w:ascii="宋体" w:hAnsi="宋体" w:cs="楷体"/>
          <w:color w:val="auto"/>
          <w:sz w:val="24"/>
          <w:szCs w:val="24"/>
          <w:highlight w:val="none"/>
          <w:u w:val="single"/>
        </w:rPr>
      </w:pPr>
      <w:r>
        <w:rPr>
          <w:rFonts w:ascii="宋体" w:hAnsi="宋体" w:cs="楷体"/>
          <w:color w:val="auto"/>
          <w:sz w:val="24"/>
          <w:szCs w:val="24"/>
          <w:highlight w:val="none"/>
          <w:u w:val="single"/>
        </w:rPr>
        <w:t>3.</w:t>
      </w:r>
      <w:r>
        <w:rPr>
          <w:rFonts w:hint="eastAsia" w:ascii="宋体" w:hAnsi="宋体" w:cs="楷体"/>
          <w:color w:val="auto"/>
          <w:sz w:val="24"/>
          <w:szCs w:val="24"/>
          <w:highlight w:val="none"/>
          <w:u w:val="single"/>
          <w:lang w:val="en-US" w:eastAsia="zh-CN"/>
        </w:rPr>
        <w:t>5.4</w:t>
      </w:r>
      <w:r>
        <w:rPr>
          <w:rFonts w:ascii="宋体" w:hAnsi="宋体" w:cs="楷体"/>
          <w:color w:val="auto"/>
          <w:sz w:val="24"/>
          <w:szCs w:val="24"/>
          <w:highlight w:val="none"/>
          <w:u w:val="single"/>
        </w:rPr>
        <w:t>其他要求：</w:t>
      </w:r>
    </w:p>
    <w:p>
      <w:pPr>
        <w:spacing w:line="360" w:lineRule="auto"/>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①投标人参加投标的意思表达清楚，投标人代表被授权有效。</w:t>
      </w:r>
    </w:p>
    <w:p>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t>②投标人具有独立法人资格，持有工商行政（或市场监管）管理部门核发的法人营业执照，按国家法律经营。</w:t>
      </w:r>
    </w:p>
    <w:p>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t>③投标人已按规定格式签名盖章《投标人声明》（详见附件</w:t>
      </w:r>
      <w:r>
        <w:rPr>
          <w:rFonts w:hint="eastAsia" w:ascii="宋体" w:hAnsi="宋体" w:cs="楷体"/>
          <w:color w:val="auto"/>
          <w:sz w:val="24"/>
          <w:szCs w:val="24"/>
          <w:highlight w:val="none"/>
          <w:u w:val="single"/>
          <w:lang w:val="en-US" w:eastAsia="zh-CN"/>
        </w:rPr>
        <w:t>一</w:t>
      </w:r>
      <w:r>
        <w:rPr>
          <w:rFonts w:hint="eastAsia" w:ascii="宋体" w:hAnsi="宋体" w:cs="楷体"/>
          <w:color w:val="auto"/>
          <w:sz w:val="24"/>
          <w:szCs w:val="24"/>
          <w:highlight w:val="none"/>
          <w:u w:val="single"/>
        </w:rPr>
        <w:t>）。</w:t>
      </w:r>
    </w:p>
    <w:p>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t>④投标人在广州市住房和城乡建设局建立了企业信用档案，且拟担任本项目的总监理工程师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w:t>
      </w:r>
    </w:p>
    <w:p>
      <w:pPr>
        <w:spacing w:line="360" w:lineRule="auto"/>
        <w:ind w:firstLine="480" w:firstLineChars="200"/>
        <w:rPr>
          <w:rFonts w:hint="eastAsia" w:ascii="宋体" w:hAnsi="宋体" w:cs="楷体"/>
          <w:color w:val="auto"/>
          <w:sz w:val="24"/>
          <w:szCs w:val="24"/>
          <w:highlight w:val="none"/>
          <w:u w:val="single"/>
        </w:rPr>
      </w:pPr>
      <w:r>
        <w:rPr>
          <w:rFonts w:hint="eastAsia" w:ascii="宋体" w:hAnsi="宋体" w:cs="楷体"/>
          <w:color w:val="auto"/>
          <w:sz w:val="24"/>
          <w:szCs w:val="24"/>
          <w:highlight w:val="none"/>
          <w:u w:val="single"/>
        </w:rPr>
        <w:t>http://zfcj.gz.gov.cn/zwgk/zsdwxxgkzl/gzsjzyglfwzx/bszy/content/post_8073953.html）</w:t>
      </w:r>
    </w:p>
    <w:p>
      <w:pPr>
        <w:spacing w:line="360" w:lineRule="auto"/>
        <w:ind w:firstLine="480" w:firstLineChars="200"/>
        <w:rPr>
          <w:rFonts w:ascii="宋体" w:hAnsi="宋体" w:cs="楷体"/>
          <w:color w:val="auto"/>
          <w:sz w:val="24"/>
          <w:szCs w:val="24"/>
          <w:highlight w:val="none"/>
          <w:u w:val="single"/>
        </w:rPr>
      </w:pPr>
      <w:r>
        <w:rPr>
          <w:rFonts w:hint="eastAsia" w:ascii="宋体" w:hAnsi="宋体" w:cs="楷体"/>
          <w:color w:val="auto"/>
          <w:sz w:val="24"/>
          <w:szCs w:val="24"/>
          <w:highlight w:val="none"/>
          <w:u w:val="single"/>
        </w:rPr>
        <w:t>⑤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pPr>
        <w:spacing w:line="360" w:lineRule="auto"/>
        <w:ind w:firstLine="480" w:firstLineChars="200"/>
        <w:rPr>
          <w:rFonts w:hint="eastAsia" w:ascii="宋体" w:hAnsi="宋体" w:eastAsia="宋体" w:cs="楷体"/>
          <w:color w:val="auto"/>
          <w:sz w:val="24"/>
          <w:szCs w:val="24"/>
          <w:highlight w:val="none"/>
          <w:u w:val="single"/>
          <w:lang w:eastAsia="zh-CN"/>
        </w:rPr>
      </w:pPr>
      <w:r>
        <w:rPr>
          <w:rFonts w:hint="eastAsia" w:ascii="宋体" w:hAnsi="宋体" w:cs="楷体"/>
          <w:color w:val="auto"/>
          <w:sz w:val="24"/>
          <w:szCs w:val="24"/>
          <w:highlight w:val="none"/>
          <w:u w:val="single"/>
        </w:rPr>
        <w:t>⑥</w:t>
      </w:r>
      <w:r>
        <w:rPr>
          <w:rFonts w:hint="eastAsia" w:ascii="宋体" w:hAnsi="宋体" w:cs="楷体"/>
          <w:sz w:val="24"/>
          <w:szCs w:val="24"/>
          <w:highlight w:val="none"/>
          <w:u w:val="single"/>
        </w:rPr>
        <w:t>未被列入拖欠农民工工资失信联合惩戒对象名单</w:t>
      </w:r>
      <w:r>
        <w:rPr>
          <w:rFonts w:hint="eastAsia" w:ascii="宋体" w:hAnsi="宋体" w:cs="楷体"/>
          <w:color w:val="auto"/>
          <w:sz w:val="24"/>
          <w:szCs w:val="24"/>
          <w:highlight w:val="none"/>
          <w:u w:val="single"/>
        </w:rPr>
        <w:t>。</w:t>
      </w:r>
      <w:r>
        <w:rPr>
          <w:rFonts w:hint="eastAsia" w:ascii="宋体" w:hAnsi="宋体" w:cs="楷体"/>
          <w:sz w:val="24"/>
          <w:szCs w:val="24"/>
          <w:u w:val="single"/>
        </w:rPr>
        <w:t>本项评审投标人无需提供资料，按资格评审时广州交易集团有限公司（广州公共资源交易中心）交易系统比对的结果进行评审。</w:t>
      </w:r>
    </w:p>
    <w:p>
      <w:pPr>
        <w:pStyle w:val="5"/>
        <w:spacing w:before="120" w:after="120"/>
        <w:ind w:firstLine="137"/>
        <w:rPr>
          <w:color w:val="auto"/>
          <w:highlight w:val="none"/>
        </w:rPr>
      </w:pPr>
      <w:bookmarkStart w:id="103" w:name="_Toc529196545"/>
      <w:bookmarkStart w:id="104" w:name="_Toc515205218"/>
      <w:r>
        <w:rPr>
          <w:color w:val="auto"/>
          <w:highlight w:val="none"/>
        </w:rPr>
        <w:t>3.6 备选投标方案</w:t>
      </w:r>
      <w:bookmarkEnd w:id="103"/>
      <w:bookmarkEnd w:id="10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3.6.1 除投标人须知前附表规定允许外，投标人不得递交备选投标方案，否则其投标将被否决。</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3.6.3 投标人提供两个或两个以上投标报价，或者在投标文件中提供一个报价，但同时提供两个或两个以上</w:t>
      </w:r>
      <w:bookmarkStart w:id="105" w:name="_Toc247513974"/>
      <w:bookmarkStart w:id="106" w:name="_Toc152042326"/>
      <w:bookmarkStart w:id="107" w:name="_Toc29902"/>
      <w:bookmarkStart w:id="108" w:name="_Toc361508607"/>
      <w:bookmarkStart w:id="109" w:name="_Toc384308232"/>
      <w:bookmarkStart w:id="110" w:name="_Toc352691495"/>
      <w:bookmarkStart w:id="111" w:name="_Toc152045550"/>
      <w:bookmarkStart w:id="112" w:name="_Toc144974518"/>
      <w:bookmarkStart w:id="113" w:name="_Toc300834971"/>
      <w:bookmarkStart w:id="114" w:name="_Toc369531538"/>
      <w:bookmarkStart w:id="115" w:name="_Toc247527575"/>
      <w:r>
        <w:rPr>
          <w:rFonts w:ascii="Times New Roman" w:hAnsi="Times New Roman"/>
          <w:color w:val="auto"/>
          <w:sz w:val="24"/>
          <w:highlight w:val="none"/>
        </w:rPr>
        <w:t>监理方案的</w:t>
      </w:r>
      <w:bookmarkEnd w:id="105"/>
      <w:bookmarkEnd w:id="106"/>
      <w:bookmarkEnd w:id="107"/>
      <w:bookmarkEnd w:id="108"/>
      <w:bookmarkEnd w:id="109"/>
      <w:bookmarkEnd w:id="110"/>
      <w:bookmarkEnd w:id="111"/>
      <w:bookmarkEnd w:id="112"/>
      <w:bookmarkEnd w:id="113"/>
      <w:bookmarkEnd w:id="114"/>
      <w:bookmarkEnd w:id="115"/>
      <w:r>
        <w:rPr>
          <w:rFonts w:ascii="Times New Roman" w:hAnsi="Times New Roman"/>
          <w:color w:val="auto"/>
          <w:sz w:val="24"/>
          <w:highlight w:val="none"/>
        </w:rPr>
        <w:t>，视为提供备选方案。</w:t>
      </w:r>
    </w:p>
    <w:p>
      <w:pPr>
        <w:pStyle w:val="5"/>
        <w:spacing w:before="120" w:after="120"/>
        <w:ind w:firstLine="137"/>
        <w:rPr>
          <w:color w:val="auto"/>
          <w:highlight w:val="none"/>
        </w:rPr>
      </w:pPr>
      <w:bookmarkStart w:id="116" w:name="_Toc515205219"/>
      <w:bookmarkStart w:id="117" w:name="_Toc529196546"/>
      <w:r>
        <w:rPr>
          <w:color w:val="auto"/>
          <w:highlight w:val="none"/>
        </w:rPr>
        <w:t>3.7 投标文件的编制</w:t>
      </w:r>
      <w:bookmarkEnd w:id="116"/>
      <w:bookmarkEnd w:id="117"/>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3.7.2 投标文件应当对招标文件有关监理服务期限、投标有效期、委托人要求、招标范围等实质性内容作出响应。</w:t>
      </w:r>
    </w:p>
    <w:p>
      <w:pPr>
        <w:spacing w:line="360" w:lineRule="auto"/>
        <w:ind w:firstLine="480" w:firstLineChars="200"/>
        <w:rPr>
          <w:rFonts w:ascii="Times New Roman" w:hAnsi="Times New Roman"/>
          <w:color w:val="auto"/>
          <w:sz w:val="24"/>
          <w:highlight w:val="none"/>
        </w:rPr>
      </w:pPr>
      <w:bookmarkStart w:id="118" w:name="_Toc514946914"/>
      <w:r>
        <w:rPr>
          <w:rFonts w:ascii="Times New Roman" w:hAnsi="Times New Roman"/>
          <w:color w:val="auto"/>
          <w:sz w:val="24"/>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18"/>
    </w:p>
    <w:p>
      <w:pPr>
        <w:pStyle w:val="5"/>
        <w:rPr>
          <w:color w:val="auto"/>
          <w:highlight w:val="none"/>
        </w:rPr>
      </w:pPr>
      <w:bookmarkStart w:id="119" w:name="_Toc515205220"/>
      <w:bookmarkStart w:id="120" w:name="_Toc529196547"/>
      <w:r>
        <w:rPr>
          <w:color w:val="auto"/>
          <w:highlight w:val="none"/>
        </w:rPr>
        <w:t>4. 投标</w:t>
      </w:r>
      <w:bookmarkEnd w:id="119"/>
      <w:bookmarkEnd w:id="120"/>
    </w:p>
    <w:p>
      <w:pPr>
        <w:pStyle w:val="5"/>
        <w:spacing w:before="120" w:after="120"/>
        <w:ind w:firstLine="137"/>
        <w:rPr>
          <w:color w:val="auto"/>
          <w:highlight w:val="none"/>
        </w:rPr>
      </w:pPr>
      <w:bookmarkStart w:id="121" w:name="_Toc515205221"/>
      <w:bookmarkStart w:id="122" w:name="_Toc529196548"/>
      <w:r>
        <w:rPr>
          <w:color w:val="auto"/>
          <w:highlight w:val="none"/>
        </w:rPr>
        <w:t>4.1 投标文件的密封和标记</w:t>
      </w:r>
      <w:bookmarkEnd w:id="121"/>
      <w:bookmarkEnd w:id="122"/>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4.1.1 （B）投标人应当按照招标文件和电子招标投标交易平台的要求加密投标文件，具体要求见投标人须知前附表。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4.1.2 投标文件封套上应写明的内容见投标人须知前附表。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4.1.3 未按本章第4.1.1项要求密封的投标文件，招标人将予以拒收。</w:t>
      </w:r>
    </w:p>
    <w:p>
      <w:pPr>
        <w:pStyle w:val="5"/>
        <w:ind w:firstLine="118"/>
        <w:rPr>
          <w:color w:val="auto"/>
          <w:sz w:val="24"/>
          <w:szCs w:val="24"/>
          <w:highlight w:val="none"/>
        </w:rPr>
      </w:pPr>
      <w:bookmarkStart w:id="123" w:name="_Toc529196549"/>
      <w:bookmarkStart w:id="124" w:name="_Toc515205222"/>
      <w:r>
        <w:rPr>
          <w:color w:val="auto"/>
          <w:sz w:val="24"/>
          <w:szCs w:val="24"/>
          <w:highlight w:val="none"/>
        </w:rPr>
        <w:t>4.2 投标文件的递交</w:t>
      </w:r>
      <w:bookmarkEnd w:id="123"/>
      <w:bookmarkEnd w:id="12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4.2.1 投标人应在投标人须知前附表规定的投标截止时间前递交投标文件。</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4.2.2 （B）投标人通过下载招标文件的电子招标投标交易平台递交电子投标文件。</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4.2.3 除投标人须知前附表另有规定外，投标人所递交的投标文件不予退还。</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4.2.4 （B）投标人完成电子投标文件上传后，电子招标投标交易平台即时向投标人发出递交回执通知。递交时间以递交回执通知载明的传输完成时间为准。</w:t>
      </w:r>
    </w:p>
    <w:p>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4.2.5 （B）逾期送达的投标文件，电子招标投标交易平台将予以拒收。</w:t>
      </w:r>
    </w:p>
    <w:p>
      <w:pPr>
        <w:pStyle w:val="5"/>
        <w:ind w:firstLine="118"/>
        <w:rPr>
          <w:color w:val="auto"/>
          <w:sz w:val="24"/>
          <w:szCs w:val="24"/>
          <w:highlight w:val="none"/>
        </w:rPr>
      </w:pPr>
      <w:bookmarkStart w:id="125" w:name="_Toc515205223"/>
      <w:bookmarkStart w:id="126" w:name="_Toc529196550"/>
      <w:r>
        <w:rPr>
          <w:color w:val="auto"/>
          <w:sz w:val="24"/>
          <w:szCs w:val="24"/>
          <w:highlight w:val="none"/>
        </w:rPr>
        <w:t>4.3 投标文件的修改与撤回</w:t>
      </w:r>
      <w:bookmarkEnd w:id="125"/>
      <w:bookmarkEnd w:id="126"/>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4.3.1 在本章第4.2.1项规定的投标截止时间前，投标人可以修改或撤回已递交的投标文件，但应以书面形式通知招标人。</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4.3.2 （B）投标人修改或撤回已递交投标文件的通知，应按照本章第3.7.3（B）项的要求加盖电子印章。电子招标投标交易平台收到通知后，即时向投标人发出确认回执通知。</w:t>
      </w:r>
    </w:p>
    <w:p>
      <w:pPr>
        <w:spacing w:line="360" w:lineRule="auto"/>
        <w:ind w:firstLine="480" w:firstLineChars="200"/>
        <w:rPr>
          <w:rFonts w:ascii="Times New Roman" w:hAnsi="Times New Roman"/>
          <w:strike/>
          <w:dstrike w:val="0"/>
          <w:color w:val="auto"/>
          <w:sz w:val="24"/>
          <w:highlight w:val="none"/>
        </w:rPr>
      </w:pPr>
      <w:r>
        <w:rPr>
          <w:rFonts w:ascii="Times New Roman" w:hAnsi="Times New Roman"/>
          <w:strike/>
          <w:dstrike w:val="0"/>
          <w:color w:val="auto"/>
          <w:sz w:val="24"/>
          <w:highlight w:val="none"/>
        </w:rPr>
        <w:t>4.3.3 投标人撤回投标文件的，招标人自收到投标人书面撤回通知之日起5日内退还已收取的投标保证金。</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w:t>
      </w:r>
      <w:bookmarkStart w:id="127" w:name="_Toc19203"/>
      <w:bookmarkStart w:id="128" w:name="_Toc152042329"/>
      <w:bookmarkStart w:id="129" w:name="_Toc352691497"/>
      <w:bookmarkStart w:id="130" w:name="_Toc152045553"/>
      <w:bookmarkStart w:id="131" w:name="_Toc144974521"/>
      <w:bookmarkStart w:id="132" w:name="_Toc300834974"/>
      <w:bookmarkStart w:id="133" w:name="_Toc369531541"/>
      <w:bookmarkStart w:id="134" w:name="_Toc384308235"/>
      <w:bookmarkStart w:id="135" w:name="_Toc247527578"/>
      <w:bookmarkStart w:id="136" w:name="_Toc361508610"/>
      <w:bookmarkStart w:id="137" w:name="_Toc247513977"/>
      <w:r>
        <w:rPr>
          <w:rFonts w:ascii="Times New Roman" w:hAnsi="Times New Roman"/>
          <w:color w:val="auto"/>
          <w:sz w:val="24"/>
          <w:highlight w:val="none"/>
        </w:rPr>
        <w:t>4 修改的内容为投标</w:t>
      </w:r>
      <w:bookmarkEnd w:id="127"/>
      <w:bookmarkEnd w:id="128"/>
      <w:bookmarkEnd w:id="129"/>
      <w:bookmarkEnd w:id="130"/>
      <w:bookmarkEnd w:id="131"/>
      <w:bookmarkEnd w:id="132"/>
      <w:bookmarkEnd w:id="133"/>
      <w:bookmarkEnd w:id="134"/>
      <w:bookmarkEnd w:id="135"/>
      <w:bookmarkEnd w:id="136"/>
      <w:bookmarkEnd w:id="137"/>
      <w:r>
        <w:rPr>
          <w:rFonts w:ascii="Times New Roman" w:hAnsi="Times New Roman"/>
          <w:color w:val="auto"/>
          <w:sz w:val="24"/>
          <w:highlight w:val="none"/>
        </w:rPr>
        <w:t>文件的组成部分。修改的投标文件应按照本章第3条、第4条的规定进行编制、密封、标记和递交，并标明“修改”字样。</w:t>
      </w:r>
    </w:p>
    <w:p>
      <w:pPr>
        <w:pStyle w:val="5"/>
        <w:rPr>
          <w:color w:val="auto"/>
          <w:highlight w:val="none"/>
        </w:rPr>
      </w:pPr>
      <w:bookmarkStart w:id="138" w:name="_Toc529196551"/>
      <w:bookmarkStart w:id="139" w:name="_Toc515205224"/>
      <w:r>
        <w:rPr>
          <w:color w:val="auto"/>
          <w:highlight w:val="none"/>
        </w:rPr>
        <w:t>5. 开标</w:t>
      </w:r>
      <w:bookmarkEnd w:id="138"/>
      <w:bookmarkEnd w:id="139"/>
    </w:p>
    <w:p>
      <w:pPr>
        <w:pStyle w:val="5"/>
        <w:ind w:firstLine="137"/>
        <w:rPr>
          <w:color w:val="auto"/>
          <w:highlight w:val="none"/>
        </w:rPr>
      </w:pPr>
      <w:bookmarkStart w:id="140" w:name="_Toc515205226"/>
      <w:bookmarkStart w:id="141" w:name="_Toc529196553"/>
      <w:r>
        <w:rPr>
          <w:color w:val="auto"/>
          <w:highlight w:val="none"/>
        </w:rPr>
        <w:t>5.1 开标时间和地点（B）</w:t>
      </w:r>
      <w:bookmarkEnd w:id="140"/>
      <w:bookmarkEnd w:id="141"/>
    </w:p>
    <w:p>
      <w:pPr>
        <w:spacing w:line="360" w:lineRule="auto"/>
        <w:ind w:firstLine="480" w:firstLineChars="200"/>
        <w:rPr>
          <w:rFonts w:ascii="宋体" w:hAnsi="宋体"/>
          <w:color w:val="auto"/>
          <w:sz w:val="24"/>
          <w:szCs w:val="24"/>
          <w:highlight w:val="none"/>
        </w:rPr>
      </w:pPr>
      <w:r>
        <w:rPr>
          <w:rFonts w:ascii="Times New Roman" w:hAnsi="Times New Roman"/>
          <w:color w:val="auto"/>
          <w:sz w:val="24"/>
          <w:highlight w:val="none"/>
        </w:rPr>
        <w:t>招</w:t>
      </w:r>
      <w:r>
        <w:rPr>
          <w:rFonts w:hint="eastAsia" w:ascii="宋体" w:hAnsi="宋体"/>
          <w:color w:val="auto"/>
          <w:sz w:val="24"/>
          <w:szCs w:val="24"/>
          <w:highlight w:val="none"/>
        </w:rPr>
        <w:t>标人在本章第 4.2.1 项规定的投标截止时间（开标时间）,通过电子招标投标交易平台公开开标，</w:t>
      </w:r>
      <w:r>
        <w:rPr>
          <w:rFonts w:hint="eastAsia" w:ascii="宋体" w:hAnsi="宋体"/>
          <w:color w:val="auto"/>
          <w:sz w:val="24"/>
          <w:szCs w:val="24"/>
          <w:highlight w:val="none"/>
          <w:u w:val="single"/>
        </w:rPr>
        <w:t>开标时，投标人代表有权出席开标会，也可以自主决定不参加开标会，若投标人代表对开标过程提出异议，该投标人代表须同时出示本人身份证原件，</w:t>
      </w:r>
      <w:r>
        <w:rPr>
          <w:rFonts w:hint="eastAsia" w:ascii="宋体" w:hAnsi="宋体"/>
          <w:color w:val="auto"/>
          <w:sz w:val="24"/>
          <w:szCs w:val="24"/>
          <w:highlight w:val="none"/>
        </w:rPr>
        <w:t>不参加开标会视为对开标过程无异议。</w:t>
      </w:r>
    </w:p>
    <w:p>
      <w:pPr>
        <w:spacing w:line="360" w:lineRule="auto"/>
        <w:ind w:firstLine="480" w:firstLineChars="200"/>
        <w:rPr>
          <w:rFonts w:ascii="Times New Roman" w:hAnsi="Times New Roman"/>
          <w:color w:val="auto"/>
          <w:sz w:val="24"/>
          <w:highlight w:val="none"/>
        </w:rPr>
      </w:pPr>
    </w:p>
    <w:p>
      <w:pPr>
        <w:pStyle w:val="5"/>
        <w:spacing w:before="120" w:after="120"/>
        <w:ind w:firstLine="137"/>
        <w:rPr>
          <w:color w:val="auto"/>
          <w:highlight w:val="none"/>
        </w:rPr>
      </w:pPr>
      <w:bookmarkStart w:id="142" w:name="_Toc529196554"/>
      <w:bookmarkStart w:id="143" w:name="_Toc515205227"/>
      <w:r>
        <w:rPr>
          <w:color w:val="auto"/>
          <w:highlight w:val="none"/>
        </w:rPr>
        <w:t>5.2 开标程序</w:t>
      </w:r>
      <w:bookmarkEnd w:id="142"/>
      <w:bookmarkEnd w:id="143"/>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主持人按下列程序进行开标：</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（1）宣布开标纪律；</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（2）公布在投标截止时间前递交投标文件的投标人名称；</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（3）宣布</w:t>
      </w:r>
      <w:bookmarkStart w:id="144" w:name="_Toc369531542"/>
      <w:bookmarkStart w:id="145" w:name="_Toc247527579"/>
      <w:bookmarkStart w:id="146" w:name="_Toc152042330"/>
      <w:bookmarkStart w:id="147" w:name="_Toc247513978"/>
      <w:bookmarkStart w:id="148" w:name="_Toc22119"/>
      <w:bookmarkStart w:id="149" w:name="_Toc361508611"/>
      <w:bookmarkStart w:id="150" w:name="_Toc300834975"/>
      <w:bookmarkStart w:id="151" w:name="_Toc384308236"/>
      <w:bookmarkStart w:id="152" w:name="_Toc144974522"/>
      <w:bookmarkStart w:id="153" w:name="_Toc352691498"/>
      <w:bookmarkStart w:id="154" w:name="_Toc152045554"/>
      <w:r>
        <w:rPr>
          <w:rFonts w:ascii="Times New Roman" w:hAnsi="Times New Roman"/>
          <w:color w:val="auto"/>
          <w:sz w:val="24"/>
          <w:highlight w:val="none"/>
        </w:rPr>
        <w:t>开标人、唱标人、记录人</w:t>
      </w:r>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color w:val="auto"/>
          <w:sz w:val="24"/>
          <w:highlight w:val="none"/>
        </w:rPr>
        <w:t>、监标人等有关人员姓名；</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（4）（B）投标人通过电子招标投标交易平台对已递交的电子投标文件进行解密，公布招标项目名称、投标人名称、</w:t>
      </w:r>
      <w:r>
        <w:rPr>
          <w:rFonts w:hint="eastAsia" w:ascii="Times New Roman" w:hAnsi="Times New Roman"/>
          <w:strike/>
          <w:dstrike w:val="0"/>
          <w:color w:val="auto"/>
          <w:sz w:val="24"/>
          <w:highlight w:val="none"/>
        </w:rPr>
        <w:t>投标保证金的递交情况</w:t>
      </w:r>
      <w:r>
        <w:rPr>
          <w:rFonts w:hint="eastAsia" w:ascii="Times New Roman" w:hAnsi="Times New Roman"/>
          <w:strike/>
          <w:dstrike w:val="0"/>
          <w:color w:val="auto"/>
          <w:sz w:val="24"/>
          <w:highlight w:val="none"/>
          <w:lang w:eastAsia="zh-CN"/>
        </w:rPr>
        <w:t>、</w:t>
      </w:r>
      <w:r>
        <w:rPr>
          <w:rFonts w:ascii="Times New Roman" w:hAnsi="Times New Roman"/>
          <w:color w:val="auto"/>
          <w:sz w:val="24"/>
          <w:highlight w:val="none"/>
        </w:rPr>
        <w:t>投标报价、监理服务期限及其他内容，并记录在案；</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（5）（B）</w:t>
      </w:r>
      <w:r>
        <w:rPr>
          <w:rFonts w:hint="eastAsia" w:ascii="宋体" w:hAnsi="宋体" w:cs="宋体"/>
          <w:color w:val="auto"/>
          <w:sz w:val="24"/>
          <w:szCs w:val="24"/>
          <w:highlight w:val="none"/>
          <w:u w:val="single"/>
        </w:rPr>
        <w:t>投标人代表、招标人代表、监标人、记录人等有关人员在开标记录上签字确认；若有关人员不签字的，不影响开标程序；</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（6）开标结束。</w:t>
      </w:r>
    </w:p>
    <w:p>
      <w:pPr>
        <w:pStyle w:val="5"/>
        <w:spacing w:before="120" w:after="120"/>
        <w:ind w:firstLine="137"/>
        <w:rPr>
          <w:color w:val="auto"/>
          <w:highlight w:val="none"/>
        </w:rPr>
      </w:pPr>
      <w:bookmarkStart w:id="155" w:name="_Toc529196555"/>
      <w:bookmarkStart w:id="156" w:name="_Toc515205228"/>
      <w:r>
        <w:rPr>
          <w:color w:val="auto"/>
          <w:highlight w:val="none"/>
        </w:rPr>
        <w:t>5.3 开标异议</w:t>
      </w:r>
      <w:bookmarkEnd w:id="155"/>
      <w:bookmarkEnd w:id="156"/>
    </w:p>
    <w:p>
      <w:pPr>
        <w:spacing w:line="360" w:lineRule="auto"/>
        <w:ind w:firstLine="480" w:firstLineChars="200"/>
        <w:rPr>
          <w:rFonts w:ascii="Times New Roman" w:hAnsi="Times New Roman"/>
          <w:color w:val="auto"/>
          <w:sz w:val="24"/>
          <w:highlight w:val="none"/>
          <w:u w:val="single"/>
        </w:rPr>
      </w:pPr>
      <w:r>
        <w:rPr>
          <w:rFonts w:ascii="Times New Roman" w:hAnsi="Times New Roman"/>
          <w:color w:val="auto"/>
          <w:sz w:val="24"/>
          <w:highlight w:val="none"/>
          <w:u w:val="single"/>
        </w:rPr>
        <w:t>开标时，投标人代表有权出席现场开标会，也可以自主决定不参加开标会，若投标人代表对现场开标过程提出异议，应当在开标现场提出，该投标人代表须同时出示本人身份证原件，招标人当场作出答复，并制作记录。投标人通过电子招标投标交易平台参与开标的，对开标过程提出异议的，应通过电子招标投标交易平台提出，招标人通过电子招标投标交易平台现场进行答复。</w:t>
      </w:r>
    </w:p>
    <w:p>
      <w:pPr>
        <w:pStyle w:val="5"/>
        <w:rPr>
          <w:color w:val="auto"/>
          <w:highlight w:val="none"/>
        </w:rPr>
      </w:pPr>
      <w:bookmarkStart w:id="157" w:name="_Toc515205229"/>
      <w:bookmarkStart w:id="158" w:name="_Toc529196556"/>
      <w:r>
        <w:rPr>
          <w:color w:val="auto"/>
          <w:highlight w:val="none"/>
        </w:rPr>
        <w:t>6. 评标</w:t>
      </w:r>
      <w:bookmarkEnd w:id="157"/>
      <w:bookmarkEnd w:id="158"/>
    </w:p>
    <w:p>
      <w:pPr>
        <w:pStyle w:val="5"/>
        <w:ind w:firstLine="137"/>
        <w:rPr>
          <w:color w:val="auto"/>
          <w:highlight w:val="none"/>
        </w:rPr>
      </w:pPr>
      <w:bookmarkStart w:id="159" w:name="_Toc515205230"/>
      <w:bookmarkStart w:id="160" w:name="_Toc529196557"/>
      <w:r>
        <w:rPr>
          <w:color w:val="auto"/>
          <w:highlight w:val="none"/>
        </w:rPr>
        <w:t>6.1 评标委员会</w:t>
      </w:r>
      <w:bookmarkEnd w:id="159"/>
      <w:bookmarkEnd w:id="160"/>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6.1.2 评标委员会成员有下列情形之一的，应当回避：</w:t>
      </w:r>
    </w:p>
    <w:p>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（1）投标人或投标人主要负责人的近亲属；</w:t>
      </w:r>
    </w:p>
    <w:p>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（2）项目主管部门或者行政监督部门的人员；</w:t>
      </w:r>
    </w:p>
    <w:p>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（3）与投标人有经济利益关系，可能影响对投标公正评审的；</w:t>
      </w:r>
    </w:p>
    <w:p>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（4）曾因在招标、评</w:t>
      </w:r>
      <w:bookmarkStart w:id="161" w:name="_Toc6230"/>
      <w:bookmarkStart w:id="162" w:name="_Toc369531543"/>
      <w:bookmarkStart w:id="163" w:name="_Toc247527580"/>
      <w:bookmarkStart w:id="164" w:name="_Toc144974523"/>
      <w:bookmarkStart w:id="165" w:name="_Toc152042331"/>
      <w:bookmarkStart w:id="166" w:name="_Toc247513979"/>
      <w:bookmarkStart w:id="167" w:name="_Toc152045555"/>
      <w:bookmarkStart w:id="168" w:name="_Toc361508612"/>
      <w:bookmarkStart w:id="169" w:name="_Toc384308237"/>
      <w:bookmarkStart w:id="170" w:name="_Toc352691499"/>
      <w:bookmarkStart w:id="171" w:name="_Toc300834976"/>
      <w:r>
        <w:rPr>
          <w:rFonts w:ascii="Times New Roman" w:hAnsi="Times New Roman"/>
          <w:color w:val="auto"/>
          <w:sz w:val="24"/>
          <w:highlight w:val="none"/>
        </w:rPr>
        <w:t>标以及其他</w:t>
      </w:r>
      <w:bookmarkEnd w:id="161"/>
      <w:bookmarkEnd w:id="162"/>
      <w:bookmarkEnd w:id="163"/>
      <w:bookmarkEnd w:id="164"/>
      <w:bookmarkEnd w:id="165"/>
      <w:bookmarkEnd w:id="166"/>
      <w:bookmarkEnd w:id="167"/>
      <w:bookmarkEnd w:id="168"/>
      <w:bookmarkEnd w:id="169"/>
      <w:bookmarkEnd w:id="170"/>
      <w:bookmarkEnd w:id="171"/>
      <w:r>
        <w:rPr>
          <w:rFonts w:ascii="Times New Roman" w:hAnsi="Times New Roman"/>
          <w:color w:val="auto"/>
          <w:sz w:val="24"/>
          <w:highlight w:val="none"/>
        </w:rPr>
        <w:t>与</w:t>
      </w:r>
      <w:bookmarkStart w:id="172" w:name="_Toc369531544"/>
      <w:bookmarkStart w:id="173" w:name="_Toc352691500"/>
      <w:bookmarkStart w:id="174" w:name="_Toc247513980"/>
      <w:bookmarkStart w:id="175" w:name="_Toc247527581"/>
      <w:bookmarkStart w:id="176" w:name="_Toc152045556"/>
      <w:bookmarkStart w:id="177" w:name="_Toc152042332"/>
      <w:bookmarkStart w:id="178" w:name="_Toc300834977"/>
      <w:bookmarkStart w:id="179" w:name="_Toc144974524"/>
      <w:bookmarkStart w:id="180" w:name="_Toc384308238"/>
      <w:bookmarkStart w:id="181" w:name="_Toc361508613"/>
      <w:bookmarkStart w:id="182" w:name="_Toc17703"/>
      <w:r>
        <w:rPr>
          <w:rFonts w:ascii="Times New Roman" w:hAnsi="Times New Roman"/>
          <w:color w:val="auto"/>
          <w:sz w:val="24"/>
          <w:highlight w:val="none"/>
        </w:rPr>
        <w:t>招标投标有关活动中从事违法行</w:t>
      </w:r>
      <w:bookmarkEnd w:id="172"/>
      <w:bookmarkEnd w:id="173"/>
      <w:bookmarkEnd w:id="174"/>
      <w:bookmarkEnd w:id="175"/>
      <w:bookmarkEnd w:id="176"/>
      <w:bookmarkEnd w:id="177"/>
      <w:bookmarkEnd w:id="178"/>
      <w:bookmarkEnd w:id="179"/>
      <w:bookmarkEnd w:id="180"/>
      <w:bookmarkEnd w:id="181"/>
      <w:bookmarkEnd w:id="182"/>
      <w:r>
        <w:rPr>
          <w:rFonts w:ascii="Times New Roman" w:hAnsi="Times New Roman"/>
          <w:color w:val="auto"/>
          <w:sz w:val="24"/>
          <w:highlight w:val="none"/>
        </w:rPr>
        <w:t>为而受过行政处罚或刑事处罚的；</w:t>
      </w:r>
    </w:p>
    <w:p>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（5）与投标人有其他利害关系。</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ind w:firstLine="137"/>
        <w:rPr>
          <w:color w:val="auto"/>
          <w:highlight w:val="none"/>
        </w:rPr>
      </w:pPr>
      <w:bookmarkStart w:id="183" w:name="_Toc515205231"/>
      <w:bookmarkStart w:id="184" w:name="_Toc529196558"/>
      <w:r>
        <w:rPr>
          <w:color w:val="auto"/>
          <w:highlight w:val="none"/>
        </w:rPr>
        <w:t>6.2 评标原则</w:t>
      </w:r>
      <w:bookmarkEnd w:id="183"/>
      <w:bookmarkEnd w:id="18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评标活动遵循公平、公正、科学和择优的原</w:t>
      </w:r>
      <w:bookmarkStart w:id="185" w:name="_Toc247527582"/>
      <w:bookmarkStart w:id="186" w:name="_Toc247513981"/>
      <w:bookmarkStart w:id="187" w:name="_Toc352691501"/>
      <w:bookmarkStart w:id="188" w:name="_Toc361508614"/>
      <w:bookmarkStart w:id="189" w:name="_Toc300834978"/>
      <w:bookmarkStart w:id="190" w:name="_Toc152042333"/>
      <w:bookmarkStart w:id="191" w:name="_Toc18949"/>
      <w:bookmarkStart w:id="192" w:name="_Toc369531545"/>
      <w:bookmarkStart w:id="193" w:name="_Toc144974525"/>
      <w:bookmarkStart w:id="194" w:name="_Toc152045557"/>
      <w:bookmarkStart w:id="195" w:name="_Toc384308239"/>
      <w:r>
        <w:rPr>
          <w:rFonts w:ascii="Times New Roman" w:hAnsi="Times New Roman"/>
          <w:color w:val="auto"/>
          <w:sz w:val="24"/>
          <w:highlight w:val="none"/>
        </w:rPr>
        <w:t>则。</w:t>
      </w:r>
    </w:p>
    <w:p>
      <w:pPr>
        <w:pStyle w:val="5"/>
        <w:ind w:firstLine="137"/>
        <w:rPr>
          <w:color w:val="auto"/>
          <w:highlight w:val="none"/>
        </w:rPr>
      </w:pPr>
      <w:bookmarkStart w:id="196" w:name="_Toc515205232"/>
      <w:bookmarkStart w:id="197" w:name="_Toc529196559"/>
      <w:r>
        <w:rPr>
          <w:color w:val="auto"/>
          <w:highlight w:val="none"/>
        </w:rPr>
        <w:t>6.3 评标</w:t>
      </w:r>
      <w:bookmarkEnd w:id="196"/>
      <w:bookmarkEnd w:id="197"/>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w:t>
      </w:r>
      <w:bookmarkEnd w:id="185"/>
      <w:bookmarkEnd w:id="186"/>
      <w:bookmarkEnd w:id="187"/>
      <w:bookmarkEnd w:id="188"/>
      <w:bookmarkEnd w:id="189"/>
      <w:bookmarkEnd w:id="190"/>
      <w:bookmarkEnd w:id="191"/>
      <w:bookmarkEnd w:id="192"/>
      <w:bookmarkEnd w:id="193"/>
      <w:bookmarkEnd w:id="194"/>
      <w:bookmarkEnd w:id="195"/>
      <w:r>
        <w:rPr>
          <w:rFonts w:ascii="Times New Roman" w:hAnsi="Times New Roman"/>
          <w:color w:val="auto"/>
          <w:sz w:val="24"/>
          <w:highlight w:val="none"/>
        </w:rPr>
        <w:t>.3.1评标委员会按照第三章“评标办法”规定的方法、评审因素、标准和程序对投标文件进行评审。第三章“评标办法”没有规定的方法、评审因素和标准，不作为评标依据。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6.3.2评标完成后，评标委员会应当向招标人提交书面评标报告和中标候选人名单。评标委员会推荐中标</w:t>
      </w:r>
      <w:bookmarkStart w:id="198" w:name="_Toc384308240"/>
      <w:bookmarkStart w:id="199" w:name="_Toc152045558"/>
      <w:bookmarkStart w:id="200" w:name="_Toc369531546"/>
      <w:bookmarkStart w:id="201" w:name="_Toc361508615"/>
      <w:bookmarkStart w:id="202" w:name="_Toc247527583"/>
      <w:bookmarkStart w:id="203" w:name="_Toc152042334"/>
      <w:bookmarkStart w:id="204" w:name="_Toc144974526"/>
      <w:bookmarkStart w:id="205" w:name="_Toc300834979"/>
      <w:bookmarkStart w:id="206" w:name="_Toc352691502"/>
      <w:bookmarkStart w:id="207" w:name="_Toc12259"/>
      <w:bookmarkStart w:id="208" w:name="_Toc247513982"/>
      <w:r>
        <w:rPr>
          <w:rFonts w:ascii="Times New Roman" w:hAnsi="Times New Roman"/>
          <w:color w:val="auto"/>
          <w:sz w:val="24"/>
          <w:highlight w:val="none"/>
        </w:rPr>
        <w:t>候选人的人数见投标人须知前附</w:t>
      </w:r>
      <w:bookmarkEnd w:id="198"/>
      <w:bookmarkEnd w:id="199"/>
      <w:bookmarkEnd w:id="200"/>
      <w:bookmarkEnd w:id="201"/>
      <w:bookmarkEnd w:id="202"/>
      <w:bookmarkEnd w:id="203"/>
      <w:bookmarkEnd w:id="204"/>
      <w:bookmarkEnd w:id="205"/>
      <w:bookmarkEnd w:id="206"/>
      <w:bookmarkEnd w:id="207"/>
      <w:bookmarkEnd w:id="208"/>
      <w:r>
        <w:rPr>
          <w:rFonts w:ascii="Times New Roman" w:hAnsi="Times New Roman"/>
          <w:color w:val="auto"/>
          <w:sz w:val="24"/>
          <w:highlight w:val="none"/>
        </w:rPr>
        <w:t>表。</w:t>
      </w:r>
    </w:p>
    <w:p>
      <w:pPr>
        <w:pStyle w:val="5"/>
        <w:rPr>
          <w:color w:val="auto"/>
          <w:highlight w:val="none"/>
        </w:rPr>
      </w:pPr>
      <w:bookmarkStart w:id="209" w:name="_Toc515205233"/>
      <w:bookmarkStart w:id="210" w:name="_Toc529196560"/>
      <w:r>
        <w:rPr>
          <w:color w:val="auto"/>
          <w:highlight w:val="none"/>
        </w:rPr>
        <w:t>7. 合同授予</w:t>
      </w:r>
      <w:bookmarkEnd w:id="209"/>
      <w:bookmarkEnd w:id="210"/>
    </w:p>
    <w:p>
      <w:pPr>
        <w:pStyle w:val="5"/>
        <w:ind w:firstLine="137"/>
        <w:rPr>
          <w:color w:val="auto"/>
          <w:highlight w:val="none"/>
        </w:rPr>
      </w:pPr>
      <w:bookmarkStart w:id="211" w:name="_Toc529196561"/>
      <w:bookmarkStart w:id="212" w:name="_Toc515205234"/>
      <w:r>
        <w:rPr>
          <w:color w:val="auto"/>
          <w:highlight w:val="none"/>
        </w:rPr>
        <w:t>7.1 中标候选人公示</w:t>
      </w:r>
      <w:bookmarkEnd w:id="211"/>
      <w:bookmarkEnd w:id="212"/>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招标人在收到评标报告之日起3日内，按照投标人须知前附表规定的公示媒介和期限公示中标候选人，公示期不得少于3天。</w:t>
      </w:r>
    </w:p>
    <w:p>
      <w:pPr>
        <w:pStyle w:val="5"/>
        <w:ind w:firstLine="137"/>
        <w:rPr>
          <w:color w:val="auto"/>
          <w:highlight w:val="none"/>
        </w:rPr>
      </w:pPr>
      <w:bookmarkStart w:id="213" w:name="_Toc529196562"/>
      <w:bookmarkStart w:id="214" w:name="_Toc515205235"/>
      <w:r>
        <w:rPr>
          <w:color w:val="auto"/>
          <w:highlight w:val="none"/>
        </w:rPr>
        <w:t>7.2 评标结果异议</w:t>
      </w:r>
      <w:bookmarkEnd w:id="213"/>
      <w:bookmarkEnd w:id="21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投标人或者其他利</w:t>
      </w:r>
      <w:bookmarkStart w:id="215" w:name="_Toc352691505"/>
      <w:bookmarkStart w:id="216" w:name="_Toc384308243"/>
      <w:bookmarkStart w:id="217" w:name="_Toc247513985"/>
      <w:bookmarkStart w:id="218" w:name="_Toc152042337"/>
      <w:bookmarkStart w:id="219" w:name="_Toc361508618"/>
      <w:bookmarkStart w:id="220" w:name="_Toc152045561"/>
      <w:bookmarkStart w:id="221" w:name="_Toc247527586"/>
      <w:bookmarkStart w:id="222" w:name="_Toc300834982"/>
      <w:bookmarkStart w:id="223" w:name="_Toc30095"/>
      <w:bookmarkStart w:id="224" w:name="_Toc144974529"/>
      <w:bookmarkStart w:id="225" w:name="_Toc369531549"/>
      <w:r>
        <w:rPr>
          <w:rFonts w:ascii="Times New Roman" w:hAnsi="Times New Roman"/>
          <w:color w:val="auto"/>
          <w:sz w:val="24"/>
          <w:highlight w:val="none"/>
        </w:rPr>
        <w:t>害关系人对评标结</w:t>
      </w:r>
      <w:bookmarkEnd w:id="215"/>
      <w:bookmarkEnd w:id="216"/>
      <w:bookmarkEnd w:id="217"/>
      <w:bookmarkEnd w:id="218"/>
      <w:bookmarkEnd w:id="219"/>
      <w:bookmarkEnd w:id="220"/>
      <w:bookmarkEnd w:id="221"/>
      <w:bookmarkEnd w:id="222"/>
      <w:bookmarkEnd w:id="223"/>
      <w:bookmarkEnd w:id="224"/>
      <w:bookmarkEnd w:id="225"/>
      <w:r>
        <w:rPr>
          <w:rFonts w:ascii="Times New Roman" w:hAnsi="Times New Roman"/>
          <w:color w:val="auto"/>
          <w:sz w:val="24"/>
          <w:highlight w:val="none"/>
        </w:rPr>
        <w:t>果有异议的，应当在中标候选人公示期间提出。招标人将在收到异议之日起3日内作出答复；作出答复前，将暂停招标投标活动。</w:t>
      </w:r>
    </w:p>
    <w:p>
      <w:pPr>
        <w:pStyle w:val="5"/>
        <w:ind w:firstLine="137"/>
        <w:rPr>
          <w:color w:val="auto"/>
          <w:highlight w:val="none"/>
        </w:rPr>
      </w:pPr>
      <w:bookmarkStart w:id="226" w:name="_Toc515205236"/>
      <w:bookmarkStart w:id="227" w:name="_Toc529196563"/>
      <w:r>
        <w:rPr>
          <w:color w:val="auto"/>
          <w:highlight w:val="none"/>
        </w:rPr>
        <w:t>7.3 中标候选人履约能力审查</w:t>
      </w:r>
      <w:bookmarkEnd w:id="226"/>
      <w:bookmarkEnd w:id="227"/>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5"/>
        <w:ind w:firstLine="137"/>
        <w:rPr>
          <w:color w:val="auto"/>
          <w:highlight w:val="none"/>
        </w:rPr>
      </w:pPr>
      <w:bookmarkStart w:id="228" w:name="_Toc515205237"/>
      <w:bookmarkStart w:id="229" w:name="_Toc529196564"/>
      <w:r>
        <w:rPr>
          <w:color w:val="auto"/>
          <w:highlight w:val="none"/>
        </w:rPr>
        <w:t>7.4 定标</w:t>
      </w:r>
      <w:bookmarkEnd w:id="228"/>
      <w:bookmarkEnd w:id="229"/>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按照投标人须知前附表的规定，招标人或招标人授权的评标委员会依法确定中标人。</w:t>
      </w:r>
    </w:p>
    <w:p>
      <w:pPr>
        <w:pStyle w:val="5"/>
        <w:ind w:firstLine="137"/>
        <w:rPr>
          <w:color w:val="auto"/>
          <w:highlight w:val="none"/>
        </w:rPr>
      </w:pPr>
      <w:bookmarkStart w:id="230" w:name="_Toc515205238"/>
      <w:bookmarkStart w:id="231" w:name="_Toc529196565"/>
      <w:r>
        <w:rPr>
          <w:color w:val="auto"/>
          <w:highlight w:val="none"/>
        </w:rPr>
        <w:t>7.5 中标通知</w:t>
      </w:r>
      <w:bookmarkEnd w:id="230"/>
      <w:bookmarkEnd w:id="231"/>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在本章第3.3款规定的投标有效期内，招标人以书面形式向中标人发出中标</w:t>
      </w:r>
      <w:bookmarkStart w:id="232" w:name="_Toc352691506"/>
      <w:bookmarkStart w:id="233" w:name="_Toc5668"/>
      <w:bookmarkStart w:id="234" w:name="_Toc300834983"/>
      <w:bookmarkStart w:id="235" w:name="_Toc361508619"/>
      <w:bookmarkStart w:id="236" w:name="_Toc384308244"/>
      <w:bookmarkStart w:id="237" w:name="_Toc369531550"/>
      <w:r>
        <w:rPr>
          <w:rFonts w:ascii="Times New Roman" w:hAnsi="Times New Roman"/>
          <w:color w:val="auto"/>
          <w:sz w:val="24"/>
          <w:highlight w:val="none"/>
        </w:rPr>
        <w:t>通知书，同时将中</w:t>
      </w:r>
      <w:bookmarkEnd w:id="232"/>
      <w:bookmarkEnd w:id="233"/>
      <w:bookmarkEnd w:id="234"/>
      <w:bookmarkEnd w:id="235"/>
      <w:bookmarkEnd w:id="236"/>
      <w:bookmarkEnd w:id="237"/>
      <w:r>
        <w:rPr>
          <w:rFonts w:ascii="Times New Roman" w:hAnsi="Times New Roman"/>
          <w:color w:val="auto"/>
          <w:sz w:val="24"/>
          <w:highlight w:val="none"/>
        </w:rPr>
        <w:t>标结果通知未中标的投标人。</w:t>
      </w:r>
    </w:p>
    <w:p>
      <w:pPr>
        <w:pStyle w:val="5"/>
        <w:ind w:firstLine="137"/>
        <w:rPr>
          <w:color w:val="auto"/>
          <w:highlight w:val="none"/>
        </w:rPr>
      </w:pPr>
      <w:bookmarkStart w:id="238" w:name="_Toc515205239"/>
      <w:bookmarkStart w:id="239" w:name="_Toc529196566"/>
      <w:r>
        <w:rPr>
          <w:color w:val="auto"/>
          <w:highlight w:val="none"/>
        </w:rPr>
        <w:t>7.6 履约保证金</w:t>
      </w:r>
      <w:bookmarkEnd w:id="238"/>
      <w:bookmarkEnd w:id="239"/>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本项目不需要提交履约保证金。</w:t>
      </w:r>
    </w:p>
    <w:p>
      <w:pPr>
        <w:pStyle w:val="5"/>
        <w:ind w:firstLine="137"/>
        <w:rPr>
          <w:color w:val="auto"/>
          <w:highlight w:val="none"/>
        </w:rPr>
      </w:pPr>
      <w:bookmarkStart w:id="240" w:name="_Toc515205240"/>
      <w:bookmarkStart w:id="241" w:name="_Toc529196567"/>
      <w:r>
        <w:rPr>
          <w:color w:val="auto"/>
          <w:highlight w:val="none"/>
        </w:rPr>
        <w:t>7.7 签订合同</w:t>
      </w:r>
      <w:bookmarkEnd w:id="240"/>
      <w:bookmarkEnd w:id="241"/>
    </w:p>
    <w:p>
      <w:pPr>
        <w:spacing w:line="360" w:lineRule="auto"/>
        <w:ind w:firstLine="480" w:firstLineChars="200"/>
        <w:rPr>
          <w:rFonts w:ascii="宋体" w:hAnsi="宋体"/>
          <w:sz w:val="24"/>
          <w:szCs w:val="28"/>
        </w:rPr>
      </w:pPr>
      <w:bookmarkStart w:id="242" w:name="_Toc24067"/>
      <w:bookmarkStart w:id="243" w:name="_Toc361508627"/>
      <w:bookmarkStart w:id="244" w:name="_Toc384308252"/>
      <w:bookmarkStart w:id="245" w:name="_Toc529196568"/>
      <w:bookmarkStart w:id="246" w:name="_Toc515205241"/>
      <w:bookmarkStart w:id="247" w:name="_Toc247527593"/>
      <w:bookmarkStart w:id="248" w:name="_Toc247513992"/>
      <w:bookmarkStart w:id="249" w:name="_Toc300834991"/>
      <w:bookmarkStart w:id="250" w:name="_Toc152045568"/>
      <w:bookmarkStart w:id="251" w:name="_Toc152042344"/>
      <w:bookmarkStart w:id="252" w:name="_Toc144974536"/>
      <w:r>
        <w:rPr>
          <w:rFonts w:hint="eastAsia" w:ascii="宋体" w:hAnsi="宋体"/>
          <w:sz w:val="24"/>
          <w:szCs w:val="28"/>
        </w:rPr>
        <w:t>7.7.1 招标人和中标人应当在中标通知书发出之日起30日内，根据招标文件和中标人的投标文件订立书面合同。中标人无正当理由拒签合同，在签订合同时向招标人提出附加条件，</w:t>
      </w:r>
      <w:r>
        <w:rPr>
          <w:rFonts w:hint="eastAsia" w:ascii="宋体" w:hAnsi="宋体"/>
          <w:strike/>
          <w:sz w:val="24"/>
          <w:szCs w:val="28"/>
        </w:rPr>
        <w:t>或者不按照招标文件要求提交履约保证金的</w:t>
      </w:r>
      <w:r>
        <w:rPr>
          <w:rFonts w:hint="eastAsia" w:ascii="宋体" w:hAnsi="宋体"/>
          <w:sz w:val="24"/>
          <w:szCs w:val="28"/>
        </w:rPr>
        <w:t>，招标人有权取消其中标资格</w:t>
      </w:r>
      <w:r>
        <w:rPr>
          <w:rFonts w:hint="eastAsia" w:ascii="宋体" w:hAnsi="宋体"/>
          <w:strike/>
          <w:sz w:val="24"/>
          <w:szCs w:val="28"/>
        </w:rPr>
        <w:t>，其投标保证金不予退还；给招标人造成的损失超过投标保证金数额的，中标人还应当对超过部分予以赔偿</w:t>
      </w:r>
      <w:r>
        <w:rPr>
          <w:rFonts w:hint="eastAsia" w:ascii="宋体" w:hAnsi="宋体"/>
          <w:sz w:val="24"/>
          <w:szCs w:val="28"/>
        </w:rPr>
        <w:t>。</w:t>
      </w:r>
    </w:p>
    <w:p>
      <w:pPr>
        <w:spacing w:line="360" w:lineRule="auto"/>
        <w:ind w:firstLine="480" w:firstLineChars="200"/>
        <w:rPr>
          <w:rFonts w:ascii="宋体" w:hAnsi="宋体"/>
          <w:sz w:val="24"/>
          <w:szCs w:val="28"/>
        </w:rPr>
      </w:pPr>
      <w:r>
        <w:rPr>
          <w:rFonts w:hint="eastAsia" w:ascii="宋体" w:hAnsi="宋体"/>
          <w:sz w:val="24"/>
          <w:szCs w:val="28"/>
        </w:rPr>
        <w:t>7.7.2 发出中标通知书后，招标人无正当理由拒签合同，或者在签订合同时向中标人提出附加条件的</w:t>
      </w:r>
      <w:r>
        <w:rPr>
          <w:rFonts w:hint="eastAsia" w:ascii="宋体" w:hAnsi="宋体"/>
          <w:strike/>
          <w:sz w:val="24"/>
          <w:szCs w:val="28"/>
        </w:rPr>
        <w:t>，招标人向中标人退还投标保证金；</w:t>
      </w:r>
      <w:r>
        <w:rPr>
          <w:rFonts w:hint="eastAsia" w:ascii="宋体" w:hAnsi="宋体"/>
          <w:sz w:val="24"/>
          <w:szCs w:val="28"/>
        </w:rPr>
        <w:t>给中标人造成损失的，还应当赔偿损失。</w:t>
      </w:r>
    </w:p>
    <w:p>
      <w:pPr>
        <w:spacing w:line="360" w:lineRule="auto"/>
        <w:ind w:firstLine="480" w:firstLineChars="200"/>
        <w:rPr>
          <w:rFonts w:ascii="宋体" w:hAnsi="宋体"/>
          <w:strike/>
          <w:sz w:val="24"/>
          <w:szCs w:val="28"/>
        </w:rPr>
      </w:pPr>
      <w:r>
        <w:rPr>
          <w:rFonts w:hint="eastAsia" w:ascii="宋体" w:hAnsi="宋体"/>
          <w:strike/>
          <w:sz w:val="24"/>
          <w:szCs w:val="28"/>
        </w:rPr>
        <w:t>7.7.3联合体中标的，联合体各方应当共同与招标人签订合同，就中标项目向招标人承担连带责任。</w:t>
      </w:r>
    </w:p>
    <w:p>
      <w:pPr>
        <w:pStyle w:val="5"/>
        <w:rPr>
          <w:color w:val="auto"/>
          <w:highlight w:val="none"/>
        </w:rPr>
      </w:pPr>
      <w:r>
        <w:rPr>
          <w:color w:val="auto"/>
          <w:highlight w:val="none"/>
        </w:rPr>
        <w:t>8.</w:t>
      </w:r>
      <w:bookmarkEnd w:id="242"/>
      <w:bookmarkEnd w:id="243"/>
      <w:bookmarkEnd w:id="244"/>
      <w:r>
        <w:rPr>
          <w:color w:val="auto"/>
          <w:highlight w:val="none"/>
        </w:rPr>
        <w:t>纪律和监督</w:t>
      </w:r>
      <w:bookmarkEnd w:id="245"/>
      <w:bookmarkEnd w:id="246"/>
    </w:p>
    <w:p>
      <w:pPr>
        <w:pStyle w:val="5"/>
        <w:ind w:firstLine="137"/>
        <w:rPr>
          <w:color w:val="auto"/>
          <w:highlight w:val="none"/>
        </w:rPr>
      </w:pPr>
      <w:bookmarkStart w:id="253" w:name="_Toc515205242"/>
      <w:bookmarkStart w:id="254" w:name="_Toc529196569"/>
      <w:r>
        <w:rPr>
          <w:color w:val="auto"/>
          <w:highlight w:val="none"/>
        </w:rPr>
        <w:t>8.1 对招标人的纪律要求</w:t>
      </w:r>
      <w:bookmarkEnd w:id="253"/>
      <w:bookmarkEnd w:id="254"/>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招标人不得泄露招标投标活动中应当保密的情况和资料，不得与投标人串通损害国家利益、社会公共利益或者他人合法权益。</w:t>
      </w:r>
    </w:p>
    <w:p>
      <w:pPr>
        <w:pStyle w:val="5"/>
        <w:ind w:firstLine="137"/>
        <w:rPr>
          <w:color w:val="auto"/>
          <w:highlight w:val="none"/>
        </w:rPr>
      </w:pPr>
      <w:bookmarkStart w:id="255" w:name="_Toc515205243"/>
      <w:bookmarkStart w:id="256" w:name="_Toc529196570"/>
      <w:r>
        <w:rPr>
          <w:color w:val="auto"/>
          <w:highlight w:val="none"/>
        </w:rPr>
        <w:t>8.2 对投标人的纪律要求</w:t>
      </w:r>
      <w:bookmarkEnd w:id="255"/>
      <w:bookmarkEnd w:id="256"/>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ind w:firstLine="137"/>
        <w:rPr>
          <w:color w:val="auto"/>
          <w:highlight w:val="none"/>
        </w:rPr>
      </w:pPr>
      <w:bookmarkStart w:id="257" w:name="_Toc529196571"/>
      <w:bookmarkStart w:id="258" w:name="_Toc515205244"/>
      <w:r>
        <w:rPr>
          <w:color w:val="auto"/>
          <w:highlight w:val="none"/>
        </w:rPr>
        <w:t>8.3 对评标委员会成员的纪律要求</w:t>
      </w:r>
      <w:bookmarkEnd w:id="257"/>
      <w:bookmarkEnd w:id="258"/>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评标委员会成员不得收受他人的财物或者其他好处，不得向他人透露对投标文件的评审</w:t>
      </w:r>
      <w:bookmarkStart w:id="259" w:name="_Toc361508628"/>
      <w:bookmarkStart w:id="260" w:name="_Toc13644"/>
      <w:bookmarkStart w:id="261" w:name="_Toc384308253"/>
      <w:bookmarkStart w:id="262" w:name="_Toc352691515"/>
      <w:bookmarkStart w:id="263" w:name="_Toc369531559"/>
      <w:r>
        <w:rPr>
          <w:rFonts w:ascii="Times New Roman" w:hAnsi="Times New Roman"/>
          <w:color w:val="auto"/>
          <w:sz w:val="24"/>
          <w:highlight w:val="none"/>
        </w:rPr>
        <w:t>和比较、中标候选人</w:t>
      </w:r>
      <w:bookmarkEnd w:id="247"/>
      <w:bookmarkEnd w:id="248"/>
      <w:bookmarkEnd w:id="249"/>
      <w:bookmarkEnd w:id="250"/>
      <w:bookmarkEnd w:id="251"/>
      <w:bookmarkEnd w:id="252"/>
      <w:bookmarkEnd w:id="259"/>
      <w:bookmarkEnd w:id="260"/>
      <w:bookmarkEnd w:id="261"/>
      <w:bookmarkEnd w:id="262"/>
      <w:bookmarkEnd w:id="263"/>
      <w:r>
        <w:rPr>
          <w:rFonts w:ascii="Times New Roman" w:hAnsi="Times New Roman"/>
          <w:color w:val="auto"/>
          <w:sz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ind w:firstLine="137"/>
        <w:rPr>
          <w:color w:val="auto"/>
          <w:highlight w:val="none"/>
        </w:rPr>
      </w:pPr>
      <w:bookmarkStart w:id="264" w:name="_Toc515205245"/>
      <w:bookmarkStart w:id="265" w:name="_Toc529196572"/>
      <w:r>
        <w:rPr>
          <w:color w:val="auto"/>
          <w:highlight w:val="none"/>
        </w:rPr>
        <w:t>8.4 对与评标活动有关的工作人员的纪律要求</w:t>
      </w:r>
      <w:bookmarkEnd w:id="264"/>
      <w:bookmarkEnd w:id="265"/>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与评标活动有关的工作人员不得收受他人的财物或者其他好处，不得向他人透露对投标文件</w:t>
      </w:r>
      <w:bookmarkStart w:id="266" w:name="_Toc152042345"/>
      <w:bookmarkStart w:id="267" w:name="_Toc152045569"/>
      <w:bookmarkStart w:id="268" w:name="_Toc247527594"/>
      <w:bookmarkStart w:id="269" w:name="_Toc384308254"/>
      <w:bookmarkStart w:id="270" w:name="_Toc19429"/>
      <w:bookmarkStart w:id="271" w:name="_Toc369531560"/>
      <w:bookmarkStart w:id="272" w:name="_Toc247513993"/>
      <w:bookmarkStart w:id="273" w:name="_Toc361508629"/>
      <w:bookmarkStart w:id="274" w:name="_Toc144974537"/>
      <w:bookmarkStart w:id="275" w:name="_Toc352691516"/>
      <w:bookmarkStart w:id="276" w:name="_Toc300834992"/>
      <w:r>
        <w:rPr>
          <w:rFonts w:ascii="Times New Roman" w:hAnsi="Times New Roman"/>
          <w:color w:val="auto"/>
          <w:sz w:val="24"/>
          <w:highlight w:val="none"/>
        </w:rPr>
        <w:t>的评审和比较、中标</w:t>
      </w:r>
      <w:bookmarkEnd w:id="266"/>
      <w:bookmarkEnd w:id="267"/>
      <w:bookmarkEnd w:id="268"/>
      <w:bookmarkEnd w:id="269"/>
      <w:bookmarkEnd w:id="270"/>
      <w:bookmarkEnd w:id="271"/>
      <w:bookmarkEnd w:id="272"/>
      <w:bookmarkEnd w:id="273"/>
      <w:bookmarkEnd w:id="274"/>
      <w:bookmarkEnd w:id="275"/>
      <w:bookmarkEnd w:id="276"/>
      <w:r>
        <w:rPr>
          <w:rFonts w:ascii="Times New Roman" w:hAnsi="Times New Roman"/>
          <w:color w:val="auto"/>
          <w:sz w:val="24"/>
          <w:highlight w:val="none"/>
        </w:rPr>
        <w:t>候选人的推荐情况以及评标有关的其他情况。在评标活动中，与评标活动有关的工作人员不得擅离职守，影响评标程序正常进行。</w:t>
      </w:r>
    </w:p>
    <w:p>
      <w:pPr>
        <w:pStyle w:val="5"/>
        <w:ind w:firstLine="137"/>
        <w:rPr>
          <w:color w:val="auto"/>
          <w:highlight w:val="none"/>
        </w:rPr>
      </w:pPr>
      <w:bookmarkStart w:id="277" w:name="_Toc529196573"/>
      <w:bookmarkStart w:id="278" w:name="_Toc515205246"/>
      <w:r>
        <w:rPr>
          <w:color w:val="auto"/>
          <w:highlight w:val="none"/>
        </w:rPr>
        <w:t>8.5 投诉</w:t>
      </w:r>
      <w:bookmarkEnd w:id="277"/>
      <w:bookmarkEnd w:id="278"/>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8.5.2 投标人或者其他利害关系人对招标文件、开标和评标结果提出投诉的，应当按照投标人须知第2.4款、第5.3款和第7.2款的规定先向招标人提出异议。异议答复期间</w:t>
      </w:r>
      <w:bookmarkStart w:id="279" w:name="_Toc152042346"/>
      <w:bookmarkStart w:id="280" w:name="_Toc384308255"/>
      <w:bookmarkStart w:id="281" w:name="_Toc300834993"/>
      <w:bookmarkStart w:id="282" w:name="_Toc144974538"/>
      <w:bookmarkStart w:id="283" w:name="_Toc152045570"/>
      <w:bookmarkStart w:id="284" w:name="_Toc247527595"/>
      <w:bookmarkStart w:id="285" w:name="_Toc247513994"/>
      <w:bookmarkStart w:id="286" w:name="_Toc12776"/>
      <w:bookmarkStart w:id="287" w:name="_Toc352691517"/>
      <w:bookmarkStart w:id="288" w:name="_Toc361508630"/>
      <w:bookmarkStart w:id="289" w:name="_Toc369531561"/>
      <w:r>
        <w:rPr>
          <w:rFonts w:ascii="Times New Roman" w:hAnsi="Times New Roman"/>
          <w:color w:val="auto"/>
          <w:sz w:val="24"/>
          <w:highlight w:val="none"/>
        </w:rPr>
        <w:t>不计算在第8.5.</w:t>
      </w:r>
      <w:bookmarkEnd w:id="279"/>
      <w:bookmarkEnd w:id="280"/>
      <w:bookmarkEnd w:id="281"/>
      <w:bookmarkEnd w:id="282"/>
      <w:bookmarkEnd w:id="283"/>
      <w:bookmarkEnd w:id="284"/>
      <w:bookmarkEnd w:id="285"/>
      <w:bookmarkEnd w:id="286"/>
      <w:bookmarkEnd w:id="287"/>
      <w:bookmarkEnd w:id="288"/>
      <w:bookmarkEnd w:id="289"/>
      <w:r>
        <w:rPr>
          <w:rFonts w:ascii="Times New Roman" w:hAnsi="Times New Roman"/>
          <w:color w:val="auto"/>
          <w:sz w:val="24"/>
          <w:highlight w:val="none"/>
        </w:rPr>
        <w:t>1项规定的期限内。</w:t>
      </w:r>
    </w:p>
    <w:p>
      <w:pPr>
        <w:pStyle w:val="5"/>
        <w:rPr>
          <w:color w:val="auto"/>
          <w:highlight w:val="none"/>
        </w:rPr>
      </w:pPr>
      <w:bookmarkStart w:id="290" w:name="_Toc515205247"/>
      <w:bookmarkStart w:id="291" w:name="_Toc529196574"/>
      <w:bookmarkStart w:id="292" w:name="_Toc477134992"/>
      <w:r>
        <w:rPr>
          <w:color w:val="auto"/>
          <w:highlight w:val="none"/>
        </w:rPr>
        <w:t>9. 是否采用电子招标投标</w:t>
      </w:r>
      <w:bookmarkEnd w:id="290"/>
      <w:bookmarkEnd w:id="291"/>
      <w:bookmarkEnd w:id="292"/>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本招标项目是否采用电子招标投标方式，见投标人须知前附表。</w:t>
      </w:r>
    </w:p>
    <w:p>
      <w:pPr>
        <w:pStyle w:val="5"/>
        <w:rPr>
          <w:color w:val="auto"/>
          <w:highlight w:val="none"/>
        </w:rPr>
      </w:pPr>
      <w:bookmarkStart w:id="293" w:name="_Toc515205248"/>
      <w:bookmarkStart w:id="294" w:name="_Toc529196575"/>
      <w:r>
        <w:rPr>
          <w:color w:val="auto"/>
          <w:highlight w:val="none"/>
        </w:rPr>
        <w:t>10. 需要补充的其他内容</w:t>
      </w:r>
      <w:bookmarkEnd w:id="293"/>
      <w:bookmarkEnd w:id="294"/>
    </w:p>
    <w:p>
      <w:pPr>
        <w:pStyle w:val="5"/>
        <w:spacing w:line="412" w:lineRule="auto"/>
        <w:ind w:firstLine="118" w:firstLineChars="49"/>
        <w:outlineLvl w:val="0"/>
        <w:rPr>
          <w:b w:val="0"/>
          <w:bCs w:val="0"/>
          <w:color w:val="auto"/>
          <w:sz w:val="28"/>
          <w:szCs w:val="20"/>
          <w:highlight w:val="none"/>
        </w:rPr>
      </w:pPr>
      <w:bookmarkStart w:id="295" w:name="_Toc29435"/>
      <w:bookmarkStart w:id="296" w:name="_Toc27715"/>
      <w:r>
        <w:rPr>
          <w:color w:val="auto"/>
          <w:sz w:val="24"/>
          <w:highlight w:val="none"/>
        </w:rPr>
        <w:t>见投标人须知前附表。</w:t>
      </w:r>
      <w:r>
        <w:rPr>
          <w:b w:val="0"/>
          <w:bCs w:val="0"/>
          <w:color w:val="auto"/>
          <w:sz w:val="28"/>
          <w:szCs w:val="20"/>
          <w:highlight w:val="none"/>
        </w:rPr>
        <w:br w:type="page"/>
      </w:r>
      <w:bookmarkStart w:id="297" w:name="_Toc530728900"/>
      <w:r>
        <w:rPr>
          <w:b w:val="0"/>
          <w:bCs w:val="0"/>
          <w:color w:val="auto"/>
          <w:sz w:val="28"/>
          <w:szCs w:val="20"/>
          <w:highlight w:val="none"/>
        </w:rPr>
        <w:t>附件一：开标记录表</w:t>
      </w:r>
      <w:bookmarkEnd w:id="295"/>
      <w:bookmarkEnd w:id="296"/>
      <w:bookmarkEnd w:id="297"/>
    </w:p>
    <w:p>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开标记录表</w:t>
      </w:r>
    </w:p>
    <w:p>
      <w:pPr>
        <w:wordWrap w:val="0"/>
        <w:spacing w:before="120" w:beforeLines="50" w:after="120" w:afterLines="50" w:line="400" w:lineRule="exact"/>
        <w:ind w:right="420"/>
        <w:jc w:val="right"/>
        <w:rPr>
          <w:rFonts w:ascii="Times New Roman" w:hAnsi="Times New Roman"/>
          <w:color w:val="auto"/>
          <w:highlight w:val="none"/>
        </w:rPr>
      </w:pPr>
      <w:r>
        <w:rPr>
          <w:rFonts w:ascii="Times New Roman" w:hAnsi="Times New Roman"/>
          <w:color w:val="auto"/>
          <w:highlight w:val="none"/>
        </w:rPr>
        <w:t>开标时间：</w:t>
      </w:r>
      <w:r>
        <w:rPr>
          <w:rFonts w:hint="eastAsia" w:ascii="Times New Roman" w:hAnsi="Times New Roman"/>
          <w:color w:val="auto"/>
          <w:highlight w:val="none"/>
        </w:rPr>
        <w:t xml:space="preserve">  </w:t>
      </w: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r>
        <w:rPr>
          <w:rFonts w:hint="eastAsia" w:ascii="Times New Roman" w:hAnsi="Times New Roman"/>
          <w:color w:val="auto"/>
          <w:highlight w:val="none"/>
        </w:rPr>
        <w:t xml:space="preserve">  </w:t>
      </w:r>
      <w:r>
        <w:rPr>
          <w:rFonts w:ascii="Times New Roman" w:hAnsi="Times New Roman"/>
          <w:color w:val="auto"/>
          <w:highlight w:val="none"/>
        </w:rPr>
        <w:t>时</w:t>
      </w:r>
      <w:r>
        <w:rPr>
          <w:rFonts w:hint="eastAsia" w:ascii="Times New Roman" w:hAnsi="Times New Roman"/>
          <w:color w:val="auto"/>
          <w:highlight w:val="none"/>
        </w:rPr>
        <w:t xml:space="preserve">  </w:t>
      </w:r>
      <w:r>
        <w:rPr>
          <w:rFonts w:ascii="Times New Roman" w:hAnsi="Times New Roman"/>
          <w:color w:val="auto"/>
          <w:highlight w:val="none"/>
        </w:rPr>
        <w:t>分</w:t>
      </w:r>
    </w:p>
    <w:p>
      <w:pPr>
        <w:spacing w:before="120" w:beforeLines="50" w:after="120" w:afterLines="50" w:line="400" w:lineRule="exact"/>
        <w:ind w:right="420"/>
        <w:rPr>
          <w:rFonts w:ascii="Times New Roman" w:hAnsi="Times New Roman"/>
          <w:color w:val="auto"/>
          <w:highlight w:val="none"/>
        </w:rPr>
      </w:pPr>
      <w:r>
        <w:rPr>
          <w:rFonts w:hint="eastAsia" w:ascii="Times New Roman" w:hAnsi="Times New Roman"/>
          <w:color w:val="auto"/>
          <w:highlight w:val="none"/>
        </w:rPr>
        <w:t>项目</w:t>
      </w:r>
      <w:r>
        <w:rPr>
          <w:rFonts w:ascii="Times New Roman" w:hAnsi="Times New Roman"/>
          <w:color w:val="auto"/>
          <w:highlight w:val="none"/>
        </w:rPr>
        <w:t>名称：</w:t>
      </w:r>
    </w:p>
    <w:tbl>
      <w:tblPr>
        <w:tblStyle w:val="40"/>
        <w:tblW w:w="8383" w:type="dxa"/>
        <w:tblInd w:w="0" w:type="dxa"/>
        <w:tblLayout w:type="fixed"/>
        <w:tblCellMar>
          <w:top w:w="0" w:type="dxa"/>
          <w:left w:w="108" w:type="dxa"/>
          <w:bottom w:w="0" w:type="dxa"/>
          <w:right w:w="108" w:type="dxa"/>
        </w:tblCellMar>
      </w:tblPr>
      <w:tblGrid>
        <w:gridCol w:w="759"/>
        <w:gridCol w:w="1046"/>
        <w:gridCol w:w="782"/>
        <w:gridCol w:w="1039"/>
        <w:gridCol w:w="847"/>
        <w:gridCol w:w="1080"/>
        <w:gridCol w:w="1246"/>
        <w:gridCol w:w="471"/>
        <w:gridCol w:w="1113"/>
      </w:tblGrid>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序号</w:t>
            </w:r>
          </w:p>
        </w:tc>
        <w:tc>
          <w:tcPr>
            <w:tcW w:w="10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投标人</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投标报价</w:t>
            </w:r>
          </w:p>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（元）</w:t>
            </w:r>
          </w:p>
        </w:tc>
        <w:tc>
          <w:tcPr>
            <w:tcW w:w="10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b/>
                <w:color w:val="auto"/>
                <w:sz w:val="18"/>
                <w:highlight w:val="none"/>
              </w:rPr>
            </w:pPr>
            <w:r>
              <w:rPr>
                <w:rFonts w:hint="eastAsia" w:ascii="Times New Roman" w:hAnsi="Times New Roman"/>
                <w:bCs/>
                <w:color w:val="auto"/>
                <w:sz w:val="18"/>
                <w:highlight w:val="none"/>
              </w:rPr>
              <w:t>监理服务期限</w:t>
            </w:r>
          </w:p>
        </w:tc>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项目总监</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投标文件递交情况</w:t>
            </w:r>
          </w:p>
        </w:tc>
        <w:tc>
          <w:tcPr>
            <w:tcW w:w="12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投标文件解密情况</w:t>
            </w:r>
          </w:p>
        </w:tc>
        <w:tc>
          <w:tcPr>
            <w:tcW w:w="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备注</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olor w:val="auto"/>
                <w:sz w:val="18"/>
                <w:highlight w:val="none"/>
              </w:rPr>
            </w:pPr>
            <w:r>
              <w:rPr>
                <w:rFonts w:hint="eastAsia" w:ascii="Times New Roman" w:hAnsi="Times New Roman"/>
                <w:color w:val="auto"/>
                <w:sz w:val="18"/>
                <w:highlight w:val="none"/>
              </w:rPr>
              <w:t>投标人代表签名</w:t>
            </w: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7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3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Times New Roman" w:hAnsi="Times New Roman"/>
                <w:color w:val="auto"/>
                <w:highlight w:val="none"/>
              </w:rPr>
            </w:pPr>
          </w:p>
        </w:tc>
        <w:tc>
          <w:tcPr>
            <w:tcW w:w="8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4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r>
        <w:tblPrEx>
          <w:tblCellMar>
            <w:top w:w="0" w:type="dxa"/>
            <w:left w:w="108" w:type="dxa"/>
            <w:bottom w:w="0" w:type="dxa"/>
            <w:right w:w="108" w:type="dxa"/>
          </w:tblCellMar>
        </w:tblPrEx>
        <w:tc>
          <w:tcPr>
            <w:tcW w:w="18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r>
              <w:rPr>
                <w:rFonts w:hint="eastAsia" w:ascii="Times New Roman" w:hAnsi="Times New Roman"/>
                <w:color w:val="auto"/>
                <w:highlight w:val="none"/>
              </w:rPr>
              <w:t>最高投标限价：</w:t>
            </w:r>
          </w:p>
        </w:tc>
        <w:tc>
          <w:tcPr>
            <w:tcW w:w="6578"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color w:val="auto"/>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　</w:t>
      </w:r>
    </w:p>
    <w:p>
      <w:pPr>
        <w:spacing w:line="620" w:lineRule="exact"/>
        <w:rPr>
          <w:rFonts w:ascii="Times New Roman" w:hAnsi="Times New Roman"/>
          <w:color w:val="auto"/>
          <w:highlight w:val="none"/>
        </w:rPr>
      </w:pPr>
      <w:r>
        <w:rPr>
          <w:rFonts w:ascii="Times New Roman" w:hAnsi="Times New Roman"/>
          <w:color w:val="auto"/>
          <w:highlight w:val="none"/>
        </w:rPr>
        <w:t>招标人代表：</w:t>
      </w:r>
      <w:r>
        <w:rPr>
          <w:rFonts w:hint="eastAsia" w:ascii="Times New Roman" w:hAnsi="Times New Roman"/>
          <w:color w:val="auto"/>
          <w:highlight w:val="none"/>
        </w:rPr>
        <w:t xml:space="preserve">       </w:t>
      </w:r>
      <w:r>
        <w:rPr>
          <w:rFonts w:ascii="Times New Roman" w:hAnsi="Times New Roman"/>
          <w:color w:val="auto"/>
          <w:highlight w:val="none"/>
        </w:rPr>
        <w:t>记录人：</w:t>
      </w:r>
      <w:r>
        <w:rPr>
          <w:rFonts w:hint="eastAsia" w:ascii="Times New Roman" w:hAnsi="Times New Roman"/>
          <w:color w:val="auto"/>
          <w:highlight w:val="none"/>
        </w:rPr>
        <w:t xml:space="preserve">              </w:t>
      </w:r>
      <w:r>
        <w:rPr>
          <w:rFonts w:ascii="Times New Roman" w:hAnsi="Times New Roman"/>
          <w:color w:val="auto"/>
          <w:highlight w:val="none"/>
        </w:rPr>
        <w:t>监标人：</w:t>
      </w:r>
    </w:p>
    <w:p>
      <w:pPr>
        <w:wordWrap w:val="0"/>
        <w:spacing w:line="620" w:lineRule="exact"/>
        <w:jc w:val="right"/>
        <w:rPr>
          <w:rFonts w:ascii="Times New Roman" w:hAnsi="Times New Roman"/>
          <w:color w:val="auto"/>
          <w:highlight w:val="none"/>
        </w:rPr>
      </w:pPr>
      <w:r>
        <w:rPr>
          <w:rFonts w:ascii="Times New Roman" w:hAnsi="Times New Roman"/>
          <w:color w:val="auto"/>
          <w:highlight w:val="none"/>
        </w:rPr>
        <w:t xml:space="preserve">   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bookmarkStart w:id="298" w:name="_Toc530728901"/>
    </w:p>
    <w:p>
      <w:pPr>
        <w:spacing w:line="360" w:lineRule="auto"/>
        <w:jc w:val="left"/>
        <w:rPr>
          <w:b/>
          <w:bCs/>
          <w:color w:val="auto"/>
          <w:sz w:val="28"/>
          <w:szCs w:val="28"/>
          <w:highlight w:val="none"/>
        </w:rPr>
      </w:pPr>
    </w:p>
    <w:p>
      <w:pPr>
        <w:spacing w:line="360" w:lineRule="auto"/>
        <w:jc w:val="left"/>
        <w:rPr>
          <w:b/>
          <w:bCs/>
          <w:color w:val="auto"/>
          <w:sz w:val="28"/>
          <w:szCs w:val="28"/>
          <w:highlight w:val="none"/>
        </w:rPr>
      </w:pPr>
    </w:p>
    <w:p>
      <w:pPr>
        <w:spacing w:line="360" w:lineRule="auto"/>
        <w:jc w:val="left"/>
        <w:rPr>
          <w:b/>
          <w:bCs/>
          <w:color w:val="auto"/>
          <w:sz w:val="28"/>
          <w:szCs w:val="28"/>
          <w:highlight w:val="none"/>
        </w:rPr>
      </w:pPr>
      <w:r>
        <w:rPr>
          <w:b/>
          <w:bCs/>
          <w:color w:val="auto"/>
          <w:sz w:val="28"/>
          <w:szCs w:val="28"/>
          <w:highlight w:val="none"/>
        </w:rPr>
        <w:t>附件二：问题澄清通知</w:t>
      </w:r>
      <w:r>
        <w:rPr>
          <w:rFonts w:hint="eastAsia"/>
          <w:b/>
          <w:bCs/>
          <w:color w:val="auto"/>
          <w:sz w:val="28"/>
          <w:szCs w:val="28"/>
          <w:highlight w:val="none"/>
        </w:rPr>
        <w:t>（按广州公共资源交易中心版式为准）</w:t>
      </w:r>
      <w:bookmarkEnd w:id="298"/>
    </w:p>
    <w:p>
      <w:pPr>
        <w:pStyle w:val="5"/>
        <w:spacing w:before="0" w:after="0" w:line="360" w:lineRule="auto"/>
        <w:rPr>
          <w:rFonts w:eastAsia="黑体"/>
          <w:color w:val="auto"/>
          <w:sz w:val="28"/>
          <w:szCs w:val="28"/>
          <w:highlight w:val="none"/>
        </w:rPr>
      </w:pPr>
      <w:bookmarkStart w:id="299" w:name="_Toc530728902"/>
      <w:r>
        <w:rPr>
          <w:rFonts w:hint="eastAsia"/>
          <w:color w:val="auto"/>
          <w:sz w:val="28"/>
          <w:szCs w:val="28"/>
          <w:highlight w:val="none"/>
        </w:rPr>
        <w:t>附</w:t>
      </w:r>
      <w:r>
        <w:rPr>
          <w:color w:val="auto"/>
          <w:sz w:val="28"/>
          <w:szCs w:val="28"/>
          <w:highlight w:val="none"/>
        </w:rPr>
        <w:t>件三：问题的澄清</w:t>
      </w:r>
      <w:r>
        <w:rPr>
          <w:rFonts w:hint="eastAsia"/>
          <w:color w:val="auto"/>
          <w:sz w:val="28"/>
          <w:szCs w:val="28"/>
          <w:highlight w:val="none"/>
        </w:rPr>
        <w:t>（按广州公共资源交易中心版式为准）</w:t>
      </w:r>
      <w:bookmarkEnd w:id="299"/>
    </w:p>
    <w:p>
      <w:pPr>
        <w:pStyle w:val="5"/>
        <w:spacing w:before="0" w:after="0" w:line="360" w:lineRule="auto"/>
        <w:rPr>
          <w:color w:val="auto"/>
          <w:sz w:val="28"/>
          <w:szCs w:val="28"/>
          <w:highlight w:val="none"/>
        </w:rPr>
      </w:pPr>
      <w:bookmarkStart w:id="300" w:name="_Toc530728903"/>
      <w:r>
        <w:rPr>
          <w:rFonts w:hint="eastAsia"/>
          <w:color w:val="auto"/>
          <w:sz w:val="28"/>
          <w:szCs w:val="28"/>
          <w:highlight w:val="none"/>
        </w:rPr>
        <w:t>附件四：中标通知书（按广州公共资源交易中心中标通知书格式）</w:t>
      </w:r>
      <w:bookmarkEnd w:id="300"/>
    </w:p>
    <w:p>
      <w:pPr>
        <w:spacing w:line="440" w:lineRule="exact"/>
        <w:rPr>
          <w:rFonts w:ascii="Times New Roman" w:hAnsi="Times New Roman" w:eastAsia="黑体"/>
          <w:b/>
          <w:bCs/>
          <w:color w:val="auto"/>
          <w:sz w:val="28"/>
          <w:szCs w:val="28"/>
          <w:highlight w:val="none"/>
        </w:rPr>
      </w:pPr>
    </w:p>
    <w:p>
      <w:pPr>
        <w:spacing w:line="440" w:lineRule="exact"/>
        <w:rPr>
          <w:rFonts w:ascii="Times New Roman" w:hAnsi="Times New Roman" w:eastAsia="黑体"/>
          <w:b/>
          <w:bCs/>
          <w:color w:val="auto"/>
          <w:sz w:val="28"/>
          <w:szCs w:val="28"/>
          <w:highlight w:val="none"/>
        </w:rPr>
      </w:pPr>
    </w:p>
    <w:p>
      <w:pPr>
        <w:spacing w:line="502" w:lineRule="exact"/>
        <w:jc w:val="center"/>
        <w:outlineLvl w:val="0"/>
        <w:rPr>
          <w:rFonts w:ascii="Times New Roman" w:hAnsi="Times New Roman"/>
          <w:b/>
          <w:color w:val="auto"/>
          <w:sz w:val="44"/>
          <w:highlight w:val="none"/>
        </w:rPr>
      </w:pPr>
      <w:r>
        <w:rPr>
          <w:rFonts w:ascii="Times New Roman" w:hAnsi="Times New Roman" w:eastAsia="黑体"/>
          <w:b/>
          <w:color w:val="auto"/>
          <w:sz w:val="32"/>
          <w:highlight w:val="none"/>
        </w:rPr>
        <w:br w:type="page"/>
      </w:r>
      <w:bookmarkStart w:id="301" w:name="_Toc4360"/>
      <w:bookmarkStart w:id="302" w:name="_Toc530728906"/>
      <w:r>
        <w:rPr>
          <w:rFonts w:ascii="Times New Roman" w:hAnsi="Times New Roman"/>
          <w:b/>
          <w:color w:val="auto"/>
          <w:sz w:val="44"/>
          <w:highlight w:val="none"/>
        </w:rPr>
        <w:t>第三章</w:t>
      </w:r>
      <w:r>
        <w:rPr>
          <w:rFonts w:hint="eastAsia" w:ascii="Times New Roman" w:hAnsi="Times New Roman"/>
          <w:b/>
          <w:color w:val="auto"/>
          <w:sz w:val="44"/>
          <w:highlight w:val="none"/>
        </w:rPr>
        <w:t xml:space="preserve"> </w:t>
      </w:r>
      <w:r>
        <w:rPr>
          <w:rFonts w:ascii="Times New Roman" w:hAnsi="Times New Roman"/>
          <w:b/>
          <w:color w:val="auto"/>
          <w:sz w:val="44"/>
          <w:highlight w:val="none"/>
        </w:rPr>
        <w:t>评标办法（综合评估法）</w:t>
      </w:r>
      <w:bookmarkEnd w:id="301"/>
      <w:bookmarkEnd w:id="302"/>
    </w:p>
    <w:p>
      <w:pPr>
        <w:spacing w:before="120" w:beforeLines="50" w:after="120" w:afterLines="50" w:line="366" w:lineRule="exact"/>
        <w:ind w:left="357"/>
        <w:jc w:val="center"/>
        <w:rPr>
          <w:rFonts w:ascii="Times New Roman" w:hAnsi="Times New Roman" w:eastAsia="黑体"/>
          <w:b/>
          <w:color w:val="auto"/>
          <w:sz w:val="32"/>
          <w:highlight w:val="none"/>
        </w:rPr>
      </w:pPr>
      <w:r>
        <w:rPr>
          <w:rFonts w:ascii="Times New Roman" w:hAnsi="Times New Roman" w:eastAsia="黑体"/>
          <w:b/>
          <w:color w:val="auto"/>
          <w:sz w:val="32"/>
          <w:highlight w:val="none"/>
        </w:rPr>
        <w:t>评标办法前附表</w:t>
      </w:r>
    </w:p>
    <w:tbl>
      <w:tblPr>
        <w:tblStyle w:val="40"/>
        <w:tblW w:w="10227"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38"/>
        <w:gridCol w:w="1721"/>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评审因素</w:t>
            </w:r>
          </w:p>
        </w:tc>
        <w:tc>
          <w:tcPr>
            <w:tcW w:w="6756"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12"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938"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评标方法</w:t>
            </w: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中标候选人排序方法</w:t>
            </w:r>
          </w:p>
        </w:tc>
        <w:tc>
          <w:tcPr>
            <w:tcW w:w="6756" w:type="dxa"/>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u w:val="single"/>
              </w:rPr>
            </w:pPr>
            <w:r>
              <w:rPr>
                <w:rFonts w:hint="eastAsia" w:ascii="宋体" w:hAnsi="宋体" w:cs="宋体"/>
                <w:sz w:val="24"/>
                <w:szCs w:val="24"/>
                <w:u w:val="single"/>
              </w:rPr>
              <w:t>本次评标采用综合评估法。评标委员会对满足招标文件实质性要求的投标文件，按照本章规定的评分标准进行打分，并按得分由高到低排序，综合评分相等的，以投标报价低的优先；投标报价也相等的，以监理服务大纲得分高的优先。如以上都存在相同，则由评委采用记名投票方式，确定相等得分的中标候选人的排序。本项目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restart"/>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938" w:type="dxa"/>
            <w:vMerge w:val="restart"/>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形式评审标准</w:t>
            </w: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投标函及投标函附录签字盖章</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rPr>
              <w:t>有法定代表人或被授权人签字（或盖章）并加盖单位章。由法定代表人签字的，应附法定代表人身份证明；由被授权人签字的，应附法定代表人身份证明及授权委托书；</w:t>
            </w:r>
            <w:r>
              <w:rPr>
                <w:rFonts w:hint="eastAsia" w:ascii="宋体" w:hAnsi="宋体" w:cs="宋体"/>
                <w:b/>
                <w:bCs/>
                <w:sz w:val="24"/>
                <w:szCs w:val="24"/>
                <w:u w:val="single"/>
              </w:rPr>
              <w:t>符合第六章“投标文件格式”的规定。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投标文件格式</w:t>
            </w:r>
          </w:p>
        </w:tc>
        <w:tc>
          <w:tcPr>
            <w:tcW w:w="6756" w:type="dxa"/>
            <w:vAlign w:val="center"/>
          </w:tcPr>
          <w:p>
            <w:pPr>
              <w:spacing w:line="360" w:lineRule="auto"/>
              <w:rPr>
                <w:rFonts w:ascii="宋体" w:hAnsi="宋体" w:cs="宋体"/>
                <w:color w:val="auto"/>
                <w:kern w:val="0"/>
                <w:sz w:val="24"/>
                <w:szCs w:val="24"/>
                <w:highlight w:val="none"/>
                <w:u w:val="single"/>
              </w:rPr>
            </w:pPr>
            <w:r>
              <w:rPr>
                <w:rFonts w:hint="eastAsia" w:ascii="宋体" w:hAnsi="宋体" w:cs="宋体"/>
                <w:kern w:val="0"/>
                <w:sz w:val="24"/>
                <w:szCs w:val="24"/>
                <w:u w:val="single"/>
              </w:rPr>
              <w:t>符合第六章“投标文件格式”中带“</w:t>
            </w:r>
            <w:r>
              <w:rPr>
                <w:rFonts w:hint="eastAsia" w:ascii="等线" w:hAnsi="等线" w:eastAsia="等线" w:cs="等线"/>
                <w:spacing w:val="18"/>
                <w:sz w:val="36"/>
                <w:szCs w:val="36"/>
                <w:u w:val="single"/>
              </w:rPr>
              <w:t>★</w:t>
            </w:r>
            <w:r>
              <w:rPr>
                <w:rFonts w:ascii="宋体" w:hAnsi="宋体" w:cs="宋体"/>
                <w:kern w:val="0"/>
                <w:sz w:val="24"/>
                <w:szCs w:val="24"/>
                <w:u w:val="single"/>
              </w:rPr>
              <w:t>”</w:t>
            </w:r>
            <w:r>
              <w:rPr>
                <w:rFonts w:hint="eastAsia" w:ascii="宋体" w:hAnsi="宋体" w:cs="宋体"/>
                <w:kern w:val="0"/>
                <w:sz w:val="24"/>
                <w:szCs w:val="24"/>
                <w:u w:val="single"/>
              </w:rPr>
              <w:t>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kern w:val="0"/>
                <w:sz w:val="24"/>
                <w:szCs w:val="24"/>
                <w:highlight w:val="none"/>
              </w:rPr>
            </w:pPr>
            <w:r>
              <w:rPr>
                <w:rFonts w:hint="eastAsia" w:ascii="宋体" w:hAnsi="宋体" w:cs="宋体"/>
                <w:color w:val="auto"/>
                <w:spacing w:val="-7"/>
                <w:sz w:val="24"/>
                <w:szCs w:val="24"/>
                <w:highlight w:val="none"/>
              </w:rPr>
              <w:t>备选投标方案</w:t>
            </w:r>
          </w:p>
        </w:tc>
        <w:tc>
          <w:tcPr>
            <w:tcW w:w="6756" w:type="dxa"/>
            <w:vAlign w:val="center"/>
          </w:tcPr>
          <w:p>
            <w:pPr>
              <w:widowControl/>
              <w:spacing w:line="360" w:lineRule="auto"/>
              <w:jc w:val="left"/>
              <w:rPr>
                <w:rFonts w:ascii="宋体" w:hAnsi="宋体" w:cs="宋体"/>
                <w:color w:val="auto"/>
                <w:kern w:val="0"/>
                <w:sz w:val="24"/>
                <w:szCs w:val="24"/>
                <w:highlight w:val="none"/>
              </w:rPr>
            </w:pPr>
            <w:r>
              <w:rPr>
                <w:rFonts w:hint="eastAsia" w:ascii="宋体" w:hAnsi="宋体" w:cs="宋体"/>
                <w:kern w:val="0"/>
                <w:sz w:val="24"/>
                <w:szCs w:val="24"/>
                <w:u w:val="single"/>
              </w:rPr>
              <w:t>不接受备选投标方案</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投标人机器码</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rPr>
              <w:t>投标人与本项目其他投标人加密打包投标文件电脑机器特征码一致的(以广州公共资源交易中心评标系统的检索信息为准)将被否决。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restart"/>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938" w:type="dxa"/>
            <w:vMerge w:val="restart"/>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资格评审标准</w:t>
            </w: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营业执照和组织机构代码证</w:t>
            </w:r>
          </w:p>
        </w:tc>
        <w:tc>
          <w:tcPr>
            <w:tcW w:w="6756" w:type="dxa"/>
            <w:vAlign w:val="center"/>
          </w:tcPr>
          <w:p>
            <w:pPr>
              <w:keepNext w:val="0"/>
              <w:keepLines w:val="0"/>
              <w:pageBreakBefore w:val="0"/>
              <w:widowControl/>
              <w:kinsoku/>
              <w:wordWrap/>
              <w:overflowPunct/>
              <w:topLinePunct w:val="0"/>
              <w:bidi w:val="0"/>
              <w:snapToGrid w:val="0"/>
              <w:spacing w:beforeAutospacing="0" w:afterAutospacing="0" w:line="360" w:lineRule="auto"/>
              <w:ind w:right="71" w:rightChars="34"/>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符合第二章“投标人须知”第3.5.1项规定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资质要求</w:t>
            </w:r>
          </w:p>
        </w:tc>
        <w:tc>
          <w:tcPr>
            <w:tcW w:w="6756" w:type="dxa"/>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总监理工程师</w:t>
            </w:r>
          </w:p>
        </w:tc>
        <w:tc>
          <w:tcPr>
            <w:tcW w:w="6756" w:type="dxa"/>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其他要求</w:t>
            </w:r>
          </w:p>
        </w:tc>
        <w:tc>
          <w:tcPr>
            <w:tcW w:w="6756" w:type="dxa"/>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联合体投标人</w:t>
            </w:r>
          </w:p>
        </w:tc>
        <w:tc>
          <w:tcPr>
            <w:tcW w:w="6756" w:type="dxa"/>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不存在禁止投标的情形</w:t>
            </w:r>
          </w:p>
        </w:tc>
        <w:tc>
          <w:tcPr>
            <w:tcW w:w="6756" w:type="dxa"/>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不存在第二章“投标人须知”第 1.4.3 项规定的任何一种情形</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trPr>
        <w:tc>
          <w:tcPr>
            <w:tcW w:w="812" w:type="dxa"/>
            <w:vMerge w:val="restart"/>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938" w:type="dxa"/>
            <w:vMerge w:val="restart"/>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响应性评审标准</w:t>
            </w: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投标文件</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rPr>
              <w:t>投标文件所列投标人名称、项目（总监）负责人与投标登记时一致；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highlight w:val="none"/>
              </w:rPr>
              <w:t>符合第二章“投标人须知”第 3.2 款规定进行投标报价的；对同一招标项目没有出现两个或以上的投标报价；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6756" w:type="dxa"/>
            <w:vAlign w:val="center"/>
          </w:tcPr>
          <w:p>
            <w:pPr>
              <w:spacing w:line="360" w:lineRule="auto"/>
              <w:rPr>
                <w:rFonts w:ascii="宋体" w:hAnsi="宋体" w:cs="宋体"/>
                <w:color w:val="auto"/>
                <w:sz w:val="24"/>
                <w:szCs w:val="24"/>
                <w:highlight w:val="none"/>
              </w:rPr>
            </w:pPr>
            <w:r>
              <w:rPr>
                <w:rFonts w:hint="eastAsia" w:ascii="宋体" w:hAnsi="宋体" w:cs="宋体"/>
                <w:sz w:val="24"/>
                <w:szCs w:val="24"/>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1721" w:type="dxa"/>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756" w:type="dxa"/>
            <w:vAlign w:val="top"/>
          </w:tcPr>
          <w:p>
            <w:pPr>
              <w:spacing w:line="360" w:lineRule="auto"/>
              <w:rPr>
                <w:rFonts w:ascii="宋体" w:hAnsi="宋体" w:cs="宋体"/>
                <w:color w:val="auto"/>
                <w:sz w:val="24"/>
                <w:szCs w:val="24"/>
                <w:highlight w:val="none"/>
              </w:rPr>
            </w:pPr>
            <w:r>
              <w:rPr>
                <w:rFonts w:hint="eastAsia" w:ascii="宋体" w:hAnsi="宋体" w:cs="宋体"/>
                <w:sz w:val="24"/>
                <w:szCs w:val="24"/>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812"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938" w:type="dxa"/>
            <w:vMerge w:val="continue"/>
            <w:vAlign w:val="center"/>
          </w:tcPr>
          <w:p>
            <w:pPr>
              <w:keepNext w:val="0"/>
              <w:keepLines w:val="0"/>
              <w:pageBreakBefore w:val="0"/>
              <w:kinsoku/>
              <w:wordWrap/>
              <w:overflowPunct/>
              <w:topLinePunct w:val="0"/>
              <w:bidi w:val="0"/>
              <w:snapToGrid w:val="0"/>
              <w:spacing w:beforeAutospacing="0" w:afterAutospacing="0" w:line="360" w:lineRule="auto"/>
              <w:textAlignment w:val="auto"/>
              <w:rPr>
                <w:rFonts w:ascii="宋体" w:hAnsi="宋体" w:cs="宋体"/>
                <w:color w:val="auto"/>
                <w:sz w:val="24"/>
                <w:szCs w:val="24"/>
                <w:highlight w:val="none"/>
              </w:rPr>
            </w:pPr>
          </w:p>
        </w:tc>
        <w:tc>
          <w:tcPr>
            <w:tcW w:w="1721" w:type="dxa"/>
            <w:vAlign w:val="center"/>
          </w:tcPr>
          <w:p>
            <w:pPr>
              <w:keepNext w:val="0"/>
              <w:keepLines w:val="0"/>
              <w:pageBreakBefore w:val="0"/>
              <w:widowControl/>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串通投标情形</w:t>
            </w:r>
          </w:p>
        </w:tc>
        <w:tc>
          <w:tcPr>
            <w:tcW w:w="6756" w:type="dxa"/>
            <w:vAlign w:val="top"/>
          </w:tcPr>
          <w:p>
            <w:pPr>
              <w:widowControl/>
              <w:spacing w:line="360" w:lineRule="auto"/>
              <w:jc w:val="left"/>
              <w:rPr>
                <w:rFonts w:ascii="宋体" w:hAnsi="宋体" w:cs="宋体"/>
                <w:color w:val="auto"/>
                <w:sz w:val="24"/>
                <w:szCs w:val="24"/>
                <w:highlight w:val="none"/>
              </w:rPr>
            </w:pPr>
            <w:r>
              <w:rPr>
                <w:rFonts w:hint="eastAsia" w:ascii="宋体" w:hAnsi="宋体" w:cs="宋体"/>
                <w:kern w:val="0"/>
                <w:sz w:val="24"/>
                <w:szCs w:val="24"/>
              </w:rPr>
              <w:t>不存在串通投标情形（串通投标情形以《中华人民共和国招标投标法实施条例》的规定为准）。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条款内容</w:t>
            </w:r>
          </w:p>
        </w:tc>
        <w:tc>
          <w:tcPr>
            <w:tcW w:w="6756"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0" w:type="dxa"/>
            <w:gridSpan w:val="2"/>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分值构成</w:t>
            </w:r>
          </w:p>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(总分100分)</w:t>
            </w:r>
          </w:p>
        </w:tc>
        <w:tc>
          <w:tcPr>
            <w:tcW w:w="6756" w:type="dxa"/>
            <w:vAlign w:val="center"/>
          </w:tcPr>
          <w:p>
            <w:pPr>
              <w:spacing w:line="360" w:lineRule="auto"/>
              <w:rPr>
                <w:rFonts w:ascii="宋体" w:hAnsi="宋体" w:cs="宋体"/>
                <w:sz w:val="24"/>
                <w:szCs w:val="24"/>
              </w:rPr>
            </w:pPr>
            <w:r>
              <w:rPr>
                <w:rFonts w:hint="eastAsia" w:ascii="宋体" w:hAnsi="宋体" w:cs="宋体"/>
                <w:sz w:val="24"/>
                <w:szCs w:val="24"/>
              </w:rPr>
              <w:t>资信业绩部分：40分</w:t>
            </w:r>
          </w:p>
          <w:p>
            <w:pPr>
              <w:spacing w:line="360" w:lineRule="auto"/>
              <w:rPr>
                <w:rFonts w:ascii="宋体" w:hAnsi="宋体" w:cs="宋体"/>
                <w:sz w:val="24"/>
                <w:szCs w:val="24"/>
              </w:rPr>
            </w:pPr>
            <w:r>
              <w:rPr>
                <w:rFonts w:hint="eastAsia" w:ascii="宋体" w:hAnsi="宋体" w:cs="宋体"/>
                <w:sz w:val="24"/>
                <w:szCs w:val="24"/>
              </w:rPr>
              <w:t>监理大纲部分：30分</w:t>
            </w:r>
          </w:p>
          <w:p>
            <w:pPr>
              <w:spacing w:line="360" w:lineRule="auto"/>
              <w:rPr>
                <w:rFonts w:ascii="宋体" w:hAnsi="宋体" w:cs="宋体"/>
                <w:sz w:val="24"/>
                <w:szCs w:val="24"/>
              </w:rPr>
            </w:pPr>
            <w:r>
              <w:rPr>
                <w:rFonts w:hint="eastAsia" w:ascii="宋体" w:hAnsi="宋体" w:cs="宋体"/>
                <w:sz w:val="24"/>
                <w:szCs w:val="24"/>
              </w:rPr>
              <w:t>投标报价：10分</w:t>
            </w:r>
          </w:p>
          <w:p>
            <w:pPr>
              <w:pStyle w:val="3"/>
              <w:spacing w:before="0" w:after="0" w:line="360" w:lineRule="auto"/>
              <w:rPr>
                <w:rFonts w:ascii="宋体" w:hAnsi="宋体" w:cs="宋体"/>
                <w:b w:val="0"/>
                <w:bCs w:val="0"/>
                <w:sz w:val="24"/>
                <w:szCs w:val="24"/>
              </w:rPr>
            </w:pPr>
            <w:r>
              <w:rPr>
                <w:rFonts w:hint="eastAsia" w:ascii="宋体" w:hAnsi="宋体" w:cs="宋体"/>
                <w:b w:val="0"/>
                <w:bCs w:val="0"/>
                <w:sz w:val="24"/>
                <w:szCs w:val="24"/>
              </w:rPr>
              <w:t>其他评分因素：诚信综合评价：20分</w:t>
            </w:r>
            <w:bookmarkStart w:id="303" w:name="_Toc134715439"/>
          </w:p>
          <w:p>
            <w:pPr>
              <w:pStyle w:val="4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jc w:val="left"/>
              <w:textAlignment w:val="auto"/>
              <w:rPr>
                <w:rFonts w:hint="eastAsia" w:ascii="宋体" w:hAnsi="宋体" w:eastAsia="宋体" w:cs="宋体"/>
                <w:color w:val="auto"/>
                <w:sz w:val="24"/>
                <w:highlight w:val="none"/>
                <w:lang w:val="en-US" w:eastAsia="zh-CN"/>
              </w:rPr>
            </w:pPr>
            <w:r>
              <w:rPr>
                <w:rStyle w:val="194"/>
                <w:rFonts w:hint="eastAsia" w:ascii="宋体" w:hAnsi="宋体" w:cs="宋体"/>
                <w:b w:val="0"/>
                <w:bCs w:val="0"/>
                <w:sz w:val="24"/>
                <w:szCs w:val="24"/>
              </w:rPr>
              <w:t>综合得分＝</w:t>
            </w:r>
            <w:r>
              <w:rPr>
                <w:rStyle w:val="194"/>
                <w:rFonts w:hint="eastAsia" w:ascii="宋体" w:hAnsi="宋体" w:cs="宋体"/>
                <w:b w:val="0"/>
                <w:bCs w:val="0"/>
                <w:sz w:val="24"/>
                <w:szCs w:val="24"/>
                <w:u w:val="single"/>
              </w:rPr>
              <w:t>资信业绩部分得分+监理大纲部分得分+投标报价得分</w:t>
            </w:r>
            <w:bookmarkEnd w:id="303"/>
            <w:r>
              <w:rPr>
                <w:rStyle w:val="194"/>
                <w:rFonts w:hint="eastAsia" w:ascii="宋体" w:hAnsi="宋体" w:cs="宋体"/>
                <w:b w:val="0"/>
                <w:bCs w:val="0"/>
                <w:sz w:val="24"/>
                <w:szCs w:val="24"/>
                <w:u w:val="single"/>
              </w:rPr>
              <w:t>+诚信综合评价得分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gridSpan w:val="2"/>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1721" w:type="dxa"/>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评标基准价计算方法</w:t>
            </w:r>
          </w:p>
        </w:tc>
        <w:tc>
          <w:tcPr>
            <w:tcW w:w="6756" w:type="dxa"/>
            <w:vAlign w:val="center"/>
          </w:tcPr>
          <w:p>
            <w:pPr>
              <w:pStyle w:val="4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kern w:val="0"/>
                <w:sz w:val="24"/>
                <w:szCs w:val="24"/>
              </w:rPr>
              <w:t>当通过初步评审且位于</w:t>
            </w:r>
            <w:r>
              <w:rPr>
                <w:rFonts w:ascii="宋体" w:hAnsi="宋体" w:cs="宋体"/>
                <w:kern w:val="0"/>
                <w:sz w:val="24"/>
                <w:szCs w:val="24"/>
              </w:rPr>
              <w:t>[最高投标限价×90%，最高投标限价]区间的投标价中的有效投标人大于或等于5名时，所有入围的有效投标价中去掉一个</w:t>
            </w:r>
            <w:r>
              <w:rPr>
                <w:rFonts w:hint="eastAsia" w:ascii="宋体" w:hAnsi="宋体" w:cs="宋体"/>
                <w:kern w:val="0"/>
                <w:sz w:val="24"/>
                <w:szCs w:val="24"/>
              </w:rPr>
              <w:t>最高价和一个最低价，取余下有效投标价的算术平均值的作为评标参考价。当通过初步评审且位于</w:t>
            </w:r>
            <w:r>
              <w:rPr>
                <w:rFonts w:ascii="宋体" w:hAnsi="宋体" w:cs="宋体"/>
                <w:kern w:val="0"/>
                <w:sz w:val="24"/>
                <w:szCs w:val="24"/>
              </w:rPr>
              <w:t>[最高投标限价×90%，最高投标限价]区间的投标价中的有效投标人小于5名时，取所有入围的有效投标价的算术平均值的作为评标参考价。若当通过初步评审且没有投标价位于[最高投标限价×90%，最高投标限价]区间的有效投标人，所有投标人的报价得分为0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50" w:type="dxa"/>
            <w:gridSpan w:val="2"/>
            <w:vAlign w:val="center"/>
          </w:tcPr>
          <w:p>
            <w:pPr>
              <w:keepNext w:val="0"/>
              <w:keepLines w:val="0"/>
              <w:pageBreakBefore w:val="0"/>
              <w:kinsoku/>
              <w:wordWrap/>
              <w:overflowPunct/>
              <w:topLinePunct w:val="0"/>
              <w:bidi w:val="0"/>
              <w:snapToGrid w:val="0"/>
              <w:spacing w:beforeAutospacing="0" w:afterAutospacing="0" w:line="360" w:lineRule="auto"/>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1721" w:type="dxa"/>
            <w:vAlign w:val="center"/>
          </w:tcPr>
          <w:p>
            <w:pPr>
              <w:pStyle w:val="4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投标报价的偏差率</w:t>
            </w:r>
          </w:p>
          <w:p>
            <w:pPr>
              <w:pStyle w:val="4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计算公式</w:t>
            </w:r>
          </w:p>
        </w:tc>
        <w:tc>
          <w:tcPr>
            <w:tcW w:w="6756" w:type="dxa"/>
            <w:vAlign w:val="center"/>
          </w:tcPr>
          <w:p>
            <w:pPr>
              <w:pStyle w:val="47"/>
              <w:keepNext w:val="0"/>
              <w:keepLines w:val="0"/>
              <w:pageBreakBefore w:val="0"/>
              <w:widowControl w:val="0"/>
              <w:kinsoku/>
              <w:wordWrap/>
              <w:overflowPunct/>
              <w:topLinePunct w:val="0"/>
              <w:autoSpaceDE/>
              <w:autoSpaceDN/>
              <w:bidi w:val="0"/>
              <w:adjustRightInd/>
              <w:snapToGrid w:val="0"/>
              <w:spacing w:beforeAutospacing="0" w:after="0" w:afterAutospacing="0" w:line="360" w:lineRule="auto"/>
              <w:ind w:left="0" w:leftChars="0" w:firstLine="0" w:firstLineChars="0"/>
              <w:jc w:val="left"/>
              <w:textAlignment w:val="auto"/>
              <w:rPr>
                <w:rFonts w:hint="eastAsia" w:ascii="宋体" w:hAnsi="宋体" w:eastAsia="宋体" w:cs="宋体"/>
                <w:color w:val="auto"/>
                <w:sz w:val="24"/>
                <w:highlight w:val="none"/>
                <w:lang w:val="en-US" w:eastAsia="zh-CN"/>
              </w:rPr>
            </w:pPr>
            <w:r>
              <w:rPr>
                <w:rFonts w:hint="eastAsia" w:ascii="宋体" w:hAnsi="宋体" w:cs="宋体"/>
                <w:sz w:val="24"/>
                <w:szCs w:val="24"/>
              </w:rPr>
              <w:t>偏差率=100% ×|（投标人有效投标报价-评标基准价）|/评标基准价（偏差率以四舍五入保留1位小数点，报价偏差率不足1%的，按直线内插法计算投标报价得分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50" w:type="dxa"/>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2.2.4（1）</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资信业绩部分</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分</w:t>
            </w:r>
          </w:p>
        </w:tc>
        <w:tc>
          <w:tcPr>
            <w:tcW w:w="1721" w:type="dxa"/>
            <w:vAlign w:val="center"/>
          </w:tcPr>
          <w:p>
            <w:pPr>
              <w:spacing w:line="360" w:lineRule="auto"/>
              <w:jc w:val="center"/>
              <w:rPr>
                <w:rFonts w:ascii="宋体" w:hAnsi="宋体" w:cs="宋体"/>
                <w:sz w:val="24"/>
                <w:szCs w:val="24"/>
              </w:rPr>
            </w:pPr>
            <w:r>
              <w:rPr>
                <w:rFonts w:hint="eastAsia" w:ascii="宋体" w:hAnsi="宋体" w:cs="宋体"/>
                <w:sz w:val="24"/>
                <w:szCs w:val="24"/>
              </w:rPr>
              <w:t>监理业绩</w:t>
            </w:r>
          </w:p>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sz w:val="24"/>
                <w:szCs w:val="24"/>
              </w:rPr>
              <w:t>（8分）</w:t>
            </w:r>
          </w:p>
        </w:tc>
        <w:tc>
          <w:tcPr>
            <w:tcW w:w="6756" w:type="dxa"/>
            <w:vAlign w:val="center"/>
          </w:tcPr>
          <w:p>
            <w:pPr>
              <w:spacing w:line="360" w:lineRule="auto"/>
              <w:rPr>
                <w:rFonts w:ascii="宋体" w:hAnsi="宋体" w:cs="宋体"/>
                <w:kern w:val="0"/>
                <w:sz w:val="24"/>
                <w:szCs w:val="24"/>
              </w:rPr>
            </w:pPr>
            <w:r>
              <w:rPr>
                <w:rFonts w:hint="eastAsia" w:ascii="宋体" w:hAnsi="宋体" w:cs="宋体"/>
                <w:kern w:val="0"/>
                <w:sz w:val="24"/>
                <w:szCs w:val="24"/>
              </w:rPr>
              <w:t>投标人2020年1月1日至今完成过质量合格的房屋建筑工程监理业绩一项得2分，最多得8分。</w:t>
            </w:r>
          </w:p>
          <w:p>
            <w:pPr>
              <w:spacing w:line="360" w:lineRule="auto"/>
              <w:rPr>
                <w:rFonts w:ascii="宋体" w:hAnsi="宋体" w:cs="宋体"/>
                <w:color w:val="auto"/>
                <w:kern w:val="0"/>
                <w:sz w:val="24"/>
                <w:szCs w:val="24"/>
                <w:highlight w:val="none"/>
                <w:lang w:val="zh-CN" w:bidi="zh-CN"/>
              </w:rPr>
            </w:pPr>
            <w:r>
              <w:rPr>
                <w:rFonts w:hint="eastAsia" w:ascii="宋体" w:hAnsi="宋体" w:cs="宋体"/>
                <w:kern w:val="0"/>
                <w:sz w:val="24"/>
                <w:szCs w:val="24"/>
              </w:rPr>
              <w:t>注：需同时提供中标通知书（或免招标的相关证明）、监理关键页合同、竣工验收报告或竣工验收资料</w:t>
            </w:r>
            <w:r>
              <w:rPr>
                <w:rFonts w:hint="eastAsia" w:ascii="宋体" w:hAnsi="宋体"/>
                <w:szCs w:val="21"/>
                <w:lang w:val="zh-CN"/>
              </w:rPr>
              <w:t>（</w:t>
            </w:r>
            <w:r>
              <w:rPr>
                <w:rFonts w:hint="eastAsia" w:ascii="宋体" w:hAnsi="宋体" w:cs="宋体"/>
                <w:kern w:val="0"/>
                <w:sz w:val="24"/>
                <w:szCs w:val="24"/>
                <w:lang w:val="zh-CN"/>
              </w:rPr>
              <w:t>至少具有建设单位、设计、施工和监理单位盖章）</w:t>
            </w:r>
            <w:r>
              <w:rPr>
                <w:rFonts w:hint="eastAsia" w:ascii="宋体" w:hAnsi="宋体" w:cs="宋体"/>
                <w:kern w:val="0"/>
                <w:sz w:val="24"/>
                <w:szCs w:val="24"/>
              </w:rPr>
              <w:t>等证明资料</w:t>
            </w:r>
            <w:r>
              <w:rPr>
                <w:rFonts w:hint="eastAsia" w:ascii="宋体" w:hAnsi="宋体" w:cs="宋体"/>
                <w:kern w:val="0"/>
                <w:sz w:val="24"/>
                <w:szCs w:val="24"/>
                <w:lang w:val="en-US" w:eastAsia="zh-CN"/>
              </w:rPr>
              <w:t>扫描件</w:t>
            </w:r>
            <w:r>
              <w:rPr>
                <w:rFonts w:hint="eastAsia" w:ascii="宋体" w:hAnsi="宋体" w:cs="宋体"/>
                <w:kern w:val="0"/>
                <w:sz w:val="24"/>
                <w:szCs w:val="24"/>
              </w:rPr>
              <w:t>，时间以竣工验收报告或验收证明为准。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50"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p>
        </w:tc>
        <w:tc>
          <w:tcPr>
            <w:tcW w:w="1721" w:type="dxa"/>
            <w:vAlign w:val="center"/>
          </w:tcPr>
          <w:p>
            <w:pPr>
              <w:spacing w:line="360" w:lineRule="auto"/>
              <w:jc w:val="center"/>
              <w:rPr>
                <w:rFonts w:ascii="宋体" w:hAnsi="宋体" w:cs="宋体"/>
                <w:sz w:val="24"/>
                <w:szCs w:val="24"/>
              </w:rPr>
            </w:pPr>
            <w:r>
              <w:rPr>
                <w:rFonts w:hint="eastAsia" w:ascii="宋体" w:hAnsi="宋体" w:cs="宋体"/>
                <w:sz w:val="24"/>
                <w:szCs w:val="24"/>
              </w:rPr>
              <w:t>获奖业绩</w:t>
            </w:r>
          </w:p>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sz w:val="24"/>
                <w:szCs w:val="24"/>
              </w:rPr>
              <w:t>（6分）</w:t>
            </w:r>
          </w:p>
        </w:tc>
        <w:tc>
          <w:tcPr>
            <w:tcW w:w="6756" w:type="dxa"/>
            <w:vAlign w:val="center"/>
          </w:tcPr>
          <w:p>
            <w:pPr>
              <w:adjustRightInd w:val="0"/>
              <w:snapToGrid w:val="0"/>
              <w:spacing w:line="360" w:lineRule="auto"/>
              <w:rPr>
                <w:rFonts w:ascii="宋体" w:hAnsi="宋体" w:cs="宋体"/>
                <w:kern w:val="0"/>
                <w:sz w:val="24"/>
                <w:szCs w:val="24"/>
                <w:highlight w:val="none"/>
                <w:lang w:val="zh-CN" w:bidi="zh-CN"/>
              </w:rPr>
            </w:pPr>
            <w:r>
              <w:rPr>
                <w:rFonts w:hint="eastAsia" w:ascii="宋体" w:hAnsi="宋体" w:cs="宋体"/>
                <w:kern w:val="0"/>
                <w:sz w:val="24"/>
                <w:szCs w:val="24"/>
                <w:lang w:val="zh-CN" w:bidi="zh-CN"/>
              </w:rPr>
              <w:t>投标人2020</w:t>
            </w:r>
            <w:r>
              <w:rPr>
                <w:rFonts w:hint="eastAsia" w:ascii="宋体" w:hAnsi="宋体" w:cs="宋体"/>
                <w:kern w:val="0"/>
                <w:sz w:val="24"/>
                <w:szCs w:val="24"/>
                <w:highlight w:val="none"/>
                <w:lang w:val="zh-CN" w:bidi="zh-CN"/>
              </w:rPr>
              <w:t>年1月1日至今监理的房屋建筑工程获得国家级奖项的一项得3分；获得省级奖项的一项得2分；获得市级奖项的一项得1分；本项最多得6分。</w:t>
            </w:r>
          </w:p>
          <w:p>
            <w:pPr>
              <w:pStyle w:val="31"/>
              <w:adjustRightInd w:val="0"/>
              <w:snapToGrid w:val="0"/>
              <w:spacing w:line="360" w:lineRule="auto"/>
              <w:ind w:left="0" w:leftChars="0"/>
              <w:rPr>
                <w:rFonts w:hint="default"/>
                <w:color w:val="auto"/>
                <w:highlight w:val="none"/>
                <w:lang w:val="en-US"/>
              </w:rPr>
            </w:pPr>
            <w:r>
              <w:rPr>
                <w:rFonts w:hint="eastAsia"/>
                <w:sz w:val="24"/>
                <w:szCs w:val="24"/>
                <w:highlight w:val="none"/>
                <w:lang w:val="zh-CN" w:bidi="zh-CN"/>
              </w:rPr>
              <w:t>注：须提供获奖证书扫描件，获奖时间以证书颁发时间为准，奖项指建设行政主管部门或建设行业协会颁发的质量类奖项。</w:t>
            </w:r>
            <w:r>
              <w:rPr>
                <w:rFonts w:hint="eastAsia"/>
                <w:sz w:val="24"/>
                <w:szCs w:val="24"/>
                <w:lang w:val="zh-CN" w:bidi="zh-CN"/>
              </w:rPr>
              <w:t>如提供相关行业协会颁发的证书，则须同时提供该行业协会在“中国社会组织政务服务平台”有登记的网页查询截图（网址：https://chinanpo.mca.gov.cn/）证明其有登记备案。不同协会颁发的证书不互相累加。证书资料显示的企业全称须与投标人单位全称一致，不符合上述条件或未提供上述资料的不得分。同一工程获多个级别奖项的以最高级别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trPr>
        <w:tc>
          <w:tcPr>
            <w:tcW w:w="1750"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p>
        </w:tc>
        <w:tc>
          <w:tcPr>
            <w:tcW w:w="1721" w:type="dxa"/>
            <w:vAlign w:val="center"/>
          </w:tcPr>
          <w:p>
            <w:pPr>
              <w:spacing w:line="360" w:lineRule="auto"/>
              <w:jc w:val="center"/>
              <w:rPr>
                <w:rFonts w:hint="default" w:ascii="宋体" w:hAnsi="宋体" w:eastAsia="宋体" w:cs="宋体"/>
                <w:color w:val="auto"/>
                <w:sz w:val="24"/>
                <w:highlight w:val="none"/>
                <w:lang w:val="en-US" w:eastAsia="zh-CN"/>
              </w:rPr>
            </w:pPr>
            <w:r>
              <w:rPr>
                <w:rStyle w:val="194"/>
                <w:rFonts w:hint="eastAsia" w:ascii="宋体" w:hAnsi="宋体" w:cs="宋体"/>
                <w:kern w:val="0"/>
                <w:sz w:val="24"/>
                <w:szCs w:val="24"/>
              </w:rPr>
              <w:t>项目总监综合素质（2分）</w:t>
            </w:r>
          </w:p>
        </w:tc>
        <w:tc>
          <w:tcPr>
            <w:tcW w:w="6756" w:type="dxa"/>
            <w:vAlign w:val="center"/>
          </w:tcPr>
          <w:p>
            <w:pPr>
              <w:adjustRightInd w:val="0"/>
              <w:snapToGrid w:val="0"/>
              <w:spacing w:line="360" w:lineRule="auto"/>
              <w:rPr>
                <w:rFonts w:hint="default" w:ascii="宋体" w:hAnsi="宋体" w:cs="宋体"/>
                <w:kern w:val="0"/>
                <w:sz w:val="24"/>
                <w:szCs w:val="24"/>
                <w:lang w:val="en-US" w:bidi="zh-CN"/>
              </w:rPr>
            </w:pPr>
            <w:r>
              <w:rPr>
                <w:rFonts w:hint="eastAsia" w:ascii="宋体" w:hAnsi="宋体" w:cs="宋体"/>
                <w:kern w:val="0"/>
                <w:sz w:val="24"/>
                <w:szCs w:val="24"/>
                <w:lang w:val="en-US" w:bidi="zh-CN"/>
              </w:rPr>
              <w:t>具有</w:t>
            </w:r>
            <w:r>
              <w:rPr>
                <w:rFonts w:hint="eastAsia" w:ascii="宋体" w:hAnsi="宋体" w:cs="宋体"/>
                <w:kern w:val="0"/>
                <w:sz w:val="24"/>
                <w:szCs w:val="24"/>
                <w:lang w:bidi="zh-CN"/>
              </w:rPr>
              <w:t>高级工程师（或以上）职称</w:t>
            </w:r>
            <w:r>
              <w:rPr>
                <w:rFonts w:hint="eastAsia" w:ascii="宋体" w:hAnsi="宋体" w:cs="宋体"/>
                <w:kern w:val="0"/>
                <w:sz w:val="24"/>
                <w:szCs w:val="24"/>
                <w:lang w:val="en-US" w:bidi="zh-CN"/>
              </w:rPr>
              <w:t>的，得2分；</w:t>
            </w:r>
            <w:r>
              <w:rPr>
                <w:rFonts w:hint="eastAsia" w:ascii="宋体" w:hAnsi="宋体" w:cs="宋体"/>
                <w:kern w:val="0"/>
                <w:sz w:val="24"/>
                <w:szCs w:val="24"/>
                <w:lang w:bidi="zh-CN"/>
              </w:rPr>
              <w:t>中级工程师职称得</w:t>
            </w:r>
            <w:r>
              <w:rPr>
                <w:rFonts w:hint="eastAsia" w:ascii="宋体" w:hAnsi="宋体" w:cs="宋体"/>
                <w:kern w:val="0"/>
                <w:sz w:val="24"/>
                <w:szCs w:val="24"/>
                <w:lang w:val="en-US" w:bidi="zh-CN"/>
              </w:rPr>
              <w:t>1</w:t>
            </w:r>
            <w:r>
              <w:rPr>
                <w:rFonts w:hint="eastAsia" w:ascii="宋体" w:hAnsi="宋体" w:cs="宋体"/>
                <w:kern w:val="0"/>
                <w:sz w:val="24"/>
                <w:szCs w:val="24"/>
                <w:lang w:bidi="zh-CN"/>
              </w:rPr>
              <w:t>分。</w:t>
            </w:r>
            <w:r>
              <w:rPr>
                <w:rFonts w:hint="eastAsia" w:ascii="宋体" w:hAnsi="宋体" w:cs="宋体"/>
                <w:kern w:val="0"/>
                <w:sz w:val="24"/>
                <w:szCs w:val="24"/>
                <w:lang w:val="en-US" w:bidi="zh-CN"/>
              </w:rPr>
              <w:t>其余不得分。</w:t>
            </w:r>
          </w:p>
          <w:p>
            <w:pPr>
              <w:pStyle w:val="31"/>
              <w:adjustRightInd w:val="0"/>
              <w:snapToGrid w:val="0"/>
              <w:spacing w:line="360" w:lineRule="auto"/>
              <w:ind w:left="0" w:leftChars="0"/>
              <w:rPr>
                <w:rFonts w:hint="eastAsia" w:ascii="宋体" w:hAnsi="宋体" w:cs="宋体"/>
                <w:color w:val="auto"/>
                <w:sz w:val="24"/>
                <w:highlight w:val="none"/>
              </w:rPr>
            </w:pPr>
            <w:r>
              <w:rPr>
                <w:rFonts w:hint="eastAsia" w:ascii="宋体" w:hAnsi="宋体"/>
                <w:sz w:val="24"/>
                <w:szCs w:val="24"/>
                <w:lang w:bidi="zh-CN"/>
              </w:rPr>
              <w:t>注：提供资格证书、注册证书、职称证书等证明材料扫描件以及近一个月（即2023年</w:t>
            </w:r>
            <w:r>
              <w:rPr>
                <w:rFonts w:hint="eastAsia" w:ascii="宋体" w:hAnsi="宋体"/>
                <w:sz w:val="24"/>
                <w:szCs w:val="24"/>
                <w:lang w:val="en-US" w:bidi="zh-CN"/>
              </w:rPr>
              <w:t>6</w:t>
            </w:r>
            <w:r>
              <w:rPr>
                <w:rFonts w:hint="eastAsia" w:ascii="宋体" w:hAnsi="宋体"/>
                <w:sz w:val="24"/>
                <w:szCs w:val="24"/>
                <w:lang w:bidi="zh-CN"/>
              </w:rPr>
              <w:t>月）的社保证明材料扫描件。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1750"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p>
        </w:tc>
        <w:tc>
          <w:tcPr>
            <w:tcW w:w="1721" w:type="dxa"/>
            <w:vAlign w:val="center"/>
          </w:tcPr>
          <w:p>
            <w:pPr>
              <w:pStyle w:val="47"/>
              <w:spacing w:after="0" w:line="360" w:lineRule="auto"/>
              <w:ind w:left="0" w:leftChars="0" w:firstLine="0" w:firstLineChars="0"/>
              <w:jc w:val="center"/>
              <w:rPr>
                <w:rStyle w:val="194"/>
                <w:rFonts w:hint="eastAsia" w:ascii="宋体" w:hAnsi="宋体" w:eastAsia="宋体" w:cs="宋体"/>
                <w:color w:val="auto"/>
                <w:sz w:val="24"/>
                <w:highlight w:val="none"/>
                <w:lang w:eastAsia="zh-CN"/>
              </w:rPr>
            </w:pPr>
            <w:r>
              <w:rPr>
                <w:rStyle w:val="194"/>
                <w:rFonts w:hint="eastAsia" w:ascii="宋体" w:hAnsi="宋体" w:cs="宋体"/>
                <w:sz w:val="24"/>
              </w:rPr>
              <w:t>相应专业的满足程度（总监除外）（7分）</w:t>
            </w:r>
          </w:p>
        </w:tc>
        <w:tc>
          <w:tcPr>
            <w:tcW w:w="6756" w:type="dxa"/>
            <w:vAlign w:val="center"/>
          </w:tcPr>
          <w:p>
            <w:pPr>
              <w:pStyle w:val="47"/>
              <w:numPr>
                <w:ilvl w:val="0"/>
                <w:numId w:val="1"/>
              </w:numPr>
              <w:overflowPunct w:val="0"/>
              <w:adjustRightInd w:val="0"/>
              <w:snapToGrid w:val="0"/>
              <w:spacing w:after="0" w:line="360" w:lineRule="auto"/>
              <w:ind w:left="0" w:leftChars="0" w:firstLine="0" w:firstLineChars="0"/>
              <w:rPr>
                <w:rFonts w:ascii="宋体" w:hAnsi="宋体" w:cs="宋体"/>
                <w:sz w:val="24"/>
                <w:highlight w:val="none"/>
              </w:rPr>
            </w:pPr>
            <w:r>
              <w:rPr>
                <w:rFonts w:hint="eastAsia" w:ascii="宋体" w:hAnsi="宋体" w:cs="宋体"/>
                <w:sz w:val="24"/>
              </w:rPr>
              <w:t>满</w:t>
            </w:r>
            <w:r>
              <w:rPr>
                <w:rFonts w:hint="eastAsia" w:ascii="宋体" w:hAnsi="宋体" w:cs="宋体"/>
                <w:sz w:val="24"/>
                <w:highlight w:val="none"/>
              </w:rPr>
              <w:t>足第五章 委托人要求《项目监理人员组成配备要求表》的得基础分4分，</w:t>
            </w:r>
            <w:r>
              <w:rPr>
                <w:rFonts w:hint="eastAsia" w:ascii="宋体" w:hAnsi="宋体" w:cs="宋体"/>
                <w:sz w:val="24"/>
                <w:highlight w:val="none"/>
                <w:lang w:val="en-US" w:eastAsia="zh-CN"/>
              </w:rPr>
              <w:t>不满足不得分。</w:t>
            </w:r>
          </w:p>
          <w:p>
            <w:pPr>
              <w:pStyle w:val="47"/>
              <w:numPr>
                <w:ilvl w:val="0"/>
                <w:numId w:val="1"/>
              </w:numPr>
              <w:overflowPunct w:val="0"/>
              <w:adjustRightInd w:val="0"/>
              <w:snapToGrid w:val="0"/>
              <w:spacing w:after="0" w:line="360" w:lineRule="auto"/>
              <w:ind w:left="0" w:leftChars="0" w:firstLine="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在满足</w:t>
            </w:r>
            <w:r>
              <w:rPr>
                <w:rFonts w:hint="eastAsia" w:ascii="宋体" w:hAnsi="宋体" w:cs="宋体"/>
                <w:sz w:val="24"/>
                <w:highlight w:val="none"/>
              </w:rPr>
              <w:t>第五章 委托人要求</w:t>
            </w:r>
            <w:r>
              <w:rPr>
                <w:rFonts w:hint="eastAsia" w:ascii="宋体" w:hAnsi="宋体" w:cs="宋体"/>
                <w:color w:val="auto"/>
                <w:sz w:val="24"/>
                <w:highlight w:val="none"/>
              </w:rPr>
              <w:t>《项目监理人员组成配备要求表》基础上</w:t>
            </w:r>
            <w:r>
              <w:rPr>
                <w:rFonts w:hint="eastAsia" w:ascii="宋体" w:hAnsi="宋体" w:cs="宋体"/>
                <w:sz w:val="24"/>
                <w:highlight w:val="none"/>
              </w:rPr>
              <w:t>：拟派人</w:t>
            </w:r>
            <w:r>
              <w:rPr>
                <w:rFonts w:hint="eastAsia" w:ascii="宋体" w:hAnsi="宋体" w:cs="宋体"/>
                <w:sz w:val="24"/>
              </w:rPr>
              <w:t>员具有注册监理工程师或高级工程师</w:t>
            </w:r>
            <w:r>
              <w:rPr>
                <w:rFonts w:hint="eastAsia" w:ascii="宋体" w:hAnsi="宋体" w:cs="宋体"/>
                <w:kern w:val="0"/>
                <w:sz w:val="24"/>
                <w:szCs w:val="24"/>
                <w:lang w:bidi="zh-CN"/>
              </w:rPr>
              <w:t>（或以上）</w:t>
            </w:r>
            <w:r>
              <w:rPr>
                <w:rFonts w:hint="eastAsia" w:ascii="宋体" w:hAnsi="宋体" w:cs="宋体"/>
                <w:sz w:val="24"/>
              </w:rPr>
              <w:t>的每人得1分，本小项最高得3分；</w:t>
            </w:r>
          </w:p>
          <w:p>
            <w:pPr>
              <w:pStyle w:val="47"/>
              <w:numPr>
                <w:ilvl w:val="0"/>
                <w:numId w:val="0"/>
              </w:numPr>
              <w:overflowPunct w:val="0"/>
              <w:adjustRightInd w:val="0"/>
              <w:snapToGrid w:val="0"/>
              <w:spacing w:after="0" w:line="360" w:lineRule="auto"/>
              <w:ind w:leftChars="0"/>
              <w:rPr>
                <w:rFonts w:hint="default" w:ascii="宋体" w:hAnsi="宋体" w:eastAsia="宋体" w:cs="宋体"/>
                <w:color w:val="auto"/>
                <w:sz w:val="24"/>
                <w:highlight w:val="none"/>
                <w:lang w:val="en-US" w:eastAsia="zh-CN"/>
              </w:rPr>
            </w:pPr>
            <w:r>
              <w:rPr>
                <w:rFonts w:hint="eastAsia" w:ascii="宋体" w:hAnsi="宋体"/>
                <w:sz w:val="24"/>
                <w:szCs w:val="24"/>
                <w:lang w:bidi="zh-CN"/>
              </w:rPr>
              <w:t>注：提供资格证书、注册证书、职称证书（如有）等证明材料扫描件以及近一个月（即2023年</w:t>
            </w:r>
            <w:r>
              <w:rPr>
                <w:rFonts w:hint="eastAsia" w:ascii="宋体" w:hAnsi="宋体"/>
                <w:sz w:val="24"/>
                <w:szCs w:val="24"/>
                <w:lang w:val="en-US" w:bidi="zh-CN"/>
              </w:rPr>
              <w:t>6</w:t>
            </w:r>
            <w:r>
              <w:rPr>
                <w:rFonts w:hint="eastAsia" w:ascii="宋体" w:hAnsi="宋体"/>
                <w:sz w:val="24"/>
                <w:szCs w:val="24"/>
                <w:lang w:bidi="zh-CN"/>
              </w:rPr>
              <w:t>月）的社保证明材料扫描件。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750"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p>
        </w:tc>
        <w:tc>
          <w:tcPr>
            <w:tcW w:w="1721" w:type="dxa"/>
            <w:vAlign w:val="center"/>
          </w:tcPr>
          <w:p>
            <w:pPr>
              <w:pStyle w:val="47"/>
              <w:spacing w:after="0" w:line="360" w:lineRule="auto"/>
              <w:ind w:left="0" w:leftChars="0" w:firstLine="0" w:firstLineChars="0"/>
              <w:jc w:val="center"/>
              <w:rPr>
                <w:rStyle w:val="194"/>
                <w:rFonts w:hint="default" w:ascii="宋体" w:hAnsi="宋体" w:eastAsia="宋体" w:cs="宋体"/>
                <w:color w:val="auto"/>
                <w:sz w:val="24"/>
                <w:highlight w:val="none"/>
                <w:lang w:val="en-US" w:eastAsia="zh-CN"/>
              </w:rPr>
            </w:pPr>
            <w:r>
              <w:rPr>
                <w:rStyle w:val="194"/>
                <w:rFonts w:hint="eastAsia" w:ascii="宋体" w:hAnsi="宋体" w:cs="宋体"/>
                <w:sz w:val="24"/>
              </w:rPr>
              <w:t>A级纳税人称号（6分）</w:t>
            </w:r>
          </w:p>
        </w:tc>
        <w:tc>
          <w:tcPr>
            <w:tcW w:w="6756" w:type="dxa"/>
            <w:vAlign w:val="center"/>
          </w:tcPr>
          <w:p>
            <w:pPr>
              <w:spacing w:line="360" w:lineRule="auto"/>
              <w:ind w:left="2" w:leftChars="-9" w:right="-13" w:hanging="21" w:hangingChars="9"/>
              <w:jc w:val="left"/>
              <w:rPr>
                <w:rFonts w:ascii="宋体" w:hAnsi="宋体" w:cs="宋体"/>
                <w:sz w:val="24"/>
                <w:szCs w:val="24"/>
              </w:rPr>
            </w:pPr>
            <w:r>
              <w:rPr>
                <w:rFonts w:hint="eastAsia" w:ascii="宋体" w:hAnsi="宋体" w:cs="宋体"/>
                <w:sz w:val="24"/>
                <w:szCs w:val="24"/>
              </w:rPr>
              <w:t>投标人（须含2022评审年度）获得“A级纳税人”称号情况：</w:t>
            </w:r>
          </w:p>
          <w:p>
            <w:pPr>
              <w:spacing w:line="360" w:lineRule="auto"/>
              <w:ind w:left="2" w:leftChars="-9" w:right="-13" w:hanging="21" w:hangingChars="9"/>
              <w:jc w:val="left"/>
              <w:rPr>
                <w:rFonts w:ascii="宋体" w:hAnsi="宋体" w:cs="宋体"/>
                <w:sz w:val="24"/>
                <w:szCs w:val="24"/>
              </w:rPr>
            </w:pPr>
            <w:r>
              <w:rPr>
                <w:rFonts w:hint="eastAsia" w:ascii="宋体" w:hAnsi="宋体" w:cs="宋体"/>
                <w:sz w:val="24"/>
                <w:szCs w:val="24"/>
              </w:rPr>
              <w:t>（1）连续获得7次或以上“A级纳税人”称号的，得6分；</w:t>
            </w:r>
          </w:p>
          <w:p>
            <w:pPr>
              <w:spacing w:line="360" w:lineRule="auto"/>
              <w:ind w:left="2" w:leftChars="-9" w:right="-13" w:hanging="21" w:hangingChars="9"/>
              <w:jc w:val="left"/>
              <w:rPr>
                <w:rFonts w:ascii="宋体" w:hAnsi="宋体" w:cs="宋体"/>
                <w:sz w:val="24"/>
                <w:szCs w:val="24"/>
              </w:rPr>
            </w:pPr>
            <w:r>
              <w:rPr>
                <w:rFonts w:hint="eastAsia" w:ascii="宋体" w:hAnsi="宋体" w:cs="宋体"/>
                <w:sz w:val="24"/>
                <w:szCs w:val="24"/>
              </w:rPr>
              <w:t>（2）连续获得5-6次“A级纳税人”称号的，得4分；</w:t>
            </w:r>
          </w:p>
          <w:p>
            <w:pPr>
              <w:spacing w:line="360" w:lineRule="auto"/>
              <w:ind w:left="2" w:leftChars="-9" w:right="-13" w:hanging="21" w:hangingChars="9"/>
              <w:jc w:val="left"/>
              <w:rPr>
                <w:rFonts w:ascii="宋体" w:hAnsi="宋体" w:cs="宋体"/>
                <w:sz w:val="24"/>
                <w:szCs w:val="24"/>
              </w:rPr>
            </w:pPr>
            <w:r>
              <w:rPr>
                <w:rFonts w:hint="eastAsia" w:ascii="宋体" w:hAnsi="宋体" w:cs="宋体"/>
                <w:sz w:val="24"/>
                <w:szCs w:val="24"/>
              </w:rPr>
              <w:t>（3）连续获得3-4次“A级纳税人”称号的，得3分；</w:t>
            </w:r>
          </w:p>
          <w:p>
            <w:pPr>
              <w:spacing w:line="360" w:lineRule="auto"/>
              <w:ind w:left="2" w:leftChars="-9" w:right="-13" w:hanging="21" w:hangingChars="9"/>
              <w:jc w:val="left"/>
              <w:rPr>
                <w:rFonts w:ascii="宋体" w:hAnsi="宋体" w:cs="宋体"/>
                <w:sz w:val="24"/>
                <w:szCs w:val="24"/>
              </w:rPr>
            </w:pPr>
            <w:r>
              <w:rPr>
                <w:rFonts w:hint="eastAsia" w:ascii="宋体" w:hAnsi="宋体" w:cs="宋体"/>
                <w:sz w:val="24"/>
                <w:szCs w:val="24"/>
              </w:rPr>
              <w:t>（4）连续获得1-2次“A级纳税人”称号的，得1分；</w:t>
            </w:r>
          </w:p>
          <w:p>
            <w:pPr>
              <w:spacing w:line="360" w:lineRule="auto"/>
              <w:ind w:left="2" w:leftChars="-9" w:right="-13" w:hanging="21" w:hangingChars="9"/>
              <w:jc w:val="left"/>
              <w:rPr>
                <w:rFonts w:ascii="宋体" w:hAnsi="宋体" w:cs="宋体"/>
                <w:sz w:val="24"/>
                <w:szCs w:val="24"/>
              </w:rPr>
            </w:pPr>
            <w:r>
              <w:rPr>
                <w:rFonts w:hint="eastAsia" w:ascii="宋体" w:hAnsi="宋体" w:cs="宋体"/>
                <w:sz w:val="24"/>
                <w:szCs w:val="24"/>
              </w:rPr>
              <w:t>（5）未获得过的或不满足上述要求的不得分。</w:t>
            </w:r>
          </w:p>
          <w:p>
            <w:pPr>
              <w:pStyle w:val="47"/>
              <w:overflowPunct w:val="0"/>
              <w:adjustRightInd w:val="0"/>
              <w:snapToGrid w:val="0"/>
              <w:spacing w:after="0" w:line="360" w:lineRule="auto"/>
              <w:ind w:left="0" w:leftChars="0" w:firstLine="0" w:firstLineChars="0"/>
              <w:rPr>
                <w:rFonts w:ascii="宋体" w:hAnsi="宋体" w:cs="宋体"/>
                <w:color w:val="auto"/>
                <w:sz w:val="24"/>
                <w:highlight w:val="none"/>
              </w:rPr>
            </w:pPr>
            <w:r>
              <w:rPr>
                <w:rFonts w:hint="eastAsia" w:ascii="宋体" w:hAnsi="宋体" w:cs="宋体"/>
                <w:kern w:val="2"/>
                <w:sz w:val="24"/>
              </w:rPr>
              <w:t>注：A级纳税人称号情况以省级或以上税务局官网查询的相关截图为准，纳税人等级只计算投标人自身（不计算投标人的分公司和子公司）。投标人须提供在上述官网的查询结果网页截图。时间以省级或以上税务局官网公布的获奖年度（评价年度）为准。不符合条件或无提交上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1" w:hRule="atLeast"/>
        </w:trPr>
        <w:tc>
          <w:tcPr>
            <w:tcW w:w="1750"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p>
        </w:tc>
        <w:tc>
          <w:tcPr>
            <w:tcW w:w="1721" w:type="dxa"/>
            <w:vAlign w:val="center"/>
          </w:tcPr>
          <w:p>
            <w:pPr>
              <w:spacing w:line="360" w:lineRule="auto"/>
              <w:jc w:val="center"/>
              <w:rPr>
                <w:rStyle w:val="194"/>
                <w:rFonts w:ascii="宋体" w:hAnsi="宋体"/>
                <w:sz w:val="24"/>
                <w:szCs w:val="24"/>
              </w:rPr>
            </w:pPr>
            <w:r>
              <w:rPr>
                <w:rStyle w:val="194"/>
                <w:rFonts w:hint="eastAsia" w:ascii="宋体" w:hAnsi="宋体"/>
                <w:sz w:val="24"/>
                <w:szCs w:val="24"/>
              </w:rPr>
              <w:t>企业创新能力</w:t>
            </w:r>
          </w:p>
          <w:p>
            <w:pPr>
              <w:spacing w:line="360" w:lineRule="auto"/>
              <w:jc w:val="center"/>
              <w:rPr>
                <w:rFonts w:hint="eastAsia" w:ascii="宋体" w:hAnsi="宋体" w:cs="宋体"/>
                <w:color w:val="auto"/>
                <w:kern w:val="0"/>
                <w:sz w:val="24"/>
                <w:szCs w:val="24"/>
                <w:highlight w:val="none"/>
                <w:lang w:eastAsia="zh-CN"/>
              </w:rPr>
            </w:pPr>
            <w:r>
              <w:rPr>
                <w:rStyle w:val="194"/>
                <w:rFonts w:ascii="宋体" w:hAnsi="宋体"/>
                <w:sz w:val="24"/>
                <w:szCs w:val="24"/>
              </w:rPr>
              <w:t>（</w:t>
            </w:r>
            <w:r>
              <w:rPr>
                <w:rStyle w:val="194"/>
                <w:rFonts w:hint="eastAsia" w:ascii="宋体" w:hAnsi="宋体"/>
                <w:sz w:val="24"/>
                <w:szCs w:val="24"/>
              </w:rPr>
              <w:t>5</w:t>
            </w:r>
            <w:r>
              <w:rPr>
                <w:rStyle w:val="194"/>
                <w:rFonts w:ascii="宋体" w:hAnsi="宋体"/>
                <w:sz w:val="24"/>
                <w:szCs w:val="24"/>
              </w:rPr>
              <w:t>分）</w:t>
            </w:r>
          </w:p>
        </w:tc>
        <w:tc>
          <w:tcPr>
            <w:tcW w:w="6756" w:type="dxa"/>
            <w:vAlign w:val="center"/>
          </w:tcPr>
          <w:p>
            <w:pPr>
              <w:numPr>
                <w:ilvl w:val="0"/>
                <w:numId w:val="2"/>
              </w:numPr>
              <w:wordWrap w:val="0"/>
              <w:overflowPunct w:val="0"/>
              <w:adjustRightInd w:val="0"/>
              <w:snapToGrid w:val="0"/>
              <w:spacing w:line="360" w:lineRule="auto"/>
              <w:rPr>
                <w:rFonts w:ascii="宋体" w:hAnsi="宋体" w:cs="宋体"/>
                <w:sz w:val="24"/>
                <w:szCs w:val="24"/>
              </w:rPr>
            </w:pPr>
            <w:r>
              <w:rPr>
                <w:rFonts w:hint="eastAsia" w:ascii="宋体" w:hAnsi="宋体" w:cs="宋体"/>
                <w:sz w:val="24"/>
                <w:szCs w:val="24"/>
              </w:rPr>
              <w:t>投标人获得省级或以上高新技术企业证书（在有效期内）的得3分，没有不得分，本小项最高得3分。</w:t>
            </w:r>
          </w:p>
          <w:p>
            <w:pPr>
              <w:pStyle w:val="47"/>
              <w:numPr>
                <w:ilvl w:val="0"/>
                <w:numId w:val="2"/>
              </w:numPr>
              <w:snapToGrid w:val="0"/>
              <w:spacing w:after="0" w:line="360" w:lineRule="auto"/>
              <w:ind w:left="0" w:leftChars="0" w:firstLine="0" w:firstLineChars="0"/>
              <w:rPr>
                <w:rFonts w:ascii="宋体" w:hAnsi="宋体" w:cs="宋体"/>
                <w:sz w:val="24"/>
              </w:rPr>
            </w:pPr>
            <w:r>
              <w:rPr>
                <w:rFonts w:hint="eastAsia" w:ascii="宋体" w:hAnsi="宋体" w:cs="宋体"/>
                <w:sz w:val="24"/>
              </w:rPr>
              <w:t>投标人</w:t>
            </w:r>
            <w:r>
              <w:rPr>
                <w:rFonts w:ascii="宋体" w:hAnsi="宋体" w:cs="宋体"/>
                <w:sz w:val="24"/>
              </w:rPr>
              <w:t>2020</w:t>
            </w:r>
            <w:r>
              <w:rPr>
                <w:rFonts w:hint="eastAsia" w:ascii="宋体" w:hAnsi="宋体" w:cs="宋体"/>
                <w:sz w:val="24"/>
              </w:rPr>
              <w:t>年1月1日至今获得过省级或以上工程类科学技术奖的得2分，本小项最高得2分。</w:t>
            </w:r>
          </w:p>
          <w:p>
            <w:pPr>
              <w:pStyle w:val="47"/>
              <w:snapToGrid w:val="0"/>
              <w:spacing w:after="0"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注：须提供有效的证书</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1" w:hRule="atLeast"/>
        </w:trPr>
        <w:tc>
          <w:tcPr>
            <w:tcW w:w="1750"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p>
        </w:tc>
        <w:tc>
          <w:tcPr>
            <w:tcW w:w="1721" w:type="dxa"/>
            <w:vAlign w:val="center"/>
          </w:tcPr>
          <w:p>
            <w:pPr>
              <w:spacing w:line="360" w:lineRule="auto"/>
              <w:jc w:val="center"/>
              <w:rPr>
                <w:rStyle w:val="194"/>
                <w:rFonts w:ascii="宋体" w:hAnsi="宋体"/>
                <w:color w:val="auto"/>
                <w:sz w:val="24"/>
                <w:szCs w:val="24"/>
                <w:highlight w:val="none"/>
              </w:rPr>
            </w:pPr>
            <w:r>
              <w:rPr>
                <w:rStyle w:val="194"/>
                <w:rFonts w:ascii="宋体" w:hAnsi="宋体"/>
                <w:color w:val="auto"/>
                <w:sz w:val="24"/>
                <w:szCs w:val="24"/>
                <w:highlight w:val="none"/>
              </w:rPr>
              <w:t>管理体系认证</w:t>
            </w:r>
          </w:p>
          <w:p>
            <w:pPr>
              <w:spacing w:line="360" w:lineRule="auto"/>
              <w:jc w:val="center"/>
              <w:rPr>
                <w:rFonts w:hint="eastAsia"/>
                <w:color w:val="auto"/>
                <w:highlight w:val="none"/>
                <w:lang w:eastAsia="zh-CN"/>
              </w:rPr>
            </w:pPr>
            <w:r>
              <w:rPr>
                <w:rFonts w:hint="eastAsia" w:ascii="宋体" w:hAnsi="宋体" w:cs="宋体"/>
                <w:sz w:val="24"/>
                <w:szCs w:val="24"/>
              </w:rPr>
              <w:t>（6分）</w:t>
            </w:r>
          </w:p>
        </w:tc>
        <w:tc>
          <w:tcPr>
            <w:tcW w:w="6756" w:type="dxa"/>
            <w:vAlign w:val="center"/>
          </w:tcPr>
          <w:p>
            <w:pPr>
              <w:pStyle w:val="31"/>
              <w:overflowPunct w:val="0"/>
              <w:adjustRightInd w:val="0"/>
              <w:snapToGrid w:val="0"/>
              <w:spacing w:line="360" w:lineRule="auto"/>
              <w:ind w:left="0" w:leftChars="0"/>
              <w:rPr>
                <w:rFonts w:ascii="宋体" w:hAnsi="宋体" w:cs="宋体"/>
                <w:sz w:val="24"/>
                <w:szCs w:val="24"/>
              </w:rPr>
            </w:pPr>
            <w:r>
              <w:rPr>
                <w:rFonts w:hint="eastAsia" w:ascii="宋体" w:hAnsi="宋体" w:cs="宋体"/>
                <w:sz w:val="24"/>
                <w:szCs w:val="24"/>
              </w:rPr>
              <w:t>投标人</w:t>
            </w:r>
            <w:r>
              <w:rPr>
                <w:rFonts w:hint="eastAsia" w:ascii="宋体" w:hAnsi="宋体" w:cs="宋体"/>
                <w:sz w:val="24"/>
                <w:szCs w:val="24"/>
                <w:lang w:val="en-US" w:eastAsia="zh-CN"/>
              </w:rPr>
              <w:t>具有有效的</w:t>
            </w:r>
            <w:r>
              <w:rPr>
                <w:rFonts w:hint="eastAsia" w:ascii="宋体" w:hAnsi="宋体" w:cs="宋体"/>
                <w:sz w:val="24"/>
                <w:szCs w:val="24"/>
              </w:rPr>
              <w:t>质量管理体系认证</w:t>
            </w:r>
            <w:r>
              <w:rPr>
                <w:rFonts w:hint="eastAsia" w:cs="宋体" w:asciiTheme="minorEastAsia" w:hAnsiTheme="minorEastAsia" w:eastAsiaTheme="minorEastAsia"/>
                <w:bCs/>
                <w:sz w:val="24"/>
                <w:szCs w:val="24"/>
              </w:rPr>
              <w:t>证书</w:t>
            </w:r>
            <w:r>
              <w:rPr>
                <w:rFonts w:hint="eastAsia" w:ascii="宋体" w:hAnsi="宋体" w:cs="宋体"/>
                <w:sz w:val="24"/>
                <w:szCs w:val="24"/>
              </w:rPr>
              <w:t>、信息技术服务管理体系认证</w:t>
            </w:r>
            <w:r>
              <w:rPr>
                <w:rFonts w:hint="eastAsia" w:cs="宋体" w:asciiTheme="minorEastAsia" w:hAnsiTheme="minorEastAsia" w:eastAsiaTheme="minorEastAsia"/>
                <w:bCs/>
                <w:sz w:val="24"/>
                <w:szCs w:val="24"/>
              </w:rPr>
              <w:t>证书</w:t>
            </w:r>
            <w:r>
              <w:rPr>
                <w:rFonts w:hint="eastAsia" w:ascii="宋体" w:hAnsi="宋体" w:cs="宋体"/>
                <w:sz w:val="24"/>
                <w:szCs w:val="24"/>
                <w:highlight w:val="none"/>
              </w:rPr>
              <w:t>、</w:t>
            </w:r>
            <w:r>
              <w:rPr>
                <w:rFonts w:hint="eastAsia" w:cs="宋体" w:asciiTheme="minorEastAsia" w:hAnsiTheme="minorEastAsia" w:eastAsiaTheme="minorEastAsia"/>
                <w:bCs/>
                <w:sz w:val="24"/>
                <w:szCs w:val="24"/>
                <w:highlight w:val="none"/>
              </w:rPr>
              <w:t>售后服务认证证书</w:t>
            </w:r>
            <w:r>
              <w:rPr>
                <w:rFonts w:hint="eastAsia" w:ascii="宋体" w:hAnsi="宋体" w:cs="宋体"/>
                <w:sz w:val="24"/>
                <w:szCs w:val="24"/>
                <w:highlight w:val="none"/>
              </w:rPr>
              <w:t>，每提供1项</w:t>
            </w:r>
            <w:r>
              <w:rPr>
                <w:rFonts w:hint="eastAsia" w:ascii="宋体" w:hAnsi="宋体" w:cs="宋体"/>
                <w:sz w:val="24"/>
                <w:szCs w:val="24"/>
              </w:rPr>
              <w:t>得2分，最多得6分。</w:t>
            </w:r>
          </w:p>
          <w:p>
            <w:pPr>
              <w:pStyle w:val="31"/>
              <w:overflowPunct w:val="0"/>
              <w:adjustRightInd w:val="0"/>
              <w:snapToGrid w:val="0"/>
              <w:spacing w:line="360" w:lineRule="auto"/>
              <w:ind w:left="0" w:leftChars="0"/>
              <w:rPr>
                <w:rFonts w:hint="eastAsia" w:ascii="宋体" w:hAnsi="宋体" w:cs="宋体"/>
                <w:color w:val="auto"/>
                <w:sz w:val="24"/>
                <w:szCs w:val="24"/>
                <w:highlight w:val="none"/>
              </w:rPr>
            </w:pPr>
            <w:r>
              <w:rPr>
                <w:rFonts w:hint="eastAsia" w:ascii="宋体" w:hAnsi="宋体" w:cs="宋体"/>
                <w:sz w:val="24"/>
                <w:szCs w:val="24"/>
              </w:rPr>
              <w:t>注：</w:t>
            </w:r>
            <w:r>
              <w:rPr>
                <w:rFonts w:hint="eastAsia" w:ascii="宋体" w:hAnsi="宋体" w:eastAsia="宋体" w:cs="宋体"/>
                <w:color w:val="auto"/>
                <w:sz w:val="24"/>
                <w:highlight w:val="none"/>
              </w:rPr>
              <w:t>须提供有效的证书</w:t>
            </w:r>
            <w:r>
              <w:rPr>
                <w:rFonts w:hint="eastAsia" w:ascii="宋体" w:hAnsi="宋体" w:eastAsia="宋体" w:cs="宋体"/>
                <w:color w:val="auto"/>
                <w:sz w:val="24"/>
                <w:highlight w:val="none"/>
                <w:lang w:val="en-US" w:eastAsia="zh-CN"/>
              </w:rPr>
              <w:t>扫描</w:t>
            </w:r>
            <w:r>
              <w:rPr>
                <w:rFonts w:hint="eastAsia" w:ascii="宋体" w:hAnsi="宋体" w:eastAsia="宋体" w:cs="宋体"/>
                <w:color w:val="auto"/>
                <w:sz w:val="24"/>
                <w:highlight w:val="none"/>
              </w:rPr>
              <w:t>件</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1750" w:type="dxa"/>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Times New Roman" w:hAnsi="Times New Roman"/>
                <w:color w:val="auto"/>
                <w:sz w:val="24"/>
                <w:szCs w:val="24"/>
                <w:highlight w:val="none"/>
              </w:rPr>
            </w:pPr>
            <w:r>
              <w:rPr>
                <w:rFonts w:hint="eastAsia" w:ascii="Times New Roman" w:hAnsi="Times New Roman"/>
                <w:color w:val="auto"/>
                <w:sz w:val="24"/>
                <w:szCs w:val="24"/>
                <w:highlight w:val="none"/>
              </w:rPr>
              <w:t>2.2.4（2）</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r>
              <w:rPr>
                <w:rFonts w:hint="eastAsia" w:ascii="宋体" w:hAnsi="宋体" w:cs="宋体"/>
                <w:color w:val="auto"/>
                <w:sz w:val="24"/>
                <w:szCs w:val="24"/>
                <w:highlight w:val="none"/>
              </w:rPr>
              <w:t>监理大纲评分标准（</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分）</w:t>
            </w:r>
          </w:p>
        </w:tc>
        <w:tc>
          <w:tcPr>
            <w:tcW w:w="1721" w:type="dxa"/>
            <w:vAlign w:val="center"/>
          </w:tcPr>
          <w:p>
            <w:pPr>
              <w:spacing w:line="360" w:lineRule="auto"/>
              <w:jc w:val="center"/>
              <w:rPr>
                <w:rFonts w:ascii="宋体" w:hAnsi="宋体" w:cs="宋体"/>
                <w:sz w:val="24"/>
                <w:szCs w:val="24"/>
              </w:rPr>
            </w:pPr>
            <w:r>
              <w:rPr>
                <w:rFonts w:hint="eastAsia" w:ascii="宋体" w:hAnsi="宋体" w:cs="宋体"/>
                <w:sz w:val="24"/>
                <w:szCs w:val="24"/>
              </w:rPr>
              <w:t>投资控制措施</w:t>
            </w:r>
          </w:p>
          <w:p>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sz w:val="24"/>
                <w:szCs w:val="24"/>
              </w:rPr>
              <w:t>（3分）</w:t>
            </w:r>
          </w:p>
        </w:tc>
        <w:tc>
          <w:tcPr>
            <w:tcW w:w="6756" w:type="dxa"/>
            <w:vAlign w:val="center"/>
          </w:tcPr>
          <w:p>
            <w:pPr>
              <w:overflowPunct w:val="0"/>
              <w:adjustRightInd w:val="0"/>
              <w:snapToGrid w:val="0"/>
              <w:spacing w:line="360" w:lineRule="auto"/>
              <w:rPr>
                <w:rFonts w:ascii="宋体" w:hAnsi="宋体"/>
                <w:sz w:val="24"/>
                <w:szCs w:val="24"/>
              </w:rPr>
            </w:pPr>
            <w:r>
              <w:rPr>
                <w:rFonts w:hint="eastAsia" w:ascii="宋体" w:hAnsi="宋体"/>
                <w:sz w:val="24"/>
                <w:szCs w:val="24"/>
              </w:rPr>
              <w:t>要求目标明确、方法合理可行、措施具体、针对性强。</w:t>
            </w:r>
          </w:p>
          <w:p>
            <w:pPr>
              <w:overflowPunct w:val="0"/>
              <w:adjustRightInd w:val="0"/>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sz w:val="24"/>
                <w:szCs w:val="24"/>
              </w:rPr>
              <w:t>方案为优得3分；良得2分；一般得1分；</w:t>
            </w:r>
            <w:r>
              <w:rPr>
                <w:rFonts w:hint="eastAsia" w:ascii="宋体" w:hAnsi="宋体"/>
                <w:sz w:val="24"/>
                <w:szCs w:val="24"/>
                <w:lang w:val="en-US" w:eastAsia="zh-CN"/>
              </w:rPr>
              <w:t>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1750"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36" w:right="59"/>
              <w:jc w:val="center"/>
              <w:textAlignment w:val="auto"/>
              <w:rPr>
                <w:rFonts w:ascii="宋体" w:hAnsi="宋体" w:cs="宋体"/>
                <w:color w:val="auto"/>
                <w:kern w:val="0"/>
                <w:sz w:val="24"/>
                <w:szCs w:val="24"/>
                <w:highlight w:val="none"/>
              </w:rPr>
            </w:pPr>
          </w:p>
        </w:tc>
        <w:tc>
          <w:tcPr>
            <w:tcW w:w="1721" w:type="dxa"/>
            <w:vAlign w:val="center"/>
          </w:tcPr>
          <w:p>
            <w:pPr>
              <w:spacing w:line="360" w:lineRule="auto"/>
              <w:jc w:val="center"/>
              <w:rPr>
                <w:rFonts w:ascii="宋体" w:hAnsi="宋体"/>
                <w:sz w:val="24"/>
                <w:szCs w:val="24"/>
              </w:rPr>
            </w:pPr>
            <w:r>
              <w:rPr>
                <w:rFonts w:hint="eastAsia" w:ascii="宋体" w:hAnsi="宋体"/>
                <w:sz w:val="24"/>
                <w:szCs w:val="24"/>
              </w:rPr>
              <w:t>进度控制措施</w:t>
            </w:r>
          </w:p>
          <w:p>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（3分）</w:t>
            </w:r>
          </w:p>
        </w:tc>
        <w:tc>
          <w:tcPr>
            <w:tcW w:w="6756" w:type="dxa"/>
            <w:vAlign w:val="top"/>
          </w:tcPr>
          <w:p>
            <w:pPr>
              <w:overflowPunct w:val="0"/>
              <w:adjustRightInd w:val="0"/>
              <w:snapToGrid w:val="0"/>
              <w:spacing w:line="360" w:lineRule="auto"/>
              <w:rPr>
                <w:rFonts w:ascii="宋体" w:hAnsi="宋体"/>
                <w:sz w:val="24"/>
                <w:szCs w:val="24"/>
              </w:rPr>
            </w:pPr>
            <w:r>
              <w:rPr>
                <w:rFonts w:hint="eastAsia" w:ascii="宋体" w:hAnsi="宋体"/>
                <w:sz w:val="24"/>
                <w:szCs w:val="24"/>
              </w:rPr>
              <w:t>要求目标明确、方法合理可行、措施具体、针对性强。</w:t>
            </w:r>
          </w:p>
          <w:p>
            <w:pPr>
              <w:overflowPunct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sz w:val="24"/>
                <w:szCs w:val="24"/>
              </w:rPr>
              <w:t>方案为优得3分；良得2分；一般得1分；</w:t>
            </w:r>
            <w:r>
              <w:rPr>
                <w:rFonts w:hint="eastAsia" w:ascii="宋体" w:hAnsi="宋体"/>
                <w:sz w:val="24"/>
                <w:szCs w:val="24"/>
                <w:lang w:val="en-US" w:eastAsia="zh-CN"/>
              </w:rPr>
              <w:t>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snapToGrid w:val="0"/>
              <w:spacing w:line="360" w:lineRule="auto"/>
              <w:jc w:val="center"/>
              <w:rPr>
                <w:rFonts w:ascii="宋体" w:hAnsi="宋体"/>
                <w:sz w:val="24"/>
                <w:szCs w:val="24"/>
              </w:rPr>
            </w:pPr>
            <w:r>
              <w:rPr>
                <w:rFonts w:hint="eastAsia" w:ascii="宋体" w:hAnsi="宋体"/>
                <w:sz w:val="24"/>
                <w:szCs w:val="24"/>
              </w:rPr>
              <w:t>质量控制措施</w:t>
            </w:r>
          </w:p>
          <w:p>
            <w:pPr>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（3分）</w:t>
            </w:r>
          </w:p>
        </w:tc>
        <w:tc>
          <w:tcPr>
            <w:tcW w:w="6756" w:type="dxa"/>
            <w:vAlign w:val="center"/>
          </w:tcPr>
          <w:p>
            <w:pPr>
              <w:overflowPunct w:val="0"/>
              <w:adjustRightInd w:val="0"/>
              <w:snapToGrid w:val="0"/>
              <w:spacing w:line="360" w:lineRule="auto"/>
              <w:rPr>
                <w:rFonts w:ascii="宋体" w:hAnsi="宋体"/>
                <w:sz w:val="24"/>
                <w:szCs w:val="24"/>
              </w:rPr>
            </w:pPr>
            <w:r>
              <w:rPr>
                <w:rFonts w:hint="eastAsia" w:ascii="宋体" w:hAnsi="宋体"/>
                <w:sz w:val="24"/>
                <w:szCs w:val="24"/>
              </w:rPr>
              <w:t>要求目标明确、方法合理可行、措施具体、针对性强。</w:t>
            </w:r>
          </w:p>
          <w:p>
            <w:pPr>
              <w:overflowPunct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sz w:val="24"/>
                <w:szCs w:val="24"/>
              </w:rPr>
              <w:t>方案为优得3分；良得2分；一般得1分；</w:t>
            </w:r>
            <w:r>
              <w:rPr>
                <w:rFonts w:hint="eastAsia" w:ascii="宋体" w:hAnsi="宋体"/>
                <w:sz w:val="24"/>
                <w:szCs w:val="24"/>
                <w:lang w:val="en-US" w:eastAsia="zh-CN"/>
              </w:rPr>
              <w:t>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tabs>
                <w:tab w:val="left" w:pos="720"/>
              </w:tabs>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合同管理、信息管理（2分）</w:t>
            </w:r>
          </w:p>
        </w:tc>
        <w:tc>
          <w:tcPr>
            <w:tcW w:w="6756" w:type="dxa"/>
            <w:vAlign w:val="center"/>
          </w:tcPr>
          <w:p>
            <w:pPr>
              <w:tabs>
                <w:tab w:val="left" w:pos="720"/>
              </w:tabs>
              <w:overflowPunct w:val="0"/>
              <w:adjustRightInd w:val="0"/>
              <w:snapToGrid w:val="0"/>
              <w:spacing w:line="360"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bCs/>
                <w:sz w:val="24"/>
                <w:szCs w:val="24"/>
              </w:rPr>
              <w:t>合同管理、信息管理方法针对性强、措施具体得2分；措施不得力得1分；无措施不得分。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组织协调</w:t>
            </w:r>
          </w:p>
          <w:p>
            <w:pPr>
              <w:tabs>
                <w:tab w:val="left" w:pos="720"/>
              </w:tabs>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（3分）</w:t>
            </w:r>
          </w:p>
        </w:tc>
        <w:tc>
          <w:tcPr>
            <w:tcW w:w="6756" w:type="dxa"/>
            <w:vAlign w:val="center"/>
          </w:tcPr>
          <w:p>
            <w:pPr>
              <w:tabs>
                <w:tab w:val="left" w:pos="720"/>
              </w:tabs>
              <w:overflowPunct w:val="0"/>
              <w:adjustRightInd w:val="0"/>
              <w:snapToGrid w:val="0"/>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协调方法清晰合理，有具体措施。</w:t>
            </w:r>
          </w:p>
          <w:p>
            <w:pPr>
              <w:tabs>
                <w:tab w:val="left" w:pos="720"/>
              </w:tabs>
              <w:overflowPunct w:val="0"/>
              <w:adjustRightInd w:val="0"/>
              <w:snapToGrid w:val="0"/>
              <w:spacing w:line="360" w:lineRule="auto"/>
              <w:rPr>
                <w:rFonts w:hint="eastAsia" w:ascii="宋体" w:hAnsi="宋体" w:eastAsia="宋体" w:cs="宋体"/>
                <w:color w:val="auto"/>
                <w:sz w:val="24"/>
                <w:szCs w:val="24"/>
                <w:highlight w:val="none"/>
              </w:rPr>
            </w:pPr>
            <w:r>
              <w:rPr>
                <w:rFonts w:hint="eastAsia" w:cs="宋体" w:asciiTheme="minorEastAsia" w:hAnsiTheme="minorEastAsia" w:eastAsiaTheme="minorEastAsia"/>
                <w:bCs/>
                <w:sz w:val="24"/>
                <w:szCs w:val="24"/>
              </w:rPr>
              <w:t>优得3分；良得2分；一般得1分</w:t>
            </w:r>
            <w:r>
              <w:rPr>
                <w:rFonts w:hint="eastAsia" w:ascii="宋体" w:hAnsi="宋体"/>
                <w:sz w:val="24"/>
                <w:szCs w:val="24"/>
              </w:rPr>
              <w:t>；</w:t>
            </w:r>
            <w:r>
              <w:rPr>
                <w:rFonts w:hint="eastAsia" w:ascii="宋体" w:hAnsi="宋体"/>
                <w:sz w:val="24"/>
                <w:szCs w:val="24"/>
                <w:lang w:val="en-US" w:eastAsia="zh-CN"/>
              </w:rPr>
              <w:t>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tabs>
                <w:tab w:val="left" w:pos="720"/>
              </w:tabs>
              <w:snapToGrid w:val="0"/>
              <w:spacing w:line="360" w:lineRule="auto"/>
              <w:jc w:val="center"/>
              <w:rPr>
                <w:rFonts w:ascii="宋体" w:hAnsi="宋体"/>
                <w:sz w:val="24"/>
                <w:szCs w:val="24"/>
              </w:rPr>
            </w:pPr>
            <w:r>
              <w:rPr>
                <w:rFonts w:hint="eastAsia" w:ascii="宋体" w:hAnsi="宋体"/>
                <w:sz w:val="24"/>
                <w:szCs w:val="24"/>
              </w:rPr>
              <w:t>监理工作程序</w:t>
            </w:r>
          </w:p>
          <w:p>
            <w:pPr>
              <w:tabs>
                <w:tab w:val="left" w:pos="720"/>
              </w:tabs>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（3分）</w:t>
            </w:r>
          </w:p>
        </w:tc>
        <w:tc>
          <w:tcPr>
            <w:tcW w:w="6756" w:type="dxa"/>
            <w:vAlign w:val="center"/>
          </w:tcPr>
          <w:p>
            <w:pPr>
              <w:widowControl/>
              <w:adjustRightInd w:val="0"/>
              <w:snapToGrid w:val="0"/>
              <w:spacing w:before="100" w:beforeAutospacing="1" w:after="100" w:afterAutospacing="1" w:line="276" w:lineRule="auto"/>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有清晰的工作流程图、工作准则。</w:t>
            </w:r>
          </w:p>
          <w:p>
            <w:pPr>
              <w:widowControl/>
              <w:adjustRightInd w:val="0"/>
              <w:snapToGrid w:val="0"/>
              <w:spacing w:before="100" w:beforeAutospacing="1" w:after="100" w:afterAutospacing="1" w:line="276" w:lineRule="auto"/>
              <w:jc w:val="left"/>
              <w:rPr>
                <w:rFonts w:hint="eastAsia" w:ascii="宋体" w:hAnsi="宋体" w:eastAsia="宋体" w:cs="宋体"/>
                <w:color w:val="auto"/>
                <w:sz w:val="24"/>
                <w:szCs w:val="24"/>
                <w:highlight w:val="none"/>
              </w:rPr>
            </w:pPr>
            <w:r>
              <w:rPr>
                <w:rFonts w:hint="eastAsia" w:cs="宋体" w:asciiTheme="minorEastAsia" w:hAnsiTheme="minorEastAsia" w:eastAsiaTheme="minorEastAsia"/>
                <w:bCs/>
                <w:sz w:val="24"/>
                <w:szCs w:val="24"/>
              </w:rPr>
              <w:t>优得3分；良得2分；一般得1分</w:t>
            </w:r>
            <w:r>
              <w:rPr>
                <w:rFonts w:hint="eastAsia" w:ascii="宋体" w:hAnsi="宋体"/>
                <w:sz w:val="24"/>
                <w:szCs w:val="24"/>
              </w:rPr>
              <w:t>；</w:t>
            </w:r>
            <w:r>
              <w:rPr>
                <w:rFonts w:hint="eastAsia" w:ascii="宋体" w:hAnsi="宋体"/>
                <w:sz w:val="24"/>
                <w:szCs w:val="24"/>
                <w:lang w:val="en-US" w:eastAsia="zh-CN"/>
              </w:rPr>
              <w:t>无内容不得分。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tabs>
                <w:tab w:val="left" w:pos="720"/>
              </w:tabs>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安全、文明施工管理（2分）</w:t>
            </w:r>
          </w:p>
        </w:tc>
        <w:tc>
          <w:tcPr>
            <w:tcW w:w="6756" w:type="dxa"/>
            <w:vAlign w:val="center"/>
          </w:tcPr>
          <w:p>
            <w:pPr>
              <w:tabs>
                <w:tab w:val="left" w:pos="720"/>
              </w:tabs>
              <w:overflowPunct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sz w:val="24"/>
                <w:szCs w:val="24"/>
              </w:rPr>
              <w:t>安全、文明施工管理优得2分；一般得1分；无措施不得分。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tabs>
                <w:tab w:val="left" w:pos="720"/>
              </w:tab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重点难点监控措施（4分）</w:t>
            </w:r>
          </w:p>
        </w:tc>
        <w:tc>
          <w:tcPr>
            <w:tcW w:w="6756" w:type="dxa"/>
            <w:vAlign w:val="center"/>
          </w:tcPr>
          <w:p>
            <w:pPr>
              <w:widowControl/>
              <w:adjustRightInd w:val="0"/>
              <w:snapToGrid w:val="0"/>
              <w:spacing w:before="100" w:beforeAutospacing="1" w:after="100" w:afterAutospacing="1"/>
              <w:jc w:val="left"/>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要求针对性强、措施具体、可操作。</w:t>
            </w:r>
          </w:p>
          <w:p>
            <w:pPr>
              <w:widowControl/>
              <w:adjustRightInd w:val="0"/>
              <w:snapToGrid w:val="0"/>
              <w:spacing w:before="100" w:beforeAutospacing="1" w:after="100" w:afterAutospacing="1"/>
              <w:jc w:val="left"/>
              <w:rPr>
                <w:rFonts w:hint="eastAsia" w:ascii="宋体" w:hAnsi="宋体" w:eastAsia="宋体" w:cs="宋体"/>
                <w:color w:val="auto"/>
                <w:sz w:val="24"/>
                <w:szCs w:val="24"/>
                <w:highlight w:val="none"/>
              </w:rPr>
            </w:pPr>
            <w:r>
              <w:rPr>
                <w:rFonts w:hint="eastAsia" w:cs="宋体" w:asciiTheme="minorEastAsia" w:hAnsiTheme="minorEastAsia" w:eastAsiaTheme="minorEastAsia"/>
                <w:bCs/>
                <w:sz w:val="24"/>
                <w:szCs w:val="24"/>
              </w:rPr>
              <w:t>优得4分；良得3分；一般得1分</w:t>
            </w:r>
            <w:r>
              <w:rPr>
                <w:rFonts w:hint="eastAsia" w:ascii="宋体" w:hAnsi="宋体"/>
                <w:sz w:val="24"/>
                <w:szCs w:val="24"/>
              </w:rPr>
              <w:t>；</w:t>
            </w:r>
            <w:r>
              <w:rPr>
                <w:rFonts w:hint="eastAsia" w:ascii="宋体" w:hAnsi="宋体"/>
                <w:sz w:val="24"/>
                <w:szCs w:val="24"/>
                <w:lang w:val="en-US" w:eastAsia="zh-CN"/>
              </w:rPr>
              <w:t>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tabs>
                <w:tab w:val="left" w:pos="720"/>
              </w:tab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工程进度款、工程结算的管理（2分）</w:t>
            </w:r>
          </w:p>
        </w:tc>
        <w:tc>
          <w:tcPr>
            <w:tcW w:w="6756" w:type="dxa"/>
            <w:vAlign w:val="center"/>
          </w:tcPr>
          <w:p>
            <w:pPr>
              <w:tabs>
                <w:tab w:val="left" w:pos="720"/>
              </w:tabs>
              <w:overflowPunct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sz w:val="24"/>
                <w:szCs w:val="24"/>
              </w:rPr>
              <w:t>管理方法合理有效、有具体措施。优得2分；一般、措施不具体得1分；无管理的方法和措施不得分。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tabs>
                <w:tab w:val="left" w:pos="720"/>
              </w:tabs>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sz w:val="24"/>
                <w:szCs w:val="24"/>
              </w:rPr>
              <w:t>会议制度（2分）</w:t>
            </w:r>
          </w:p>
        </w:tc>
        <w:tc>
          <w:tcPr>
            <w:tcW w:w="6756" w:type="dxa"/>
            <w:vAlign w:val="center"/>
          </w:tcPr>
          <w:p>
            <w:pPr>
              <w:widowControl/>
              <w:adjustRightInd w:val="0"/>
              <w:snapToGrid w:val="0"/>
              <w:spacing w:before="100" w:beforeAutospacing="1" w:after="100" w:afterAutospacing="1"/>
              <w:jc w:val="left"/>
              <w:rPr>
                <w:rFonts w:hint="eastAsia" w:ascii="宋体" w:hAnsi="宋体" w:eastAsia="宋体" w:cs="宋体"/>
                <w:color w:val="auto"/>
                <w:sz w:val="24"/>
                <w:szCs w:val="24"/>
                <w:highlight w:val="none"/>
              </w:rPr>
            </w:pPr>
            <w:r>
              <w:rPr>
                <w:rFonts w:hint="eastAsia" w:cs="宋体" w:asciiTheme="minorEastAsia" w:hAnsiTheme="minorEastAsia" w:eastAsiaTheme="minorEastAsia"/>
                <w:bCs/>
                <w:sz w:val="24"/>
                <w:szCs w:val="24"/>
              </w:rPr>
              <w:t>建立完善的工地会议制度。满足要求得2分；基本满足要求得1分；不满足要求不得分。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1750" w:type="dxa"/>
            <w:gridSpan w:val="2"/>
            <w:vMerge w:val="continue"/>
            <w:vAlign w:val="center"/>
          </w:tcPr>
          <w:p>
            <w:pPr>
              <w:keepNext w:val="0"/>
              <w:keepLines w:val="0"/>
              <w:pageBreakBefore w:val="0"/>
              <w:widowControl/>
              <w:kinsoku/>
              <w:wordWrap/>
              <w:overflowPunct/>
              <w:topLinePunct w:val="0"/>
              <w:bidi w:val="0"/>
              <w:snapToGrid w:val="0"/>
              <w:spacing w:beforeAutospacing="0" w:afterAutospacing="0" w:line="360" w:lineRule="auto"/>
              <w:jc w:val="left"/>
              <w:textAlignment w:val="auto"/>
              <w:rPr>
                <w:rFonts w:ascii="宋体" w:hAnsi="宋体" w:cs="宋体"/>
                <w:color w:val="auto"/>
                <w:kern w:val="0"/>
                <w:sz w:val="24"/>
                <w:szCs w:val="24"/>
                <w:highlight w:val="none"/>
              </w:rPr>
            </w:pPr>
          </w:p>
        </w:tc>
        <w:tc>
          <w:tcPr>
            <w:tcW w:w="1721"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合理化建议</w:t>
            </w:r>
          </w:p>
          <w:p>
            <w:pPr>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sz w:val="24"/>
                <w:szCs w:val="24"/>
              </w:rPr>
              <w:t>（3分）</w:t>
            </w:r>
          </w:p>
        </w:tc>
        <w:tc>
          <w:tcPr>
            <w:tcW w:w="6756" w:type="dxa"/>
            <w:vAlign w:val="center"/>
          </w:tcPr>
          <w:p>
            <w:pPr>
              <w:widowControl/>
              <w:adjustRightInd w:val="0"/>
              <w:snapToGrid w:val="0"/>
              <w:spacing w:before="100" w:beforeAutospacing="1" w:after="100" w:afterAutospacing="1"/>
              <w:jc w:val="left"/>
              <w:rPr>
                <w:rFonts w:hint="eastAsia" w:ascii="宋体" w:hAnsi="宋体" w:eastAsia="宋体" w:cs="宋体"/>
                <w:color w:val="auto"/>
                <w:sz w:val="24"/>
                <w:szCs w:val="24"/>
                <w:highlight w:val="none"/>
              </w:rPr>
            </w:pPr>
            <w:r>
              <w:rPr>
                <w:rFonts w:hint="eastAsia" w:cs="宋体" w:asciiTheme="minorEastAsia" w:hAnsiTheme="minorEastAsia" w:eastAsiaTheme="minorEastAsia"/>
                <w:bCs/>
                <w:sz w:val="24"/>
                <w:szCs w:val="24"/>
              </w:rPr>
              <w:t>具有科学、合理、可行及具体措施的建议并经评委分析论证认同的。优得3分；良得2分；一般得1分</w:t>
            </w:r>
            <w:r>
              <w:rPr>
                <w:rFonts w:hint="eastAsia" w:ascii="宋体" w:hAnsi="宋体"/>
                <w:sz w:val="24"/>
                <w:szCs w:val="24"/>
              </w:rPr>
              <w:t>；</w:t>
            </w:r>
            <w:r>
              <w:rPr>
                <w:rFonts w:hint="eastAsia" w:ascii="宋体" w:hAnsi="宋体"/>
                <w:sz w:val="24"/>
                <w:szCs w:val="24"/>
                <w:lang w:val="en-US" w:eastAsia="zh-CN"/>
              </w:rPr>
              <w:t>无建议不得分。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3" w:hRule="atLeast"/>
        </w:trPr>
        <w:tc>
          <w:tcPr>
            <w:tcW w:w="3471" w:type="dxa"/>
            <w:gridSpan w:val="3"/>
            <w:vAlign w:val="center"/>
          </w:tcPr>
          <w:p>
            <w:pPr>
              <w:autoSpaceDE w:val="0"/>
              <w:autoSpaceDN w:val="0"/>
              <w:adjustRightInd w:val="0"/>
              <w:spacing w:line="360" w:lineRule="auto"/>
              <w:ind w:left="136" w:right="59"/>
              <w:jc w:val="center"/>
              <w:rPr>
                <w:rFonts w:ascii="Times New Roman" w:hAnsi="Times New Roman"/>
                <w:sz w:val="24"/>
                <w:szCs w:val="24"/>
              </w:rPr>
            </w:pPr>
            <w:r>
              <w:rPr>
                <w:rFonts w:hint="eastAsia" w:ascii="Times New Roman" w:hAnsi="Times New Roman"/>
                <w:sz w:val="24"/>
                <w:szCs w:val="24"/>
              </w:rPr>
              <w:t>2.2.4（3）</w:t>
            </w:r>
          </w:p>
          <w:p>
            <w:pPr>
              <w:autoSpaceDE w:val="0"/>
              <w:autoSpaceDN w:val="0"/>
              <w:adjustRightInd w:val="0"/>
              <w:spacing w:line="360" w:lineRule="auto"/>
              <w:ind w:left="136" w:leftChars="0" w:right="59" w:rightChars="0"/>
              <w:jc w:val="center"/>
              <w:rPr>
                <w:rFonts w:hint="eastAsia" w:ascii="宋体" w:hAnsi="宋体"/>
                <w:color w:val="auto"/>
                <w:sz w:val="24"/>
                <w:szCs w:val="24"/>
                <w:highlight w:val="none"/>
              </w:rPr>
            </w:pPr>
            <w:r>
              <w:rPr>
                <w:rFonts w:hint="eastAsia" w:ascii="宋体" w:hAnsi="宋体"/>
                <w:sz w:val="24"/>
                <w:szCs w:val="24"/>
              </w:rPr>
              <w:t>投标报价评分标准</w:t>
            </w:r>
            <w:r>
              <w:rPr>
                <w:rFonts w:ascii="宋体" w:hAnsi="宋体"/>
                <w:sz w:val="24"/>
                <w:szCs w:val="24"/>
              </w:rPr>
              <w:t>(</w:t>
            </w:r>
            <w:r>
              <w:rPr>
                <w:rFonts w:hint="eastAsia" w:ascii="宋体" w:hAnsi="宋体"/>
                <w:sz w:val="24"/>
                <w:szCs w:val="24"/>
              </w:rPr>
              <w:t>10分</w:t>
            </w:r>
            <w:r>
              <w:rPr>
                <w:rFonts w:ascii="宋体" w:hAnsi="宋体"/>
                <w:sz w:val="24"/>
                <w:szCs w:val="24"/>
              </w:rPr>
              <w:t>)</w:t>
            </w:r>
          </w:p>
        </w:tc>
        <w:tc>
          <w:tcPr>
            <w:tcW w:w="6756" w:type="dxa"/>
            <w:vAlign w:val="center"/>
          </w:tcPr>
          <w:p>
            <w:pPr>
              <w:overflowPunct w:val="0"/>
              <w:autoSpaceDE w:val="0"/>
              <w:autoSpaceDN w:val="0"/>
              <w:adjustRightInd w:val="0"/>
              <w:snapToGrid w:val="0"/>
              <w:spacing w:line="360" w:lineRule="auto"/>
              <w:rPr>
                <w:rFonts w:hint="eastAsia" w:ascii="宋体" w:hAnsi="宋体" w:cs="宋体"/>
                <w:color w:val="auto"/>
                <w:kern w:val="0"/>
                <w:sz w:val="24"/>
                <w:szCs w:val="24"/>
                <w:highlight w:val="none"/>
              </w:rPr>
            </w:pPr>
            <w:r>
              <w:rPr>
                <w:rFonts w:hint="eastAsia" w:ascii="宋体" w:hAnsi="宋体" w:cs="宋体"/>
                <w:kern w:val="0"/>
                <w:sz w:val="24"/>
                <w:szCs w:val="24"/>
              </w:rPr>
              <w:t>投标报价在本招标文件规定的报价范围内为有效投标报价，将所有有效投标报价去掉一个最高价和一个最低价后取算术平均值（若有效投标不超过5家则直接求取算术平均值）为评标参考价，当有效投标报价等于评标参考价时得10分；投标有效投价与评标参考价相比，每上偏1%扣0.3分，每下偏1%扣0.2分，最多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3" w:hRule="atLeast"/>
        </w:trPr>
        <w:tc>
          <w:tcPr>
            <w:tcW w:w="3471" w:type="dxa"/>
            <w:gridSpan w:val="3"/>
            <w:vAlign w:val="center"/>
          </w:tcPr>
          <w:p>
            <w:pPr>
              <w:autoSpaceDE w:val="0"/>
              <w:autoSpaceDN w:val="0"/>
              <w:adjustRightInd w:val="0"/>
              <w:spacing w:line="360" w:lineRule="auto"/>
              <w:ind w:left="136" w:right="59"/>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bidi="ar"/>
              </w:rPr>
              <w:t>2.2.4</w:t>
            </w:r>
            <w:r>
              <w:rPr>
                <w:rFonts w:hint="eastAsia" w:cs="宋体" w:asciiTheme="minorEastAsia" w:hAnsiTheme="minorEastAsia" w:eastAsiaTheme="minorEastAsia"/>
                <w:sz w:val="24"/>
                <w:szCs w:val="24"/>
              </w:rPr>
              <w:t>（4）</w:t>
            </w:r>
          </w:p>
          <w:p>
            <w:pPr>
              <w:autoSpaceDE w:val="0"/>
              <w:autoSpaceDN w:val="0"/>
              <w:adjustRightInd w:val="0"/>
              <w:spacing w:line="360" w:lineRule="auto"/>
              <w:ind w:left="136" w:leftChars="0" w:right="59" w:rightChars="0"/>
              <w:jc w:val="center"/>
              <w:rPr>
                <w:rFonts w:hint="eastAsia" w:ascii="宋体" w:hAnsi="宋体"/>
                <w:color w:val="auto"/>
                <w:sz w:val="24"/>
                <w:szCs w:val="24"/>
                <w:highlight w:val="none"/>
              </w:rPr>
            </w:pPr>
            <w:r>
              <w:rPr>
                <w:rFonts w:hint="eastAsia" w:cs="宋体" w:asciiTheme="minorEastAsia" w:hAnsiTheme="minorEastAsia" w:eastAsiaTheme="minorEastAsia"/>
                <w:sz w:val="24"/>
                <w:szCs w:val="24"/>
                <w:lang w:bidi="ar"/>
              </w:rPr>
              <w:t>其他因素评分标准（20分）</w:t>
            </w:r>
          </w:p>
        </w:tc>
        <w:tc>
          <w:tcPr>
            <w:tcW w:w="6756" w:type="dxa"/>
            <w:vAlign w:val="center"/>
          </w:tcPr>
          <w:p>
            <w:pPr>
              <w:overflowPunct w:val="0"/>
              <w:autoSpaceDE w:val="0"/>
              <w:autoSpaceDN w:val="0"/>
              <w:adjustRightInd w:val="0"/>
              <w:snapToGrid w:val="0"/>
              <w:spacing w:line="360" w:lineRule="auto"/>
              <w:rPr>
                <w:rFonts w:hint="eastAsia" w:ascii="宋体" w:hAnsi="宋体" w:cs="宋体"/>
                <w:color w:val="auto"/>
                <w:kern w:val="0"/>
                <w:sz w:val="24"/>
                <w:szCs w:val="24"/>
                <w:highlight w:val="none"/>
              </w:rPr>
            </w:pPr>
            <w:r>
              <w:rPr>
                <w:rFonts w:hint="eastAsia" w:cs="宋体" w:asciiTheme="minorEastAsia" w:hAnsiTheme="minorEastAsia" w:eastAsiaTheme="minorEastAsia"/>
                <w:sz w:val="24"/>
                <w:szCs w:val="24"/>
              </w:rPr>
              <w:t>投标人诚信综合评价排名得分=诚信综合评价排名得分×20%。投标人的诚信综合评价排名得分以递交投标文件截止时间</w:t>
            </w:r>
            <w:r>
              <w:rPr>
                <w:rFonts w:hint="eastAsia" w:cs="宋体" w:asciiTheme="minorEastAsia" w:hAnsiTheme="minorEastAsia" w:eastAsiaTheme="minorEastAsia"/>
                <w:sz w:val="24"/>
                <w:szCs w:val="24"/>
                <w:lang w:val="en-US" w:eastAsia="zh-CN"/>
              </w:rPr>
              <w:t>当天</w:t>
            </w:r>
            <w:r>
              <w:rPr>
                <w:rFonts w:hint="eastAsia" w:cs="宋体" w:asciiTheme="minorEastAsia" w:hAnsiTheme="minorEastAsia" w:eastAsiaTheme="minorEastAsia"/>
                <w:sz w:val="24"/>
                <w:szCs w:val="24"/>
                <w:u w:val="single"/>
              </w:rPr>
              <w:t>广州市工程招标代理行业协会网站</w:t>
            </w:r>
            <w:r>
              <w:rPr>
                <w:rFonts w:hint="eastAsia" w:cs="宋体" w:asciiTheme="minorEastAsia" w:hAnsiTheme="minorEastAsia" w:eastAsiaTheme="minorEastAsia"/>
                <w:sz w:val="24"/>
                <w:szCs w:val="24"/>
              </w:rPr>
              <w:t>企业诚信评价专栏上公布的</w:t>
            </w:r>
            <w:r>
              <w:rPr>
                <w:rFonts w:hint="eastAsia" w:cs="宋体" w:asciiTheme="minorEastAsia" w:hAnsiTheme="minorEastAsia" w:eastAsiaTheme="minorEastAsia"/>
                <w:b/>
                <w:bCs/>
                <w:sz w:val="24"/>
                <w:szCs w:val="24"/>
              </w:rPr>
              <w:t>企业60日诚信分</w:t>
            </w:r>
            <w:r>
              <w:rPr>
                <w:rFonts w:hint="eastAsia" w:cs="宋体" w:asciiTheme="minorEastAsia" w:hAnsiTheme="minorEastAsia" w:eastAsiaTheme="minorEastAsia"/>
                <w:sz w:val="24"/>
                <w:szCs w:val="24"/>
              </w:rPr>
              <w:t>得分为准。企业诚信综合诚信评价排名以</w:t>
            </w:r>
            <w:r>
              <w:rPr>
                <w:rFonts w:hint="eastAsia" w:cs="宋体" w:asciiTheme="minorEastAsia" w:hAnsiTheme="minorEastAsia" w:eastAsiaTheme="minorEastAsia"/>
                <w:b/>
                <w:bCs/>
                <w:sz w:val="24"/>
                <w:szCs w:val="24"/>
                <w:u w:val="single"/>
              </w:rPr>
              <w:t>监理-房建</w:t>
            </w:r>
            <w:r>
              <w:rPr>
                <w:rFonts w:hint="eastAsia" w:cs="宋体" w:asciiTheme="minorEastAsia" w:hAnsiTheme="minorEastAsia" w:eastAsiaTheme="minorEastAsia"/>
                <w:sz w:val="24"/>
                <w:szCs w:val="24"/>
              </w:rPr>
              <w:t>排名为准。</w:t>
            </w:r>
          </w:p>
        </w:tc>
      </w:tr>
    </w:tbl>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 xml:space="preserve">说明： </w:t>
      </w:r>
    </w:p>
    <w:p>
      <w:pPr>
        <w:rPr>
          <w:color w:val="auto"/>
          <w:highlight w:val="none"/>
        </w:rPr>
      </w:pPr>
      <w:bookmarkStart w:id="304" w:name="_Toc529196583"/>
      <w:bookmarkStart w:id="305" w:name="_Toc515205256"/>
      <w:r>
        <w:rPr>
          <w:rFonts w:hint="eastAsia"/>
          <w:color w:val="auto"/>
          <w:highlight w:val="none"/>
        </w:rPr>
        <w:t>投标人的得分为各评委的评分的算术平均值。评分分数出现小数点时，保留小数点后二位，第三位小数四舍五入。</w:t>
      </w:r>
      <w:r>
        <w:rPr>
          <w:color w:val="auto"/>
          <w:highlight w:val="none"/>
        </w:rPr>
        <w:br w:type="page"/>
      </w:r>
    </w:p>
    <w:p>
      <w:pPr>
        <w:pStyle w:val="5"/>
        <w:rPr>
          <w:color w:val="auto"/>
          <w:highlight w:val="none"/>
        </w:rPr>
      </w:pPr>
      <w:r>
        <w:rPr>
          <w:color w:val="auto"/>
          <w:highlight w:val="none"/>
        </w:rPr>
        <w:t>1. 评标方法</w:t>
      </w:r>
      <w:bookmarkEnd w:id="304"/>
      <w:bookmarkEnd w:id="305"/>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06" w:name="_Toc300835008"/>
      <w:bookmarkStart w:id="307" w:name="_Toc384308272"/>
      <w:bookmarkStart w:id="308" w:name="_Toc247514022"/>
      <w:bookmarkStart w:id="309" w:name="_Toc144974565"/>
      <w:bookmarkStart w:id="310" w:name="_Toc361508646"/>
      <w:bookmarkStart w:id="311" w:name="_Toc152042375"/>
      <w:bookmarkStart w:id="312" w:name="_Toc152045598"/>
      <w:bookmarkStart w:id="313" w:name="_Toc247527623"/>
      <w:bookmarkStart w:id="314" w:name="_Toc369531577"/>
      <w:bookmarkStart w:id="315" w:name="_Toc4497"/>
      <w:bookmarkStart w:id="316" w:name="_Toc352691533"/>
      <w:r>
        <w:rPr>
          <w:rFonts w:ascii="Times New Roman" w:hAnsi="Times New Roman"/>
          <w:color w:val="auto"/>
          <w:sz w:val="24"/>
          <w:highlight w:val="none"/>
        </w:rPr>
        <w:t>外。综合评分相等</w:t>
      </w:r>
      <w:bookmarkEnd w:id="306"/>
      <w:bookmarkEnd w:id="307"/>
      <w:bookmarkEnd w:id="308"/>
      <w:bookmarkEnd w:id="309"/>
      <w:bookmarkEnd w:id="310"/>
      <w:bookmarkEnd w:id="311"/>
      <w:bookmarkEnd w:id="312"/>
      <w:bookmarkEnd w:id="313"/>
      <w:r>
        <w:rPr>
          <w:rFonts w:ascii="Times New Roman" w:hAnsi="Times New Roman"/>
          <w:color w:val="auto"/>
          <w:sz w:val="24"/>
          <w:highlight w:val="none"/>
        </w:rPr>
        <w:t>时，以投标报价低的</w:t>
      </w:r>
      <w:bookmarkEnd w:id="314"/>
      <w:bookmarkEnd w:id="315"/>
      <w:bookmarkEnd w:id="316"/>
      <w:r>
        <w:rPr>
          <w:rFonts w:ascii="Times New Roman" w:hAnsi="Times New Roman"/>
          <w:color w:val="auto"/>
          <w:sz w:val="24"/>
          <w:highlight w:val="none"/>
        </w:rPr>
        <w:t>优</w:t>
      </w:r>
      <w:bookmarkStart w:id="317" w:name="_Toc152045599"/>
      <w:bookmarkStart w:id="318" w:name="_Toc369531578"/>
      <w:bookmarkStart w:id="319" w:name="_Toc384308273"/>
      <w:bookmarkStart w:id="320" w:name="_Toc152042376"/>
      <w:bookmarkStart w:id="321" w:name="_Toc361508647"/>
      <w:bookmarkStart w:id="322" w:name="_Toc247527624"/>
      <w:bookmarkStart w:id="323" w:name="_Toc39"/>
      <w:bookmarkStart w:id="324" w:name="_Toc300835009"/>
      <w:bookmarkStart w:id="325" w:name="_Toc352691534"/>
      <w:bookmarkStart w:id="326" w:name="_Toc247514023"/>
      <w:bookmarkStart w:id="327" w:name="_Toc144974566"/>
      <w:r>
        <w:rPr>
          <w:rFonts w:ascii="Times New Roman" w:hAnsi="Times New Roman"/>
          <w:color w:val="auto"/>
          <w:sz w:val="24"/>
          <w:highlight w:val="none"/>
        </w:rPr>
        <w:t>先；投标报价也相等</w:t>
      </w:r>
      <w:bookmarkEnd w:id="317"/>
      <w:bookmarkEnd w:id="318"/>
      <w:bookmarkEnd w:id="319"/>
      <w:bookmarkEnd w:id="320"/>
      <w:bookmarkEnd w:id="321"/>
      <w:bookmarkEnd w:id="322"/>
      <w:bookmarkEnd w:id="323"/>
      <w:bookmarkEnd w:id="324"/>
      <w:bookmarkEnd w:id="325"/>
      <w:bookmarkEnd w:id="326"/>
      <w:bookmarkEnd w:id="327"/>
      <w:r>
        <w:rPr>
          <w:rFonts w:ascii="Times New Roman" w:hAnsi="Times New Roman"/>
          <w:color w:val="auto"/>
          <w:sz w:val="24"/>
          <w:highlight w:val="none"/>
        </w:rPr>
        <w:t>的</w:t>
      </w:r>
      <w:r>
        <w:rPr>
          <w:rFonts w:hint="eastAsia" w:ascii="Times New Roman" w:hAnsi="Times New Roman"/>
          <w:color w:val="auto"/>
          <w:sz w:val="24"/>
          <w:highlight w:val="none"/>
        </w:rPr>
        <w:t>，以</w:t>
      </w:r>
      <w:r>
        <w:rPr>
          <w:rFonts w:ascii="Times New Roman" w:hAnsi="Times New Roman"/>
          <w:color w:val="auto"/>
          <w:sz w:val="24"/>
          <w:highlight w:val="none"/>
        </w:rPr>
        <w:t>监理大纲得分高的优先</w:t>
      </w:r>
      <w:r>
        <w:rPr>
          <w:rFonts w:hint="eastAsia" w:ascii="Times New Roman" w:hAnsi="Times New Roman"/>
          <w:color w:val="auto"/>
          <w:sz w:val="24"/>
          <w:highlight w:val="none"/>
        </w:rPr>
        <w:t>；</w:t>
      </w:r>
      <w:r>
        <w:rPr>
          <w:rFonts w:ascii="Times New Roman" w:hAnsi="Times New Roman"/>
          <w:color w:val="auto"/>
          <w:sz w:val="24"/>
          <w:highlight w:val="none"/>
        </w:rPr>
        <w:t>如果监理大纲得分也相</w:t>
      </w:r>
      <w:r>
        <w:rPr>
          <w:rFonts w:hint="eastAsia" w:ascii="Times New Roman" w:hAnsi="Times New Roman"/>
          <w:color w:val="auto"/>
          <w:sz w:val="24"/>
          <w:highlight w:val="none"/>
        </w:rPr>
        <w:t>等</w:t>
      </w:r>
      <w:r>
        <w:rPr>
          <w:rFonts w:ascii="Times New Roman" w:hAnsi="Times New Roman"/>
          <w:color w:val="auto"/>
          <w:sz w:val="24"/>
          <w:highlight w:val="none"/>
        </w:rPr>
        <w:t>，按照评标办法前附表的规定确定中标候选人顺序。</w:t>
      </w:r>
    </w:p>
    <w:p>
      <w:pPr>
        <w:pStyle w:val="5"/>
        <w:rPr>
          <w:color w:val="auto"/>
          <w:highlight w:val="none"/>
        </w:rPr>
      </w:pPr>
      <w:bookmarkStart w:id="328" w:name="_Toc515205257"/>
      <w:bookmarkStart w:id="329" w:name="_Toc529196584"/>
      <w:r>
        <w:rPr>
          <w:color w:val="auto"/>
          <w:highlight w:val="none"/>
        </w:rPr>
        <w:t>2. 评审标准</w:t>
      </w:r>
      <w:bookmarkEnd w:id="328"/>
      <w:bookmarkEnd w:id="329"/>
    </w:p>
    <w:p>
      <w:pPr>
        <w:pStyle w:val="5"/>
        <w:ind w:firstLine="137"/>
        <w:rPr>
          <w:color w:val="auto"/>
          <w:highlight w:val="none"/>
        </w:rPr>
      </w:pPr>
      <w:bookmarkStart w:id="330" w:name="_Toc529196585"/>
      <w:bookmarkStart w:id="331" w:name="_Toc515205258"/>
      <w:r>
        <w:rPr>
          <w:color w:val="auto"/>
          <w:highlight w:val="none"/>
        </w:rPr>
        <w:t>2.1 初步评审标准</w:t>
      </w:r>
      <w:bookmarkEnd w:id="330"/>
      <w:bookmarkEnd w:id="331"/>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2.1.1 形式评审标准：见评标办法前附表。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2.1.2 资格评审标准：见评标办法前附表。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2.1.3 响应性评审标准：见评标办法前附表。</w:t>
      </w:r>
    </w:p>
    <w:p>
      <w:pPr>
        <w:pStyle w:val="5"/>
        <w:ind w:firstLine="137"/>
        <w:rPr>
          <w:color w:val="auto"/>
          <w:highlight w:val="none"/>
        </w:rPr>
      </w:pPr>
      <w:bookmarkStart w:id="332" w:name="_Toc515205259"/>
      <w:bookmarkStart w:id="333" w:name="_Toc529196586"/>
      <w:r>
        <w:rPr>
          <w:color w:val="auto"/>
          <w:highlight w:val="none"/>
        </w:rPr>
        <w:t>2.2 分值构成与评分标准</w:t>
      </w:r>
      <w:bookmarkEnd w:id="332"/>
      <w:bookmarkEnd w:id="333"/>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2.2.1 分值构成</w:t>
      </w:r>
      <w:r>
        <w:rPr>
          <w:rFonts w:hint="eastAsia"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（1）资信业绩部分：见评标办法前附表；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（2）监理大纲部分：见评标办法前附表；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（3）投标报价：见评标办法前附表；</w:t>
      </w:r>
    </w:p>
    <w:p>
      <w:pPr>
        <w:spacing w:line="360" w:lineRule="auto"/>
        <w:ind w:firstLine="480" w:firstLineChars="200"/>
        <w:rPr>
          <w:rFonts w:ascii="Times New Roman" w:hAnsi="Times New Roman"/>
          <w:strike w:val="0"/>
          <w:dstrike w:val="0"/>
          <w:color w:val="auto"/>
          <w:sz w:val="24"/>
          <w:highlight w:val="none"/>
        </w:rPr>
      </w:pPr>
      <w:r>
        <w:rPr>
          <w:rFonts w:ascii="Times New Roman" w:hAnsi="Times New Roman"/>
          <w:strike w:val="0"/>
          <w:dstrike w:val="0"/>
          <w:color w:val="auto"/>
          <w:sz w:val="24"/>
          <w:highlight w:val="none"/>
        </w:rPr>
        <w:t>（4）其他评分因素：见评标办法前附表。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2.2.2 评标基准价计算</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评标基准价计算方法：见评标办法前附表。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2.2.3 投标报价的偏差率计算</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投标报价的偏差率计算公式：见评标办法前附表。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2.2.4 评分标准</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（1）资信业绩评分标准：见评标办法前附表；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（2）监理大纲评分标准：见评标办法前附表；</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（3）投标报价评分标准：见评标办法前附表；</w:t>
      </w:r>
    </w:p>
    <w:p>
      <w:pPr>
        <w:spacing w:line="360" w:lineRule="auto"/>
        <w:ind w:firstLine="480" w:firstLineChars="200"/>
        <w:rPr>
          <w:rFonts w:ascii="Times New Roman" w:hAnsi="Times New Roman"/>
          <w:strike w:val="0"/>
          <w:dstrike w:val="0"/>
          <w:color w:val="auto"/>
          <w:sz w:val="24"/>
          <w:highlight w:val="none"/>
        </w:rPr>
      </w:pPr>
      <w:r>
        <w:rPr>
          <w:rFonts w:ascii="Times New Roman" w:hAnsi="Times New Roman"/>
          <w:strike w:val="0"/>
          <w:dstrike w:val="0"/>
          <w:color w:val="auto"/>
          <w:sz w:val="24"/>
          <w:highlight w:val="none"/>
        </w:rPr>
        <w:t>（4）其他因素评分标准：见评标办法前附表。</w:t>
      </w:r>
    </w:p>
    <w:p>
      <w:pPr>
        <w:pStyle w:val="5"/>
        <w:rPr>
          <w:color w:val="auto"/>
          <w:highlight w:val="none"/>
        </w:rPr>
      </w:pPr>
      <w:bookmarkStart w:id="334" w:name="_Toc515205260"/>
      <w:bookmarkStart w:id="335" w:name="_Toc529196587"/>
      <w:r>
        <w:rPr>
          <w:color w:val="auto"/>
          <w:highlight w:val="none"/>
        </w:rPr>
        <w:t>3. 评标程序</w:t>
      </w:r>
      <w:bookmarkEnd w:id="334"/>
      <w:bookmarkEnd w:id="335"/>
    </w:p>
    <w:p>
      <w:pPr>
        <w:pStyle w:val="5"/>
        <w:ind w:firstLine="137"/>
        <w:rPr>
          <w:color w:val="auto"/>
          <w:highlight w:val="none"/>
        </w:rPr>
      </w:pPr>
      <w:bookmarkStart w:id="336" w:name="_Toc529196588"/>
      <w:bookmarkStart w:id="337" w:name="_Toc515205261"/>
      <w:r>
        <w:rPr>
          <w:color w:val="auto"/>
          <w:highlight w:val="none"/>
        </w:rPr>
        <w:t>3.1 初步评审</w:t>
      </w:r>
      <w:bookmarkEnd w:id="336"/>
      <w:bookmarkEnd w:id="337"/>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3.1.2 投标人有以下情形之一的，评标委员会应当否决其投标：</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（1）投标文件没有对招标文件的实质性要求和条件作出响应，或者对招标文件的偏差超出招标文件规定的偏差范围或最高项数；</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（2）有串通投标、弄虚作假、行贿等违法行为。</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3.1.3 投标报价有算术错误及其他错误的，评标委员会按以下原则要求投标人对投标报价进</w:t>
      </w:r>
      <w:bookmarkStart w:id="338" w:name="_Toc369531582"/>
      <w:bookmarkStart w:id="339" w:name="_Toc247514027"/>
      <w:bookmarkStart w:id="340" w:name="_Toc361508651"/>
      <w:bookmarkStart w:id="341" w:name="_Toc144974570"/>
      <w:bookmarkStart w:id="342" w:name="_Toc300835013"/>
      <w:bookmarkStart w:id="343" w:name="_Toc247527628"/>
      <w:bookmarkStart w:id="344" w:name="_Toc152042380"/>
      <w:bookmarkStart w:id="345" w:name="_Toc152045603"/>
      <w:bookmarkStart w:id="346" w:name="_Toc352691538"/>
      <w:bookmarkStart w:id="347" w:name="_Toc2907"/>
      <w:bookmarkStart w:id="348" w:name="_Toc384308277"/>
      <w:r>
        <w:rPr>
          <w:rFonts w:ascii="Times New Roman" w:hAnsi="Times New Roman"/>
          <w:color w:val="auto"/>
          <w:sz w:val="24"/>
          <w:highlight w:val="none"/>
        </w:rPr>
        <w:t>行修正，并要求投标人书面澄清确认。</w:t>
      </w:r>
      <w:bookmarkEnd w:id="338"/>
      <w:bookmarkEnd w:id="339"/>
      <w:bookmarkEnd w:id="340"/>
      <w:bookmarkEnd w:id="341"/>
      <w:bookmarkEnd w:id="342"/>
      <w:bookmarkEnd w:id="343"/>
      <w:bookmarkEnd w:id="344"/>
      <w:bookmarkEnd w:id="345"/>
      <w:bookmarkEnd w:id="346"/>
      <w:bookmarkEnd w:id="347"/>
      <w:bookmarkEnd w:id="348"/>
      <w:r>
        <w:rPr>
          <w:rFonts w:ascii="Times New Roman" w:hAnsi="Times New Roman"/>
          <w:color w:val="auto"/>
          <w:sz w:val="24"/>
          <w:highlight w:val="none"/>
        </w:rPr>
        <w:t>投标人拒不澄清确认的，评标委员会应当否决其投标：</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（1）投标文件中的大写金额与小写金额不一致的，以大写金额为准；</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（2）总价金额与单价金额不一致的，以单价金额为准，但单价金额小数点有明显错误的除外</w:t>
      </w:r>
      <w:r>
        <w:rPr>
          <w:rFonts w:hint="eastAsia" w:ascii="Times New Roman" w:hAnsi="Times New Roman"/>
          <w:color w:val="auto"/>
          <w:sz w:val="24"/>
          <w:highlight w:val="none"/>
        </w:rPr>
        <w:t>。</w:t>
      </w:r>
    </w:p>
    <w:p>
      <w:pPr>
        <w:spacing w:line="360" w:lineRule="auto"/>
        <w:ind w:firstLine="480" w:firstLineChars="200"/>
        <w:rPr>
          <w:color w:val="auto"/>
          <w:highlight w:val="none"/>
        </w:rPr>
      </w:pPr>
      <w:r>
        <w:rPr>
          <w:rFonts w:hint="eastAsia" w:ascii="宋体" w:hAnsi="宋体" w:cs="宋体"/>
          <w:color w:val="auto"/>
          <w:sz w:val="24"/>
          <w:szCs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pPr>
        <w:pStyle w:val="5"/>
        <w:ind w:firstLine="137"/>
        <w:rPr>
          <w:color w:val="auto"/>
          <w:highlight w:val="none"/>
        </w:rPr>
      </w:pPr>
      <w:bookmarkStart w:id="349" w:name="_Toc515205262"/>
      <w:bookmarkStart w:id="350" w:name="_Toc529196589"/>
      <w:r>
        <w:rPr>
          <w:color w:val="auto"/>
          <w:highlight w:val="none"/>
        </w:rPr>
        <w:t>3.2 详细评审</w:t>
      </w:r>
      <w:bookmarkEnd w:id="349"/>
      <w:bookmarkEnd w:id="350"/>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3.2.1 评标委员会按本章第2.2款规定的量化因素和分值进行打分，并计算出综合评估得分。</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（1）按本章第 2.2.4（1）目规定的评审因素和分值对资信业绩部分计算出得分 A；</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（2）按本章第 2.2.4（2）目规定的评审因素和分值对监理大纲部分计算出得分 B；</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（3）按本章第 2.2.4（3）目规定的评审因素和分值对投标报价计算出得分 C；</w:t>
      </w:r>
    </w:p>
    <w:p>
      <w:pPr>
        <w:spacing w:line="360" w:lineRule="auto"/>
        <w:ind w:firstLine="480" w:firstLineChars="200"/>
        <w:rPr>
          <w:rFonts w:ascii="Times New Roman" w:hAnsi="Times New Roman"/>
          <w:strike w:val="0"/>
          <w:dstrike w:val="0"/>
          <w:color w:val="auto"/>
          <w:sz w:val="24"/>
          <w:highlight w:val="none"/>
        </w:rPr>
      </w:pPr>
      <w:r>
        <w:rPr>
          <w:rFonts w:hint="eastAsia" w:ascii="Times New Roman" w:hAnsi="Times New Roman"/>
          <w:strike w:val="0"/>
          <w:dstrike w:val="0"/>
          <w:color w:val="auto"/>
          <w:sz w:val="24"/>
          <w:highlight w:val="none"/>
        </w:rPr>
        <w:t>（4）按本章第 2.2.4（4）目规定的评审因素和分值对其他部分计算出得分 D。</w:t>
      </w:r>
    </w:p>
    <w:p>
      <w:pPr>
        <w:spacing w:line="360" w:lineRule="auto"/>
        <w:ind w:firstLine="480" w:firstLineChars="200"/>
        <w:rPr>
          <w:rFonts w:ascii="Times New Roman" w:hAnsi="Times New Roman"/>
          <w:color w:val="auto"/>
          <w:sz w:val="24"/>
          <w:highlight w:val="none"/>
          <w:u w:val="none"/>
        </w:rPr>
      </w:pPr>
      <w:r>
        <w:rPr>
          <w:rFonts w:ascii="Times New Roman" w:hAnsi="Times New Roman"/>
          <w:color w:val="auto"/>
          <w:sz w:val="24"/>
          <w:highlight w:val="none"/>
        </w:rPr>
        <w:t>3.2.2 评</w:t>
      </w:r>
      <w:r>
        <w:rPr>
          <w:rFonts w:ascii="Times New Roman" w:hAnsi="Times New Roman"/>
          <w:color w:val="auto"/>
          <w:sz w:val="24"/>
          <w:highlight w:val="none"/>
          <w:u w:val="none"/>
        </w:rPr>
        <w:t>分分值计算保留小数点后两位，小数点后第三位“四舍五入”。</w:t>
      </w:r>
    </w:p>
    <w:p>
      <w:pPr>
        <w:spacing w:line="360" w:lineRule="auto"/>
        <w:ind w:firstLine="480" w:firstLineChars="200"/>
        <w:rPr>
          <w:rFonts w:hint="default" w:ascii="Times New Roman" w:hAnsi="Times New Roman" w:eastAsia="宋体"/>
          <w:color w:val="auto"/>
          <w:sz w:val="24"/>
          <w:highlight w:val="none"/>
          <w:u w:val="none"/>
          <w:lang w:val="en-US" w:eastAsia="zh-CN"/>
        </w:rPr>
      </w:pPr>
      <w:r>
        <w:rPr>
          <w:rFonts w:ascii="Times New Roman" w:hAnsi="Times New Roman"/>
          <w:color w:val="auto"/>
          <w:sz w:val="24"/>
          <w:highlight w:val="none"/>
          <w:u w:val="none"/>
        </w:rPr>
        <w:t>3.2.3 投标人得分=A+B+C</w:t>
      </w:r>
      <w:r>
        <w:rPr>
          <w:rFonts w:hint="eastAsia" w:ascii="Times New Roman" w:hAnsi="Times New Roman"/>
          <w:color w:val="auto"/>
          <w:sz w:val="24"/>
          <w:highlight w:val="none"/>
          <w:u w:val="none"/>
          <w:lang w:val="en-US" w:eastAsia="zh-CN"/>
        </w:rPr>
        <w:t>+D</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ind w:firstLine="137"/>
        <w:rPr>
          <w:color w:val="auto"/>
          <w:highlight w:val="none"/>
        </w:rPr>
      </w:pPr>
      <w:bookmarkStart w:id="351" w:name="_Toc515205263"/>
      <w:bookmarkStart w:id="352" w:name="_Toc529196590"/>
      <w:r>
        <w:rPr>
          <w:color w:val="auto"/>
          <w:highlight w:val="none"/>
        </w:rPr>
        <w:t>3.3 投标文件的澄清</w:t>
      </w:r>
      <w:bookmarkEnd w:id="351"/>
      <w:bookmarkEnd w:id="352"/>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3.3.2 澄清、说明或补正不得超出投标文件的范围且不得改变投标文件的实质性内容，并构成投标文件的组成部分。</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3.3.3 评标委员会对投标人提交的澄清、说明或补正有疑问的，可以要求投标人进一步澄清、说明或补正，直至满足评标委员会的要求。</w:t>
      </w:r>
    </w:p>
    <w:p>
      <w:pPr>
        <w:pStyle w:val="5"/>
        <w:ind w:firstLine="137"/>
        <w:rPr>
          <w:color w:val="auto"/>
          <w:highlight w:val="none"/>
        </w:rPr>
      </w:pPr>
      <w:bookmarkStart w:id="353" w:name="_Toc529196591"/>
      <w:bookmarkStart w:id="354" w:name="_Toc515205264"/>
      <w:r>
        <w:rPr>
          <w:color w:val="auto"/>
          <w:highlight w:val="none"/>
        </w:rPr>
        <w:t>3.4 评标结果</w:t>
      </w:r>
      <w:bookmarkEnd w:id="353"/>
      <w:bookmarkEnd w:id="354"/>
    </w:p>
    <w:p>
      <w:pPr>
        <w:spacing w:line="360" w:lineRule="auto"/>
        <w:ind w:firstLine="480" w:firstLineChars="200"/>
        <w:rPr>
          <w:rFonts w:ascii="Times New Roman" w:hAnsi="Times New Roman"/>
          <w:b/>
          <w:color w:val="auto"/>
          <w:sz w:val="24"/>
          <w:highlight w:val="none"/>
        </w:rPr>
      </w:pPr>
      <w:r>
        <w:rPr>
          <w:rFonts w:ascii="Times New Roman" w:hAnsi="Times New Roman"/>
          <w:color w:val="auto"/>
          <w:sz w:val="24"/>
          <w:highlight w:val="none"/>
        </w:rPr>
        <w:t>3.</w:t>
      </w:r>
      <w:r>
        <w:rPr>
          <w:rFonts w:ascii="Times New Roman" w:hAnsi="Times New Roman" w:eastAsia="黑体"/>
          <w:color w:val="auto"/>
          <w:sz w:val="24"/>
          <w:highlight w:val="none"/>
        </w:rPr>
        <w:t xml:space="preserve">4.1 </w:t>
      </w:r>
      <w:r>
        <w:rPr>
          <w:rFonts w:ascii="Times New Roman" w:hAnsi="Times New Roman"/>
          <w:color w:val="auto"/>
          <w:sz w:val="24"/>
          <w:highlight w:val="none"/>
        </w:rPr>
        <w:t>除第二章“投标人须知”前附表授权直接确定中标人外，评标委员会按照得分由高到低的顺序推荐中标候选人，并标明排序。</w:t>
      </w:r>
    </w:p>
    <w:p>
      <w:pPr>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3.4.2 评标委员会完成评标后，应当向招标人提交书面评标报告和中标候选人名单。</w:t>
      </w:r>
    </w:p>
    <w:p>
      <w:pPr>
        <w:rPr>
          <w:rFonts w:ascii="Times New Roman" w:hAnsi="Times New Roman"/>
          <w:color w:val="auto"/>
          <w:highlight w:val="none"/>
        </w:rPr>
      </w:pPr>
      <w:r>
        <w:rPr>
          <w:rFonts w:hint="eastAsia" w:ascii="Times New Roman" w:hAnsi="Times New Roman"/>
          <w:color w:val="auto"/>
          <w:highlight w:val="none"/>
        </w:rPr>
        <w:br w:type="page"/>
      </w:r>
    </w:p>
    <w:p>
      <w:pPr>
        <w:rPr>
          <w:rFonts w:ascii="Times New Roman" w:hAnsi="Times New Roman"/>
          <w:color w:val="auto"/>
          <w:highlight w:val="none"/>
        </w:rPr>
      </w:pPr>
    </w:p>
    <w:p>
      <w:pPr>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502" w:lineRule="exact"/>
        <w:jc w:val="center"/>
        <w:outlineLvl w:val="0"/>
        <w:rPr>
          <w:rFonts w:ascii="Times New Roman" w:hAnsi="Times New Roman"/>
          <w:b/>
          <w:color w:val="auto"/>
          <w:sz w:val="44"/>
          <w:highlight w:val="none"/>
        </w:rPr>
      </w:pPr>
      <w:bookmarkStart w:id="355" w:name="_Toc22915"/>
      <w:bookmarkStart w:id="356" w:name="_Toc530728908"/>
      <w:r>
        <w:rPr>
          <w:rFonts w:ascii="Times New Roman" w:hAnsi="Times New Roman"/>
          <w:b/>
          <w:color w:val="auto"/>
          <w:sz w:val="44"/>
          <w:highlight w:val="none"/>
        </w:rPr>
        <w:t>第四章</w:t>
      </w:r>
      <w:r>
        <w:rPr>
          <w:rFonts w:hint="eastAsia" w:ascii="Times New Roman" w:hAnsi="Times New Roman"/>
          <w:b/>
          <w:color w:val="auto"/>
          <w:sz w:val="44"/>
          <w:highlight w:val="none"/>
        </w:rPr>
        <w:t xml:space="preserve"> </w:t>
      </w:r>
      <w:r>
        <w:rPr>
          <w:rFonts w:ascii="Times New Roman" w:hAnsi="Times New Roman"/>
          <w:b/>
          <w:color w:val="auto"/>
          <w:sz w:val="44"/>
          <w:highlight w:val="none"/>
        </w:rPr>
        <w:t>合同条款及格式</w:t>
      </w:r>
      <w:bookmarkEnd w:id="355"/>
      <w:bookmarkEnd w:id="356"/>
    </w:p>
    <w:p>
      <w:pPr>
        <w:spacing w:line="324" w:lineRule="exact"/>
        <w:rPr>
          <w:rFonts w:ascii="Times New Roman" w:hAnsi="Times New Roman" w:eastAsia="Times New Roman"/>
          <w:color w:val="auto"/>
          <w:highlight w:val="none"/>
        </w:rPr>
      </w:pPr>
    </w:p>
    <w:p>
      <w:pPr>
        <w:spacing w:before="120" w:after="120" w:line="360" w:lineRule="auto"/>
        <w:jc w:val="center"/>
        <w:rPr>
          <w:rFonts w:ascii="Times New Roman" w:hAnsi="Times New Roman"/>
          <w:color w:val="auto"/>
          <w:highlight w:val="none"/>
        </w:rPr>
        <w:sectPr>
          <w:pgSz w:w="11907" w:h="16839"/>
          <w:pgMar w:top="1440" w:right="1440" w:bottom="1418" w:left="1440" w:header="993" w:footer="749" w:gutter="0"/>
          <w:cols w:space="720" w:num="1"/>
          <w:titlePg/>
          <w:docGrid w:linePitch="360" w:charSpace="0"/>
        </w:sectPr>
      </w:pPr>
      <w:r>
        <w:rPr>
          <w:rFonts w:hint="eastAsia" w:ascii="Times New Roman" w:hAnsi="Times New Roman"/>
          <w:b/>
          <w:bCs/>
          <w:color w:val="auto"/>
          <w:sz w:val="32"/>
          <w:szCs w:val="32"/>
          <w:highlight w:val="none"/>
        </w:rPr>
        <w:t>（另册</w:t>
      </w:r>
      <w:r>
        <w:rPr>
          <w:rFonts w:ascii="Times New Roman" w:hAnsi="Times New Roman"/>
          <w:b/>
          <w:bCs/>
          <w:color w:val="auto"/>
          <w:sz w:val="32"/>
          <w:szCs w:val="32"/>
          <w:highlight w:val="none"/>
        </w:rPr>
        <w:t>）</w:t>
      </w:r>
    </w:p>
    <w:p>
      <w:pPr>
        <w:numPr>
          <w:ilvl w:val="0"/>
          <w:numId w:val="3"/>
        </w:numPr>
        <w:spacing w:line="324" w:lineRule="auto"/>
        <w:jc w:val="center"/>
        <w:outlineLvl w:val="0"/>
        <w:rPr>
          <w:rFonts w:ascii="Times New Roman" w:hAnsi="Times New Roman"/>
          <w:b/>
          <w:color w:val="auto"/>
          <w:sz w:val="43"/>
          <w:highlight w:val="none"/>
        </w:rPr>
      </w:pPr>
      <w:bookmarkStart w:id="357" w:name="_Toc21598"/>
      <w:bookmarkStart w:id="358" w:name="_Toc530728910"/>
      <w:r>
        <w:rPr>
          <w:rFonts w:ascii="Times New Roman" w:hAnsi="Times New Roman"/>
          <w:b/>
          <w:color w:val="auto"/>
          <w:sz w:val="43"/>
          <w:highlight w:val="none"/>
        </w:rPr>
        <w:t>委托人要求</w:t>
      </w:r>
      <w:bookmarkEnd w:id="357"/>
      <w:bookmarkEnd w:id="358"/>
      <w:bookmarkStart w:id="359" w:name="_Toc530728913"/>
    </w:p>
    <w:bookmarkEnd w:id="359"/>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一、监理人员(含驻场)和试验检测仪器设备要求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架构及人员的最低基本要求详见下表，要求监理单位根据本项目特点，结合本企业的实力和资源情况，派驻现场的人员必须专业对口，精干、充足。本项目的监理机构要求专业监理，分别负责房建工程、装修工程、给排水工程、外电工程、机电工程、暖通工程、市政工程、绿化工程等。</w:t>
      </w:r>
    </w:p>
    <w:p>
      <w:pPr>
        <w:topLinePunct/>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监理人员组成应满足或优于下表的最低基本要求。</w:t>
      </w:r>
    </w:p>
    <w:p>
      <w:pPr>
        <w:spacing w:line="360"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项目监理人员组成配备要求表</w:t>
      </w:r>
    </w:p>
    <w:tbl>
      <w:tblPr>
        <w:tblStyle w:val="4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81"/>
        <w:gridCol w:w="719"/>
        <w:gridCol w:w="4334"/>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blHeader/>
          <w:jc w:val="center"/>
        </w:trPr>
        <w:tc>
          <w:tcPr>
            <w:tcW w:w="1086" w:type="pct"/>
            <w:gridSpan w:val="2"/>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kern w:val="44"/>
                <w:highlight w:val="none"/>
              </w:rPr>
            </w:pPr>
            <w:r>
              <w:rPr>
                <w:rFonts w:hint="eastAsia" w:ascii="宋体" w:hAnsi="宋体" w:eastAsia="宋体" w:cs="宋体"/>
                <w:bCs/>
                <w:color w:val="auto"/>
                <w:kern w:val="44"/>
                <w:highlight w:val="none"/>
              </w:rPr>
              <w:t>类别</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kern w:val="44"/>
                <w:highlight w:val="none"/>
              </w:rPr>
            </w:pPr>
            <w:r>
              <w:rPr>
                <w:rFonts w:hint="eastAsia" w:ascii="宋体" w:hAnsi="宋体" w:eastAsia="宋体" w:cs="宋体"/>
                <w:bCs/>
                <w:color w:val="auto"/>
                <w:kern w:val="44"/>
                <w:highlight w:val="none"/>
              </w:rPr>
              <w:t>人数</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kern w:val="44"/>
                <w:szCs w:val="21"/>
                <w:highlight w:val="none"/>
              </w:rPr>
            </w:pPr>
            <w:r>
              <w:rPr>
                <w:rFonts w:hint="eastAsia" w:ascii="宋体" w:hAnsi="宋体" w:eastAsia="宋体" w:cs="宋体"/>
                <w:bCs/>
                <w:snapToGrid w:val="0"/>
                <w:color w:val="auto"/>
                <w:spacing w:val="4"/>
                <w:szCs w:val="21"/>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1086" w:type="pct"/>
            <w:gridSpan w:val="2"/>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rPr>
            </w:pPr>
            <w:r>
              <w:rPr>
                <w:rFonts w:hint="eastAsia" w:ascii="宋体" w:hAnsi="宋体" w:eastAsia="宋体" w:cs="宋体"/>
                <w:bCs/>
                <w:color w:val="auto"/>
                <w:highlight w:val="none"/>
              </w:rPr>
              <w:t>总监理工程师</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与招标公告第3条的要求一致。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1086" w:type="pct"/>
            <w:gridSpan w:val="2"/>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rPr>
            </w:pPr>
            <w:r>
              <w:rPr>
                <w:rFonts w:hint="eastAsia" w:ascii="宋体" w:hAnsi="宋体" w:eastAsia="宋体" w:cs="宋体"/>
                <w:bCs/>
                <w:color w:val="auto"/>
                <w:highlight w:val="none"/>
              </w:rPr>
              <w:t>总监理工程师代表</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必须具有建设部2006年4月1日后颁发的中华人民共和国注册监理工程师注册执业证书，并具备本科或以上学历，注册证书专业为房屋建筑工程，注册执业单位为本公司。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230" w:type="pct"/>
            <w:vMerge w:val="restart"/>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专业</w:t>
            </w:r>
            <w:r>
              <w:rPr>
                <w:rFonts w:hint="eastAsia" w:ascii="宋体" w:hAnsi="宋体" w:eastAsia="宋体" w:cs="宋体"/>
                <w:bCs/>
                <w:color w:val="auto"/>
                <w:szCs w:val="21"/>
                <w:highlight w:val="none"/>
              </w:rPr>
              <w:t>监理工程师</w:t>
            </w: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建筑工程专业</w:t>
            </w:r>
            <w:r>
              <w:rPr>
                <w:rFonts w:hint="eastAsia" w:ascii="宋体" w:hAnsi="宋体" w:eastAsia="宋体" w:cs="宋体"/>
                <w:bCs/>
                <w:color w:val="auto"/>
                <w:szCs w:val="21"/>
                <w:highlight w:val="none"/>
              </w:rPr>
              <w:t>监理工程师</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lang w:eastAsia="zh-CN"/>
              </w:rPr>
            </w:pPr>
            <w:r>
              <w:rPr>
                <w:rFonts w:hint="eastAsia" w:cs="宋体"/>
                <w:bCs/>
                <w:color w:val="auto"/>
                <w:highlight w:val="none"/>
                <w:lang w:val="en-US" w:eastAsia="zh-CN"/>
              </w:rPr>
              <w:t>1</w:t>
            </w:r>
          </w:p>
        </w:tc>
        <w:tc>
          <w:tcPr>
            <w:tcW w:w="2346" w:type="pct"/>
            <w:tcBorders>
              <w:top w:val="single" w:color="auto" w:sz="4" w:space="0"/>
              <w:left w:val="single" w:color="auto" w:sz="4" w:space="0"/>
              <w:bottom w:val="single" w:color="auto" w:sz="4" w:space="0"/>
              <w:right w:val="single" w:color="auto" w:sz="4" w:space="0"/>
            </w:tcBorders>
            <w:vAlign w:val="center"/>
          </w:tcPr>
          <w:p>
            <w:pPr>
              <w:topLinePunct/>
              <w:snapToGrid w:val="0"/>
              <w:spacing w:line="0" w:lineRule="atLeas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具备</w:t>
            </w:r>
            <w:r>
              <w:rPr>
                <w:rFonts w:hint="eastAsia" w:ascii="宋体" w:hAnsi="宋体" w:cs="宋体"/>
                <w:bCs/>
                <w:color w:val="auto"/>
                <w:szCs w:val="21"/>
                <w:highlight w:val="none"/>
                <w:lang w:eastAsia="zh-CN"/>
              </w:rPr>
              <w:t>建筑工程专业</w:t>
            </w:r>
            <w:r>
              <w:rPr>
                <w:rFonts w:hint="eastAsia" w:ascii="宋体" w:hAnsi="宋体" w:eastAsia="宋体" w:cs="宋体"/>
                <w:bCs/>
                <w:color w:val="auto"/>
                <w:szCs w:val="21"/>
                <w:highlight w:val="none"/>
              </w:rPr>
              <w:t>工程师或以上职称</w:t>
            </w:r>
          </w:p>
        </w:tc>
        <w:tc>
          <w:tcPr>
            <w:tcW w:w="1177" w:type="pct"/>
            <w:vMerge w:val="restart"/>
            <w:tcBorders>
              <w:top w:val="single" w:color="auto" w:sz="4" w:space="0"/>
              <w:left w:val="single" w:color="auto" w:sz="4" w:space="0"/>
              <w:right w:val="single" w:color="auto" w:sz="4" w:space="0"/>
            </w:tcBorders>
            <w:vAlign w:val="center"/>
          </w:tcPr>
          <w:p>
            <w:pPr>
              <w:topLinePunct/>
              <w:snapToGrid w:val="0"/>
              <w:spacing w:line="0" w:lineRule="atLeas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专业以毕业证或职称证上所列专业为准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30" w:type="pct"/>
            <w:vMerge w:val="continue"/>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机电</w:t>
            </w:r>
            <w:r>
              <w:rPr>
                <w:rFonts w:hint="eastAsia" w:ascii="宋体" w:hAnsi="宋体" w:cs="宋体"/>
                <w:bCs/>
                <w:color w:val="auto"/>
                <w:szCs w:val="21"/>
                <w:highlight w:val="none"/>
                <w:lang w:eastAsia="zh-CN"/>
              </w:rPr>
              <w:t>专业</w:t>
            </w:r>
            <w:r>
              <w:rPr>
                <w:rFonts w:hint="eastAsia" w:ascii="宋体" w:hAnsi="宋体" w:eastAsia="宋体" w:cs="宋体"/>
                <w:bCs/>
                <w:color w:val="auto"/>
                <w:szCs w:val="21"/>
                <w:highlight w:val="none"/>
              </w:rPr>
              <w:t>监理工程师</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tc>
        <w:tc>
          <w:tcPr>
            <w:tcW w:w="2346"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both"/>
              <w:rPr>
                <w:rFonts w:hint="eastAsia" w:ascii="宋体" w:hAnsi="宋体" w:eastAsia="宋体" w:cs="宋体"/>
                <w:bCs/>
                <w:color w:val="auto"/>
                <w:highlight w:val="none"/>
              </w:rPr>
            </w:pPr>
            <w:r>
              <w:rPr>
                <w:rFonts w:hint="eastAsia" w:ascii="宋体" w:hAnsi="宋体" w:eastAsia="宋体" w:cs="宋体"/>
                <w:bCs/>
                <w:color w:val="auto"/>
                <w:highlight w:val="none"/>
              </w:rPr>
              <w:t>具备</w:t>
            </w:r>
            <w:r>
              <w:rPr>
                <w:rFonts w:hint="eastAsia" w:cs="宋体"/>
                <w:bCs/>
                <w:color w:val="auto"/>
                <w:szCs w:val="21"/>
                <w:highlight w:val="none"/>
                <w:lang w:val="en-US" w:eastAsia="zh-CN"/>
              </w:rPr>
              <w:t>机电</w:t>
            </w:r>
            <w:r>
              <w:rPr>
                <w:rFonts w:hint="eastAsia" w:ascii="宋体" w:hAnsi="宋体" w:cs="宋体"/>
                <w:bCs/>
                <w:color w:val="auto"/>
                <w:szCs w:val="21"/>
                <w:highlight w:val="none"/>
                <w:lang w:eastAsia="zh-CN"/>
              </w:rPr>
              <w:t>专业</w:t>
            </w:r>
            <w:r>
              <w:rPr>
                <w:rFonts w:hint="eastAsia" w:ascii="宋体" w:hAnsi="宋体" w:eastAsia="宋体" w:cs="宋体"/>
                <w:bCs/>
                <w:color w:val="auto"/>
                <w:szCs w:val="21"/>
                <w:highlight w:val="none"/>
              </w:rPr>
              <w:t>工程师或以上职称</w:t>
            </w:r>
          </w:p>
        </w:tc>
        <w:tc>
          <w:tcPr>
            <w:tcW w:w="1177" w:type="pct"/>
            <w:vMerge w:val="continue"/>
            <w:tcBorders>
              <w:left w:val="single" w:color="auto" w:sz="4" w:space="0"/>
              <w:right w:val="single" w:color="auto" w:sz="4" w:space="0"/>
            </w:tcBorders>
            <w:vAlign w:val="center"/>
          </w:tcPr>
          <w:p>
            <w:pPr>
              <w:pStyle w:val="176"/>
              <w:spacing w:line="0" w:lineRule="atLeast"/>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30" w:type="pct"/>
            <w:vMerge w:val="continue"/>
            <w:tcBorders>
              <w:top w:val="single" w:color="auto" w:sz="4" w:space="0"/>
              <w:left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给排水专业</w:t>
            </w:r>
            <w:r>
              <w:rPr>
                <w:rFonts w:hint="eastAsia" w:ascii="宋体" w:hAnsi="宋体" w:eastAsia="宋体" w:cs="宋体"/>
                <w:bCs/>
                <w:color w:val="auto"/>
                <w:szCs w:val="21"/>
                <w:highlight w:val="none"/>
              </w:rPr>
              <w:t>监理工程师</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lang w:val="en-US" w:eastAsia="zh-CN"/>
              </w:rPr>
            </w:pPr>
            <w:r>
              <w:rPr>
                <w:rFonts w:hint="eastAsia" w:cs="宋体"/>
                <w:bCs/>
                <w:color w:val="auto"/>
                <w:highlight w:val="none"/>
                <w:lang w:val="en-US" w:eastAsia="zh-CN"/>
              </w:rPr>
              <w:t>1</w:t>
            </w:r>
          </w:p>
        </w:tc>
        <w:tc>
          <w:tcPr>
            <w:tcW w:w="2346"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both"/>
              <w:rPr>
                <w:rFonts w:hint="eastAsia" w:ascii="宋体" w:hAnsi="宋体" w:eastAsia="宋体" w:cs="宋体"/>
                <w:bCs/>
                <w:color w:val="auto"/>
                <w:highlight w:val="none"/>
              </w:rPr>
            </w:pPr>
            <w:r>
              <w:rPr>
                <w:rFonts w:hint="eastAsia" w:ascii="宋体" w:hAnsi="宋体" w:eastAsia="宋体" w:cs="宋体"/>
                <w:bCs/>
                <w:color w:val="auto"/>
                <w:highlight w:val="none"/>
              </w:rPr>
              <w:t>具备</w:t>
            </w:r>
            <w:r>
              <w:rPr>
                <w:rFonts w:hint="eastAsia" w:ascii="宋体" w:hAnsi="宋体" w:cs="宋体"/>
                <w:bCs/>
                <w:color w:val="auto"/>
                <w:szCs w:val="21"/>
                <w:highlight w:val="none"/>
                <w:lang w:eastAsia="zh-CN"/>
              </w:rPr>
              <w:t>给排水专业</w:t>
            </w:r>
            <w:r>
              <w:rPr>
                <w:rFonts w:hint="eastAsia" w:ascii="宋体" w:hAnsi="宋体" w:eastAsia="宋体" w:cs="宋体"/>
                <w:bCs/>
                <w:color w:val="auto"/>
                <w:szCs w:val="21"/>
                <w:highlight w:val="none"/>
              </w:rPr>
              <w:t>工程师或以上职称</w:t>
            </w:r>
          </w:p>
        </w:tc>
        <w:tc>
          <w:tcPr>
            <w:tcW w:w="1177" w:type="pct"/>
            <w:vMerge w:val="continue"/>
            <w:tcBorders>
              <w:left w:val="single" w:color="auto" w:sz="4" w:space="0"/>
              <w:bottom w:val="single" w:color="auto" w:sz="4" w:space="0"/>
              <w:right w:val="single" w:color="auto" w:sz="4" w:space="0"/>
            </w:tcBorders>
            <w:vAlign w:val="center"/>
          </w:tcPr>
          <w:p>
            <w:pPr>
              <w:pStyle w:val="176"/>
              <w:spacing w:line="0" w:lineRule="atLeast"/>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86" w:type="pct"/>
            <w:gridSpan w:val="2"/>
            <w:tcBorders>
              <w:left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造价工程师</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lang w:val="en-US" w:eastAsia="zh-CN"/>
              </w:rPr>
            </w:pPr>
            <w:r>
              <w:rPr>
                <w:rFonts w:hint="eastAsia" w:cs="宋体"/>
                <w:bCs/>
                <w:color w:val="auto"/>
                <w:highlight w:val="none"/>
                <w:lang w:val="en-US" w:eastAsia="zh-CN"/>
              </w:rPr>
              <w:t>1</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pStyle w:val="176"/>
              <w:spacing w:line="0" w:lineRule="atLeast"/>
              <w:jc w:val="both"/>
              <w:rPr>
                <w:rFonts w:hint="eastAsia" w:ascii="宋体" w:hAnsi="宋体" w:eastAsia="宋体" w:cs="宋体"/>
                <w:bCs/>
                <w:color w:val="auto"/>
                <w:highlight w:val="none"/>
              </w:rPr>
            </w:pPr>
            <w:r>
              <w:rPr>
                <w:rFonts w:hint="eastAsia" w:ascii="宋体" w:hAnsi="宋体" w:eastAsia="宋体" w:cs="宋体"/>
                <w:bCs/>
                <w:color w:val="auto"/>
                <w:highlight w:val="none"/>
              </w:rPr>
              <w:t>具备国家注册造价工程师或注册一级造价工程师资格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108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监理员</w:t>
            </w:r>
          </w:p>
        </w:tc>
        <w:tc>
          <w:tcPr>
            <w:tcW w:w="389" w:type="pct"/>
            <w:tcBorders>
              <w:top w:val="single" w:color="auto" w:sz="4" w:space="0"/>
              <w:left w:val="single" w:color="auto" w:sz="4" w:space="0"/>
              <w:bottom w:val="single" w:color="auto" w:sz="4" w:space="0"/>
              <w:right w:val="single" w:color="auto" w:sz="4" w:space="0"/>
            </w:tcBorders>
            <w:vAlign w:val="center"/>
          </w:tcPr>
          <w:p>
            <w:pPr>
              <w:pStyle w:val="176"/>
              <w:spacing w:line="0" w:lineRule="atLeast"/>
              <w:jc w:val="center"/>
              <w:rPr>
                <w:rFonts w:hint="eastAsia" w:ascii="宋体" w:hAnsi="宋体" w:eastAsia="宋体" w:cs="宋体"/>
                <w:bCs/>
                <w:color w:val="auto"/>
                <w:highlight w:val="none"/>
                <w:lang w:eastAsia="zh-CN"/>
              </w:rPr>
            </w:pPr>
            <w:r>
              <w:rPr>
                <w:rFonts w:hint="eastAsia" w:cs="宋体"/>
                <w:bCs/>
                <w:color w:val="auto"/>
                <w:highlight w:val="none"/>
                <w:lang w:val="en-US" w:eastAsia="zh-CN"/>
              </w:rPr>
              <w:t>1</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pStyle w:val="176"/>
              <w:spacing w:line="0" w:lineRule="atLeast"/>
              <w:jc w:val="both"/>
              <w:rPr>
                <w:rFonts w:hint="eastAsia" w:ascii="宋体" w:hAnsi="宋体" w:eastAsia="宋体" w:cs="宋体"/>
                <w:bCs/>
                <w:color w:val="auto"/>
                <w:highlight w:val="none"/>
              </w:rPr>
            </w:pPr>
            <w:r>
              <w:rPr>
                <w:rFonts w:hint="eastAsia" w:ascii="宋体" w:hAnsi="宋体" w:eastAsia="宋体" w:cs="宋体"/>
                <w:bCs/>
                <w:color w:val="auto"/>
                <w:highlight w:val="none"/>
              </w:rPr>
              <w:t>取得监理</w:t>
            </w:r>
            <w:r>
              <w:rPr>
                <w:rFonts w:hint="eastAsia" w:cs="宋体"/>
                <w:bCs/>
                <w:color w:val="auto"/>
                <w:highlight w:val="none"/>
                <w:lang w:eastAsia="zh-CN"/>
              </w:rPr>
              <w:t>员</w:t>
            </w:r>
            <w:r>
              <w:rPr>
                <w:rFonts w:hint="eastAsia" w:ascii="宋体" w:hAnsi="宋体" w:eastAsia="宋体" w:cs="宋体"/>
                <w:bCs/>
                <w:color w:val="auto"/>
                <w:highlight w:val="none"/>
              </w:rPr>
              <w:t>培训证或上岗证。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08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安全</w:t>
            </w:r>
            <w:r>
              <w:rPr>
                <w:rFonts w:hint="eastAsia" w:ascii="宋体" w:hAnsi="宋体" w:eastAsia="宋体" w:cs="宋体"/>
                <w:bCs/>
                <w:color w:val="auto"/>
                <w:szCs w:val="21"/>
                <w:highlight w:val="none"/>
              </w:rPr>
              <w:t>员</w:t>
            </w:r>
          </w:p>
        </w:tc>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0" w:lineRule="atLeast"/>
              <w:rPr>
                <w:rFonts w:hint="eastAsia" w:ascii="宋体" w:hAnsi="宋体" w:eastAsia="宋体" w:cs="宋体"/>
                <w:bCs/>
                <w:color w:val="auto"/>
                <w:szCs w:val="21"/>
                <w:highlight w:val="none"/>
              </w:rPr>
            </w:pPr>
            <w:r>
              <w:rPr>
                <w:rFonts w:hint="eastAsia" w:ascii="宋体" w:hAnsi="宋体" w:cs="宋体"/>
                <w:bCs/>
                <w:color w:val="auto"/>
                <w:szCs w:val="21"/>
                <w:highlight w:val="none"/>
                <w:lang w:eastAsia="zh-CN"/>
              </w:rPr>
              <w:t>取得</w:t>
            </w:r>
            <w:r>
              <w:rPr>
                <w:rFonts w:hint="eastAsia" w:ascii="宋体" w:hAnsi="宋体" w:eastAsia="宋体" w:cs="宋体"/>
                <w:bCs/>
                <w:color w:val="auto"/>
                <w:highlight w:val="none"/>
                <w:lang w:eastAsia="zh-CN"/>
              </w:rPr>
              <w:t>安全</w:t>
            </w:r>
            <w:r>
              <w:rPr>
                <w:rFonts w:hint="eastAsia" w:cs="宋体"/>
                <w:bCs/>
                <w:color w:val="auto"/>
                <w:highlight w:val="none"/>
                <w:lang w:eastAsia="zh-CN"/>
              </w:rPr>
              <w:t>员</w:t>
            </w:r>
            <w:r>
              <w:rPr>
                <w:rFonts w:hint="eastAsia" w:ascii="宋体" w:hAnsi="宋体" w:eastAsia="宋体" w:cs="宋体"/>
                <w:bCs/>
                <w:color w:val="auto"/>
                <w:highlight w:val="none"/>
              </w:rPr>
              <w:t>培训证或上岗证</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08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资料员</w:t>
            </w:r>
          </w:p>
        </w:tc>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topLinePunct/>
              <w:snapToGrid w:val="0"/>
              <w:spacing w:line="0" w:lineRule="atLeast"/>
              <w:rPr>
                <w:rFonts w:hint="eastAsia" w:ascii="宋体" w:hAnsi="宋体" w:cs="宋体"/>
                <w:bCs/>
                <w:color w:val="auto"/>
                <w:szCs w:val="21"/>
                <w:highlight w:val="none"/>
                <w:lang w:eastAsia="zh-CN"/>
              </w:rPr>
            </w:pPr>
            <w:r>
              <w:rPr>
                <w:rFonts w:hint="eastAsia" w:ascii="宋体" w:hAnsi="宋体" w:cs="宋体"/>
                <w:bCs/>
                <w:color w:val="auto"/>
                <w:szCs w:val="21"/>
                <w:highlight w:val="none"/>
                <w:lang w:val="en-US" w:eastAsia="zh-CN"/>
              </w:rPr>
              <w:t>具</w:t>
            </w:r>
            <w:r>
              <w:rPr>
                <w:rFonts w:hint="eastAsia" w:ascii="宋体" w:hAnsi="宋体" w:cs="宋体"/>
                <w:bCs/>
                <w:color w:val="auto"/>
                <w:szCs w:val="21"/>
                <w:highlight w:val="none"/>
              </w:rPr>
              <w:t>备初级或以上职称。</w:t>
            </w:r>
            <w:bookmarkStart w:id="439" w:name="_GoBack"/>
            <w:bookmarkEnd w:id="4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086" w:type="pct"/>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389" w:type="pct"/>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9</w:t>
            </w:r>
          </w:p>
        </w:tc>
        <w:tc>
          <w:tcPr>
            <w:tcW w:w="3524"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bCs/>
                <w:color w:val="auto"/>
                <w:szCs w:val="21"/>
                <w:highlight w:val="none"/>
              </w:rPr>
            </w:pPr>
          </w:p>
        </w:tc>
      </w:tr>
    </w:tbl>
    <w:p>
      <w:pPr>
        <w:spacing w:line="0" w:lineRule="atLeast"/>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1 \* GB3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①</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上述监理人员（除上述已要求现场驻场的监理人员）可根据工程进度及建设单位或建设管理单位的要求派驻现场，应满足施工时监理人员旁站监理的要求；</w:t>
      </w:r>
      <w:r>
        <w:rPr>
          <w:rFonts w:hint="eastAsia" w:ascii="宋体" w:hAnsi="宋体" w:eastAsia="宋体" w:cs="宋体"/>
          <w:color w:val="auto"/>
          <w:szCs w:val="21"/>
          <w:highlight w:val="none"/>
          <w:lang w:val="en-US" w:eastAsia="zh-CN"/>
        </w:rPr>
        <w:t>提供</w:t>
      </w:r>
      <w:r>
        <w:rPr>
          <w:rFonts w:hint="eastAsia" w:ascii="宋体" w:hAnsi="宋体" w:eastAsia="宋体" w:cs="宋体"/>
          <w:color w:val="auto"/>
          <w:szCs w:val="21"/>
          <w:highlight w:val="none"/>
        </w:rPr>
        <w:t>人员</w:t>
      </w:r>
      <w:r>
        <w:rPr>
          <w:rFonts w:hint="eastAsia" w:ascii="宋体" w:hAnsi="宋体" w:eastAsia="宋体" w:cs="宋体"/>
          <w:color w:val="auto"/>
          <w:szCs w:val="21"/>
          <w:highlight w:val="none"/>
          <w:lang w:val="en-US" w:eastAsia="zh-CN"/>
        </w:rPr>
        <w:t>毕业证书、</w:t>
      </w:r>
      <w:r>
        <w:rPr>
          <w:rFonts w:hint="eastAsia" w:ascii="宋体" w:hAnsi="宋体" w:eastAsia="宋体" w:cs="宋体"/>
          <w:bCs/>
          <w:color w:val="auto"/>
          <w:szCs w:val="21"/>
          <w:highlight w:val="none"/>
        </w:rPr>
        <w:t>注册执业证书</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职称证书、</w:t>
      </w:r>
      <w:r>
        <w:rPr>
          <w:rFonts w:hint="eastAsia" w:ascii="宋体" w:hAnsi="宋体" w:eastAsia="宋体" w:cs="宋体"/>
          <w:bCs/>
          <w:color w:val="auto"/>
          <w:highlight w:val="none"/>
        </w:rPr>
        <w:t>培训证</w:t>
      </w:r>
      <w:r>
        <w:rPr>
          <w:rFonts w:hint="eastAsia" w:ascii="宋体" w:hAnsi="宋体" w:eastAsia="宋体" w:cs="宋体"/>
          <w:bCs/>
          <w:color w:val="auto"/>
          <w:highlight w:val="none"/>
          <w:lang w:val="en-US" w:eastAsia="zh-CN"/>
        </w:rPr>
        <w:t>或上岗证。学历以</w:t>
      </w:r>
      <w:r>
        <w:rPr>
          <w:rFonts w:hint="eastAsia" w:ascii="宋体" w:hAnsi="宋体" w:eastAsia="宋体" w:cs="宋体"/>
          <w:color w:val="auto"/>
          <w:szCs w:val="21"/>
          <w:highlight w:val="none"/>
          <w:lang w:val="en-US" w:eastAsia="zh-CN"/>
        </w:rPr>
        <w:t>毕业证书为准，</w:t>
      </w:r>
      <w:r>
        <w:rPr>
          <w:rFonts w:hint="eastAsia" w:ascii="宋体" w:hAnsi="宋体" w:eastAsia="宋体" w:cs="宋体"/>
          <w:color w:val="auto"/>
          <w:szCs w:val="21"/>
          <w:highlight w:val="none"/>
        </w:rPr>
        <w:t>专业以其</w:t>
      </w:r>
      <w:r>
        <w:rPr>
          <w:rFonts w:hint="eastAsia" w:ascii="宋体" w:hAnsi="宋体" w:cs="宋体"/>
          <w:color w:val="auto"/>
          <w:szCs w:val="21"/>
          <w:highlight w:val="none"/>
          <w:lang w:eastAsia="zh-CN"/>
        </w:rPr>
        <w:t>毕业证</w:t>
      </w:r>
      <w:r>
        <w:rPr>
          <w:rFonts w:hint="eastAsia" w:ascii="宋体" w:hAnsi="宋体" w:eastAsia="宋体" w:cs="宋体"/>
          <w:color w:val="auto"/>
          <w:szCs w:val="21"/>
          <w:highlight w:val="none"/>
        </w:rPr>
        <w:t>或职称证上所列的专业为准。</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 2 \* GB3 \* MERGEFORMAT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需提供近1个月（2023年</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月）投标人为上述监理人员购买的社会保险证明文件或退休返聘合同</w:t>
      </w:r>
      <w:r>
        <w:rPr>
          <w:rFonts w:hint="eastAsia" w:ascii="宋体" w:hAnsi="宋体" w:eastAsia="宋体" w:cs="宋体"/>
          <w:color w:val="auto"/>
          <w:szCs w:val="21"/>
          <w:highlight w:val="none"/>
          <w:lang w:eastAsia="zh-CN"/>
        </w:rPr>
        <w:t>。</w:t>
      </w:r>
    </w:p>
    <w:p>
      <w:pPr>
        <w:pStyle w:val="38"/>
        <w:ind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fldChar w:fldCharType="begin"/>
      </w:r>
      <w:r>
        <w:rPr>
          <w:rFonts w:hint="eastAsia" w:ascii="宋体" w:hAnsi="宋体" w:eastAsia="宋体" w:cs="宋体"/>
          <w:color w:val="auto"/>
          <w:kern w:val="2"/>
          <w:sz w:val="21"/>
          <w:szCs w:val="21"/>
          <w:highlight w:val="none"/>
        </w:rPr>
        <w:instrText xml:space="preserve"> = 3 \* GB3 \* MERGEFORMAT </w:instrText>
      </w:r>
      <w:r>
        <w:rPr>
          <w:rFonts w:hint="eastAsia" w:ascii="宋体" w:hAnsi="宋体" w:eastAsia="宋体" w:cs="宋体"/>
          <w:color w:val="auto"/>
          <w:kern w:val="2"/>
          <w:sz w:val="21"/>
          <w:szCs w:val="21"/>
          <w:highlight w:val="none"/>
        </w:rPr>
        <w:fldChar w:fldCharType="separate"/>
      </w:r>
      <w:r>
        <w:rPr>
          <w:rFonts w:hint="eastAsia" w:ascii="宋体" w:hAnsi="宋体" w:eastAsia="宋体" w:cs="宋体"/>
          <w:color w:val="auto"/>
          <w:kern w:val="2"/>
          <w:sz w:val="21"/>
          <w:szCs w:val="21"/>
          <w:highlight w:val="none"/>
        </w:rPr>
        <w:t>③</w: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t>驻场人员需服从招标人安排，工作内容包括但不限于接收、整理资料，对接筹建办等相关部门。</w:t>
      </w:r>
    </w:p>
    <w:p>
      <w:pPr>
        <w:spacing w:line="360" w:lineRule="auto"/>
        <w:ind w:firstLine="482" w:firstLineChars="200"/>
        <w:rPr>
          <w:rFonts w:hint="eastAsia" w:ascii="宋体" w:hAnsi="宋体" w:eastAsia="宋体" w:cs="宋体"/>
          <w:color w:val="auto"/>
          <w:highlight w:val="none"/>
        </w:rPr>
      </w:pPr>
      <w:r>
        <w:rPr>
          <w:rFonts w:hint="eastAsia"/>
          <w:b/>
          <w:bCs/>
          <w:color w:val="auto"/>
          <w:sz w:val="24"/>
          <w:szCs w:val="24"/>
          <w:highlight w:val="none"/>
        </w:rPr>
        <w:t>设备配置：</w:t>
      </w:r>
      <w:r>
        <w:rPr>
          <w:rFonts w:hint="eastAsia" w:ascii="宋体" w:hAnsi="宋体"/>
          <w:b/>
          <w:bCs/>
          <w:color w:val="auto"/>
          <w:sz w:val="24"/>
          <w:szCs w:val="24"/>
          <w:highlight w:val="none"/>
        </w:rPr>
        <w:t>本工程应具备工程常规应</w:t>
      </w:r>
      <w:r>
        <w:rPr>
          <w:rFonts w:hint="eastAsia" w:ascii="宋体" w:hAnsi="宋体"/>
          <w:b/>
          <w:bCs/>
          <w:color w:val="auto"/>
          <w:sz w:val="24"/>
          <w:szCs w:val="24"/>
          <w:highlight w:val="none"/>
          <w:lang w:eastAsia="zh-CN"/>
        </w:rPr>
        <w:t>具有的</w:t>
      </w:r>
      <w:r>
        <w:rPr>
          <w:rFonts w:hint="eastAsia" w:ascii="宋体" w:hAnsi="宋体"/>
          <w:b/>
          <w:bCs/>
          <w:color w:val="auto"/>
          <w:sz w:val="24"/>
          <w:szCs w:val="24"/>
          <w:highlight w:val="none"/>
        </w:rPr>
        <w:t>检测设备（仪器）</w:t>
      </w:r>
      <w:r>
        <w:rPr>
          <w:rFonts w:hint="eastAsia"/>
          <w:b/>
          <w:bCs/>
          <w:color w:val="auto"/>
          <w:sz w:val="24"/>
          <w:szCs w:val="24"/>
          <w:highlight w:val="none"/>
        </w:rPr>
        <w:t>。至少应配置：</w:t>
      </w:r>
      <w:r>
        <w:rPr>
          <w:rFonts w:hint="eastAsia" w:ascii="宋体"/>
          <w:b/>
          <w:bCs/>
          <w:color w:val="auto"/>
          <w:sz w:val="24"/>
          <w:szCs w:val="24"/>
          <w:highlight w:val="none"/>
        </w:rPr>
        <w:t>水准仪1台、经纬仪1台、打印机1台、电脑1台、工程造价软件1套、砼回弹仪1台、工程车辆1台，</w:t>
      </w:r>
      <w:r>
        <w:rPr>
          <w:rFonts w:hint="eastAsia" w:ascii="宋体" w:hAnsi="宋体" w:cs="宋体"/>
          <w:b/>
          <w:bCs/>
          <w:color w:val="auto"/>
          <w:sz w:val="24"/>
          <w:szCs w:val="24"/>
          <w:highlight w:val="none"/>
        </w:rPr>
        <w:t>设备须提供购买设备的发票扫描件或租凭合同扫描件，租凭合同需含设备发票。</w:t>
      </w: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二、工期要求</w:t>
      </w:r>
    </w:p>
    <w:p>
      <w:pPr>
        <w:pStyle w:val="38"/>
        <w:ind w:firstLine="513" w:firstLineChars="214"/>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预计开工日期：开工时间暂定（具体开工时间以甲方通知为准）；</w:t>
      </w: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三、质量目标</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一次验收合格。</w:t>
      </w: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四、职业健康安全管理目标</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职业健康安全管理目标：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五、环境管理目标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执行《广州市建设工程现场文明施工管理办法》（穗建质〔2008〕937号）、《广州市城乡建设委员会关于印发广州市加强建筑工地环保管理工作方案的通知》（穗建质〔2014〕754号）、《广州市委宣传部广州市住房和城乡建设委员会广州市城市管理委员会关于完善广州市建设工程施工围蔽管理提升实施技术要求和标准图集的通知》（穗建质〔2016〕1085号）、《广州市提升建设工程安全文明施工管理水平的工作指引》（穗建质[2017]815号）、《危险性较大的分部分项工程安全管理规定》(中华人民共和国住房和城乡建设部令第37号)和《关于加强建设工程安全生产管理 落实建设各方主体责任的暂行规定》（穗建规字〔2017〕21号）《广州市住房和城乡建设委员会关于印发建设工程扬尘防治“6个100%”管理标准细化措施的通知》（穗建质〔2018〕1394号）等委托人以及国家、省、市现行有关文明施工方面的文件。加强建筑工地文明施工管理，控制施工扬尘，推进生态文明建设。如上述标准有更新的，则以现行标准为准。</w:t>
      </w:r>
    </w:p>
    <w:p>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六、委托人的其他要求</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委托人的其他要求：其他要求详见监理合同。</w:t>
      </w:r>
    </w:p>
    <w:p>
      <w:pPr>
        <w:pStyle w:val="31"/>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491" w:lineRule="exact"/>
        <w:jc w:val="center"/>
        <w:outlineLvl w:val="0"/>
        <w:rPr>
          <w:rFonts w:ascii="Times New Roman" w:hAnsi="Times New Roman"/>
          <w:b/>
          <w:color w:val="auto"/>
          <w:sz w:val="43"/>
          <w:highlight w:val="none"/>
        </w:rPr>
      </w:pPr>
      <w:bookmarkStart w:id="360" w:name="_Toc29273"/>
      <w:bookmarkStart w:id="361" w:name="_Toc530728914"/>
      <w:r>
        <w:rPr>
          <w:rFonts w:ascii="Times New Roman" w:hAnsi="Times New Roman"/>
          <w:b/>
          <w:color w:val="auto"/>
          <w:sz w:val="43"/>
          <w:highlight w:val="none"/>
        </w:rPr>
        <w:t>第六章</w:t>
      </w:r>
      <w:r>
        <w:rPr>
          <w:rFonts w:hint="eastAsia" w:ascii="Times New Roman" w:hAnsi="Times New Roman"/>
          <w:b/>
          <w:color w:val="auto"/>
          <w:sz w:val="43"/>
          <w:highlight w:val="none"/>
        </w:rPr>
        <w:t xml:space="preserve"> </w:t>
      </w:r>
      <w:r>
        <w:rPr>
          <w:rFonts w:ascii="Times New Roman" w:hAnsi="Times New Roman"/>
          <w:b/>
          <w:color w:val="auto"/>
          <w:sz w:val="43"/>
          <w:highlight w:val="none"/>
        </w:rPr>
        <w:t>投标文件格式</w:t>
      </w:r>
      <w:bookmarkEnd w:id="360"/>
      <w:bookmarkEnd w:id="361"/>
    </w:p>
    <w:p>
      <w:pPr>
        <w:spacing w:line="491" w:lineRule="exact"/>
        <w:jc w:val="center"/>
        <w:rPr>
          <w:rFonts w:ascii="Times New Roman" w:hAnsi="Times New Roman"/>
          <w:b/>
          <w:color w:val="auto"/>
          <w:sz w:val="43"/>
          <w:highlight w:val="none"/>
        </w:rPr>
        <w:sectPr>
          <w:pgSz w:w="11907" w:h="16839"/>
          <w:pgMar w:top="1440" w:right="1440" w:bottom="1418" w:left="1440" w:header="0" w:footer="736" w:gutter="0"/>
          <w:cols w:space="720" w:num="1"/>
          <w:docGrid w:linePitch="360" w:charSpace="0"/>
        </w:sectPr>
      </w:pPr>
    </w:p>
    <w:p>
      <w:pPr>
        <w:spacing w:line="200" w:lineRule="exact"/>
        <w:rPr>
          <w:rFonts w:ascii="Times New Roman" w:hAnsi="Times New Roman" w:eastAsia="Times New Roman"/>
          <w:color w:val="auto"/>
          <w:highlight w:val="none"/>
        </w:rPr>
      </w:pPr>
    </w:p>
    <w:p>
      <w:pPr>
        <w:spacing w:line="0" w:lineRule="atLeast"/>
        <w:jc w:val="center"/>
        <w:rPr>
          <w:rFonts w:ascii="Times New Roman" w:hAnsi="Times New Roman"/>
          <w:color w:val="auto"/>
          <w:sz w:val="18"/>
          <w:highlight w:val="none"/>
        </w:rPr>
        <w:sectPr>
          <w:type w:val="continuous"/>
          <w:pgSz w:w="11907" w:h="16839"/>
          <w:pgMar w:top="1440" w:right="1440" w:bottom="1418" w:left="1440" w:header="0" w:footer="736" w:gutter="0"/>
          <w:cols w:space="720" w:num="1"/>
          <w:docGrid w:linePitch="360" w:charSpace="0"/>
        </w:sect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400" w:lineRule="exact"/>
        <w:rPr>
          <w:rFonts w:ascii="Times New Roman" w:hAnsi="Times New Roman"/>
          <w:color w:val="auto"/>
          <w:highlight w:val="none"/>
        </w:rPr>
      </w:pPr>
    </w:p>
    <w:p>
      <w:pPr>
        <w:spacing w:line="32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（项目名称）</w:t>
      </w:r>
    </w:p>
    <w:p>
      <w:pPr>
        <w:spacing w:line="20" w:lineRule="exact"/>
        <w:rPr>
          <w:rFonts w:ascii="Times New Roman" w:hAnsi="Times New Roman" w:eastAsia="Times New Roman"/>
          <w:color w:val="auto"/>
          <w:highlight w:val="none"/>
        </w:rPr>
      </w:pPr>
      <w:r>
        <w:rPr>
          <w:rFonts w:ascii="Times New Roman" w:hAnsi="Times New Roman"/>
          <w:color w:val="auto"/>
          <w:highlight w:val="none"/>
        </w:rPr>
        <w:pict>
          <v:line id="_x0000_s1026" o:spid="_x0000_s1026" o:spt="20" style="position:absolute;left:0pt;margin-left:122.05pt;margin-top:0pt;height:0pt;width:163.7pt;z-index:-251657216;mso-width-relative:page;mso-height-relative:page;" coordsize="21600,21600" o:allowincell="f" o:gfxdata="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ZdYd9MA&#10;AAAFAQAADwAAAAAAAAABACAAAAAiAAAAZHJzL2Rvd25yZXYueG1sUEsBAhQAFAAAAAgAh07iQKqY&#10;8LjrAQAAugMAAA4AAAAAAAAAAQAgAAAAIgEAAGRycy9lMm9Eb2MueG1sUEsFBgAAAAAGAAYAWQEA&#10;AH8FAAAAAA==&#10;">
            <v:path arrowok="t"/>
            <v:fill focussize="0,0"/>
            <v:stroke weight="0.72pt"/>
            <v:imagedata o:title=""/>
            <o:lock v:ext="edit"/>
          </v:line>
        </w:pict>
      </w:r>
    </w:p>
    <w:p>
      <w:pPr>
        <w:spacing w:line="200" w:lineRule="exact"/>
        <w:rPr>
          <w:rFonts w:ascii="Times New Roman" w:hAnsi="Times New Roman" w:eastAsia="Times New Roman"/>
          <w:color w:val="auto"/>
          <w:highlight w:val="none"/>
        </w:rPr>
      </w:pPr>
    </w:p>
    <w:p>
      <w:pPr>
        <w:spacing w:line="284" w:lineRule="exact"/>
        <w:rPr>
          <w:rFonts w:ascii="Times New Roman" w:hAnsi="Times New Roman" w:eastAsia="Times New Roman"/>
          <w:color w:val="auto"/>
          <w:highlight w:val="none"/>
        </w:rPr>
      </w:pPr>
    </w:p>
    <w:p>
      <w:pPr>
        <w:spacing w:line="502" w:lineRule="exact"/>
        <w:jc w:val="center"/>
        <w:rPr>
          <w:rFonts w:ascii="Times New Roman" w:hAnsi="Times New Roman" w:eastAsia="黑体"/>
          <w:color w:val="auto"/>
          <w:sz w:val="44"/>
          <w:highlight w:val="none"/>
        </w:rPr>
      </w:pPr>
    </w:p>
    <w:p>
      <w:pPr>
        <w:spacing w:line="502" w:lineRule="exact"/>
        <w:jc w:val="center"/>
        <w:rPr>
          <w:rFonts w:ascii="Times New Roman" w:hAnsi="Times New Roman" w:eastAsia="黑体"/>
          <w:color w:val="auto"/>
          <w:sz w:val="44"/>
          <w:highlight w:val="none"/>
        </w:rPr>
      </w:pPr>
      <w:r>
        <w:rPr>
          <w:rFonts w:ascii="Times New Roman" w:hAnsi="Times New Roman" w:eastAsia="黑体"/>
          <w:color w:val="auto"/>
          <w:sz w:val="44"/>
          <w:highlight w:val="none"/>
        </w:rPr>
        <w:t>投 标 文 件</w:t>
      </w: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200" w:lineRule="exact"/>
        <w:rPr>
          <w:rFonts w:ascii="Times New Roman" w:hAnsi="Times New Roman" w:eastAsia="Times New Roman"/>
          <w:color w:val="auto"/>
          <w:highlight w:val="none"/>
        </w:rPr>
      </w:pPr>
    </w:p>
    <w:p>
      <w:pPr>
        <w:spacing w:line="308" w:lineRule="exact"/>
        <w:rPr>
          <w:rFonts w:ascii="Times New Roman" w:hAnsi="Times New Roman" w:eastAsia="Times New Roman"/>
          <w:color w:val="auto"/>
          <w:highlight w:val="none"/>
        </w:rPr>
      </w:pPr>
    </w:p>
    <w:p>
      <w:pPr>
        <w:tabs>
          <w:tab w:val="left" w:pos="7200"/>
        </w:tabs>
        <w:spacing w:line="308" w:lineRule="exact"/>
        <w:ind w:left="1480"/>
        <w:rPr>
          <w:rFonts w:ascii="Times New Roman" w:hAnsi="Times New Roman" w:eastAsia="黑体"/>
          <w:color w:val="auto"/>
          <w:sz w:val="27"/>
          <w:highlight w:val="none"/>
        </w:rPr>
      </w:pPr>
      <w:r>
        <w:rPr>
          <w:rFonts w:ascii="Times New Roman" w:hAnsi="Times New Roman" w:eastAsia="黑体"/>
          <w:color w:val="auto"/>
          <w:sz w:val="27"/>
          <w:highlight w:val="none"/>
        </w:rPr>
        <w:t>投标人：</w:t>
      </w:r>
      <w:r>
        <w:rPr>
          <w:rFonts w:hint="eastAsia" w:ascii="Times New Roman" w:hAnsi="Times New Roman"/>
          <w:color w:val="auto"/>
          <w:highlight w:val="none"/>
        </w:rPr>
        <w:t xml:space="preserve">                                </w:t>
      </w:r>
      <w:r>
        <w:rPr>
          <w:rFonts w:ascii="Times New Roman" w:hAnsi="Times New Roman" w:eastAsia="黑体"/>
          <w:color w:val="auto"/>
          <w:sz w:val="27"/>
          <w:highlight w:val="none"/>
        </w:rPr>
        <w:t>（盖单位章）</w:t>
      </w:r>
    </w:p>
    <w:p>
      <w:pPr>
        <w:spacing w:line="20" w:lineRule="exact"/>
        <w:rPr>
          <w:rFonts w:ascii="Times New Roman" w:hAnsi="Times New Roman" w:eastAsia="Times New Roman"/>
          <w:color w:val="auto"/>
          <w:highlight w:val="none"/>
        </w:rPr>
      </w:pPr>
      <w:r>
        <w:rPr>
          <w:rFonts w:ascii="Times New Roman" w:hAnsi="Times New Roman"/>
          <w:color w:val="auto"/>
          <w:highlight w:val="none"/>
        </w:rPr>
        <w:pict>
          <v:line id="_x0000_s1031" o:spid="_x0000_s1031" o:spt="20" style="position:absolute;left:0pt;margin-left:130.2pt;margin-top:-0.45pt;height:0pt;width:230.9pt;z-index:-251656192;mso-width-relative:page;mso-height-relative:page;"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jLRc0wAA&#10;AAcBAAAPAAAAAAAAAAEAIAAAACIAAABkcnMvZG93bnJldi54bWxQSwECFAAUAAAACACHTuJAusjr&#10;qOoBAAC6AwAADgAAAAAAAAABACAAAAAiAQAAZHJzL2Uyb0RvYy54bWxQSwUGAAAAAAYABgBZAQAA&#10;fgUAAAAA&#10;">
            <v:path arrowok="t"/>
            <v:fill focussize="0,0"/>
            <v:stroke weight="0.47992125984252pt"/>
            <v:imagedata o:title=""/>
            <o:lock v:ext="edit"/>
          </v:line>
        </w:pict>
      </w:r>
    </w:p>
    <w:p>
      <w:pPr>
        <w:spacing w:line="205" w:lineRule="exact"/>
        <w:rPr>
          <w:rFonts w:ascii="Times New Roman" w:hAnsi="Times New Roman" w:eastAsia="Times New Roman"/>
          <w:color w:val="auto"/>
          <w:highlight w:val="none"/>
        </w:rPr>
      </w:pPr>
    </w:p>
    <w:p>
      <w:pPr>
        <w:tabs>
          <w:tab w:val="left" w:pos="5840"/>
        </w:tabs>
        <w:spacing w:line="320" w:lineRule="exact"/>
        <w:ind w:left="1480"/>
        <w:rPr>
          <w:rFonts w:ascii="Times New Roman" w:hAnsi="Times New Roman" w:eastAsia="黑体"/>
          <w:color w:val="auto"/>
          <w:sz w:val="28"/>
          <w:highlight w:val="none"/>
        </w:rPr>
      </w:pPr>
      <w:r>
        <w:rPr>
          <w:rFonts w:ascii="Times New Roman" w:hAnsi="Times New Roman" w:eastAsia="黑体"/>
          <w:color w:val="auto"/>
          <w:sz w:val="28"/>
          <w:highlight w:val="none"/>
        </w:rPr>
        <w:t>法定代表人或其被授权人：</w:t>
      </w:r>
      <w:r>
        <w:rPr>
          <w:rFonts w:ascii="Times New Roman" w:hAnsi="Times New Roman" w:eastAsia="Times New Roman"/>
          <w:color w:val="auto"/>
          <w:highlight w:val="none"/>
        </w:rPr>
        <w:tab/>
      </w:r>
      <w:r>
        <w:rPr>
          <w:rFonts w:ascii="Times New Roman" w:hAnsi="Times New Roman" w:eastAsia="黑体"/>
          <w:color w:val="auto"/>
          <w:sz w:val="28"/>
          <w:highlight w:val="none"/>
        </w:rPr>
        <w:t>（签字</w:t>
      </w:r>
      <w:r>
        <w:rPr>
          <w:rFonts w:hint="eastAsia" w:ascii="Times New Roman" w:hAnsi="Times New Roman" w:eastAsia="黑体"/>
          <w:color w:val="auto"/>
          <w:sz w:val="28"/>
          <w:highlight w:val="none"/>
        </w:rPr>
        <w:t>或盖章</w:t>
      </w:r>
      <w:r>
        <w:rPr>
          <w:rFonts w:ascii="Times New Roman" w:hAnsi="Times New Roman" w:eastAsia="黑体"/>
          <w:color w:val="auto"/>
          <w:sz w:val="28"/>
          <w:highlight w:val="none"/>
        </w:rPr>
        <w:t>）</w:t>
      </w:r>
    </w:p>
    <w:p>
      <w:pPr>
        <w:spacing w:line="20" w:lineRule="exact"/>
        <w:rPr>
          <w:rFonts w:ascii="Times New Roman" w:hAnsi="Times New Roman" w:eastAsia="Times New Roman"/>
          <w:color w:val="auto"/>
          <w:highlight w:val="none"/>
        </w:rPr>
      </w:pPr>
      <w:r>
        <w:rPr>
          <w:rFonts w:ascii="Times New Roman" w:hAnsi="Times New Roman"/>
          <w:color w:val="auto"/>
          <w:highlight w:val="none"/>
        </w:rPr>
        <w:pict>
          <v:line id="_x0000_s1030" o:spid="_x0000_s1030" o:spt="20" style="position:absolute;left:0pt;margin-left:256.1pt;margin-top:-0.45pt;height:0pt;width:36.75pt;z-index:-251655168;mso-width-relative:page;mso-height-relative:page;" coordsize="21600,21600" o:allowincell="f" o:gfxdata="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5IKLW&#10;AAAABwEAAA8AAAAAAAAAAQAgAAAAIgAAAGRycy9kb3ducmV2LnhtbFBLAQIUABQAAAAIAIdO4kBl&#10;1nNG6QEAALkDAAAOAAAAAAAAAAEAIAAAACUBAABkcnMvZTJvRG9jLnhtbFBLBQYAAAAABgAGAFkB&#10;AACABQAAAAA=&#10;">
            <v:path arrowok="t"/>
            <v:fill focussize="0,0"/>
            <v:stroke weight="0.48pt"/>
            <v:imagedata o:title=""/>
            <o:lock v:ext="edit"/>
          </v:line>
        </w:pict>
      </w:r>
    </w:p>
    <w:p>
      <w:pPr>
        <w:spacing w:line="200" w:lineRule="exact"/>
        <w:rPr>
          <w:rFonts w:ascii="Times New Roman" w:hAnsi="Times New Roman" w:eastAsia="Times New Roman"/>
          <w:color w:val="auto"/>
          <w:highlight w:val="none"/>
        </w:rPr>
      </w:pPr>
    </w:p>
    <w:p>
      <w:pPr>
        <w:spacing w:line="368" w:lineRule="exact"/>
        <w:rPr>
          <w:rFonts w:ascii="Times New Roman" w:hAnsi="Times New Roman" w:eastAsia="Times New Roman"/>
          <w:color w:val="auto"/>
          <w:highlight w:val="none"/>
        </w:rPr>
      </w:pPr>
    </w:p>
    <w:p>
      <w:pPr>
        <w:tabs>
          <w:tab w:val="left" w:pos="4880"/>
          <w:tab w:val="left" w:pos="5900"/>
        </w:tabs>
        <w:spacing w:line="320" w:lineRule="exact"/>
        <w:ind w:left="3900"/>
        <w:rPr>
          <w:rFonts w:ascii="Times New Roman" w:hAnsi="Times New Roman" w:eastAsia="黑体"/>
          <w:color w:val="auto"/>
          <w:sz w:val="28"/>
          <w:highlight w:val="none"/>
        </w:rPr>
      </w:pPr>
      <w:r>
        <w:rPr>
          <w:rFonts w:ascii="Times New Roman" w:hAnsi="Times New Roman" w:eastAsia="黑体"/>
          <w:color w:val="auto"/>
          <w:sz w:val="28"/>
          <w:highlight w:val="none"/>
        </w:rPr>
        <w:t>年</w:t>
      </w:r>
      <w:r>
        <w:rPr>
          <w:rFonts w:ascii="Times New Roman" w:hAnsi="Times New Roman" w:eastAsia="Times New Roman"/>
          <w:color w:val="auto"/>
          <w:highlight w:val="none"/>
        </w:rPr>
        <w:tab/>
      </w:r>
      <w:r>
        <w:rPr>
          <w:rFonts w:ascii="Times New Roman" w:hAnsi="Times New Roman" w:eastAsia="黑体"/>
          <w:color w:val="auto"/>
          <w:sz w:val="28"/>
          <w:highlight w:val="none"/>
        </w:rPr>
        <w:t>月</w:t>
      </w:r>
      <w:r>
        <w:rPr>
          <w:rFonts w:ascii="Times New Roman" w:hAnsi="Times New Roman" w:eastAsia="Times New Roman"/>
          <w:color w:val="auto"/>
          <w:highlight w:val="none"/>
        </w:rPr>
        <w:tab/>
      </w:r>
      <w:r>
        <w:rPr>
          <w:rFonts w:ascii="Times New Roman" w:hAnsi="Times New Roman" w:eastAsia="黑体"/>
          <w:color w:val="auto"/>
          <w:sz w:val="28"/>
          <w:highlight w:val="none"/>
        </w:rPr>
        <w:t>日</w:t>
      </w:r>
    </w:p>
    <w:p>
      <w:pPr>
        <w:spacing w:line="20" w:lineRule="exact"/>
        <w:rPr>
          <w:rFonts w:ascii="Times New Roman" w:hAnsi="Times New Roman" w:eastAsia="Times New Roman"/>
          <w:color w:val="auto"/>
          <w:highlight w:val="none"/>
        </w:rPr>
      </w:pPr>
      <w:r>
        <w:rPr>
          <w:rFonts w:ascii="Times New Roman" w:hAnsi="Times New Roman"/>
          <w:color w:val="auto"/>
          <w:highlight w:val="none"/>
        </w:rPr>
        <w:pict>
          <v:line id="_x0000_s1029" o:spid="_x0000_s1029" o:spt="20" style="position:absolute;left:0pt;margin-left:157.85pt;margin-top:-0.45pt;height:0pt;width:36.7pt;z-index:-251654144;mso-width-relative:page;mso-height-relative:page;"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ywdL0wAAAAcB&#10;AAAPAAAAAAAAAAEAIAAAACIAAABkcnMvZG93bnJldi54bWxQSwECFAAUAAAACACHTuJAqDDRuecB&#10;AAC5AwAADgAAAAAAAAABACAAAAAiAQAAZHJzL2Uyb0RvYy54bWxQSwUGAAAAAAYABgBZAQAAewUA&#10;AAAA&#10;">
            <v:path arrowok="t"/>
            <v:fill focussize="0,0"/>
            <v:stroke weight="0.47992125984252pt"/>
            <v:imagedata o:title=""/>
            <o:lock v:ext="edit"/>
          </v:line>
        </w:pict>
      </w:r>
      <w:r>
        <w:rPr>
          <w:rFonts w:ascii="Times New Roman" w:hAnsi="Times New Roman"/>
          <w:color w:val="auto"/>
          <w:highlight w:val="none"/>
        </w:rPr>
        <w:pict>
          <v:line id="_x0000_s1028" o:spid="_x0000_s1028" o:spt="20" style="position:absolute;left:0pt;margin-left:208.7pt;margin-top:-0.45pt;height:0pt;width:36.6pt;z-index:-251653120;mso-width-relative:page;mso-height-relative:page;"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OgWm0wAA&#10;AAcBAAAPAAAAAAAAAAEAIAAAACIAAABkcnMvZG93bnJldi54bWxQSwECFAAUAAAACACHTuJAqgWG&#10;D+oBAAC5AwAADgAAAAAAAAABACAAAAAiAQAAZHJzL2Uyb0RvYy54bWxQSwUGAAAAAAYABgBZAQAA&#10;fgUAAAAA&#10;">
            <v:path arrowok="t"/>
            <v:fill focussize="0,0"/>
            <v:stroke weight="0.47992125984252pt"/>
            <v:imagedata o:title=""/>
            <o:lock v:ext="edit"/>
          </v:line>
        </w:pict>
      </w:r>
      <w:r>
        <w:rPr>
          <w:rFonts w:ascii="Times New Roman" w:hAnsi="Times New Roman"/>
          <w:color w:val="auto"/>
          <w:highlight w:val="none"/>
        </w:rPr>
        <w:pict>
          <v:line id="_x0000_s1027" o:spid="_x0000_s1027" o:spt="20" style="position:absolute;left:0pt;margin-left:259.45pt;margin-top:-0.45pt;height:0pt;width:36.65pt;z-index:-251652096;mso-width-relative:page;mso-height-relative:page;"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a5yYvTAAAA&#10;BwEAAA8AAAAAAAAAAQAgAAAAIgAAAGRycy9kb3ducmV2LnhtbFBLAQIUABQAAAAIAIdO4kBnIFYg&#10;6QEAALkDAAAOAAAAAAAAAAEAIAAAACIBAABkcnMvZTJvRG9jLnhtbFBLBQYAAAAABgAGAFkBAAB9&#10;BQAAAAA=&#10;">
            <v:path arrowok="t"/>
            <v:fill focussize="0,0"/>
            <v:stroke weight="0.47992125984252pt"/>
            <v:imagedata o:title=""/>
            <o:lock v:ext="edit"/>
          </v:line>
        </w:pict>
      </w:r>
    </w:p>
    <w:p>
      <w:pPr>
        <w:spacing w:line="225" w:lineRule="exact"/>
        <w:rPr>
          <w:rFonts w:ascii="Times New Roman" w:hAnsi="Times New Roman" w:eastAsia="Times New Roman"/>
          <w:color w:val="auto"/>
          <w:highlight w:val="none"/>
        </w:rPr>
      </w:pPr>
    </w:p>
    <w:p>
      <w:pPr>
        <w:spacing w:line="0" w:lineRule="atLeast"/>
        <w:jc w:val="center"/>
        <w:rPr>
          <w:rFonts w:ascii="Times New Roman" w:hAnsi="Times New Roman"/>
          <w:color w:val="auto"/>
          <w:sz w:val="18"/>
          <w:highlight w:val="none"/>
        </w:rPr>
        <w:sectPr>
          <w:pgSz w:w="11907" w:h="16839"/>
          <w:pgMar w:top="1440" w:right="1440" w:bottom="1418" w:left="1440" w:header="0" w:footer="736" w:gutter="0"/>
          <w:cols w:space="720" w:num="1"/>
          <w:docGrid w:linePitch="360" w:charSpace="0"/>
        </w:sectPr>
      </w:pPr>
    </w:p>
    <w:p>
      <w:pPr>
        <w:spacing w:line="1" w:lineRule="exact"/>
        <w:rPr>
          <w:rFonts w:ascii="Times New Roman" w:hAnsi="Times New Roman" w:eastAsia="Times New Roman"/>
          <w:color w:val="auto"/>
          <w:highlight w:val="none"/>
        </w:rPr>
      </w:pPr>
    </w:p>
    <w:p>
      <w:pPr>
        <w:spacing w:line="366" w:lineRule="exact"/>
        <w:jc w:val="center"/>
        <w:rPr>
          <w:rFonts w:ascii="Times New Roman" w:hAnsi="Times New Roman" w:eastAsia="黑体"/>
          <w:b/>
          <w:color w:val="auto"/>
          <w:sz w:val="32"/>
          <w:highlight w:val="none"/>
        </w:rPr>
      </w:pPr>
      <w:r>
        <w:rPr>
          <w:rFonts w:ascii="Times New Roman" w:hAnsi="Times New Roman" w:eastAsia="黑体"/>
          <w:b/>
          <w:color w:val="auto"/>
          <w:sz w:val="32"/>
          <w:highlight w:val="none"/>
        </w:rPr>
        <w:t>目录</w:t>
      </w:r>
    </w:p>
    <w:p>
      <w:pPr>
        <w:spacing w:line="360" w:lineRule="auto"/>
        <w:ind w:left="630" w:leftChars="300"/>
        <w:rPr>
          <w:rFonts w:ascii="Times New Roman" w:hAnsi="Times New Roman"/>
          <w:color w:val="auto"/>
          <w:sz w:val="24"/>
          <w:highlight w:val="none"/>
        </w:rPr>
      </w:pPr>
      <w:bookmarkStart w:id="362" w:name="_Toc352691655"/>
      <w:bookmarkStart w:id="363" w:name="_Toc369531691"/>
      <w:bookmarkStart w:id="364" w:name="_Toc7039"/>
    </w:p>
    <w:p>
      <w:pPr>
        <w:spacing w:line="360" w:lineRule="auto"/>
        <w:ind w:firstLine="424" w:firstLineChars="177"/>
        <w:rPr>
          <w:rFonts w:ascii="Times New Roman" w:hAnsi="Times New Roman"/>
          <w:color w:val="auto"/>
          <w:sz w:val="24"/>
          <w:highlight w:val="none"/>
        </w:rPr>
      </w:pPr>
      <w:r>
        <w:rPr>
          <w:rFonts w:ascii="Times New Roman" w:hAnsi="Times New Roman"/>
          <w:color w:val="auto"/>
          <w:sz w:val="24"/>
          <w:highlight w:val="none"/>
        </w:rPr>
        <w:t>一、投标函及投标函附录</w:t>
      </w:r>
    </w:p>
    <w:p>
      <w:pPr>
        <w:spacing w:line="360" w:lineRule="auto"/>
        <w:ind w:firstLine="424" w:firstLineChars="177"/>
        <w:rPr>
          <w:rFonts w:ascii="Times New Roman" w:hAnsi="Times New Roman"/>
          <w:color w:val="auto"/>
          <w:sz w:val="24"/>
          <w:highlight w:val="none"/>
        </w:rPr>
      </w:pPr>
      <w:r>
        <w:rPr>
          <w:rFonts w:ascii="Times New Roman" w:hAnsi="Times New Roman"/>
          <w:color w:val="auto"/>
          <w:sz w:val="24"/>
          <w:highlight w:val="none"/>
        </w:rPr>
        <w:t>二、法定代表人身份证明</w:t>
      </w:r>
      <w:r>
        <w:rPr>
          <w:rFonts w:hint="eastAsia" w:ascii="Times New Roman" w:hAnsi="Times New Roman"/>
          <w:color w:val="auto"/>
          <w:sz w:val="24"/>
          <w:highlight w:val="none"/>
        </w:rPr>
        <w:t>、授权委托书（如有）</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三</w:t>
      </w:r>
      <w:r>
        <w:rPr>
          <w:rFonts w:ascii="Times New Roman" w:hAnsi="Times New Roman"/>
          <w:color w:val="auto"/>
          <w:sz w:val="24"/>
          <w:highlight w:val="none"/>
        </w:rPr>
        <w:t>、监理报酬清单</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四</w:t>
      </w:r>
      <w:r>
        <w:rPr>
          <w:rFonts w:ascii="Times New Roman" w:hAnsi="Times New Roman"/>
          <w:color w:val="auto"/>
          <w:sz w:val="24"/>
          <w:highlight w:val="none"/>
        </w:rPr>
        <w:t>、</w:t>
      </w:r>
      <w:r>
        <w:rPr>
          <w:rFonts w:hint="eastAsia" w:ascii="Times New Roman" w:hAnsi="Times New Roman"/>
          <w:color w:val="auto"/>
          <w:sz w:val="24"/>
          <w:highlight w:val="none"/>
        </w:rPr>
        <w:t>资格</w:t>
      </w:r>
      <w:r>
        <w:rPr>
          <w:rFonts w:ascii="Times New Roman" w:hAnsi="Times New Roman"/>
          <w:color w:val="auto"/>
          <w:sz w:val="24"/>
          <w:highlight w:val="none"/>
        </w:rPr>
        <w:t>审查资料</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五</w:t>
      </w:r>
      <w:r>
        <w:rPr>
          <w:rFonts w:ascii="Times New Roman" w:hAnsi="Times New Roman"/>
          <w:color w:val="auto"/>
          <w:sz w:val="24"/>
          <w:highlight w:val="none"/>
        </w:rPr>
        <w:t>、投标人声明</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六、</w:t>
      </w:r>
      <w:r>
        <w:rPr>
          <w:rFonts w:ascii="Times New Roman" w:hAnsi="Times New Roman"/>
          <w:color w:val="auto"/>
          <w:sz w:val="24"/>
          <w:highlight w:val="none"/>
        </w:rPr>
        <w:t>监理大纲</w:t>
      </w:r>
    </w:p>
    <w:p>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七</w:t>
      </w:r>
      <w:r>
        <w:rPr>
          <w:rFonts w:ascii="Times New Roman" w:hAnsi="Times New Roman"/>
          <w:color w:val="auto"/>
          <w:sz w:val="24"/>
          <w:highlight w:val="none"/>
        </w:rPr>
        <w:t>、其他资料</w:t>
      </w:r>
    </w:p>
    <w:p>
      <w:pPr>
        <w:spacing w:line="360" w:lineRule="auto"/>
        <w:ind w:firstLine="664" w:firstLineChars="277"/>
        <w:rPr>
          <w:rFonts w:ascii="Times New Roman" w:hAnsi="Times New Roman"/>
          <w:color w:val="auto"/>
          <w:sz w:val="24"/>
          <w:highlight w:val="none"/>
        </w:rPr>
      </w:pPr>
    </w:p>
    <w:p>
      <w:pPr>
        <w:spacing w:line="540" w:lineRule="exact"/>
        <w:rPr>
          <w:rFonts w:ascii="Times New Roman" w:hAnsi="Times New Roman"/>
          <w:color w:val="auto"/>
          <w:sz w:val="20"/>
          <w:highlight w:val="none"/>
        </w:rPr>
      </w:pPr>
    </w:p>
    <w:p>
      <w:pPr>
        <w:spacing w:line="540" w:lineRule="exact"/>
        <w:rPr>
          <w:rFonts w:ascii="Times New Roman" w:hAnsi="Times New Roman"/>
          <w:color w:val="auto"/>
          <w:sz w:val="20"/>
          <w:highlight w:val="none"/>
        </w:rPr>
      </w:pPr>
    </w:p>
    <w:p>
      <w:pPr>
        <w:widowControl/>
        <w:jc w:val="left"/>
        <w:rPr>
          <w:rFonts w:ascii="Times New Roman" w:hAnsi="Times New Roman"/>
          <w:color w:val="auto"/>
          <w:sz w:val="20"/>
          <w:highlight w:val="none"/>
        </w:rPr>
      </w:pPr>
      <w:r>
        <w:rPr>
          <w:rFonts w:ascii="Times New Roman" w:hAnsi="Times New Roman"/>
          <w:color w:val="auto"/>
          <w:sz w:val="20"/>
          <w:highlight w:val="none"/>
        </w:rPr>
        <w:br w:type="page"/>
      </w:r>
    </w:p>
    <w:bookmarkEnd w:id="362"/>
    <w:bookmarkEnd w:id="363"/>
    <w:bookmarkEnd w:id="364"/>
    <w:p>
      <w:pPr>
        <w:pStyle w:val="4"/>
        <w:spacing w:line="600" w:lineRule="auto"/>
        <w:rPr>
          <w:rFonts w:ascii="Times New Roman" w:hAnsi="Times New Roman"/>
          <w:color w:val="auto"/>
          <w:sz w:val="30"/>
          <w:szCs w:val="30"/>
          <w:highlight w:val="none"/>
        </w:rPr>
      </w:pPr>
      <w:bookmarkStart w:id="365" w:name="_Toc535938751"/>
      <w:bookmarkStart w:id="366" w:name="_Toc530470642"/>
      <w:bookmarkStart w:id="367" w:name="_Toc529196600"/>
      <w:r>
        <w:rPr>
          <w:rFonts w:hint="eastAsia" w:ascii="等线" w:hAnsi="等线" w:eastAsia="等线" w:cs="等线"/>
          <w:color w:val="auto"/>
          <w:spacing w:val="18"/>
          <w:sz w:val="36"/>
          <w:szCs w:val="36"/>
          <w:highlight w:val="none"/>
        </w:rPr>
        <w:t>★</w:t>
      </w:r>
      <w:r>
        <w:rPr>
          <w:rFonts w:ascii="Times New Roman" w:hAnsi="Times New Roman"/>
          <w:color w:val="auto"/>
          <w:sz w:val="30"/>
          <w:szCs w:val="30"/>
          <w:highlight w:val="none"/>
        </w:rPr>
        <w:t>一、投标</w:t>
      </w:r>
      <w:bookmarkStart w:id="368" w:name="_Toc6931"/>
      <w:bookmarkStart w:id="369" w:name="_Toc369531692"/>
      <w:bookmarkStart w:id="370" w:name="_Toc352691656"/>
      <w:r>
        <w:rPr>
          <w:rFonts w:ascii="Times New Roman" w:hAnsi="Times New Roman"/>
          <w:color w:val="auto"/>
          <w:sz w:val="30"/>
          <w:szCs w:val="30"/>
          <w:highlight w:val="none"/>
        </w:rPr>
        <w:t>函及投标函附录</w:t>
      </w:r>
      <w:bookmarkEnd w:id="365"/>
      <w:bookmarkEnd w:id="366"/>
      <w:bookmarkEnd w:id="367"/>
    </w:p>
    <w:bookmarkEnd w:id="368"/>
    <w:bookmarkEnd w:id="369"/>
    <w:bookmarkEnd w:id="370"/>
    <w:p>
      <w:pPr>
        <w:pStyle w:val="5"/>
        <w:spacing w:line="240" w:lineRule="auto"/>
        <w:rPr>
          <w:color w:val="auto"/>
          <w:highlight w:val="none"/>
        </w:rPr>
      </w:pPr>
      <w:bookmarkStart w:id="371" w:name="_Toc385943065"/>
      <w:bookmarkStart w:id="372" w:name="_Toc529196601"/>
      <w:bookmarkStart w:id="373" w:name="_Toc359594235"/>
      <w:bookmarkStart w:id="374" w:name="_Toc391394111"/>
      <w:bookmarkStart w:id="375" w:name="_Toc370676426"/>
      <w:bookmarkStart w:id="376" w:name="_Toc530470643"/>
      <w:bookmarkStart w:id="377" w:name="_Toc535938752"/>
      <w:bookmarkStart w:id="378" w:name="_Toc482188651"/>
      <w:r>
        <w:rPr>
          <w:rFonts w:hint="eastAsia" w:ascii="等线" w:hAnsi="等线" w:eastAsia="等线" w:cs="等线"/>
          <w:color w:val="auto"/>
          <w:spacing w:val="18"/>
          <w:sz w:val="36"/>
          <w:szCs w:val="36"/>
          <w:highlight w:val="none"/>
        </w:rPr>
        <w:t>★</w:t>
      </w:r>
      <w:r>
        <w:rPr>
          <w:color w:val="auto"/>
          <w:highlight w:val="none"/>
        </w:rPr>
        <w:t>（一）投标函</w:t>
      </w:r>
      <w:bookmarkEnd w:id="371"/>
      <w:bookmarkEnd w:id="372"/>
      <w:bookmarkEnd w:id="373"/>
      <w:bookmarkEnd w:id="374"/>
      <w:bookmarkEnd w:id="375"/>
      <w:bookmarkEnd w:id="376"/>
      <w:bookmarkEnd w:id="377"/>
      <w:bookmarkEnd w:id="378"/>
    </w:p>
    <w:p>
      <w:pPr>
        <w:spacing w:line="360" w:lineRule="auto"/>
        <w:rPr>
          <w:rFonts w:ascii="Times New Roman" w:hAnsi="Times New Roman"/>
          <w:color w:val="auto"/>
          <w:sz w:val="24"/>
          <w:highlight w:val="none"/>
        </w:rPr>
      </w:pPr>
      <w:r>
        <w:rPr>
          <w:rFonts w:ascii="Times New Roman" w:hAnsi="Times New Roman"/>
          <w:color w:val="auto"/>
          <w:sz w:val="24"/>
          <w:highlight w:val="none"/>
        </w:rPr>
        <w:t>（招标人名称）：</w:t>
      </w:r>
      <w:r>
        <w:rPr>
          <w:rFonts w:ascii="Times New Roman" w:hAnsi="Times New Roman"/>
          <w:color w:val="auto"/>
          <w:sz w:val="24"/>
          <w:highlight w:val="none"/>
          <w:u w:val="single"/>
        </w:rPr>
        <w:t xml:space="preserve">                </w:t>
      </w:r>
    </w:p>
    <w:p>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1．我方已仔细研究了</w:t>
      </w:r>
      <w:r>
        <w:rPr>
          <w:rFonts w:ascii="Times New Roman" w:hAnsi="Times New Roman"/>
          <w:color w:val="auto"/>
          <w:sz w:val="24"/>
          <w:highlight w:val="none"/>
          <w:u w:val="single"/>
        </w:rPr>
        <w:t xml:space="preserve">                </w:t>
      </w:r>
      <w:r>
        <w:rPr>
          <w:rFonts w:ascii="Times New Roman" w:hAnsi="Times New Roman"/>
          <w:color w:val="auto"/>
          <w:sz w:val="24"/>
          <w:highlight w:val="none"/>
        </w:rPr>
        <w:t>（项目名称）监理招标项目招标文件的全部内容，愿意以</w:t>
      </w:r>
      <w:r>
        <w:rPr>
          <w:rFonts w:hint="eastAsia" w:ascii="Times New Roman" w:hAnsi="Times New Roman"/>
          <w:color w:val="auto"/>
          <w:sz w:val="24"/>
          <w:highlight w:val="none"/>
        </w:rPr>
        <w:t>投标函附录中的报价和监理服务期</w:t>
      </w:r>
      <w:r>
        <w:rPr>
          <w:rFonts w:ascii="Times New Roman" w:hAnsi="Times New Roman"/>
          <w:color w:val="auto"/>
          <w:sz w:val="24"/>
          <w:highlight w:val="none"/>
        </w:rPr>
        <w:t>，按合同约定完成监理工作。</w:t>
      </w:r>
    </w:p>
    <w:p>
      <w:pPr>
        <w:spacing w:line="360" w:lineRule="auto"/>
        <w:ind w:firstLine="480" w:firstLineChars="200"/>
        <w:rPr>
          <w:rFonts w:ascii="Times New Roman" w:hAnsi="Times New Roman"/>
          <w:color w:val="auto"/>
          <w:sz w:val="24"/>
          <w:highlight w:val="none"/>
        </w:rPr>
      </w:pPr>
      <w:bookmarkStart w:id="379" w:name="_Toc530470644"/>
      <w:r>
        <w:rPr>
          <w:rFonts w:ascii="Times New Roman" w:hAnsi="Times New Roman"/>
          <w:color w:val="auto"/>
          <w:sz w:val="24"/>
          <w:highlight w:val="none"/>
        </w:rPr>
        <w:t>2. 我方的投标文件包括下列内容：</w:t>
      </w:r>
      <w:bookmarkEnd w:id="379"/>
    </w:p>
    <w:p>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（1）投标函及投标函附录；</w:t>
      </w:r>
    </w:p>
    <w:p>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（2）法定代表人身份证明</w:t>
      </w:r>
      <w:r>
        <w:rPr>
          <w:rFonts w:hint="eastAsia" w:ascii="Times New Roman" w:hAnsi="Times New Roman"/>
          <w:color w:val="auto"/>
          <w:sz w:val="24"/>
          <w:highlight w:val="none"/>
        </w:rPr>
        <w:t>、</w:t>
      </w:r>
      <w:r>
        <w:rPr>
          <w:rFonts w:ascii="Times New Roman" w:hAnsi="Times New Roman"/>
          <w:color w:val="auto"/>
          <w:sz w:val="24"/>
          <w:highlight w:val="none"/>
        </w:rPr>
        <w:t>授权委托书（如有）；</w:t>
      </w:r>
    </w:p>
    <w:p>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3</w:t>
      </w:r>
      <w:r>
        <w:rPr>
          <w:rFonts w:ascii="Times New Roman" w:hAnsi="Times New Roman"/>
          <w:color w:val="auto"/>
          <w:sz w:val="24"/>
          <w:highlight w:val="none"/>
        </w:rPr>
        <w:t xml:space="preserve">）监理报酬清单； </w:t>
      </w:r>
    </w:p>
    <w:p>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4</w:t>
      </w:r>
      <w:r>
        <w:rPr>
          <w:rFonts w:ascii="Times New Roman" w:hAnsi="Times New Roman"/>
          <w:color w:val="auto"/>
          <w:sz w:val="24"/>
          <w:highlight w:val="none"/>
        </w:rPr>
        <w:t>）资格审查资料</w:t>
      </w:r>
    </w:p>
    <w:p>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）监理大纲；</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6</w:t>
      </w:r>
      <w:r>
        <w:rPr>
          <w:rFonts w:ascii="Times New Roman" w:hAnsi="Times New Roman"/>
          <w:color w:val="auto"/>
          <w:sz w:val="24"/>
          <w:highlight w:val="none"/>
        </w:rPr>
        <w:t>）其他资料。</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投标文件的上述组成部分如存在内容不一致的，以投标函为准。</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3．我方承诺在招标文件规定的投标有效期</w:t>
      </w:r>
      <w:r>
        <w:rPr>
          <w:rFonts w:ascii="Times New Roman" w:hAnsi="Times New Roman"/>
          <w:color w:val="auto"/>
          <w:sz w:val="24"/>
          <w:highlight w:val="none"/>
          <w:u w:val="single"/>
        </w:rPr>
        <w:t>90</w:t>
      </w:r>
      <w:r>
        <w:rPr>
          <w:rFonts w:ascii="Times New Roman" w:hAnsi="Times New Roman"/>
          <w:color w:val="auto"/>
          <w:sz w:val="24"/>
          <w:highlight w:val="none"/>
        </w:rPr>
        <w:t>日历天内不撤销投标文件。</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4．如我方中标，我方承诺：</w:t>
      </w:r>
    </w:p>
    <w:p>
      <w:pPr>
        <w:spacing w:line="360" w:lineRule="auto"/>
        <w:ind w:left="960" w:leftChars="400" w:hanging="120" w:hangingChars="50"/>
        <w:rPr>
          <w:rFonts w:ascii="Times New Roman" w:hAnsi="Times New Roman"/>
          <w:color w:val="auto"/>
          <w:sz w:val="24"/>
          <w:highlight w:val="none"/>
        </w:rPr>
      </w:pPr>
      <w:r>
        <w:rPr>
          <w:rFonts w:ascii="Times New Roman" w:hAnsi="Times New Roman"/>
          <w:color w:val="auto"/>
          <w:sz w:val="24"/>
          <w:highlight w:val="none"/>
        </w:rPr>
        <w:t>（1）在收到中标通知书后，在中标通知书规定的期限内与你方签订合同；</w:t>
      </w:r>
    </w:p>
    <w:p>
      <w:pPr>
        <w:spacing w:line="360" w:lineRule="auto"/>
        <w:ind w:left="960" w:leftChars="400" w:hanging="120" w:hangingChars="50"/>
        <w:rPr>
          <w:rFonts w:ascii="Times New Roman" w:hAnsi="Times New Roman"/>
          <w:color w:val="auto"/>
          <w:sz w:val="24"/>
          <w:highlight w:val="none"/>
        </w:rPr>
      </w:pPr>
      <w:r>
        <w:rPr>
          <w:rFonts w:ascii="Times New Roman" w:hAnsi="Times New Roman"/>
          <w:color w:val="auto"/>
          <w:sz w:val="24"/>
          <w:highlight w:val="none"/>
        </w:rPr>
        <w:t>（2）在签订合同时不向你方提出附加条件；</w:t>
      </w:r>
    </w:p>
    <w:p>
      <w:pPr>
        <w:spacing w:line="360" w:lineRule="auto"/>
        <w:ind w:left="960" w:leftChars="400" w:hanging="120" w:hangingChars="50"/>
        <w:rPr>
          <w:rFonts w:ascii="Times New Roman" w:hAnsi="Times New Roman"/>
          <w:color w:val="auto"/>
          <w:sz w:val="24"/>
          <w:highlight w:val="none"/>
        </w:rPr>
      </w:pPr>
      <w:bookmarkStart w:id="380" w:name="_Toc352691658"/>
      <w:bookmarkStart w:id="381" w:name="_Toc1187"/>
      <w:bookmarkStart w:id="382" w:name="_Toc369531694"/>
      <w:r>
        <w:rPr>
          <w:rFonts w:ascii="Times New Roman" w:hAnsi="Times New Roman"/>
          <w:color w:val="auto"/>
          <w:sz w:val="24"/>
          <w:highlight w:val="none"/>
        </w:rPr>
        <w:t>（</w:t>
      </w:r>
      <w:r>
        <w:rPr>
          <w:rFonts w:hint="eastAsia" w:ascii="Times New Roman" w:hAnsi="Times New Roman"/>
          <w:color w:val="auto"/>
          <w:sz w:val="24"/>
          <w:highlight w:val="none"/>
        </w:rPr>
        <w:t>3</w:t>
      </w:r>
      <w:r>
        <w:rPr>
          <w:rFonts w:ascii="Times New Roman" w:hAnsi="Times New Roman"/>
          <w:color w:val="auto"/>
          <w:sz w:val="24"/>
          <w:highlight w:val="none"/>
        </w:rPr>
        <w:t>）在合</w:t>
      </w:r>
      <w:bookmarkEnd w:id="380"/>
      <w:bookmarkEnd w:id="381"/>
      <w:bookmarkEnd w:id="382"/>
      <w:r>
        <w:rPr>
          <w:rFonts w:ascii="Times New Roman" w:hAnsi="Times New Roman"/>
          <w:color w:val="auto"/>
          <w:sz w:val="24"/>
          <w:highlight w:val="none"/>
        </w:rPr>
        <w:t>同约定的期限内完成合同规定的全部义务；</w:t>
      </w:r>
    </w:p>
    <w:p>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5．我方在此声明，所递交的投标文件及有关资料内容完整、真实和准确，且不存在第二章“投标人须知”第1.4.3项规定的任何一种情形。</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6. 如我方中标，我方承诺，满足“委托人要求”中的所有内容。</w:t>
      </w:r>
    </w:p>
    <w:p>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．如我方中标，我方承诺：我司提交的所有投标资料真实可靠，并</w:t>
      </w:r>
      <w:r>
        <w:rPr>
          <w:rFonts w:hint="eastAsia" w:ascii="Times New Roman" w:hAnsi="Times New Roman"/>
          <w:color w:val="auto"/>
          <w:sz w:val="24"/>
          <w:highlight w:val="none"/>
        </w:rPr>
        <w:t>在中标通知书发放之前，如招标人、建设行政管理部门、工程招标监督机构等提出复查投标资料原件的，我方在3个工作日之内提供。如投标资料弄虚作假的，我方将承担与此有关的一切责任，包括但不限于取消投标资格或中标资格（如果已取得中标）、接受行政监督部门的行政处罚等。</w:t>
      </w:r>
    </w:p>
    <w:p>
      <w:pPr>
        <w:spacing w:line="360" w:lineRule="auto"/>
        <w:ind w:firstLine="2520" w:firstLineChars="1200"/>
        <w:rPr>
          <w:rFonts w:ascii="Times New Roman" w:hAnsi="Times New Roman"/>
          <w:color w:val="auto"/>
          <w:szCs w:val="21"/>
          <w:highlight w:val="none"/>
        </w:rPr>
      </w:pPr>
      <w:bookmarkStart w:id="383" w:name="_Toc359594236"/>
      <w:bookmarkStart w:id="384" w:name="_Toc391394112"/>
      <w:bookmarkStart w:id="385" w:name="_Toc385943066"/>
      <w:bookmarkStart w:id="386" w:name="_Toc370676427"/>
      <w:bookmarkStart w:id="387" w:name="_Toc482188652"/>
      <w:bookmarkStart w:id="388" w:name="_Toc152045787"/>
      <w:bookmarkStart w:id="389" w:name="_Toc247527827"/>
      <w:bookmarkStart w:id="390" w:name="_Toc369531697"/>
      <w:bookmarkStart w:id="391" w:name="_Toc17960"/>
      <w:bookmarkStart w:id="392" w:name="_Toc352691661"/>
      <w:bookmarkStart w:id="393" w:name="_Toc247514246"/>
      <w:bookmarkStart w:id="394" w:name="_Toc384308375"/>
      <w:bookmarkStart w:id="395" w:name="_Toc152042576"/>
      <w:bookmarkStart w:id="396" w:name="_Toc300835209"/>
      <w:bookmarkStart w:id="397" w:name="_Toc361508752"/>
      <w:bookmarkStart w:id="398" w:name="_Toc144974856"/>
    </w:p>
    <w:p>
      <w:pPr>
        <w:spacing w:line="360" w:lineRule="auto"/>
        <w:ind w:firstLine="2520" w:firstLineChars="1200"/>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rPr>
        <w:t>（盖单位章）</w:t>
      </w:r>
    </w:p>
    <w:p>
      <w:pPr>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 xml:space="preserve">        法定代表人</w:t>
      </w:r>
      <w:r>
        <w:rPr>
          <w:rFonts w:ascii="Times New Roman" w:hAnsi="Times New Roman"/>
          <w:color w:val="auto"/>
          <w:szCs w:val="21"/>
          <w:highlight w:val="none"/>
        </w:rPr>
        <w:t>(</w:t>
      </w:r>
      <w:r>
        <w:rPr>
          <w:rFonts w:hint="eastAsia" w:ascii="Times New Roman" w:hAnsi="Times New Roman"/>
          <w:color w:val="auto"/>
          <w:szCs w:val="21"/>
          <w:highlight w:val="none"/>
        </w:rPr>
        <w:t>或被授权人</w:t>
      </w:r>
      <w:r>
        <w:rPr>
          <w:rFonts w:ascii="Times New Roman" w:hAnsi="Times New Roman"/>
          <w:color w:val="auto"/>
          <w:szCs w:val="21"/>
          <w:highlight w:val="none"/>
        </w:rPr>
        <w:t>)</w:t>
      </w:r>
      <w:r>
        <w:rPr>
          <w:rFonts w:hint="eastAsia" w:ascii="Times New Roman" w:hAnsi="Times New Roman"/>
          <w:color w:val="auto"/>
          <w:szCs w:val="21"/>
          <w:highlight w:val="none"/>
        </w:rPr>
        <w:t>（签名或盖章）：</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spacing w:line="360" w:lineRule="auto"/>
        <w:ind w:firstLine="2520" w:firstLineChars="1200"/>
        <w:rPr>
          <w:rFonts w:ascii="Times New Roman" w:hAnsi="Times New Roman"/>
          <w:color w:val="auto"/>
          <w:szCs w:val="21"/>
          <w:highlight w:val="non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p>
    <w:p>
      <w:pPr>
        <w:spacing w:line="360" w:lineRule="auto"/>
        <w:ind w:right="85"/>
        <w:rPr>
          <w:rFonts w:ascii="Times New Roman" w:hAnsi="Times New Roman"/>
          <w:color w:val="auto"/>
          <w:szCs w:val="21"/>
          <w:highlight w:val="none"/>
        </w:rPr>
      </w:pPr>
      <w:r>
        <w:rPr>
          <w:rFonts w:hint="eastAsia" w:ascii="Times New Roman" w:hAnsi="Times New Roman"/>
          <w:color w:val="auto"/>
          <w:szCs w:val="21"/>
          <w:highlight w:val="none"/>
        </w:rPr>
        <w:t xml:space="preserve">                        </w:t>
      </w:r>
      <w:r>
        <w:rPr>
          <w:rFonts w:ascii="Times New Roman" w:hAnsi="Times New Roman"/>
          <w:color w:val="auto"/>
          <w:szCs w:val="21"/>
          <w:highlight w:val="none"/>
        </w:rPr>
        <w:t>网    址：</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p>
    <w:p>
      <w:pPr>
        <w:spacing w:line="360" w:lineRule="auto"/>
        <w:ind w:firstLine="2520" w:firstLineChars="1200"/>
        <w:rPr>
          <w:rFonts w:ascii="Times New Roman" w:hAnsi="Times New Roman"/>
          <w:color w:val="auto"/>
          <w:szCs w:val="21"/>
          <w:highlight w:val="non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360" w:lineRule="auto"/>
        <w:ind w:firstLine="2520" w:firstLineChars="1200"/>
        <w:rPr>
          <w:rFonts w:ascii="Times New Roman" w:hAnsi="Times New Roman"/>
          <w:color w:val="auto"/>
          <w:szCs w:val="21"/>
          <w:highlight w:val="none"/>
        </w:rPr>
      </w:pPr>
      <w:r>
        <w:rPr>
          <w:rFonts w:ascii="Times New Roman" w:hAnsi="Times New Roman"/>
          <w:color w:val="auto"/>
          <w:szCs w:val="21"/>
          <w:highlight w:val="none"/>
        </w:rPr>
        <w:t>传    真：</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360" w:lineRule="auto"/>
        <w:ind w:firstLine="2520" w:firstLineChars="1200"/>
        <w:rPr>
          <w:rFonts w:ascii="Times New Roman" w:hAnsi="Times New Roman"/>
          <w:color w:val="auto"/>
          <w:szCs w:val="21"/>
          <w:highlight w:val="none"/>
        </w:rPr>
      </w:pPr>
      <w:r>
        <w:rPr>
          <w:rFonts w:ascii="Times New Roman" w:hAnsi="Times New Roman"/>
          <w:color w:val="auto"/>
          <w:szCs w:val="21"/>
          <w:highlight w:val="none"/>
        </w:rPr>
        <w:t>邮政编码：</w:t>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pPr>
        <w:spacing w:line="360" w:lineRule="auto"/>
        <w:ind w:firstLine="4725" w:firstLineChars="2250"/>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pPr>
        <w:spacing w:line="360" w:lineRule="auto"/>
        <w:ind w:firstLine="4725" w:firstLineChars="2250"/>
        <w:rPr>
          <w:rFonts w:ascii="Times New Roman" w:hAnsi="Times New Roman"/>
          <w:color w:val="auto"/>
          <w:szCs w:val="21"/>
          <w:highlight w:val="none"/>
        </w:rPr>
      </w:pPr>
      <w:r>
        <w:rPr>
          <w:rFonts w:ascii="Times New Roman" w:hAnsi="Times New Roman"/>
          <w:color w:val="auto"/>
          <w:szCs w:val="21"/>
          <w:highlight w:val="none"/>
        </w:rPr>
        <w:br w:type="page"/>
      </w:r>
    </w:p>
    <w:bookmarkEnd w:id="383"/>
    <w:bookmarkEnd w:id="384"/>
    <w:bookmarkEnd w:id="385"/>
    <w:bookmarkEnd w:id="386"/>
    <w:bookmarkEnd w:id="387"/>
    <w:p>
      <w:pPr>
        <w:pStyle w:val="5"/>
        <w:spacing w:line="480" w:lineRule="auto"/>
        <w:rPr>
          <w:color w:val="auto"/>
          <w:highlight w:val="none"/>
        </w:rPr>
      </w:pPr>
      <w:bookmarkStart w:id="399" w:name="_Toc530470646"/>
      <w:bookmarkStart w:id="400" w:name="_Toc529196603"/>
      <w:r>
        <w:rPr>
          <w:rFonts w:hint="eastAsia" w:ascii="等线" w:hAnsi="等线" w:eastAsia="等线" w:cs="等线"/>
          <w:color w:val="auto"/>
          <w:spacing w:val="18"/>
          <w:sz w:val="36"/>
          <w:szCs w:val="36"/>
          <w:highlight w:val="none"/>
        </w:rPr>
        <w:t>★</w:t>
      </w:r>
      <w:r>
        <w:rPr>
          <w:color w:val="auto"/>
          <w:highlight w:val="none"/>
        </w:rPr>
        <w:t>（二）投标函附录</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42"/>
        <w:gridCol w:w="455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45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约定内容</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4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p>
            <w:pPr>
              <w:spacing w:line="400" w:lineRule="exact"/>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p>
            <w:pP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注册证号：</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820" w:firstLineChars="342"/>
              <w:contextualSpacing/>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455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u w:val="none"/>
              </w:rPr>
              <w:t>按招标文件要求</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合同价款确定方式</w:t>
            </w:r>
          </w:p>
        </w:tc>
        <w:tc>
          <w:tcPr>
            <w:tcW w:w="4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highlight w:val="none"/>
                <w:u w:val="single"/>
              </w:rPr>
              <w:t>按合同约定</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00" w:lineRule="exact"/>
              <w:contextualSpacing/>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按招标文件要求</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00" w:lineRule="exact"/>
              <w:contextualSpacing/>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5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90日历天</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00" w:lineRule="exact"/>
              <w:contextualSpacing/>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2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contextualSpacing/>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投标总报价</w:t>
            </w:r>
          </w:p>
        </w:tc>
        <w:tc>
          <w:tcPr>
            <w:tcW w:w="4551"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400" w:lineRule="exact"/>
              <w:contextualSpacing/>
              <w:rPr>
                <w:rFonts w:hint="eastAsia" w:ascii="宋体" w:hAnsi="宋体" w:cs="宋体"/>
                <w:color w:val="auto"/>
                <w:highlight w:val="none"/>
              </w:rPr>
            </w:pPr>
            <w:r>
              <w:rPr>
                <w:rFonts w:hint="eastAsia" w:ascii="宋体" w:hAnsi="宋体" w:cs="宋体"/>
                <w:color w:val="auto"/>
                <w:highlight w:val="none"/>
              </w:rPr>
              <w:t>投标总报价（元）：</w:t>
            </w:r>
          </w:p>
          <w:p>
            <w:pPr>
              <w:pStyle w:val="4"/>
              <w:rPr>
                <w:rFonts w:hint="eastAsia" w:ascii="宋体" w:hAnsi="宋体" w:eastAsia="宋体" w:cs="宋体"/>
                <w:color w:val="auto"/>
                <w:highlight w:val="none"/>
              </w:rPr>
            </w:pPr>
            <w:r>
              <w:rPr>
                <w:rFonts w:hint="eastAsia" w:ascii="宋体" w:hAnsi="宋体" w:eastAsia="宋体" w:cs="宋体"/>
                <w:color w:val="auto"/>
                <w:sz w:val="24"/>
                <w:szCs w:val="24"/>
                <w:highlight w:val="none"/>
              </w:rPr>
              <w:t>下浮率：     %</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00" w:lineRule="exact"/>
              <w:contextualSpacing/>
              <w:jc w:val="center"/>
              <w:rPr>
                <w:rFonts w:hint="eastAsia" w:ascii="宋体" w:hAnsi="宋体" w:cs="宋体"/>
                <w:b/>
                <w:color w:val="auto"/>
                <w:szCs w:val="21"/>
                <w:highlight w:val="none"/>
              </w:rPr>
            </w:pPr>
          </w:p>
        </w:tc>
      </w:tr>
    </w:tbl>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1、</w:t>
      </w:r>
      <w:r>
        <w:rPr>
          <w:rFonts w:hint="eastAsia" w:ascii="宋体" w:hAnsi="宋体" w:cs="宋体"/>
          <w:color w:val="auto"/>
          <w:highlight w:val="none"/>
        </w:rPr>
        <w:t>投标人根据企业自身情况进行报价，</w:t>
      </w:r>
      <w:r>
        <w:rPr>
          <w:rFonts w:hint="eastAsia" w:ascii="宋体" w:hAnsi="宋体" w:cs="宋体"/>
          <w:bCs/>
          <w:color w:val="auto"/>
          <w:highlight w:val="none"/>
        </w:rPr>
        <w:t>投标报价不得超过最高投标限价。</w:t>
      </w:r>
      <w:r>
        <w:rPr>
          <w:rFonts w:hint="eastAsia" w:ascii="宋体" w:hAnsi="宋体" w:cs="宋体"/>
          <w:color w:val="auto"/>
          <w:szCs w:val="21"/>
          <w:highlight w:val="none"/>
        </w:rPr>
        <w:t>小数点后保留两位小数，第三位小数四舍五入。</w:t>
      </w:r>
    </w:p>
    <w:p>
      <w:pPr>
        <w:spacing w:line="440" w:lineRule="exact"/>
        <w:ind w:firstLine="420" w:firstLineChars="200"/>
        <w:rPr>
          <w:rFonts w:hint="default" w:eastAsia="宋体"/>
          <w:lang w:val="en-US" w:eastAsia="zh-CN"/>
        </w:rPr>
      </w:pPr>
      <w:r>
        <w:rPr>
          <w:rFonts w:hint="eastAsia" w:ascii="宋体" w:hAnsi="宋体" w:cs="宋体"/>
          <w:color w:val="auto"/>
          <w:highlight w:val="none"/>
          <w:lang w:val="en-US" w:eastAsia="zh-CN"/>
        </w:rPr>
        <w:t xml:space="preserve"> 2、下浮率=（最高投标限价-投标报价）/最高投标限价*100%。小数点后保留两位小数，第三位小数四舍五入。</w:t>
      </w:r>
    </w:p>
    <w:p>
      <w:pPr>
        <w:spacing w:line="360" w:lineRule="auto"/>
        <w:ind w:firstLine="2880" w:firstLineChars="1200"/>
        <w:jc w:val="left"/>
        <w:rPr>
          <w:rFonts w:hint="eastAsia" w:ascii="Times New Roman" w:hAnsi="Times New Roman"/>
          <w:color w:val="auto"/>
          <w:sz w:val="24"/>
          <w:highlight w:val="none"/>
        </w:rPr>
      </w:pPr>
    </w:p>
    <w:p>
      <w:pPr>
        <w:spacing w:line="360" w:lineRule="auto"/>
        <w:ind w:firstLine="2880" w:firstLineChars="1200"/>
        <w:jc w:val="left"/>
        <w:rPr>
          <w:rFonts w:hint="eastAsia" w:ascii="Times New Roman" w:hAnsi="Times New Roman"/>
          <w:color w:val="auto"/>
          <w:sz w:val="24"/>
          <w:highlight w:val="none"/>
        </w:rPr>
      </w:pPr>
    </w:p>
    <w:p>
      <w:pPr>
        <w:spacing w:line="360" w:lineRule="auto"/>
        <w:ind w:firstLine="2880" w:firstLineChars="1200"/>
        <w:jc w:val="left"/>
        <w:rPr>
          <w:rFonts w:ascii="Times New Roman" w:hAnsi="Times New Roman"/>
          <w:color w:val="auto"/>
          <w:sz w:val="24"/>
          <w:highlight w:val="none"/>
        </w:rPr>
      </w:pPr>
      <w:r>
        <w:rPr>
          <w:rFonts w:hint="eastAsia" w:ascii="Times New Roman" w:hAnsi="Times New Roman"/>
          <w:color w:val="auto"/>
          <w:sz w:val="24"/>
          <w:highlight w:val="none"/>
        </w:rPr>
        <w:t xml:space="preserve">   </w:t>
      </w:r>
      <w:r>
        <w:rPr>
          <w:rFonts w:ascii="Times New Roman" w:hAnsi="Times New Roman"/>
          <w:color w:val="auto"/>
          <w:sz w:val="24"/>
          <w:highlight w:val="none"/>
        </w:rPr>
        <w:t>投标人：</w:t>
      </w:r>
      <w:r>
        <w:rPr>
          <w:rFonts w:ascii="Times New Roman" w:hAnsi="Times New Roman"/>
          <w:color w:val="auto"/>
          <w:sz w:val="24"/>
          <w:highlight w:val="none"/>
          <w:u w:val="single"/>
        </w:rPr>
        <w:tab/>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（盖单位章）</w:t>
      </w:r>
    </w:p>
    <w:p>
      <w:pPr>
        <w:spacing w:line="360" w:lineRule="auto"/>
        <w:ind w:firstLine="3120" w:firstLineChars="1300"/>
        <w:jc w:val="left"/>
        <w:rPr>
          <w:rFonts w:ascii="Times New Roman" w:hAnsi="Times New Roman"/>
          <w:color w:val="auto"/>
          <w:sz w:val="24"/>
          <w:highlight w:val="none"/>
        </w:rPr>
      </w:pPr>
      <w:r>
        <w:rPr>
          <w:rFonts w:hint="eastAsia" w:ascii="Times New Roman" w:hAnsi="Times New Roman"/>
          <w:color w:val="auto"/>
          <w:sz w:val="24"/>
          <w:highlight w:val="none"/>
        </w:rPr>
        <w:t xml:space="preserve"> </w:t>
      </w:r>
      <w:r>
        <w:rPr>
          <w:rFonts w:ascii="Times New Roman" w:hAnsi="Times New Roman"/>
          <w:color w:val="auto"/>
          <w:sz w:val="24"/>
          <w:highlight w:val="none"/>
        </w:rPr>
        <w:t>法定代表人或其委托代理人：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（签字</w:t>
      </w:r>
      <w:r>
        <w:rPr>
          <w:rFonts w:hint="eastAsia" w:ascii="Times New Roman" w:hAnsi="Times New Roman"/>
          <w:color w:val="auto"/>
          <w:sz w:val="24"/>
          <w:highlight w:val="none"/>
        </w:rPr>
        <w:t>或盖章</w:t>
      </w:r>
      <w:r>
        <w:rPr>
          <w:rFonts w:ascii="Times New Roman" w:hAnsi="Times New Roman"/>
          <w:color w:val="auto"/>
          <w:sz w:val="24"/>
          <w:highlight w:val="none"/>
        </w:rPr>
        <w:t>）</w:t>
      </w:r>
    </w:p>
    <w:p>
      <w:pPr>
        <w:wordWrap w:val="0"/>
        <w:spacing w:line="360" w:lineRule="auto"/>
        <w:ind w:firstLine="5400" w:firstLineChars="2250"/>
        <w:jc w:val="right"/>
        <w:rPr>
          <w:rFonts w:ascii="Times New Roman" w:hAnsi="Times New Roman"/>
          <w:color w:val="auto"/>
          <w:sz w:val="24"/>
          <w:highlight w:val="none"/>
        </w:rPr>
      </w:pPr>
      <w:r>
        <w:rPr>
          <w:rFonts w:ascii="Times New Roman" w:hAnsi="Times New Roman"/>
          <w:color w:val="auto"/>
          <w:sz w:val="24"/>
          <w:highlight w:val="none"/>
        </w:rPr>
        <w:t xml:space="preserve">   年</w:t>
      </w:r>
      <w:r>
        <w:rPr>
          <w:rFonts w:hint="eastAsia" w:ascii="Times New Roman" w:hAnsi="Times New Roman"/>
          <w:color w:val="auto"/>
          <w:sz w:val="24"/>
          <w:highlight w:val="none"/>
        </w:rPr>
        <w:t xml:space="preserve">    </w:t>
      </w:r>
      <w:r>
        <w:rPr>
          <w:rFonts w:ascii="Times New Roman" w:hAnsi="Times New Roman"/>
          <w:color w:val="auto"/>
          <w:sz w:val="24"/>
          <w:highlight w:val="none"/>
        </w:rPr>
        <w:t>月</w:t>
      </w:r>
      <w:r>
        <w:rPr>
          <w:rFonts w:hint="eastAsia" w:ascii="Times New Roman" w:hAnsi="Times New Roman"/>
          <w:color w:val="auto"/>
          <w:sz w:val="24"/>
          <w:highlight w:val="none"/>
        </w:rPr>
        <w:t xml:space="preserve">    </w:t>
      </w:r>
      <w:r>
        <w:rPr>
          <w:rFonts w:ascii="Times New Roman" w:hAnsi="Times New Roman"/>
          <w:color w:val="auto"/>
          <w:sz w:val="24"/>
          <w:highlight w:val="none"/>
        </w:rPr>
        <w:t>日</w:t>
      </w:r>
    </w:p>
    <w:p>
      <w:pPr>
        <w:pStyle w:val="4"/>
        <w:spacing w:line="600" w:lineRule="auto"/>
        <w:rPr>
          <w:rFonts w:ascii="Times New Roman" w:hAnsi="Times New Roman"/>
          <w:color w:val="auto"/>
          <w:sz w:val="30"/>
          <w:szCs w:val="30"/>
          <w:highlight w:val="none"/>
        </w:rPr>
      </w:pPr>
      <w:r>
        <w:rPr>
          <w:rFonts w:ascii="Times New Roman" w:hAnsi="Times New Roman"/>
          <w:color w:val="auto"/>
          <w:highlight w:val="none"/>
        </w:rPr>
        <w:br w:type="page"/>
      </w:r>
      <w:bookmarkStart w:id="401" w:name="_Toc535938754"/>
      <w:r>
        <w:rPr>
          <w:rFonts w:ascii="Times New Roman" w:hAnsi="Times New Roman"/>
          <w:color w:val="auto"/>
          <w:sz w:val="30"/>
          <w:szCs w:val="30"/>
          <w:highlight w:val="none"/>
        </w:rPr>
        <w:t>二</w:t>
      </w:r>
      <w:bookmarkEnd w:id="388"/>
      <w:bookmarkEnd w:id="389"/>
      <w:bookmarkEnd w:id="390"/>
      <w:bookmarkEnd w:id="391"/>
      <w:bookmarkEnd w:id="392"/>
      <w:bookmarkEnd w:id="393"/>
      <w:bookmarkEnd w:id="394"/>
      <w:bookmarkEnd w:id="395"/>
      <w:bookmarkEnd w:id="396"/>
      <w:bookmarkEnd w:id="397"/>
      <w:bookmarkEnd w:id="398"/>
      <w:r>
        <w:rPr>
          <w:rFonts w:ascii="Times New Roman" w:hAnsi="Times New Roman"/>
          <w:color w:val="auto"/>
          <w:sz w:val="30"/>
          <w:szCs w:val="30"/>
          <w:highlight w:val="none"/>
        </w:rPr>
        <w:t>、法定代表人身份证明</w:t>
      </w:r>
      <w:r>
        <w:rPr>
          <w:rFonts w:hint="eastAsia" w:ascii="Times New Roman" w:hAnsi="Times New Roman"/>
          <w:color w:val="auto"/>
          <w:sz w:val="30"/>
          <w:szCs w:val="30"/>
          <w:highlight w:val="none"/>
        </w:rPr>
        <w:t>、授权委托书（如有）（格式可自定）</w:t>
      </w:r>
      <w:bookmarkEnd w:id="399"/>
      <w:bookmarkEnd w:id="400"/>
      <w:bookmarkEnd w:id="401"/>
    </w:p>
    <w:p>
      <w:pPr>
        <w:spacing w:line="360" w:lineRule="auto"/>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法定代表人身份证明</w:t>
      </w:r>
    </w:p>
    <w:p>
      <w:pPr>
        <w:spacing w:line="440" w:lineRule="exact"/>
        <w:rPr>
          <w:rFonts w:ascii="Times New Roman" w:hAnsi="Times New Roman"/>
          <w:color w:val="auto"/>
          <w:sz w:val="24"/>
          <w:highlight w:val="none"/>
        </w:rPr>
      </w:pPr>
      <w:r>
        <w:rPr>
          <w:rFonts w:ascii="Times New Roman" w:hAnsi="Times New Roman"/>
          <w:color w:val="auto"/>
          <w:sz w:val="24"/>
          <w:highlight w:val="none"/>
        </w:rPr>
        <w:t>投标人名称：</w:t>
      </w:r>
      <w:r>
        <w:rPr>
          <w:rFonts w:ascii="Times New Roman" w:hAnsi="Times New Roman"/>
          <w:color w:val="auto"/>
          <w:sz w:val="24"/>
          <w:highlight w:val="none"/>
          <w:u w:val="single"/>
        </w:rPr>
        <w:t xml:space="preserve">                        </w:t>
      </w:r>
    </w:p>
    <w:p>
      <w:pPr>
        <w:spacing w:line="440" w:lineRule="exact"/>
        <w:rPr>
          <w:rFonts w:ascii="Times New Roman" w:hAnsi="Times New Roman"/>
          <w:color w:val="auto"/>
          <w:sz w:val="24"/>
          <w:highlight w:val="none"/>
        </w:rPr>
      </w:pPr>
      <w:r>
        <w:rPr>
          <w:rFonts w:ascii="Times New Roman" w:hAnsi="Times New Roman"/>
          <w:color w:val="auto"/>
          <w:sz w:val="24"/>
          <w:highlight w:val="none"/>
        </w:rPr>
        <w:t>姓名：</w:t>
      </w:r>
      <w:r>
        <w:rPr>
          <w:rFonts w:ascii="Times New Roman" w:hAnsi="Times New Roman"/>
          <w:color w:val="auto"/>
          <w:sz w:val="24"/>
          <w:highlight w:val="none"/>
          <w:u w:val="single"/>
        </w:rPr>
        <w:t xml:space="preserve">                </w:t>
      </w:r>
      <w:r>
        <w:rPr>
          <w:rFonts w:ascii="Times New Roman" w:hAnsi="Times New Roman"/>
          <w:color w:val="auto"/>
          <w:sz w:val="24"/>
          <w:highlight w:val="none"/>
        </w:rPr>
        <w:t>性别：</w:t>
      </w:r>
      <w:bookmarkStart w:id="402" w:name="_Toc352691662"/>
      <w:bookmarkStart w:id="403" w:name="_Toc27897"/>
      <w:bookmarkStart w:id="404" w:name="_Toc369531698"/>
      <w:r>
        <w:rPr>
          <w:rFonts w:ascii="Times New Roman" w:hAnsi="Times New Roman"/>
          <w:color w:val="auto"/>
          <w:sz w:val="24"/>
          <w:highlight w:val="none"/>
          <w:u w:val="single"/>
        </w:rPr>
        <w:t xml:space="preserve">        </w:t>
      </w:r>
      <w:r>
        <w:rPr>
          <w:rFonts w:ascii="Times New Roman" w:hAnsi="Times New Roman"/>
          <w:color w:val="auto"/>
          <w:sz w:val="24"/>
          <w:highlight w:val="none"/>
        </w:rPr>
        <w:t>年</w:t>
      </w:r>
      <w:bookmarkEnd w:id="402"/>
      <w:bookmarkEnd w:id="403"/>
      <w:bookmarkEnd w:id="404"/>
      <w:r>
        <w:rPr>
          <w:rFonts w:ascii="Times New Roman" w:hAnsi="Times New Roman"/>
          <w:color w:val="auto"/>
          <w:sz w:val="24"/>
          <w:highlight w:val="none"/>
        </w:rPr>
        <w:t>龄</w:t>
      </w:r>
      <w:bookmarkStart w:id="405" w:name="_Toc144974858"/>
      <w:bookmarkStart w:id="406" w:name="_Toc152045789"/>
      <w:bookmarkStart w:id="407" w:name="_Toc384308377"/>
      <w:bookmarkStart w:id="408" w:name="_Toc15573"/>
      <w:bookmarkStart w:id="409" w:name="_Toc247527829"/>
      <w:bookmarkStart w:id="410" w:name="_Toc152042578"/>
      <w:bookmarkStart w:id="411" w:name="_Toc352691663"/>
      <w:bookmarkStart w:id="412" w:name="_Toc247514248"/>
      <w:bookmarkStart w:id="413" w:name="_Toc369531699"/>
      <w:bookmarkStart w:id="414" w:name="_Toc361508754"/>
      <w:bookmarkStart w:id="415" w:name="_Toc300835211"/>
      <w:r>
        <w:rPr>
          <w:rFonts w:ascii="Times New Roman" w:hAnsi="Times New Roman"/>
          <w:color w:val="auto"/>
          <w:sz w:val="24"/>
          <w:highlight w:val="none"/>
        </w:rPr>
        <w:t>：</w:t>
      </w:r>
      <w:bookmarkEnd w:id="405"/>
      <w:bookmarkEnd w:id="406"/>
      <w:bookmarkEnd w:id="407"/>
      <w:bookmarkEnd w:id="408"/>
      <w:bookmarkEnd w:id="409"/>
      <w:bookmarkEnd w:id="410"/>
      <w:bookmarkEnd w:id="411"/>
      <w:bookmarkEnd w:id="412"/>
      <w:bookmarkEnd w:id="413"/>
      <w:bookmarkEnd w:id="414"/>
      <w:bookmarkEnd w:id="415"/>
      <w:r>
        <w:rPr>
          <w:rFonts w:ascii="Times New Roman" w:hAnsi="Times New Roman"/>
          <w:color w:val="auto"/>
          <w:sz w:val="24"/>
          <w:highlight w:val="none"/>
          <w:u w:val="single"/>
        </w:rPr>
        <w:t xml:space="preserve">        </w:t>
      </w:r>
      <w:r>
        <w:rPr>
          <w:rFonts w:ascii="Times New Roman" w:hAnsi="Times New Roman"/>
          <w:color w:val="auto"/>
          <w:sz w:val="24"/>
          <w:highlight w:val="none"/>
        </w:rPr>
        <w:t>职务：</w:t>
      </w:r>
      <w:r>
        <w:rPr>
          <w:rFonts w:ascii="Times New Roman" w:hAnsi="Times New Roman"/>
          <w:color w:val="auto"/>
          <w:sz w:val="24"/>
          <w:highlight w:val="none"/>
          <w:u w:val="single"/>
        </w:rPr>
        <w:t xml:space="preserve">        </w:t>
      </w:r>
    </w:p>
    <w:p>
      <w:pPr>
        <w:spacing w:line="440" w:lineRule="exact"/>
        <w:rPr>
          <w:rFonts w:ascii="Times New Roman" w:hAnsi="Times New Roman"/>
          <w:color w:val="auto"/>
          <w:sz w:val="24"/>
          <w:highlight w:val="none"/>
        </w:rPr>
      </w:pPr>
      <w:r>
        <w:rPr>
          <w:rFonts w:ascii="Times New Roman" w:hAnsi="Times New Roman"/>
          <w:color w:val="auto"/>
          <w:sz w:val="24"/>
          <w:highlight w:val="none"/>
        </w:rPr>
        <w:t>系</w:t>
      </w: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（投标人名称）的法定代表人。</w:t>
      </w:r>
    </w:p>
    <w:p>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特此证明。</w:t>
      </w:r>
    </w:p>
    <w:p>
      <w:pPr>
        <w:spacing w:line="440" w:lineRule="exact"/>
        <w:rPr>
          <w:rFonts w:ascii="Times New Roman" w:hAnsi="Times New Roman"/>
          <w:color w:val="auto"/>
          <w:sz w:val="24"/>
          <w:highlight w:val="none"/>
        </w:rPr>
      </w:pPr>
    </w:p>
    <w:p>
      <w:pPr>
        <w:spacing w:line="440" w:lineRule="exact"/>
        <w:rPr>
          <w:rFonts w:ascii="Times New Roman" w:hAnsi="Times New Roman"/>
          <w:color w:val="auto"/>
          <w:sz w:val="24"/>
          <w:highlight w:val="none"/>
        </w:rPr>
      </w:pPr>
      <w:r>
        <w:rPr>
          <w:rFonts w:ascii="Times New Roman" w:hAnsi="Times New Roman"/>
          <w:color w:val="auto"/>
          <w:sz w:val="24"/>
          <w:highlight w:val="none"/>
        </w:rPr>
        <w:t>附：法定代表人身份证</w:t>
      </w:r>
      <w:r>
        <w:rPr>
          <w:rFonts w:hint="eastAsia" w:ascii="Times New Roman" w:hAnsi="Times New Roman"/>
          <w:color w:val="auto"/>
          <w:sz w:val="24"/>
          <w:highlight w:val="none"/>
        </w:rPr>
        <w:t>扫描件</w:t>
      </w:r>
      <w:r>
        <w:rPr>
          <w:rFonts w:ascii="Times New Roman" w:hAnsi="Times New Roman"/>
          <w:color w:val="auto"/>
          <w:sz w:val="24"/>
          <w:highlight w:val="none"/>
        </w:rPr>
        <w:t>。</w:t>
      </w:r>
    </w:p>
    <w:p>
      <w:pPr>
        <w:spacing w:line="440" w:lineRule="exact"/>
        <w:ind w:firstLine="480" w:firstLineChars="200"/>
        <w:rPr>
          <w:rFonts w:ascii="Times New Roman" w:hAnsi="Times New Roman"/>
          <w:color w:val="auto"/>
          <w:sz w:val="24"/>
          <w:highlight w:val="none"/>
        </w:rPr>
      </w:pPr>
    </w:p>
    <w:p>
      <w:pPr>
        <w:spacing w:line="440" w:lineRule="exact"/>
        <w:rPr>
          <w:rFonts w:ascii="Times New Roman" w:hAnsi="Times New Roman"/>
          <w:color w:val="auto"/>
          <w:sz w:val="24"/>
          <w:highlight w:val="none"/>
        </w:rPr>
      </w:pPr>
      <w:r>
        <w:rPr>
          <w:rFonts w:ascii="Times New Roman" w:hAnsi="Times New Roman"/>
          <w:color w:val="auto"/>
          <w:sz w:val="24"/>
          <w:highlight w:val="none"/>
        </w:rPr>
        <w:t>注：本身份证明需由投标人加盖单位公章。</w:t>
      </w:r>
    </w:p>
    <w:p>
      <w:pPr>
        <w:spacing w:line="440" w:lineRule="exact"/>
        <w:rPr>
          <w:rFonts w:ascii="Times New Roman" w:hAnsi="Times New Roman"/>
          <w:color w:val="auto"/>
          <w:sz w:val="24"/>
          <w:highlight w:val="none"/>
        </w:rPr>
      </w:pPr>
    </w:p>
    <w:p>
      <w:pPr>
        <w:spacing w:line="440" w:lineRule="exact"/>
        <w:rPr>
          <w:rFonts w:ascii="Times New Roman" w:hAnsi="Times New Roman"/>
          <w:color w:val="auto"/>
          <w:sz w:val="24"/>
          <w:highlight w:val="none"/>
        </w:rPr>
      </w:pPr>
    </w:p>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 xml:space="preserve">                              投标人：</w:t>
      </w:r>
      <w:r>
        <w:rPr>
          <w:rFonts w:ascii="Times New Roman" w:hAnsi="Times New Roman"/>
          <w:color w:val="auto"/>
          <w:sz w:val="24"/>
          <w:highlight w:val="none"/>
          <w:u w:val="single"/>
        </w:rPr>
        <w:t xml:space="preserve">          </w:t>
      </w:r>
      <w:r>
        <w:rPr>
          <w:rFonts w:ascii="Times New Roman" w:hAnsi="Times New Roman"/>
          <w:color w:val="auto"/>
          <w:sz w:val="24"/>
          <w:highlight w:val="none"/>
          <w:u w:val="single"/>
        </w:rPr>
        <w:tab/>
      </w:r>
      <w:r>
        <w:rPr>
          <w:rFonts w:ascii="Times New Roman" w:hAnsi="Times New Roman"/>
          <w:color w:val="auto"/>
          <w:sz w:val="24"/>
          <w:highlight w:val="none"/>
        </w:rPr>
        <w:t>（</w:t>
      </w:r>
      <w:r>
        <w:rPr>
          <w:rFonts w:hint="eastAsia" w:ascii="Times New Roman" w:hAnsi="Times New Roman"/>
          <w:color w:val="auto"/>
          <w:sz w:val="24"/>
          <w:highlight w:val="none"/>
        </w:rPr>
        <w:t>盖</w:t>
      </w:r>
      <w:r>
        <w:rPr>
          <w:rFonts w:ascii="Times New Roman" w:hAnsi="Times New Roman"/>
          <w:color w:val="auto"/>
          <w:sz w:val="24"/>
          <w:highlight w:val="none"/>
        </w:rPr>
        <w:t>单位</w:t>
      </w:r>
      <w:r>
        <w:rPr>
          <w:rFonts w:hint="eastAsia" w:ascii="Times New Roman" w:hAnsi="Times New Roman"/>
          <w:color w:val="auto"/>
          <w:sz w:val="24"/>
          <w:highlight w:val="none"/>
        </w:rPr>
        <w:t>章</w:t>
      </w:r>
      <w:r>
        <w:rPr>
          <w:rFonts w:ascii="Times New Roman" w:hAnsi="Times New Roman"/>
          <w:color w:val="auto"/>
          <w:sz w:val="24"/>
          <w:highlight w:val="none"/>
        </w:rPr>
        <w:t>）</w:t>
      </w:r>
    </w:p>
    <w:p>
      <w:pPr>
        <w:spacing w:line="440" w:lineRule="exact"/>
        <w:rPr>
          <w:rFonts w:ascii="Times New Roman" w:hAnsi="Times New Roman"/>
          <w:color w:val="auto"/>
          <w:sz w:val="24"/>
          <w:highlight w:val="none"/>
        </w:rPr>
      </w:pPr>
    </w:p>
    <w:p>
      <w:pPr>
        <w:spacing w:line="440" w:lineRule="exact"/>
        <w:ind w:firstLine="5280" w:firstLineChars="2200"/>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p>
    <w:p>
      <w:pPr>
        <w:spacing w:line="440" w:lineRule="exact"/>
        <w:rPr>
          <w:rFonts w:ascii="Times New Roman" w:hAnsi="Times New Roman"/>
          <w:color w:val="auto"/>
          <w:sz w:val="24"/>
          <w:highlight w:val="none"/>
        </w:rPr>
      </w:pPr>
    </w:p>
    <w:p>
      <w:pPr>
        <w:spacing w:line="360" w:lineRule="auto"/>
        <w:jc w:val="center"/>
        <w:rPr>
          <w:rFonts w:ascii="Times New Roman" w:hAnsi="Times New Roman"/>
          <w:b/>
          <w:color w:val="auto"/>
          <w:sz w:val="28"/>
          <w:szCs w:val="28"/>
          <w:highlight w:val="none"/>
        </w:rPr>
      </w:pPr>
      <w:bookmarkStart w:id="416" w:name="_Toc529196604"/>
      <w:bookmarkStart w:id="417" w:name="_Toc530470647"/>
      <w:r>
        <w:rPr>
          <w:rFonts w:ascii="Times New Roman" w:hAnsi="Times New Roman"/>
          <w:b/>
          <w:bCs/>
          <w:color w:val="auto"/>
          <w:sz w:val="20"/>
          <w:highlight w:val="none"/>
        </w:rPr>
        <w:br w:type="page"/>
      </w:r>
      <w:bookmarkStart w:id="418" w:name="_Toc535938755"/>
      <w:r>
        <w:rPr>
          <w:rFonts w:ascii="Times New Roman" w:hAnsi="Times New Roman"/>
          <w:color w:val="auto"/>
          <w:sz w:val="28"/>
          <w:szCs w:val="28"/>
          <w:highlight w:val="none"/>
        </w:rPr>
        <w:t xml:space="preserve"> </w:t>
      </w:r>
      <w:bookmarkEnd w:id="416"/>
      <w:bookmarkEnd w:id="417"/>
      <w:bookmarkEnd w:id="418"/>
      <w:r>
        <w:rPr>
          <w:rFonts w:hint="eastAsia" w:ascii="Times New Roman" w:hAnsi="Times New Roman"/>
          <w:b/>
          <w:color w:val="auto"/>
          <w:sz w:val="28"/>
          <w:szCs w:val="28"/>
          <w:highlight w:val="none"/>
        </w:rPr>
        <w:t>授权委托书</w:t>
      </w:r>
    </w:p>
    <w:p>
      <w:pPr>
        <w:topLinePunct/>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本人</w:t>
      </w:r>
      <w:r>
        <w:rPr>
          <w:rFonts w:ascii="Times New Roman" w:hAnsi="Times New Roman"/>
          <w:color w:val="auto"/>
          <w:sz w:val="24"/>
          <w:highlight w:val="none"/>
          <w:u w:val="single"/>
        </w:rPr>
        <w:t xml:space="preserve">              </w:t>
      </w:r>
      <w:r>
        <w:rPr>
          <w:rFonts w:ascii="Times New Roman" w:hAnsi="Times New Roman"/>
          <w:color w:val="auto"/>
          <w:sz w:val="24"/>
          <w:highlight w:val="none"/>
        </w:rPr>
        <w:t>（姓名）系</w:t>
      </w:r>
      <w:r>
        <w:rPr>
          <w:rFonts w:ascii="Times New Roman" w:hAnsi="Times New Roman"/>
          <w:color w:val="auto"/>
          <w:sz w:val="24"/>
          <w:highlight w:val="none"/>
          <w:u w:val="single"/>
        </w:rPr>
        <w:t xml:space="preserve">                    </w:t>
      </w:r>
      <w:r>
        <w:rPr>
          <w:rFonts w:ascii="Times New Roman" w:hAnsi="Times New Roman"/>
          <w:color w:val="auto"/>
          <w:sz w:val="24"/>
          <w:highlight w:val="none"/>
        </w:rPr>
        <w:t>（投标人名称）的法定代表人，现委托</w:t>
      </w:r>
      <w:r>
        <w:rPr>
          <w:rFonts w:ascii="Times New Roman" w:hAnsi="Times New Roman"/>
          <w:color w:val="auto"/>
          <w:sz w:val="24"/>
          <w:highlight w:val="none"/>
          <w:u w:val="single"/>
        </w:rPr>
        <w:t xml:space="preserve">            </w:t>
      </w:r>
      <w:r>
        <w:rPr>
          <w:rFonts w:ascii="Times New Roman" w:hAnsi="Times New Roman"/>
          <w:color w:val="auto"/>
          <w:sz w:val="24"/>
          <w:highlight w:val="none"/>
        </w:rPr>
        <w:t>（姓名）为我方代理人。代理人根据授权，以我方名义签署、澄清确认、递交、撤回、修改</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招标项目投标文件、签订合同和处理有关事宜，其法律后果由我方承担。</w:t>
      </w:r>
    </w:p>
    <w:p>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委托期限：</w:t>
      </w:r>
      <w:r>
        <w:rPr>
          <w:rFonts w:ascii="Times New Roman" w:hAnsi="Times New Roman"/>
          <w:color w:val="auto"/>
          <w:sz w:val="24"/>
          <w:highlight w:val="none"/>
          <w:u w:val="single"/>
        </w:rPr>
        <w:t xml:space="preserve">                       </w:t>
      </w:r>
      <w:r>
        <w:rPr>
          <w:rFonts w:ascii="Times New Roman" w:hAnsi="Times New Roman"/>
          <w:color w:val="auto"/>
          <w:sz w:val="24"/>
          <w:highlight w:val="none"/>
        </w:rPr>
        <w:t>。</w:t>
      </w:r>
    </w:p>
    <w:p>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代理人无转委托权。</w:t>
      </w:r>
    </w:p>
    <w:p>
      <w:pPr>
        <w:spacing w:line="440" w:lineRule="exact"/>
        <w:ind w:firstLine="480" w:firstLineChars="200"/>
        <w:rPr>
          <w:rFonts w:ascii="Times New Roman" w:hAnsi="Times New Roman"/>
          <w:color w:val="auto"/>
          <w:sz w:val="24"/>
          <w:highlight w:val="none"/>
        </w:rPr>
      </w:pPr>
    </w:p>
    <w:p>
      <w:pPr>
        <w:spacing w:line="440" w:lineRule="exact"/>
        <w:rPr>
          <w:rFonts w:ascii="Times New Roman" w:hAnsi="Times New Roman"/>
          <w:color w:val="auto"/>
          <w:sz w:val="24"/>
          <w:highlight w:val="none"/>
        </w:rPr>
      </w:pPr>
      <w:r>
        <w:rPr>
          <w:rFonts w:ascii="Times New Roman" w:hAnsi="Times New Roman"/>
          <w:color w:val="auto"/>
          <w:sz w:val="24"/>
          <w:highlight w:val="none"/>
        </w:rPr>
        <w:t>附：法定代表人身份证</w:t>
      </w:r>
      <w:r>
        <w:rPr>
          <w:rFonts w:hint="eastAsia" w:ascii="Times New Roman" w:hAnsi="Times New Roman"/>
          <w:color w:val="auto"/>
          <w:sz w:val="24"/>
          <w:highlight w:val="none"/>
        </w:rPr>
        <w:t>扫描件</w:t>
      </w:r>
      <w:r>
        <w:rPr>
          <w:rFonts w:ascii="Times New Roman" w:hAnsi="Times New Roman"/>
          <w:color w:val="auto"/>
          <w:sz w:val="24"/>
          <w:highlight w:val="none"/>
        </w:rPr>
        <w:t>及委托代理人身份证</w:t>
      </w:r>
      <w:r>
        <w:rPr>
          <w:rFonts w:hint="eastAsia" w:ascii="Times New Roman" w:hAnsi="Times New Roman"/>
          <w:color w:val="auto"/>
          <w:sz w:val="24"/>
          <w:highlight w:val="none"/>
        </w:rPr>
        <w:t>扫描件</w:t>
      </w:r>
    </w:p>
    <w:p>
      <w:pPr>
        <w:spacing w:line="440" w:lineRule="exact"/>
        <w:rPr>
          <w:rFonts w:ascii="Times New Roman" w:hAnsi="Times New Roman"/>
          <w:color w:val="auto"/>
          <w:sz w:val="24"/>
          <w:highlight w:val="none"/>
        </w:rPr>
      </w:pPr>
    </w:p>
    <w:p>
      <w:pPr>
        <w:spacing w:line="440" w:lineRule="exact"/>
        <w:rPr>
          <w:rFonts w:ascii="Times New Roman" w:hAnsi="Times New Roman"/>
          <w:color w:val="auto"/>
          <w:sz w:val="24"/>
          <w:highlight w:val="none"/>
        </w:rPr>
      </w:pPr>
      <w:r>
        <w:rPr>
          <w:rFonts w:ascii="Times New Roman" w:hAnsi="Times New Roman"/>
          <w:color w:val="auto"/>
          <w:sz w:val="24"/>
          <w:highlight w:val="none"/>
        </w:rPr>
        <w:t>注：本授权委托书需由投标人加盖单位公章并由其法定代表人和委托代理人签字。</w:t>
      </w:r>
    </w:p>
    <w:p>
      <w:pPr>
        <w:spacing w:line="440" w:lineRule="exact"/>
        <w:rPr>
          <w:rFonts w:ascii="Times New Roman" w:hAnsi="Times New Roman"/>
          <w:color w:val="auto"/>
          <w:sz w:val="24"/>
          <w:highlight w:val="none"/>
        </w:rPr>
      </w:pPr>
    </w:p>
    <w:p>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投  标  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 xml:space="preserve">                 </w:t>
      </w:r>
      <w:r>
        <w:rPr>
          <w:rFonts w:ascii="Times New Roman" w:hAnsi="Times New Roman"/>
          <w:color w:val="auto"/>
          <w:sz w:val="24"/>
          <w:highlight w:val="none"/>
          <w:u w:val="single"/>
        </w:rPr>
        <w:tab/>
      </w:r>
      <w:r>
        <w:rPr>
          <w:rFonts w:ascii="Times New Roman" w:hAnsi="Times New Roman"/>
          <w:color w:val="auto"/>
          <w:sz w:val="24"/>
          <w:highlight w:val="none"/>
        </w:rPr>
        <w:t>（</w:t>
      </w:r>
      <w:r>
        <w:rPr>
          <w:rFonts w:hint="eastAsia" w:ascii="Times New Roman" w:hAnsi="Times New Roman"/>
          <w:color w:val="auto"/>
          <w:sz w:val="24"/>
          <w:highlight w:val="none"/>
        </w:rPr>
        <w:t>盖</w:t>
      </w:r>
      <w:r>
        <w:rPr>
          <w:rFonts w:ascii="Times New Roman" w:hAnsi="Times New Roman"/>
          <w:color w:val="auto"/>
          <w:sz w:val="24"/>
          <w:highlight w:val="none"/>
        </w:rPr>
        <w:t>单位</w:t>
      </w:r>
      <w:r>
        <w:rPr>
          <w:rFonts w:hint="eastAsia" w:ascii="Times New Roman" w:hAnsi="Times New Roman"/>
          <w:color w:val="auto"/>
          <w:sz w:val="24"/>
          <w:highlight w:val="none"/>
        </w:rPr>
        <w:t>章</w:t>
      </w:r>
      <w:r>
        <w:rPr>
          <w:rFonts w:ascii="Times New Roman" w:hAnsi="Times New Roman"/>
          <w:color w:val="auto"/>
          <w:sz w:val="24"/>
          <w:highlight w:val="none"/>
        </w:rPr>
        <w:t>）</w:t>
      </w:r>
    </w:p>
    <w:p>
      <w:pPr>
        <w:spacing w:line="440" w:lineRule="exact"/>
        <w:ind w:firstLine="3076" w:firstLineChars="1282"/>
        <w:rPr>
          <w:rFonts w:ascii="Times New Roman" w:hAnsi="Times New Roman"/>
          <w:color w:val="auto"/>
          <w:sz w:val="24"/>
          <w:highlight w:val="none"/>
        </w:rPr>
      </w:pPr>
    </w:p>
    <w:p>
      <w:pPr>
        <w:spacing w:line="440" w:lineRule="exact"/>
        <w:ind w:firstLine="3074" w:firstLineChars="1281"/>
        <w:rPr>
          <w:rFonts w:ascii="Times New Roman" w:hAnsi="Times New Roman"/>
          <w:color w:val="auto"/>
          <w:sz w:val="24"/>
          <w:highlight w:val="none"/>
        </w:rPr>
      </w:pPr>
      <w:r>
        <w:rPr>
          <w:rFonts w:ascii="Times New Roman" w:hAnsi="Times New Roman"/>
          <w:color w:val="auto"/>
          <w:sz w:val="24"/>
          <w:highlight w:val="none"/>
        </w:rPr>
        <w:t>法定代表人：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 xml:space="preserve">        </w:t>
      </w:r>
      <w:r>
        <w:rPr>
          <w:rFonts w:ascii="Times New Roman" w:hAnsi="Times New Roman"/>
          <w:color w:val="auto"/>
          <w:sz w:val="24"/>
          <w:highlight w:val="none"/>
          <w:u w:val="single"/>
        </w:rPr>
        <w:tab/>
      </w:r>
      <w:r>
        <w:rPr>
          <w:rFonts w:hint="eastAsia" w:ascii="宋体" w:hAnsi="宋体" w:cs="宋体"/>
          <w:color w:val="auto"/>
          <w:sz w:val="24"/>
          <w:szCs w:val="24"/>
          <w:highlight w:val="none"/>
        </w:rPr>
        <w:t>（签字或盖章）</w:t>
      </w:r>
    </w:p>
    <w:p>
      <w:pPr>
        <w:spacing w:line="440" w:lineRule="exact"/>
        <w:ind w:firstLine="3076" w:firstLineChars="1282"/>
        <w:rPr>
          <w:rFonts w:ascii="Times New Roman" w:hAnsi="Times New Roman"/>
          <w:color w:val="auto"/>
          <w:sz w:val="24"/>
          <w:highlight w:val="none"/>
        </w:rPr>
      </w:pPr>
    </w:p>
    <w:p>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 xml:space="preserve">                         </w:t>
      </w:r>
      <w:r>
        <w:rPr>
          <w:rFonts w:ascii="Times New Roman" w:hAnsi="Times New Roman"/>
          <w:color w:val="auto"/>
          <w:sz w:val="24"/>
          <w:highlight w:val="none"/>
          <w:u w:val="single"/>
        </w:rPr>
        <w:tab/>
      </w:r>
    </w:p>
    <w:p>
      <w:pPr>
        <w:spacing w:line="440" w:lineRule="exact"/>
        <w:ind w:firstLine="3076" w:firstLineChars="1282"/>
        <w:rPr>
          <w:rFonts w:ascii="Times New Roman" w:hAnsi="Times New Roman"/>
          <w:color w:val="auto"/>
          <w:sz w:val="24"/>
          <w:highlight w:val="none"/>
        </w:rPr>
      </w:pPr>
    </w:p>
    <w:p>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委托代理人：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 xml:space="preserve">           </w:t>
      </w:r>
      <w:r>
        <w:rPr>
          <w:rFonts w:hint="eastAsia" w:ascii="宋体" w:hAnsi="宋体" w:cs="宋体"/>
          <w:color w:val="auto"/>
          <w:sz w:val="24"/>
          <w:szCs w:val="24"/>
          <w:highlight w:val="none"/>
        </w:rPr>
        <w:t>（签字或盖章）</w:t>
      </w:r>
    </w:p>
    <w:p>
      <w:pPr>
        <w:spacing w:line="440" w:lineRule="exact"/>
        <w:ind w:firstLine="3076" w:firstLineChars="1282"/>
        <w:rPr>
          <w:rFonts w:ascii="Times New Roman" w:hAnsi="Times New Roman"/>
          <w:color w:val="auto"/>
          <w:sz w:val="24"/>
          <w:highlight w:val="none"/>
        </w:rPr>
      </w:pPr>
    </w:p>
    <w:p>
      <w:pPr>
        <w:spacing w:line="440" w:lineRule="exact"/>
        <w:ind w:firstLine="3076" w:firstLineChars="1282"/>
        <w:rPr>
          <w:rFonts w:ascii="Times New Roman" w:hAnsi="Times New Roman"/>
          <w:color w:val="auto"/>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 xml:space="preserve">                           </w:t>
      </w:r>
      <w:r>
        <w:rPr>
          <w:rFonts w:ascii="Times New Roman" w:hAnsi="Times New Roman"/>
          <w:color w:val="auto"/>
          <w:sz w:val="24"/>
          <w:highlight w:val="none"/>
          <w:u w:val="single"/>
        </w:rPr>
        <w:tab/>
      </w:r>
    </w:p>
    <w:p>
      <w:pPr>
        <w:spacing w:line="440" w:lineRule="exact"/>
        <w:ind w:firstLine="2692" w:firstLineChars="1282"/>
        <w:rPr>
          <w:rFonts w:ascii="Times New Roman" w:hAnsi="Times New Roman"/>
          <w:color w:val="auto"/>
          <w:highlight w:val="none"/>
        </w:rPr>
      </w:pPr>
    </w:p>
    <w:p>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pPr>
        <w:spacing w:line="440" w:lineRule="exact"/>
        <w:ind w:firstLine="4057" w:firstLineChars="1932"/>
        <w:jc w:val="right"/>
        <w:rPr>
          <w:rFonts w:ascii="Times New Roman" w:hAnsi="Times New Roman"/>
          <w:color w:val="auto"/>
          <w:highlight w:val="none"/>
        </w:rPr>
      </w:pPr>
    </w:p>
    <w:p>
      <w:pPr>
        <w:spacing w:line="440" w:lineRule="exact"/>
        <w:ind w:firstLine="4057" w:firstLineChars="1932"/>
        <w:jc w:val="right"/>
        <w:rPr>
          <w:rFonts w:ascii="Times New Roman" w:hAnsi="Times New Roman"/>
          <w:color w:val="auto"/>
          <w:highlight w:val="none"/>
        </w:rPr>
        <w:sectPr>
          <w:footerReference r:id="rId9" w:type="default"/>
          <w:pgSz w:w="12240" w:h="15840"/>
          <w:pgMar w:top="1440" w:right="1425" w:bottom="1440" w:left="1800" w:header="720" w:footer="720" w:gutter="0"/>
          <w:cols w:space="720" w:num="1"/>
          <w:docGrid w:linePitch="285" w:charSpace="0"/>
        </w:sectPr>
      </w:pPr>
      <w:r>
        <w:rPr>
          <w:rFonts w:ascii="Times New Roman" w:hAnsi="Times New Roman"/>
          <w:color w:val="auto"/>
          <w:highlight w:val="none"/>
        </w:rPr>
        <w:br w:type="page"/>
      </w:r>
    </w:p>
    <w:p>
      <w:pPr>
        <w:pStyle w:val="4"/>
        <w:spacing w:line="600" w:lineRule="auto"/>
        <w:jc w:val="center"/>
        <w:rPr>
          <w:rFonts w:ascii="Times New Roman" w:hAnsi="Times New Roman"/>
          <w:color w:val="auto"/>
          <w:sz w:val="30"/>
          <w:szCs w:val="30"/>
          <w:highlight w:val="none"/>
        </w:rPr>
      </w:pPr>
      <w:bookmarkStart w:id="419" w:name="_Toc535938757"/>
      <w:bookmarkStart w:id="420" w:name="_Toc529196606"/>
      <w:bookmarkStart w:id="421" w:name="_Toc530470649"/>
      <w:r>
        <w:rPr>
          <w:rFonts w:hint="eastAsia" w:ascii="Times New Roman" w:hAnsi="Times New Roman"/>
          <w:color w:val="auto"/>
          <w:sz w:val="30"/>
          <w:szCs w:val="30"/>
          <w:highlight w:val="none"/>
        </w:rPr>
        <w:t>三</w:t>
      </w:r>
      <w:r>
        <w:rPr>
          <w:rFonts w:ascii="Times New Roman" w:hAnsi="Times New Roman"/>
          <w:color w:val="auto"/>
          <w:sz w:val="30"/>
          <w:szCs w:val="30"/>
          <w:highlight w:val="none"/>
        </w:rPr>
        <w:t>、监理报酬清单</w:t>
      </w:r>
      <w:bookmarkEnd w:id="419"/>
      <w:bookmarkEnd w:id="420"/>
      <w:bookmarkEnd w:id="421"/>
    </w:p>
    <w:p>
      <w:pPr>
        <w:spacing w:line="440" w:lineRule="exact"/>
        <w:ind w:firstLine="480" w:firstLineChars="200"/>
        <w:jc w:val="right"/>
        <w:rPr>
          <w:rFonts w:ascii="宋体" w:hAnsi="宋体" w:cs="宋体"/>
          <w:color w:val="auto"/>
          <w:sz w:val="24"/>
          <w:szCs w:val="24"/>
          <w:highlight w:val="none"/>
        </w:rPr>
      </w:pPr>
      <w:bookmarkStart w:id="422" w:name="_Toc530470650"/>
      <w:bookmarkStart w:id="423" w:name="_Toc525827486"/>
      <w:bookmarkStart w:id="424" w:name="_Toc529196608"/>
      <w:bookmarkStart w:id="425" w:name="_Toc525828220"/>
      <w:bookmarkStart w:id="426" w:name="_Toc361508760"/>
      <w:r>
        <w:rPr>
          <w:rFonts w:hint="eastAsia" w:ascii="宋体" w:hAnsi="宋体" w:cs="宋体"/>
          <w:color w:val="auto"/>
          <w:sz w:val="24"/>
          <w:szCs w:val="24"/>
          <w:highlight w:val="none"/>
        </w:rPr>
        <w:t>单位：人民币元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noWrap/>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2410" w:type="dxa"/>
            <w:noWrap/>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监理报酬分项名称</w:t>
            </w:r>
          </w:p>
        </w:tc>
        <w:tc>
          <w:tcPr>
            <w:tcW w:w="2268" w:type="dxa"/>
            <w:noWrap/>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计算依据、过程和公式</w:t>
            </w:r>
          </w:p>
        </w:tc>
        <w:tc>
          <w:tcPr>
            <w:tcW w:w="1322" w:type="dxa"/>
            <w:noWrap/>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金额（元）</w:t>
            </w:r>
          </w:p>
        </w:tc>
        <w:tc>
          <w:tcPr>
            <w:tcW w:w="2232" w:type="dxa"/>
            <w:noWrap/>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10" w:type="dxa"/>
            <w:noWrap/>
            <w:vAlign w:val="center"/>
          </w:tcPr>
          <w:p>
            <w:pPr>
              <w:spacing w:line="360" w:lineRule="auto"/>
              <w:jc w:val="center"/>
              <w:rPr>
                <w:rFonts w:ascii="宋体" w:hAnsi="宋体" w:cs="宋体"/>
                <w:color w:val="auto"/>
                <w:sz w:val="24"/>
                <w:szCs w:val="24"/>
                <w:highlight w:val="none"/>
              </w:rPr>
            </w:pPr>
          </w:p>
        </w:tc>
        <w:tc>
          <w:tcPr>
            <w:tcW w:w="2268" w:type="dxa"/>
            <w:noWrap/>
            <w:vAlign w:val="center"/>
          </w:tcPr>
          <w:p>
            <w:pPr>
              <w:spacing w:line="360" w:lineRule="auto"/>
              <w:jc w:val="center"/>
              <w:rPr>
                <w:rFonts w:ascii="宋体" w:hAnsi="宋体" w:cs="宋体"/>
                <w:color w:val="auto"/>
                <w:sz w:val="24"/>
                <w:szCs w:val="24"/>
                <w:highlight w:val="none"/>
              </w:rPr>
            </w:pPr>
          </w:p>
        </w:tc>
        <w:tc>
          <w:tcPr>
            <w:tcW w:w="1322" w:type="dxa"/>
            <w:noWrap/>
            <w:vAlign w:val="center"/>
          </w:tcPr>
          <w:p>
            <w:pPr>
              <w:spacing w:line="360" w:lineRule="auto"/>
              <w:jc w:val="center"/>
              <w:rPr>
                <w:rFonts w:ascii="宋体" w:hAnsi="宋体" w:cs="宋体"/>
                <w:color w:val="auto"/>
                <w:sz w:val="24"/>
                <w:szCs w:val="24"/>
                <w:highlight w:val="none"/>
              </w:rPr>
            </w:pPr>
          </w:p>
        </w:tc>
        <w:tc>
          <w:tcPr>
            <w:tcW w:w="2232" w:type="dxa"/>
            <w:noWrap/>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410" w:type="dxa"/>
            <w:noWrap/>
            <w:vAlign w:val="center"/>
          </w:tcPr>
          <w:p>
            <w:pPr>
              <w:spacing w:line="360" w:lineRule="auto"/>
              <w:jc w:val="center"/>
              <w:rPr>
                <w:rFonts w:ascii="宋体" w:hAnsi="宋体" w:cs="宋体"/>
                <w:color w:val="auto"/>
                <w:sz w:val="24"/>
                <w:szCs w:val="24"/>
                <w:highlight w:val="none"/>
              </w:rPr>
            </w:pPr>
          </w:p>
        </w:tc>
        <w:tc>
          <w:tcPr>
            <w:tcW w:w="2268" w:type="dxa"/>
            <w:noWrap/>
            <w:vAlign w:val="center"/>
          </w:tcPr>
          <w:p>
            <w:pPr>
              <w:spacing w:line="360" w:lineRule="auto"/>
              <w:jc w:val="center"/>
              <w:rPr>
                <w:rFonts w:ascii="宋体" w:hAnsi="宋体" w:cs="宋体"/>
                <w:color w:val="auto"/>
                <w:sz w:val="24"/>
                <w:szCs w:val="24"/>
                <w:highlight w:val="none"/>
              </w:rPr>
            </w:pPr>
          </w:p>
        </w:tc>
        <w:tc>
          <w:tcPr>
            <w:tcW w:w="1322" w:type="dxa"/>
            <w:noWrap/>
            <w:vAlign w:val="center"/>
          </w:tcPr>
          <w:p>
            <w:pPr>
              <w:spacing w:line="360" w:lineRule="auto"/>
              <w:jc w:val="center"/>
              <w:rPr>
                <w:rFonts w:ascii="宋体" w:hAnsi="宋体" w:cs="宋体"/>
                <w:color w:val="auto"/>
                <w:sz w:val="24"/>
                <w:szCs w:val="24"/>
                <w:highlight w:val="none"/>
              </w:rPr>
            </w:pPr>
          </w:p>
        </w:tc>
        <w:tc>
          <w:tcPr>
            <w:tcW w:w="2232" w:type="dxa"/>
            <w:noWrap/>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410" w:type="dxa"/>
            <w:noWrap/>
            <w:vAlign w:val="center"/>
          </w:tcPr>
          <w:p>
            <w:pPr>
              <w:spacing w:line="360" w:lineRule="auto"/>
              <w:jc w:val="center"/>
              <w:rPr>
                <w:rFonts w:ascii="宋体" w:hAnsi="宋体" w:cs="宋体"/>
                <w:color w:val="auto"/>
                <w:sz w:val="24"/>
                <w:szCs w:val="24"/>
                <w:highlight w:val="none"/>
              </w:rPr>
            </w:pPr>
          </w:p>
        </w:tc>
        <w:tc>
          <w:tcPr>
            <w:tcW w:w="2268" w:type="dxa"/>
            <w:noWrap/>
            <w:vAlign w:val="center"/>
          </w:tcPr>
          <w:p>
            <w:pPr>
              <w:spacing w:line="360" w:lineRule="auto"/>
              <w:jc w:val="center"/>
              <w:rPr>
                <w:rFonts w:ascii="宋体" w:hAnsi="宋体" w:cs="宋体"/>
                <w:color w:val="auto"/>
                <w:sz w:val="24"/>
                <w:szCs w:val="24"/>
                <w:highlight w:val="none"/>
              </w:rPr>
            </w:pPr>
          </w:p>
        </w:tc>
        <w:tc>
          <w:tcPr>
            <w:tcW w:w="1322" w:type="dxa"/>
            <w:noWrap/>
            <w:vAlign w:val="center"/>
          </w:tcPr>
          <w:p>
            <w:pPr>
              <w:spacing w:line="360" w:lineRule="auto"/>
              <w:jc w:val="center"/>
              <w:rPr>
                <w:rFonts w:ascii="宋体" w:hAnsi="宋体" w:cs="宋体"/>
                <w:color w:val="auto"/>
                <w:sz w:val="24"/>
                <w:szCs w:val="24"/>
                <w:highlight w:val="none"/>
              </w:rPr>
            </w:pPr>
          </w:p>
        </w:tc>
        <w:tc>
          <w:tcPr>
            <w:tcW w:w="2232" w:type="dxa"/>
            <w:noWrap/>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410" w:type="dxa"/>
            <w:noWrap/>
            <w:vAlign w:val="center"/>
          </w:tcPr>
          <w:p>
            <w:pPr>
              <w:spacing w:line="360" w:lineRule="auto"/>
              <w:jc w:val="center"/>
              <w:rPr>
                <w:rFonts w:ascii="宋体" w:hAnsi="宋体" w:cs="宋体"/>
                <w:color w:val="auto"/>
                <w:sz w:val="24"/>
                <w:szCs w:val="24"/>
                <w:highlight w:val="none"/>
              </w:rPr>
            </w:pPr>
          </w:p>
        </w:tc>
        <w:tc>
          <w:tcPr>
            <w:tcW w:w="2268" w:type="dxa"/>
            <w:noWrap/>
            <w:vAlign w:val="center"/>
          </w:tcPr>
          <w:p>
            <w:pPr>
              <w:spacing w:line="360" w:lineRule="auto"/>
              <w:jc w:val="center"/>
              <w:rPr>
                <w:rFonts w:ascii="宋体" w:hAnsi="宋体" w:cs="宋体"/>
                <w:color w:val="auto"/>
                <w:sz w:val="24"/>
                <w:szCs w:val="24"/>
                <w:highlight w:val="none"/>
              </w:rPr>
            </w:pPr>
          </w:p>
        </w:tc>
        <w:tc>
          <w:tcPr>
            <w:tcW w:w="1322" w:type="dxa"/>
            <w:noWrap/>
            <w:vAlign w:val="center"/>
          </w:tcPr>
          <w:p>
            <w:pPr>
              <w:spacing w:line="360" w:lineRule="auto"/>
              <w:jc w:val="center"/>
              <w:rPr>
                <w:rFonts w:ascii="宋体" w:hAnsi="宋体" w:cs="宋体"/>
                <w:color w:val="auto"/>
                <w:sz w:val="24"/>
                <w:szCs w:val="24"/>
                <w:highlight w:val="none"/>
              </w:rPr>
            </w:pPr>
          </w:p>
        </w:tc>
        <w:tc>
          <w:tcPr>
            <w:tcW w:w="2232" w:type="dxa"/>
            <w:noWrap/>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spacing w:before="100" w:beforeAutospacing="1" w:after="100" w:afterAutospacing="1"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410" w:type="dxa"/>
            <w:noWrap/>
            <w:vAlign w:val="center"/>
          </w:tcPr>
          <w:p>
            <w:pPr>
              <w:spacing w:line="360" w:lineRule="auto"/>
              <w:jc w:val="center"/>
              <w:rPr>
                <w:rFonts w:ascii="宋体" w:hAnsi="宋体" w:cs="宋体"/>
                <w:color w:val="auto"/>
                <w:sz w:val="24"/>
                <w:szCs w:val="24"/>
                <w:highlight w:val="none"/>
              </w:rPr>
            </w:pPr>
          </w:p>
        </w:tc>
        <w:tc>
          <w:tcPr>
            <w:tcW w:w="2268" w:type="dxa"/>
            <w:noWrap/>
            <w:vAlign w:val="center"/>
          </w:tcPr>
          <w:p>
            <w:pPr>
              <w:spacing w:line="360" w:lineRule="auto"/>
              <w:jc w:val="center"/>
              <w:rPr>
                <w:rFonts w:ascii="宋体" w:hAnsi="宋体" w:cs="宋体"/>
                <w:color w:val="auto"/>
                <w:sz w:val="24"/>
                <w:szCs w:val="24"/>
                <w:highlight w:val="none"/>
              </w:rPr>
            </w:pPr>
          </w:p>
        </w:tc>
        <w:tc>
          <w:tcPr>
            <w:tcW w:w="1322" w:type="dxa"/>
            <w:noWrap/>
            <w:vAlign w:val="center"/>
          </w:tcPr>
          <w:p>
            <w:pPr>
              <w:spacing w:line="360" w:lineRule="auto"/>
              <w:jc w:val="center"/>
              <w:rPr>
                <w:rFonts w:ascii="宋体" w:hAnsi="宋体" w:cs="宋体"/>
                <w:color w:val="auto"/>
                <w:sz w:val="24"/>
                <w:szCs w:val="24"/>
                <w:highlight w:val="none"/>
              </w:rPr>
            </w:pPr>
          </w:p>
        </w:tc>
        <w:tc>
          <w:tcPr>
            <w:tcW w:w="2232" w:type="dxa"/>
            <w:noWrap/>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410" w:type="dxa"/>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268" w:type="dxa"/>
            <w:noWrap/>
            <w:vAlign w:val="center"/>
          </w:tcPr>
          <w:p>
            <w:pPr>
              <w:spacing w:line="360" w:lineRule="auto"/>
              <w:jc w:val="center"/>
              <w:rPr>
                <w:rFonts w:ascii="宋体" w:hAnsi="宋体" w:cs="宋体"/>
                <w:color w:val="auto"/>
                <w:sz w:val="24"/>
                <w:szCs w:val="24"/>
                <w:highlight w:val="none"/>
              </w:rPr>
            </w:pPr>
          </w:p>
        </w:tc>
        <w:tc>
          <w:tcPr>
            <w:tcW w:w="1322" w:type="dxa"/>
            <w:noWrap/>
            <w:vAlign w:val="center"/>
          </w:tcPr>
          <w:p>
            <w:pPr>
              <w:spacing w:line="360" w:lineRule="auto"/>
              <w:jc w:val="center"/>
              <w:rPr>
                <w:rFonts w:ascii="宋体" w:hAnsi="宋体" w:cs="宋体"/>
                <w:color w:val="auto"/>
                <w:sz w:val="24"/>
                <w:szCs w:val="24"/>
                <w:highlight w:val="none"/>
              </w:rPr>
            </w:pPr>
          </w:p>
        </w:tc>
        <w:tc>
          <w:tcPr>
            <w:tcW w:w="2232" w:type="dxa"/>
            <w:noWrap/>
            <w:vAlign w:val="center"/>
          </w:tcPr>
          <w:p>
            <w:pPr>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noWrap/>
            <w:vAlign w:val="center"/>
          </w:tcPr>
          <w:p>
            <w:pPr>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合计报价</w:t>
            </w:r>
          </w:p>
        </w:tc>
        <w:tc>
          <w:tcPr>
            <w:tcW w:w="1322" w:type="dxa"/>
            <w:noWrap/>
            <w:vAlign w:val="center"/>
          </w:tcPr>
          <w:p>
            <w:pPr>
              <w:spacing w:line="360" w:lineRule="auto"/>
              <w:jc w:val="center"/>
              <w:rPr>
                <w:rFonts w:ascii="宋体" w:hAnsi="宋体" w:cs="宋体"/>
                <w:color w:val="auto"/>
                <w:sz w:val="24"/>
                <w:szCs w:val="24"/>
                <w:highlight w:val="none"/>
              </w:rPr>
            </w:pPr>
          </w:p>
        </w:tc>
        <w:tc>
          <w:tcPr>
            <w:tcW w:w="2232" w:type="dxa"/>
            <w:noWrap/>
            <w:vAlign w:val="center"/>
          </w:tcPr>
          <w:p>
            <w:pPr>
              <w:spacing w:line="360" w:lineRule="auto"/>
              <w:jc w:val="center"/>
              <w:rPr>
                <w:rFonts w:ascii="宋体" w:hAnsi="宋体" w:cs="宋体"/>
                <w:color w:val="auto"/>
                <w:sz w:val="24"/>
                <w:szCs w:val="24"/>
                <w:highlight w:val="none"/>
              </w:rPr>
            </w:pPr>
          </w:p>
        </w:tc>
      </w:tr>
    </w:tbl>
    <w:p>
      <w:pPr>
        <w:spacing w:line="400" w:lineRule="exact"/>
        <w:rPr>
          <w:rFonts w:ascii="宋体" w:hAnsi="宋体" w:cs="宋体"/>
          <w:color w:val="auto"/>
          <w:sz w:val="24"/>
          <w:szCs w:val="24"/>
          <w:highlight w:val="none"/>
        </w:rPr>
      </w:pPr>
    </w:p>
    <w:p>
      <w:pPr>
        <w:pStyle w:val="128"/>
        <w:ind w:firstLine="496"/>
        <w:rPr>
          <w:rFonts w:ascii="Times New Roman" w:hAnsi="Times New Roman"/>
          <w:color w:val="auto"/>
          <w:highlight w:val="none"/>
        </w:rPr>
      </w:pPr>
      <w:r>
        <w:rPr>
          <w:rFonts w:hint="eastAsia" w:ascii="宋体" w:hAnsi="宋体" w:cs="宋体"/>
          <w:snapToGrid w:val="0"/>
          <w:color w:val="auto"/>
          <w:highlight w:val="none"/>
        </w:rPr>
        <w:t>注：监理报酬报价总金额不能超过最高限价</w:t>
      </w:r>
    </w:p>
    <w:p>
      <w:pPr>
        <w:pStyle w:val="128"/>
        <w:ind w:firstLine="496"/>
        <w:rPr>
          <w:rFonts w:ascii="Times New Roman" w:hAnsi="Times New Roman"/>
          <w:color w:val="auto"/>
          <w:highlight w:val="none"/>
        </w:rPr>
      </w:pPr>
    </w:p>
    <w:p>
      <w:pPr>
        <w:pStyle w:val="128"/>
        <w:ind w:firstLine="496"/>
        <w:rPr>
          <w:rFonts w:ascii="Times New Roman" w:hAnsi="Times New Roman"/>
          <w:color w:val="auto"/>
          <w:highlight w:val="none"/>
          <w:u w:val="single"/>
        </w:rPr>
      </w:pPr>
      <w:r>
        <w:rPr>
          <w:rFonts w:hint="eastAsia" w:ascii="Times New Roman" w:hAnsi="Times New Roman"/>
          <w:color w:val="auto"/>
          <w:highlight w:val="none"/>
        </w:rPr>
        <w:t>投 标 人：(盖公章)</w:t>
      </w:r>
      <w:r>
        <w:rPr>
          <w:rFonts w:hint="eastAsia" w:ascii="Times New Roman" w:hAnsi="Times New Roman"/>
          <w:color w:val="auto"/>
          <w:highlight w:val="none"/>
          <w:u w:val="single"/>
        </w:rPr>
        <w:t xml:space="preserve">                                   </w:t>
      </w:r>
    </w:p>
    <w:p>
      <w:pPr>
        <w:pStyle w:val="128"/>
        <w:ind w:firstLine="552"/>
        <w:rPr>
          <w:rFonts w:ascii="Times New Roman" w:hAnsi="Times New Roman"/>
          <w:color w:val="auto"/>
          <w:highlight w:val="none"/>
        </w:rPr>
      </w:pPr>
      <w:r>
        <w:rPr>
          <w:rFonts w:hint="eastAsia" w:ascii="Times New Roman" w:hAnsi="Times New Roman"/>
          <w:color w:val="auto"/>
          <w:spacing w:val="18"/>
          <w:highlight w:val="none"/>
        </w:rPr>
        <w:t>法定代表人</w:t>
      </w:r>
      <w:r>
        <w:rPr>
          <w:rFonts w:ascii="Times New Roman" w:hAnsi="Times New Roman"/>
          <w:color w:val="auto"/>
          <w:spacing w:val="18"/>
          <w:highlight w:val="none"/>
        </w:rPr>
        <w:t>(</w:t>
      </w:r>
      <w:r>
        <w:rPr>
          <w:rFonts w:hint="eastAsia" w:ascii="Times New Roman" w:hAnsi="Times New Roman"/>
          <w:color w:val="auto"/>
          <w:spacing w:val="18"/>
          <w:highlight w:val="none"/>
        </w:rPr>
        <w:t>或被授权人</w:t>
      </w:r>
      <w:r>
        <w:rPr>
          <w:rFonts w:ascii="Times New Roman" w:hAnsi="Times New Roman"/>
          <w:color w:val="auto"/>
          <w:spacing w:val="18"/>
          <w:highlight w:val="none"/>
        </w:rPr>
        <w:t>)</w:t>
      </w:r>
      <w:r>
        <w:rPr>
          <w:rFonts w:hint="eastAsia" w:ascii="Times New Roman" w:hAnsi="Times New Roman"/>
          <w:color w:val="auto"/>
          <w:spacing w:val="18"/>
          <w:highlight w:val="none"/>
        </w:rPr>
        <w:t>（签名或盖章）：</w:t>
      </w:r>
      <w:r>
        <w:rPr>
          <w:rFonts w:hint="eastAsia" w:ascii="Times New Roman" w:hAnsi="Times New Roman"/>
          <w:color w:val="auto"/>
          <w:highlight w:val="none"/>
          <w:u w:val="single"/>
        </w:rPr>
        <w:t xml:space="preserve">               </w:t>
      </w:r>
    </w:p>
    <w:p>
      <w:pPr>
        <w:pStyle w:val="128"/>
        <w:ind w:firstLine="496"/>
        <w:rPr>
          <w:rFonts w:ascii="Times New Roman" w:hAnsi="Times New Roman"/>
          <w:color w:val="auto"/>
          <w:highlight w:val="none"/>
        </w:rPr>
      </w:pPr>
      <w:r>
        <w:rPr>
          <w:rFonts w:hint="eastAsia" w:ascii="Times New Roman" w:hAnsi="Times New Roman"/>
          <w:color w:val="auto"/>
          <w:highlight w:val="none"/>
        </w:rPr>
        <w:t>日    期：</w:t>
      </w:r>
      <w:r>
        <w:rPr>
          <w:rFonts w:hint="eastAsia" w:ascii="Times New Roman" w:hAnsi="Times New Roman"/>
          <w:color w:val="auto"/>
          <w:highlight w:val="none"/>
          <w:u w:val="single"/>
        </w:rPr>
        <w:t xml:space="preserve">        </w:t>
      </w:r>
      <w:r>
        <w:rPr>
          <w:rFonts w:hint="eastAsia" w:ascii="Times New Roman" w:hAnsi="Times New Roman"/>
          <w:color w:val="auto"/>
          <w:highlight w:val="none"/>
        </w:rPr>
        <w:t>年</w:t>
      </w:r>
      <w:r>
        <w:rPr>
          <w:rFonts w:hint="eastAsia" w:ascii="Times New Roman" w:hAnsi="Times New Roman"/>
          <w:color w:val="auto"/>
          <w:highlight w:val="none"/>
          <w:u w:val="single"/>
        </w:rPr>
        <w:t xml:space="preserve">   </w:t>
      </w:r>
      <w:r>
        <w:rPr>
          <w:rFonts w:hint="eastAsia" w:ascii="Times New Roman" w:hAnsi="Times New Roman"/>
          <w:color w:val="auto"/>
          <w:highlight w:val="none"/>
        </w:rPr>
        <w:t>月</w:t>
      </w:r>
      <w:r>
        <w:rPr>
          <w:rFonts w:hint="eastAsia" w:ascii="Times New Roman" w:hAnsi="Times New Roman"/>
          <w:color w:val="auto"/>
          <w:highlight w:val="none"/>
          <w:u w:val="single"/>
        </w:rPr>
        <w:t xml:space="preserve">    </w:t>
      </w:r>
      <w:r>
        <w:rPr>
          <w:rFonts w:hint="eastAsia" w:ascii="Times New Roman" w:hAnsi="Times New Roman"/>
          <w:color w:val="auto"/>
          <w:highlight w:val="none"/>
        </w:rPr>
        <w:t>日</w:t>
      </w:r>
    </w:p>
    <w:p>
      <w:pPr>
        <w:pStyle w:val="128"/>
        <w:ind w:firstLine="496"/>
        <w:rPr>
          <w:rFonts w:ascii="Times New Roman" w:hAnsi="Times New Roman"/>
          <w:color w:val="auto"/>
          <w:highlight w:val="none"/>
          <w:u w:val="single"/>
        </w:rPr>
      </w:pPr>
      <w:r>
        <w:rPr>
          <w:rFonts w:hint="eastAsia" w:ascii="Times New Roman" w:hAnsi="Times New Roman"/>
          <w:color w:val="auto"/>
          <w:highlight w:val="none"/>
        </w:rPr>
        <w:t>电    话：</w:t>
      </w:r>
      <w:r>
        <w:rPr>
          <w:rFonts w:hint="eastAsia" w:ascii="Times New Roman" w:hAnsi="Times New Roman"/>
          <w:color w:val="auto"/>
          <w:highlight w:val="none"/>
          <w:u w:val="single"/>
        </w:rPr>
        <w:t xml:space="preserve">                     </w:t>
      </w:r>
    </w:p>
    <w:p>
      <w:pPr>
        <w:pStyle w:val="128"/>
        <w:ind w:firstLine="496"/>
        <w:rPr>
          <w:rFonts w:ascii="Times New Roman" w:hAnsi="Times New Roman"/>
          <w:color w:val="auto"/>
          <w:highlight w:val="none"/>
        </w:rPr>
      </w:pPr>
      <w:r>
        <w:rPr>
          <w:rFonts w:hint="eastAsia" w:ascii="Times New Roman" w:hAnsi="Times New Roman"/>
          <w:color w:val="auto"/>
          <w:highlight w:val="none"/>
        </w:rPr>
        <w:t>传    真：</w:t>
      </w:r>
    </w:p>
    <w:p>
      <w:pPr>
        <w:spacing w:line="360" w:lineRule="auto"/>
        <w:jc w:val="center"/>
        <w:rPr>
          <w:rFonts w:ascii="Times New Roman" w:hAnsi="Times New Roman"/>
          <w:b/>
          <w:color w:val="auto"/>
          <w:sz w:val="28"/>
          <w:szCs w:val="28"/>
          <w:highlight w:val="none"/>
        </w:rPr>
      </w:pPr>
      <w:r>
        <w:rPr>
          <w:rFonts w:ascii="Times New Roman" w:hAnsi="Times New Roman"/>
          <w:b/>
          <w:color w:val="auto"/>
          <w:sz w:val="32"/>
          <w:szCs w:val="32"/>
          <w:highlight w:val="none"/>
        </w:rPr>
        <w:br w:type="page"/>
      </w:r>
    </w:p>
    <w:bookmarkEnd w:id="422"/>
    <w:bookmarkEnd w:id="423"/>
    <w:bookmarkEnd w:id="424"/>
    <w:bookmarkEnd w:id="425"/>
    <w:p>
      <w:pPr>
        <w:spacing w:line="360" w:lineRule="auto"/>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四</w:t>
      </w:r>
      <w:r>
        <w:rPr>
          <w:rFonts w:ascii="Times New Roman" w:hAnsi="Times New Roman"/>
          <w:b/>
          <w:bCs/>
          <w:color w:val="auto"/>
          <w:sz w:val="30"/>
          <w:szCs w:val="30"/>
          <w:highlight w:val="none"/>
        </w:rPr>
        <w:t>、</w:t>
      </w:r>
      <w:r>
        <w:rPr>
          <w:rFonts w:hint="eastAsia" w:ascii="Times New Roman" w:hAnsi="Times New Roman"/>
          <w:b/>
          <w:bCs/>
          <w:color w:val="auto"/>
          <w:sz w:val="30"/>
          <w:szCs w:val="30"/>
          <w:highlight w:val="none"/>
        </w:rPr>
        <w:t>资格审查资料</w:t>
      </w:r>
    </w:p>
    <w:p>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（一）基本情况表（格式可自定）</w:t>
      </w:r>
    </w:p>
    <w:tbl>
      <w:tblPr>
        <w:tblStyle w:val="4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投标人名称</w:t>
            </w:r>
          </w:p>
        </w:tc>
        <w:tc>
          <w:tcPr>
            <w:tcW w:w="6994" w:type="dxa"/>
            <w:gridSpan w:val="8"/>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注册地址</w:t>
            </w:r>
          </w:p>
        </w:tc>
        <w:tc>
          <w:tcPr>
            <w:tcW w:w="3208" w:type="dxa"/>
            <w:gridSpan w:val="3"/>
            <w:vAlign w:val="center"/>
          </w:tcPr>
          <w:p>
            <w:pPr>
              <w:topLinePunct/>
              <w:spacing w:line="440" w:lineRule="exact"/>
              <w:jc w:val="center"/>
              <w:rPr>
                <w:rFonts w:ascii="Times New Roman" w:hAnsi="Times New Roman"/>
                <w:color w:val="auto"/>
                <w:sz w:val="24"/>
                <w:highlight w:val="none"/>
              </w:rPr>
            </w:pPr>
          </w:p>
        </w:tc>
        <w:tc>
          <w:tcPr>
            <w:tcW w:w="1368"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邮政编码</w:t>
            </w:r>
          </w:p>
        </w:tc>
        <w:tc>
          <w:tcPr>
            <w:tcW w:w="2418" w:type="dxa"/>
            <w:gridSpan w:val="3"/>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联系方式</w:t>
            </w:r>
          </w:p>
        </w:tc>
        <w:tc>
          <w:tcPr>
            <w:tcW w:w="991"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联系人</w:t>
            </w:r>
          </w:p>
        </w:tc>
        <w:tc>
          <w:tcPr>
            <w:tcW w:w="2217" w:type="dxa"/>
            <w:gridSpan w:val="2"/>
            <w:vAlign w:val="center"/>
          </w:tcPr>
          <w:p>
            <w:pPr>
              <w:topLinePunct/>
              <w:spacing w:line="440" w:lineRule="exact"/>
              <w:jc w:val="center"/>
              <w:rPr>
                <w:rFonts w:ascii="Times New Roman" w:hAnsi="Times New Roman"/>
                <w:color w:val="auto"/>
                <w:sz w:val="24"/>
                <w:highlight w:val="none"/>
              </w:rPr>
            </w:pPr>
          </w:p>
        </w:tc>
        <w:tc>
          <w:tcPr>
            <w:tcW w:w="1368"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 话</w:t>
            </w:r>
          </w:p>
        </w:tc>
        <w:tc>
          <w:tcPr>
            <w:tcW w:w="2418" w:type="dxa"/>
            <w:gridSpan w:val="3"/>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vAlign w:val="center"/>
          </w:tcPr>
          <w:p>
            <w:pPr>
              <w:widowControl/>
              <w:jc w:val="left"/>
              <w:rPr>
                <w:rFonts w:ascii="Times New Roman" w:hAnsi="Times New Roman"/>
                <w:color w:val="auto"/>
                <w:sz w:val="24"/>
                <w:highlight w:val="none"/>
              </w:rPr>
            </w:pPr>
          </w:p>
        </w:tc>
        <w:tc>
          <w:tcPr>
            <w:tcW w:w="991"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传  真</w:t>
            </w:r>
          </w:p>
        </w:tc>
        <w:tc>
          <w:tcPr>
            <w:tcW w:w="2217" w:type="dxa"/>
            <w:gridSpan w:val="2"/>
            <w:vAlign w:val="center"/>
          </w:tcPr>
          <w:p>
            <w:pPr>
              <w:topLinePunct/>
              <w:spacing w:line="440" w:lineRule="exact"/>
              <w:jc w:val="center"/>
              <w:rPr>
                <w:rFonts w:ascii="Times New Roman" w:hAnsi="Times New Roman"/>
                <w:color w:val="auto"/>
                <w:sz w:val="24"/>
                <w:highlight w:val="none"/>
              </w:rPr>
            </w:pPr>
          </w:p>
        </w:tc>
        <w:tc>
          <w:tcPr>
            <w:tcW w:w="1368"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网 址</w:t>
            </w:r>
          </w:p>
        </w:tc>
        <w:tc>
          <w:tcPr>
            <w:tcW w:w="2418" w:type="dxa"/>
            <w:gridSpan w:val="3"/>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法定代表人</w:t>
            </w:r>
          </w:p>
        </w:tc>
        <w:tc>
          <w:tcPr>
            <w:tcW w:w="991"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991" w:type="dxa"/>
            <w:vAlign w:val="center"/>
          </w:tcPr>
          <w:p>
            <w:pPr>
              <w:topLinePunct/>
              <w:spacing w:line="440" w:lineRule="exact"/>
              <w:jc w:val="center"/>
              <w:rPr>
                <w:rFonts w:ascii="Times New Roman" w:hAnsi="Times New Roman"/>
                <w:color w:val="auto"/>
                <w:sz w:val="24"/>
                <w:highlight w:val="none"/>
              </w:rPr>
            </w:pPr>
          </w:p>
        </w:tc>
        <w:tc>
          <w:tcPr>
            <w:tcW w:w="1226"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技术职称</w:t>
            </w:r>
          </w:p>
        </w:tc>
        <w:tc>
          <w:tcPr>
            <w:tcW w:w="1368" w:type="dxa"/>
            <w:gridSpan w:val="2"/>
            <w:vAlign w:val="center"/>
          </w:tcPr>
          <w:p>
            <w:pPr>
              <w:topLinePunct/>
              <w:spacing w:line="440" w:lineRule="exact"/>
              <w:jc w:val="center"/>
              <w:rPr>
                <w:rFonts w:ascii="Times New Roman" w:hAnsi="Times New Roman"/>
                <w:color w:val="auto"/>
                <w:sz w:val="24"/>
                <w:highlight w:val="none"/>
              </w:rPr>
            </w:pPr>
          </w:p>
        </w:tc>
        <w:tc>
          <w:tcPr>
            <w:tcW w:w="1148"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1270" w:type="dxa"/>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技术负责人</w:t>
            </w:r>
          </w:p>
        </w:tc>
        <w:tc>
          <w:tcPr>
            <w:tcW w:w="991"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991" w:type="dxa"/>
            <w:vAlign w:val="center"/>
          </w:tcPr>
          <w:p>
            <w:pPr>
              <w:topLinePunct/>
              <w:spacing w:line="440" w:lineRule="exact"/>
              <w:jc w:val="center"/>
              <w:rPr>
                <w:rFonts w:ascii="Times New Roman" w:hAnsi="Times New Roman"/>
                <w:color w:val="auto"/>
                <w:sz w:val="24"/>
                <w:highlight w:val="none"/>
              </w:rPr>
            </w:pPr>
          </w:p>
        </w:tc>
        <w:tc>
          <w:tcPr>
            <w:tcW w:w="1226"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技术职称</w:t>
            </w:r>
          </w:p>
        </w:tc>
        <w:tc>
          <w:tcPr>
            <w:tcW w:w="1368" w:type="dxa"/>
            <w:gridSpan w:val="2"/>
            <w:vAlign w:val="center"/>
          </w:tcPr>
          <w:p>
            <w:pPr>
              <w:topLinePunct/>
              <w:spacing w:line="440" w:lineRule="exact"/>
              <w:jc w:val="center"/>
              <w:rPr>
                <w:rFonts w:ascii="Times New Roman" w:hAnsi="Times New Roman"/>
                <w:color w:val="auto"/>
                <w:sz w:val="24"/>
                <w:highlight w:val="none"/>
              </w:rPr>
            </w:pPr>
          </w:p>
        </w:tc>
        <w:tc>
          <w:tcPr>
            <w:tcW w:w="1148"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1270" w:type="dxa"/>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企业监理资质证书</w:t>
            </w:r>
          </w:p>
        </w:tc>
        <w:tc>
          <w:tcPr>
            <w:tcW w:w="6994" w:type="dxa"/>
            <w:gridSpan w:val="8"/>
            <w:vAlign w:val="center"/>
          </w:tcPr>
          <w:p>
            <w:pPr>
              <w:topLinePunct/>
              <w:spacing w:before="100" w:beforeAutospacing="1" w:after="100" w:afterAutospacing="1" w:line="440" w:lineRule="exact"/>
              <w:ind w:firstLine="120" w:firstLineChars="50"/>
              <w:rPr>
                <w:rFonts w:ascii="Times New Roman" w:hAnsi="Times New Roman"/>
                <w:color w:val="auto"/>
                <w:sz w:val="24"/>
                <w:highlight w:val="none"/>
              </w:rPr>
            </w:pPr>
            <w:r>
              <w:rPr>
                <w:rFonts w:ascii="Times New Roman" w:hAnsi="Times New Roman"/>
                <w:color w:val="auto"/>
                <w:sz w:val="24"/>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质量管理体系证书（如有）</w:t>
            </w:r>
          </w:p>
        </w:tc>
        <w:tc>
          <w:tcPr>
            <w:tcW w:w="6994" w:type="dxa"/>
            <w:gridSpan w:val="8"/>
            <w:vAlign w:val="center"/>
          </w:tcPr>
          <w:p>
            <w:pPr>
              <w:topLinePunct/>
              <w:spacing w:before="100" w:beforeAutospacing="1" w:after="100" w:afterAutospacing="1" w:line="440" w:lineRule="exact"/>
              <w:ind w:firstLine="120" w:firstLineChars="50"/>
              <w:rPr>
                <w:rFonts w:ascii="Times New Roman" w:hAnsi="Times New Roman"/>
                <w:color w:val="auto"/>
                <w:sz w:val="24"/>
                <w:highlight w:val="none"/>
              </w:rPr>
            </w:pPr>
            <w:r>
              <w:rPr>
                <w:rFonts w:ascii="Times New Roman" w:hAnsi="Times New Roman"/>
                <w:color w:val="auto"/>
                <w:sz w:val="24"/>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营业执照号</w:t>
            </w:r>
          </w:p>
        </w:tc>
        <w:tc>
          <w:tcPr>
            <w:tcW w:w="3208" w:type="dxa"/>
            <w:gridSpan w:val="3"/>
            <w:vAlign w:val="center"/>
          </w:tcPr>
          <w:p>
            <w:pPr>
              <w:topLinePunct/>
              <w:spacing w:line="440" w:lineRule="exact"/>
              <w:jc w:val="center"/>
              <w:rPr>
                <w:rFonts w:ascii="Times New Roman" w:hAnsi="Times New Roman"/>
                <w:color w:val="auto"/>
                <w:sz w:val="24"/>
                <w:highlight w:val="none"/>
              </w:rPr>
            </w:pPr>
          </w:p>
        </w:tc>
        <w:tc>
          <w:tcPr>
            <w:tcW w:w="3786" w:type="dxa"/>
            <w:gridSpan w:val="5"/>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注册资本</w:t>
            </w:r>
          </w:p>
        </w:tc>
        <w:tc>
          <w:tcPr>
            <w:tcW w:w="3208" w:type="dxa"/>
            <w:gridSpan w:val="3"/>
            <w:vAlign w:val="center"/>
          </w:tcPr>
          <w:p>
            <w:pPr>
              <w:topLinePunct/>
              <w:spacing w:line="440" w:lineRule="exact"/>
              <w:jc w:val="center"/>
              <w:rPr>
                <w:rFonts w:ascii="Times New Roman" w:hAnsi="Times New Roman"/>
                <w:color w:val="auto"/>
                <w:sz w:val="24"/>
                <w:highlight w:val="none"/>
              </w:rPr>
            </w:pPr>
          </w:p>
        </w:tc>
        <w:tc>
          <w:tcPr>
            <w:tcW w:w="456" w:type="dxa"/>
            <w:vMerge w:val="restart"/>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其中</w:t>
            </w:r>
          </w:p>
        </w:tc>
        <w:tc>
          <w:tcPr>
            <w:tcW w:w="1759"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高级职称人员</w:t>
            </w:r>
          </w:p>
        </w:tc>
        <w:tc>
          <w:tcPr>
            <w:tcW w:w="1571" w:type="dxa"/>
            <w:gridSpan w:val="2"/>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成立日期</w:t>
            </w:r>
          </w:p>
        </w:tc>
        <w:tc>
          <w:tcPr>
            <w:tcW w:w="3208" w:type="dxa"/>
            <w:gridSpan w:val="3"/>
            <w:vAlign w:val="center"/>
          </w:tcPr>
          <w:p>
            <w:pPr>
              <w:topLinePunct/>
              <w:spacing w:line="440" w:lineRule="exact"/>
              <w:jc w:val="center"/>
              <w:rPr>
                <w:rFonts w:ascii="Times New Roman" w:hAnsi="Times New Roman"/>
                <w:color w:val="auto"/>
                <w:sz w:val="24"/>
                <w:highlight w:val="none"/>
              </w:rPr>
            </w:pPr>
          </w:p>
        </w:tc>
        <w:tc>
          <w:tcPr>
            <w:tcW w:w="456" w:type="dxa"/>
            <w:vMerge w:val="continue"/>
            <w:vAlign w:val="center"/>
          </w:tcPr>
          <w:p>
            <w:pPr>
              <w:widowControl/>
              <w:jc w:val="left"/>
              <w:rPr>
                <w:rFonts w:ascii="Times New Roman" w:hAnsi="Times New Roman"/>
                <w:color w:val="auto"/>
                <w:sz w:val="24"/>
                <w:highlight w:val="none"/>
              </w:rPr>
            </w:pPr>
          </w:p>
        </w:tc>
        <w:tc>
          <w:tcPr>
            <w:tcW w:w="1759"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中级职称人员</w:t>
            </w:r>
          </w:p>
        </w:tc>
        <w:tc>
          <w:tcPr>
            <w:tcW w:w="1571" w:type="dxa"/>
            <w:gridSpan w:val="2"/>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基本账户开户银行</w:t>
            </w:r>
          </w:p>
        </w:tc>
        <w:tc>
          <w:tcPr>
            <w:tcW w:w="3208" w:type="dxa"/>
            <w:gridSpan w:val="3"/>
            <w:vAlign w:val="center"/>
          </w:tcPr>
          <w:p>
            <w:pPr>
              <w:topLinePunct/>
              <w:spacing w:line="440" w:lineRule="exact"/>
              <w:jc w:val="center"/>
              <w:rPr>
                <w:rFonts w:ascii="Times New Roman" w:hAnsi="Times New Roman"/>
                <w:color w:val="auto"/>
                <w:sz w:val="24"/>
                <w:highlight w:val="none"/>
              </w:rPr>
            </w:pPr>
          </w:p>
        </w:tc>
        <w:tc>
          <w:tcPr>
            <w:tcW w:w="456" w:type="dxa"/>
            <w:vMerge w:val="continue"/>
            <w:vAlign w:val="center"/>
          </w:tcPr>
          <w:p>
            <w:pPr>
              <w:widowControl/>
              <w:jc w:val="left"/>
              <w:rPr>
                <w:rFonts w:ascii="Times New Roman" w:hAnsi="Times New Roman"/>
                <w:color w:val="auto"/>
                <w:sz w:val="24"/>
                <w:highlight w:val="none"/>
              </w:rPr>
            </w:pPr>
          </w:p>
        </w:tc>
        <w:tc>
          <w:tcPr>
            <w:tcW w:w="1759"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技术人员数量</w:t>
            </w:r>
          </w:p>
        </w:tc>
        <w:tc>
          <w:tcPr>
            <w:tcW w:w="1571" w:type="dxa"/>
            <w:gridSpan w:val="2"/>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基本账户银行账号</w:t>
            </w:r>
          </w:p>
        </w:tc>
        <w:tc>
          <w:tcPr>
            <w:tcW w:w="3208" w:type="dxa"/>
            <w:gridSpan w:val="3"/>
            <w:vAlign w:val="center"/>
          </w:tcPr>
          <w:p>
            <w:pPr>
              <w:topLinePunct/>
              <w:spacing w:line="440" w:lineRule="exact"/>
              <w:jc w:val="center"/>
              <w:rPr>
                <w:rFonts w:ascii="Times New Roman" w:hAnsi="Times New Roman"/>
                <w:color w:val="auto"/>
                <w:sz w:val="24"/>
                <w:highlight w:val="none"/>
              </w:rPr>
            </w:pPr>
          </w:p>
        </w:tc>
        <w:tc>
          <w:tcPr>
            <w:tcW w:w="456" w:type="dxa"/>
            <w:vMerge w:val="continue"/>
            <w:vAlign w:val="center"/>
          </w:tcPr>
          <w:p>
            <w:pPr>
              <w:widowControl/>
              <w:jc w:val="left"/>
              <w:rPr>
                <w:rFonts w:ascii="Times New Roman" w:hAnsi="Times New Roman"/>
                <w:color w:val="auto"/>
                <w:sz w:val="24"/>
                <w:highlight w:val="none"/>
              </w:rPr>
            </w:pPr>
          </w:p>
        </w:tc>
        <w:tc>
          <w:tcPr>
            <w:tcW w:w="1759" w:type="dxa"/>
            <w:gridSpan w:val="2"/>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各类注册人员</w:t>
            </w:r>
          </w:p>
        </w:tc>
        <w:tc>
          <w:tcPr>
            <w:tcW w:w="1571" w:type="dxa"/>
            <w:gridSpan w:val="2"/>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ind w:firstLine="240" w:firstLineChars="100"/>
              <w:jc w:val="center"/>
              <w:rPr>
                <w:rFonts w:ascii="Times New Roman" w:hAnsi="Times New Roman"/>
                <w:color w:val="auto"/>
                <w:sz w:val="24"/>
                <w:highlight w:val="none"/>
              </w:rPr>
            </w:pPr>
            <w:r>
              <w:rPr>
                <w:rFonts w:ascii="Times New Roman" w:hAnsi="Times New Roman"/>
                <w:color w:val="auto"/>
                <w:sz w:val="24"/>
                <w:highlight w:val="none"/>
              </w:rPr>
              <w:t>经营范围</w:t>
            </w:r>
          </w:p>
        </w:tc>
        <w:tc>
          <w:tcPr>
            <w:tcW w:w="6994" w:type="dxa"/>
            <w:gridSpan w:val="8"/>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投标人关联企业情况（包括但不限于与投标人法定代表人为同一人或者存在控股、管理关系的不同单位）</w:t>
            </w:r>
          </w:p>
        </w:tc>
        <w:tc>
          <w:tcPr>
            <w:tcW w:w="6994" w:type="dxa"/>
            <w:gridSpan w:val="8"/>
            <w:vAlign w:val="center"/>
          </w:tcPr>
          <w:p>
            <w:pPr>
              <w:topLinePunct/>
              <w:spacing w:line="440" w:lineRule="exact"/>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vAlign w:val="center"/>
          </w:tcPr>
          <w:p>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994" w:type="dxa"/>
            <w:gridSpan w:val="8"/>
            <w:vAlign w:val="center"/>
          </w:tcPr>
          <w:p>
            <w:pPr>
              <w:topLinePunct/>
              <w:spacing w:line="440" w:lineRule="exact"/>
              <w:jc w:val="center"/>
              <w:rPr>
                <w:rFonts w:ascii="Times New Roman" w:hAnsi="Times New Roman"/>
                <w:color w:val="auto"/>
                <w:sz w:val="24"/>
                <w:highlight w:val="none"/>
              </w:rPr>
            </w:pPr>
          </w:p>
        </w:tc>
      </w:tr>
    </w:tbl>
    <w:p>
      <w:pPr>
        <w:spacing w:line="400" w:lineRule="exact"/>
        <w:rPr>
          <w:rFonts w:ascii="Times New Roman" w:hAnsi="Times New Roman"/>
          <w:color w:val="auto"/>
          <w:sz w:val="24"/>
          <w:highlight w:val="none"/>
        </w:rPr>
      </w:pPr>
      <w:r>
        <w:rPr>
          <w:rFonts w:ascii="Times New Roman" w:hAnsi="Times New Roman"/>
          <w:color w:val="auto"/>
          <w:sz w:val="24"/>
          <w:highlight w:val="none"/>
        </w:rPr>
        <w:t>注：投标人应</w:t>
      </w:r>
      <w:bookmarkStart w:id="427" w:name="_Toc520184751"/>
      <w:r>
        <w:rPr>
          <w:rFonts w:ascii="Times New Roman" w:hAnsi="Times New Roman"/>
          <w:color w:val="auto"/>
          <w:sz w:val="24"/>
          <w:highlight w:val="none"/>
        </w:rPr>
        <w:t>根据投标人须知第3.5</w:t>
      </w:r>
      <w:bookmarkEnd w:id="427"/>
      <w:r>
        <w:rPr>
          <w:rFonts w:ascii="Times New Roman" w:hAnsi="Times New Roman"/>
          <w:color w:val="auto"/>
          <w:sz w:val="24"/>
          <w:highlight w:val="none"/>
        </w:rPr>
        <w:t>.1项的要求在本表后附相关证</w:t>
      </w:r>
      <w:bookmarkStart w:id="428" w:name="_Toc520184752"/>
      <w:r>
        <w:rPr>
          <w:rFonts w:ascii="Times New Roman" w:hAnsi="Times New Roman"/>
          <w:color w:val="auto"/>
          <w:sz w:val="24"/>
          <w:highlight w:val="none"/>
        </w:rPr>
        <w:t>明材料。</w:t>
      </w:r>
      <w:bookmarkEnd w:id="428"/>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32"/>
          <w:szCs w:val="32"/>
          <w:highlight w:val="none"/>
        </w:rPr>
        <w:br w:type="page"/>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二</w:t>
      </w:r>
      <w:r>
        <w:rPr>
          <w:rFonts w:ascii="Times New Roman" w:hAnsi="Times New Roman"/>
          <w:b/>
          <w:bCs/>
          <w:color w:val="auto"/>
          <w:sz w:val="28"/>
          <w:szCs w:val="28"/>
          <w:highlight w:val="none"/>
        </w:rPr>
        <w:t>）近年完成的类似项目情况表（格式可自定）</w:t>
      </w:r>
    </w:p>
    <w:tbl>
      <w:tblPr>
        <w:tblStyle w:val="40"/>
        <w:tblW w:w="8522" w:type="dxa"/>
        <w:jc w:val="center"/>
        <w:tblLayout w:type="fixed"/>
        <w:tblCellMar>
          <w:top w:w="0" w:type="dxa"/>
          <w:left w:w="108" w:type="dxa"/>
          <w:bottom w:w="0" w:type="dxa"/>
          <w:right w:w="108" w:type="dxa"/>
        </w:tblCellMar>
      </w:tblPr>
      <w:tblGrid>
        <w:gridCol w:w="2269"/>
        <w:gridCol w:w="6253"/>
      </w:tblGrid>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项目名称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项目所在地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委托人名称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委托人地址</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委托人电话</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合同价格</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监理服务期限</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监理内容</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总监理工程师</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项目描述</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p>
            <w:pPr>
              <w:topLinePunct/>
              <w:spacing w:line="440" w:lineRule="exact"/>
              <w:rPr>
                <w:rFonts w:ascii="Times New Roman" w:hAnsi="Times New Roman"/>
                <w:color w:val="auto"/>
                <w:sz w:val="24"/>
                <w:highlight w:val="none"/>
              </w:rPr>
            </w:pPr>
          </w:p>
          <w:p>
            <w:pPr>
              <w:topLinePunct/>
              <w:spacing w:line="440" w:lineRule="exact"/>
              <w:rPr>
                <w:rFonts w:ascii="Times New Roman" w:hAnsi="Times New Roman"/>
                <w:color w:val="auto"/>
                <w:sz w:val="24"/>
                <w:highlight w:val="none"/>
              </w:rPr>
            </w:pPr>
          </w:p>
          <w:p>
            <w:pPr>
              <w:topLinePunct/>
              <w:spacing w:line="440" w:lineRule="exact"/>
              <w:rPr>
                <w:rFonts w:ascii="Times New Roman" w:hAnsi="Times New Roman"/>
                <w:color w:val="auto"/>
                <w:sz w:val="24"/>
                <w:highlight w:val="none"/>
              </w:rPr>
            </w:pPr>
          </w:p>
          <w:p>
            <w:pPr>
              <w:topLinePunct/>
              <w:spacing w:line="440" w:lineRule="exact"/>
              <w:rPr>
                <w:rFonts w:ascii="Times New Roman" w:hAnsi="Times New Roman"/>
                <w:color w:val="auto"/>
                <w:sz w:val="24"/>
                <w:highlight w:val="none"/>
              </w:rPr>
            </w:pPr>
          </w:p>
          <w:p>
            <w:pPr>
              <w:topLinePunct/>
              <w:spacing w:line="440" w:lineRule="exact"/>
              <w:rPr>
                <w:rFonts w:ascii="Times New Roman" w:hAnsi="Times New Roman"/>
                <w:color w:val="auto"/>
                <w:sz w:val="24"/>
                <w:highlight w:val="none"/>
              </w:rPr>
            </w:pPr>
          </w:p>
          <w:p>
            <w:pPr>
              <w:topLinePunct/>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253" w:type="dxa"/>
            <w:tcBorders>
              <w:top w:val="single" w:color="auto" w:sz="4" w:space="0"/>
              <w:left w:val="nil"/>
              <w:bottom w:val="single" w:color="auto" w:sz="4" w:space="0"/>
              <w:right w:val="single" w:color="auto" w:sz="4" w:space="0"/>
            </w:tcBorders>
          </w:tcPr>
          <w:p>
            <w:pPr>
              <w:topLinePunct/>
              <w:spacing w:line="440" w:lineRule="exact"/>
              <w:rPr>
                <w:rFonts w:ascii="Times New Roman" w:hAnsi="Times New Roman"/>
                <w:color w:val="auto"/>
                <w:sz w:val="24"/>
                <w:highlight w:val="none"/>
              </w:rPr>
            </w:pPr>
          </w:p>
        </w:tc>
      </w:tr>
    </w:tbl>
    <w:p>
      <w:pPr>
        <w:spacing w:line="440" w:lineRule="exact"/>
        <w:rPr>
          <w:rFonts w:ascii="Times New Roman" w:hAnsi="Times New Roman"/>
          <w:color w:val="auto"/>
          <w:sz w:val="24"/>
          <w:highlight w:val="none"/>
        </w:rPr>
      </w:pPr>
      <w:r>
        <w:rPr>
          <w:rFonts w:ascii="Times New Roman" w:hAnsi="Times New Roman"/>
          <w:color w:val="auto"/>
          <w:sz w:val="24"/>
          <w:highlight w:val="none"/>
        </w:rPr>
        <w:t>注：</w:t>
      </w:r>
      <w:r>
        <w:rPr>
          <w:rFonts w:hint="eastAsia" w:ascii="Times New Roman" w:hAnsi="Times New Roman"/>
          <w:color w:val="auto"/>
          <w:sz w:val="24"/>
          <w:highlight w:val="none"/>
        </w:rPr>
        <w:t>投标人应根据第三章评标办法前附表评分标准及说明的要求在本表后附相关证明材料。</w:t>
      </w:r>
    </w:p>
    <w:p>
      <w:pPr>
        <w:spacing w:line="440" w:lineRule="exact"/>
        <w:rPr>
          <w:rFonts w:ascii="Times New Roman" w:hAnsi="Times New Roman"/>
          <w:color w:val="auto"/>
          <w:sz w:val="24"/>
          <w:highlight w:val="none"/>
        </w:rPr>
      </w:pPr>
    </w:p>
    <w:p>
      <w:pPr>
        <w:spacing w:line="440" w:lineRule="exact"/>
        <w:rPr>
          <w:rFonts w:ascii="Times New Roman" w:hAnsi="Times New Roman"/>
          <w:color w:val="auto"/>
          <w:highlight w:val="none"/>
        </w:rPr>
      </w:pPr>
      <w:r>
        <w:rPr>
          <w:rFonts w:ascii="Times New Roman" w:hAnsi="Times New Roman"/>
          <w:color w:val="auto"/>
          <w:highlight w:val="none"/>
        </w:rPr>
        <w:t xml:space="preserve"> </w:t>
      </w:r>
    </w:p>
    <w:p>
      <w:pPr>
        <w:spacing w:line="440" w:lineRule="exact"/>
        <w:rPr>
          <w:rFonts w:ascii="Times New Roman" w:hAnsi="Times New Roman"/>
          <w:color w:val="auto"/>
          <w:highlight w:val="none"/>
        </w:rPr>
      </w:pPr>
    </w:p>
    <w:p>
      <w:pPr>
        <w:spacing w:line="440" w:lineRule="exact"/>
        <w:rPr>
          <w:rFonts w:ascii="Times New Roman" w:hAnsi="Times New Roman"/>
          <w:color w:val="auto"/>
          <w:sz w:val="24"/>
          <w:highlight w:val="none"/>
        </w:rPr>
      </w:pPr>
      <w:r>
        <w:rPr>
          <w:rFonts w:ascii="Times New Roman" w:hAnsi="Times New Roman"/>
          <w:b/>
          <w:bCs/>
          <w:color w:val="auto"/>
          <w:sz w:val="32"/>
          <w:szCs w:val="32"/>
          <w:highlight w:val="none"/>
        </w:rPr>
        <w:br w:type="page"/>
      </w:r>
    </w:p>
    <w:p>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三</w:t>
      </w:r>
      <w:r>
        <w:rPr>
          <w:rFonts w:ascii="Times New Roman" w:hAnsi="Times New Roman"/>
          <w:b/>
          <w:bCs/>
          <w:color w:val="auto"/>
          <w:sz w:val="28"/>
          <w:szCs w:val="28"/>
          <w:highlight w:val="none"/>
        </w:rPr>
        <w:t>）拟委任的主要人员汇总表（格式可自定）</w:t>
      </w:r>
    </w:p>
    <w:tbl>
      <w:tblPr>
        <w:tblStyle w:val="40"/>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468"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本项目任职</w:t>
            </w:r>
          </w:p>
        </w:tc>
        <w:tc>
          <w:tcPr>
            <w:tcW w:w="818"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707"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职称</w:t>
            </w:r>
          </w:p>
        </w:tc>
        <w:tc>
          <w:tcPr>
            <w:tcW w:w="870" w:type="dxa"/>
            <w:vMerge w:val="restart"/>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专业</w:t>
            </w:r>
          </w:p>
        </w:tc>
        <w:tc>
          <w:tcPr>
            <w:tcW w:w="3123"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执业或职业资格证明</w:t>
            </w:r>
          </w:p>
        </w:tc>
        <w:tc>
          <w:tcPr>
            <w:tcW w:w="1302"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r>
      <w:tr>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auto"/>
                <w:sz w:val="24"/>
                <w:highlight w:val="none"/>
              </w:rPr>
            </w:pPr>
          </w:p>
        </w:tc>
        <w:tc>
          <w:tcPr>
            <w:tcW w:w="146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auto"/>
                <w:sz w:val="24"/>
                <w:highlight w:val="none"/>
              </w:rPr>
            </w:pPr>
          </w:p>
        </w:tc>
        <w:tc>
          <w:tcPr>
            <w:tcW w:w="81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auto"/>
                <w:sz w:val="24"/>
                <w:highlight w:val="none"/>
              </w:rPr>
            </w:pPr>
          </w:p>
        </w:tc>
        <w:tc>
          <w:tcPr>
            <w:tcW w:w="70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auto"/>
                <w:sz w:val="24"/>
                <w:highlight w:val="none"/>
              </w:rPr>
            </w:pPr>
          </w:p>
        </w:tc>
        <w:tc>
          <w:tcPr>
            <w:tcW w:w="870"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证书名称</w:t>
            </w:r>
          </w:p>
        </w:tc>
        <w:tc>
          <w:tcPr>
            <w:tcW w:w="816"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级别</w:t>
            </w:r>
          </w:p>
        </w:tc>
        <w:tc>
          <w:tcPr>
            <w:tcW w:w="1002"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证号</w:t>
            </w:r>
          </w:p>
        </w:tc>
        <w:tc>
          <w:tcPr>
            <w:tcW w:w="1302"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pPr>
              <w:spacing w:line="440" w:lineRule="exact"/>
              <w:jc w:val="center"/>
              <w:rPr>
                <w:rFonts w:ascii="Times New Roman" w:hAnsi="Times New Roman"/>
                <w:color w:val="auto"/>
                <w:sz w:val="24"/>
                <w:highlight w:val="none"/>
              </w:rPr>
            </w:pPr>
          </w:p>
        </w:tc>
      </w:tr>
    </w:tbl>
    <w:p>
      <w:pPr>
        <w:spacing w:line="440" w:lineRule="exact"/>
        <w:rPr>
          <w:rFonts w:ascii="Times New Roman" w:hAnsi="Times New Roman"/>
          <w:color w:val="auto"/>
          <w:highlight w:val="none"/>
        </w:rPr>
      </w:pPr>
      <w:r>
        <w:rPr>
          <w:rFonts w:ascii="Times New Roman" w:hAnsi="Times New Roman"/>
          <w:color w:val="auto"/>
          <w:highlight w:val="none"/>
        </w:rPr>
        <w:t xml:space="preserve"> </w:t>
      </w:r>
    </w:p>
    <w:p>
      <w:pPr>
        <w:spacing w:line="440" w:lineRule="exact"/>
        <w:rPr>
          <w:rFonts w:ascii="Times New Roman" w:hAnsi="Times New Roman"/>
          <w:color w:val="auto"/>
          <w:highlight w:val="none"/>
        </w:rPr>
      </w:pPr>
      <w:r>
        <w:rPr>
          <w:rFonts w:ascii="Times New Roman" w:hAnsi="Times New Roman"/>
          <w:color w:val="auto"/>
          <w:highlight w:val="none"/>
        </w:rPr>
        <w:t xml:space="preserve">  </w:t>
      </w:r>
    </w:p>
    <w:p>
      <w:pPr>
        <w:spacing w:line="440" w:lineRule="exact"/>
        <w:rPr>
          <w:rFonts w:ascii="Times New Roman" w:hAnsi="Times New Roman"/>
          <w:color w:val="auto"/>
          <w:highlight w:val="none"/>
        </w:rPr>
      </w:pPr>
      <w:r>
        <w:rPr>
          <w:rFonts w:ascii="Times New Roman" w:hAnsi="Times New Roman"/>
          <w:color w:val="auto"/>
          <w:highlight w:val="none"/>
        </w:rPr>
        <w:t xml:space="preserve"> </w:t>
      </w:r>
    </w:p>
    <w:p>
      <w:pPr>
        <w:spacing w:line="440" w:lineRule="exact"/>
        <w:rPr>
          <w:rFonts w:ascii="Times New Roman" w:hAnsi="Times New Roman"/>
          <w:color w:val="auto"/>
          <w:highlight w:val="none"/>
        </w:rPr>
      </w:pPr>
      <w:r>
        <w:rPr>
          <w:rFonts w:ascii="Times New Roman" w:hAnsi="Times New Roman"/>
          <w:color w:val="auto"/>
          <w:highlight w:val="none"/>
        </w:rPr>
        <w:t xml:space="preserve"> </w:t>
      </w:r>
    </w:p>
    <w:p>
      <w:pPr>
        <w:pStyle w:val="31"/>
        <w:ind w:left="420"/>
        <w:rPr>
          <w:color w:val="auto"/>
          <w:highlight w:val="none"/>
        </w:rPr>
      </w:pPr>
    </w:p>
    <w:p>
      <w:pPr>
        <w:rPr>
          <w:rFonts w:ascii="Times New Roman" w:hAnsi="Times New Roman"/>
          <w:color w:val="auto"/>
          <w:highlight w:val="none"/>
        </w:rPr>
      </w:pPr>
    </w:p>
    <w:p>
      <w:pPr>
        <w:pStyle w:val="31"/>
        <w:ind w:left="420"/>
        <w:rPr>
          <w:color w:val="auto"/>
          <w:highlight w:val="none"/>
        </w:rPr>
      </w:pPr>
    </w:p>
    <w:p>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四</w:t>
      </w:r>
      <w:r>
        <w:rPr>
          <w:rFonts w:ascii="Times New Roman" w:hAnsi="Times New Roman"/>
          <w:b/>
          <w:bCs/>
          <w:color w:val="auto"/>
          <w:sz w:val="28"/>
          <w:szCs w:val="28"/>
          <w:highlight w:val="none"/>
        </w:rPr>
        <w:t>）主要人员简历表（格式可自定）</w:t>
      </w:r>
    </w:p>
    <w:p>
      <w:pPr>
        <w:topLinePunct/>
        <w:spacing w:line="440" w:lineRule="exact"/>
        <w:jc w:val="center"/>
        <w:rPr>
          <w:rFonts w:ascii="Times New Roman" w:hAnsi="Times New Roman"/>
          <w:color w:val="auto"/>
          <w:sz w:val="23"/>
          <w:szCs w:val="23"/>
          <w:highlight w:val="none"/>
        </w:rPr>
      </w:pPr>
      <w:r>
        <w:rPr>
          <w:rFonts w:ascii="Times New Roman" w:hAnsi="Times New Roman"/>
          <w:color w:val="auto"/>
          <w:sz w:val="23"/>
          <w:szCs w:val="23"/>
          <w:highlight w:val="none"/>
        </w:rPr>
        <w:t xml:space="preserve"> </w:t>
      </w:r>
    </w:p>
    <w:tbl>
      <w:tblPr>
        <w:tblStyle w:val="40"/>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姓  名</w:t>
            </w:r>
          </w:p>
        </w:tc>
        <w:tc>
          <w:tcPr>
            <w:tcW w:w="104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958"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年龄</w:t>
            </w:r>
          </w:p>
        </w:tc>
        <w:tc>
          <w:tcPr>
            <w:tcW w:w="1065"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执业资格证书（或上岗证书）名称</w:t>
            </w:r>
          </w:p>
        </w:tc>
        <w:tc>
          <w:tcPr>
            <w:tcW w:w="1896"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职  称</w:t>
            </w:r>
          </w:p>
        </w:tc>
        <w:tc>
          <w:tcPr>
            <w:tcW w:w="1048"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958"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学历</w:t>
            </w:r>
          </w:p>
        </w:tc>
        <w:tc>
          <w:tcPr>
            <w:tcW w:w="1065"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拟在本项目任职</w:t>
            </w:r>
          </w:p>
        </w:tc>
        <w:tc>
          <w:tcPr>
            <w:tcW w:w="1896"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工作年限</w:t>
            </w:r>
          </w:p>
        </w:tc>
        <w:tc>
          <w:tcPr>
            <w:tcW w:w="3071" w:type="dxa"/>
            <w:gridSpan w:val="4"/>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从事监理工作年限</w:t>
            </w:r>
          </w:p>
        </w:tc>
        <w:tc>
          <w:tcPr>
            <w:tcW w:w="1896" w:type="dxa"/>
            <w:tcBorders>
              <w:top w:val="single" w:color="auto" w:sz="4" w:space="0"/>
              <w:left w:val="nil"/>
              <w:bottom w:val="single" w:color="auto" w:sz="4" w:space="0"/>
              <w:right w:val="single" w:color="auto" w:sz="4" w:space="0"/>
            </w:tcBorders>
            <w:vAlign w:val="center"/>
          </w:tcPr>
          <w:p>
            <w:pPr>
              <w:spacing w:line="440" w:lineRule="exact"/>
              <w:jc w:val="center"/>
              <w:rPr>
                <w:rFonts w:ascii="Times New Roman" w:hAnsi="Times New Roman"/>
                <w:color w:val="auto"/>
                <w:sz w:val="24"/>
                <w:highlight w:val="none"/>
              </w:rPr>
            </w:pPr>
          </w:p>
        </w:tc>
      </w:tr>
      <w:tr>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毕业学校</w:t>
            </w:r>
          </w:p>
        </w:tc>
        <w:tc>
          <w:tcPr>
            <w:tcW w:w="7335" w:type="dxa"/>
            <w:gridSpan w:val="8"/>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ind w:firstLine="1320" w:firstLineChars="550"/>
              <w:rPr>
                <w:rFonts w:ascii="Times New Roman" w:hAnsi="Times New Roman"/>
                <w:color w:val="auto"/>
                <w:sz w:val="24"/>
                <w:highlight w:val="none"/>
              </w:rPr>
            </w:pPr>
            <w:r>
              <w:rPr>
                <w:rFonts w:ascii="Times New Roman" w:hAnsi="Times New Roman"/>
                <w:color w:val="auto"/>
                <w:sz w:val="24"/>
                <w:highlight w:val="none"/>
              </w:rPr>
              <w:t>年毕业于            学校        专业</w:t>
            </w:r>
          </w:p>
        </w:tc>
      </w:tr>
      <w:tr>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rPr>
                <w:rFonts w:ascii="Times New Roman" w:hAnsi="Times New Roman"/>
                <w:color w:val="auto"/>
                <w:sz w:val="24"/>
                <w:highlight w:val="none"/>
              </w:rPr>
            </w:pPr>
            <w:r>
              <w:rPr>
                <w:rFonts w:ascii="Times New Roman" w:hAnsi="Times New Roman"/>
                <w:color w:val="auto"/>
                <w:sz w:val="24"/>
                <w:highlight w:val="none"/>
              </w:rPr>
              <w:t>主要工作经历</w:t>
            </w:r>
          </w:p>
        </w:tc>
      </w:tr>
      <w:tr>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时  间</w:t>
            </w:r>
          </w:p>
        </w:tc>
        <w:tc>
          <w:tcPr>
            <w:tcW w:w="3420" w:type="dxa"/>
            <w:gridSpan w:val="4"/>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参加过的类似项目</w:t>
            </w:r>
          </w:p>
        </w:tc>
        <w:tc>
          <w:tcPr>
            <w:tcW w:w="1261" w:type="dxa"/>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担任职务</w:t>
            </w:r>
          </w:p>
        </w:tc>
        <w:tc>
          <w:tcPr>
            <w:tcW w:w="2297" w:type="dxa"/>
            <w:gridSpan w:val="2"/>
            <w:tcBorders>
              <w:top w:val="single" w:color="auto" w:sz="4" w:space="0"/>
              <w:left w:val="nil"/>
              <w:bottom w:val="single" w:color="auto" w:sz="4" w:space="0"/>
              <w:right w:val="single" w:color="auto" w:sz="4" w:space="0"/>
            </w:tcBorders>
            <w:vAlign w:val="center"/>
          </w:tcPr>
          <w:p>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委托人及联系电话</w:t>
            </w: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pPr>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r>
      <w:tr>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pPr>
              <w:spacing w:line="440" w:lineRule="exact"/>
              <w:rPr>
                <w:rFonts w:ascii="Times New Roman" w:hAnsi="Times New Roman"/>
                <w:color w:val="auto"/>
                <w:sz w:val="24"/>
                <w:highlight w:val="none"/>
              </w:rPr>
            </w:pPr>
          </w:p>
        </w:tc>
      </w:tr>
    </w:tbl>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w:t>
      </w:r>
      <w:r>
        <w:rPr>
          <w:rFonts w:hint="eastAsia"/>
          <w:color w:val="auto"/>
          <w:sz w:val="24"/>
          <w:szCs w:val="24"/>
          <w:highlight w:val="none"/>
        </w:rPr>
        <w:t>第三章评标办法前附表评分标准及说明</w:t>
      </w:r>
      <w:r>
        <w:rPr>
          <w:rFonts w:hint="eastAsia" w:ascii="宋体" w:hAnsi="宋体" w:cs="宋体"/>
          <w:color w:val="auto"/>
          <w:sz w:val="24"/>
          <w:szCs w:val="24"/>
          <w:highlight w:val="none"/>
        </w:rPr>
        <w:t>的要求在本表后附相关证明材料。</w:t>
      </w:r>
    </w:p>
    <w:p>
      <w:pPr>
        <w:spacing w:line="440" w:lineRule="exact"/>
        <w:rPr>
          <w:rFonts w:ascii="Times New Roman" w:hAnsi="Times New Roman"/>
          <w:color w:val="auto"/>
          <w:highlight w:val="none"/>
        </w:rPr>
      </w:pPr>
      <w:r>
        <w:rPr>
          <w:rFonts w:ascii="Times New Roman" w:hAnsi="Times New Roman"/>
          <w:color w:val="auto"/>
          <w:highlight w:val="none"/>
        </w:rPr>
        <w:t xml:space="preserve"> </w:t>
      </w:r>
    </w:p>
    <w:p>
      <w:pPr>
        <w:spacing w:line="440" w:lineRule="exact"/>
        <w:rPr>
          <w:rFonts w:ascii="Times New Roman" w:hAnsi="Times New Roman"/>
          <w:b/>
          <w:bCs/>
          <w:color w:val="auto"/>
          <w:highlight w:val="none"/>
        </w:rPr>
      </w:pPr>
      <w:r>
        <w:rPr>
          <w:rFonts w:ascii="Times New Roman" w:hAnsi="Times New Roman"/>
          <w:b/>
          <w:bCs/>
          <w:color w:val="auto"/>
          <w:highlight w:val="none"/>
        </w:rPr>
        <w:t xml:space="preserve">  </w:t>
      </w:r>
    </w:p>
    <w:p>
      <w:pPr>
        <w:spacing w:line="440" w:lineRule="exact"/>
        <w:rPr>
          <w:rFonts w:ascii="Times New Roman" w:hAnsi="Times New Roman"/>
          <w:b/>
          <w:bCs/>
          <w:color w:val="auto"/>
          <w:highlight w:val="none"/>
        </w:rPr>
      </w:pPr>
      <w:r>
        <w:rPr>
          <w:rFonts w:ascii="Times New Roman" w:hAnsi="Times New Roman"/>
          <w:b/>
          <w:bCs/>
          <w:color w:val="auto"/>
          <w:highlight w:val="none"/>
        </w:rPr>
        <w:t xml:space="preserve"> </w:t>
      </w:r>
    </w:p>
    <w:p>
      <w:pPr>
        <w:spacing w:line="440" w:lineRule="exact"/>
        <w:rPr>
          <w:rFonts w:ascii="Times New Roman" w:hAnsi="Times New Roman"/>
          <w:b/>
          <w:bCs/>
          <w:color w:val="auto"/>
          <w:highlight w:val="none"/>
        </w:rPr>
      </w:pPr>
      <w:r>
        <w:rPr>
          <w:rFonts w:ascii="Times New Roman" w:hAnsi="Times New Roman"/>
          <w:b/>
          <w:bCs/>
          <w:color w:val="auto"/>
          <w:highlight w:val="none"/>
        </w:rPr>
        <w:t xml:space="preserve"> </w:t>
      </w:r>
    </w:p>
    <w:p>
      <w:pPr>
        <w:pStyle w:val="31"/>
        <w:ind w:left="420"/>
        <w:rPr>
          <w:b/>
          <w:bCs/>
          <w:color w:val="auto"/>
          <w:highlight w:val="none"/>
        </w:rPr>
      </w:pPr>
    </w:p>
    <w:p>
      <w:pPr>
        <w:rPr>
          <w:rFonts w:ascii="Times New Roman" w:hAnsi="Times New Roman"/>
          <w:b/>
          <w:bCs/>
          <w:color w:val="auto"/>
          <w:highlight w:val="none"/>
        </w:rPr>
      </w:pPr>
    </w:p>
    <w:p>
      <w:pPr>
        <w:pStyle w:val="31"/>
        <w:ind w:left="420"/>
        <w:rPr>
          <w:color w:val="auto"/>
          <w:highlight w:val="none"/>
        </w:rPr>
      </w:pPr>
    </w:p>
    <w:p>
      <w:pPr>
        <w:spacing w:before="20" w:line="415" w:lineRule="auto"/>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五</w:t>
      </w:r>
      <w:r>
        <w:rPr>
          <w:rFonts w:ascii="Times New Roman" w:hAnsi="Times New Roman"/>
          <w:b/>
          <w:bCs/>
          <w:color w:val="auto"/>
          <w:sz w:val="28"/>
          <w:szCs w:val="28"/>
          <w:highlight w:val="none"/>
        </w:rPr>
        <w:t>）拟投入本项目的主要试验检测仪器设备表（格式可自定）</w:t>
      </w:r>
    </w:p>
    <w:p>
      <w:pPr>
        <w:ind w:firstLine="482" w:firstLineChars="200"/>
        <w:jc w:val="center"/>
        <w:rPr>
          <w:rFonts w:ascii="宋体" w:hAnsi="宋体" w:cs="楷体"/>
          <w:b/>
          <w:color w:val="auto"/>
          <w:kern w:val="0"/>
          <w:sz w:val="24"/>
          <w:highlight w:val="none"/>
        </w:rPr>
      </w:pPr>
      <w:r>
        <w:rPr>
          <w:rFonts w:ascii="宋体" w:hAnsi="宋体" w:cs="楷体"/>
          <w:b/>
          <w:color w:val="auto"/>
          <w:kern w:val="0"/>
          <w:sz w:val="24"/>
          <w:highlight w:val="none"/>
        </w:rPr>
        <w:t>工程项目监理</w:t>
      </w:r>
      <w:r>
        <w:rPr>
          <w:rFonts w:hint="eastAsia" w:ascii="宋体" w:hAnsi="宋体" w:cs="楷体"/>
          <w:b/>
          <w:color w:val="auto"/>
          <w:kern w:val="0"/>
          <w:sz w:val="24"/>
          <w:highlight w:val="none"/>
        </w:rPr>
        <w:t>试验检测仪器设备</w:t>
      </w:r>
      <w:r>
        <w:rPr>
          <w:rFonts w:ascii="宋体" w:hAnsi="宋体" w:cs="楷体"/>
          <w:b/>
          <w:color w:val="auto"/>
          <w:kern w:val="0"/>
          <w:sz w:val="24"/>
          <w:highlight w:val="none"/>
        </w:rPr>
        <w:t>配置表</w:t>
      </w:r>
    </w:p>
    <w:tbl>
      <w:tblPr>
        <w:tblStyle w:val="4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83"/>
        <w:gridCol w:w="1506"/>
        <w:gridCol w:w="1628"/>
        <w:gridCol w:w="202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r>
              <w:rPr>
                <w:rFonts w:hint="eastAsia" w:ascii="宋体" w:hAnsi="宋体" w:cs="MingLiU"/>
                <w:color w:val="auto"/>
                <w:sz w:val="24"/>
                <w:szCs w:val="24"/>
                <w:highlight w:val="none"/>
              </w:rPr>
              <w:t>序号</w:t>
            </w: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r>
              <w:rPr>
                <w:rFonts w:hint="eastAsia" w:ascii="宋体" w:hAnsi="宋体" w:cs="MingLiU"/>
                <w:color w:val="auto"/>
                <w:sz w:val="24"/>
                <w:szCs w:val="24"/>
                <w:highlight w:val="none"/>
              </w:rPr>
              <w:t>名称</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r>
              <w:rPr>
                <w:rFonts w:hint="eastAsia" w:ascii="宋体" w:hAnsi="宋体" w:cs="MingLiU"/>
                <w:color w:val="auto"/>
                <w:sz w:val="24"/>
                <w:szCs w:val="24"/>
                <w:highlight w:val="none"/>
              </w:rPr>
              <w:t>型号、规格</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r>
              <w:rPr>
                <w:rFonts w:hint="eastAsia" w:ascii="宋体" w:hAnsi="宋体" w:cs="MingLiU"/>
                <w:color w:val="auto"/>
                <w:sz w:val="24"/>
                <w:szCs w:val="24"/>
                <w:highlight w:val="none"/>
              </w:rPr>
              <w:t>数  量</w:t>
            </w: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r>
              <w:rPr>
                <w:rFonts w:hint="eastAsia" w:ascii="宋体" w:hAnsi="宋体" w:cs="MingLiU"/>
                <w:color w:val="auto"/>
                <w:sz w:val="24"/>
                <w:szCs w:val="24"/>
                <w:highlight w:val="none"/>
              </w:rPr>
              <w:t>进场时间/退场时间</w:t>
            </w: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r>
              <w:rPr>
                <w:rFonts w:hint="eastAsia" w:ascii="宋体" w:hAnsi="宋体" w:cs="MingLiU"/>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MingLiU"/>
                <w:color w:val="auto"/>
                <w:sz w:val="24"/>
                <w:szCs w:val="24"/>
                <w:highlight w:val="none"/>
              </w:rPr>
            </w:pPr>
          </w:p>
        </w:tc>
      </w:tr>
    </w:tbl>
    <w:p>
      <w:pPr>
        <w:spacing w:line="360" w:lineRule="auto"/>
        <w:ind w:firstLine="420" w:firstLineChars="200"/>
        <w:rPr>
          <w:rFonts w:ascii="宋体" w:hAnsi="宋体"/>
          <w:color w:val="auto"/>
          <w:highlight w:val="none"/>
          <w:lang w:bidi="mn-Mong-CN"/>
        </w:rPr>
      </w:pPr>
      <w:r>
        <w:rPr>
          <w:rFonts w:hint="eastAsia" w:ascii="宋体" w:hAnsi="宋体"/>
          <w:color w:val="auto"/>
          <w:highlight w:val="none"/>
          <w:lang w:bidi="mn-Mong-CN"/>
        </w:rPr>
        <w:t>注：如中标单位投标阶段配备未完全满足要求的，不作为无效标，但须在中标后签合同前按上表要求配备齐全。</w:t>
      </w:r>
    </w:p>
    <w:p>
      <w:pPr>
        <w:topLinePunct/>
        <w:spacing w:line="360" w:lineRule="auto"/>
        <w:ind w:firstLine="496" w:firstLineChars="200"/>
        <w:rPr>
          <w:rFonts w:ascii="Times New Roman" w:hAnsi="Times New Roman"/>
          <w:color w:val="auto"/>
          <w:spacing w:val="4"/>
          <w:sz w:val="24"/>
          <w:highlight w:val="none"/>
        </w:rPr>
      </w:pPr>
    </w:p>
    <w:p>
      <w:pPr>
        <w:topLinePunct/>
        <w:spacing w:line="360" w:lineRule="auto"/>
        <w:rPr>
          <w:rFonts w:ascii="Times New Roman" w:hAnsi="Times New Roman"/>
          <w:color w:val="auto"/>
          <w:spacing w:val="4"/>
          <w:sz w:val="24"/>
          <w:highlight w:val="none"/>
        </w:rPr>
      </w:pPr>
      <w:r>
        <w:rPr>
          <w:rFonts w:ascii="Times New Roman" w:hAnsi="Times New Roman"/>
          <w:color w:val="auto"/>
          <w:spacing w:val="4"/>
          <w:sz w:val="24"/>
          <w:highlight w:val="none"/>
        </w:rPr>
        <w:t>投  标  单  位（盖章）：</w:t>
      </w:r>
    </w:p>
    <w:p>
      <w:pPr>
        <w:topLinePunct/>
        <w:spacing w:line="360" w:lineRule="auto"/>
        <w:rPr>
          <w:rFonts w:ascii="Times New Roman" w:hAnsi="Times New Roman"/>
          <w:color w:val="auto"/>
          <w:spacing w:val="18"/>
          <w:sz w:val="24"/>
          <w:highlight w:val="none"/>
        </w:rPr>
      </w:pPr>
      <w:r>
        <w:rPr>
          <w:rFonts w:ascii="Times New Roman" w:hAnsi="Times New Roman"/>
          <w:color w:val="auto"/>
          <w:spacing w:val="4"/>
          <w:sz w:val="24"/>
          <w:highlight w:val="none"/>
        </w:rPr>
        <w:t>法定代表人或授权委托人（签名或盖章）</w:t>
      </w:r>
      <w:r>
        <w:rPr>
          <w:rFonts w:ascii="Times New Roman" w:hAnsi="Times New Roman"/>
          <w:color w:val="auto"/>
          <w:spacing w:val="18"/>
          <w:sz w:val="24"/>
          <w:highlight w:val="none"/>
        </w:rPr>
        <w:t xml:space="preserve">：            </w:t>
      </w:r>
    </w:p>
    <w:p>
      <w:pPr>
        <w:topLinePunct/>
        <w:spacing w:line="360" w:lineRule="auto"/>
        <w:rPr>
          <w:rFonts w:ascii="Times New Roman" w:hAnsi="Times New Roman"/>
          <w:color w:val="auto"/>
          <w:spacing w:val="18"/>
          <w:sz w:val="24"/>
          <w:highlight w:val="none"/>
        </w:rPr>
      </w:pPr>
      <w:r>
        <w:rPr>
          <w:rFonts w:ascii="Times New Roman" w:hAnsi="Times New Roman"/>
          <w:color w:val="auto"/>
          <w:spacing w:val="18"/>
          <w:sz w:val="24"/>
          <w:highlight w:val="none"/>
        </w:rPr>
        <w:t xml:space="preserve">日期：   年  月  日 </w:t>
      </w:r>
    </w:p>
    <w:p>
      <w:pPr>
        <w:topLinePunct/>
        <w:spacing w:line="360" w:lineRule="auto"/>
        <w:rPr>
          <w:rFonts w:ascii="Times New Roman" w:hAnsi="Times New Roman"/>
          <w:b/>
          <w:bCs/>
          <w:color w:val="auto"/>
          <w:sz w:val="28"/>
          <w:szCs w:val="28"/>
          <w:highlight w:val="none"/>
        </w:rPr>
      </w:pPr>
      <w:r>
        <w:rPr>
          <w:rFonts w:ascii="Times New Roman" w:hAnsi="Times New Roman"/>
          <w:color w:val="auto"/>
          <w:spacing w:val="18"/>
          <w:sz w:val="36"/>
          <w:szCs w:val="36"/>
          <w:highlight w:val="none"/>
        </w:rPr>
        <w:t xml:space="preserve"> </w:t>
      </w:r>
      <w:r>
        <w:rPr>
          <w:rFonts w:hint="eastAsia" w:ascii="等线" w:hAnsi="等线" w:eastAsia="等线" w:cs="等线"/>
          <w:color w:val="auto"/>
          <w:spacing w:val="18"/>
          <w:sz w:val="36"/>
          <w:szCs w:val="36"/>
          <w:highlight w:val="none"/>
        </w:rPr>
        <w:t>★</w:t>
      </w:r>
      <w:r>
        <w:rPr>
          <w:rFonts w:hint="eastAsia" w:ascii="Times New Roman" w:hAnsi="Times New Roman"/>
          <w:b/>
          <w:bCs/>
          <w:color w:val="auto"/>
          <w:sz w:val="28"/>
          <w:szCs w:val="28"/>
          <w:highlight w:val="none"/>
        </w:rPr>
        <w:t>五、</w:t>
      </w:r>
      <w:r>
        <w:rPr>
          <w:rFonts w:ascii="Times New Roman" w:hAnsi="Times New Roman"/>
          <w:b/>
          <w:bCs/>
          <w:color w:val="auto"/>
          <w:sz w:val="28"/>
          <w:szCs w:val="28"/>
          <w:highlight w:val="none"/>
        </w:rPr>
        <w:t>投标人声明格式</w:t>
      </w:r>
    </w:p>
    <w:p>
      <w:pPr>
        <w:topLinePunct/>
        <w:spacing w:line="360" w:lineRule="auto"/>
        <w:rPr>
          <w:rFonts w:ascii="Times New Roman" w:hAnsi="Times New Roman"/>
          <w:color w:val="auto"/>
          <w:spacing w:val="18"/>
          <w:sz w:val="24"/>
          <w:highlight w:val="none"/>
        </w:rPr>
      </w:pPr>
      <w:r>
        <w:rPr>
          <w:rFonts w:ascii="Times New Roman" w:hAnsi="Times New Roman"/>
          <w:color w:val="auto"/>
          <w:spacing w:val="18"/>
          <w:sz w:val="24"/>
          <w:highlight w:val="none"/>
        </w:rPr>
        <w:t xml:space="preserve"> </w:t>
      </w:r>
      <w:r>
        <w:rPr>
          <w:rFonts w:hint="eastAsia" w:ascii="Times New Roman" w:hAnsi="Times New Roman"/>
          <w:snapToGrid w:val="0"/>
          <w:color w:val="auto"/>
          <w:spacing w:val="4"/>
          <w:kern w:val="0"/>
          <w:sz w:val="24"/>
          <w:highlight w:val="none"/>
        </w:rPr>
        <w:t>（格式详见招标公告附件一）</w:t>
      </w:r>
    </w:p>
    <w:p>
      <w:pPr>
        <w:pStyle w:val="4"/>
        <w:spacing w:line="600" w:lineRule="auto"/>
        <w:jc w:val="center"/>
        <w:rPr>
          <w:rFonts w:ascii="Times New Roman" w:hAnsi="Times New Roman"/>
          <w:color w:val="auto"/>
          <w:sz w:val="30"/>
          <w:szCs w:val="30"/>
          <w:highlight w:val="none"/>
        </w:rPr>
      </w:pPr>
      <w:r>
        <w:rPr>
          <w:rFonts w:ascii="Times New Roman" w:hAnsi="Times New Roman"/>
          <w:b w:val="0"/>
          <w:bCs w:val="0"/>
          <w:color w:val="auto"/>
          <w:sz w:val="24"/>
          <w:szCs w:val="24"/>
          <w:highlight w:val="none"/>
        </w:rPr>
        <w:br w:type="page"/>
      </w:r>
      <w:bookmarkEnd w:id="426"/>
      <w:bookmarkStart w:id="429" w:name="_Toc530470651"/>
      <w:bookmarkStart w:id="430" w:name="_Toc535938758"/>
      <w:bookmarkStart w:id="431" w:name="_Toc529196610"/>
      <w:r>
        <w:rPr>
          <w:rFonts w:hint="eastAsia" w:ascii="Times New Roman" w:hAnsi="Times New Roman"/>
          <w:color w:val="auto"/>
          <w:sz w:val="30"/>
          <w:szCs w:val="30"/>
          <w:highlight w:val="none"/>
        </w:rPr>
        <w:t>六</w:t>
      </w:r>
      <w:r>
        <w:rPr>
          <w:rFonts w:ascii="Times New Roman" w:hAnsi="Times New Roman"/>
          <w:color w:val="auto"/>
          <w:sz w:val="30"/>
          <w:szCs w:val="30"/>
          <w:highlight w:val="none"/>
        </w:rPr>
        <w:t>、</w:t>
      </w:r>
      <w:r>
        <w:rPr>
          <w:rFonts w:hint="eastAsia" w:ascii="Times New Roman" w:hAnsi="Times New Roman"/>
          <w:color w:val="auto"/>
          <w:sz w:val="30"/>
          <w:szCs w:val="30"/>
          <w:highlight w:val="none"/>
        </w:rPr>
        <w:t>监理服务</w:t>
      </w:r>
      <w:r>
        <w:rPr>
          <w:rFonts w:ascii="Times New Roman" w:hAnsi="Times New Roman"/>
          <w:color w:val="auto"/>
          <w:sz w:val="30"/>
          <w:szCs w:val="30"/>
          <w:highlight w:val="none"/>
        </w:rPr>
        <w:t>大纲</w:t>
      </w:r>
      <w:bookmarkEnd w:id="429"/>
      <w:bookmarkEnd w:id="430"/>
      <w:bookmarkEnd w:id="431"/>
    </w:p>
    <w:p>
      <w:pPr>
        <w:spacing w:line="360" w:lineRule="auto"/>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监理服务大纲</w:t>
      </w:r>
    </w:p>
    <w:p>
      <w:pPr>
        <w:spacing w:line="360" w:lineRule="auto"/>
        <w:ind w:firstLine="542" w:firstLineChars="226"/>
        <w:rPr>
          <w:rFonts w:ascii="Times New Roman" w:hAnsi="Times New Roman"/>
          <w:color w:val="auto"/>
          <w:sz w:val="24"/>
          <w:highlight w:val="none"/>
        </w:rPr>
      </w:pPr>
      <w:r>
        <w:rPr>
          <w:rFonts w:hint="eastAsia" w:ascii="Times New Roman" w:hAnsi="Times New Roman"/>
          <w:color w:val="auto"/>
          <w:sz w:val="24"/>
          <w:highlight w:val="none"/>
        </w:rPr>
        <w:t>监理服务</w:t>
      </w:r>
      <w:r>
        <w:rPr>
          <w:rFonts w:ascii="Times New Roman" w:hAnsi="Times New Roman"/>
          <w:color w:val="auto"/>
          <w:sz w:val="24"/>
          <w:highlight w:val="none"/>
        </w:rPr>
        <w:t>大纲应包括（但不限于）下列内容：</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一、监理工程概况；</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二、</w:t>
      </w:r>
      <w:r>
        <w:rPr>
          <w:rFonts w:hint="eastAsia" w:ascii="Times New Roman" w:hAnsi="Times New Roman"/>
          <w:color w:val="auto"/>
          <w:sz w:val="24"/>
          <w:highlight w:val="none"/>
        </w:rPr>
        <w:t>服务</w:t>
      </w:r>
      <w:r>
        <w:rPr>
          <w:rFonts w:ascii="Times New Roman" w:hAnsi="Times New Roman"/>
          <w:color w:val="auto"/>
          <w:sz w:val="24"/>
          <w:highlight w:val="none"/>
        </w:rPr>
        <w:t>范围、</w:t>
      </w:r>
      <w:r>
        <w:rPr>
          <w:rFonts w:hint="eastAsia" w:ascii="Times New Roman" w:hAnsi="Times New Roman"/>
          <w:color w:val="auto"/>
          <w:sz w:val="24"/>
          <w:highlight w:val="none"/>
        </w:rPr>
        <w:t>服务</w:t>
      </w:r>
      <w:r>
        <w:rPr>
          <w:rFonts w:ascii="Times New Roman" w:hAnsi="Times New Roman"/>
          <w:color w:val="auto"/>
          <w:sz w:val="24"/>
          <w:highlight w:val="none"/>
        </w:rPr>
        <w:t>内容；</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三、监理依据、监理工作目标；</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四、监理机构设置（</w:t>
      </w:r>
      <w:r>
        <w:rPr>
          <w:rFonts w:hint="eastAsia" w:ascii="Times New Roman" w:hAnsi="Times New Roman"/>
          <w:color w:val="auto"/>
          <w:sz w:val="24"/>
          <w:highlight w:val="none"/>
        </w:rPr>
        <w:t>监理组织架构框图</w:t>
      </w:r>
      <w:r>
        <w:rPr>
          <w:rFonts w:ascii="Times New Roman" w:hAnsi="Times New Roman"/>
          <w:color w:val="auto"/>
          <w:sz w:val="24"/>
          <w:highlight w:val="none"/>
        </w:rPr>
        <w:t>）、岗位职责；</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五、监理工作程序、方法和制度；</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六、拟投入的监理人员、试验检测仪器设备；</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七、质量、进度、造价、安全、环保监理措施；</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八、合同、信息管理方案；</w:t>
      </w:r>
    </w:p>
    <w:p>
      <w:pPr>
        <w:spacing w:line="360" w:lineRule="auto"/>
        <w:ind w:firstLine="542" w:firstLineChars="226"/>
        <w:rPr>
          <w:rFonts w:ascii="Times New Roman" w:hAnsi="Times New Roman"/>
          <w:color w:val="auto"/>
          <w:sz w:val="24"/>
          <w:highlight w:val="none"/>
        </w:rPr>
      </w:pPr>
      <w:r>
        <w:rPr>
          <w:rFonts w:hint="eastAsia" w:ascii="Times New Roman" w:hAnsi="Times New Roman"/>
          <w:color w:val="auto"/>
          <w:sz w:val="24"/>
          <w:highlight w:val="none"/>
        </w:rPr>
        <w:t>九</w:t>
      </w:r>
      <w:r>
        <w:rPr>
          <w:rFonts w:ascii="Times New Roman" w:hAnsi="Times New Roman"/>
          <w:color w:val="auto"/>
          <w:sz w:val="24"/>
          <w:highlight w:val="none"/>
        </w:rPr>
        <w:t>、组织协调内容及措施；</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十、监理工作重点、难点分析；</w:t>
      </w:r>
    </w:p>
    <w:p>
      <w:pPr>
        <w:spacing w:line="360" w:lineRule="auto"/>
        <w:ind w:firstLine="542" w:firstLineChars="226"/>
        <w:rPr>
          <w:rFonts w:ascii="Times New Roman" w:hAnsi="Times New Roman"/>
          <w:color w:val="auto"/>
          <w:sz w:val="24"/>
          <w:highlight w:val="none"/>
        </w:rPr>
      </w:pPr>
      <w:r>
        <w:rPr>
          <w:rFonts w:ascii="Times New Roman" w:hAnsi="Times New Roman"/>
          <w:color w:val="auto"/>
          <w:sz w:val="24"/>
          <w:highlight w:val="none"/>
        </w:rPr>
        <w:t>十</w:t>
      </w:r>
      <w:r>
        <w:rPr>
          <w:rFonts w:hint="eastAsia" w:ascii="Times New Roman" w:hAnsi="Times New Roman"/>
          <w:color w:val="auto"/>
          <w:sz w:val="24"/>
          <w:highlight w:val="none"/>
        </w:rPr>
        <w:t>一</w:t>
      </w:r>
      <w:r>
        <w:rPr>
          <w:rFonts w:ascii="Times New Roman" w:hAnsi="Times New Roman"/>
          <w:color w:val="auto"/>
          <w:sz w:val="24"/>
          <w:highlight w:val="none"/>
        </w:rPr>
        <w:t>、对本工程监理的合理化建议。</w:t>
      </w: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pStyle w:val="4"/>
        <w:spacing w:line="480" w:lineRule="auto"/>
        <w:rPr>
          <w:rFonts w:ascii="Times New Roman" w:hAnsi="Times New Roman"/>
          <w:color w:val="auto"/>
          <w:sz w:val="30"/>
          <w:szCs w:val="30"/>
          <w:highlight w:val="none"/>
        </w:rPr>
      </w:pPr>
      <w:bookmarkStart w:id="432" w:name="_Toc530470652"/>
      <w:bookmarkStart w:id="433" w:name="_Toc529196611"/>
      <w:r>
        <w:rPr>
          <w:rFonts w:ascii="Times New Roman" w:hAnsi="Times New Roman"/>
          <w:color w:val="auto"/>
          <w:highlight w:val="none"/>
        </w:rPr>
        <w:br w:type="page"/>
      </w:r>
      <w:bookmarkStart w:id="434" w:name="_Toc535938759"/>
      <w:r>
        <w:rPr>
          <w:rFonts w:hint="eastAsia" w:ascii="Times New Roman" w:hAnsi="Times New Roman"/>
          <w:color w:val="auto"/>
          <w:sz w:val="30"/>
          <w:szCs w:val="30"/>
          <w:highlight w:val="none"/>
        </w:rPr>
        <w:t>七、其他资料</w:t>
      </w:r>
      <w:bookmarkEnd w:id="432"/>
      <w:bookmarkEnd w:id="433"/>
      <w:bookmarkEnd w:id="434"/>
    </w:p>
    <w:p>
      <w:pPr>
        <w:topLinePunct/>
        <w:spacing w:line="360" w:lineRule="auto"/>
        <w:rPr>
          <w:rFonts w:hint="eastAsia" w:ascii="宋体" w:hAnsi="宋体" w:eastAsia="宋体" w:cs="宋体"/>
          <w:snapToGrid w:val="0"/>
          <w:color w:val="auto"/>
          <w:spacing w:val="18"/>
          <w:sz w:val="28"/>
          <w:szCs w:val="28"/>
          <w:highlight w:val="none"/>
        </w:rPr>
      </w:pPr>
      <w:bookmarkStart w:id="435" w:name="_Toc530470660"/>
      <w:bookmarkStart w:id="436" w:name="_Toc535938767"/>
      <w:r>
        <w:rPr>
          <w:rFonts w:hint="eastAsia" w:ascii="宋体" w:hAnsi="宋体" w:eastAsia="宋体" w:cs="宋体"/>
          <w:b/>
          <w:bCs/>
          <w:color w:val="auto"/>
          <w:sz w:val="28"/>
          <w:szCs w:val="28"/>
          <w:highlight w:val="none"/>
        </w:rPr>
        <w:t>其他资料应包括（但不限制于）以下内容：</w:t>
      </w:r>
    </w:p>
    <w:p>
      <w:pPr>
        <w:spacing w:line="360" w:lineRule="auto"/>
        <w:jc w:val="left"/>
        <w:rPr>
          <w:rFonts w:hint="eastAsia" w:ascii="宋体" w:hAnsi="宋体" w:eastAsia="宋体" w:cs="宋体"/>
          <w:b/>
          <w:color w:val="auto"/>
          <w:szCs w:val="21"/>
          <w:highlight w:val="none"/>
        </w:rPr>
      </w:pPr>
      <w:bookmarkStart w:id="437" w:name="_Toc535938766"/>
      <w:bookmarkStart w:id="438" w:name="_Toc530470659"/>
      <w:r>
        <w:rPr>
          <w:rFonts w:hint="eastAsia" w:ascii="宋体" w:hAnsi="宋体" w:eastAsia="宋体" w:cs="宋体"/>
          <w:b/>
          <w:color w:val="auto"/>
          <w:sz w:val="28"/>
          <w:szCs w:val="28"/>
          <w:highlight w:val="none"/>
        </w:rPr>
        <w:t>①监理项目管理团队人员信息表</w:t>
      </w:r>
      <w:bookmarkEnd w:id="437"/>
      <w:bookmarkEnd w:id="438"/>
    </w:p>
    <w:p>
      <w:pPr>
        <w:spacing w:line="360" w:lineRule="auto"/>
        <w:rPr>
          <w:rFonts w:hint="eastAsia" w:ascii="宋体" w:hAnsi="宋体" w:eastAsia="宋体" w:cs="宋体"/>
          <w:color w:val="auto"/>
          <w:highlight w:val="none"/>
        </w:rPr>
      </w:pPr>
      <w:r>
        <w:rPr>
          <w:rFonts w:hint="eastAsia" w:ascii="宋体" w:hAnsi="宋体" w:eastAsia="宋体" w:cs="宋体"/>
          <w:b/>
          <w:color w:val="auto"/>
          <w:sz w:val="28"/>
          <w:szCs w:val="28"/>
          <w:highlight w:val="none"/>
        </w:rPr>
        <w:t>②投标人认为需要提供的资料（如有）。</w:t>
      </w:r>
    </w:p>
    <w:bookmarkEnd w:id="435"/>
    <w:bookmarkEnd w:id="436"/>
    <w:p>
      <w:pPr>
        <w:spacing w:line="360" w:lineRule="auto"/>
        <w:rPr>
          <w:rFonts w:ascii="Times New Roman" w:hAnsi="Times New Roman"/>
          <w:color w:val="auto"/>
          <w:highlight w:val="none"/>
        </w:rPr>
      </w:pPr>
    </w:p>
    <w:sectPr>
      <w:headerReference r:id="rId10" w:type="first"/>
      <w:footerReference r:id="rId13" w:type="first"/>
      <w:footerReference r:id="rId11" w:type="default"/>
      <w:footerReference r:id="rId12" w:type="even"/>
      <w:pgSz w:w="11906" w:h="16838"/>
      <w:pgMar w:top="1134" w:right="1274" w:bottom="1440" w:left="1797" w:header="709" w:footer="709" w:gutter="0"/>
      <w:cols w:space="720" w:num="1"/>
      <w:titlePg/>
      <w:docGrid w:type="lines"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幼圆">
    <w:altName w:val="宋体"/>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29</w:t>
    </w:r>
    <w:r>
      <w:rPr>
        <w:lang w:val="zh-CN"/>
      </w:rPr>
      <w:fldChar w:fldCharType="end"/>
    </w:r>
  </w:p>
  <w:p>
    <w:pPr>
      <w:pStyle w:val="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rPr>
        <w:lang w:val="zh-CN"/>
      </w:rPr>
      <w:fldChar w:fldCharType="end"/>
    </w:r>
  </w:p>
  <w:p>
    <w:pPr>
      <w:pStyle w:val="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文本框 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3E0nfFAQAAmwMAAA4AAAAAAAAAAQAgAAAAHgEAAGRycy9lMm9Eb2MueG1s&#10;UEsFBgAAAAAGAAYAWQEAAFUFAAAAAA==&#10;">
          <v:path/>
          <v:fill on="f" focussize="0,0"/>
          <v:stroke on="f" joinstyle="miter"/>
          <v:imagedata o:title=""/>
          <o:lock v:ext="edit"/>
          <v:textbox inset="0mm,0mm,0mm,0mm" style="mso-fit-shape-to-text:t;">
            <w:txbxContent>
              <w:p>
                <w:pPr>
                  <w:pStyle w:val="2"/>
                  <w:jc w:val="center"/>
                </w:pPr>
                <w:r>
                  <w:fldChar w:fldCharType="begin"/>
                </w:r>
                <w:r>
                  <w:instrText xml:space="preserve"> PAGE   \* MERGEFORMAT </w:instrText>
                </w:r>
                <w:r>
                  <w:fldChar w:fldCharType="separate"/>
                </w:r>
                <w:r>
                  <w:rPr>
                    <w:lang w:val="zh-CN"/>
                  </w:rPr>
                  <w:t>47</w:t>
                </w:r>
                <w:r>
                  <w:rPr>
                    <w:lang w:val="zh-CN"/>
                  </w:rPr>
                  <w:fldChar w:fldCharType="end"/>
                </w:r>
              </w:p>
            </w:txbxContent>
          </v:textbox>
        </v:shape>
      </w:pic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jc w:val="center"/>
    </w:pPr>
    <w:r>
      <w:fldChar w:fldCharType="begin"/>
    </w:r>
    <w:r>
      <w:instrText xml:space="preserve">PAGE   \* MERGEFORMAT</w:instrText>
    </w:r>
    <w:r>
      <w:fldChar w:fldCharType="separate"/>
    </w:r>
    <w:r>
      <w:rPr>
        <w:lang w:val="zh-CN"/>
      </w:rPr>
      <w:t>56</w:t>
    </w:r>
    <w:r>
      <w:rPr>
        <w:lang w:val="zh-CN"/>
      </w:rPr>
      <w:fldChar w:fldCharType="end"/>
    </w:r>
  </w:p>
  <w:p>
    <w:pPr>
      <w:pStyle w:val="2"/>
      <w:framePr w:wrap="around" w:vAnchor="text" w:hAnchor="margin" w:xAlign="right" w:y="1"/>
      <w:rPr>
        <w:rStyle w:val="4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t xml:space="preserve"> PAGE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rPsscBAACb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prPsscBAACbAwAADgAAAAAAAAABACAAAAAeAQAAZHJzL2Uyb0RvYy54&#10;bWxQSwUGAAAAAAYABgBZAQAAVwU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48</w:t>
                </w:r>
                <w:r>
                  <w:fldChar w:fldCharType="end"/>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left="420"/>
      <w:jc w:val="right"/>
      <w:rPr>
        <w:b/>
        <w:bCs/>
        <w:sz w:val="24"/>
        <w:szCs w:val="24"/>
      </w:rPr>
    </w:pPr>
  </w:p>
  <w:p>
    <w:pPr>
      <w:pStyle w:val="30"/>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0BA18"/>
    <w:multiLevelType w:val="singleLevel"/>
    <w:tmpl w:val="BBA0BA18"/>
    <w:lvl w:ilvl="0" w:tentative="0">
      <w:start w:val="5"/>
      <w:numFmt w:val="chineseCounting"/>
      <w:suff w:val="space"/>
      <w:lvlText w:val="第%1章"/>
      <w:lvlJc w:val="left"/>
      <w:rPr>
        <w:rFonts w:hint="eastAsia"/>
      </w:rPr>
    </w:lvl>
  </w:abstractNum>
  <w:abstractNum w:abstractNumId="1">
    <w:nsid w:val="2A9038C2"/>
    <w:multiLevelType w:val="singleLevel"/>
    <w:tmpl w:val="2A9038C2"/>
    <w:lvl w:ilvl="0" w:tentative="0">
      <w:start w:val="1"/>
      <w:numFmt w:val="decimal"/>
      <w:suff w:val="nothing"/>
      <w:lvlText w:val="%1、"/>
      <w:lvlJc w:val="left"/>
    </w:lvl>
  </w:abstractNum>
  <w:abstractNum w:abstractNumId="2">
    <w:nsid w:val="58E7E388"/>
    <w:multiLevelType w:val="singleLevel"/>
    <w:tmpl w:val="58E7E38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M4YjJkODczODI0YzU2OGEwMTI2NjJkN2ZkNWM3Y2QifQ=="/>
  </w:docVars>
  <w:rsids>
    <w:rsidRoot w:val="001500C3"/>
    <w:rsid w:val="000135E2"/>
    <w:rsid w:val="000837D3"/>
    <w:rsid w:val="001500C3"/>
    <w:rsid w:val="00183D7F"/>
    <w:rsid w:val="0033393D"/>
    <w:rsid w:val="003903F7"/>
    <w:rsid w:val="003C0F3C"/>
    <w:rsid w:val="00543DBF"/>
    <w:rsid w:val="005E5F40"/>
    <w:rsid w:val="006C2CAF"/>
    <w:rsid w:val="007923B4"/>
    <w:rsid w:val="00794686"/>
    <w:rsid w:val="008317B9"/>
    <w:rsid w:val="009A60DB"/>
    <w:rsid w:val="009F50F4"/>
    <w:rsid w:val="00A34D5E"/>
    <w:rsid w:val="00A37248"/>
    <w:rsid w:val="00A7202A"/>
    <w:rsid w:val="00B06A53"/>
    <w:rsid w:val="00B95A4E"/>
    <w:rsid w:val="00BD4D18"/>
    <w:rsid w:val="00C05261"/>
    <w:rsid w:val="00D34D8C"/>
    <w:rsid w:val="00D35950"/>
    <w:rsid w:val="00DC7F85"/>
    <w:rsid w:val="00E52480"/>
    <w:rsid w:val="00F02641"/>
    <w:rsid w:val="00F30D94"/>
    <w:rsid w:val="00F95A1E"/>
    <w:rsid w:val="011426A4"/>
    <w:rsid w:val="050771EA"/>
    <w:rsid w:val="054E4215"/>
    <w:rsid w:val="07675D4A"/>
    <w:rsid w:val="092B346A"/>
    <w:rsid w:val="09C8733F"/>
    <w:rsid w:val="0B4F4A9B"/>
    <w:rsid w:val="113157AE"/>
    <w:rsid w:val="129209D7"/>
    <w:rsid w:val="13174AE5"/>
    <w:rsid w:val="148B12E6"/>
    <w:rsid w:val="179F2EC6"/>
    <w:rsid w:val="17CD2459"/>
    <w:rsid w:val="18F72080"/>
    <w:rsid w:val="19680496"/>
    <w:rsid w:val="1B535CEC"/>
    <w:rsid w:val="1EFB5E80"/>
    <w:rsid w:val="1FEC543E"/>
    <w:rsid w:val="20520EC3"/>
    <w:rsid w:val="21856DFF"/>
    <w:rsid w:val="22184E02"/>
    <w:rsid w:val="224743AB"/>
    <w:rsid w:val="22CA1F19"/>
    <w:rsid w:val="23227620"/>
    <w:rsid w:val="253C7CB4"/>
    <w:rsid w:val="27AB56EE"/>
    <w:rsid w:val="280A48BD"/>
    <w:rsid w:val="280A4EB7"/>
    <w:rsid w:val="28545EC4"/>
    <w:rsid w:val="285D35A8"/>
    <w:rsid w:val="286134B4"/>
    <w:rsid w:val="2A791700"/>
    <w:rsid w:val="2B2059C6"/>
    <w:rsid w:val="2C4F4154"/>
    <w:rsid w:val="2CBD1D91"/>
    <w:rsid w:val="2D683584"/>
    <w:rsid w:val="2F407445"/>
    <w:rsid w:val="2FF40379"/>
    <w:rsid w:val="30731CAA"/>
    <w:rsid w:val="334A1B4D"/>
    <w:rsid w:val="336A36BB"/>
    <w:rsid w:val="35040575"/>
    <w:rsid w:val="35512913"/>
    <w:rsid w:val="370074BA"/>
    <w:rsid w:val="373553B6"/>
    <w:rsid w:val="37CC40DE"/>
    <w:rsid w:val="38176E9C"/>
    <w:rsid w:val="3C701A11"/>
    <w:rsid w:val="41C072C4"/>
    <w:rsid w:val="428E244F"/>
    <w:rsid w:val="44015CB5"/>
    <w:rsid w:val="4525726D"/>
    <w:rsid w:val="46D63D94"/>
    <w:rsid w:val="48D86A0E"/>
    <w:rsid w:val="49393465"/>
    <w:rsid w:val="4B533C05"/>
    <w:rsid w:val="4C0070ED"/>
    <w:rsid w:val="4CBB7CB4"/>
    <w:rsid w:val="4D4236EC"/>
    <w:rsid w:val="4DCF027B"/>
    <w:rsid w:val="4DF23BA9"/>
    <w:rsid w:val="4F931B3D"/>
    <w:rsid w:val="4F997969"/>
    <w:rsid w:val="50C4008E"/>
    <w:rsid w:val="51054215"/>
    <w:rsid w:val="513C3B0D"/>
    <w:rsid w:val="517D764D"/>
    <w:rsid w:val="54B347FF"/>
    <w:rsid w:val="56AC5A42"/>
    <w:rsid w:val="57084683"/>
    <w:rsid w:val="5A333454"/>
    <w:rsid w:val="62D53683"/>
    <w:rsid w:val="63E232E3"/>
    <w:rsid w:val="64E0186E"/>
    <w:rsid w:val="655D3985"/>
    <w:rsid w:val="65D46BBB"/>
    <w:rsid w:val="66047881"/>
    <w:rsid w:val="69A42E56"/>
    <w:rsid w:val="6B3A1FC1"/>
    <w:rsid w:val="77572009"/>
    <w:rsid w:val="776E144F"/>
    <w:rsid w:val="7AB9643A"/>
    <w:rsid w:val="7FF3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3"/>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85"/>
    <w:qFormat/>
    <w:uiPriority w:val="0"/>
    <w:pPr>
      <w:jc w:val="left"/>
      <w:textAlignment w:val="center"/>
      <w:outlineLvl w:val="1"/>
    </w:pPr>
    <w:rPr>
      <w:rFonts w:ascii="Arial" w:hAnsi="Arial" w:eastAsia="黑体"/>
      <w:b/>
      <w:bCs/>
      <w:color w:val="000000"/>
      <w:kern w:val="0"/>
      <w:sz w:val="36"/>
      <w:szCs w:val="32"/>
    </w:rPr>
  </w:style>
  <w:style w:type="paragraph" w:styleId="5">
    <w:name w:val="heading 3"/>
    <w:basedOn w:val="1"/>
    <w:next w:val="1"/>
    <w:link w:val="66"/>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2"/>
    <w:qFormat/>
    <w:uiPriority w:val="0"/>
    <w:pPr>
      <w:outlineLvl w:val="3"/>
    </w:pPr>
    <w:rPr>
      <w:rFonts w:ascii="Arial" w:hAnsi="Arial" w:eastAsia="黑体"/>
      <w:b/>
      <w:bCs/>
      <w:color w:val="0000FF"/>
      <w:kern w:val="0"/>
      <w:sz w:val="24"/>
      <w:szCs w:val="24"/>
    </w:rPr>
  </w:style>
  <w:style w:type="paragraph" w:styleId="7">
    <w:name w:val="heading 5"/>
    <w:basedOn w:val="1"/>
    <w:next w:val="1"/>
    <w:link w:val="115"/>
    <w:qFormat/>
    <w:uiPriority w:val="0"/>
    <w:pPr>
      <w:outlineLvl w:val="4"/>
    </w:pPr>
    <w:rPr>
      <w:rFonts w:ascii="Times New Roman" w:hAnsi="Times New Roman" w:eastAsia="华文中宋"/>
      <w:b/>
      <w:bCs/>
      <w:color w:val="800000"/>
      <w:kern w:val="0"/>
      <w:sz w:val="24"/>
      <w:szCs w:val="24"/>
    </w:rPr>
  </w:style>
  <w:style w:type="paragraph" w:styleId="8">
    <w:name w:val="heading 6"/>
    <w:basedOn w:val="1"/>
    <w:next w:val="1"/>
    <w:link w:val="117"/>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0"/>
    <w:link w:val="119"/>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10">
    <w:name w:val="heading 8"/>
    <w:basedOn w:val="1"/>
    <w:next w:val="1"/>
    <w:link w:val="88"/>
    <w:qFormat/>
    <w:uiPriority w:val="0"/>
    <w:pPr>
      <w:ind w:left="369" w:hanging="369"/>
      <w:outlineLvl w:val="7"/>
    </w:pPr>
    <w:rPr>
      <w:rFonts w:ascii="Times New Roman" w:hAnsi="Times New Roman" w:eastAsia="华文中宋"/>
      <w:kern w:val="0"/>
      <w:sz w:val="24"/>
      <w:szCs w:val="24"/>
    </w:rPr>
  </w:style>
  <w:style w:type="paragraph" w:styleId="11">
    <w:name w:val="heading 9"/>
    <w:basedOn w:val="1"/>
    <w:next w:val="1"/>
    <w:link w:val="12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6"/>
    <w:unhideWhenUsed/>
    <w:qFormat/>
    <w:uiPriority w:val="99"/>
    <w:pPr>
      <w:tabs>
        <w:tab w:val="center" w:pos="4153"/>
        <w:tab w:val="right" w:pos="8306"/>
      </w:tabs>
      <w:snapToGrid w:val="0"/>
      <w:jc w:val="left"/>
    </w:pPr>
    <w:rPr>
      <w:kern w:val="0"/>
      <w:sz w:val="18"/>
      <w:szCs w:val="18"/>
    </w:rPr>
  </w:style>
  <w:style w:type="paragraph" w:styleId="12">
    <w:name w:val="toc 7"/>
    <w:basedOn w:val="1"/>
    <w:next w:val="1"/>
    <w:qFormat/>
    <w:uiPriority w:val="39"/>
    <w:pPr>
      <w:ind w:left="1200" w:leftChars="1200"/>
    </w:pPr>
    <w:rPr>
      <w:rFonts w:ascii="Times New Roman" w:hAnsi="Times New Roman"/>
    </w:rPr>
  </w:style>
  <w:style w:type="paragraph" w:styleId="13">
    <w:name w:val="Normal Indent"/>
    <w:basedOn w:val="1"/>
    <w:qFormat/>
    <w:uiPriority w:val="0"/>
    <w:pPr>
      <w:ind w:firstLine="420"/>
    </w:pPr>
    <w:rPr>
      <w:rFonts w:ascii="Times New Roman" w:hAnsi="Times New Roman"/>
    </w:rPr>
  </w:style>
  <w:style w:type="paragraph" w:styleId="14">
    <w:name w:val="Document Map"/>
    <w:basedOn w:val="1"/>
    <w:link w:val="122"/>
    <w:unhideWhenUsed/>
    <w:qFormat/>
    <w:uiPriority w:val="0"/>
    <w:pPr>
      <w:widowControl/>
      <w:jc w:val="left"/>
    </w:pPr>
    <w:rPr>
      <w:rFonts w:ascii="宋体"/>
      <w:kern w:val="0"/>
      <w:sz w:val="18"/>
      <w:szCs w:val="18"/>
    </w:rPr>
  </w:style>
  <w:style w:type="paragraph" w:styleId="15">
    <w:name w:val="annotation text"/>
    <w:basedOn w:val="1"/>
    <w:link w:val="69"/>
    <w:unhideWhenUsed/>
    <w:qFormat/>
    <w:uiPriority w:val="99"/>
    <w:pPr>
      <w:jc w:val="left"/>
    </w:pPr>
  </w:style>
  <w:style w:type="paragraph" w:styleId="16">
    <w:name w:val="Body Text 3"/>
    <w:basedOn w:val="1"/>
    <w:link w:val="55"/>
    <w:qFormat/>
    <w:uiPriority w:val="0"/>
    <w:pPr>
      <w:spacing w:after="120"/>
    </w:pPr>
    <w:rPr>
      <w:rFonts w:eastAsia="楷体_GB2312"/>
      <w:kern w:val="0"/>
      <w:sz w:val="16"/>
      <w:szCs w:val="16"/>
    </w:rPr>
  </w:style>
  <w:style w:type="paragraph" w:styleId="17">
    <w:name w:val="Body Text"/>
    <w:basedOn w:val="1"/>
    <w:next w:val="1"/>
    <w:link w:val="124"/>
    <w:unhideWhenUsed/>
    <w:qFormat/>
    <w:uiPriority w:val="0"/>
    <w:pPr>
      <w:spacing w:after="120"/>
    </w:pPr>
    <w:rPr>
      <w:rFonts w:ascii="Times New Roman" w:hAnsi="Times New Roman"/>
    </w:rPr>
  </w:style>
  <w:style w:type="paragraph" w:styleId="18">
    <w:name w:val="Body Text Indent"/>
    <w:basedOn w:val="1"/>
    <w:next w:val="19"/>
    <w:link w:val="61"/>
    <w:qFormat/>
    <w:uiPriority w:val="0"/>
    <w:pPr>
      <w:spacing w:after="120"/>
      <w:ind w:left="420" w:leftChars="200"/>
    </w:pPr>
    <w:rPr>
      <w:kern w:val="0"/>
      <w:sz w:val="20"/>
      <w:szCs w:val="20"/>
    </w:rPr>
  </w:style>
  <w:style w:type="paragraph" w:styleId="19">
    <w:name w:val="envelope return"/>
    <w:basedOn w:val="1"/>
    <w:qFormat/>
    <w:uiPriority w:val="99"/>
    <w:pPr>
      <w:snapToGrid w:val="0"/>
    </w:pPr>
    <w:rPr>
      <w:rFonts w:ascii="Arial" w:hAnsi="Arial" w:cs="Arial"/>
    </w:rPr>
  </w:style>
  <w:style w:type="paragraph" w:styleId="20">
    <w:name w:val="toc 5"/>
    <w:basedOn w:val="1"/>
    <w:next w:val="1"/>
    <w:qFormat/>
    <w:uiPriority w:val="39"/>
    <w:pPr>
      <w:ind w:left="800" w:leftChars="800"/>
    </w:pPr>
    <w:rPr>
      <w:rFonts w:ascii="Times New Roman" w:hAnsi="Times New Roman"/>
    </w:rPr>
  </w:style>
  <w:style w:type="paragraph" w:styleId="21">
    <w:name w:val="toc 3"/>
    <w:basedOn w:val="1"/>
    <w:next w:val="1"/>
    <w:qFormat/>
    <w:uiPriority w:val="39"/>
    <w:pPr>
      <w:ind w:left="400" w:leftChars="400"/>
    </w:pPr>
    <w:rPr>
      <w:rFonts w:ascii="Times New Roman" w:hAnsi="Times New Roman"/>
    </w:rPr>
  </w:style>
  <w:style w:type="paragraph" w:styleId="22">
    <w:name w:val="Plain Text"/>
    <w:basedOn w:val="1"/>
    <w:next w:val="1"/>
    <w:link w:val="67"/>
    <w:qFormat/>
    <w:uiPriority w:val="0"/>
    <w:rPr>
      <w:rFonts w:ascii="宋体"/>
      <w:kern w:val="0"/>
      <w:sz w:val="20"/>
      <w:szCs w:val="20"/>
    </w:rPr>
  </w:style>
  <w:style w:type="paragraph" w:styleId="23">
    <w:name w:val="toc 8"/>
    <w:basedOn w:val="1"/>
    <w:next w:val="1"/>
    <w:qFormat/>
    <w:uiPriority w:val="39"/>
    <w:pPr>
      <w:ind w:left="1400" w:leftChars="1400"/>
    </w:pPr>
    <w:rPr>
      <w:rFonts w:ascii="Times New Roman" w:hAnsi="Times New Roman"/>
    </w:rPr>
  </w:style>
  <w:style w:type="paragraph" w:styleId="24">
    <w:name w:val="Date"/>
    <w:basedOn w:val="1"/>
    <w:next w:val="1"/>
    <w:link w:val="54"/>
    <w:qFormat/>
    <w:uiPriority w:val="0"/>
    <w:pPr>
      <w:ind w:left="2500" w:leftChars="2500"/>
    </w:pPr>
    <w:rPr>
      <w:kern w:val="0"/>
      <w:sz w:val="20"/>
      <w:szCs w:val="20"/>
    </w:rPr>
  </w:style>
  <w:style w:type="paragraph" w:styleId="25">
    <w:name w:val="Balloon Text"/>
    <w:basedOn w:val="1"/>
    <w:link w:val="78"/>
    <w:unhideWhenUsed/>
    <w:qFormat/>
    <w:uiPriority w:val="0"/>
    <w:rPr>
      <w:rFonts w:ascii="Times New Roman" w:hAnsi="Times New Roman"/>
      <w:sz w:val="18"/>
      <w:szCs w:val="18"/>
    </w:rPr>
  </w:style>
  <w:style w:type="paragraph" w:styleId="26">
    <w:name w:val="header"/>
    <w:basedOn w:val="1"/>
    <w:link w:val="12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rPr>
      <w:rFonts w:ascii="Times New Roman" w:hAnsi="Times New Roman"/>
    </w:rPr>
  </w:style>
  <w:style w:type="paragraph" w:styleId="28">
    <w:name w:val="toc 4"/>
    <w:basedOn w:val="1"/>
    <w:next w:val="1"/>
    <w:qFormat/>
    <w:uiPriority w:val="39"/>
    <w:pPr>
      <w:ind w:left="600" w:leftChars="600"/>
    </w:pPr>
    <w:rPr>
      <w:rFonts w:ascii="Times New Roman" w:hAnsi="Times New Roman"/>
    </w:rPr>
  </w:style>
  <w:style w:type="paragraph" w:styleId="29">
    <w:name w:val="toc 6"/>
    <w:basedOn w:val="1"/>
    <w:next w:val="1"/>
    <w:qFormat/>
    <w:uiPriority w:val="39"/>
    <w:pPr>
      <w:ind w:left="1000" w:leftChars="1000"/>
    </w:pPr>
    <w:rPr>
      <w:rFonts w:ascii="Times New Roman" w:hAnsi="Times New Roman"/>
    </w:rPr>
  </w:style>
  <w:style w:type="paragraph" w:styleId="30">
    <w:name w:val="Body Text Indent 3"/>
    <w:basedOn w:val="1"/>
    <w:link w:val="90"/>
    <w:qFormat/>
    <w:uiPriority w:val="0"/>
    <w:pPr>
      <w:spacing w:after="120"/>
      <w:ind w:left="200" w:leftChars="200"/>
    </w:pPr>
    <w:rPr>
      <w:kern w:val="0"/>
      <w:sz w:val="16"/>
      <w:szCs w:val="16"/>
    </w:rPr>
  </w:style>
  <w:style w:type="paragraph" w:styleId="31">
    <w:name w:val="toc 2"/>
    <w:basedOn w:val="1"/>
    <w:next w:val="1"/>
    <w:qFormat/>
    <w:uiPriority w:val="39"/>
    <w:pPr>
      <w:ind w:left="200" w:leftChars="200"/>
    </w:pPr>
    <w:rPr>
      <w:rFonts w:ascii="Times New Roman" w:hAnsi="Times New Roman"/>
    </w:rPr>
  </w:style>
  <w:style w:type="paragraph" w:styleId="32">
    <w:name w:val="toc 9"/>
    <w:basedOn w:val="1"/>
    <w:next w:val="1"/>
    <w:qFormat/>
    <w:uiPriority w:val="39"/>
    <w:pPr>
      <w:ind w:left="1600" w:leftChars="1600"/>
    </w:pPr>
    <w:rPr>
      <w:rFonts w:ascii="Times New Roman" w:hAnsi="Times New Roman"/>
    </w:rPr>
  </w:style>
  <w:style w:type="paragraph" w:styleId="33">
    <w:name w:val="Body Text 2"/>
    <w:basedOn w:val="1"/>
    <w:link w:val="131"/>
    <w:qFormat/>
    <w:uiPriority w:val="0"/>
    <w:rPr>
      <w:rFonts w:ascii="宋体" w:hAnsi="宋体"/>
      <w:kern w:val="0"/>
      <w:sz w:val="20"/>
      <w:szCs w:val="24"/>
      <w:u w:val="single"/>
    </w:rPr>
  </w:style>
  <w:style w:type="paragraph" w:styleId="34">
    <w:name w:val="Normal (Web)"/>
    <w:basedOn w:val="1"/>
    <w:qFormat/>
    <w:uiPriority w:val="99"/>
    <w:pPr>
      <w:widowControl/>
      <w:spacing w:before="100" w:beforeAutospacing="1" w:after="100" w:afterAutospacing="1"/>
      <w:jc w:val="left"/>
    </w:pPr>
    <w:rPr>
      <w:rFonts w:ascii="宋体" w:hAnsi="宋体" w:cs="Calibri"/>
      <w:kern w:val="0"/>
      <w:sz w:val="24"/>
      <w:szCs w:val="24"/>
    </w:rPr>
  </w:style>
  <w:style w:type="paragraph" w:styleId="35">
    <w:name w:val="index 1"/>
    <w:basedOn w:val="1"/>
    <w:next w:val="1"/>
    <w:qFormat/>
    <w:uiPriority w:val="0"/>
    <w:pPr>
      <w:spacing w:line="220" w:lineRule="exact"/>
      <w:jc w:val="center"/>
    </w:pPr>
    <w:rPr>
      <w:rFonts w:ascii="仿宋_GB2312" w:hAnsi="Times New Roman" w:eastAsia="仿宋_GB2312"/>
      <w:szCs w:val="21"/>
    </w:rPr>
  </w:style>
  <w:style w:type="paragraph" w:styleId="36">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5"/>
    <w:next w:val="15"/>
    <w:link w:val="133"/>
    <w:unhideWhenUsed/>
    <w:qFormat/>
    <w:uiPriority w:val="0"/>
    <w:pPr>
      <w:widowControl/>
    </w:pPr>
    <w:rPr>
      <w:b/>
      <w:bCs/>
      <w:kern w:val="0"/>
      <w:sz w:val="20"/>
      <w:szCs w:val="20"/>
    </w:rPr>
  </w:style>
  <w:style w:type="paragraph" w:styleId="38">
    <w:name w:val="Body Text First Indent"/>
    <w:basedOn w:val="17"/>
    <w:next w:val="39"/>
    <w:link w:val="57"/>
    <w:qFormat/>
    <w:uiPriority w:val="0"/>
    <w:pPr>
      <w:spacing w:line="312" w:lineRule="auto"/>
      <w:ind w:firstLine="420"/>
    </w:pPr>
    <w:rPr>
      <w:rFonts w:ascii="Calibri" w:hAnsi="Calibri"/>
      <w:kern w:val="0"/>
      <w:sz w:val="20"/>
      <w:szCs w:val="24"/>
    </w:rPr>
  </w:style>
  <w:style w:type="paragraph" w:styleId="39">
    <w:name w:val="Body Text First Indent 2"/>
    <w:basedOn w:val="18"/>
    <w:qFormat/>
    <w:uiPriority w:val="0"/>
    <w:pPr>
      <w:spacing w:line="420" w:lineRule="exact"/>
      <w:ind w:firstLine="420"/>
      <w:jc w:val="left"/>
    </w:pPr>
    <w:rPr>
      <w:rFonts w:ascii="宋体" w:hAnsi="宋体"/>
      <w:color w:val="000000"/>
      <w:sz w:val="24"/>
      <w:szCs w:val="18"/>
    </w:rPr>
  </w:style>
  <w:style w:type="character" w:styleId="42">
    <w:name w:val="Strong"/>
    <w:qFormat/>
    <w:uiPriority w:val="0"/>
    <w:rPr>
      <w:b/>
      <w:bCs/>
    </w:rPr>
  </w:style>
  <w:style w:type="character" w:styleId="43">
    <w:name w:val="page number"/>
    <w:qFormat/>
    <w:uiPriority w:val="0"/>
  </w:style>
  <w:style w:type="character" w:styleId="44">
    <w:name w:val="Hyperlink"/>
    <w:qFormat/>
    <w:uiPriority w:val="99"/>
    <w:rPr>
      <w:color w:val="0000FF"/>
      <w:u w:val="single"/>
    </w:rPr>
  </w:style>
  <w:style w:type="character" w:styleId="45">
    <w:name w:val="annotation reference"/>
    <w:unhideWhenUsed/>
    <w:qFormat/>
    <w:uiPriority w:val="99"/>
    <w:rPr>
      <w:sz w:val="21"/>
      <w:szCs w:val="21"/>
    </w:rPr>
  </w:style>
  <w:style w:type="character" w:styleId="46">
    <w:name w:val="footnote reference"/>
    <w:qFormat/>
    <w:uiPriority w:val="0"/>
    <w:rPr>
      <w:vertAlign w:val="superscript"/>
    </w:rPr>
  </w:style>
  <w:style w:type="paragraph" w:customStyle="1" w:styleId="47">
    <w:name w:val="正文首行缩进 21"/>
    <w:basedOn w:val="18"/>
    <w:qFormat/>
    <w:uiPriority w:val="99"/>
    <w:pPr>
      <w:ind w:firstLine="420" w:firstLineChars="200"/>
    </w:pPr>
    <w:rPr>
      <w:szCs w:val="24"/>
    </w:rPr>
  </w:style>
  <w:style w:type="paragraph" w:customStyle="1" w:styleId="48">
    <w:name w:val="样式1"/>
    <w:basedOn w:val="1"/>
    <w:next w:val="6"/>
    <w:qFormat/>
    <w:uiPriority w:val="0"/>
    <w:pPr>
      <w:spacing w:line="360" w:lineRule="auto"/>
      <w:ind w:firstLine="420" w:firstLineChars="200"/>
    </w:pPr>
    <w:rPr>
      <w:rFonts w:ascii="宋体" w:hAnsi="宋体"/>
      <w:szCs w:val="21"/>
    </w:rPr>
  </w:style>
  <w:style w:type="character" w:customStyle="1" w:styleId="49">
    <w:name w:val="Char Char4"/>
    <w:qFormat/>
    <w:uiPriority w:val="0"/>
    <w:rPr>
      <w:rFonts w:ascii="Times New Roman" w:hAnsi="Times New Roman" w:eastAsia="楷体_GB2312" w:cs="Times New Roman"/>
      <w:sz w:val="18"/>
      <w:szCs w:val="18"/>
    </w:rPr>
  </w:style>
  <w:style w:type="character" w:customStyle="1" w:styleId="50">
    <w:name w:val="正文文本 3 Char3"/>
    <w:semiHidden/>
    <w:qFormat/>
    <w:uiPriority w:val="99"/>
    <w:rPr>
      <w:kern w:val="2"/>
      <w:sz w:val="16"/>
      <w:szCs w:val="16"/>
    </w:rPr>
  </w:style>
  <w:style w:type="character" w:customStyle="1" w:styleId="51">
    <w:name w:val="文档结构图 Char1"/>
    <w:semiHidden/>
    <w:qFormat/>
    <w:uiPriority w:val="99"/>
    <w:rPr>
      <w:rFonts w:ascii="宋体" w:hAnsi="Calibri"/>
      <w:sz w:val="18"/>
      <w:szCs w:val="18"/>
    </w:rPr>
  </w:style>
  <w:style w:type="character" w:customStyle="1" w:styleId="52">
    <w:name w:val="样式73 Char"/>
    <w:link w:val="53"/>
    <w:qFormat/>
    <w:uiPriority w:val="0"/>
    <w:rPr>
      <w:rFonts w:ascii="华文中宋" w:hAnsi="华文中宋" w:eastAsia="华文中宋"/>
      <w:sz w:val="28"/>
      <w:szCs w:val="28"/>
    </w:rPr>
  </w:style>
  <w:style w:type="paragraph" w:customStyle="1" w:styleId="53">
    <w:name w:val="样式73"/>
    <w:basedOn w:val="1"/>
    <w:link w:val="52"/>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54">
    <w:name w:val="日期 Char"/>
    <w:link w:val="24"/>
    <w:qFormat/>
    <w:uiPriority w:val="0"/>
  </w:style>
  <w:style w:type="character" w:customStyle="1" w:styleId="55">
    <w:name w:val="正文文本 3 Char"/>
    <w:link w:val="16"/>
    <w:qFormat/>
    <w:uiPriority w:val="0"/>
    <w:rPr>
      <w:rFonts w:eastAsia="楷体_GB2312"/>
      <w:sz w:val="16"/>
      <w:szCs w:val="16"/>
    </w:rPr>
  </w:style>
  <w:style w:type="character" w:customStyle="1" w:styleId="56">
    <w:name w:val="章节二 Char"/>
    <w:qFormat/>
    <w:uiPriority w:val="0"/>
    <w:rPr>
      <w:rFonts w:ascii="Times New Roman" w:hAnsi="Times New Roman" w:eastAsia="黑体" w:cs="Times New Roman"/>
      <w:b/>
      <w:spacing w:val="4"/>
      <w:sz w:val="30"/>
      <w:szCs w:val="30"/>
      <w:lang w:val="en-US" w:eastAsia="zh-CN" w:bidi="ar-SA"/>
    </w:rPr>
  </w:style>
  <w:style w:type="character" w:customStyle="1" w:styleId="57">
    <w:name w:val="正文首行缩进 Char"/>
    <w:link w:val="38"/>
    <w:qFormat/>
    <w:uiPriority w:val="0"/>
    <w:rPr>
      <w:szCs w:val="24"/>
    </w:rPr>
  </w:style>
  <w:style w:type="character" w:customStyle="1" w:styleId="58">
    <w:name w:val="页脚 字符"/>
    <w:qFormat/>
    <w:uiPriority w:val="0"/>
    <w:rPr>
      <w:rFonts w:ascii="Times New Roman" w:hAnsi="Times New Roman" w:eastAsia="楷体_GB2312" w:cs="Times New Roman"/>
      <w:kern w:val="2"/>
      <w:sz w:val="18"/>
      <w:szCs w:val="18"/>
    </w:rPr>
  </w:style>
  <w:style w:type="character" w:customStyle="1" w:styleId="59">
    <w:name w:val="Char Char51"/>
    <w:qFormat/>
    <w:uiPriority w:val="0"/>
    <w:rPr>
      <w:rFonts w:ascii="Times New Roman" w:hAnsi="Times New Roman" w:eastAsia="长城仿宋" w:cs="Times New Roman"/>
      <w:sz w:val="18"/>
      <w:lang w:val="en-US" w:eastAsia="zh-CN" w:bidi="ar-SA"/>
    </w:rPr>
  </w:style>
  <w:style w:type="character" w:customStyle="1" w:styleId="60">
    <w:name w:val="标题 Char5"/>
    <w:qFormat/>
    <w:uiPriority w:val="10"/>
    <w:rPr>
      <w:rFonts w:ascii="Cambria" w:hAnsi="Cambria" w:cs="Times New Roman"/>
      <w:b/>
      <w:bCs/>
      <w:kern w:val="2"/>
      <w:sz w:val="32"/>
      <w:szCs w:val="32"/>
    </w:rPr>
  </w:style>
  <w:style w:type="character" w:customStyle="1" w:styleId="61">
    <w:name w:val="正文文本缩进 Char"/>
    <w:link w:val="18"/>
    <w:qFormat/>
    <w:uiPriority w:val="0"/>
  </w:style>
  <w:style w:type="character" w:customStyle="1" w:styleId="62">
    <w:name w:val="标题 4 Char"/>
    <w:link w:val="6"/>
    <w:qFormat/>
    <w:uiPriority w:val="0"/>
    <w:rPr>
      <w:rFonts w:ascii="Arial" w:hAnsi="Arial" w:eastAsia="黑体"/>
      <w:b/>
      <w:bCs/>
      <w:color w:val="0000FF"/>
      <w:sz w:val="24"/>
      <w:szCs w:val="24"/>
    </w:rPr>
  </w:style>
  <w:style w:type="character" w:customStyle="1" w:styleId="63">
    <w:name w:val="标题 Char2"/>
    <w:qFormat/>
    <w:uiPriority w:val="10"/>
    <w:rPr>
      <w:rFonts w:ascii="Cambria" w:hAnsi="Cambria" w:eastAsia="宋体" w:cs="Times New Roman"/>
      <w:b/>
      <w:bCs/>
      <w:kern w:val="2"/>
      <w:sz w:val="32"/>
      <w:szCs w:val="32"/>
    </w:rPr>
  </w:style>
  <w:style w:type="character" w:customStyle="1" w:styleId="64">
    <w:name w:val="纯文本 Char1"/>
    <w:qFormat/>
    <w:uiPriority w:val="0"/>
    <w:rPr>
      <w:rFonts w:ascii="宋体" w:hAnsi="Courier New" w:cs="Courier New"/>
      <w:sz w:val="21"/>
      <w:szCs w:val="21"/>
    </w:rPr>
  </w:style>
  <w:style w:type="character" w:customStyle="1" w:styleId="65">
    <w:name w:val="批注框文本 Char2"/>
    <w:semiHidden/>
    <w:qFormat/>
    <w:uiPriority w:val="99"/>
    <w:rPr>
      <w:kern w:val="2"/>
      <w:sz w:val="18"/>
      <w:szCs w:val="18"/>
    </w:rPr>
  </w:style>
  <w:style w:type="character" w:customStyle="1" w:styleId="66">
    <w:name w:val="标题 3 Char"/>
    <w:link w:val="5"/>
    <w:qFormat/>
    <w:uiPriority w:val="0"/>
    <w:rPr>
      <w:rFonts w:ascii="Times New Roman" w:hAnsi="Times New Roman"/>
      <w:b/>
      <w:bCs/>
      <w:kern w:val="2"/>
      <w:sz w:val="32"/>
      <w:szCs w:val="32"/>
    </w:rPr>
  </w:style>
  <w:style w:type="character" w:customStyle="1" w:styleId="67">
    <w:name w:val="纯文本 Char"/>
    <w:link w:val="22"/>
    <w:qFormat/>
    <w:uiPriority w:val="0"/>
    <w:rPr>
      <w:rFonts w:ascii="宋体"/>
    </w:rPr>
  </w:style>
  <w:style w:type="character" w:customStyle="1" w:styleId="68">
    <w:name w:val="Char Char52"/>
    <w:qFormat/>
    <w:uiPriority w:val="0"/>
    <w:rPr>
      <w:rFonts w:ascii="Times New Roman" w:hAnsi="Times New Roman" w:eastAsia="长城仿宋" w:cs="Times New Roman"/>
      <w:sz w:val="18"/>
      <w:lang w:val="en-US" w:eastAsia="zh-CN" w:bidi="ar-SA"/>
    </w:rPr>
  </w:style>
  <w:style w:type="character" w:customStyle="1" w:styleId="69">
    <w:name w:val="批注文字 Char6"/>
    <w:link w:val="15"/>
    <w:semiHidden/>
    <w:qFormat/>
    <w:uiPriority w:val="99"/>
    <w:rPr>
      <w:kern w:val="2"/>
      <w:sz w:val="21"/>
      <w:szCs w:val="22"/>
    </w:rPr>
  </w:style>
  <w:style w:type="character" w:customStyle="1" w:styleId="70">
    <w:name w:val="正文文本 Char3"/>
    <w:semiHidden/>
    <w:qFormat/>
    <w:uiPriority w:val="99"/>
    <w:rPr>
      <w:rFonts w:ascii="Calibri" w:hAnsi="Calibri"/>
      <w:kern w:val="2"/>
      <w:sz w:val="21"/>
      <w:szCs w:val="22"/>
    </w:rPr>
  </w:style>
  <w:style w:type="character" w:customStyle="1" w:styleId="71">
    <w:name w:val="fontstyle01"/>
    <w:qFormat/>
    <w:uiPriority w:val="0"/>
    <w:rPr>
      <w:rFonts w:hint="eastAsia" w:ascii="宋体" w:hAnsi="宋体" w:eastAsia="宋体"/>
      <w:color w:val="000000"/>
      <w:sz w:val="22"/>
      <w:szCs w:val="22"/>
    </w:rPr>
  </w:style>
  <w:style w:type="character" w:customStyle="1" w:styleId="72">
    <w:name w:val="纯文本 Char3"/>
    <w:semiHidden/>
    <w:qFormat/>
    <w:uiPriority w:val="99"/>
    <w:rPr>
      <w:rFonts w:ascii="宋体" w:hAnsi="Courier New" w:cs="Courier New"/>
      <w:kern w:val="2"/>
      <w:sz w:val="21"/>
      <w:szCs w:val="21"/>
    </w:rPr>
  </w:style>
  <w:style w:type="character" w:customStyle="1" w:styleId="73">
    <w:name w:val="Comment Text Char"/>
    <w:qFormat/>
    <w:uiPriority w:val="0"/>
  </w:style>
  <w:style w:type="character" w:customStyle="1" w:styleId="74">
    <w:name w:val="日期 Char4"/>
    <w:semiHidden/>
    <w:qFormat/>
    <w:uiPriority w:val="99"/>
    <w:rPr>
      <w:kern w:val="2"/>
      <w:sz w:val="21"/>
      <w:szCs w:val="22"/>
    </w:rPr>
  </w:style>
  <w:style w:type="character" w:customStyle="1" w:styleId="75">
    <w:name w:val="文档结构图 Char3"/>
    <w:semiHidden/>
    <w:qFormat/>
    <w:uiPriority w:val="99"/>
    <w:rPr>
      <w:rFonts w:ascii="宋体"/>
      <w:kern w:val="2"/>
      <w:sz w:val="18"/>
      <w:szCs w:val="18"/>
    </w:rPr>
  </w:style>
  <w:style w:type="character" w:customStyle="1" w:styleId="76">
    <w:name w:val="批注主题 Char1"/>
    <w:semiHidden/>
    <w:qFormat/>
    <w:uiPriority w:val="99"/>
    <w:rPr>
      <w:rFonts w:ascii="Calibri" w:hAnsi="Calibri"/>
      <w:b/>
      <w:bCs/>
      <w:sz w:val="21"/>
      <w:szCs w:val="22"/>
    </w:rPr>
  </w:style>
  <w:style w:type="character" w:customStyle="1" w:styleId="77">
    <w:name w:val="正文文本缩进 Char4"/>
    <w:semiHidden/>
    <w:qFormat/>
    <w:uiPriority w:val="99"/>
    <w:rPr>
      <w:kern w:val="2"/>
      <w:sz w:val="21"/>
      <w:szCs w:val="22"/>
    </w:rPr>
  </w:style>
  <w:style w:type="character" w:customStyle="1" w:styleId="78">
    <w:name w:val="批注框文本 Char"/>
    <w:link w:val="25"/>
    <w:qFormat/>
    <w:uiPriority w:val="0"/>
    <w:rPr>
      <w:rFonts w:ascii="Times New Roman" w:hAnsi="Times New Roman"/>
      <w:kern w:val="2"/>
      <w:sz w:val="18"/>
      <w:szCs w:val="18"/>
    </w:rPr>
  </w:style>
  <w:style w:type="character" w:customStyle="1" w:styleId="79">
    <w:name w:val="正文文本 Char2"/>
    <w:semiHidden/>
    <w:qFormat/>
    <w:uiPriority w:val="99"/>
    <w:rPr>
      <w:rFonts w:ascii="Calibri" w:hAnsi="Calibri"/>
      <w:sz w:val="21"/>
      <w:szCs w:val="22"/>
    </w:rPr>
  </w:style>
  <w:style w:type="character" w:customStyle="1" w:styleId="80">
    <w:name w:val="正文文本缩进 3 Char1"/>
    <w:semiHidden/>
    <w:qFormat/>
    <w:uiPriority w:val="99"/>
    <w:rPr>
      <w:rFonts w:ascii="Calibri" w:hAnsi="Calibri"/>
      <w:sz w:val="16"/>
      <w:szCs w:val="16"/>
    </w:rPr>
  </w:style>
  <w:style w:type="character" w:customStyle="1" w:styleId="81">
    <w:name w:val="标题 Char"/>
    <w:link w:val="36"/>
    <w:qFormat/>
    <w:uiPriority w:val="0"/>
    <w:rPr>
      <w:rFonts w:ascii="Arial" w:hAnsi="Arial"/>
      <w:b/>
      <w:sz w:val="32"/>
    </w:rPr>
  </w:style>
  <w:style w:type="character" w:customStyle="1" w:styleId="82">
    <w:name w:val="16"/>
    <w:qFormat/>
    <w:uiPriority w:val="0"/>
    <w:rPr>
      <w:rFonts w:hint="default" w:ascii="Times New Roman" w:hAnsi="Times New Roman" w:eastAsia="楷体_GB2312" w:cs="Times New Roman"/>
      <w:color w:val="0000FF"/>
      <w:u w:val="single"/>
    </w:rPr>
  </w:style>
  <w:style w:type="character" w:customStyle="1" w:styleId="83">
    <w:name w:val="正文首行缩进 Char1"/>
    <w:qFormat/>
    <w:uiPriority w:val="99"/>
    <w:rPr>
      <w:rFonts w:eastAsia="宋体"/>
      <w:kern w:val="2"/>
      <w:sz w:val="21"/>
    </w:rPr>
  </w:style>
  <w:style w:type="character" w:customStyle="1" w:styleId="84">
    <w:name w:val="页眉 Char1"/>
    <w:semiHidden/>
    <w:qFormat/>
    <w:uiPriority w:val="99"/>
    <w:rPr>
      <w:rFonts w:ascii="Calibri" w:hAnsi="Calibri"/>
      <w:sz w:val="18"/>
      <w:szCs w:val="18"/>
    </w:rPr>
  </w:style>
  <w:style w:type="character" w:customStyle="1" w:styleId="85">
    <w:name w:val="标题 2 Char"/>
    <w:link w:val="4"/>
    <w:qFormat/>
    <w:uiPriority w:val="0"/>
    <w:rPr>
      <w:rFonts w:ascii="Arial" w:hAnsi="Arial" w:eastAsia="黑体"/>
      <w:b/>
      <w:bCs/>
      <w:color w:val="000000"/>
      <w:sz w:val="36"/>
      <w:szCs w:val="32"/>
    </w:rPr>
  </w:style>
  <w:style w:type="character" w:customStyle="1" w:styleId="86">
    <w:name w:val="title1"/>
    <w:qFormat/>
    <w:uiPriority w:val="0"/>
    <w:rPr>
      <w:rFonts w:ascii="Times New Roman" w:hAnsi="Times New Roman" w:eastAsia="楷体_GB2312" w:cs="Times New Roman"/>
      <w:sz w:val="24"/>
      <w:szCs w:val="24"/>
    </w:rPr>
  </w:style>
  <w:style w:type="character" w:customStyle="1" w:styleId="87">
    <w:name w:val="正文文本 2 Char4"/>
    <w:semiHidden/>
    <w:qFormat/>
    <w:uiPriority w:val="99"/>
    <w:rPr>
      <w:kern w:val="2"/>
      <w:sz w:val="21"/>
      <w:szCs w:val="22"/>
    </w:rPr>
  </w:style>
  <w:style w:type="character" w:customStyle="1" w:styleId="88">
    <w:name w:val="标题 8 Char"/>
    <w:link w:val="10"/>
    <w:qFormat/>
    <w:uiPriority w:val="0"/>
    <w:rPr>
      <w:rFonts w:ascii="Times New Roman" w:hAnsi="Times New Roman" w:eastAsia="华文中宋"/>
      <w:sz w:val="24"/>
      <w:szCs w:val="24"/>
    </w:rPr>
  </w:style>
  <w:style w:type="character" w:customStyle="1" w:styleId="89">
    <w:name w:val="纯文本 Char5"/>
    <w:semiHidden/>
    <w:qFormat/>
    <w:uiPriority w:val="99"/>
    <w:rPr>
      <w:rFonts w:ascii="宋体" w:hAnsi="Courier New" w:cs="Courier New"/>
      <w:kern w:val="2"/>
      <w:sz w:val="21"/>
      <w:szCs w:val="21"/>
    </w:rPr>
  </w:style>
  <w:style w:type="character" w:customStyle="1" w:styleId="90">
    <w:name w:val="正文文本缩进 3 Char"/>
    <w:link w:val="30"/>
    <w:qFormat/>
    <w:uiPriority w:val="0"/>
    <w:rPr>
      <w:sz w:val="16"/>
      <w:szCs w:val="16"/>
    </w:rPr>
  </w:style>
  <w:style w:type="character" w:customStyle="1" w:styleId="91">
    <w:name w:val="标题 Char3"/>
    <w:qFormat/>
    <w:uiPriority w:val="10"/>
    <w:rPr>
      <w:rFonts w:ascii="Cambria" w:hAnsi="Cambria" w:cs="Times New Roman"/>
      <w:b/>
      <w:bCs/>
      <w:kern w:val="2"/>
      <w:sz w:val="32"/>
      <w:szCs w:val="32"/>
    </w:rPr>
  </w:style>
  <w:style w:type="character" w:customStyle="1" w:styleId="92">
    <w:name w:val="font161"/>
    <w:qFormat/>
    <w:uiPriority w:val="0"/>
    <w:rPr>
      <w:b/>
      <w:bCs/>
      <w:sz w:val="32"/>
      <w:szCs w:val="32"/>
    </w:rPr>
  </w:style>
  <w:style w:type="character" w:customStyle="1" w:styleId="93">
    <w:name w:val="Char Char5"/>
    <w:qFormat/>
    <w:uiPriority w:val="0"/>
    <w:rPr>
      <w:rFonts w:ascii="Times New Roman" w:hAnsi="Times New Roman" w:eastAsia="长城仿宋" w:cs="Times New Roman"/>
      <w:sz w:val="18"/>
      <w:lang w:val="en-US" w:eastAsia="zh-CN" w:bidi="ar-SA"/>
    </w:rPr>
  </w:style>
  <w:style w:type="character" w:customStyle="1" w:styleId="94">
    <w:name w:val="正文首行缩进 Char2"/>
    <w:semiHidden/>
    <w:qFormat/>
    <w:uiPriority w:val="99"/>
    <w:rPr>
      <w:rFonts w:ascii="Calibri" w:hAnsi="Calibri"/>
      <w:sz w:val="21"/>
      <w:szCs w:val="22"/>
    </w:rPr>
  </w:style>
  <w:style w:type="character" w:customStyle="1" w:styleId="95">
    <w:name w:val="批注主题 Char4"/>
    <w:semiHidden/>
    <w:qFormat/>
    <w:uiPriority w:val="99"/>
    <w:rPr>
      <w:b/>
      <w:bCs/>
      <w:kern w:val="2"/>
      <w:sz w:val="21"/>
      <w:szCs w:val="22"/>
    </w:rPr>
  </w:style>
  <w:style w:type="character" w:customStyle="1" w:styleId="96">
    <w:name w:val="页眉 字符"/>
    <w:qFormat/>
    <w:uiPriority w:val="0"/>
    <w:rPr>
      <w:rFonts w:ascii="Times New Roman" w:hAnsi="Times New Roman" w:eastAsia="楷体_GB2312" w:cs="Times New Roman"/>
      <w:kern w:val="2"/>
      <w:sz w:val="18"/>
      <w:szCs w:val="18"/>
    </w:rPr>
  </w:style>
  <w:style w:type="character" w:customStyle="1" w:styleId="97">
    <w:name w:val="批注框文本 Char1"/>
    <w:semiHidden/>
    <w:qFormat/>
    <w:uiPriority w:val="99"/>
    <w:rPr>
      <w:rFonts w:ascii="Calibri" w:hAnsi="Calibri"/>
      <w:sz w:val="18"/>
      <w:szCs w:val="18"/>
    </w:rPr>
  </w:style>
  <w:style w:type="character" w:customStyle="1" w:styleId="98">
    <w:name w:val="文档结构图 Char2"/>
    <w:semiHidden/>
    <w:qFormat/>
    <w:uiPriority w:val="99"/>
    <w:rPr>
      <w:rFonts w:ascii="宋体"/>
      <w:kern w:val="2"/>
      <w:sz w:val="18"/>
      <w:szCs w:val="18"/>
    </w:rPr>
  </w:style>
  <w:style w:type="character" w:customStyle="1" w:styleId="99">
    <w:name w:val="正文文本 Char1"/>
    <w:qFormat/>
    <w:uiPriority w:val="99"/>
    <w:rPr>
      <w:sz w:val="21"/>
    </w:rPr>
  </w:style>
  <w:style w:type="character" w:customStyle="1" w:styleId="100">
    <w:name w:val="正文文本 3 Char4"/>
    <w:semiHidden/>
    <w:qFormat/>
    <w:uiPriority w:val="99"/>
    <w:rPr>
      <w:kern w:val="2"/>
      <w:sz w:val="16"/>
      <w:szCs w:val="16"/>
    </w:rPr>
  </w:style>
  <w:style w:type="character" w:customStyle="1" w:styleId="101">
    <w:name w:val="纯文本 Char4"/>
    <w:semiHidden/>
    <w:qFormat/>
    <w:uiPriority w:val="99"/>
    <w:rPr>
      <w:rFonts w:ascii="宋体" w:hAnsi="Courier New" w:cs="Courier New"/>
      <w:kern w:val="2"/>
      <w:sz w:val="21"/>
      <w:szCs w:val="21"/>
    </w:rPr>
  </w:style>
  <w:style w:type="character" w:customStyle="1" w:styleId="102">
    <w:name w:val="章节一 Char"/>
    <w:qFormat/>
    <w:uiPriority w:val="0"/>
    <w:rPr>
      <w:rFonts w:ascii="Times New Roman" w:hAnsi="Times New Roman" w:eastAsia="黑体" w:cs="Times New Roman"/>
      <w:b/>
      <w:spacing w:val="4"/>
      <w:sz w:val="36"/>
      <w:szCs w:val="36"/>
      <w:lang w:val="en-US" w:eastAsia="zh-CN" w:bidi="ar-SA"/>
    </w:rPr>
  </w:style>
  <w:style w:type="character" w:customStyle="1" w:styleId="103">
    <w:name w:val="标题 Char4"/>
    <w:qFormat/>
    <w:uiPriority w:val="10"/>
    <w:rPr>
      <w:rFonts w:ascii="Cambria" w:hAnsi="Cambria" w:cs="Times New Roman"/>
      <w:b/>
      <w:bCs/>
      <w:kern w:val="2"/>
      <w:sz w:val="32"/>
      <w:szCs w:val="32"/>
    </w:rPr>
  </w:style>
  <w:style w:type="character" w:customStyle="1" w:styleId="104">
    <w:name w:val="正文文本 3 Char1"/>
    <w:semiHidden/>
    <w:qFormat/>
    <w:uiPriority w:val="99"/>
    <w:rPr>
      <w:rFonts w:ascii="Calibri" w:hAnsi="Calibri"/>
      <w:sz w:val="16"/>
      <w:szCs w:val="16"/>
    </w:rPr>
  </w:style>
  <w:style w:type="character" w:customStyle="1" w:styleId="105">
    <w:name w:val="文一 Char Char"/>
    <w:qFormat/>
    <w:uiPriority w:val="0"/>
    <w:rPr>
      <w:rFonts w:ascii="Times New Roman" w:hAnsi="Times New Roman" w:eastAsia="宋体" w:cs="Times New Roman"/>
      <w:spacing w:val="4"/>
      <w:sz w:val="24"/>
      <w:szCs w:val="24"/>
      <w:lang w:val="en-US" w:eastAsia="zh-CN" w:bidi="ar-SA"/>
    </w:rPr>
  </w:style>
  <w:style w:type="character" w:customStyle="1" w:styleId="106">
    <w:name w:val="正文首行缩进 Char5"/>
    <w:semiHidden/>
    <w:qFormat/>
    <w:uiPriority w:val="99"/>
  </w:style>
  <w:style w:type="character" w:customStyle="1" w:styleId="107">
    <w:name w:val="页脚 Char1"/>
    <w:semiHidden/>
    <w:qFormat/>
    <w:uiPriority w:val="99"/>
    <w:rPr>
      <w:rFonts w:ascii="Calibri" w:hAnsi="Calibri"/>
      <w:sz w:val="18"/>
      <w:szCs w:val="18"/>
    </w:rPr>
  </w:style>
  <w:style w:type="character" w:customStyle="1" w:styleId="108">
    <w:name w:val="批注主题 Char2"/>
    <w:semiHidden/>
    <w:qFormat/>
    <w:uiPriority w:val="99"/>
    <w:rPr>
      <w:b/>
      <w:bCs/>
      <w:kern w:val="2"/>
      <w:sz w:val="21"/>
      <w:szCs w:val="22"/>
    </w:rPr>
  </w:style>
  <w:style w:type="character" w:customStyle="1" w:styleId="109">
    <w:name w:val="正文文本缩进 Char1"/>
    <w:semiHidden/>
    <w:qFormat/>
    <w:uiPriority w:val="99"/>
    <w:rPr>
      <w:rFonts w:ascii="Calibri" w:hAnsi="Calibri"/>
      <w:sz w:val="21"/>
      <w:szCs w:val="22"/>
    </w:rPr>
  </w:style>
  <w:style w:type="character" w:customStyle="1" w:styleId="110">
    <w:name w:val="批注文字 Char3"/>
    <w:qFormat/>
    <w:uiPriority w:val="99"/>
    <w:rPr>
      <w:rFonts w:ascii="Calibri" w:hAnsi="Calibri"/>
      <w:sz w:val="21"/>
      <w:szCs w:val="22"/>
    </w:rPr>
  </w:style>
  <w:style w:type="character" w:customStyle="1" w:styleId="111">
    <w:name w:val="批注文字 Char2"/>
    <w:semiHidden/>
    <w:qFormat/>
    <w:locked/>
    <w:uiPriority w:val="99"/>
    <w:rPr>
      <w:rFonts w:ascii="Times New Roman" w:hAnsi="Times New Roman"/>
      <w:kern w:val="2"/>
      <w:sz w:val="21"/>
      <w:szCs w:val="24"/>
    </w:rPr>
  </w:style>
  <w:style w:type="character" w:customStyle="1" w:styleId="112">
    <w:name w:val="正文文本缩进 3 Char2"/>
    <w:semiHidden/>
    <w:qFormat/>
    <w:uiPriority w:val="99"/>
    <w:rPr>
      <w:kern w:val="2"/>
      <w:sz w:val="16"/>
      <w:szCs w:val="16"/>
    </w:rPr>
  </w:style>
  <w:style w:type="character" w:customStyle="1" w:styleId="113">
    <w:name w:val="标题 1 Char"/>
    <w:link w:val="3"/>
    <w:qFormat/>
    <w:uiPriority w:val="0"/>
    <w:rPr>
      <w:rFonts w:ascii="Times New Roman" w:hAnsi="Times New Roman"/>
      <w:b/>
      <w:bCs/>
      <w:kern w:val="44"/>
      <w:sz w:val="44"/>
      <w:szCs w:val="44"/>
    </w:rPr>
  </w:style>
  <w:style w:type="character" w:customStyle="1" w:styleId="114">
    <w:name w:val="文档结构图 Char4"/>
    <w:semiHidden/>
    <w:qFormat/>
    <w:uiPriority w:val="99"/>
    <w:rPr>
      <w:rFonts w:ascii="宋体"/>
      <w:kern w:val="2"/>
      <w:sz w:val="18"/>
      <w:szCs w:val="18"/>
    </w:rPr>
  </w:style>
  <w:style w:type="character" w:customStyle="1" w:styleId="115">
    <w:name w:val="标题 5 Char"/>
    <w:link w:val="7"/>
    <w:qFormat/>
    <w:uiPriority w:val="0"/>
    <w:rPr>
      <w:rFonts w:ascii="Times New Roman" w:hAnsi="Times New Roman" w:eastAsia="华文中宋"/>
      <w:b/>
      <w:bCs/>
      <w:color w:val="800000"/>
      <w:sz w:val="24"/>
      <w:szCs w:val="24"/>
    </w:rPr>
  </w:style>
  <w:style w:type="character" w:customStyle="1" w:styleId="116">
    <w:name w:val="Char Char3"/>
    <w:qFormat/>
    <w:uiPriority w:val="0"/>
    <w:rPr>
      <w:rFonts w:ascii="Times New Roman" w:hAnsi="Times New Roman" w:eastAsia="宋体" w:cs="Times New Roman"/>
      <w:kern w:val="2"/>
      <w:sz w:val="18"/>
      <w:lang w:val="en-US" w:eastAsia="zh-CN" w:bidi="ar-SA"/>
    </w:rPr>
  </w:style>
  <w:style w:type="character" w:customStyle="1" w:styleId="117">
    <w:name w:val="标题 6 Char"/>
    <w:link w:val="8"/>
    <w:qFormat/>
    <w:uiPriority w:val="9"/>
    <w:rPr>
      <w:rFonts w:ascii="Arial" w:hAnsi="Arial" w:eastAsia="黑体"/>
      <w:b/>
      <w:bCs/>
      <w:sz w:val="24"/>
    </w:rPr>
  </w:style>
  <w:style w:type="character" w:customStyle="1" w:styleId="118">
    <w:name w:val="日期 Char2"/>
    <w:semiHidden/>
    <w:qFormat/>
    <w:uiPriority w:val="99"/>
    <w:rPr>
      <w:kern w:val="2"/>
      <w:sz w:val="21"/>
      <w:szCs w:val="22"/>
    </w:rPr>
  </w:style>
  <w:style w:type="character" w:customStyle="1" w:styleId="119">
    <w:name w:val="标题 7 Char"/>
    <w:link w:val="9"/>
    <w:qFormat/>
    <w:uiPriority w:val="0"/>
    <w:rPr>
      <w:rFonts w:ascii="Times New Roman" w:hAnsi="Times New Roman" w:eastAsia="华文中宋"/>
      <w:bCs/>
      <w:sz w:val="24"/>
      <w:szCs w:val="24"/>
    </w:rPr>
  </w:style>
  <w:style w:type="character" w:customStyle="1" w:styleId="120">
    <w:name w:val="正文文本 Char"/>
    <w:qFormat/>
    <w:uiPriority w:val="0"/>
    <w:rPr>
      <w:rFonts w:ascii="Calibri" w:hAnsi="Calibri" w:eastAsia="宋体"/>
      <w:lang w:bidi="ar-SA"/>
    </w:rPr>
  </w:style>
  <w:style w:type="character" w:customStyle="1" w:styleId="121">
    <w:name w:val="标题 9 Char"/>
    <w:link w:val="11"/>
    <w:qFormat/>
    <w:uiPriority w:val="0"/>
    <w:rPr>
      <w:rFonts w:ascii="Arial" w:hAnsi="Arial" w:eastAsia="黑体"/>
      <w:sz w:val="21"/>
      <w:szCs w:val="21"/>
    </w:rPr>
  </w:style>
  <w:style w:type="character" w:customStyle="1" w:styleId="122">
    <w:name w:val="文档结构图 Char"/>
    <w:link w:val="14"/>
    <w:qFormat/>
    <w:uiPriority w:val="0"/>
    <w:rPr>
      <w:rFonts w:ascii="宋体"/>
      <w:sz w:val="18"/>
      <w:szCs w:val="18"/>
    </w:rPr>
  </w:style>
  <w:style w:type="character" w:customStyle="1" w:styleId="123">
    <w:name w:val="纯文本 Char2"/>
    <w:semiHidden/>
    <w:qFormat/>
    <w:uiPriority w:val="99"/>
    <w:rPr>
      <w:rFonts w:ascii="宋体" w:hAnsi="Courier New" w:eastAsia="宋体" w:cs="Courier New"/>
      <w:kern w:val="2"/>
      <w:sz w:val="21"/>
      <w:szCs w:val="21"/>
    </w:rPr>
  </w:style>
  <w:style w:type="character" w:customStyle="1" w:styleId="124">
    <w:name w:val="正文文本 Char5"/>
    <w:link w:val="17"/>
    <w:qFormat/>
    <w:uiPriority w:val="99"/>
    <w:rPr>
      <w:rFonts w:ascii="Times New Roman" w:hAnsi="Times New Roman"/>
      <w:kern w:val="2"/>
      <w:sz w:val="21"/>
      <w:szCs w:val="22"/>
    </w:rPr>
  </w:style>
  <w:style w:type="character" w:customStyle="1" w:styleId="125">
    <w:name w:val="正文文本缩进 3 Char3"/>
    <w:semiHidden/>
    <w:qFormat/>
    <w:uiPriority w:val="99"/>
    <w:rPr>
      <w:kern w:val="2"/>
      <w:sz w:val="16"/>
      <w:szCs w:val="16"/>
    </w:rPr>
  </w:style>
  <w:style w:type="character" w:customStyle="1" w:styleId="126">
    <w:name w:val="页脚 Char"/>
    <w:link w:val="2"/>
    <w:qFormat/>
    <w:uiPriority w:val="99"/>
    <w:rPr>
      <w:sz w:val="18"/>
      <w:szCs w:val="18"/>
    </w:rPr>
  </w:style>
  <w:style w:type="character" w:customStyle="1" w:styleId="127">
    <w:name w:val="文一 Char"/>
    <w:link w:val="128"/>
    <w:qFormat/>
    <w:uiPriority w:val="0"/>
    <w:rPr>
      <w:spacing w:val="4"/>
      <w:sz w:val="24"/>
      <w:szCs w:val="24"/>
    </w:rPr>
  </w:style>
  <w:style w:type="paragraph" w:customStyle="1" w:styleId="128">
    <w:name w:val="文一"/>
    <w:basedOn w:val="1"/>
    <w:link w:val="127"/>
    <w:qFormat/>
    <w:uiPriority w:val="0"/>
    <w:pPr>
      <w:topLinePunct/>
      <w:adjustRightInd w:val="0"/>
      <w:snapToGrid w:val="0"/>
      <w:spacing w:line="360" w:lineRule="auto"/>
      <w:ind w:firstLine="200" w:firstLineChars="200"/>
    </w:pPr>
    <w:rPr>
      <w:spacing w:val="4"/>
      <w:kern w:val="0"/>
      <w:sz w:val="24"/>
      <w:szCs w:val="24"/>
    </w:rPr>
  </w:style>
  <w:style w:type="character" w:customStyle="1" w:styleId="129">
    <w:name w:val="页眉 Char"/>
    <w:link w:val="26"/>
    <w:qFormat/>
    <w:uiPriority w:val="0"/>
    <w:rPr>
      <w:sz w:val="18"/>
      <w:szCs w:val="18"/>
    </w:rPr>
  </w:style>
  <w:style w:type="character" w:customStyle="1" w:styleId="130">
    <w:name w:val="正文首行缩进 Char4"/>
    <w:semiHidden/>
    <w:qFormat/>
    <w:uiPriority w:val="99"/>
  </w:style>
  <w:style w:type="character" w:customStyle="1" w:styleId="131">
    <w:name w:val="正文文本 2 Char"/>
    <w:link w:val="33"/>
    <w:qFormat/>
    <w:uiPriority w:val="0"/>
    <w:rPr>
      <w:rFonts w:ascii="宋体" w:hAnsi="宋体"/>
      <w:szCs w:val="24"/>
      <w:u w:val="single"/>
    </w:rPr>
  </w:style>
  <w:style w:type="character" w:customStyle="1" w:styleId="132">
    <w:name w:val="批注主题 字符"/>
    <w:qFormat/>
    <w:uiPriority w:val="0"/>
    <w:rPr>
      <w:rFonts w:ascii="Times New Roman" w:hAnsi="Times New Roman" w:eastAsia="楷体_GB2312" w:cs="Times New Roman"/>
      <w:b/>
      <w:bCs/>
      <w:kern w:val="2"/>
      <w:sz w:val="21"/>
      <w:szCs w:val="24"/>
    </w:rPr>
  </w:style>
  <w:style w:type="character" w:customStyle="1" w:styleId="133">
    <w:name w:val="批注主题 Char"/>
    <w:link w:val="37"/>
    <w:qFormat/>
    <w:uiPriority w:val="0"/>
    <w:rPr>
      <w:b/>
      <w:bCs/>
    </w:rPr>
  </w:style>
  <w:style w:type="character" w:customStyle="1" w:styleId="134">
    <w:name w:val="批注文字 Char5"/>
    <w:semiHidden/>
    <w:qFormat/>
    <w:uiPriority w:val="99"/>
    <w:rPr>
      <w:kern w:val="2"/>
      <w:sz w:val="21"/>
      <w:szCs w:val="22"/>
    </w:rPr>
  </w:style>
  <w:style w:type="character" w:customStyle="1" w:styleId="135">
    <w:name w:val="style_kwd"/>
    <w:qFormat/>
    <w:uiPriority w:val="0"/>
  </w:style>
  <w:style w:type="character" w:customStyle="1" w:styleId="136">
    <w:name w:val="批注文字 Char"/>
    <w:qFormat/>
    <w:uiPriority w:val="99"/>
  </w:style>
  <w:style w:type="character" w:customStyle="1" w:styleId="137">
    <w:name w:val="批注文字 Char4"/>
    <w:semiHidden/>
    <w:qFormat/>
    <w:uiPriority w:val="99"/>
    <w:rPr>
      <w:rFonts w:ascii="Calibri" w:hAnsi="Calibri"/>
      <w:kern w:val="2"/>
      <w:sz w:val="21"/>
      <w:szCs w:val="22"/>
    </w:rPr>
  </w:style>
  <w:style w:type="character" w:customStyle="1" w:styleId="138">
    <w:name w:val="Char Char31"/>
    <w:qFormat/>
    <w:uiPriority w:val="0"/>
    <w:rPr>
      <w:rFonts w:ascii="Times New Roman" w:hAnsi="Times New Roman" w:eastAsia="宋体" w:cs="Times New Roman"/>
      <w:kern w:val="2"/>
      <w:sz w:val="18"/>
      <w:lang w:val="en-US" w:eastAsia="zh-CN" w:bidi="ar-SA"/>
    </w:rPr>
  </w:style>
  <w:style w:type="character" w:customStyle="1" w:styleId="139">
    <w:name w:val="正文文本 2 Char2"/>
    <w:semiHidden/>
    <w:qFormat/>
    <w:uiPriority w:val="99"/>
    <w:rPr>
      <w:kern w:val="2"/>
      <w:sz w:val="21"/>
      <w:szCs w:val="22"/>
    </w:rPr>
  </w:style>
  <w:style w:type="character" w:customStyle="1" w:styleId="140">
    <w:name w:val="正文文本 Char6"/>
    <w:semiHidden/>
    <w:qFormat/>
    <w:uiPriority w:val="99"/>
    <w:rPr>
      <w:kern w:val="2"/>
      <w:sz w:val="21"/>
      <w:szCs w:val="22"/>
    </w:rPr>
  </w:style>
  <w:style w:type="character" w:customStyle="1" w:styleId="141">
    <w:name w:val="批注文字 字符"/>
    <w:qFormat/>
    <w:uiPriority w:val="0"/>
    <w:rPr>
      <w:rFonts w:ascii="Times New Roman" w:hAnsi="Times New Roman" w:eastAsia="楷体_GB2312" w:cs="Times New Roman"/>
      <w:kern w:val="2"/>
      <w:sz w:val="21"/>
      <w:szCs w:val="24"/>
    </w:rPr>
  </w:style>
  <w:style w:type="character" w:customStyle="1" w:styleId="142">
    <w:name w:val="批注框文本 Char3"/>
    <w:semiHidden/>
    <w:qFormat/>
    <w:uiPriority w:val="99"/>
    <w:rPr>
      <w:kern w:val="2"/>
      <w:sz w:val="18"/>
      <w:szCs w:val="18"/>
    </w:rPr>
  </w:style>
  <w:style w:type="character" w:customStyle="1" w:styleId="143">
    <w:name w:val="Char Char6"/>
    <w:qFormat/>
    <w:uiPriority w:val="0"/>
    <w:rPr>
      <w:rFonts w:ascii="Times New Roman" w:hAnsi="Times New Roman" w:eastAsia="楷体_GB2312" w:cs="Times New Roman"/>
      <w:b/>
      <w:bCs/>
      <w:kern w:val="2"/>
      <w:sz w:val="24"/>
      <w:szCs w:val="24"/>
    </w:rPr>
  </w:style>
  <w:style w:type="character" w:customStyle="1" w:styleId="144">
    <w:name w:val="日期 Char1"/>
    <w:semiHidden/>
    <w:qFormat/>
    <w:uiPriority w:val="99"/>
    <w:rPr>
      <w:rFonts w:ascii="Calibri" w:hAnsi="Calibri"/>
      <w:sz w:val="21"/>
      <w:szCs w:val="22"/>
    </w:rPr>
  </w:style>
  <w:style w:type="character" w:customStyle="1" w:styleId="145">
    <w:name w:val="标题 Char1"/>
    <w:qFormat/>
    <w:uiPriority w:val="10"/>
    <w:rPr>
      <w:rFonts w:ascii="Cambria" w:hAnsi="Cambria" w:cs="Times New Roman"/>
      <w:b/>
      <w:bCs/>
      <w:sz w:val="32"/>
      <w:szCs w:val="32"/>
    </w:rPr>
  </w:style>
  <w:style w:type="character" w:customStyle="1" w:styleId="146">
    <w:name w:val="正文文本缩进 3 Char4"/>
    <w:semiHidden/>
    <w:qFormat/>
    <w:uiPriority w:val="99"/>
    <w:rPr>
      <w:kern w:val="2"/>
      <w:sz w:val="16"/>
      <w:szCs w:val="16"/>
    </w:rPr>
  </w:style>
  <w:style w:type="character" w:customStyle="1" w:styleId="147">
    <w:name w:val="Char Char61"/>
    <w:qFormat/>
    <w:uiPriority w:val="0"/>
    <w:rPr>
      <w:rFonts w:ascii="Times New Roman" w:hAnsi="Times New Roman" w:eastAsia="楷体_GB2312" w:cs="Times New Roman"/>
      <w:b/>
      <w:bCs/>
      <w:kern w:val="2"/>
      <w:sz w:val="24"/>
      <w:szCs w:val="24"/>
    </w:rPr>
  </w:style>
  <w:style w:type="character" w:customStyle="1" w:styleId="148">
    <w:name w:val="正文文本缩进 Char3"/>
    <w:semiHidden/>
    <w:qFormat/>
    <w:uiPriority w:val="99"/>
    <w:rPr>
      <w:kern w:val="2"/>
      <w:sz w:val="21"/>
      <w:szCs w:val="22"/>
    </w:rPr>
  </w:style>
  <w:style w:type="character" w:customStyle="1" w:styleId="149">
    <w:name w:val="正文文本 2 Char1"/>
    <w:semiHidden/>
    <w:qFormat/>
    <w:uiPriority w:val="99"/>
    <w:rPr>
      <w:rFonts w:ascii="Times New Roman" w:hAnsi="Times New Roman" w:eastAsia="宋体" w:cs="Calibri"/>
      <w:kern w:val="2"/>
      <w:sz w:val="21"/>
      <w:szCs w:val="24"/>
    </w:rPr>
  </w:style>
  <w:style w:type="character" w:customStyle="1" w:styleId="150">
    <w:name w:val="正文首行缩进 Char3"/>
    <w:semiHidden/>
    <w:qFormat/>
    <w:uiPriority w:val="99"/>
  </w:style>
  <w:style w:type="character" w:customStyle="1" w:styleId="151">
    <w:name w:val="批注主题 Char3"/>
    <w:semiHidden/>
    <w:qFormat/>
    <w:uiPriority w:val="99"/>
    <w:rPr>
      <w:b/>
      <w:bCs/>
      <w:kern w:val="2"/>
      <w:sz w:val="21"/>
      <w:szCs w:val="22"/>
    </w:rPr>
  </w:style>
  <w:style w:type="character" w:customStyle="1" w:styleId="152">
    <w:name w:val="批注文字 Char1"/>
    <w:qFormat/>
    <w:uiPriority w:val="0"/>
    <w:rPr>
      <w:kern w:val="2"/>
      <w:sz w:val="21"/>
      <w:szCs w:val="22"/>
    </w:rPr>
  </w:style>
  <w:style w:type="character" w:customStyle="1" w:styleId="153">
    <w:name w:val="Char Char7"/>
    <w:qFormat/>
    <w:uiPriority w:val="0"/>
    <w:rPr>
      <w:rFonts w:ascii="Times New Roman" w:hAnsi="Times New Roman" w:eastAsia="宋体" w:cs="Times New Roman"/>
      <w:kern w:val="2"/>
      <w:sz w:val="21"/>
      <w:lang w:val="en-US" w:eastAsia="zh-CN" w:bidi="ar-SA"/>
    </w:rPr>
  </w:style>
  <w:style w:type="character" w:customStyle="1" w:styleId="154">
    <w:name w:val="正文文本 2 Char3"/>
    <w:semiHidden/>
    <w:qFormat/>
    <w:uiPriority w:val="99"/>
    <w:rPr>
      <w:kern w:val="2"/>
      <w:sz w:val="21"/>
      <w:szCs w:val="22"/>
    </w:rPr>
  </w:style>
  <w:style w:type="character" w:customStyle="1" w:styleId="155">
    <w:name w:val="正文文本缩进 Char2"/>
    <w:semiHidden/>
    <w:qFormat/>
    <w:uiPriority w:val="99"/>
    <w:rPr>
      <w:kern w:val="2"/>
      <w:sz w:val="21"/>
      <w:szCs w:val="22"/>
    </w:rPr>
  </w:style>
  <w:style w:type="character" w:customStyle="1" w:styleId="156">
    <w:name w:val="Char Char62"/>
    <w:qFormat/>
    <w:uiPriority w:val="0"/>
    <w:rPr>
      <w:rFonts w:ascii="Times New Roman" w:hAnsi="Times New Roman" w:eastAsia="楷体_GB2312" w:cs="Times New Roman"/>
      <w:b/>
      <w:bCs/>
      <w:kern w:val="2"/>
      <w:sz w:val="24"/>
      <w:szCs w:val="24"/>
    </w:rPr>
  </w:style>
  <w:style w:type="character" w:customStyle="1" w:styleId="157">
    <w:name w:val="正文文本 Char4"/>
    <w:semiHidden/>
    <w:qFormat/>
    <w:uiPriority w:val="99"/>
    <w:rPr>
      <w:kern w:val="2"/>
      <w:sz w:val="21"/>
      <w:szCs w:val="22"/>
    </w:rPr>
  </w:style>
  <w:style w:type="character" w:customStyle="1" w:styleId="158">
    <w:name w:val="正文文本 3 Char2"/>
    <w:semiHidden/>
    <w:qFormat/>
    <w:uiPriority w:val="99"/>
    <w:rPr>
      <w:kern w:val="2"/>
      <w:sz w:val="16"/>
      <w:szCs w:val="16"/>
    </w:rPr>
  </w:style>
  <w:style w:type="character" w:customStyle="1" w:styleId="159">
    <w:name w:val="Char Char71"/>
    <w:qFormat/>
    <w:uiPriority w:val="0"/>
    <w:rPr>
      <w:rFonts w:ascii="Times New Roman" w:hAnsi="Times New Roman" w:eastAsia="宋体" w:cs="Times New Roman"/>
      <w:kern w:val="2"/>
      <w:sz w:val="21"/>
      <w:lang w:val="en-US" w:eastAsia="zh-CN" w:bidi="ar-SA"/>
    </w:rPr>
  </w:style>
  <w:style w:type="character" w:customStyle="1" w:styleId="160">
    <w:name w:val="日期 Char3"/>
    <w:semiHidden/>
    <w:qFormat/>
    <w:uiPriority w:val="99"/>
    <w:rPr>
      <w:kern w:val="2"/>
      <w:sz w:val="21"/>
      <w:szCs w:val="22"/>
    </w:rPr>
  </w:style>
  <w:style w:type="paragraph" w:customStyle="1" w:styleId="16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2">
    <w:name w:val="章节三"/>
    <w:basedOn w:val="128"/>
    <w:next w:val="128"/>
    <w:qFormat/>
    <w:uiPriority w:val="0"/>
    <w:pPr>
      <w:spacing w:beforeLines="50" w:afterLines="50" w:line="240" w:lineRule="auto"/>
      <w:ind w:firstLine="0" w:firstLineChars="0"/>
      <w:jc w:val="left"/>
      <w:outlineLvl w:val="2"/>
    </w:pPr>
    <w:rPr>
      <w:rFonts w:ascii="黑体" w:hAnsi="宋体" w:eastAsia="黑体"/>
      <w:b/>
    </w:rPr>
  </w:style>
  <w:style w:type="paragraph" w:customStyle="1" w:styleId="163">
    <w:name w:val="表格文字"/>
    <w:basedOn w:val="1"/>
    <w:next w:val="1"/>
    <w:qFormat/>
    <w:uiPriority w:val="0"/>
    <w:pPr>
      <w:snapToGrid w:val="0"/>
      <w:spacing w:line="360" w:lineRule="atLeast"/>
      <w:jc w:val="center"/>
    </w:pPr>
    <w:rPr>
      <w:rFonts w:ascii="宋体" w:hAnsi="Times New Roman" w:eastAsia="幼圆"/>
      <w:szCs w:val="20"/>
    </w:rPr>
  </w:style>
  <w:style w:type="paragraph" w:customStyle="1" w:styleId="164">
    <w:name w:val="样式 标题 2 + Times New Roman 四号 非加粗 段前: 5 磅 段后: 0 磅 行距: 固定值 20..."/>
    <w:basedOn w:val="4"/>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6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6">
    <w:name w:val="_Style 47"/>
    <w:semiHidden/>
    <w:qFormat/>
    <w:uiPriority w:val="0"/>
    <w:rPr>
      <w:rFonts w:ascii="Times New Roman" w:hAnsi="Times New Roman" w:eastAsia="宋体" w:cs="Calibri"/>
      <w:kern w:val="2"/>
      <w:sz w:val="21"/>
      <w:szCs w:val="24"/>
      <w:lang w:val="en-US" w:eastAsia="zh-CN" w:bidi="ar-SA"/>
    </w:rPr>
  </w:style>
  <w:style w:type="paragraph" w:customStyle="1" w:styleId="16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68">
    <w:name w:val="表格"/>
    <w:basedOn w:val="1"/>
    <w:qFormat/>
    <w:uiPriority w:val="0"/>
    <w:pPr>
      <w:jc w:val="center"/>
      <w:textAlignment w:val="center"/>
    </w:pPr>
    <w:rPr>
      <w:rFonts w:ascii="华文细黑" w:hAnsi="华文细黑"/>
      <w:kern w:val="0"/>
      <w:szCs w:val="20"/>
    </w:rPr>
  </w:style>
  <w:style w:type="paragraph" w:customStyle="1" w:styleId="169">
    <w:name w:val="修订2"/>
    <w:qFormat/>
    <w:uiPriority w:val="0"/>
    <w:rPr>
      <w:rFonts w:ascii="Times New Roman" w:hAnsi="Times New Roman" w:eastAsia="宋体" w:cs="Times New Roman"/>
      <w:kern w:val="2"/>
      <w:sz w:val="21"/>
      <w:szCs w:val="24"/>
      <w:lang w:val="en-US" w:eastAsia="zh-CN" w:bidi="ar-SA"/>
    </w:rPr>
  </w:style>
  <w:style w:type="paragraph" w:customStyle="1" w:styleId="170">
    <w:name w:val="我的正文"/>
    <w:basedOn w:val="1"/>
    <w:qFormat/>
    <w:uiPriority w:val="0"/>
    <w:rPr>
      <w:rFonts w:ascii="宋体" w:hAnsi="宋体"/>
      <w:sz w:val="24"/>
      <w:szCs w:val="24"/>
    </w:rPr>
  </w:style>
  <w:style w:type="paragraph" w:customStyle="1" w:styleId="171">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2">
    <w:name w:val="WPSOffice手动目录 1"/>
    <w:qFormat/>
    <w:uiPriority w:val="0"/>
    <w:rPr>
      <w:rFonts w:ascii="Calibri" w:hAnsi="Calibri" w:eastAsia="宋体" w:cs="Times New Roman"/>
      <w:lang w:val="en-US" w:eastAsia="zh-CN" w:bidi="ar-SA"/>
    </w:rPr>
  </w:style>
  <w:style w:type="paragraph" w:customStyle="1" w:styleId="173">
    <w:name w:val="样式2"/>
    <w:basedOn w:val="5"/>
    <w:qFormat/>
    <w:uiPriority w:val="0"/>
    <w:pPr>
      <w:spacing w:line="415" w:lineRule="auto"/>
      <w:ind w:firstLine="137" w:firstLineChars="49"/>
    </w:pPr>
    <w:rPr>
      <w:rFonts w:ascii="黑体" w:hAnsi="Calibri" w:eastAsia="黑体"/>
      <w:b w:val="0"/>
      <w:i/>
      <w:kern w:val="0"/>
      <w:sz w:val="28"/>
      <w:szCs w:val="28"/>
    </w:rPr>
  </w:style>
  <w:style w:type="paragraph" w:customStyle="1" w:styleId="174">
    <w:name w:val="默认段落字体 Para Char"/>
    <w:basedOn w:val="1"/>
    <w:qFormat/>
    <w:uiPriority w:val="0"/>
    <w:rPr>
      <w:rFonts w:ascii="Times New Roman" w:hAnsi="Times New Roman"/>
      <w:sz w:val="30"/>
      <w:szCs w:val="24"/>
    </w:rPr>
  </w:style>
  <w:style w:type="paragraph" w:customStyle="1" w:styleId="175">
    <w:name w:val="结构图及表格"/>
    <w:qFormat/>
    <w:uiPriority w:val="0"/>
    <w:pPr>
      <w:widowControl w:val="0"/>
      <w:jc w:val="center"/>
    </w:pPr>
    <w:rPr>
      <w:rFonts w:ascii="Times New Roman" w:hAnsi="Times New Roman" w:eastAsia="宋体" w:cs="Times New Roman"/>
      <w:kern w:val="21"/>
      <w:sz w:val="21"/>
      <w:lang w:val="en-US" w:eastAsia="zh-CN" w:bidi="ar-SA"/>
    </w:rPr>
  </w:style>
  <w:style w:type="paragraph" w:customStyle="1" w:styleId="176">
    <w:name w:val="文二"/>
    <w:basedOn w:val="1"/>
    <w:qFormat/>
    <w:uiPriority w:val="0"/>
    <w:pPr>
      <w:jc w:val="left"/>
    </w:pPr>
    <w:rPr>
      <w:rFonts w:ascii="宋体" w:hAnsi="宋体" w:cs="Calibri"/>
      <w:szCs w:val="21"/>
    </w:rPr>
  </w:style>
  <w:style w:type="paragraph" w:customStyle="1" w:styleId="177">
    <w:name w:val="1"/>
    <w:basedOn w:val="1"/>
    <w:qFormat/>
    <w:uiPriority w:val="0"/>
    <w:rPr>
      <w:rFonts w:ascii="Times New Roman" w:hAnsi="Times New Roman"/>
      <w:szCs w:val="20"/>
    </w:rPr>
  </w:style>
  <w:style w:type="paragraph" w:customStyle="1" w:styleId="178">
    <w:name w:val="样式 标题 3 + (中文) 黑体 小四 非加粗 段前: 7.8 磅 段后: 0 磅 行距: 固定值 20 磅"/>
    <w:basedOn w:val="5"/>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79">
    <w:name w:val="Char1"/>
    <w:basedOn w:val="1"/>
    <w:qFormat/>
    <w:uiPriority w:val="0"/>
    <w:pPr>
      <w:tabs>
        <w:tab w:val="left" w:pos="360"/>
      </w:tabs>
    </w:pPr>
    <w:rPr>
      <w:rFonts w:ascii="Times New Roman" w:hAnsi="Times New Roman"/>
      <w:sz w:val="24"/>
      <w:szCs w:val="20"/>
    </w:rPr>
  </w:style>
  <w:style w:type="paragraph" w:customStyle="1" w:styleId="180">
    <w:name w:val="_Style 23"/>
    <w:basedOn w:val="1"/>
    <w:qFormat/>
    <w:uiPriority w:val="0"/>
    <w:pPr>
      <w:widowControl/>
      <w:spacing w:after="160" w:line="240" w:lineRule="exact"/>
      <w:jc w:val="left"/>
    </w:pPr>
    <w:rPr>
      <w:rFonts w:ascii="Times New Roman" w:hAnsi="Times New Roman"/>
    </w:rPr>
  </w:style>
  <w:style w:type="paragraph" w:customStyle="1" w:styleId="181">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_Style 17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3">
    <w:name w:val="_Style 179"/>
    <w:qFormat/>
    <w:uiPriority w:val="99"/>
    <w:rPr>
      <w:rFonts w:ascii="Times New Roman" w:hAnsi="Times New Roman" w:eastAsia="宋体" w:cs="Arial"/>
      <w:lang w:val="en-US" w:eastAsia="zh-CN" w:bidi="ar-SA"/>
    </w:rPr>
  </w:style>
  <w:style w:type="paragraph" w:customStyle="1" w:styleId="184">
    <w:name w:val="列出段落1"/>
    <w:basedOn w:val="1"/>
    <w:qFormat/>
    <w:uiPriority w:val="0"/>
    <w:pPr>
      <w:ind w:firstLine="420" w:firstLineChars="200"/>
    </w:pPr>
    <w:rPr>
      <w:rFonts w:ascii="Times New Roman" w:hAnsi="Times New Roman"/>
    </w:rPr>
  </w:style>
  <w:style w:type="paragraph" w:customStyle="1" w:styleId="185">
    <w:name w:val="修订1"/>
    <w:qFormat/>
    <w:uiPriority w:val="0"/>
    <w:rPr>
      <w:rFonts w:ascii="Times New Roman" w:hAnsi="Times New Roman" w:eastAsia="宋体" w:cs="Times New Roman"/>
      <w:kern w:val="2"/>
      <w:sz w:val="21"/>
      <w:lang w:val="en-US" w:eastAsia="zh-CN" w:bidi="ar-SA"/>
    </w:rPr>
  </w:style>
  <w:style w:type="paragraph" w:customStyle="1" w:styleId="186">
    <w:name w:val="发文落款"/>
    <w:basedOn w:val="161"/>
    <w:qFormat/>
    <w:uiPriority w:val="0"/>
    <w:pPr>
      <w:ind w:left="4094" w:right="607" w:firstLine="0"/>
      <w:jc w:val="center"/>
    </w:pPr>
  </w:style>
  <w:style w:type="paragraph" w:customStyle="1" w:styleId="187">
    <w:name w:val="Table Paragraph"/>
    <w:basedOn w:val="1"/>
    <w:qFormat/>
    <w:uiPriority w:val="99"/>
    <w:pPr>
      <w:autoSpaceDE w:val="0"/>
      <w:autoSpaceDN w:val="0"/>
      <w:adjustRightInd w:val="0"/>
      <w:jc w:val="left"/>
    </w:pPr>
    <w:rPr>
      <w:rFonts w:ascii="Times New Roman" w:hAnsi="Times New Roman"/>
      <w:kern w:val="0"/>
      <w:sz w:val="24"/>
      <w:szCs w:val="24"/>
    </w:rPr>
  </w:style>
  <w:style w:type="paragraph" w:customStyle="1" w:styleId="188">
    <w:name w:val="正题"/>
    <w:basedOn w:val="128"/>
    <w:next w:val="128"/>
    <w:qFormat/>
    <w:uiPriority w:val="0"/>
    <w:pPr>
      <w:ind w:firstLine="0" w:firstLineChars="0"/>
      <w:jc w:val="center"/>
    </w:pPr>
    <w:rPr>
      <w:rFonts w:eastAsia="黑体"/>
      <w:b/>
      <w:sz w:val="36"/>
      <w:szCs w:val="36"/>
    </w:rPr>
  </w:style>
  <w:style w:type="paragraph" w:customStyle="1" w:styleId="189">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90">
    <w:name w:val="TOC 标题1"/>
    <w:basedOn w:val="3"/>
    <w:next w:val="1"/>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191">
    <w:name w:val="修订11"/>
    <w:qFormat/>
    <w:uiPriority w:val="0"/>
    <w:rPr>
      <w:rFonts w:ascii="Times New Roman" w:hAnsi="Times New Roman" w:eastAsia="宋体" w:cs="Times New Roman"/>
      <w:kern w:val="2"/>
      <w:sz w:val="21"/>
      <w:szCs w:val="24"/>
      <w:lang w:val="en-US" w:eastAsia="zh-CN" w:bidi="ar-SA"/>
    </w:rPr>
  </w:style>
  <w:style w:type="paragraph" w:customStyle="1" w:styleId="192">
    <w:name w:val="_Style 71"/>
    <w:unhideWhenUsed/>
    <w:qFormat/>
    <w:uiPriority w:val="99"/>
    <w:rPr>
      <w:rFonts w:ascii="Times New Roman" w:hAnsi="Times New Roman" w:eastAsia="宋体" w:cs="Calibri"/>
      <w:kern w:val="2"/>
      <w:sz w:val="21"/>
      <w:szCs w:val="24"/>
      <w:lang w:val="en-US" w:eastAsia="zh-CN" w:bidi="ar-SA"/>
    </w:rPr>
  </w:style>
  <w:style w:type="paragraph" w:customStyle="1" w:styleId="193">
    <w:name w:val="图片"/>
    <w:basedOn w:val="1"/>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character" w:customStyle="1" w:styleId="194">
    <w:name w:val="NormalCharacter"/>
    <w:semiHidden/>
    <w:qFormat/>
    <w:uiPriority w:val="0"/>
  </w:style>
  <w:style w:type="character" w:customStyle="1" w:styleId="195">
    <w:name w:val="font0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22893</Words>
  <Characters>24278</Characters>
  <Lines>195</Lines>
  <Paragraphs>55</Paragraphs>
  <TotalTime>1</TotalTime>
  <ScaleCrop>false</ScaleCrop>
  <LinksUpToDate>false</LinksUpToDate>
  <CharactersWithSpaces>25624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2023-03-29T10:18:00Z</dcterms:created>
  <dc:creator>未定义</dc:creator>
  <cp:lastModifiedBy>L</cp:lastModifiedBy>
  <cp:lastPrinted>2022-01-05T16:31:00Z</cp:lastPrinted>
  <dcterms:modified xsi:type="dcterms:W3CDTF">2023-07-27T02:30:19Z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0824E0A6DDC34118BDAD09D8CB81FA54</vt:lpwstr>
  </property>
</Properties>
</file>